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drawings/drawing2.xml" ContentType="application/vnd.openxmlformats-officedocument.drawingml.chartshapes+xml"/>
  <Override PartName="/word/charts/chart16.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1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4.xml" ContentType="application/vnd.openxmlformats-officedocument.themeOverride+xml"/>
  <Override PartName="/word/drawings/drawing4.xml" ContentType="application/vnd.openxmlformats-officedocument.drawingml.chartshapes+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6.xml" ContentType="application/vnd.openxmlformats-officedocument.themeOverride+xml"/>
  <Override PartName="/word/charts/chart2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9.xml" ContentType="application/vnd.openxmlformats-officedocument.themeOverride+xml"/>
  <Override PartName="/word/charts/chart2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0.xml" ContentType="application/vnd.openxmlformats-officedocument.themeOverride+xml"/>
  <Override PartName="/word/charts/chart2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5.xml" ContentType="application/vnd.openxmlformats-officedocument.drawingml.chart+xml"/>
  <Override PartName="/word/theme/themeOverride21.xml" ContentType="application/vnd.openxmlformats-officedocument.themeOverride+xml"/>
  <Override PartName="/word/charts/chart26.xml" ContentType="application/vnd.openxmlformats-officedocument.drawingml.chart+xml"/>
  <Override PartName="/word/theme/themeOverride22.xml" ContentType="application/vnd.openxmlformats-officedocument.themeOverride+xml"/>
  <Override PartName="/word/charts/chart27.xml" ContentType="application/vnd.openxmlformats-officedocument.drawingml.chart+xml"/>
  <Override PartName="/word/theme/themeOverride23.xml" ContentType="application/vnd.openxmlformats-officedocument.themeOverride+xml"/>
  <Override PartName="/word/charts/chart28.xml" ContentType="application/vnd.openxmlformats-officedocument.drawingml.chart+xml"/>
  <Override PartName="/word/theme/themeOverride24.xml" ContentType="application/vnd.openxmlformats-officedocument.themeOverride+xml"/>
  <Override PartName="/word/charts/chart29.xml" ContentType="application/vnd.openxmlformats-officedocument.drawingml.chart+xml"/>
  <Override PartName="/word/theme/themeOverride25.xml" ContentType="application/vnd.openxmlformats-officedocument.themeOverride+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theme/themeOverride27.xml" ContentType="application/vnd.openxmlformats-officedocument.themeOverride+xml"/>
  <Override PartName="/word/charts/chart3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8.xml" ContentType="application/vnd.openxmlformats-officedocument.themeOverride+xml"/>
  <Override PartName="/word/footer2.xml" ContentType="application/vnd.openxmlformats-officedocument.wordprocessingml.footer+xml"/>
  <Override PartName="/word/charts/chart33.xml" ContentType="application/vnd.openxmlformats-officedocument.drawingml.chart+xml"/>
  <Override PartName="/word/theme/themeOverride29.xml" ContentType="application/vnd.openxmlformats-officedocument.themeOverride+xml"/>
  <Override PartName="/word/charts/chart34.xml" ContentType="application/vnd.openxmlformats-officedocument.drawingml.chart+xml"/>
  <Override PartName="/word/theme/themeOverride30.xml" ContentType="application/vnd.openxmlformats-officedocument.themeOverride+xml"/>
  <Override PartName="/word/charts/chart35.xml" ContentType="application/vnd.openxmlformats-officedocument.drawingml.chart+xml"/>
  <Override PartName="/word/theme/themeOverride3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A50A" w14:textId="77777777" w:rsidR="001E0231" w:rsidRPr="00256D89" w:rsidRDefault="001E0231" w:rsidP="00FB625E">
      <w:pPr>
        <w:widowControl w:val="0"/>
        <w:autoSpaceDE w:val="0"/>
        <w:autoSpaceDN w:val="0"/>
        <w:adjustRightInd w:val="0"/>
        <w:spacing w:after="0" w:line="240" w:lineRule="auto"/>
        <w:jc w:val="center"/>
        <w:rPr>
          <w:rFonts w:ascii="Arial Narrow" w:hAnsi="Arial Narrow"/>
          <w:sz w:val="32"/>
          <w:szCs w:val="32"/>
        </w:rPr>
      </w:pPr>
    </w:p>
    <w:p w14:paraId="22724C7F"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5ED722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14085E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35EAD70"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sz w:val="20"/>
          <w:szCs w:val="20"/>
          <w:lang w:val="en-US" w:eastAsia="en-US"/>
        </w:rPr>
        <mc:AlternateContent>
          <mc:Choice Requires="wps">
            <w:drawing>
              <wp:anchor distT="0" distB="0" distL="114300" distR="114300" simplePos="0" relativeHeight="251711488" behindDoc="0" locked="1" layoutInCell="1" allowOverlap="1" wp14:anchorId="41772AF4" wp14:editId="13B7A703">
                <wp:simplePos x="0" y="0"/>
                <wp:positionH relativeFrom="column">
                  <wp:posOffset>1009650</wp:posOffset>
                </wp:positionH>
                <wp:positionV relativeFrom="page">
                  <wp:posOffset>723900</wp:posOffset>
                </wp:positionV>
                <wp:extent cx="3552825" cy="3810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solidFill>
                        <a:ln w="9525">
                          <a:noFill/>
                          <a:miter lim="800000"/>
                          <a:headEnd/>
                          <a:tailEnd/>
                        </a:ln>
                      </wps:spPr>
                      <wps:txbx>
                        <w:txbxContent>
                          <w:p w14:paraId="4C63C1FD" w14:textId="77777777" w:rsidR="000B5900" w:rsidRPr="001E0231" w:rsidRDefault="000B5900"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72AF4" id="_x0000_t202" coordsize="21600,21600" o:spt="202" path="m,l,21600r21600,l21600,xe">
                <v:stroke joinstyle="miter"/>
                <v:path gradientshapeok="t" o:connecttype="rect"/>
              </v:shapetype>
              <v:shape id="Text Box 2" o:spid="_x0000_s1026" type="#_x0000_t202" style="position:absolute;margin-left:79.5pt;margin-top:57pt;width:279.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" stroked="f">
                <v:textbox>
                  <w:txbxContent>
                    <w:p w14:paraId="4C63C1FD" w14:textId="77777777" w:rsidR="000B5900" w:rsidRPr="001E0231" w:rsidRDefault="000B5900"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v:textbox>
                <w10:wrap anchory="page"/>
                <w10:anchorlock/>
              </v:shape>
            </w:pict>
          </mc:Fallback>
        </mc:AlternateContent>
      </w:r>
    </w:p>
    <w:p w14:paraId="52308172"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9E2D18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D8BE23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A72DD41"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39EEF24" w14:textId="77777777" w:rsidR="005B2D07" w:rsidRPr="00256D89" w:rsidRDefault="005E095E"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lang w:val="en-US" w:eastAsia="en-US"/>
        </w:rPr>
        <mc:AlternateContent>
          <mc:Choice Requires="wps">
            <w:drawing>
              <wp:anchor distT="0" distB="0" distL="114300" distR="114300" simplePos="0" relativeHeight="251664384" behindDoc="1" locked="0" layoutInCell="0" allowOverlap="1" wp14:anchorId="078EE5CD" wp14:editId="1012966F">
                <wp:simplePos x="0" y="0"/>
                <wp:positionH relativeFrom="page">
                  <wp:posOffset>3175</wp:posOffset>
                </wp:positionH>
                <wp:positionV relativeFrom="page">
                  <wp:posOffset>3860800</wp:posOffset>
                </wp:positionV>
                <wp:extent cx="81280" cy="2899410"/>
                <wp:effectExtent l="0" t="0" r="0" b="0"/>
                <wp:wrapNone/>
                <wp:docPr id="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89941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5C78" id="Rectangle 3" o:spid="_x0000_s1026" style="position:absolute;margin-left:.25pt;margin-top:304pt;width:6.4pt;height:22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" o:allowincell="f" fillcolor="#37abe1" stroked="f">
                <v:path arrowok="t"/>
                <w10:wrap anchorx="page" anchory="page"/>
              </v:rect>
            </w:pict>
          </mc:Fallback>
        </mc:AlternateContent>
      </w:r>
    </w:p>
    <w:p w14:paraId="2348FA8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1C05E6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BF20F81"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0496DE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C0B016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D4294C1"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noProof/>
          <w:lang w:val="en-US" w:eastAsia="en-US"/>
        </w:rPr>
        <w:drawing>
          <wp:anchor distT="0" distB="0" distL="114300" distR="114300" simplePos="0" relativeHeight="251709440" behindDoc="0" locked="0" layoutInCell="1" allowOverlap="1" wp14:anchorId="3421D334" wp14:editId="10B0322F">
            <wp:simplePos x="0" y="0"/>
            <wp:positionH relativeFrom="column">
              <wp:posOffset>2066925</wp:posOffset>
            </wp:positionH>
            <wp:positionV relativeFrom="paragraph">
              <wp:posOffset>26348</wp:posOffset>
            </wp:positionV>
            <wp:extent cx="1362075" cy="1695450"/>
            <wp:effectExtent l="0" t="0" r="9525" b="0"/>
            <wp:wrapNone/>
            <wp:docPr id="1"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1882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8E12A6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125141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680088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8D2EA0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E69962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3B1BD5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4BA945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4D9BB99"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FFECF4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D63740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B67B73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4ED98E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A104FA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ECCA32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B9C78DF"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CD5CB1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0DD278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F41DDF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CEC9BC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C21F03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D099226"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lang w:val="en-US" w:eastAsia="en-US"/>
        </w:rPr>
        <mc:AlternateContent>
          <mc:Choice Requires="wps">
            <w:drawing>
              <wp:anchor distT="0" distB="0" distL="114300" distR="114300" simplePos="0" relativeHeight="251708416" behindDoc="1" locked="0" layoutInCell="0" allowOverlap="1" wp14:anchorId="5281E2B4" wp14:editId="403B1F5B">
                <wp:simplePos x="0" y="0"/>
                <wp:positionH relativeFrom="page">
                  <wp:posOffset>1665605</wp:posOffset>
                </wp:positionH>
                <wp:positionV relativeFrom="page">
                  <wp:posOffset>5546403</wp:posOffset>
                </wp:positionV>
                <wp:extent cx="59055" cy="294640"/>
                <wp:effectExtent l="0" t="0" r="0" b="0"/>
                <wp:wrapNone/>
                <wp:docPr id="3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464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B3FA" id="Rectangle 2" o:spid="_x0000_s1026" style="position:absolute;margin-left:131.15pt;margin-top:436.7pt;width:4.65pt;height:23.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" o:allowincell="f" fillcolor="#37abe1" stroked="f">
                <v:path arrowok="t"/>
                <w10:wrap anchorx="page" anchory="page"/>
              </v:rect>
            </w:pict>
          </mc:Fallback>
        </mc:AlternateContent>
      </w:r>
    </w:p>
    <w:p w14:paraId="533894A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CAC4E4C" w14:textId="3E1E2F53" w:rsidR="005B2D07" w:rsidRPr="00256D89" w:rsidRDefault="0032199C"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sz w:val="20"/>
          <w:szCs w:val="20"/>
          <w:lang w:val="en-US" w:eastAsia="en-US"/>
        </w:rPr>
        <mc:AlternateContent>
          <mc:Choice Requires="wps">
            <w:drawing>
              <wp:anchor distT="0" distB="0" distL="114300" distR="114300" simplePos="0" relativeHeight="251715584" behindDoc="0" locked="1" layoutInCell="1" allowOverlap="1" wp14:anchorId="270A471D" wp14:editId="6E77C14F">
                <wp:simplePos x="0" y="0"/>
                <wp:positionH relativeFrom="margin">
                  <wp:posOffset>720090</wp:posOffset>
                </wp:positionH>
                <wp:positionV relativeFrom="page">
                  <wp:posOffset>5438775</wp:posOffset>
                </wp:positionV>
                <wp:extent cx="4068000" cy="17028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000" cy="1702800"/>
                        </a:xfrm>
                        <a:prstGeom prst="rect">
                          <a:avLst/>
                        </a:prstGeom>
                        <a:solidFill>
                          <a:srgbClr val="FFFFFF"/>
                        </a:solidFill>
                        <a:ln w="9525">
                          <a:noFill/>
                          <a:miter lim="800000"/>
                          <a:headEnd/>
                          <a:tailEnd/>
                        </a:ln>
                      </wps:spPr>
                      <wps:txbx>
                        <w:txbxContent>
                          <w:p w14:paraId="730FBEF8" w14:textId="77777777" w:rsidR="000B5900" w:rsidRPr="005661BA" w:rsidRDefault="000B5900" w:rsidP="0032199C">
                            <w:pPr>
                              <w:jc w:val="center"/>
                              <w:rPr>
                                <w:rFonts w:ascii="Arial Narrow" w:hAnsi="Arial Narrow" w:cstheme="minorHAnsi"/>
                                <w:sz w:val="96"/>
                              </w:rPr>
                            </w:pPr>
                            <w:r w:rsidRPr="005661BA">
                              <w:rPr>
                                <w:rFonts w:ascii="Arial Narrow" w:hAnsi="Arial Narrow" w:cstheme="minorHAnsi"/>
                                <w:b/>
                                <w:bCs/>
                                <w:sz w:val="52"/>
                                <w:lang w:val="pl-PL"/>
                              </w:rPr>
                              <w:t>Národný program reforiem Slovenskej republiky 201</w:t>
                            </w:r>
                            <w:r>
                              <w:rPr>
                                <w:rFonts w:ascii="Arial Narrow" w:hAnsi="Arial Narrow" w:cstheme="minorHAnsi"/>
                                <w:b/>
                                <w:bCs/>
                                <w:sz w:val="52"/>
                                <w:lang w:val="pl-P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A471D" id="_x0000_s1027" type="#_x0000_t202" style="position:absolute;margin-left:56.7pt;margin-top:428.25pt;width:320.3pt;height:134.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" stroked="f">
                <v:textbox>
                  <w:txbxContent>
                    <w:p w14:paraId="730FBEF8" w14:textId="77777777" w:rsidR="000B5900" w:rsidRPr="005661BA" w:rsidRDefault="000B5900" w:rsidP="0032199C">
                      <w:pPr>
                        <w:jc w:val="center"/>
                        <w:rPr>
                          <w:rFonts w:ascii="Arial Narrow" w:hAnsi="Arial Narrow" w:cstheme="minorHAnsi"/>
                          <w:sz w:val="96"/>
                        </w:rPr>
                      </w:pPr>
                      <w:r w:rsidRPr="005661BA">
                        <w:rPr>
                          <w:rFonts w:ascii="Arial Narrow" w:hAnsi="Arial Narrow" w:cstheme="minorHAnsi"/>
                          <w:b/>
                          <w:bCs/>
                          <w:sz w:val="52"/>
                          <w:lang w:val="pl-PL"/>
                        </w:rPr>
                        <w:t>Národný program reforiem Slovenskej republiky 201</w:t>
                      </w:r>
                      <w:r>
                        <w:rPr>
                          <w:rFonts w:ascii="Arial Narrow" w:hAnsi="Arial Narrow" w:cstheme="minorHAnsi"/>
                          <w:b/>
                          <w:bCs/>
                          <w:sz w:val="52"/>
                          <w:lang w:val="pl-PL"/>
                        </w:rPr>
                        <w:t>7</w:t>
                      </w:r>
                    </w:p>
                  </w:txbxContent>
                </v:textbox>
                <w10:wrap anchorx="margin" anchory="page"/>
                <w10:anchorlock/>
              </v:shape>
            </w:pict>
          </mc:Fallback>
        </mc:AlternateContent>
      </w:r>
    </w:p>
    <w:p w14:paraId="39447BD9"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34FFD31"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EB0ED9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49844F9"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09AF36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37976D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5CFD7B7"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1934C4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AE19CCE"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C4944F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1E834B9"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43B961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CFA5377" w14:textId="77777777" w:rsidR="005B2D07" w:rsidRPr="00256D89" w:rsidRDefault="00C97621" w:rsidP="00FB625E">
      <w:pPr>
        <w:widowControl w:val="0"/>
        <w:tabs>
          <w:tab w:val="left" w:pos="2337"/>
        </w:tabs>
        <w:autoSpaceDE w:val="0"/>
        <w:autoSpaceDN w:val="0"/>
        <w:adjustRightInd w:val="0"/>
        <w:spacing w:after="0" w:line="240" w:lineRule="auto"/>
        <w:rPr>
          <w:rFonts w:ascii="Arial Narrow" w:hAnsi="Arial Narrow"/>
          <w:b/>
          <w:sz w:val="20"/>
          <w:szCs w:val="20"/>
        </w:rPr>
      </w:pPr>
      <w:r w:rsidRPr="00256D89">
        <w:rPr>
          <w:rFonts w:ascii="Arial Narrow" w:hAnsi="Arial Narrow"/>
          <w:b/>
          <w:sz w:val="20"/>
          <w:szCs w:val="20"/>
        </w:rPr>
        <w:tab/>
      </w:r>
    </w:p>
    <w:p w14:paraId="1A60C4F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D71DFB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49F9BEF"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3848143" w14:textId="626530A8" w:rsidR="00E32EA7" w:rsidRDefault="00E32EA7" w:rsidP="00FB625E">
      <w:pPr>
        <w:widowControl w:val="0"/>
        <w:autoSpaceDE w:val="0"/>
        <w:autoSpaceDN w:val="0"/>
        <w:adjustRightInd w:val="0"/>
        <w:spacing w:after="0" w:line="240" w:lineRule="auto"/>
        <w:rPr>
          <w:rFonts w:ascii="Arial Narrow" w:hAnsi="Arial Narrow"/>
          <w:b/>
          <w:sz w:val="20"/>
          <w:szCs w:val="20"/>
        </w:rPr>
      </w:pPr>
    </w:p>
    <w:p w14:paraId="1E25F2A7"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7CE6B1E1"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07490470"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47DE3D48"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43F8129A"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2EECF90C" w14:textId="0A8E4DDD" w:rsidR="002E2D4D" w:rsidRPr="00256D89" w:rsidRDefault="00315573" w:rsidP="00FB625E">
      <w:pPr>
        <w:widowControl w:val="0"/>
        <w:autoSpaceDE w:val="0"/>
        <w:autoSpaceDN w:val="0"/>
        <w:adjustRightInd w:val="0"/>
        <w:spacing w:after="0" w:line="240" w:lineRule="auto"/>
        <w:rPr>
          <w:rFonts w:ascii="Arial Narrow" w:hAnsi="Arial Narrow"/>
          <w:b/>
          <w:sz w:val="20"/>
          <w:szCs w:val="20"/>
        </w:rPr>
        <w:sectPr w:rsidR="002E2D4D" w:rsidRPr="00256D89" w:rsidSect="00B03FC9">
          <w:headerReference w:type="default" r:id="rId9"/>
          <w:footerReference w:type="default" r:id="rId10"/>
          <w:type w:val="nextColumn"/>
          <w:pgSz w:w="11920" w:h="16840"/>
          <w:pgMar w:top="993" w:right="1678" w:bottom="280" w:left="1678" w:header="708" w:footer="708" w:gutter="0"/>
          <w:cols w:space="708"/>
          <w:noEndnote/>
        </w:sectPr>
      </w:pPr>
      <w:r w:rsidRPr="00315573">
        <w:rPr>
          <w:noProof/>
          <w:lang w:val="en-US" w:eastAsia="en-US"/>
        </w:rPr>
        <mc:AlternateContent>
          <mc:Choice Requires="wps">
            <w:drawing>
              <wp:anchor distT="0" distB="0" distL="114300" distR="114300" simplePos="0" relativeHeight="251717632" behindDoc="0" locked="1" layoutInCell="1" allowOverlap="1" wp14:anchorId="104DD7F4" wp14:editId="788083BC">
                <wp:simplePos x="0" y="0"/>
                <wp:positionH relativeFrom="column">
                  <wp:posOffset>2048510</wp:posOffset>
                </wp:positionH>
                <wp:positionV relativeFrom="page">
                  <wp:posOffset>9879330</wp:posOffset>
                </wp:positionV>
                <wp:extent cx="1267200" cy="4824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482400"/>
                        </a:xfrm>
                        <a:prstGeom prst="rect">
                          <a:avLst/>
                        </a:prstGeom>
                        <a:solidFill>
                          <a:srgbClr val="FFFFFF"/>
                        </a:solidFill>
                        <a:ln w="9525">
                          <a:noFill/>
                          <a:miter lim="800000"/>
                          <a:headEnd/>
                          <a:tailEnd/>
                        </a:ln>
                      </wps:spPr>
                      <wps:txbx>
                        <w:txbxContent>
                          <w:p w14:paraId="352293D6" w14:textId="4CDF5DD7" w:rsidR="000B5900" w:rsidRPr="001E0231" w:rsidRDefault="000B5900"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DD7F4" id="_x0000_s1028" type="#_x0000_t202" style="position:absolute;margin-left:161.3pt;margin-top:777.9pt;width:99.8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" stroked="f">
                <v:textbox>
                  <w:txbxContent>
                    <w:p w14:paraId="352293D6" w14:textId="4CDF5DD7" w:rsidR="000B5900" w:rsidRPr="001E0231" w:rsidRDefault="000B5900"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7</w:t>
                      </w:r>
                    </w:p>
                  </w:txbxContent>
                </v:textbox>
                <w10:wrap anchory="page"/>
                <w10:anchorlock/>
              </v:shape>
            </w:pict>
          </mc:Fallback>
        </mc:AlternateContent>
      </w:r>
    </w:p>
    <w:p w14:paraId="05D8B7F6" w14:textId="77777777" w:rsidR="002E2D4D" w:rsidRPr="002E2D4D" w:rsidRDefault="002E2D4D" w:rsidP="00FB625E">
      <w:pPr>
        <w:spacing w:after="0" w:line="240" w:lineRule="auto"/>
        <w:jc w:val="both"/>
        <w:rPr>
          <w:rFonts w:ascii="Arial Narrow" w:hAnsi="Arial Narrow"/>
          <w:b/>
          <w:szCs w:val="28"/>
        </w:rPr>
      </w:pPr>
      <w:bookmarkStart w:id="0" w:name="_Toc404013080"/>
    </w:p>
    <w:p w14:paraId="6616197A" w14:textId="77777777" w:rsidR="002E2D4D" w:rsidRPr="002E2D4D" w:rsidRDefault="002E2D4D" w:rsidP="00FB625E">
      <w:pPr>
        <w:spacing w:after="0" w:line="240" w:lineRule="auto"/>
        <w:jc w:val="both"/>
        <w:rPr>
          <w:rFonts w:ascii="Arial Narrow" w:hAnsi="Arial Narrow"/>
          <w:b/>
          <w:szCs w:val="28"/>
        </w:rPr>
      </w:pPr>
    </w:p>
    <w:p w14:paraId="78DC579A" w14:textId="77777777" w:rsidR="002E2D4D" w:rsidRPr="002E2D4D" w:rsidRDefault="002E2D4D" w:rsidP="00FB625E">
      <w:pPr>
        <w:spacing w:after="0" w:line="240" w:lineRule="auto"/>
        <w:jc w:val="both"/>
        <w:rPr>
          <w:rFonts w:ascii="Arial Narrow" w:hAnsi="Arial Narrow"/>
          <w:b/>
          <w:szCs w:val="28"/>
        </w:rPr>
      </w:pPr>
    </w:p>
    <w:p w14:paraId="22D69A33" w14:textId="065BA7DB" w:rsidR="00827618" w:rsidRPr="002E2D4D" w:rsidRDefault="00E81DE6" w:rsidP="00FB625E">
      <w:pPr>
        <w:spacing w:after="0" w:line="240" w:lineRule="auto"/>
        <w:jc w:val="both"/>
        <w:rPr>
          <w:rFonts w:ascii="Arial Narrow" w:hAnsi="Arial Narrow"/>
          <w:i/>
          <w:sz w:val="20"/>
          <w:szCs w:val="20"/>
        </w:rPr>
      </w:pPr>
      <w:r w:rsidRPr="002E2D4D">
        <w:rPr>
          <w:rFonts w:ascii="Arial Narrow" w:hAnsi="Arial Narrow"/>
          <w:b/>
          <w:sz w:val="28"/>
          <w:szCs w:val="28"/>
        </w:rPr>
        <w:t xml:space="preserve">Obsah </w:t>
      </w:r>
    </w:p>
    <w:sdt>
      <w:sdtPr>
        <w:rPr>
          <w:rFonts w:ascii="Arial Narrow" w:eastAsia="Times New Roman" w:hAnsi="Arial Narrow" w:cs="Times New Roman"/>
          <w:b w:val="0"/>
          <w:bCs w:val="0"/>
          <w:color w:val="auto"/>
          <w:sz w:val="22"/>
          <w:szCs w:val="22"/>
          <w:lang w:eastAsia="sk-SK"/>
        </w:rPr>
        <w:id w:val="865874715"/>
        <w:docPartObj>
          <w:docPartGallery w:val="Table of Contents"/>
          <w:docPartUnique/>
        </w:docPartObj>
      </w:sdtPr>
      <w:sdtEndPr/>
      <w:sdtContent>
        <w:p w14:paraId="1DE6614F" w14:textId="45AAE1B2" w:rsidR="00827618" w:rsidRPr="009F74B2" w:rsidRDefault="00827618" w:rsidP="00FB625E">
          <w:pPr>
            <w:pStyle w:val="Hlavikaobsahu"/>
            <w:spacing w:line="240" w:lineRule="auto"/>
            <w:rPr>
              <w:rFonts w:ascii="Arial Narrow" w:hAnsi="Arial Narrow"/>
            </w:rPr>
          </w:pPr>
        </w:p>
        <w:p w14:paraId="4028EC9E" w14:textId="77777777" w:rsidR="009B3FB5" w:rsidRPr="009B3FB5" w:rsidRDefault="00827618">
          <w:pPr>
            <w:pStyle w:val="Obsah1"/>
            <w:rPr>
              <w:rFonts w:ascii="Arial Narrow" w:eastAsiaTheme="minorEastAsia" w:hAnsi="Arial Narrow" w:cstheme="minorBidi"/>
              <w:lang w:val="en-US" w:eastAsia="en-US"/>
            </w:rPr>
          </w:pPr>
          <w:r w:rsidRPr="009B3FB5">
            <w:rPr>
              <w:rFonts w:ascii="Arial Narrow" w:hAnsi="Arial Narrow"/>
            </w:rPr>
            <w:fldChar w:fldCharType="begin"/>
          </w:r>
          <w:r w:rsidRPr="009B3FB5">
            <w:rPr>
              <w:rFonts w:ascii="Arial Narrow" w:hAnsi="Arial Narrow"/>
            </w:rPr>
            <w:instrText xml:space="preserve"> TOC \o "1-3" \h \z \u </w:instrText>
          </w:r>
          <w:r w:rsidRPr="009B3FB5">
            <w:rPr>
              <w:rFonts w:ascii="Arial Narrow" w:hAnsi="Arial Narrow"/>
            </w:rPr>
            <w:fldChar w:fldCharType="separate"/>
          </w:r>
          <w:hyperlink w:anchor="_Toc477259942" w:history="1">
            <w:r w:rsidR="009B3FB5" w:rsidRPr="009B3FB5">
              <w:rPr>
                <w:rStyle w:val="Hypertextovprepojenie"/>
                <w:rFonts w:ascii="Arial Narrow" w:hAnsi="Arial Narrow"/>
              </w:rPr>
              <w:t>Zhrnutie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_Toc477259942 \h </w:instrText>
            </w:r>
            <w:r w:rsidR="009B3FB5" w:rsidRPr="009B3FB5">
              <w:rPr>
                <w:rFonts w:ascii="Arial Narrow" w:hAnsi="Arial Narrow"/>
                <w:webHidden/>
              </w:rPr>
            </w:r>
            <w:r w:rsidR="009B3FB5" w:rsidRPr="009B3FB5">
              <w:rPr>
                <w:rFonts w:ascii="Arial Narrow" w:hAnsi="Arial Narrow"/>
                <w:webHidden/>
              </w:rPr>
              <w:fldChar w:fldCharType="separate"/>
            </w:r>
            <w:r w:rsidR="002E71B2">
              <w:rPr>
                <w:rFonts w:ascii="Arial Narrow" w:hAnsi="Arial Narrow"/>
                <w:webHidden/>
              </w:rPr>
              <w:t>4</w:t>
            </w:r>
            <w:r w:rsidR="009B3FB5" w:rsidRPr="009B3FB5">
              <w:rPr>
                <w:rFonts w:ascii="Arial Narrow" w:hAnsi="Arial Narrow"/>
                <w:webHidden/>
              </w:rPr>
              <w:fldChar w:fldCharType="end"/>
            </w:r>
          </w:hyperlink>
        </w:p>
        <w:p w14:paraId="7D0A3453" w14:textId="77777777" w:rsidR="009B3FB5" w:rsidRPr="009B3FB5" w:rsidRDefault="002E71B2">
          <w:pPr>
            <w:pStyle w:val="Obsah1"/>
            <w:rPr>
              <w:rFonts w:ascii="Arial Narrow" w:eastAsiaTheme="minorEastAsia" w:hAnsi="Arial Narrow" w:cstheme="minorBidi"/>
              <w:lang w:val="en-US" w:eastAsia="en-US"/>
            </w:rPr>
          </w:pPr>
          <w:hyperlink w:anchor="_Toc477259943" w:history="1">
            <w:r w:rsidR="009B3FB5" w:rsidRPr="009B3FB5">
              <w:rPr>
                <w:rStyle w:val="Hypertextovprepojenie"/>
                <w:rFonts w:ascii="Arial Narrow" w:hAnsi="Arial Narrow"/>
              </w:rPr>
              <w:t>1</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Identifikácia výziev slovenskej ekonomiky</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_Toc477259943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6</w:t>
            </w:r>
            <w:r w:rsidR="009B3FB5" w:rsidRPr="009B3FB5">
              <w:rPr>
                <w:rFonts w:ascii="Arial Narrow" w:hAnsi="Arial Narrow"/>
                <w:webHidden/>
              </w:rPr>
              <w:fldChar w:fldCharType="end"/>
            </w:r>
          </w:hyperlink>
        </w:p>
        <w:p w14:paraId="0B864692" w14:textId="77777777" w:rsidR="009B3FB5" w:rsidRPr="009B3FB5" w:rsidRDefault="002E71B2">
          <w:pPr>
            <w:pStyle w:val="Obsah1"/>
            <w:rPr>
              <w:rFonts w:ascii="Arial Narrow" w:eastAsiaTheme="minorEastAsia" w:hAnsi="Arial Narrow" w:cstheme="minorBidi"/>
              <w:lang w:val="en-US" w:eastAsia="en-US"/>
            </w:rPr>
          </w:pPr>
          <w:hyperlink w:anchor="_Toc477259944" w:history="1">
            <w:r w:rsidR="009B3FB5" w:rsidRPr="009B3FB5">
              <w:rPr>
                <w:rStyle w:val="Hypertextovprepojenie"/>
                <w:rFonts w:ascii="Arial Narrow" w:hAnsi="Arial Narrow"/>
              </w:rPr>
              <w:t>2</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Plnenie opatrení Národného programu reforiem 2016</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_Toc477259944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8</w:t>
            </w:r>
            <w:r w:rsidR="009B3FB5" w:rsidRPr="009B3FB5">
              <w:rPr>
                <w:rFonts w:ascii="Arial Narrow" w:hAnsi="Arial Narrow"/>
                <w:webHidden/>
              </w:rPr>
              <w:fldChar w:fldCharType="end"/>
            </w:r>
          </w:hyperlink>
        </w:p>
        <w:p w14:paraId="394E109A" w14:textId="77777777" w:rsidR="009B3FB5" w:rsidRPr="009B3FB5" w:rsidRDefault="002E71B2">
          <w:pPr>
            <w:pStyle w:val="Obsah1"/>
            <w:rPr>
              <w:rFonts w:ascii="Arial Narrow" w:eastAsiaTheme="minorEastAsia" w:hAnsi="Arial Narrow" w:cstheme="minorBidi"/>
              <w:lang w:val="en-US" w:eastAsia="en-US"/>
            </w:rPr>
          </w:pPr>
          <w:hyperlink w:anchor="_Toc477259945" w:history="1">
            <w:r w:rsidR="009B3FB5" w:rsidRPr="009B3FB5">
              <w:rPr>
                <w:rStyle w:val="Hypertextovprepojenie"/>
                <w:rFonts w:ascii="Arial Narrow" w:hAnsi="Arial Narrow"/>
              </w:rPr>
              <w:t>3</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Makroekonomický rámec a strednodobá prognóza</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_Toc477259945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15</w:t>
            </w:r>
            <w:r w:rsidR="009B3FB5" w:rsidRPr="009B3FB5">
              <w:rPr>
                <w:rFonts w:ascii="Arial Narrow" w:hAnsi="Arial Narrow"/>
                <w:webHidden/>
              </w:rPr>
              <w:fldChar w:fldCharType="end"/>
            </w:r>
          </w:hyperlink>
        </w:p>
        <w:p w14:paraId="02DFBB51" w14:textId="77777777" w:rsidR="009B3FB5" w:rsidRPr="009B3FB5" w:rsidRDefault="002E71B2">
          <w:pPr>
            <w:pStyle w:val="Obsah1"/>
            <w:rPr>
              <w:rFonts w:ascii="Arial Narrow" w:eastAsiaTheme="minorEastAsia" w:hAnsi="Arial Narrow" w:cstheme="minorBidi"/>
              <w:lang w:val="en-US" w:eastAsia="en-US"/>
            </w:rPr>
          </w:pPr>
          <w:hyperlink w:anchor="_Toc477259946" w:history="1">
            <w:r w:rsidR="009B3FB5" w:rsidRPr="009B3FB5">
              <w:rPr>
                <w:rStyle w:val="Hypertextovprepojenie"/>
                <w:rFonts w:ascii="Arial Narrow" w:hAnsi="Arial Narrow"/>
              </w:rPr>
              <w:t>4</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Plánované opatrenia v štrukturálnych témach</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_Toc477259946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17</w:t>
            </w:r>
            <w:r w:rsidR="009B3FB5" w:rsidRPr="009B3FB5">
              <w:rPr>
                <w:rFonts w:ascii="Arial Narrow" w:hAnsi="Arial Narrow"/>
                <w:webHidden/>
              </w:rPr>
              <w:fldChar w:fldCharType="end"/>
            </w:r>
          </w:hyperlink>
        </w:p>
        <w:p w14:paraId="5C21BDF5" w14:textId="77777777" w:rsidR="009B3FB5" w:rsidRPr="009B3FB5" w:rsidRDefault="002E71B2">
          <w:pPr>
            <w:pStyle w:val="Obsah2"/>
            <w:rPr>
              <w:rFonts w:ascii="Arial Narrow" w:eastAsiaTheme="minorEastAsia" w:hAnsi="Arial Narrow" w:cstheme="minorBidi"/>
              <w:lang w:val="en-US" w:eastAsia="en-US"/>
            </w:rPr>
          </w:pPr>
          <w:hyperlink w:anchor="_Toc477259947" w:history="1">
            <w:r w:rsidR="009B3FB5" w:rsidRPr="009B3FB5">
              <w:rPr>
                <w:rStyle w:val="Hypertextovprepojenie"/>
                <w:rFonts w:ascii="Arial Narrow" w:hAnsi="Arial Narrow"/>
              </w:rPr>
              <w:t>4.1</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Fiškálna politika a verejné financie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_Toc477259947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18</w:t>
            </w:r>
            <w:r w:rsidR="009B3FB5" w:rsidRPr="009B3FB5">
              <w:rPr>
                <w:rFonts w:ascii="Arial Narrow" w:hAnsi="Arial Narrow"/>
                <w:webHidden/>
              </w:rPr>
              <w:fldChar w:fldCharType="end"/>
            </w:r>
          </w:hyperlink>
        </w:p>
        <w:p w14:paraId="15814E4E" w14:textId="77777777" w:rsidR="009B3FB5" w:rsidRPr="009B3FB5" w:rsidRDefault="002E71B2">
          <w:pPr>
            <w:pStyle w:val="Obsah2"/>
            <w:rPr>
              <w:rFonts w:ascii="Arial Narrow" w:eastAsiaTheme="minorEastAsia" w:hAnsi="Arial Narrow" w:cstheme="minorBidi"/>
              <w:lang w:val="en-US" w:eastAsia="en-US"/>
            </w:rPr>
          </w:pPr>
          <w:hyperlink w:anchor="_Toc477259948" w:history="1">
            <w:r w:rsidR="009B3FB5" w:rsidRPr="009B3FB5">
              <w:rPr>
                <w:rStyle w:val="Hypertextovprepojenie"/>
                <w:rFonts w:ascii="Arial Narrow" w:hAnsi="Arial Narrow"/>
              </w:rPr>
              <w:t>4.2</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Vzdelávanie, veda a inovácie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_Toc477259948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22</w:t>
            </w:r>
            <w:r w:rsidR="009B3FB5" w:rsidRPr="009B3FB5">
              <w:rPr>
                <w:rFonts w:ascii="Arial Narrow" w:hAnsi="Arial Narrow"/>
                <w:webHidden/>
              </w:rPr>
              <w:fldChar w:fldCharType="end"/>
            </w:r>
          </w:hyperlink>
        </w:p>
        <w:p w14:paraId="1CA5B8D7" w14:textId="77777777" w:rsidR="009B3FB5" w:rsidRPr="009B3FB5" w:rsidRDefault="002E71B2">
          <w:pPr>
            <w:pStyle w:val="Obsah2"/>
            <w:rPr>
              <w:rFonts w:ascii="Arial Narrow" w:eastAsiaTheme="minorEastAsia" w:hAnsi="Arial Narrow" w:cstheme="minorBidi"/>
              <w:lang w:val="en-US" w:eastAsia="en-US"/>
            </w:rPr>
          </w:pPr>
          <w:hyperlink w:anchor="_Toc477259949" w:history="1">
            <w:r w:rsidR="009B3FB5" w:rsidRPr="009B3FB5">
              <w:rPr>
                <w:rStyle w:val="Hypertextovprepojenie"/>
                <w:rFonts w:ascii="Arial Narrow" w:hAnsi="Arial Narrow"/>
              </w:rPr>
              <w:t>4.2.1</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Regionálne školstvo</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_Toc477259949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23</w:t>
            </w:r>
            <w:r w:rsidR="009B3FB5" w:rsidRPr="009B3FB5">
              <w:rPr>
                <w:rFonts w:ascii="Arial Narrow" w:hAnsi="Arial Narrow"/>
                <w:webHidden/>
              </w:rPr>
              <w:fldChar w:fldCharType="end"/>
            </w:r>
          </w:hyperlink>
        </w:p>
        <w:p w14:paraId="1CB0D3EB" w14:textId="77777777" w:rsidR="009B3FB5" w:rsidRPr="009B3FB5" w:rsidRDefault="002E71B2">
          <w:pPr>
            <w:pStyle w:val="Obsah2"/>
            <w:rPr>
              <w:rFonts w:ascii="Arial Narrow" w:eastAsiaTheme="minorEastAsia" w:hAnsi="Arial Narrow" w:cstheme="minorBidi"/>
              <w:lang w:val="en-US" w:eastAsia="en-US"/>
            </w:rPr>
          </w:pPr>
          <w:hyperlink w:anchor="_Toc477259950" w:history="1">
            <w:r w:rsidR="009B3FB5" w:rsidRPr="009B3FB5">
              <w:rPr>
                <w:rStyle w:val="Hypertextovprepojenie"/>
                <w:rFonts w:ascii="Arial Narrow" w:hAnsi="Arial Narrow"/>
              </w:rPr>
              <w:t>4.2.2</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Vysoké školstvo</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_Toc477259950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25</w:t>
            </w:r>
            <w:r w:rsidR="009B3FB5" w:rsidRPr="009B3FB5">
              <w:rPr>
                <w:rFonts w:ascii="Arial Narrow" w:hAnsi="Arial Narrow"/>
                <w:webHidden/>
              </w:rPr>
              <w:fldChar w:fldCharType="end"/>
            </w:r>
          </w:hyperlink>
        </w:p>
        <w:p w14:paraId="46BEA09C" w14:textId="77777777" w:rsidR="009B3FB5" w:rsidRPr="009B3FB5" w:rsidRDefault="002E71B2">
          <w:pPr>
            <w:pStyle w:val="Obsah2"/>
            <w:rPr>
              <w:rFonts w:ascii="Arial Narrow" w:eastAsiaTheme="minorEastAsia" w:hAnsi="Arial Narrow" w:cstheme="minorBidi"/>
              <w:lang w:val="en-US" w:eastAsia="en-US"/>
            </w:rPr>
          </w:pPr>
          <w:hyperlink w:anchor="_Toc477259951" w:history="1">
            <w:r w:rsidR="009B3FB5" w:rsidRPr="009B3FB5">
              <w:rPr>
                <w:rStyle w:val="Hypertextovprepojenie"/>
                <w:rFonts w:ascii="Arial Narrow" w:hAnsi="Arial Narrow"/>
              </w:rPr>
              <w:t>4.3</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Zamestnanosť a sociálna inklúzia</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_Toc477259951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27</w:t>
            </w:r>
            <w:r w:rsidR="009B3FB5" w:rsidRPr="009B3FB5">
              <w:rPr>
                <w:rFonts w:ascii="Arial Narrow" w:hAnsi="Arial Narrow"/>
                <w:webHidden/>
              </w:rPr>
              <w:fldChar w:fldCharType="end"/>
            </w:r>
          </w:hyperlink>
        </w:p>
        <w:p w14:paraId="1A244A08" w14:textId="77777777" w:rsidR="009B3FB5" w:rsidRPr="009B3FB5" w:rsidRDefault="002E71B2">
          <w:pPr>
            <w:pStyle w:val="Obsah2"/>
            <w:rPr>
              <w:rFonts w:ascii="Arial Narrow" w:eastAsiaTheme="minorEastAsia" w:hAnsi="Arial Narrow" w:cstheme="minorBidi"/>
              <w:lang w:val="en-US" w:eastAsia="en-US"/>
            </w:rPr>
          </w:pPr>
          <w:hyperlink w:anchor="_Toc477259952" w:history="1">
            <w:r w:rsidR="009B3FB5" w:rsidRPr="009B3FB5">
              <w:rPr>
                <w:rStyle w:val="Hypertextovprepojenie"/>
                <w:rFonts w:ascii="Arial Narrow" w:hAnsi="Arial Narrow"/>
              </w:rPr>
              <w:t>4.3.1</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Zamestnanosť</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_Toc477259952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29</w:t>
            </w:r>
            <w:r w:rsidR="009B3FB5" w:rsidRPr="009B3FB5">
              <w:rPr>
                <w:rFonts w:ascii="Arial Narrow" w:hAnsi="Arial Narrow"/>
                <w:webHidden/>
              </w:rPr>
              <w:fldChar w:fldCharType="end"/>
            </w:r>
          </w:hyperlink>
        </w:p>
        <w:p w14:paraId="7D38C1B6" w14:textId="77777777" w:rsidR="009B3FB5" w:rsidRPr="009B3FB5" w:rsidRDefault="002E71B2">
          <w:pPr>
            <w:pStyle w:val="Obsah2"/>
            <w:rPr>
              <w:rFonts w:ascii="Arial Narrow" w:eastAsiaTheme="minorEastAsia" w:hAnsi="Arial Narrow" w:cstheme="minorBidi"/>
              <w:lang w:val="en-US" w:eastAsia="en-US"/>
            </w:rPr>
          </w:pPr>
          <w:hyperlink w:anchor="_Toc477259953" w:history="1">
            <w:r w:rsidR="009B3FB5" w:rsidRPr="009B3FB5">
              <w:rPr>
                <w:rStyle w:val="Hypertextovprepojenie"/>
                <w:rFonts w:ascii="Arial Narrow" w:hAnsi="Arial Narrow"/>
              </w:rPr>
              <w:t>4.3.2</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Sociálna inklúzia</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_Toc477259953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31</w:t>
            </w:r>
            <w:r w:rsidR="009B3FB5" w:rsidRPr="009B3FB5">
              <w:rPr>
                <w:rFonts w:ascii="Arial Narrow" w:hAnsi="Arial Narrow"/>
                <w:webHidden/>
              </w:rPr>
              <w:fldChar w:fldCharType="end"/>
            </w:r>
          </w:hyperlink>
        </w:p>
        <w:p w14:paraId="056C54CA" w14:textId="77777777" w:rsidR="009B3FB5" w:rsidRPr="009B3FB5" w:rsidRDefault="002E71B2">
          <w:pPr>
            <w:pStyle w:val="Obsah2"/>
            <w:rPr>
              <w:rFonts w:ascii="Arial Narrow" w:eastAsiaTheme="minorEastAsia" w:hAnsi="Arial Narrow" w:cstheme="minorBidi"/>
              <w:lang w:val="en-US" w:eastAsia="en-US"/>
            </w:rPr>
          </w:pPr>
          <w:hyperlink w:anchor="_Toc477259954" w:history="1">
            <w:r w:rsidR="009B3FB5" w:rsidRPr="009B3FB5">
              <w:rPr>
                <w:rStyle w:val="Hypertextovprepojenie"/>
                <w:rFonts w:ascii="Arial Narrow" w:hAnsi="Arial Narrow"/>
              </w:rPr>
              <w:t>4.4</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Dopravná infraštruktúra</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_Toc477259954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32</w:t>
            </w:r>
            <w:r w:rsidR="009B3FB5" w:rsidRPr="009B3FB5">
              <w:rPr>
                <w:rFonts w:ascii="Arial Narrow" w:hAnsi="Arial Narrow"/>
                <w:webHidden/>
              </w:rPr>
              <w:fldChar w:fldCharType="end"/>
            </w:r>
          </w:hyperlink>
        </w:p>
        <w:p w14:paraId="27FD6BA0" w14:textId="77777777" w:rsidR="009B3FB5" w:rsidRPr="009B3FB5" w:rsidRDefault="002E71B2">
          <w:pPr>
            <w:pStyle w:val="Obsah2"/>
            <w:rPr>
              <w:rFonts w:ascii="Arial Narrow" w:eastAsiaTheme="minorEastAsia" w:hAnsi="Arial Narrow" w:cstheme="minorBidi"/>
              <w:lang w:val="en-US" w:eastAsia="en-US"/>
            </w:rPr>
          </w:pPr>
          <w:hyperlink w:anchor="_Toc477259955" w:history="1">
            <w:r w:rsidR="009B3FB5" w:rsidRPr="009B3FB5">
              <w:rPr>
                <w:rStyle w:val="Hypertextovprepojenie"/>
                <w:rFonts w:ascii="Arial Narrow" w:hAnsi="Arial Narrow"/>
              </w:rPr>
              <w:t>4.5</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Modernizácia verejnej správy a podnikateľské prostredie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_Toc477259955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35</w:t>
            </w:r>
            <w:r w:rsidR="009B3FB5" w:rsidRPr="009B3FB5">
              <w:rPr>
                <w:rFonts w:ascii="Arial Narrow" w:hAnsi="Arial Narrow"/>
                <w:webHidden/>
              </w:rPr>
              <w:fldChar w:fldCharType="end"/>
            </w:r>
          </w:hyperlink>
        </w:p>
        <w:p w14:paraId="4016B357" w14:textId="77777777" w:rsidR="009B3FB5" w:rsidRPr="009B3FB5" w:rsidRDefault="002E71B2">
          <w:pPr>
            <w:pStyle w:val="Obsah2"/>
            <w:rPr>
              <w:rFonts w:ascii="Arial Narrow" w:eastAsiaTheme="minorEastAsia" w:hAnsi="Arial Narrow" w:cstheme="minorBidi"/>
              <w:lang w:val="en-US" w:eastAsia="en-US"/>
            </w:rPr>
          </w:pPr>
          <w:hyperlink w:anchor="_Toc477259956" w:history="1">
            <w:r w:rsidR="009B3FB5" w:rsidRPr="009B3FB5">
              <w:rPr>
                <w:rStyle w:val="Hypertextovprepojenie"/>
                <w:rFonts w:ascii="Arial Narrow" w:hAnsi="Arial Narrow"/>
              </w:rPr>
              <w:t>4.5.1</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Modernizácia verejnej správy</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_Toc477259956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37</w:t>
            </w:r>
            <w:r w:rsidR="009B3FB5" w:rsidRPr="009B3FB5">
              <w:rPr>
                <w:rFonts w:ascii="Arial Narrow" w:hAnsi="Arial Narrow"/>
                <w:webHidden/>
              </w:rPr>
              <w:fldChar w:fldCharType="end"/>
            </w:r>
          </w:hyperlink>
        </w:p>
        <w:p w14:paraId="41EADEC2" w14:textId="77777777" w:rsidR="009B3FB5" w:rsidRPr="009B3FB5" w:rsidRDefault="002E71B2">
          <w:pPr>
            <w:pStyle w:val="Obsah2"/>
            <w:rPr>
              <w:rFonts w:ascii="Arial Narrow" w:eastAsiaTheme="minorEastAsia" w:hAnsi="Arial Narrow" w:cstheme="minorBidi"/>
              <w:lang w:val="en-US" w:eastAsia="en-US"/>
            </w:rPr>
          </w:pPr>
          <w:hyperlink w:anchor="_Toc477259957" w:history="1">
            <w:r w:rsidR="009B3FB5" w:rsidRPr="009B3FB5">
              <w:rPr>
                <w:rStyle w:val="Hypertextovprepojenie"/>
                <w:rFonts w:ascii="Arial Narrow" w:hAnsi="Arial Narrow"/>
              </w:rPr>
              <w:t>4.5.2</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Podnikateľské prostredie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_Toc477259957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38</w:t>
            </w:r>
            <w:r w:rsidR="009B3FB5" w:rsidRPr="009B3FB5">
              <w:rPr>
                <w:rFonts w:ascii="Arial Narrow" w:hAnsi="Arial Narrow"/>
                <w:webHidden/>
              </w:rPr>
              <w:fldChar w:fldCharType="end"/>
            </w:r>
          </w:hyperlink>
        </w:p>
        <w:p w14:paraId="6A707D42" w14:textId="77777777" w:rsidR="009B3FB5" w:rsidRPr="009B3FB5" w:rsidRDefault="002E71B2">
          <w:pPr>
            <w:pStyle w:val="Obsah2"/>
            <w:rPr>
              <w:rFonts w:ascii="Arial Narrow" w:eastAsiaTheme="minorEastAsia" w:hAnsi="Arial Narrow" w:cstheme="minorBidi"/>
              <w:lang w:val="en-US" w:eastAsia="en-US"/>
            </w:rPr>
          </w:pPr>
          <w:hyperlink w:anchor="_Toc477259958" w:history="1">
            <w:r w:rsidR="009B3FB5" w:rsidRPr="009B3FB5">
              <w:rPr>
                <w:rStyle w:val="Hypertextovprepojenie"/>
                <w:rFonts w:ascii="Arial Narrow" w:hAnsi="Arial Narrow"/>
              </w:rPr>
              <w:t>4.6</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Zdravie</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_Toc477259958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40</w:t>
            </w:r>
            <w:r w:rsidR="009B3FB5" w:rsidRPr="009B3FB5">
              <w:rPr>
                <w:rFonts w:ascii="Arial Narrow" w:hAnsi="Arial Narrow"/>
                <w:webHidden/>
              </w:rPr>
              <w:fldChar w:fldCharType="end"/>
            </w:r>
          </w:hyperlink>
        </w:p>
        <w:p w14:paraId="7882436F" w14:textId="77777777" w:rsidR="009B3FB5" w:rsidRPr="009B3FB5" w:rsidRDefault="002E71B2">
          <w:pPr>
            <w:pStyle w:val="Obsah2"/>
            <w:rPr>
              <w:rFonts w:ascii="Arial Narrow" w:eastAsiaTheme="minorEastAsia" w:hAnsi="Arial Narrow" w:cstheme="minorBidi"/>
              <w:lang w:val="en-US" w:eastAsia="en-US"/>
            </w:rPr>
          </w:pPr>
          <w:hyperlink w:anchor="_Toc477259959" w:history="1">
            <w:r w:rsidR="009B3FB5" w:rsidRPr="009B3FB5">
              <w:rPr>
                <w:rStyle w:val="Hypertextovprepojenie"/>
                <w:rFonts w:ascii="Arial Narrow" w:hAnsi="Arial Narrow"/>
              </w:rPr>
              <w:t>4.7</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Environmentálna udržateľnosť a energetika</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_Toc477259959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43</w:t>
            </w:r>
            <w:r w:rsidR="009B3FB5" w:rsidRPr="009B3FB5">
              <w:rPr>
                <w:rFonts w:ascii="Arial Narrow" w:hAnsi="Arial Narrow"/>
                <w:webHidden/>
              </w:rPr>
              <w:fldChar w:fldCharType="end"/>
            </w:r>
          </w:hyperlink>
        </w:p>
        <w:p w14:paraId="38620032" w14:textId="77777777" w:rsidR="009B3FB5" w:rsidRPr="009B3FB5" w:rsidRDefault="002E71B2">
          <w:pPr>
            <w:pStyle w:val="Obsah1"/>
            <w:rPr>
              <w:rFonts w:ascii="Arial Narrow" w:eastAsiaTheme="minorEastAsia" w:hAnsi="Arial Narrow" w:cstheme="minorBidi"/>
              <w:lang w:val="en-US" w:eastAsia="en-US"/>
            </w:rPr>
          </w:pPr>
          <w:hyperlink w:anchor="_Toc477259960" w:history="1">
            <w:r w:rsidR="009B3FB5" w:rsidRPr="009B3FB5">
              <w:rPr>
                <w:rStyle w:val="Hypertextovprepojenie"/>
                <w:rFonts w:ascii="Arial Narrow" w:hAnsi="Arial Narrow"/>
              </w:rPr>
              <w:t>5</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Politika súdržnosti EÚ</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_Toc477259960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45</w:t>
            </w:r>
            <w:r w:rsidR="009B3FB5" w:rsidRPr="009B3FB5">
              <w:rPr>
                <w:rFonts w:ascii="Arial Narrow" w:hAnsi="Arial Narrow"/>
                <w:webHidden/>
              </w:rPr>
              <w:fldChar w:fldCharType="end"/>
            </w:r>
          </w:hyperlink>
        </w:p>
        <w:p w14:paraId="22AE5635" w14:textId="77777777" w:rsidR="009B3FB5" w:rsidRPr="009B3FB5" w:rsidRDefault="002E71B2">
          <w:pPr>
            <w:pStyle w:val="Obsah1"/>
            <w:rPr>
              <w:rFonts w:ascii="Arial Narrow" w:eastAsiaTheme="minorEastAsia" w:hAnsi="Arial Narrow" w:cstheme="minorBidi"/>
              <w:lang w:val="en-US" w:eastAsia="en-US"/>
            </w:rPr>
          </w:pPr>
          <w:hyperlink w:anchor="_Toc477259961" w:history="1">
            <w:r w:rsidR="009B3FB5" w:rsidRPr="009B3FB5">
              <w:rPr>
                <w:rStyle w:val="Hypertextovprepojenie"/>
                <w:rFonts w:ascii="Arial Narrow" w:hAnsi="Arial Narrow" w:cs="Arial Narrow"/>
              </w:rPr>
              <w:t>6</w:t>
            </w:r>
            <w:r w:rsidR="009B3FB5" w:rsidRPr="009B3FB5">
              <w:rPr>
                <w:rFonts w:ascii="Arial Narrow" w:eastAsiaTheme="minorEastAsia" w:hAnsi="Arial Narrow" w:cstheme="minorBidi"/>
                <w:lang w:val="en-US" w:eastAsia="en-US"/>
              </w:rPr>
              <w:tab/>
            </w:r>
            <w:r w:rsidR="009B3FB5" w:rsidRPr="009B3FB5">
              <w:rPr>
                <w:rStyle w:val="Hypertextovprepojenie"/>
                <w:rFonts w:ascii="Arial Narrow" w:hAnsi="Arial Narrow"/>
              </w:rPr>
              <w:t>Inštitucionálny rámec stratégie Európa 2020 a NPR</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_Toc477259961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47</w:t>
            </w:r>
            <w:r w:rsidR="009B3FB5" w:rsidRPr="009B3FB5">
              <w:rPr>
                <w:rFonts w:ascii="Arial Narrow" w:hAnsi="Arial Narrow"/>
                <w:webHidden/>
              </w:rPr>
              <w:fldChar w:fldCharType="end"/>
            </w:r>
          </w:hyperlink>
        </w:p>
        <w:p w14:paraId="152DF324" w14:textId="77777777" w:rsidR="009B3FB5" w:rsidRPr="009B3FB5" w:rsidRDefault="002E71B2">
          <w:pPr>
            <w:pStyle w:val="Obsah1"/>
            <w:rPr>
              <w:rFonts w:ascii="Arial Narrow" w:eastAsiaTheme="minorEastAsia" w:hAnsi="Arial Narrow" w:cstheme="minorBidi"/>
              <w:lang w:val="en-US" w:eastAsia="en-US"/>
            </w:rPr>
          </w:pPr>
          <w:hyperlink w:anchor="_Toc477259962" w:history="1">
            <w:r w:rsidR="009B3FB5" w:rsidRPr="009B3FB5">
              <w:rPr>
                <w:rStyle w:val="Hypertextovprepojenie"/>
                <w:rFonts w:ascii="Arial Narrow" w:hAnsi="Arial Narrow"/>
              </w:rPr>
              <w:t>Príloha č. 1 – Národné ciele stratégie Európa 2020</w:t>
            </w:r>
            <w:r w:rsidR="009B3FB5" w:rsidRPr="009B3FB5">
              <w:rPr>
                <w:rFonts w:ascii="Arial Narrow" w:hAnsi="Arial Narrow"/>
                <w:webHidden/>
              </w:rPr>
              <w:tab/>
            </w:r>
            <w:r w:rsidR="009B3FB5" w:rsidRPr="009B3FB5">
              <w:rPr>
                <w:rFonts w:ascii="Arial Narrow" w:hAnsi="Arial Narrow"/>
                <w:webHidden/>
              </w:rPr>
              <w:fldChar w:fldCharType="begin"/>
            </w:r>
            <w:r w:rsidR="009B3FB5" w:rsidRPr="009B3FB5">
              <w:rPr>
                <w:rFonts w:ascii="Arial Narrow" w:hAnsi="Arial Narrow"/>
                <w:webHidden/>
              </w:rPr>
              <w:instrText xml:space="preserve"> PAGEREF _Toc477259962 \h </w:instrText>
            </w:r>
            <w:r w:rsidR="009B3FB5" w:rsidRPr="009B3FB5">
              <w:rPr>
                <w:rFonts w:ascii="Arial Narrow" w:hAnsi="Arial Narrow"/>
                <w:webHidden/>
              </w:rPr>
            </w:r>
            <w:r w:rsidR="009B3FB5" w:rsidRPr="009B3FB5">
              <w:rPr>
                <w:rFonts w:ascii="Arial Narrow" w:hAnsi="Arial Narrow"/>
                <w:webHidden/>
              </w:rPr>
              <w:fldChar w:fldCharType="separate"/>
            </w:r>
            <w:r>
              <w:rPr>
                <w:rFonts w:ascii="Arial Narrow" w:hAnsi="Arial Narrow"/>
                <w:webHidden/>
              </w:rPr>
              <w:t>48</w:t>
            </w:r>
            <w:r w:rsidR="009B3FB5" w:rsidRPr="009B3FB5">
              <w:rPr>
                <w:rFonts w:ascii="Arial Narrow" w:hAnsi="Arial Narrow"/>
                <w:webHidden/>
              </w:rPr>
              <w:fldChar w:fldCharType="end"/>
            </w:r>
          </w:hyperlink>
        </w:p>
        <w:p w14:paraId="1B8C8D38" w14:textId="5DFE6387" w:rsidR="00827618" w:rsidRPr="00256D89" w:rsidRDefault="00827618" w:rsidP="00FB625E">
          <w:pPr>
            <w:spacing w:line="240" w:lineRule="auto"/>
            <w:rPr>
              <w:rFonts w:ascii="Arial Narrow" w:hAnsi="Arial Narrow"/>
            </w:rPr>
          </w:pPr>
          <w:r w:rsidRPr="009B3FB5">
            <w:rPr>
              <w:rFonts w:ascii="Arial Narrow" w:hAnsi="Arial Narrow"/>
              <w:bCs/>
            </w:rPr>
            <w:fldChar w:fldCharType="end"/>
          </w:r>
        </w:p>
      </w:sdtContent>
    </w:sdt>
    <w:p w14:paraId="7A12572F" w14:textId="77777777" w:rsidR="0089051B" w:rsidRPr="00256D89" w:rsidRDefault="0089051B" w:rsidP="00FB625E">
      <w:pPr>
        <w:spacing w:after="0" w:line="240" w:lineRule="auto"/>
        <w:rPr>
          <w:rFonts w:ascii="Arial Narrow" w:hAnsi="Arial Narrow"/>
          <w:b/>
          <w:sz w:val="28"/>
          <w:szCs w:val="28"/>
        </w:rPr>
      </w:pPr>
      <w:r w:rsidRPr="00256D89">
        <w:rPr>
          <w:rFonts w:ascii="Arial Narrow" w:hAnsi="Arial Narrow"/>
          <w:b/>
          <w:sz w:val="28"/>
          <w:szCs w:val="28"/>
        </w:rPr>
        <w:br w:type="page"/>
      </w:r>
    </w:p>
    <w:p w14:paraId="29DD8C9F" w14:textId="77777777" w:rsidR="00F4601C" w:rsidRPr="00E958F5" w:rsidRDefault="00F4601C" w:rsidP="00F4601C">
      <w:pPr>
        <w:pBdr>
          <w:bottom w:val="single" w:sz="4" w:space="1" w:color="auto"/>
        </w:pBdr>
        <w:spacing w:after="120" w:line="240" w:lineRule="auto"/>
        <w:rPr>
          <w:rFonts w:ascii="Arial Narrow" w:hAnsi="Arial Narrow" w:cs="Arial Narrow"/>
          <w:b/>
        </w:rPr>
      </w:pPr>
      <w:r w:rsidRPr="00E958F5">
        <w:rPr>
          <w:rFonts w:ascii="Arial Narrow" w:hAnsi="Arial Narrow" w:cs="Arial Narrow"/>
          <w:b/>
        </w:rPr>
        <w:lastRenderedPageBreak/>
        <w:t>Zoznam boxov</w:t>
      </w:r>
    </w:p>
    <w:p w14:paraId="33687EE3" w14:textId="6A2F1B7E" w:rsidR="00F4601C" w:rsidRPr="00E416C6" w:rsidRDefault="00F4601C" w:rsidP="00F4601C">
      <w:pPr>
        <w:pStyle w:val="Zoznamobrzkov"/>
        <w:tabs>
          <w:tab w:val="right" w:leader="dot" w:pos="9062"/>
        </w:tabs>
        <w:spacing w:line="240" w:lineRule="auto"/>
        <w:rPr>
          <w:rFonts w:ascii="Arial Narrow" w:hAnsi="Arial Narrow"/>
          <w:noProof/>
        </w:rPr>
      </w:pPr>
      <w:r w:rsidRPr="00690827">
        <w:rPr>
          <w:rStyle w:val="Hypertextovprepojenie"/>
          <w:rFonts w:ascii="Arial Narrow" w:eastAsiaTheme="majorEastAsia" w:hAnsi="Arial Narrow"/>
          <w:noProof/>
          <w:highlight w:val="yellow"/>
        </w:rPr>
        <w:fldChar w:fldCharType="begin"/>
      </w:r>
      <w:r w:rsidRPr="00690827">
        <w:rPr>
          <w:rStyle w:val="Hypertextovprepojenie"/>
          <w:rFonts w:ascii="Arial Narrow" w:eastAsiaTheme="majorEastAsia" w:hAnsi="Arial Narrow"/>
          <w:noProof/>
          <w:highlight w:val="yellow"/>
        </w:rPr>
        <w:instrText xml:space="preserve"> TOC \h \z \c "Box" </w:instrText>
      </w:r>
      <w:r w:rsidRPr="00690827">
        <w:rPr>
          <w:rStyle w:val="Hypertextovprepojenie"/>
          <w:rFonts w:ascii="Arial Narrow" w:eastAsiaTheme="majorEastAsia" w:hAnsi="Arial Narrow"/>
          <w:noProof/>
          <w:highlight w:val="yellow"/>
        </w:rPr>
        <w:fldChar w:fldCharType="separate"/>
      </w:r>
      <w:hyperlink w:anchor="_Toc474486812" w:history="1">
        <w:r w:rsidRPr="00E416C6">
          <w:rPr>
            <w:rStyle w:val="Hypertextovprepojenie"/>
            <w:rFonts w:ascii="Arial Narrow" w:eastAsiaTheme="majorEastAsia" w:hAnsi="Arial Narrow"/>
            <w:bCs/>
            <w:noProof/>
          </w:rPr>
          <w:t xml:space="preserve">Box 1: </w:t>
        </w:r>
        <w:r w:rsidRPr="00E416C6">
          <w:rPr>
            <w:rStyle w:val="Hypertextovprepojenie"/>
            <w:rFonts w:ascii="Arial Narrow" w:eastAsiaTheme="majorEastAsia" w:hAnsi="Arial Narrow"/>
            <w:noProof/>
          </w:rPr>
          <w:t xml:space="preserve"> Pilotné hodnotenie efektívnosti a účinnosti služieb zamestnanosti</w:t>
        </w:r>
        <w:r w:rsidRPr="00E416C6">
          <w:rPr>
            <w:rFonts w:ascii="Arial Narrow" w:hAnsi="Arial Narrow"/>
            <w:noProof/>
            <w:webHidden/>
          </w:rPr>
          <w:tab/>
        </w:r>
        <w:r w:rsidR="00A93248">
          <w:rPr>
            <w:rFonts w:ascii="Arial Narrow" w:hAnsi="Arial Narrow"/>
            <w:noProof/>
            <w:webHidden/>
          </w:rPr>
          <w:t>29</w:t>
        </w:r>
      </w:hyperlink>
    </w:p>
    <w:p w14:paraId="4AD89D1C" w14:textId="424317AF" w:rsidR="00F4601C" w:rsidRPr="00E416C6" w:rsidRDefault="00F4601C" w:rsidP="00F4601C">
      <w:pPr>
        <w:pStyle w:val="Zoznamobrzkov"/>
        <w:tabs>
          <w:tab w:val="right" w:leader="dot" w:pos="9062"/>
        </w:tabs>
        <w:spacing w:line="240" w:lineRule="auto"/>
        <w:rPr>
          <w:rFonts w:ascii="Arial Narrow" w:hAnsi="Arial Narrow"/>
          <w:noProof/>
        </w:rPr>
      </w:pPr>
      <w:r w:rsidRPr="00E416C6">
        <w:rPr>
          <w:rStyle w:val="Hypertextovprepojenie"/>
          <w:rFonts w:ascii="Arial Narrow" w:eastAsiaTheme="majorEastAsia" w:hAnsi="Arial Narrow"/>
          <w:noProof/>
        </w:rPr>
        <w:fldChar w:fldCharType="begin"/>
      </w:r>
      <w:r w:rsidRPr="00E416C6">
        <w:rPr>
          <w:rStyle w:val="Hypertextovprepojenie"/>
          <w:rFonts w:ascii="Arial Narrow" w:eastAsiaTheme="majorEastAsia" w:hAnsi="Arial Narrow"/>
          <w:noProof/>
        </w:rPr>
        <w:instrText xml:space="preserve"> TOC \h \z \c "Box" </w:instrText>
      </w:r>
      <w:r w:rsidRPr="00E416C6">
        <w:rPr>
          <w:rStyle w:val="Hypertextovprepojenie"/>
          <w:rFonts w:ascii="Arial Narrow" w:eastAsiaTheme="majorEastAsia" w:hAnsi="Arial Narrow"/>
          <w:noProof/>
        </w:rPr>
        <w:fldChar w:fldCharType="separate"/>
      </w:r>
      <w:hyperlink w:anchor="_Toc474486812" w:history="1">
        <w:r w:rsidRPr="00E416C6">
          <w:rPr>
            <w:rStyle w:val="Hypertextovprepojenie"/>
            <w:rFonts w:ascii="Arial Narrow" w:eastAsiaTheme="majorEastAsia" w:hAnsi="Arial Narrow"/>
            <w:bCs/>
            <w:noProof/>
          </w:rPr>
          <w:t xml:space="preserve">Box 2: </w:t>
        </w:r>
        <w:r w:rsidRPr="00E416C6">
          <w:rPr>
            <w:rStyle w:val="Hypertextovprepojenie"/>
            <w:rFonts w:ascii="Arial Narrow" w:eastAsiaTheme="majorEastAsia" w:hAnsi="Arial Narrow"/>
            <w:noProof/>
          </w:rPr>
          <w:t xml:space="preserve"> Efektívnosť samospráv</w:t>
        </w:r>
        <w:r w:rsidRPr="00E416C6">
          <w:rPr>
            <w:rFonts w:ascii="Arial Narrow" w:hAnsi="Arial Narrow"/>
            <w:noProof/>
            <w:webHidden/>
          </w:rPr>
          <w:tab/>
          <w:t>3</w:t>
        </w:r>
        <w:r w:rsidR="00BF5D89">
          <w:rPr>
            <w:rFonts w:ascii="Arial Narrow" w:hAnsi="Arial Narrow"/>
            <w:noProof/>
            <w:webHidden/>
          </w:rPr>
          <w:t>6</w:t>
        </w:r>
      </w:hyperlink>
    </w:p>
    <w:p w14:paraId="7310226C" w14:textId="180C8AD8" w:rsidR="00F4601C" w:rsidRPr="00E416C6" w:rsidRDefault="00F4601C" w:rsidP="00F4601C">
      <w:pPr>
        <w:pStyle w:val="Zoznamobrzkov"/>
        <w:tabs>
          <w:tab w:val="right" w:leader="dot" w:pos="9062"/>
        </w:tabs>
        <w:spacing w:line="240" w:lineRule="auto"/>
        <w:rPr>
          <w:rFonts w:ascii="Arial Narrow" w:hAnsi="Arial Narrow"/>
          <w:noProof/>
        </w:rPr>
      </w:pPr>
      <w:r w:rsidRPr="00E416C6">
        <w:rPr>
          <w:rStyle w:val="Hypertextovprepojenie"/>
          <w:rFonts w:ascii="Arial Narrow" w:eastAsiaTheme="majorEastAsia" w:hAnsi="Arial Narrow"/>
          <w:noProof/>
        </w:rPr>
        <w:fldChar w:fldCharType="begin"/>
      </w:r>
      <w:r w:rsidRPr="00E416C6">
        <w:rPr>
          <w:rStyle w:val="Hypertextovprepojenie"/>
          <w:rFonts w:ascii="Arial Narrow" w:eastAsiaTheme="majorEastAsia" w:hAnsi="Arial Narrow"/>
          <w:noProof/>
        </w:rPr>
        <w:instrText xml:space="preserve"> TOC \h \z \c "Box" </w:instrText>
      </w:r>
      <w:r w:rsidRPr="00E416C6">
        <w:rPr>
          <w:rStyle w:val="Hypertextovprepojenie"/>
          <w:rFonts w:ascii="Arial Narrow" w:eastAsiaTheme="majorEastAsia" w:hAnsi="Arial Narrow"/>
          <w:noProof/>
        </w:rPr>
        <w:fldChar w:fldCharType="separate"/>
      </w:r>
      <w:hyperlink w:anchor="_Toc474486812" w:history="1">
        <w:r w:rsidRPr="00E416C6">
          <w:rPr>
            <w:rStyle w:val="Hypertextovprepojenie"/>
            <w:rFonts w:ascii="Arial Narrow" w:eastAsiaTheme="majorEastAsia" w:hAnsi="Arial Narrow"/>
            <w:bCs/>
            <w:noProof/>
          </w:rPr>
          <w:t xml:space="preserve">Box 3: </w:t>
        </w:r>
        <w:r w:rsidRPr="00E416C6">
          <w:rPr>
            <w:rStyle w:val="Hypertextovprepojenie"/>
            <w:rFonts w:ascii="Arial Narrow" w:eastAsiaTheme="majorEastAsia" w:hAnsi="Arial Narrow"/>
            <w:noProof/>
          </w:rPr>
          <w:t xml:space="preserve"> Revízia výdavkov na zdravotníctvo</w:t>
        </w:r>
        <w:r w:rsidRPr="00E416C6">
          <w:rPr>
            <w:rFonts w:ascii="Arial Narrow" w:hAnsi="Arial Narrow"/>
            <w:noProof/>
            <w:webHidden/>
          </w:rPr>
          <w:tab/>
        </w:r>
        <w:r w:rsidR="006416DF">
          <w:rPr>
            <w:rFonts w:ascii="Arial Narrow" w:hAnsi="Arial Narrow"/>
            <w:noProof/>
            <w:webHidden/>
          </w:rPr>
          <w:t>4</w:t>
        </w:r>
        <w:r w:rsidR="00A93248">
          <w:rPr>
            <w:rFonts w:ascii="Arial Narrow" w:hAnsi="Arial Narrow"/>
            <w:noProof/>
            <w:webHidden/>
          </w:rPr>
          <w:t>1</w:t>
        </w:r>
      </w:hyperlink>
    </w:p>
    <w:p w14:paraId="4D056E9D" w14:textId="77777777" w:rsidR="00F4601C" w:rsidRPr="00E416C6" w:rsidRDefault="00F4601C" w:rsidP="00F4601C">
      <w:pPr>
        <w:pStyle w:val="Zoznamobrzkov"/>
        <w:tabs>
          <w:tab w:val="right" w:leader="dot" w:pos="9062"/>
        </w:tabs>
        <w:spacing w:line="240" w:lineRule="auto"/>
        <w:rPr>
          <w:rFonts w:ascii="Arial Narrow" w:hAnsi="Arial Narrow"/>
          <w:noProof/>
        </w:rPr>
      </w:pPr>
      <w:r w:rsidRPr="00E416C6">
        <w:rPr>
          <w:rStyle w:val="Hypertextovprepojenie"/>
          <w:rFonts w:ascii="Arial Narrow" w:eastAsiaTheme="majorEastAsia" w:hAnsi="Arial Narrow"/>
          <w:noProof/>
        </w:rPr>
        <w:fldChar w:fldCharType="begin"/>
      </w:r>
      <w:r w:rsidRPr="00E416C6">
        <w:rPr>
          <w:rStyle w:val="Hypertextovprepojenie"/>
          <w:rFonts w:ascii="Arial Narrow" w:eastAsiaTheme="majorEastAsia" w:hAnsi="Arial Narrow"/>
          <w:noProof/>
        </w:rPr>
        <w:instrText xml:space="preserve"> TOC \h \z \c "Box" </w:instrText>
      </w:r>
      <w:r w:rsidRPr="00E416C6">
        <w:rPr>
          <w:rStyle w:val="Hypertextovprepojenie"/>
          <w:rFonts w:ascii="Arial Narrow" w:eastAsiaTheme="majorEastAsia" w:hAnsi="Arial Narrow"/>
          <w:noProof/>
        </w:rPr>
        <w:fldChar w:fldCharType="separate"/>
      </w:r>
      <w:hyperlink w:anchor="_Toc474486812" w:history="1"/>
    </w:p>
    <w:p w14:paraId="64714DBB" w14:textId="77777777" w:rsidR="00F4601C" w:rsidRPr="00690827" w:rsidRDefault="00F4601C" w:rsidP="00F4601C">
      <w:pPr>
        <w:spacing w:after="0"/>
        <w:rPr>
          <w:rFonts w:ascii="Arial Narrow" w:eastAsiaTheme="majorEastAsia" w:hAnsi="Arial Narrow"/>
          <w:noProof/>
          <w:color w:val="0000FF" w:themeColor="hyperlink"/>
          <w:highlight w:val="yellow"/>
          <w:u w:val="single"/>
        </w:rPr>
      </w:pPr>
      <w:r w:rsidRPr="00E416C6">
        <w:rPr>
          <w:rStyle w:val="Hypertextovprepojenie"/>
          <w:rFonts w:ascii="Arial Narrow" w:eastAsiaTheme="majorEastAsia" w:hAnsi="Arial Narrow"/>
          <w:noProof/>
        </w:rPr>
        <w:fldChar w:fldCharType="end"/>
      </w:r>
      <w:r w:rsidRPr="00E416C6">
        <w:rPr>
          <w:rStyle w:val="Hypertextovprepojenie"/>
          <w:rFonts w:ascii="Arial Narrow" w:eastAsiaTheme="majorEastAsia" w:hAnsi="Arial Narrow"/>
          <w:noProof/>
        </w:rPr>
        <w:fldChar w:fldCharType="end"/>
      </w:r>
      <w:r w:rsidRPr="00E416C6">
        <w:rPr>
          <w:rStyle w:val="Hypertextovprepojenie"/>
          <w:rFonts w:ascii="Arial Narrow" w:eastAsiaTheme="majorEastAsia" w:hAnsi="Arial Narrow"/>
          <w:noProof/>
        </w:rPr>
        <w:fldChar w:fldCharType="end"/>
      </w:r>
    </w:p>
    <w:p w14:paraId="32E63141" w14:textId="47D308E6" w:rsidR="005D29C8" w:rsidRPr="00F4601C" w:rsidRDefault="00F4601C" w:rsidP="00F4601C">
      <w:pPr>
        <w:pStyle w:val="Zoznamobrzkov"/>
        <w:pBdr>
          <w:bottom w:val="single" w:sz="4" w:space="1" w:color="auto"/>
        </w:pBdr>
        <w:tabs>
          <w:tab w:val="right" w:leader="dot" w:pos="8554"/>
        </w:tabs>
        <w:spacing w:after="120" w:line="240" w:lineRule="auto"/>
        <w:rPr>
          <w:rFonts w:ascii="Arial Narrow" w:eastAsiaTheme="majorEastAsia" w:hAnsi="Arial Narrow"/>
          <w:noProof/>
          <w:color w:val="0000FF" w:themeColor="hyperlink"/>
          <w:u w:val="single"/>
        </w:rPr>
      </w:pPr>
      <w:r w:rsidRPr="00690827">
        <w:rPr>
          <w:rStyle w:val="Hypertextovprepojenie"/>
          <w:rFonts w:ascii="Arial Narrow" w:eastAsiaTheme="majorEastAsia" w:hAnsi="Arial Narrow"/>
          <w:noProof/>
          <w:highlight w:val="yellow"/>
        </w:rPr>
        <w:fldChar w:fldCharType="end"/>
      </w:r>
      <w:r w:rsidR="005D29C8" w:rsidRPr="00F4601C">
        <w:rPr>
          <w:rFonts w:ascii="Arial Narrow" w:hAnsi="Arial Narrow" w:cs="Arial Narrow"/>
          <w:b/>
        </w:rPr>
        <w:t>Zoznam grafov</w:t>
      </w:r>
    </w:p>
    <w:bookmarkEnd w:id="0"/>
    <w:p w14:paraId="292BFCAE" w14:textId="77777777" w:rsidR="00DD3C1D" w:rsidRPr="00DD3C1D" w:rsidRDefault="005D29C8">
      <w:pPr>
        <w:pStyle w:val="Zoznamobrzkov"/>
        <w:tabs>
          <w:tab w:val="right" w:leader="dot" w:pos="8554"/>
        </w:tabs>
        <w:rPr>
          <w:rFonts w:ascii="Arial Narrow" w:eastAsiaTheme="minorEastAsia" w:hAnsi="Arial Narrow" w:cstheme="minorBidi"/>
          <w:noProof/>
          <w:lang w:val="en-US" w:eastAsia="en-US"/>
        </w:rPr>
      </w:pPr>
      <w:r w:rsidRPr="00DD3C1D">
        <w:rPr>
          <w:rFonts w:ascii="Arial Narrow" w:hAnsi="Arial Narrow"/>
        </w:rPr>
        <w:fldChar w:fldCharType="begin"/>
      </w:r>
      <w:r w:rsidRPr="00DD3C1D">
        <w:rPr>
          <w:rFonts w:ascii="Arial Narrow" w:hAnsi="Arial Narrow"/>
        </w:rPr>
        <w:instrText xml:space="preserve"> TOC \h \z \c "Graf" </w:instrText>
      </w:r>
      <w:r w:rsidRPr="00DD3C1D">
        <w:rPr>
          <w:rFonts w:ascii="Arial Narrow" w:hAnsi="Arial Narrow"/>
        </w:rPr>
        <w:fldChar w:fldCharType="separate"/>
      </w:r>
      <w:hyperlink w:anchor="_Toc478656304" w:history="1">
        <w:r w:rsidR="00DD3C1D" w:rsidRPr="00DD3C1D">
          <w:rPr>
            <w:rStyle w:val="Hypertextovprepojenie"/>
            <w:rFonts w:ascii="Arial Narrow" w:eastAsiaTheme="majorEastAsia" w:hAnsi="Arial Narrow" w:cs="Arial"/>
            <w:noProof/>
          </w:rPr>
          <w:t>Graf 1:  Sledované výsledkové ukazovatele, štandardná odchýlka od priemeru OECD a EÚ</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_Toc478656304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sidR="002E71B2">
          <w:rPr>
            <w:rFonts w:ascii="Arial Narrow" w:hAnsi="Arial Narrow"/>
            <w:noProof/>
            <w:webHidden/>
          </w:rPr>
          <w:t>6</w:t>
        </w:r>
        <w:r w:rsidR="00DD3C1D" w:rsidRPr="00DD3C1D">
          <w:rPr>
            <w:rFonts w:ascii="Arial Narrow" w:hAnsi="Arial Narrow"/>
            <w:noProof/>
            <w:webHidden/>
          </w:rPr>
          <w:fldChar w:fldCharType="end"/>
        </w:r>
      </w:hyperlink>
    </w:p>
    <w:p w14:paraId="17897143"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05" w:history="1">
        <w:r w:rsidR="00DD3C1D" w:rsidRPr="00DD3C1D">
          <w:rPr>
            <w:rStyle w:val="Hypertextovprepojenie"/>
            <w:rFonts w:ascii="Arial Narrow" w:eastAsiaTheme="majorEastAsia" w:hAnsi="Arial Narrow" w:cs="Arial"/>
            <w:noProof/>
          </w:rPr>
          <w:t>Graf 2: „Disagregácia“ výsledkových ukazovateľov pomocou doplnkových indikátorov, štandardná odchýlka od priemeru ostatných krajín</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_Toc478656305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6</w:t>
        </w:r>
        <w:r w:rsidR="00DD3C1D" w:rsidRPr="00DD3C1D">
          <w:rPr>
            <w:rFonts w:ascii="Arial Narrow" w:hAnsi="Arial Narrow"/>
            <w:noProof/>
            <w:webHidden/>
          </w:rPr>
          <w:fldChar w:fldCharType="end"/>
        </w:r>
      </w:hyperlink>
    </w:p>
    <w:p w14:paraId="0ECAC6D9"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06" w:history="1">
        <w:r w:rsidR="00DD3C1D" w:rsidRPr="00DD3C1D">
          <w:rPr>
            <w:rStyle w:val="Hypertextovprepojenie"/>
            <w:rFonts w:ascii="Arial Narrow" w:eastAsiaTheme="majorEastAsia" w:hAnsi="Arial Narrow"/>
            <w:noProof/>
          </w:rPr>
          <w:t xml:space="preserve">Graf 3:  </w:t>
        </w:r>
        <w:r w:rsidR="00DD3C1D" w:rsidRPr="00DD3C1D">
          <w:rPr>
            <w:rStyle w:val="Hypertextovprepojenie"/>
            <w:rFonts w:ascii="Arial Narrow" w:eastAsiaTheme="majorEastAsia" w:hAnsi="Arial Narrow" w:cs="Arial"/>
            <w:noProof/>
          </w:rPr>
          <w:t>Príspevky k rastu HDP na Slovensku, 2012 – 2020 (v p. b.)</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_Toc478656306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15</w:t>
        </w:r>
        <w:r w:rsidR="00DD3C1D" w:rsidRPr="00DD3C1D">
          <w:rPr>
            <w:rFonts w:ascii="Arial Narrow" w:hAnsi="Arial Narrow"/>
            <w:noProof/>
            <w:webHidden/>
          </w:rPr>
          <w:fldChar w:fldCharType="end"/>
        </w:r>
      </w:hyperlink>
    </w:p>
    <w:p w14:paraId="143B2C74"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07" w:history="1">
        <w:r w:rsidR="00DD3C1D" w:rsidRPr="00DD3C1D">
          <w:rPr>
            <w:rStyle w:val="Hypertextovprepojenie"/>
            <w:rFonts w:ascii="Arial Narrow" w:eastAsiaTheme="majorEastAsia" w:hAnsi="Arial Narrow"/>
            <w:noProof/>
          </w:rPr>
          <w:t xml:space="preserve">Graf 4:  </w:t>
        </w:r>
        <w:r w:rsidR="00DD3C1D" w:rsidRPr="00DD3C1D">
          <w:rPr>
            <w:rStyle w:val="Hypertextovprepojenie"/>
            <w:rFonts w:ascii="Arial Narrow" w:eastAsiaTheme="majorEastAsia" w:hAnsi="Arial Narrow" w:cs="Arial"/>
            <w:noProof/>
          </w:rPr>
          <w:t>Štruktúra spotrebiteľskej inflácie – medziročné príspevky zložiek CPI (v p. b.)</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_Toc478656307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15</w:t>
        </w:r>
        <w:r w:rsidR="00DD3C1D" w:rsidRPr="00DD3C1D">
          <w:rPr>
            <w:rFonts w:ascii="Arial Narrow" w:hAnsi="Arial Narrow"/>
            <w:noProof/>
            <w:webHidden/>
          </w:rPr>
          <w:fldChar w:fldCharType="end"/>
        </w:r>
      </w:hyperlink>
    </w:p>
    <w:p w14:paraId="3D252BC4"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08" w:history="1">
        <w:r w:rsidR="00DD3C1D" w:rsidRPr="00DD3C1D">
          <w:rPr>
            <w:rStyle w:val="Hypertextovprepojenie"/>
            <w:rFonts w:ascii="Arial Narrow" w:eastAsiaTheme="majorEastAsia" w:hAnsi="Arial Narrow"/>
            <w:noProof/>
          </w:rPr>
          <w:t>Graf 5: Národné fiškálne pravidlá (index)</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_Toc478656308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19</w:t>
        </w:r>
        <w:r w:rsidR="00DD3C1D" w:rsidRPr="00DD3C1D">
          <w:rPr>
            <w:rFonts w:ascii="Arial Narrow" w:hAnsi="Arial Narrow"/>
            <w:noProof/>
            <w:webHidden/>
          </w:rPr>
          <w:fldChar w:fldCharType="end"/>
        </w:r>
      </w:hyperlink>
    </w:p>
    <w:p w14:paraId="560CDEEF"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09" w:history="1">
        <w:r w:rsidR="00DD3C1D" w:rsidRPr="00DD3C1D">
          <w:rPr>
            <w:rStyle w:val="Hypertextovprepojenie"/>
            <w:rFonts w:ascii="Arial Narrow" w:eastAsiaTheme="majorEastAsia" w:hAnsi="Arial Narrow"/>
            <w:noProof/>
          </w:rPr>
          <w:t>Graf 6: Strednodobé rozpočtové rámce (index)</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_Toc478656309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19</w:t>
        </w:r>
        <w:r w:rsidR="00DD3C1D" w:rsidRPr="00DD3C1D">
          <w:rPr>
            <w:rFonts w:ascii="Arial Narrow" w:hAnsi="Arial Narrow"/>
            <w:noProof/>
            <w:webHidden/>
          </w:rPr>
          <w:fldChar w:fldCharType="end"/>
        </w:r>
      </w:hyperlink>
    </w:p>
    <w:p w14:paraId="46D163C5"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0" w:history="1">
        <w:r w:rsidR="00DD3C1D" w:rsidRPr="00DD3C1D">
          <w:rPr>
            <w:rStyle w:val="Hypertextovprepojenie"/>
            <w:rFonts w:ascii="Arial Narrow" w:eastAsiaTheme="majorEastAsia" w:hAnsi="Arial Narrow"/>
            <w:noProof/>
          </w:rPr>
          <w:t>Graf 7: Daňová medzera na DPH (% potenciálneho výnosu)</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_Toc478656310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20</w:t>
        </w:r>
        <w:r w:rsidR="00DD3C1D" w:rsidRPr="00DD3C1D">
          <w:rPr>
            <w:rFonts w:ascii="Arial Narrow" w:hAnsi="Arial Narrow"/>
            <w:noProof/>
            <w:webHidden/>
          </w:rPr>
          <w:fldChar w:fldCharType="end"/>
        </w:r>
      </w:hyperlink>
    </w:p>
    <w:p w14:paraId="69ED5A73"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1" w:history="1">
        <w:r w:rsidR="00DD3C1D" w:rsidRPr="00DD3C1D">
          <w:rPr>
            <w:rStyle w:val="Hypertextovprepojenie"/>
            <w:rFonts w:ascii="Arial Narrow" w:eastAsiaTheme="majorEastAsia" w:hAnsi="Arial Narrow"/>
            <w:noProof/>
          </w:rPr>
          <w:t>Graf 8: Efektívna daňová sadzba DPPO (výber dane na čistom prevádzkovom prebytku)</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_Toc478656311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20</w:t>
        </w:r>
        <w:r w:rsidR="00DD3C1D" w:rsidRPr="00DD3C1D">
          <w:rPr>
            <w:rFonts w:ascii="Arial Narrow" w:hAnsi="Arial Narrow"/>
            <w:noProof/>
            <w:webHidden/>
          </w:rPr>
          <w:fldChar w:fldCharType="end"/>
        </w:r>
      </w:hyperlink>
    </w:p>
    <w:p w14:paraId="51B3DE78"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2" w:history="1">
        <w:r w:rsidR="00DD3C1D" w:rsidRPr="00DD3C1D">
          <w:rPr>
            <w:rStyle w:val="Hypertextovprepojenie"/>
            <w:rFonts w:ascii="Arial Narrow" w:eastAsiaTheme="majorEastAsia" w:hAnsi="Arial Narrow"/>
            <w:noProof/>
          </w:rPr>
          <w:t>Graf 9:</w:t>
        </w:r>
        <w:r w:rsidR="00DD3C1D" w:rsidRPr="00DD3C1D">
          <w:rPr>
            <w:rStyle w:val="Hypertextovprepojenie"/>
            <w:rFonts w:ascii="Arial Narrow" w:eastAsiaTheme="majorEastAsia" w:hAnsi="Arial Narrow" w:cs="Arial"/>
            <w:noProof/>
          </w:rPr>
          <w:t xml:space="preserve"> Verejné výdavky na vzdelávanie, 2013</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_Toc478656312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22</w:t>
        </w:r>
        <w:r w:rsidR="00DD3C1D" w:rsidRPr="00DD3C1D">
          <w:rPr>
            <w:rFonts w:ascii="Arial Narrow" w:hAnsi="Arial Narrow"/>
            <w:noProof/>
            <w:webHidden/>
          </w:rPr>
          <w:fldChar w:fldCharType="end"/>
        </w:r>
      </w:hyperlink>
    </w:p>
    <w:p w14:paraId="7C6A829F"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3" w:history="1">
        <w:r w:rsidR="00DD3C1D" w:rsidRPr="00DD3C1D">
          <w:rPr>
            <w:rStyle w:val="Hypertextovprepojenie"/>
            <w:rFonts w:ascii="Arial Narrow" w:eastAsiaTheme="majorEastAsia" w:hAnsi="Arial Narrow" w:cs="Arial"/>
            <w:noProof/>
          </w:rPr>
          <w:t>Graf 10: Priemerné platy pedagógov nižšieho sekundárneho vzdelávania v pomere k platom zamestnancov s VŠ vzdelaním (2014)</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_Toc478656313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22</w:t>
        </w:r>
        <w:r w:rsidR="00DD3C1D" w:rsidRPr="00DD3C1D">
          <w:rPr>
            <w:rFonts w:ascii="Arial Narrow" w:hAnsi="Arial Narrow"/>
            <w:noProof/>
            <w:webHidden/>
          </w:rPr>
          <w:fldChar w:fldCharType="end"/>
        </w:r>
      </w:hyperlink>
    </w:p>
    <w:p w14:paraId="1D221695"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4" w:history="1">
        <w:r w:rsidR="00DD3C1D" w:rsidRPr="00DD3C1D">
          <w:rPr>
            <w:rStyle w:val="Hypertextovprepojenie"/>
            <w:rFonts w:ascii="Arial Narrow" w:eastAsiaTheme="majorEastAsia" w:hAnsi="Arial Narrow"/>
            <w:noProof/>
          </w:rPr>
          <w:t xml:space="preserve">Graf 11: </w:t>
        </w:r>
        <w:r w:rsidR="00DD3C1D" w:rsidRPr="00DD3C1D">
          <w:rPr>
            <w:rStyle w:val="Hypertextovprepojenie"/>
            <w:rFonts w:ascii="Arial Narrow" w:eastAsiaTheme="majorEastAsia" w:hAnsi="Arial Narrow" w:cs="Arial"/>
            <w:noProof/>
          </w:rPr>
          <w:t>Vstupy a výstupy R&amp;D ako % priemeru V3</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_Toc478656314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23</w:t>
        </w:r>
        <w:r w:rsidR="00DD3C1D" w:rsidRPr="00DD3C1D">
          <w:rPr>
            <w:rFonts w:ascii="Arial Narrow" w:hAnsi="Arial Narrow"/>
            <w:noProof/>
            <w:webHidden/>
          </w:rPr>
          <w:fldChar w:fldCharType="end"/>
        </w:r>
      </w:hyperlink>
    </w:p>
    <w:p w14:paraId="3FC91FAE"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5" w:history="1">
        <w:r w:rsidR="00DD3C1D" w:rsidRPr="00DD3C1D">
          <w:rPr>
            <w:rStyle w:val="Hypertextovprepojenie"/>
            <w:rFonts w:ascii="Arial Narrow" w:eastAsiaTheme="majorEastAsia" w:hAnsi="Arial Narrow"/>
            <w:noProof/>
          </w:rPr>
          <w:t xml:space="preserve">Graf 12: </w:t>
        </w:r>
        <w:r w:rsidR="00DD3C1D" w:rsidRPr="00DD3C1D">
          <w:rPr>
            <w:rStyle w:val="Hypertextovprepojenie"/>
            <w:rFonts w:ascii="Arial Narrow" w:eastAsiaTheme="majorEastAsia" w:hAnsi="Arial Narrow" w:cs="Arial"/>
            <w:noProof/>
          </w:rPr>
          <w:t>Výsledky testovania PISA (priemer bodov)</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_Toc478656315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23</w:t>
        </w:r>
        <w:r w:rsidR="00DD3C1D" w:rsidRPr="00DD3C1D">
          <w:rPr>
            <w:rFonts w:ascii="Arial Narrow" w:hAnsi="Arial Narrow"/>
            <w:noProof/>
            <w:webHidden/>
          </w:rPr>
          <w:fldChar w:fldCharType="end"/>
        </w:r>
      </w:hyperlink>
    </w:p>
    <w:p w14:paraId="21D12FFA"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6" w:history="1">
        <w:r w:rsidR="00DD3C1D" w:rsidRPr="00DD3C1D">
          <w:rPr>
            <w:rStyle w:val="Hypertextovprepojenie"/>
            <w:rFonts w:ascii="Arial Narrow" w:hAnsi="Arial Narrow"/>
            <w:noProof/>
          </w:rPr>
          <w:t>Graf 13:</w:t>
        </w:r>
        <w:r w:rsidR="00DD3C1D" w:rsidRPr="00DD3C1D">
          <w:rPr>
            <w:rStyle w:val="Hypertextovprepojenie"/>
            <w:rFonts w:ascii="Arial Narrow" w:eastAsiaTheme="majorEastAsia" w:hAnsi="Arial Narrow"/>
            <w:noProof/>
          </w:rPr>
          <w:t xml:space="preserve"> </w:t>
        </w:r>
        <w:r w:rsidR="00DD3C1D" w:rsidRPr="00DD3C1D">
          <w:rPr>
            <w:rStyle w:val="Hypertextovprepojenie"/>
            <w:rFonts w:ascii="Arial Narrow" w:hAnsi="Arial Narrow"/>
            <w:noProof/>
          </w:rPr>
          <w:t xml:space="preserve"> Kvartálny vývoj miery nezamestnanosti</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_Toc478656316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27</w:t>
        </w:r>
        <w:r w:rsidR="00DD3C1D" w:rsidRPr="00DD3C1D">
          <w:rPr>
            <w:rFonts w:ascii="Arial Narrow" w:hAnsi="Arial Narrow"/>
            <w:noProof/>
            <w:webHidden/>
          </w:rPr>
          <w:fldChar w:fldCharType="end"/>
        </w:r>
      </w:hyperlink>
    </w:p>
    <w:p w14:paraId="712A5485"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7" w:history="1">
        <w:r w:rsidR="00DD3C1D" w:rsidRPr="00DD3C1D">
          <w:rPr>
            <w:rStyle w:val="Hypertextovprepojenie"/>
            <w:rFonts w:ascii="Arial Narrow" w:eastAsiaTheme="majorEastAsia" w:hAnsi="Arial Narrow" w:cs="Arial"/>
            <w:noProof/>
          </w:rPr>
          <w:t>Graf 14: Dlhodobá nezamestnanosť (v %, 3Q 2015, 3Q 2016)</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_Toc478656317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27</w:t>
        </w:r>
        <w:r w:rsidR="00DD3C1D" w:rsidRPr="00DD3C1D">
          <w:rPr>
            <w:rFonts w:ascii="Arial Narrow" w:hAnsi="Arial Narrow"/>
            <w:noProof/>
            <w:webHidden/>
          </w:rPr>
          <w:fldChar w:fldCharType="end"/>
        </w:r>
      </w:hyperlink>
    </w:p>
    <w:p w14:paraId="7FF97630"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8" w:history="1">
        <w:r w:rsidR="00DD3C1D" w:rsidRPr="00DD3C1D">
          <w:rPr>
            <w:rStyle w:val="Hypertextovprepojenie"/>
            <w:rFonts w:ascii="Arial Narrow" w:hAnsi="Arial Narrow"/>
            <w:noProof/>
          </w:rPr>
          <w:t>Graf 15:</w:t>
        </w:r>
        <w:r w:rsidR="00DD3C1D" w:rsidRPr="00DD3C1D">
          <w:rPr>
            <w:rStyle w:val="Hypertextovprepojenie"/>
            <w:rFonts w:ascii="Arial Narrow" w:eastAsiaTheme="majorEastAsia" w:hAnsi="Arial Narrow" w:cs="Arial"/>
            <w:noProof/>
          </w:rPr>
          <w:t xml:space="preserve"> Vzťah miery nezamestnanosti a voľných pracovných miest v čase (</w:t>
        </w:r>
        <w:r w:rsidR="00DD3C1D" w:rsidRPr="00DD3C1D">
          <w:rPr>
            <w:rStyle w:val="Hypertextovprepojenie"/>
            <w:rFonts w:ascii="Arial Narrow" w:hAnsi="Arial Narrow"/>
            <w:noProof/>
          </w:rPr>
          <w:t>Beveridgova krivka)</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_Toc478656318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28</w:t>
        </w:r>
        <w:r w:rsidR="00DD3C1D" w:rsidRPr="00DD3C1D">
          <w:rPr>
            <w:rFonts w:ascii="Arial Narrow" w:hAnsi="Arial Narrow"/>
            <w:noProof/>
            <w:webHidden/>
          </w:rPr>
          <w:fldChar w:fldCharType="end"/>
        </w:r>
      </w:hyperlink>
    </w:p>
    <w:p w14:paraId="203803A7"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19" w:history="1">
        <w:r w:rsidR="00DD3C1D" w:rsidRPr="00DD3C1D">
          <w:rPr>
            <w:rStyle w:val="Hypertextovprepojenie"/>
            <w:rFonts w:ascii="Arial Narrow" w:eastAsiaTheme="majorEastAsia" w:hAnsi="Arial Narrow" w:cs="Arial"/>
            <w:noProof/>
          </w:rPr>
          <w:t>Graf 16: Vzťah miery nezamestnanosti a voľných pracovných miest v okresoch (december 2016)</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_Toc478656319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28</w:t>
        </w:r>
        <w:r w:rsidR="00DD3C1D" w:rsidRPr="00DD3C1D">
          <w:rPr>
            <w:rFonts w:ascii="Arial Narrow" w:hAnsi="Arial Narrow"/>
            <w:noProof/>
            <w:webHidden/>
          </w:rPr>
          <w:fldChar w:fldCharType="end"/>
        </w:r>
      </w:hyperlink>
    </w:p>
    <w:p w14:paraId="1FF0ED05"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0" w:history="1">
        <w:r w:rsidR="00DD3C1D" w:rsidRPr="00DD3C1D">
          <w:rPr>
            <w:rStyle w:val="Hypertextovprepojenie"/>
            <w:rFonts w:ascii="Arial Narrow" w:hAnsi="Arial Narrow"/>
            <w:noProof/>
          </w:rPr>
          <w:t>Graf 17:</w:t>
        </w:r>
        <w:r w:rsidR="00DD3C1D" w:rsidRPr="00DD3C1D">
          <w:rPr>
            <w:rStyle w:val="Hypertextovprepojenie"/>
            <w:rFonts w:ascii="Arial Narrow" w:eastAsiaTheme="majorEastAsia" w:hAnsi="Arial Narrow"/>
            <w:noProof/>
          </w:rPr>
          <w:t xml:space="preserve"> </w:t>
        </w:r>
        <w:r w:rsidR="00DD3C1D" w:rsidRPr="00DD3C1D">
          <w:rPr>
            <w:rStyle w:val="Hypertextovprepojenie"/>
            <w:rFonts w:ascii="Arial Narrow" w:hAnsi="Arial Narrow"/>
            <w:noProof/>
          </w:rPr>
          <w:t xml:space="preserve"> Nízkokvalifikovaná pracovná sila na trhu</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_Toc478656320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28</w:t>
        </w:r>
        <w:r w:rsidR="00DD3C1D" w:rsidRPr="00DD3C1D">
          <w:rPr>
            <w:rFonts w:ascii="Arial Narrow" w:hAnsi="Arial Narrow"/>
            <w:noProof/>
            <w:webHidden/>
          </w:rPr>
          <w:fldChar w:fldCharType="end"/>
        </w:r>
      </w:hyperlink>
    </w:p>
    <w:p w14:paraId="78C19A00"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1" w:history="1">
        <w:r w:rsidR="00DD3C1D" w:rsidRPr="00DD3C1D">
          <w:rPr>
            <w:rStyle w:val="Hypertextovprepojenie"/>
            <w:rFonts w:ascii="Arial Narrow" w:eastAsiaTheme="majorEastAsia" w:hAnsi="Arial Narrow" w:cs="Arial"/>
            <w:noProof/>
          </w:rPr>
          <w:t>Graf 18:  Miera zamestnanosti žien podľa vekových skupín (%, 2015)</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_Toc478656321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28</w:t>
        </w:r>
        <w:r w:rsidR="00DD3C1D" w:rsidRPr="00DD3C1D">
          <w:rPr>
            <w:rFonts w:ascii="Arial Narrow" w:hAnsi="Arial Narrow"/>
            <w:noProof/>
            <w:webHidden/>
          </w:rPr>
          <w:fldChar w:fldCharType="end"/>
        </w:r>
      </w:hyperlink>
    </w:p>
    <w:p w14:paraId="363DF341"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2" w:history="1">
        <w:r w:rsidR="00DD3C1D" w:rsidRPr="00DD3C1D">
          <w:rPr>
            <w:rStyle w:val="Hypertextovprepojenie"/>
            <w:rFonts w:ascii="Arial Narrow" w:hAnsi="Arial Narrow"/>
            <w:noProof/>
          </w:rPr>
          <w:t>Graf 19:</w:t>
        </w:r>
        <w:r w:rsidR="00DD3C1D" w:rsidRPr="00DD3C1D">
          <w:rPr>
            <w:rStyle w:val="Hypertextovprepojenie"/>
            <w:rFonts w:ascii="Arial Narrow" w:eastAsiaTheme="majorEastAsia" w:hAnsi="Arial Narrow"/>
            <w:noProof/>
          </w:rPr>
          <w:t xml:space="preserve"> </w:t>
        </w:r>
        <w:r w:rsidR="00DD3C1D" w:rsidRPr="00DD3C1D">
          <w:rPr>
            <w:rStyle w:val="Hypertextovprepojenie"/>
            <w:rFonts w:ascii="Arial Narrow" w:hAnsi="Arial Narrow"/>
            <w:noProof/>
          </w:rPr>
          <w:t>Výdavky kapitoly MDV SR a ním zriadených organizácií na dopravu (v mil. eur)</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_Toc478656322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32</w:t>
        </w:r>
        <w:r w:rsidR="00DD3C1D" w:rsidRPr="00DD3C1D">
          <w:rPr>
            <w:rFonts w:ascii="Arial Narrow" w:hAnsi="Arial Narrow"/>
            <w:noProof/>
            <w:webHidden/>
          </w:rPr>
          <w:fldChar w:fldCharType="end"/>
        </w:r>
      </w:hyperlink>
    </w:p>
    <w:p w14:paraId="01A9C4D5"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3" w:history="1">
        <w:r w:rsidR="00DD3C1D" w:rsidRPr="00DD3C1D">
          <w:rPr>
            <w:rStyle w:val="Hypertextovprepojenie"/>
            <w:rFonts w:ascii="Arial Narrow" w:eastAsiaTheme="majorEastAsia" w:hAnsi="Arial Narrow" w:cs="Arial"/>
            <w:noProof/>
          </w:rPr>
          <w:t>Graf 20: Kapitálové výdavky NDS a ŽSR + platba za dostupnosť v PPP projektoch (v mil. eur)</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_Toc478656323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32</w:t>
        </w:r>
        <w:r w:rsidR="00DD3C1D" w:rsidRPr="00DD3C1D">
          <w:rPr>
            <w:rFonts w:ascii="Arial Narrow" w:hAnsi="Arial Narrow"/>
            <w:noProof/>
            <w:webHidden/>
          </w:rPr>
          <w:fldChar w:fldCharType="end"/>
        </w:r>
      </w:hyperlink>
    </w:p>
    <w:p w14:paraId="68F0C60A"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4" w:history="1">
        <w:r w:rsidR="00DD3C1D" w:rsidRPr="00DD3C1D">
          <w:rPr>
            <w:rStyle w:val="Hypertextovprepojenie"/>
            <w:rFonts w:ascii="Arial Narrow" w:eastAsiaTheme="majorEastAsia" w:hAnsi="Arial Narrow" w:cs="Arial"/>
            <w:noProof/>
          </w:rPr>
          <w:t>Graf 21: Výstavba diaľnic a rýchlostných ciest na Slovensku (v km)</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_Toc478656324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33</w:t>
        </w:r>
        <w:r w:rsidR="00DD3C1D" w:rsidRPr="00DD3C1D">
          <w:rPr>
            <w:rFonts w:ascii="Arial Narrow" w:hAnsi="Arial Narrow"/>
            <w:noProof/>
            <w:webHidden/>
          </w:rPr>
          <w:fldChar w:fldCharType="end"/>
        </w:r>
      </w:hyperlink>
    </w:p>
    <w:p w14:paraId="77EA6358"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5" w:history="1">
        <w:r w:rsidR="00DD3C1D" w:rsidRPr="00DD3C1D">
          <w:rPr>
            <w:rStyle w:val="Hypertextovprepojenie"/>
            <w:rFonts w:ascii="Arial Narrow" w:hAnsi="Arial Narrow"/>
            <w:noProof/>
          </w:rPr>
          <w:t>Graf 22: Výdavky SSC (mil. eur) a stav ciest I. triedy</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_Toc478656325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33</w:t>
        </w:r>
        <w:r w:rsidR="00DD3C1D" w:rsidRPr="00DD3C1D">
          <w:rPr>
            <w:rFonts w:ascii="Arial Narrow" w:hAnsi="Arial Narrow"/>
            <w:noProof/>
            <w:webHidden/>
          </w:rPr>
          <w:fldChar w:fldCharType="end"/>
        </w:r>
      </w:hyperlink>
    </w:p>
    <w:p w14:paraId="75F219FB"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6" w:history="1">
        <w:r w:rsidR="00DD3C1D" w:rsidRPr="00DD3C1D">
          <w:rPr>
            <w:rStyle w:val="Hypertextovprepojenie"/>
            <w:rFonts w:ascii="Arial Narrow" w:hAnsi="Arial Narrow"/>
            <w:noProof/>
          </w:rPr>
          <w:t>Graf 23: Ročná intenzita využitia železničnej siete</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_Toc478656326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34</w:t>
        </w:r>
        <w:r w:rsidR="00DD3C1D" w:rsidRPr="00DD3C1D">
          <w:rPr>
            <w:rFonts w:ascii="Arial Narrow" w:hAnsi="Arial Narrow"/>
            <w:noProof/>
            <w:webHidden/>
          </w:rPr>
          <w:fldChar w:fldCharType="end"/>
        </w:r>
      </w:hyperlink>
    </w:p>
    <w:p w14:paraId="63DBAB7E"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7" w:history="1">
        <w:r w:rsidR="00DD3C1D" w:rsidRPr="00DD3C1D">
          <w:rPr>
            <w:rStyle w:val="Hypertextovprepojenie"/>
            <w:rFonts w:ascii="Arial Narrow" w:hAnsi="Arial Narrow"/>
            <w:noProof/>
          </w:rPr>
          <w:t>Graf 24: Jednotkové náklady železničných dopravcov (priemer 2013 – 2014, eur)</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_Toc478656327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34</w:t>
        </w:r>
        <w:r w:rsidR="00DD3C1D" w:rsidRPr="00DD3C1D">
          <w:rPr>
            <w:rFonts w:ascii="Arial Narrow" w:hAnsi="Arial Narrow"/>
            <w:noProof/>
            <w:webHidden/>
          </w:rPr>
          <w:fldChar w:fldCharType="end"/>
        </w:r>
      </w:hyperlink>
    </w:p>
    <w:p w14:paraId="7D4EDD9B"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8" w:history="1">
        <w:r w:rsidR="00DD3C1D" w:rsidRPr="00DD3C1D">
          <w:rPr>
            <w:rStyle w:val="Hypertextovprepojenie"/>
            <w:rFonts w:ascii="Arial Narrow" w:eastAsia="Calibri" w:hAnsi="Arial Narrow" w:cs="Arial Narrow"/>
            <w:bCs/>
            <w:noProof/>
            <w:bdr w:val="nil"/>
            <w:lang w:eastAsia="en-US"/>
          </w:rPr>
          <w:t>Graf 25: Porovnanie jednotlivých oblastí SK v rebríčku DB (štand. odchýlka od priemeru OECD)</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_Toc478656328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35</w:t>
        </w:r>
        <w:r w:rsidR="00DD3C1D" w:rsidRPr="00DD3C1D">
          <w:rPr>
            <w:rFonts w:ascii="Arial Narrow" w:hAnsi="Arial Narrow"/>
            <w:noProof/>
            <w:webHidden/>
          </w:rPr>
          <w:fldChar w:fldCharType="end"/>
        </w:r>
      </w:hyperlink>
    </w:p>
    <w:p w14:paraId="55988588"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29" w:history="1">
        <w:r w:rsidR="00DD3C1D" w:rsidRPr="00DD3C1D">
          <w:rPr>
            <w:rStyle w:val="Hypertextovprepojenie"/>
            <w:rFonts w:ascii="Arial Narrow" w:eastAsia="Calibri" w:hAnsi="Arial Narrow" w:cs="Arial Narrow"/>
            <w:bCs/>
            <w:noProof/>
            <w:bdr w:val="nil"/>
            <w:lang w:eastAsia="en-US"/>
          </w:rPr>
          <w:t>Graf 26: Po</w:t>
        </w:r>
        <w:r w:rsidR="00DD3C1D" w:rsidRPr="00DD3C1D">
          <w:rPr>
            <w:rStyle w:val="Hypertextovprepojenie"/>
            <w:rFonts w:ascii="Arial Narrow" w:eastAsia="Calibri" w:hAnsi="Arial Narrow" w:cs="Arial Narrow"/>
            <w:noProof/>
            <w:bdr w:val="nil"/>
            <w:lang w:eastAsia="en-US"/>
          </w:rPr>
          <w:t>čet dní potrebných na vymáhanie záväzkov zo zmlúv a riešenie insolventnosti</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_Toc478656329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35</w:t>
        </w:r>
        <w:r w:rsidR="00DD3C1D" w:rsidRPr="00DD3C1D">
          <w:rPr>
            <w:rFonts w:ascii="Arial Narrow" w:hAnsi="Arial Narrow"/>
            <w:noProof/>
            <w:webHidden/>
          </w:rPr>
          <w:fldChar w:fldCharType="end"/>
        </w:r>
      </w:hyperlink>
    </w:p>
    <w:p w14:paraId="5747A6EB"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0" w:history="1">
        <w:r w:rsidR="00DD3C1D" w:rsidRPr="00DD3C1D">
          <w:rPr>
            <w:rStyle w:val="Hypertextovprepojenie"/>
            <w:rFonts w:ascii="Arial Narrow" w:eastAsiaTheme="majorEastAsia" w:hAnsi="Arial Narrow"/>
            <w:noProof/>
          </w:rPr>
          <w:t>Graf 27: Dĺžka konania v dňoch, občianske a obchodné veci, 2014</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_Toc478656330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36</w:t>
        </w:r>
        <w:r w:rsidR="00DD3C1D" w:rsidRPr="00DD3C1D">
          <w:rPr>
            <w:rFonts w:ascii="Arial Narrow" w:hAnsi="Arial Narrow"/>
            <w:noProof/>
            <w:webHidden/>
          </w:rPr>
          <w:fldChar w:fldCharType="end"/>
        </w:r>
      </w:hyperlink>
    </w:p>
    <w:p w14:paraId="72DB7084"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1" w:history="1">
        <w:r w:rsidR="00DD3C1D" w:rsidRPr="00DD3C1D">
          <w:rPr>
            <w:rStyle w:val="Hypertextovprepojenie"/>
            <w:rFonts w:ascii="Arial Narrow" w:eastAsiaTheme="majorEastAsia" w:hAnsi="Arial Narrow"/>
            <w:noProof/>
          </w:rPr>
          <w:t>Graf 28: Miera vybavenosti konaní V4, občianske a obchodné veci v %, 2010-2014</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_Toc478656331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36</w:t>
        </w:r>
        <w:r w:rsidR="00DD3C1D" w:rsidRPr="00DD3C1D">
          <w:rPr>
            <w:rFonts w:ascii="Arial Narrow" w:hAnsi="Arial Narrow"/>
            <w:noProof/>
            <w:webHidden/>
          </w:rPr>
          <w:fldChar w:fldCharType="end"/>
        </w:r>
      </w:hyperlink>
    </w:p>
    <w:p w14:paraId="67786E6A"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2" w:history="1">
        <w:r w:rsidR="00DD3C1D" w:rsidRPr="00DD3C1D">
          <w:rPr>
            <w:rStyle w:val="Hypertextovprepojenie"/>
            <w:rFonts w:ascii="Arial Narrow" w:eastAsiaTheme="majorEastAsia" w:hAnsi="Arial Narrow"/>
            <w:noProof/>
          </w:rPr>
          <w:t xml:space="preserve">Graf 29: </w:t>
        </w:r>
        <w:r w:rsidR="00DD3C1D" w:rsidRPr="00DD3C1D">
          <w:rPr>
            <w:rStyle w:val="Hypertextovprepojenie"/>
            <w:rFonts w:ascii="Arial Narrow" w:eastAsiaTheme="majorEastAsia" w:hAnsi="Arial Narrow" w:cs="Arial"/>
            <w:noProof/>
          </w:rPr>
          <w:t>Verejné výdavky na zdravotníctvo, 2015 (podiel na HDP)</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_Toc478656332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40</w:t>
        </w:r>
        <w:r w:rsidR="00DD3C1D" w:rsidRPr="00DD3C1D">
          <w:rPr>
            <w:rFonts w:ascii="Arial Narrow" w:hAnsi="Arial Narrow"/>
            <w:noProof/>
            <w:webHidden/>
          </w:rPr>
          <w:fldChar w:fldCharType="end"/>
        </w:r>
      </w:hyperlink>
    </w:p>
    <w:p w14:paraId="1230B918"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3" w:history="1">
        <w:r w:rsidR="00DD3C1D" w:rsidRPr="00DD3C1D">
          <w:rPr>
            <w:rStyle w:val="Hypertextovprepojenie"/>
            <w:rFonts w:ascii="Arial Narrow" w:eastAsiaTheme="majorEastAsia" w:hAnsi="Arial Narrow"/>
            <w:noProof/>
          </w:rPr>
          <w:t>Graf 30: Liečiteľná úmrtnosť, 2013 (štandardizovaná na 100 tis. obyvateľov)</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_Toc478656333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40</w:t>
        </w:r>
        <w:r w:rsidR="00DD3C1D" w:rsidRPr="00DD3C1D">
          <w:rPr>
            <w:rFonts w:ascii="Arial Narrow" w:hAnsi="Arial Narrow"/>
            <w:noProof/>
            <w:webHidden/>
          </w:rPr>
          <w:fldChar w:fldCharType="end"/>
        </w:r>
      </w:hyperlink>
    </w:p>
    <w:p w14:paraId="7239865D"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4" w:history="1">
        <w:r w:rsidR="00DD3C1D" w:rsidRPr="00DD3C1D">
          <w:rPr>
            <w:rStyle w:val="Hypertextovprepojenie"/>
            <w:rFonts w:ascii="Arial Narrow" w:eastAsiaTheme="majorEastAsia" w:hAnsi="Arial Narrow"/>
            <w:noProof/>
          </w:rPr>
          <w:t>Graf 31:</w:t>
        </w:r>
        <w:r w:rsidR="00DD3C1D" w:rsidRPr="00DD3C1D">
          <w:rPr>
            <w:rStyle w:val="Hypertextovprepojenie"/>
            <w:rFonts w:ascii="Arial Narrow" w:eastAsiaTheme="majorEastAsia" w:hAnsi="Arial Narrow" w:cs="Arial"/>
            <w:noProof/>
          </w:rPr>
          <w:t xml:space="preserve"> Efektívnosť zdravotníctva krajín OECD</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_Toc478656334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41</w:t>
        </w:r>
        <w:r w:rsidR="00DD3C1D" w:rsidRPr="00DD3C1D">
          <w:rPr>
            <w:rFonts w:ascii="Arial Narrow" w:hAnsi="Arial Narrow"/>
            <w:noProof/>
            <w:webHidden/>
          </w:rPr>
          <w:fldChar w:fldCharType="end"/>
        </w:r>
      </w:hyperlink>
    </w:p>
    <w:p w14:paraId="23E483EA"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5" w:history="1">
        <w:r w:rsidR="00DD3C1D" w:rsidRPr="00DD3C1D">
          <w:rPr>
            <w:rStyle w:val="Hypertextovprepojenie"/>
            <w:rFonts w:ascii="Arial Narrow" w:eastAsiaTheme="majorEastAsia" w:hAnsi="Arial Narrow"/>
            <w:noProof/>
          </w:rPr>
          <w:t>Graf 32: Záväzky 13 fakultných a univerzitných nemocníc rezortu zdravotníctva (mil. eur)</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_Toc478656335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41</w:t>
        </w:r>
        <w:r w:rsidR="00DD3C1D" w:rsidRPr="00DD3C1D">
          <w:rPr>
            <w:rFonts w:ascii="Arial Narrow" w:hAnsi="Arial Narrow"/>
            <w:noProof/>
            <w:webHidden/>
          </w:rPr>
          <w:fldChar w:fldCharType="end"/>
        </w:r>
      </w:hyperlink>
    </w:p>
    <w:p w14:paraId="10A571AA"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6" w:history="1">
        <w:r w:rsidR="00DD3C1D" w:rsidRPr="00DD3C1D">
          <w:rPr>
            <w:rStyle w:val="Hypertextovprepojenie"/>
            <w:rFonts w:ascii="Arial Narrow" w:hAnsi="Arial Narrow"/>
            <w:noProof/>
          </w:rPr>
          <w:t>Graf 33:</w:t>
        </w:r>
        <w:r w:rsidR="00DD3C1D" w:rsidRPr="00DD3C1D">
          <w:rPr>
            <w:rStyle w:val="Hypertextovprepojenie"/>
            <w:rFonts w:ascii="Arial Narrow" w:eastAsiaTheme="majorEastAsia" w:hAnsi="Arial Narrow"/>
            <w:noProof/>
          </w:rPr>
          <w:t xml:space="preserve"> </w:t>
        </w:r>
        <w:r w:rsidR="00DD3C1D" w:rsidRPr="00DD3C1D">
          <w:rPr>
            <w:rStyle w:val="Hypertextovprepojenie"/>
            <w:rFonts w:ascii="Arial Narrow" w:hAnsi="Arial Narrow"/>
            <w:noProof/>
          </w:rPr>
          <w:t>Miera recyklácie komunálneho odpadu</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_Toc478656336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43</w:t>
        </w:r>
        <w:r w:rsidR="00DD3C1D" w:rsidRPr="00DD3C1D">
          <w:rPr>
            <w:rFonts w:ascii="Arial Narrow" w:hAnsi="Arial Narrow"/>
            <w:noProof/>
            <w:webHidden/>
          </w:rPr>
          <w:fldChar w:fldCharType="end"/>
        </w:r>
      </w:hyperlink>
    </w:p>
    <w:p w14:paraId="36064F70" w14:textId="77777777" w:rsidR="00DD3C1D" w:rsidRPr="00DD3C1D" w:rsidRDefault="002E71B2">
      <w:pPr>
        <w:pStyle w:val="Zoznamobrzkov"/>
        <w:tabs>
          <w:tab w:val="right" w:leader="dot" w:pos="8554"/>
        </w:tabs>
        <w:rPr>
          <w:rFonts w:ascii="Arial Narrow" w:eastAsiaTheme="minorEastAsia" w:hAnsi="Arial Narrow" w:cstheme="minorBidi"/>
          <w:noProof/>
          <w:lang w:val="en-US" w:eastAsia="en-US"/>
        </w:rPr>
      </w:pPr>
      <w:hyperlink w:anchor="_Toc478656337" w:history="1">
        <w:r w:rsidR="00DD3C1D" w:rsidRPr="00DD3C1D">
          <w:rPr>
            <w:rStyle w:val="Hypertextovprepojenie"/>
            <w:rFonts w:ascii="Arial Narrow" w:eastAsiaTheme="majorEastAsia" w:hAnsi="Arial Narrow" w:cs="Arial"/>
            <w:noProof/>
          </w:rPr>
          <w:t xml:space="preserve">Graf 34: </w:t>
        </w:r>
        <w:r w:rsidR="00DD3C1D" w:rsidRPr="00DD3C1D">
          <w:rPr>
            <w:rStyle w:val="Hypertextovprepojenie"/>
            <w:rFonts w:ascii="Arial Narrow" w:eastAsiaTheme="majorEastAsia" w:hAnsi="Arial Narrow"/>
            <w:noProof/>
          </w:rPr>
          <w:t xml:space="preserve"> </w:t>
        </w:r>
        <w:r w:rsidR="00DD3C1D" w:rsidRPr="00DD3C1D">
          <w:rPr>
            <w:rStyle w:val="Hypertextovprepojenie"/>
            <w:rFonts w:ascii="Arial Narrow" w:eastAsiaTheme="majorEastAsia" w:hAnsi="Arial Narrow" w:cs="Arial"/>
            <w:noProof/>
          </w:rPr>
          <w:t>Priemerné vystavenie obyvateľstva PM2,5 v µg/m3 (2013)</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_Toc478656337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43</w:t>
        </w:r>
        <w:r w:rsidR="00DD3C1D" w:rsidRPr="00DD3C1D">
          <w:rPr>
            <w:rFonts w:ascii="Arial Narrow" w:hAnsi="Arial Narrow"/>
            <w:noProof/>
            <w:webHidden/>
          </w:rPr>
          <w:fldChar w:fldCharType="end"/>
        </w:r>
      </w:hyperlink>
    </w:p>
    <w:p w14:paraId="2B225CDF" w14:textId="77777777" w:rsidR="00DD3C1D" w:rsidRPr="00DD3C1D" w:rsidRDefault="002E71B2">
      <w:pPr>
        <w:pStyle w:val="Zoznamobrzkov"/>
        <w:tabs>
          <w:tab w:val="right" w:leader="dot" w:pos="8554"/>
        </w:tabs>
        <w:rPr>
          <w:rFonts w:asciiTheme="minorHAnsi" w:eastAsiaTheme="minorEastAsia" w:hAnsiTheme="minorHAnsi" w:cstheme="minorBidi"/>
          <w:noProof/>
          <w:lang w:val="en-US" w:eastAsia="en-US"/>
        </w:rPr>
      </w:pPr>
      <w:hyperlink w:anchor="_Toc478656338" w:history="1">
        <w:r w:rsidR="00DD3C1D" w:rsidRPr="00DD3C1D">
          <w:rPr>
            <w:rStyle w:val="Hypertextovprepojenie"/>
            <w:rFonts w:ascii="Arial Narrow" w:eastAsiaTheme="majorEastAsia" w:hAnsi="Arial Narrow"/>
            <w:noProof/>
          </w:rPr>
          <w:t>Graf 35</w:t>
        </w:r>
        <w:r w:rsidR="00DD3C1D" w:rsidRPr="00DD3C1D">
          <w:rPr>
            <w:rStyle w:val="Hypertextovprepojenie"/>
            <w:rFonts w:ascii="Arial Narrow" w:eastAsiaTheme="majorEastAsia" w:hAnsi="Arial Narrow" w:cs="Arial"/>
            <w:noProof/>
          </w:rPr>
          <w:t>: Čerpanie štrukturálnych fondov a Kohézneho fondu, 2. PO 2007-2013, (mil. eur, hodnota 2016 nad grafom)</w:t>
        </w:r>
        <w:r w:rsidR="00DD3C1D" w:rsidRPr="00DD3C1D">
          <w:rPr>
            <w:rFonts w:ascii="Arial Narrow" w:hAnsi="Arial Narrow"/>
            <w:noProof/>
            <w:webHidden/>
          </w:rPr>
          <w:tab/>
        </w:r>
        <w:r w:rsidR="00DD3C1D" w:rsidRPr="00DD3C1D">
          <w:rPr>
            <w:rFonts w:ascii="Arial Narrow" w:hAnsi="Arial Narrow"/>
            <w:noProof/>
            <w:webHidden/>
          </w:rPr>
          <w:fldChar w:fldCharType="begin"/>
        </w:r>
        <w:r w:rsidR="00DD3C1D" w:rsidRPr="00DD3C1D">
          <w:rPr>
            <w:rFonts w:ascii="Arial Narrow" w:hAnsi="Arial Narrow"/>
            <w:noProof/>
            <w:webHidden/>
          </w:rPr>
          <w:instrText xml:space="preserve"> PAGEREF _Toc478656338 \h </w:instrText>
        </w:r>
        <w:r w:rsidR="00DD3C1D" w:rsidRPr="00DD3C1D">
          <w:rPr>
            <w:rFonts w:ascii="Arial Narrow" w:hAnsi="Arial Narrow"/>
            <w:noProof/>
            <w:webHidden/>
          </w:rPr>
        </w:r>
        <w:r w:rsidR="00DD3C1D" w:rsidRPr="00DD3C1D">
          <w:rPr>
            <w:rFonts w:ascii="Arial Narrow" w:hAnsi="Arial Narrow"/>
            <w:noProof/>
            <w:webHidden/>
          </w:rPr>
          <w:fldChar w:fldCharType="separate"/>
        </w:r>
        <w:r>
          <w:rPr>
            <w:rFonts w:ascii="Arial Narrow" w:hAnsi="Arial Narrow"/>
            <w:noProof/>
            <w:webHidden/>
          </w:rPr>
          <w:t>45</w:t>
        </w:r>
        <w:r w:rsidR="00DD3C1D" w:rsidRPr="00DD3C1D">
          <w:rPr>
            <w:rFonts w:ascii="Arial Narrow" w:hAnsi="Arial Narrow"/>
            <w:noProof/>
            <w:webHidden/>
          </w:rPr>
          <w:fldChar w:fldCharType="end"/>
        </w:r>
      </w:hyperlink>
    </w:p>
    <w:p w14:paraId="538938D3" w14:textId="5BAAC731" w:rsidR="005D29C8" w:rsidRPr="0079497E" w:rsidRDefault="005D29C8" w:rsidP="007E0644">
      <w:pPr>
        <w:pStyle w:val="Zoznamobrzkov"/>
        <w:tabs>
          <w:tab w:val="right" w:leader="dot" w:pos="8554"/>
        </w:tabs>
        <w:rPr>
          <w:rFonts w:ascii="Arial Narrow" w:eastAsiaTheme="majorEastAsia" w:hAnsi="Arial Narrow" w:cstheme="majorBidi"/>
          <w:b/>
          <w:bCs/>
          <w:sz w:val="32"/>
          <w:szCs w:val="32"/>
        </w:rPr>
      </w:pPr>
      <w:r w:rsidRPr="00DD3C1D">
        <w:rPr>
          <w:rFonts w:ascii="Arial Narrow" w:hAnsi="Arial Narrow"/>
        </w:rPr>
        <w:fldChar w:fldCharType="end"/>
      </w:r>
    </w:p>
    <w:p w14:paraId="5255D403" w14:textId="7D43A938" w:rsidR="00541CFC" w:rsidRPr="00256D89" w:rsidRDefault="001E0231" w:rsidP="007E0644">
      <w:pPr>
        <w:pStyle w:val="Nadpis1"/>
        <w:spacing w:line="240" w:lineRule="auto"/>
        <w:rPr>
          <w:rFonts w:ascii="Arial Narrow" w:hAnsi="Arial Narrow"/>
          <w:color w:val="auto"/>
          <w:sz w:val="32"/>
          <w:szCs w:val="32"/>
        </w:rPr>
      </w:pPr>
      <w:bookmarkStart w:id="1" w:name="_Toc477259942"/>
      <w:r w:rsidRPr="00256D89">
        <w:rPr>
          <w:rFonts w:ascii="Arial Narrow" w:hAnsi="Arial Narrow"/>
          <w:color w:val="auto"/>
          <w:sz w:val="32"/>
          <w:szCs w:val="32"/>
        </w:rPr>
        <w:lastRenderedPageBreak/>
        <w:t>Zhrnutie</w:t>
      </w:r>
      <w:bookmarkEnd w:id="1"/>
    </w:p>
    <w:p w14:paraId="41B35D5E" w14:textId="77777777" w:rsidR="001B1A52" w:rsidRPr="00256D89" w:rsidRDefault="001B1A52" w:rsidP="00FB625E">
      <w:pPr>
        <w:spacing w:after="0" w:line="240" w:lineRule="auto"/>
        <w:jc w:val="both"/>
        <w:rPr>
          <w:rFonts w:ascii="Arial Narrow" w:hAnsi="Arial Narrow"/>
          <w:highlight w:val="yellow"/>
        </w:rPr>
      </w:pPr>
    </w:p>
    <w:p w14:paraId="1911B6AB" w14:textId="51222F3F" w:rsidR="006D547C" w:rsidRDefault="001B1A52" w:rsidP="00FB625E">
      <w:pPr>
        <w:spacing w:after="0" w:line="240" w:lineRule="auto"/>
        <w:jc w:val="both"/>
        <w:rPr>
          <w:rFonts w:ascii="Arial Narrow" w:hAnsi="Arial Narrow"/>
        </w:rPr>
      </w:pPr>
      <w:r w:rsidRPr="00256D89">
        <w:rPr>
          <w:rFonts w:ascii="Arial Narrow" w:hAnsi="Arial Narrow"/>
        </w:rPr>
        <w:t xml:space="preserve">Národný program reforiem </w:t>
      </w:r>
      <w:r w:rsidR="00AB617D" w:rsidRPr="00256D89">
        <w:rPr>
          <w:rFonts w:ascii="Arial Narrow" w:hAnsi="Arial Narrow"/>
        </w:rPr>
        <w:t>Slovenskej republiky 201</w:t>
      </w:r>
      <w:r w:rsidR="005951D1">
        <w:rPr>
          <w:rFonts w:ascii="Arial Narrow" w:hAnsi="Arial Narrow"/>
        </w:rPr>
        <w:t>7</w:t>
      </w:r>
      <w:r w:rsidR="00AB617D" w:rsidRPr="00256D89">
        <w:rPr>
          <w:rFonts w:ascii="Arial Narrow" w:hAnsi="Arial Narrow"/>
        </w:rPr>
        <w:t xml:space="preserve"> </w:t>
      </w:r>
      <w:r w:rsidRPr="00256D89">
        <w:rPr>
          <w:rFonts w:ascii="Arial Narrow" w:hAnsi="Arial Narrow"/>
        </w:rPr>
        <w:t>(NPR) popisuje štrukturálne opatrenia</w:t>
      </w:r>
      <w:r w:rsidR="00D857F3" w:rsidRPr="00256D89">
        <w:rPr>
          <w:rFonts w:ascii="Arial Narrow" w:hAnsi="Arial Narrow"/>
        </w:rPr>
        <w:t>, ktoré vlád</w:t>
      </w:r>
      <w:r w:rsidR="000264E0" w:rsidRPr="00256D89">
        <w:rPr>
          <w:rFonts w:ascii="Arial Narrow" w:hAnsi="Arial Narrow"/>
        </w:rPr>
        <w:t>a SR</w:t>
      </w:r>
      <w:r w:rsidR="00D857F3" w:rsidRPr="00256D89">
        <w:rPr>
          <w:rFonts w:ascii="Arial Narrow" w:hAnsi="Arial Narrow"/>
        </w:rPr>
        <w:t xml:space="preserve"> plánuje realizovať </w:t>
      </w:r>
      <w:r w:rsidR="000264E0" w:rsidRPr="00256D89">
        <w:rPr>
          <w:rFonts w:ascii="Arial Narrow" w:hAnsi="Arial Narrow"/>
        </w:rPr>
        <w:t xml:space="preserve">najmä </w:t>
      </w:r>
      <w:r w:rsidR="00D857F3" w:rsidRPr="00256D89">
        <w:rPr>
          <w:rFonts w:ascii="Arial Narrow" w:hAnsi="Arial Narrow"/>
        </w:rPr>
        <w:t>v najbližších dvoch rokoch.</w:t>
      </w:r>
      <w:r w:rsidRPr="00256D89">
        <w:rPr>
          <w:rFonts w:ascii="Arial Narrow" w:hAnsi="Arial Narrow"/>
        </w:rPr>
        <w:t xml:space="preserve"> </w:t>
      </w:r>
      <w:r w:rsidR="00CF3A41" w:rsidRPr="00D65B0C">
        <w:rPr>
          <w:rFonts w:ascii="Arial Narrow" w:hAnsi="Arial Narrow"/>
        </w:rPr>
        <w:t xml:space="preserve">Nový </w:t>
      </w:r>
      <w:r w:rsidR="00452324" w:rsidRPr="00D65B0C">
        <w:rPr>
          <w:rFonts w:ascii="Arial Narrow" w:hAnsi="Arial Narrow"/>
        </w:rPr>
        <w:t xml:space="preserve">komplexný </w:t>
      </w:r>
      <w:r w:rsidR="00CF3A41" w:rsidRPr="00D65B0C">
        <w:rPr>
          <w:rFonts w:ascii="Arial Narrow" w:hAnsi="Arial Narrow"/>
        </w:rPr>
        <w:t xml:space="preserve">prístup stanovovania priorít, ktorý okrem HDP berie do úvahy aj ďalšie </w:t>
      </w:r>
      <w:r w:rsidR="00452324" w:rsidRPr="00D65B0C">
        <w:rPr>
          <w:rFonts w:ascii="Arial Narrow" w:hAnsi="Arial Narrow"/>
        </w:rPr>
        <w:t>aspekty</w:t>
      </w:r>
      <w:r w:rsidR="00CF3A41" w:rsidRPr="00D65B0C">
        <w:rPr>
          <w:rFonts w:ascii="Arial Narrow" w:hAnsi="Arial Narrow"/>
        </w:rPr>
        <w:t xml:space="preserve"> kvality života, identifikoval ako </w:t>
      </w:r>
      <w:r w:rsidR="004A71BE">
        <w:rPr>
          <w:rFonts w:ascii="Arial Narrow" w:hAnsi="Arial Narrow"/>
        </w:rPr>
        <w:t>zostávaj</w:t>
      </w:r>
      <w:r w:rsidR="009B5856" w:rsidRPr="00D65B0C">
        <w:rPr>
          <w:rFonts w:ascii="Arial Narrow" w:hAnsi="Arial Narrow"/>
        </w:rPr>
        <w:t xml:space="preserve">úce </w:t>
      </w:r>
      <w:r w:rsidR="00CF3A41" w:rsidRPr="00D65B0C">
        <w:rPr>
          <w:rFonts w:ascii="Arial Narrow" w:hAnsi="Arial Narrow"/>
        </w:rPr>
        <w:t>n</w:t>
      </w:r>
      <w:r w:rsidR="00D857F3" w:rsidRPr="00D65B0C">
        <w:rPr>
          <w:rFonts w:ascii="Arial Narrow" w:hAnsi="Arial Narrow"/>
        </w:rPr>
        <w:t xml:space="preserve">ajväčšie výzvy slovenského hospodárstva </w:t>
      </w:r>
      <w:r w:rsidR="001C577B" w:rsidRPr="00D65B0C">
        <w:rPr>
          <w:rFonts w:ascii="Arial Narrow" w:hAnsi="Arial Narrow"/>
        </w:rPr>
        <w:t>trh práce, zdravotníctvo a základné školstvo.</w:t>
      </w:r>
      <w:r w:rsidR="00CF3A41" w:rsidRPr="00256D89">
        <w:rPr>
          <w:rFonts w:ascii="Arial Narrow" w:hAnsi="Arial Narrow"/>
        </w:rPr>
        <w:t xml:space="preserve"> </w:t>
      </w:r>
    </w:p>
    <w:p w14:paraId="7AC9B6D0" w14:textId="77777777" w:rsidR="00FC4A85" w:rsidRDefault="00FC4A85" w:rsidP="00FB625E">
      <w:pPr>
        <w:spacing w:after="0" w:line="240" w:lineRule="auto"/>
        <w:jc w:val="both"/>
        <w:rPr>
          <w:rFonts w:ascii="Arial Narrow" w:hAnsi="Arial Narrow"/>
        </w:rPr>
      </w:pPr>
    </w:p>
    <w:p w14:paraId="654E4D7B" w14:textId="634A5D17" w:rsidR="005951D1" w:rsidRDefault="00B52957" w:rsidP="00FB625E">
      <w:pPr>
        <w:spacing w:after="0" w:line="240" w:lineRule="auto"/>
        <w:jc w:val="both"/>
        <w:rPr>
          <w:rFonts w:ascii="Arial Narrow" w:hAnsi="Arial Narrow"/>
        </w:rPr>
      </w:pPr>
      <w:r>
        <w:rPr>
          <w:rFonts w:ascii="Arial Narrow" w:hAnsi="Arial Narrow"/>
        </w:rPr>
        <w:t>V</w:t>
      </w:r>
      <w:r w:rsidR="0051456A">
        <w:rPr>
          <w:rFonts w:ascii="Arial Narrow" w:hAnsi="Arial Narrow"/>
        </w:rPr>
        <w:t xml:space="preserve"> roku 2016 sa vytvorilo 54 tisíc </w:t>
      </w:r>
      <w:r w:rsidRPr="00B52957">
        <w:rPr>
          <w:rFonts w:ascii="Arial Narrow" w:hAnsi="Arial Narrow"/>
        </w:rPr>
        <w:t>nových pracovných miest, druhý najúspešnejší rok v histórii SR</w:t>
      </w:r>
      <w:r>
        <w:rPr>
          <w:rFonts w:ascii="Arial Narrow" w:hAnsi="Arial Narrow"/>
        </w:rPr>
        <w:t>, a m</w:t>
      </w:r>
      <w:r w:rsidR="00BC5ED9">
        <w:rPr>
          <w:rFonts w:ascii="Arial Narrow" w:hAnsi="Arial Narrow"/>
        </w:rPr>
        <w:t>iera nezamestnanosti poklesla na najnižšiu úroveň od konca roku 2008 (</w:t>
      </w:r>
      <w:r w:rsidR="00F17F29">
        <w:rPr>
          <w:rFonts w:ascii="Arial Narrow" w:hAnsi="Arial Narrow"/>
        </w:rPr>
        <w:t xml:space="preserve">9 % vo štvrtom </w:t>
      </w:r>
      <w:r w:rsidR="00BC5ED9">
        <w:rPr>
          <w:rFonts w:ascii="Arial Narrow" w:hAnsi="Arial Narrow"/>
        </w:rPr>
        <w:t>kvartáli 2016). Jej ďalší pokles by mali priniesť</w:t>
      </w:r>
      <w:r w:rsidR="00FA57CF">
        <w:rPr>
          <w:rFonts w:ascii="Arial Narrow" w:hAnsi="Arial Narrow"/>
        </w:rPr>
        <w:t xml:space="preserve"> opatrenia zamerané najmä </w:t>
      </w:r>
      <w:r w:rsidR="00BC5ED9">
        <w:rPr>
          <w:rFonts w:ascii="Arial Narrow" w:hAnsi="Arial Narrow"/>
        </w:rPr>
        <w:t xml:space="preserve">na </w:t>
      </w:r>
      <w:r w:rsidR="00736AA2" w:rsidRPr="00736AA2">
        <w:rPr>
          <w:rFonts w:ascii="Arial Narrow" w:hAnsi="Arial Narrow"/>
          <w:b/>
        </w:rPr>
        <w:t>znižovanie dlhodobej nezamestnanosti</w:t>
      </w:r>
      <w:r w:rsidR="00BC5ED9">
        <w:rPr>
          <w:rFonts w:ascii="Arial Narrow" w:hAnsi="Arial Narrow"/>
        </w:rPr>
        <w:t>.</w:t>
      </w:r>
      <w:r w:rsidR="00FA57CF">
        <w:rPr>
          <w:rFonts w:ascii="Arial Narrow" w:hAnsi="Arial Narrow"/>
        </w:rPr>
        <w:t xml:space="preserve"> </w:t>
      </w:r>
      <w:r w:rsidR="00BC5ED9">
        <w:rPr>
          <w:rFonts w:ascii="Arial Narrow" w:hAnsi="Arial Narrow"/>
        </w:rPr>
        <w:t>V</w:t>
      </w:r>
      <w:r w:rsidR="00FA57CF">
        <w:rPr>
          <w:rFonts w:ascii="Arial Narrow" w:hAnsi="Arial Narrow"/>
        </w:rPr>
        <w:t xml:space="preserve"> </w:t>
      </w:r>
      <w:r w:rsidR="00BC5ED9">
        <w:rPr>
          <w:rFonts w:ascii="Arial Narrow" w:hAnsi="Arial Narrow"/>
        </w:rPr>
        <w:t xml:space="preserve">rámci služieb zamestnanosti sa </w:t>
      </w:r>
      <w:r w:rsidR="00FA57CF">
        <w:rPr>
          <w:rFonts w:ascii="Arial Narrow" w:hAnsi="Arial Narrow"/>
        </w:rPr>
        <w:t xml:space="preserve">preto zavedie profilácia </w:t>
      </w:r>
      <w:r w:rsidR="00F01D97">
        <w:rPr>
          <w:rFonts w:ascii="Arial Narrow" w:hAnsi="Arial Narrow"/>
        </w:rPr>
        <w:t>uchádzačov o</w:t>
      </w:r>
      <w:r w:rsidR="00026106">
        <w:rPr>
          <w:rFonts w:ascii="Arial Narrow" w:hAnsi="Arial Narrow"/>
        </w:rPr>
        <w:t> </w:t>
      </w:r>
      <w:r w:rsidR="00F01D97">
        <w:rPr>
          <w:rFonts w:ascii="Arial Narrow" w:hAnsi="Arial Narrow"/>
        </w:rPr>
        <w:t>zamestnanie</w:t>
      </w:r>
      <w:r w:rsidR="00026106">
        <w:rPr>
          <w:rFonts w:ascii="Arial Narrow" w:hAnsi="Arial Narrow"/>
        </w:rPr>
        <w:t xml:space="preserve"> (UoZ)</w:t>
      </w:r>
      <w:r w:rsidR="00F01D97">
        <w:rPr>
          <w:rFonts w:ascii="Arial Narrow" w:hAnsi="Arial Narrow"/>
        </w:rPr>
        <w:t xml:space="preserve"> </w:t>
      </w:r>
      <w:r w:rsidR="00FA57CF">
        <w:rPr>
          <w:rFonts w:ascii="Arial Narrow" w:hAnsi="Arial Narrow"/>
        </w:rPr>
        <w:t xml:space="preserve">s individualizovaným </w:t>
      </w:r>
      <w:r w:rsidR="00BC5ED9">
        <w:rPr>
          <w:rFonts w:ascii="Arial Narrow" w:hAnsi="Arial Narrow"/>
        </w:rPr>
        <w:t>poradenstvo</w:t>
      </w:r>
      <w:r w:rsidR="00FA57CF">
        <w:rPr>
          <w:rFonts w:ascii="Arial Narrow" w:hAnsi="Arial Narrow"/>
        </w:rPr>
        <w:t xml:space="preserve">m a nové nástroje </w:t>
      </w:r>
      <w:r w:rsidR="00E12632">
        <w:rPr>
          <w:rFonts w:ascii="Arial Narrow" w:hAnsi="Arial Narrow"/>
        </w:rPr>
        <w:t>aktívnych politík trhu práce (APTP)</w:t>
      </w:r>
      <w:r w:rsidR="00FA57CF" w:rsidRPr="00690827">
        <w:rPr>
          <w:rFonts w:ascii="Arial Narrow" w:hAnsi="Arial Narrow"/>
        </w:rPr>
        <w:t>.</w:t>
      </w:r>
      <w:r w:rsidR="00FA57CF">
        <w:rPr>
          <w:rFonts w:ascii="Arial Narrow" w:hAnsi="Arial Narrow"/>
        </w:rPr>
        <w:t xml:space="preserve"> </w:t>
      </w:r>
      <w:r w:rsidR="00A55FB8" w:rsidRPr="00A55FB8">
        <w:rPr>
          <w:rFonts w:ascii="Arial Narrow" w:hAnsi="Arial Narrow"/>
        </w:rPr>
        <w:t xml:space="preserve">Podporí sa </w:t>
      </w:r>
      <w:r w:rsidR="00A55FB8" w:rsidRPr="008A0716">
        <w:rPr>
          <w:rFonts w:ascii="Arial Narrow" w:hAnsi="Arial Narrow"/>
          <w:b/>
        </w:rPr>
        <w:t xml:space="preserve">budovanie kapacít zariadení starostlivosti </w:t>
      </w:r>
      <w:r w:rsidR="00264BFF">
        <w:rPr>
          <w:rFonts w:ascii="Arial Narrow" w:hAnsi="Arial Narrow"/>
          <w:b/>
        </w:rPr>
        <w:t>o</w:t>
      </w:r>
      <w:r w:rsidR="00264BFF" w:rsidRPr="008A0716">
        <w:rPr>
          <w:rFonts w:ascii="Arial Narrow" w:hAnsi="Arial Narrow"/>
          <w:b/>
        </w:rPr>
        <w:t xml:space="preserve"> </w:t>
      </w:r>
      <w:r w:rsidR="00A55FB8" w:rsidRPr="008A0716">
        <w:rPr>
          <w:rFonts w:ascii="Arial Narrow" w:hAnsi="Arial Narrow"/>
          <w:b/>
        </w:rPr>
        <w:t>deti</w:t>
      </w:r>
      <w:r w:rsidR="00A55FB8" w:rsidRPr="00A55FB8">
        <w:rPr>
          <w:rFonts w:ascii="Arial Narrow" w:hAnsi="Arial Narrow"/>
        </w:rPr>
        <w:t xml:space="preserve"> </w:t>
      </w:r>
      <w:r w:rsidR="006B004C" w:rsidRPr="007913F6">
        <w:rPr>
          <w:rFonts w:ascii="Arial Narrow" w:hAnsi="Arial Narrow"/>
          <w:b/>
        </w:rPr>
        <w:t>do troch rokov</w:t>
      </w:r>
      <w:r w:rsidR="006B004C">
        <w:rPr>
          <w:rFonts w:ascii="Arial Narrow" w:hAnsi="Arial Narrow"/>
        </w:rPr>
        <w:t xml:space="preserve"> </w:t>
      </w:r>
      <w:r w:rsidR="00A55FB8" w:rsidRPr="00A55FB8">
        <w:rPr>
          <w:rFonts w:ascii="Arial Narrow" w:hAnsi="Arial Narrow"/>
        </w:rPr>
        <w:t>a flexibilné zamestnávanie matiek s deťmi. V priebehu roka sa vyhlásia viaceré projekt</w:t>
      </w:r>
      <w:r w:rsidR="003A5C4B">
        <w:rPr>
          <w:rFonts w:ascii="Arial Narrow" w:hAnsi="Arial Narrow"/>
        </w:rPr>
        <w:t xml:space="preserve">ové výzvy na </w:t>
      </w:r>
      <w:r w:rsidR="003A5C4B" w:rsidRPr="008A0716">
        <w:rPr>
          <w:rFonts w:ascii="Arial Narrow" w:hAnsi="Arial Narrow"/>
          <w:b/>
        </w:rPr>
        <w:t>podporu integrácie</w:t>
      </w:r>
      <w:r w:rsidR="003A5C4B">
        <w:rPr>
          <w:rFonts w:ascii="Arial Narrow" w:hAnsi="Arial Narrow"/>
        </w:rPr>
        <w:t xml:space="preserve"> </w:t>
      </w:r>
      <w:r w:rsidR="003A5C4B" w:rsidRPr="008A0716">
        <w:rPr>
          <w:rFonts w:ascii="Arial Narrow" w:hAnsi="Arial Narrow"/>
          <w:b/>
        </w:rPr>
        <w:t>ľudí z marginalizovaných rómskych komunít</w:t>
      </w:r>
      <w:r w:rsidR="003A5C4B">
        <w:rPr>
          <w:rFonts w:ascii="Arial Narrow" w:hAnsi="Arial Narrow"/>
        </w:rPr>
        <w:t xml:space="preserve"> (</w:t>
      </w:r>
      <w:r w:rsidR="00A55FB8" w:rsidRPr="00690827">
        <w:rPr>
          <w:rFonts w:ascii="Arial Narrow" w:hAnsi="Arial Narrow"/>
        </w:rPr>
        <w:t>MRK</w:t>
      </w:r>
      <w:r w:rsidR="003A5C4B">
        <w:rPr>
          <w:rFonts w:ascii="Arial Narrow" w:hAnsi="Arial Narrow"/>
        </w:rPr>
        <w:t>)</w:t>
      </w:r>
      <w:r w:rsidR="00A55FB8" w:rsidRPr="00690827">
        <w:rPr>
          <w:rFonts w:ascii="Arial Narrow" w:hAnsi="Arial Narrow"/>
        </w:rPr>
        <w:t>.</w:t>
      </w:r>
      <w:r w:rsidR="006B1278">
        <w:rPr>
          <w:rFonts w:ascii="Arial Narrow" w:hAnsi="Arial Narrow"/>
        </w:rPr>
        <w:t xml:space="preserve"> K rastu zamestnanosti taktiež pri</w:t>
      </w:r>
      <w:r w:rsidR="00F26420">
        <w:rPr>
          <w:rFonts w:ascii="Arial Narrow" w:hAnsi="Arial Narrow"/>
        </w:rPr>
        <w:t>s</w:t>
      </w:r>
      <w:r w:rsidR="006B1278">
        <w:rPr>
          <w:rFonts w:ascii="Arial Narrow" w:hAnsi="Arial Narrow"/>
        </w:rPr>
        <w:t xml:space="preserve">peje príchod </w:t>
      </w:r>
      <w:r w:rsidR="00A242CD">
        <w:rPr>
          <w:rFonts w:ascii="Arial Narrow" w:hAnsi="Arial Narrow"/>
        </w:rPr>
        <w:t>viacerých zahraničných investicií</w:t>
      </w:r>
      <w:r w:rsidR="006B1278">
        <w:rPr>
          <w:rFonts w:ascii="Arial Narrow" w:hAnsi="Arial Narrow"/>
        </w:rPr>
        <w:t xml:space="preserve"> v oblasti </w:t>
      </w:r>
      <w:r w:rsidR="00A242CD">
        <w:rPr>
          <w:rFonts w:ascii="Arial Narrow" w:hAnsi="Arial Narrow"/>
        </w:rPr>
        <w:t xml:space="preserve">služieb a </w:t>
      </w:r>
      <w:r w:rsidR="006B1278">
        <w:rPr>
          <w:rFonts w:ascii="Arial Narrow" w:hAnsi="Arial Narrow"/>
        </w:rPr>
        <w:t xml:space="preserve">výroby automobilov. </w:t>
      </w:r>
    </w:p>
    <w:p w14:paraId="35B43D7D" w14:textId="77777777" w:rsidR="00A55FB8" w:rsidRPr="009C694F" w:rsidRDefault="00A55FB8" w:rsidP="00FB625E">
      <w:pPr>
        <w:spacing w:after="0" w:line="240" w:lineRule="auto"/>
        <w:jc w:val="both"/>
        <w:rPr>
          <w:rFonts w:ascii="Arial Narrow" w:hAnsi="Arial Narrow"/>
        </w:rPr>
      </w:pPr>
    </w:p>
    <w:p w14:paraId="1FF5A7DC" w14:textId="6D617B78" w:rsidR="00D15EF0" w:rsidRDefault="00D15EF0" w:rsidP="00D15EF0">
      <w:pPr>
        <w:spacing w:after="0" w:line="240" w:lineRule="auto"/>
        <w:jc w:val="both"/>
        <w:rPr>
          <w:rFonts w:ascii="Arial Narrow" w:hAnsi="Arial Narrow"/>
          <w:szCs w:val="32"/>
        </w:rPr>
      </w:pPr>
      <w:r w:rsidRPr="00802A81">
        <w:rPr>
          <w:rFonts w:ascii="Arial Narrow" w:hAnsi="Arial Narrow"/>
          <w:b/>
          <w:szCs w:val="32"/>
        </w:rPr>
        <w:t>Efektívnosť výberu daní</w:t>
      </w:r>
      <w:r>
        <w:rPr>
          <w:rFonts w:ascii="Arial Narrow" w:hAnsi="Arial Narrow"/>
          <w:szCs w:val="32"/>
        </w:rPr>
        <w:t xml:space="preserve"> dosahuje najlepšie výs</w:t>
      </w:r>
      <w:r w:rsidR="00E416C6">
        <w:rPr>
          <w:rFonts w:ascii="Arial Narrow" w:hAnsi="Arial Narrow"/>
          <w:szCs w:val="32"/>
        </w:rPr>
        <w:t>l</w:t>
      </w:r>
      <w:r>
        <w:rPr>
          <w:rFonts w:ascii="Arial Narrow" w:hAnsi="Arial Narrow"/>
          <w:szCs w:val="32"/>
        </w:rPr>
        <w:t xml:space="preserve">edky od </w:t>
      </w:r>
      <w:r w:rsidR="003916B7">
        <w:rPr>
          <w:rFonts w:ascii="Arial Narrow" w:hAnsi="Arial Narrow"/>
          <w:szCs w:val="32"/>
        </w:rPr>
        <w:t xml:space="preserve">roku </w:t>
      </w:r>
      <w:r>
        <w:rPr>
          <w:rFonts w:ascii="Arial Narrow" w:hAnsi="Arial Narrow"/>
          <w:szCs w:val="32"/>
        </w:rPr>
        <w:t xml:space="preserve">2012. Na ďalšie zlepšenie efektívnosti výberu daní </w:t>
      </w:r>
      <w:r w:rsidRPr="000E36E8">
        <w:rPr>
          <w:rFonts w:ascii="Arial Narrow" w:hAnsi="Arial Narrow"/>
          <w:szCs w:val="32"/>
        </w:rPr>
        <w:t xml:space="preserve">plánuje </w:t>
      </w:r>
      <w:r w:rsidR="00E416C6">
        <w:rPr>
          <w:rFonts w:ascii="Arial Narrow" w:hAnsi="Arial Narrow"/>
          <w:szCs w:val="32"/>
        </w:rPr>
        <w:t>f</w:t>
      </w:r>
      <w:r w:rsidRPr="000E36E8">
        <w:rPr>
          <w:rFonts w:ascii="Arial Narrow" w:hAnsi="Arial Narrow"/>
          <w:szCs w:val="32"/>
        </w:rPr>
        <w:t>inančná správa zaviesť interné posudzovanie spoľahl</w:t>
      </w:r>
      <w:r>
        <w:rPr>
          <w:rFonts w:ascii="Arial Narrow" w:hAnsi="Arial Narrow"/>
          <w:szCs w:val="32"/>
        </w:rPr>
        <w:t xml:space="preserve">ivosti daňových subjektov. </w:t>
      </w:r>
      <w:r w:rsidRPr="00D15EF0">
        <w:rPr>
          <w:rFonts w:ascii="Arial Narrow" w:hAnsi="Arial Narrow"/>
          <w:szCs w:val="32"/>
        </w:rPr>
        <w:t>Na zvýšenie efektívnosti vymáhania daňových nedoplatkov sa bude tiež posudzov</w:t>
      </w:r>
      <w:r w:rsidR="003916B7">
        <w:rPr>
          <w:rFonts w:ascii="Arial Narrow" w:hAnsi="Arial Narrow"/>
          <w:szCs w:val="32"/>
        </w:rPr>
        <w:t xml:space="preserve">ať rizikovosť daňových dlžníkov. Za účelom podpory </w:t>
      </w:r>
      <w:r>
        <w:rPr>
          <w:rFonts w:ascii="Arial Narrow" w:hAnsi="Arial Narrow"/>
          <w:szCs w:val="32"/>
        </w:rPr>
        <w:t xml:space="preserve">boja proti daňovým únikom sa vybuduje centrálna analytická jednotka. </w:t>
      </w:r>
    </w:p>
    <w:p w14:paraId="6268804C" w14:textId="77777777" w:rsidR="00CC6EE8" w:rsidRDefault="00CC6EE8" w:rsidP="00FB625E">
      <w:pPr>
        <w:spacing w:after="0" w:line="240" w:lineRule="auto"/>
        <w:jc w:val="both"/>
        <w:rPr>
          <w:rFonts w:ascii="Arial Narrow" w:hAnsi="Arial Narrow"/>
          <w:szCs w:val="32"/>
        </w:rPr>
      </w:pPr>
    </w:p>
    <w:p w14:paraId="6ECA4A33" w14:textId="777740C4" w:rsidR="00BF5D6C" w:rsidRDefault="009563DF" w:rsidP="00FB625E">
      <w:pPr>
        <w:spacing w:after="0" w:line="240" w:lineRule="auto"/>
        <w:jc w:val="both"/>
        <w:rPr>
          <w:rFonts w:ascii="Arial Narrow" w:hAnsi="Arial Narrow"/>
          <w:szCs w:val="32"/>
        </w:rPr>
      </w:pPr>
      <w:r w:rsidRPr="004A20C8">
        <w:rPr>
          <w:rFonts w:ascii="Arial Narrow" w:hAnsi="Arial Narrow"/>
          <w:b/>
          <w:szCs w:val="32"/>
        </w:rPr>
        <w:t xml:space="preserve">Projekt </w:t>
      </w:r>
      <w:r w:rsidRPr="00597425">
        <w:rPr>
          <w:rFonts w:ascii="Arial Narrow" w:hAnsi="Arial Narrow"/>
          <w:b/>
          <w:i/>
          <w:szCs w:val="32"/>
        </w:rPr>
        <w:t>Hodnota za peniaze</w:t>
      </w:r>
      <w:r w:rsidRPr="009563DF">
        <w:rPr>
          <w:rFonts w:ascii="Arial Narrow" w:hAnsi="Arial Narrow"/>
          <w:szCs w:val="32"/>
        </w:rPr>
        <w:t xml:space="preserve"> je nástrojom vlády na zlepšovanie efektívnosti verejných výdavkov. Prvé výsledky priniesla revízia výdavkov na zdravotníctvo, dopravu a informatizáciu. Stanovil sa proces hodnotenia veľkých investičných projektov s aktívnejšou úlohou ministerstva financií. Do júna</w:t>
      </w:r>
      <w:r>
        <w:rPr>
          <w:rFonts w:ascii="Arial Narrow" w:hAnsi="Arial Narrow"/>
          <w:szCs w:val="32"/>
        </w:rPr>
        <w:t xml:space="preserve"> 2017 </w:t>
      </w:r>
      <w:r w:rsidR="00827D7C">
        <w:rPr>
          <w:rFonts w:ascii="Arial Narrow" w:hAnsi="Arial Narrow"/>
          <w:szCs w:val="32"/>
        </w:rPr>
        <w:t xml:space="preserve">bude vykonaná </w:t>
      </w:r>
      <w:r>
        <w:rPr>
          <w:rFonts w:ascii="Arial Narrow" w:hAnsi="Arial Narrow"/>
          <w:szCs w:val="32"/>
        </w:rPr>
        <w:t xml:space="preserve">revízia výdavkov </w:t>
      </w:r>
      <w:r w:rsidRPr="009563DF">
        <w:rPr>
          <w:rFonts w:ascii="Arial Narrow" w:hAnsi="Arial Narrow"/>
          <w:szCs w:val="32"/>
        </w:rPr>
        <w:t>zameraná na trh práce a sociálny systém, regionálne a vysoké školstvo, a životné prostredie</w:t>
      </w:r>
      <w:r w:rsidR="00E64FC5">
        <w:rPr>
          <w:rFonts w:ascii="Arial Narrow" w:hAnsi="Arial Narrow"/>
          <w:szCs w:val="32"/>
        </w:rPr>
        <w:t xml:space="preserve">. </w:t>
      </w:r>
    </w:p>
    <w:p w14:paraId="6A52631A" w14:textId="77777777" w:rsidR="00AC74EA" w:rsidRDefault="00AC74EA" w:rsidP="00FB625E">
      <w:pPr>
        <w:spacing w:after="0" w:line="240" w:lineRule="auto"/>
        <w:jc w:val="both"/>
        <w:rPr>
          <w:rFonts w:ascii="Arial Narrow" w:hAnsi="Arial Narrow"/>
          <w:b/>
          <w:szCs w:val="32"/>
        </w:rPr>
      </w:pPr>
    </w:p>
    <w:p w14:paraId="7F16BD40" w14:textId="6392AF1A" w:rsidR="00BF5D6C" w:rsidRDefault="006328F9" w:rsidP="00FB625E">
      <w:pPr>
        <w:spacing w:after="0" w:line="240" w:lineRule="auto"/>
        <w:jc w:val="both"/>
        <w:rPr>
          <w:rFonts w:ascii="Arial Narrow" w:hAnsi="Arial Narrow" w:cs="Arial Narrow"/>
        </w:rPr>
      </w:pPr>
      <w:r>
        <w:rPr>
          <w:rFonts w:ascii="Arial Narrow" w:hAnsi="Arial Narrow" w:cs="Arial Narrow"/>
        </w:rPr>
        <w:t>Prebiehajúca r</w:t>
      </w:r>
      <w:r w:rsidR="00FA57CF" w:rsidRPr="00ED15CD">
        <w:rPr>
          <w:rFonts w:ascii="Arial Narrow" w:hAnsi="Arial Narrow" w:cs="Arial Narrow"/>
        </w:rPr>
        <w:t xml:space="preserve">evízia </w:t>
      </w:r>
      <w:r w:rsidR="00FA57CF" w:rsidRPr="00736AA2">
        <w:rPr>
          <w:rFonts w:ascii="Arial Narrow" w:hAnsi="Arial Narrow" w:cs="Arial Narrow"/>
          <w:b/>
        </w:rPr>
        <w:t>výdavkov na regionálne a vysoké školstvo</w:t>
      </w:r>
      <w:r w:rsidR="00FA57CF" w:rsidRPr="00ED15CD">
        <w:rPr>
          <w:rFonts w:ascii="Arial Narrow" w:hAnsi="Arial Narrow" w:cs="Arial Narrow"/>
        </w:rPr>
        <w:t xml:space="preserve"> </w:t>
      </w:r>
      <w:r w:rsidR="00501EF7" w:rsidRPr="00ED15CD">
        <w:rPr>
          <w:rFonts w:ascii="Arial Narrow" w:hAnsi="Arial Narrow" w:cs="Arial Narrow"/>
        </w:rPr>
        <w:t xml:space="preserve">má za cieľ </w:t>
      </w:r>
      <w:r w:rsidR="00FA57CF" w:rsidRPr="00ED15CD">
        <w:rPr>
          <w:rFonts w:ascii="Arial Narrow" w:hAnsi="Arial Narrow" w:cs="Arial Narrow"/>
        </w:rPr>
        <w:t>efektívne alokovať dodatočné zdroje plynúce do školstva</w:t>
      </w:r>
      <w:r w:rsidR="00A242CD">
        <w:rPr>
          <w:rFonts w:ascii="Arial Narrow" w:hAnsi="Arial Narrow" w:cs="Arial Narrow"/>
        </w:rPr>
        <w:t xml:space="preserve"> s dôrazom na zlepšenie výsledkov žiakov</w:t>
      </w:r>
      <w:r w:rsidR="00FA57CF" w:rsidRPr="00ED15CD">
        <w:rPr>
          <w:rFonts w:ascii="Arial Narrow" w:hAnsi="Arial Narrow" w:cs="Arial Narrow"/>
        </w:rPr>
        <w:t>.</w:t>
      </w:r>
      <w:r w:rsidR="00FA57CF" w:rsidRPr="00FA57CF">
        <w:rPr>
          <w:rFonts w:ascii="Arial Narrow" w:hAnsi="Arial Narrow" w:cs="Arial Narrow"/>
        </w:rPr>
        <w:t xml:space="preserve"> </w:t>
      </w:r>
      <w:r w:rsidR="00A51BA5">
        <w:rPr>
          <w:rFonts w:ascii="Arial Narrow" w:hAnsi="Arial Narrow" w:cs="Arial Narrow"/>
        </w:rPr>
        <w:t>V</w:t>
      </w:r>
      <w:r w:rsidR="00A51BA5" w:rsidRPr="00A51BA5">
        <w:rPr>
          <w:rFonts w:ascii="Arial Narrow" w:hAnsi="Arial Narrow" w:cs="Arial Narrow"/>
        </w:rPr>
        <w:t>ýsledk</w:t>
      </w:r>
      <w:r w:rsidR="00A51BA5">
        <w:rPr>
          <w:rFonts w:ascii="Arial Narrow" w:hAnsi="Arial Narrow" w:cs="Arial Narrow"/>
        </w:rPr>
        <w:t>y</w:t>
      </w:r>
      <w:r w:rsidR="00A51BA5" w:rsidRPr="00A51BA5">
        <w:rPr>
          <w:rFonts w:ascii="Arial Narrow" w:hAnsi="Arial Narrow" w:cs="Arial Narrow"/>
        </w:rPr>
        <w:t xml:space="preserve"> regionálneho školstva </w:t>
      </w:r>
      <w:r w:rsidR="00A51BA5">
        <w:rPr>
          <w:rFonts w:ascii="Arial Narrow" w:hAnsi="Arial Narrow" w:cs="Arial Narrow"/>
        </w:rPr>
        <w:t xml:space="preserve">sa zhoršili </w:t>
      </w:r>
      <w:r w:rsidR="00A51BA5" w:rsidRPr="00A51BA5">
        <w:rPr>
          <w:rFonts w:ascii="Arial Narrow" w:hAnsi="Arial Narrow" w:cs="Arial Narrow"/>
        </w:rPr>
        <w:t xml:space="preserve">napriek nárastu zdrojov v posledných rokoch. </w:t>
      </w:r>
      <w:r w:rsidR="00FA57CF" w:rsidRPr="00FA57CF">
        <w:rPr>
          <w:rFonts w:ascii="Arial Narrow" w:hAnsi="Arial Narrow" w:cs="Arial Narrow"/>
        </w:rPr>
        <w:t xml:space="preserve">Opatrenia v oblasti školstva sa zameriavajú na zvyšovanie atraktivity učiteľského povolania najmä zvyšovaním platov učiteľov, rozšírenie kapacít </w:t>
      </w:r>
      <w:r w:rsidR="00736AA2">
        <w:rPr>
          <w:rFonts w:ascii="Arial Narrow" w:hAnsi="Arial Narrow" w:cs="Arial Narrow"/>
        </w:rPr>
        <w:t xml:space="preserve">materských škôl </w:t>
      </w:r>
      <w:r w:rsidR="00FA57CF" w:rsidRPr="00FA57CF">
        <w:rPr>
          <w:rFonts w:ascii="Arial Narrow" w:hAnsi="Arial Narrow" w:cs="Arial Narrow"/>
        </w:rPr>
        <w:t xml:space="preserve">a podporu začleňovania </w:t>
      </w:r>
      <w:r w:rsidR="00736AA2" w:rsidRPr="00690827">
        <w:rPr>
          <w:rFonts w:ascii="Arial Narrow" w:hAnsi="Arial Narrow" w:cs="Arial Narrow"/>
        </w:rPr>
        <w:t>MRK</w:t>
      </w:r>
      <w:r w:rsidR="00FA57CF" w:rsidRPr="00FA57CF">
        <w:rPr>
          <w:rFonts w:ascii="Arial Narrow" w:hAnsi="Arial Narrow" w:cs="Arial Narrow"/>
        </w:rPr>
        <w:t xml:space="preserve">. Opatrenia na zlepšenie </w:t>
      </w:r>
      <w:r w:rsidR="00FA57CF" w:rsidRPr="00736AA2">
        <w:rPr>
          <w:rFonts w:ascii="Arial Narrow" w:hAnsi="Arial Narrow" w:cs="Arial Narrow"/>
          <w:b/>
        </w:rPr>
        <w:t>vedy, výskumu a inovácií</w:t>
      </w:r>
      <w:r w:rsidR="00FA57CF" w:rsidRPr="00FA57CF">
        <w:rPr>
          <w:rFonts w:ascii="Arial Narrow" w:hAnsi="Arial Narrow" w:cs="Arial Narrow"/>
        </w:rPr>
        <w:t xml:space="preserve"> by mali zlepšiť kontrolu kvality vysokých škôl a zvýšiť efektívnosť výdavkov štátu </w:t>
      </w:r>
      <w:r w:rsidR="00F26420">
        <w:rPr>
          <w:rFonts w:ascii="Arial Narrow" w:hAnsi="Arial Narrow" w:cs="Arial Narrow"/>
        </w:rPr>
        <w:t>v</w:t>
      </w:r>
      <w:r w:rsidR="00F26420" w:rsidRPr="00FA57CF">
        <w:rPr>
          <w:rFonts w:ascii="Arial Narrow" w:hAnsi="Arial Narrow" w:cs="Arial Narrow"/>
        </w:rPr>
        <w:t xml:space="preserve"> </w:t>
      </w:r>
      <w:r w:rsidR="00FA57CF" w:rsidRPr="00FA57CF">
        <w:rPr>
          <w:rFonts w:ascii="Arial Narrow" w:hAnsi="Arial Narrow" w:cs="Arial Narrow"/>
        </w:rPr>
        <w:t xml:space="preserve">tejto oblasti. </w:t>
      </w:r>
      <w:r w:rsidR="00164B3B">
        <w:rPr>
          <w:rFonts w:ascii="Arial Narrow" w:hAnsi="Arial Narrow" w:cs="Arial Narrow"/>
        </w:rPr>
        <w:t>Z</w:t>
      </w:r>
      <w:r w:rsidR="00FA57CF" w:rsidRPr="00FA57CF">
        <w:rPr>
          <w:rFonts w:ascii="Arial Narrow" w:hAnsi="Arial Narrow" w:cs="Arial Narrow"/>
        </w:rPr>
        <w:t>výš</w:t>
      </w:r>
      <w:r w:rsidR="00164B3B">
        <w:rPr>
          <w:rFonts w:ascii="Arial Narrow" w:hAnsi="Arial Narrow" w:cs="Arial Narrow"/>
        </w:rPr>
        <w:t xml:space="preserve">i sa </w:t>
      </w:r>
      <w:r w:rsidR="00164B3B" w:rsidRPr="00FA57CF">
        <w:rPr>
          <w:rFonts w:ascii="Arial Narrow" w:hAnsi="Arial Narrow" w:cs="Arial Narrow"/>
        </w:rPr>
        <w:t>prepojenos</w:t>
      </w:r>
      <w:r w:rsidR="00164B3B">
        <w:rPr>
          <w:rFonts w:ascii="Arial Narrow" w:hAnsi="Arial Narrow" w:cs="Arial Narrow"/>
        </w:rPr>
        <w:t>ť</w:t>
      </w:r>
      <w:r w:rsidR="00164B3B" w:rsidRPr="00FA57CF">
        <w:rPr>
          <w:rFonts w:ascii="Arial Narrow" w:hAnsi="Arial Narrow" w:cs="Arial Narrow"/>
        </w:rPr>
        <w:t xml:space="preserve"> </w:t>
      </w:r>
      <w:r w:rsidR="00FA57CF" w:rsidRPr="00FA57CF">
        <w:rPr>
          <w:rFonts w:ascii="Arial Narrow" w:hAnsi="Arial Narrow" w:cs="Arial Narrow"/>
        </w:rPr>
        <w:t>vzdelávania s trhom práce.</w:t>
      </w:r>
    </w:p>
    <w:p w14:paraId="22AA3F91" w14:textId="77777777" w:rsidR="00736AA2" w:rsidRDefault="00736AA2" w:rsidP="00FB625E">
      <w:pPr>
        <w:spacing w:after="0" w:line="240" w:lineRule="auto"/>
        <w:jc w:val="both"/>
        <w:rPr>
          <w:rFonts w:ascii="Arial Narrow" w:hAnsi="Arial Narrow" w:cs="Arial Narrow"/>
        </w:rPr>
      </w:pPr>
    </w:p>
    <w:p w14:paraId="667DA31B" w14:textId="41E112E7" w:rsidR="00BF5D6C" w:rsidRDefault="00FA57CF" w:rsidP="00FA57CF">
      <w:pPr>
        <w:spacing w:after="0" w:line="240" w:lineRule="auto"/>
        <w:jc w:val="both"/>
        <w:rPr>
          <w:rFonts w:ascii="Arial Narrow" w:hAnsi="Arial Narrow"/>
          <w:szCs w:val="32"/>
        </w:rPr>
      </w:pPr>
      <w:r w:rsidRPr="00FA57CF">
        <w:rPr>
          <w:rFonts w:ascii="Arial Narrow" w:hAnsi="Arial Narrow"/>
          <w:szCs w:val="32"/>
        </w:rPr>
        <w:t xml:space="preserve">Revízia </w:t>
      </w:r>
      <w:r w:rsidR="000B5900">
        <w:rPr>
          <w:rFonts w:ascii="Arial Narrow" w:hAnsi="Arial Narrow"/>
          <w:b/>
          <w:szCs w:val="32"/>
        </w:rPr>
        <w:t>výdavkov na dopravu</w:t>
      </w:r>
      <w:r w:rsidR="000B5900">
        <w:rPr>
          <w:rFonts w:ascii="Arial Narrow" w:hAnsi="Arial Narrow"/>
          <w:szCs w:val="32"/>
        </w:rPr>
        <w:t xml:space="preserve"> </w:t>
      </w:r>
      <w:r w:rsidRPr="00FA57CF">
        <w:rPr>
          <w:rFonts w:ascii="Arial Narrow" w:hAnsi="Arial Narrow"/>
          <w:szCs w:val="32"/>
        </w:rPr>
        <w:t>identifikovala významný priestor pre zvýšenie efektívnosti výdavkov</w:t>
      </w:r>
      <w:r w:rsidR="00DA4571">
        <w:rPr>
          <w:rFonts w:ascii="Arial Narrow" w:hAnsi="Arial Narrow"/>
          <w:szCs w:val="32"/>
        </w:rPr>
        <w:t>.</w:t>
      </w:r>
      <w:r w:rsidR="00164B3B">
        <w:rPr>
          <w:rFonts w:ascii="Arial Narrow" w:hAnsi="Arial Narrow"/>
          <w:szCs w:val="32"/>
        </w:rPr>
        <w:t> Efektívnejšie výdavky by prinieslo najmä</w:t>
      </w:r>
      <w:r w:rsidR="00164B3B" w:rsidRPr="00FA57CF">
        <w:rPr>
          <w:rFonts w:ascii="Arial Narrow" w:hAnsi="Arial Narrow"/>
          <w:szCs w:val="32"/>
        </w:rPr>
        <w:t xml:space="preserve"> </w:t>
      </w:r>
      <w:r w:rsidRPr="00FA57CF">
        <w:rPr>
          <w:rFonts w:ascii="Arial Narrow" w:hAnsi="Arial Narrow"/>
          <w:szCs w:val="32"/>
        </w:rPr>
        <w:t>lepšie meranie výsledkov v oblasti hodnotenia, prioritizácie a prípravy investičných projektov, dofinancovania údržby a opráv ciest I. triedy a znižovania nákladov na prevádzku železničnej infraštruktúry. Realizuje sa výstavba chýbajúcich úsekov diaľnic a rýchlostných ciest a výstavba, obnova a údržba ciest I. triedy. Vo verejnej doprave bude pokračovať systematické zvyšovanie významu železničnej prepravy ako aj zefektívnenie verejnej osobnej dopravy.</w:t>
      </w:r>
    </w:p>
    <w:p w14:paraId="617DDA3F" w14:textId="77777777" w:rsidR="00FA57CF" w:rsidRDefault="00FA57CF" w:rsidP="00FB625E">
      <w:pPr>
        <w:spacing w:after="0" w:line="240" w:lineRule="auto"/>
        <w:jc w:val="both"/>
        <w:rPr>
          <w:rFonts w:ascii="Arial Narrow" w:hAnsi="Arial Narrow"/>
          <w:szCs w:val="32"/>
        </w:rPr>
      </w:pPr>
    </w:p>
    <w:p w14:paraId="326EE579" w14:textId="159ABA1B" w:rsidR="00BF5D6C" w:rsidRDefault="00BF5D6C" w:rsidP="00BF5D6C">
      <w:pPr>
        <w:spacing w:after="0" w:line="240" w:lineRule="auto"/>
        <w:jc w:val="both"/>
        <w:rPr>
          <w:rFonts w:ascii="Arial Narrow" w:hAnsi="Arial Narrow"/>
          <w:szCs w:val="32"/>
        </w:rPr>
      </w:pPr>
      <w:r w:rsidRPr="00802A81">
        <w:rPr>
          <w:rFonts w:ascii="Arial Narrow" w:hAnsi="Arial Narrow"/>
          <w:b/>
          <w:szCs w:val="32"/>
        </w:rPr>
        <w:t>Lepšie fungovanie verejnej správy</w:t>
      </w:r>
      <w:r>
        <w:rPr>
          <w:rFonts w:ascii="Arial Narrow" w:hAnsi="Arial Narrow"/>
          <w:szCs w:val="32"/>
        </w:rPr>
        <w:t xml:space="preserve"> by mali priniesť viaceré opatreni</w:t>
      </w:r>
      <w:r w:rsidR="00813C91">
        <w:rPr>
          <w:rFonts w:ascii="Arial Narrow" w:hAnsi="Arial Narrow"/>
          <w:szCs w:val="32"/>
        </w:rPr>
        <w:t xml:space="preserve">a. </w:t>
      </w:r>
      <w:r w:rsidR="00164B3B" w:rsidRPr="000E36E8" w:rsidDel="00C074C6">
        <w:rPr>
          <w:rFonts w:ascii="Arial Narrow" w:hAnsi="Arial Narrow"/>
          <w:szCs w:val="32"/>
        </w:rPr>
        <w:t xml:space="preserve">V roku 2017 vstupuje do platnosti </w:t>
      </w:r>
      <w:r w:rsidR="00164B3B">
        <w:rPr>
          <w:rFonts w:ascii="Arial Narrow" w:hAnsi="Arial Narrow"/>
          <w:szCs w:val="32"/>
        </w:rPr>
        <w:t xml:space="preserve">tzv. protischránkový zákon, ktorý by mal </w:t>
      </w:r>
      <w:r w:rsidR="000B5900">
        <w:rPr>
          <w:rFonts w:ascii="Arial Narrow" w:hAnsi="Arial Narrow"/>
          <w:szCs w:val="32"/>
        </w:rPr>
        <w:t xml:space="preserve">priniesť </w:t>
      </w:r>
      <w:r w:rsidR="00164B3B">
        <w:rPr>
          <w:rFonts w:ascii="Arial Narrow" w:hAnsi="Arial Narrow"/>
          <w:szCs w:val="32"/>
        </w:rPr>
        <w:t xml:space="preserve">transparentnosť do obchodov medzi štátom a súkromným sektorom. </w:t>
      </w:r>
      <w:r w:rsidR="004A20C8">
        <w:rPr>
          <w:rFonts w:ascii="Arial Narrow" w:hAnsi="Arial Narrow"/>
          <w:szCs w:val="32"/>
        </w:rPr>
        <w:t>So zámerom profe</w:t>
      </w:r>
      <w:r w:rsidR="007913F6">
        <w:rPr>
          <w:rFonts w:ascii="Arial Narrow" w:hAnsi="Arial Narrow"/>
          <w:szCs w:val="32"/>
        </w:rPr>
        <w:t>sionalizácie a odpolitizovania</w:t>
      </w:r>
      <w:r w:rsidR="00813C91">
        <w:rPr>
          <w:rFonts w:ascii="Arial Narrow" w:hAnsi="Arial Narrow"/>
          <w:szCs w:val="32"/>
        </w:rPr>
        <w:t xml:space="preserve"> štátnej služby bol prijatý zákon o štátnej službe. </w:t>
      </w:r>
      <w:r w:rsidRPr="003D4D80">
        <w:rPr>
          <w:rFonts w:ascii="Arial Narrow" w:hAnsi="Arial Narrow"/>
          <w:szCs w:val="32"/>
        </w:rPr>
        <w:t>Rozšíria a spresnia sa povinnosti verejných obchodných spoločností zverejňovať obchodné zmluvy a vytvorí sa priestor pre zverejňovanie zmlúv samospráv na jednom mieste</w:t>
      </w:r>
      <w:r w:rsidR="003C7399">
        <w:rPr>
          <w:rFonts w:ascii="Arial Narrow" w:hAnsi="Arial Narrow"/>
          <w:szCs w:val="32"/>
        </w:rPr>
        <w:t xml:space="preserve">. </w:t>
      </w:r>
      <w:r w:rsidR="001B07FE" w:rsidRPr="001B07FE">
        <w:rPr>
          <w:rFonts w:ascii="Arial Narrow" w:hAnsi="Arial Narrow"/>
          <w:szCs w:val="32"/>
        </w:rPr>
        <w:t>V rámci reformy ESO bolo k januáru 2017</w:t>
      </w:r>
      <w:r w:rsidR="00714075">
        <w:rPr>
          <w:rFonts w:ascii="Arial Narrow" w:hAnsi="Arial Narrow"/>
          <w:szCs w:val="32"/>
        </w:rPr>
        <w:t xml:space="preserve"> zriadených celkovo 50 klientsky</w:t>
      </w:r>
      <w:r w:rsidR="001B07FE" w:rsidRPr="001B07FE">
        <w:rPr>
          <w:rFonts w:ascii="Arial Narrow" w:hAnsi="Arial Narrow"/>
          <w:szCs w:val="32"/>
        </w:rPr>
        <w:t xml:space="preserve">ch centier a v </w:t>
      </w:r>
      <w:r w:rsidR="00714075">
        <w:rPr>
          <w:rFonts w:ascii="Arial Narrow" w:hAnsi="Arial Narrow"/>
          <w:szCs w:val="32"/>
        </w:rPr>
        <w:t>otváraní ďalších</w:t>
      </w:r>
      <w:r w:rsidR="001B07FE" w:rsidRPr="001B07FE">
        <w:rPr>
          <w:rFonts w:ascii="Arial Narrow" w:hAnsi="Arial Narrow"/>
          <w:szCs w:val="32"/>
        </w:rPr>
        <w:t xml:space="preserve"> sa </w:t>
      </w:r>
      <w:r w:rsidR="00E416C6">
        <w:rPr>
          <w:rFonts w:ascii="Arial Narrow" w:hAnsi="Arial Narrow"/>
          <w:szCs w:val="32"/>
        </w:rPr>
        <w:t xml:space="preserve">bude </w:t>
      </w:r>
      <w:r w:rsidR="001B07FE" w:rsidRPr="001B07FE">
        <w:rPr>
          <w:rFonts w:ascii="Arial Narrow" w:hAnsi="Arial Narrow"/>
          <w:szCs w:val="32"/>
        </w:rPr>
        <w:t>pokračovať.</w:t>
      </w:r>
      <w:r w:rsidR="0097720E" w:rsidRPr="0097720E" w:rsidDel="00C074C6">
        <w:rPr>
          <w:rFonts w:ascii="Arial Narrow" w:hAnsi="Arial Narrow"/>
          <w:szCs w:val="32"/>
        </w:rPr>
        <w:t xml:space="preserve"> </w:t>
      </w:r>
    </w:p>
    <w:p w14:paraId="413C79F8" w14:textId="77777777" w:rsidR="00D65B0C" w:rsidRDefault="00D65B0C" w:rsidP="00FB625E">
      <w:pPr>
        <w:spacing w:after="0" w:line="240" w:lineRule="auto"/>
        <w:jc w:val="both"/>
        <w:rPr>
          <w:rFonts w:ascii="Arial Narrow" w:hAnsi="Arial Narrow"/>
          <w:szCs w:val="32"/>
        </w:rPr>
      </w:pPr>
    </w:p>
    <w:p w14:paraId="7BFC1E19" w14:textId="2546E367" w:rsidR="00CE1565" w:rsidRDefault="0097720E" w:rsidP="00D645F8">
      <w:pPr>
        <w:spacing w:after="0" w:line="240" w:lineRule="auto"/>
        <w:jc w:val="both"/>
        <w:rPr>
          <w:rFonts w:ascii="Arial Narrow" w:hAnsi="Arial Narrow"/>
          <w:color w:val="000000" w:themeColor="text1"/>
        </w:rPr>
      </w:pPr>
      <w:r w:rsidRPr="00142633">
        <w:rPr>
          <w:rFonts w:ascii="Arial Narrow" w:hAnsi="Arial Narrow"/>
          <w:szCs w:val="32"/>
        </w:rPr>
        <w:t>K</w:t>
      </w:r>
      <w:r w:rsidR="00E40D79">
        <w:rPr>
          <w:rFonts w:ascii="Arial Narrow" w:hAnsi="Arial Narrow"/>
          <w:szCs w:val="32"/>
        </w:rPr>
        <w:t> </w:t>
      </w:r>
      <w:r w:rsidR="00E40D79" w:rsidRPr="00142633">
        <w:rPr>
          <w:rFonts w:ascii="Arial Narrow" w:hAnsi="Arial Narrow"/>
          <w:szCs w:val="32"/>
        </w:rPr>
        <w:t>z</w:t>
      </w:r>
      <w:r w:rsidR="00E40D79">
        <w:rPr>
          <w:rFonts w:ascii="Arial Narrow" w:hAnsi="Arial Narrow"/>
          <w:szCs w:val="32"/>
        </w:rPr>
        <w:t xml:space="preserve">níženiu </w:t>
      </w:r>
      <w:r w:rsidR="00E40D79" w:rsidRPr="00823BE9">
        <w:rPr>
          <w:rFonts w:ascii="Arial Narrow" w:hAnsi="Arial Narrow"/>
          <w:b/>
          <w:szCs w:val="32"/>
        </w:rPr>
        <w:t>administratívnej záťaže</w:t>
      </w:r>
      <w:r w:rsidR="00E40D79">
        <w:rPr>
          <w:rFonts w:ascii="Arial Narrow" w:hAnsi="Arial Narrow"/>
          <w:szCs w:val="32"/>
        </w:rPr>
        <w:t xml:space="preserve"> </w:t>
      </w:r>
      <w:r w:rsidRPr="00142633">
        <w:rPr>
          <w:rFonts w:ascii="Arial Narrow" w:hAnsi="Arial Narrow"/>
          <w:b/>
          <w:szCs w:val="32"/>
        </w:rPr>
        <w:t>podnikateľského prostredia</w:t>
      </w:r>
      <w:r w:rsidRPr="00142633">
        <w:rPr>
          <w:rFonts w:ascii="Arial Narrow" w:hAnsi="Arial Narrow"/>
          <w:szCs w:val="32"/>
        </w:rPr>
        <w:t xml:space="preserve"> prispejú </w:t>
      </w:r>
      <w:r w:rsidR="00E40D79">
        <w:rPr>
          <w:rFonts w:ascii="Arial Narrow" w:hAnsi="Arial Narrow"/>
          <w:szCs w:val="32"/>
        </w:rPr>
        <w:t xml:space="preserve">elektronizácia </w:t>
      </w:r>
      <w:r w:rsidRPr="00142633">
        <w:rPr>
          <w:rFonts w:ascii="Arial Narrow" w:hAnsi="Arial Narrow"/>
          <w:szCs w:val="32"/>
        </w:rPr>
        <w:t>v</w:t>
      </w:r>
      <w:r w:rsidR="00476E84">
        <w:rPr>
          <w:rFonts w:ascii="Arial Narrow" w:hAnsi="Arial Narrow"/>
          <w:szCs w:val="32"/>
        </w:rPr>
        <w:t xml:space="preserve"> </w:t>
      </w:r>
      <w:r w:rsidRPr="00142633">
        <w:rPr>
          <w:rFonts w:ascii="Arial Narrow" w:hAnsi="Arial Narrow"/>
          <w:szCs w:val="32"/>
        </w:rPr>
        <w:t xml:space="preserve">oblasti </w:t>
      </w:r>
      <w:r w:rsidR="00476E84">
        <w:rPr>
          <w:rFonts w:ascii="Arial Narrow" w:hAnsi="Arial Narrow"/>
          <w:szCs w:val="32"/>
        </w:rPr>
        <w:t xml:space="preserve">platenia </w:t>
      </w:r>
      <w:r w:rsidRPr="00142633">
        <w:rPr>
          <w:rFonts w:ascii="Arial Narrow" w:hAnsi="Arial Narrow"/>
          <w:szCs w:val="32"/>
        </w:rPr>
        <w:t>daní</w:t>
      </w:r>
      <w:r w:rsidR="00E40D79">
        <w:rPr>
          <w:rFonts w:ascii="Arial Narrow" w:hAnsi="Arial Narrow"/>
          <w:szCs w:val="32"/>
        </w:rPr>
        <w:t xml:space="preserve"> a vymáhania pohľadávok</w:t>
      </w:r>
      <w:r w:rsidR="00476E84">
        <w:rPr>
          <w:rFonts w:ascii="Arial Narrow" w:hAnsi="Arial Narrow"/>
          <w:szCs w:val="32"/>
        </w:rPr>
        <w:t xml:space="preserve">, </w:t>
      </w:r>
      <w:r w:rsidR="00CE2145" w:rsidRPr="00142633">
        <w:rPr>
          <w:rFonts w:ascii="Arial Narrow" w:hAnsi="Arial Narrow"/>
          <w:szCs w:val="32"/>
        </w:rPr>
        <w:t>ako aj optimalizácia</w:t>
      </w:r>
      <w:r w:rsidR="00CE2145" w:rsidRPr="00142633">
        <w:rPr>
          <w:rFonts w:ascii="Arial Narrow" w:hAnsi="Arial Narrow"/>
          <w:i/>
          <w:color w:val="000000" w:themeColor="text1"/>
        </w:rPr>
        <w:t xml:space="preserve"> </w:t>
      </w:r>
      <w:r w:rsidR="00CE2145" w:rsidRPr="00142633">
        <w:rPr>
          <w:rFonts w:ascii="Arial Narrow" w:hAnsi="Arial Narrow"/>
          <w:szCs w:val="32"/>
        </w:rPr>
        <w:t>pracovnej zdravotnej služby</w:t>
      </w:r>
      <w:r w:rsidR="00476E84">
        <w:rPr>
          <w:rFonts w:ascii="Arial Narrow" w:hAnsi="Arial Narrow"/>
          <w:szCs w:val="32"/>
        </w:rPr>
        <w:t xml:space="preserve"> </w:t>
      </w:r>
      <w:r w:rsidR="00CE2145" w:rsidRPr="00142633">
        <w:rPr>
          <w:rFonts w:ascii="Arial Narrow" w:hAnsi="Arial Narrow"/>
          <w:szCs w:val="32"/>
        </w:rPr>
        <w:t>a</w:t>
      </w:r>
      <w:r w:rsidR="00476E84">
        <w:rPr>
          <w:rFonts w:ascii="Arial Narrow" w:hAnsi="Arial Narrow"/>
          <w:szCs w:val="32"/>
        </w:rPr>
        <w:t xml:space="preserve"> </w:t>
      </w:r>
      <w:r w:rsidR="00CE2145" w:rsidRPr="00142633">
        <w:rPr>
          <w:rFonts w:ascii="Arial Narrow" w:hAnsi="Arial Narrow"/>
          <w:szCs w:val="32"/>
        </w:rPr>
        <w:t xml:space="preserve">služieb </w:t>
      </w:r>
      <w:r w:rsidR="00476E84">
        <w:rPr>
          <w:rFonts w:ascii="Arial Narrow" w:hAnsi="Arial Narrow"/>
          <w:szCs w:val="32"/>
        </w:rPr>
        <w:t>o</w:t>
      </w:r>
      <w:r w:rsidR="00CE2145" w:rsidRPr="00142633">
        <w:rPr>
          <w:rFonts w:ascii="Arial Narrow" w:hAnsi="Arial Narrow"/>
          <w:szCs w:val="32"/>
        </w:rPr>
        <w:t>bchodného registra</w:t>
      </w:r>
      <w:r w:rsidRPr="00142633">
        <w:rPr>
          <w:rFonts w:ascii="Arial Narrow" w:hAnsi="Arial Narrow"/>
          <w:szCs w:val="32"/>
        </w:rPr>
        <w:t>.</w:t>
      </w:r>
      <w:r w:rsidR="00E40D79">
        <w:rPr>
          <w:rFonts w:ascii="Arial Narrow" w:hAnsi="Arial Narrow"/>
          <w:szCs w:val="32"/>
        </w:rPr>
        <w:t xml:space="preserve"> </w:t>
      </w:r>
      <w:r w:rsidRPr="00142633">
        <w:rPr>
          <w:rFonts w:ascii="Arial Narrow" w:hAnsi="Arial Narrow"/>
          <w:color w:val="000000" w:themeColor="text1"/>
        </w:rPr>
        <w:t>Zmeny s pozitívnym vplyvom</w:t>
      </w:r>
      <w:r w:rsidR="00E40D79">
        <w:rPr>
          <w:rFonts w:ascii="Arial Narrow" w:hAnsi="Arial Narrow"/>
          <w:color w:val="000000" w:themeColor="text1"/>
        </w:rPr>
        <w:t xml:space="preserve"> </w:t>
      </w:r>
      <w:r w:rsidRPr="00142633">
        <w:rPr>
          <w:rFonts w:ascii="Arial Narrow" w:hAnsi="Arial Narrow"/>
          <w:color w:val="000000" w:themeColor="text1"/>
        </w:rPr>
        <w:t xml:space="preserve">na podnikateľské prostredie </w:t>
      </w:r>
      <w:r w:rsidR="00A14F9D" w:rsidRPr="00A14F9D">
        <w:rPr>
          <w:rFonts w:ascii="Arial Narrow" w:hAnsi="Arial Narrow"/>
          <w:color w:val="000000" w:themeColor="text1"/>
        </w:rPr>
        <w:t>boli prijaté</w:t>
      </w:r>
      <w:r w:rsidR="00A14F9D" w:rsidRPr="00142633" w:rsidDel="00A14F9D">
        <w:rPr>
          <w:rFonts w:ascii="Arial Narrow" w:hAnsi="Arial Narrow"/>
          <w:color w:val="000000" w:themeColor="text1"/>
        </w:rPr>
        <w:t xml:space="preserve"> </w:t>
      </w:r>
      <w:r w:rsidR="00E40D79">
        <w:rPr>
          <w:rFonts w:ascii="Arial Narrow" w:hAnsi="Arial Narrow"/>
          <w:color w:val="000000" w:themeColor="text1"/>
        </w:rPr>
        <w:t xml:space="preserve">aj </w:t>
      </w:r>
      <w:r w:rsidRPr="00142633">
        <w:rPr>
          <w:rFonts w:ascii="Arial Narrow" w:hAnsi="Arial Narrow"/>
          <w:color w:val="000000" w:themeColor="text1"/>
        </w:rPr>
        <w:t>v procese súdnej reštrukturalizácie a vymáhan</w:t>
      </w:r>
      <w:r w:rsidR="007E5734">
        <w:rPr>
          <w:rFonts w:ascii="Arial Narrow" w:hAnsi="Arial Narrow"/>
          <w:color w:val="000000" w:themeColor="text1"/>
        </w:rPr>
        <w:t>ia</w:t>
      </w:r>
      <w:r w:rsidRPr="00142633">
        <w:rPr>
          <w:rFonts w:ascii="Arial Narrow" w:hAnsi="Arial Narrow"/>
          <w:color w:val="000000" w:themeColor="text1"/>
        </w:rPr>
        <w:t xml:space="preserve"> pohľadávok (súdne exekúcie).</w:t>
      </w:r>
    </w:p>
    <w:p w14:paraId="6A410831" w14:textId="121B9B9F" w:rsidR="00D645F8" w:rsidRPr="00142633" w:rsidRDefault="00D645F8" w:rsidP="00D645F8">
      <w:pPr>
        <w:spacing w:after="0" w:line="240" w:lineRule="auto"/>
        <w:jc w:val="both"/>
        <w:rPr>
          <w:rFonts w:ascii="Arial Narrow" w:hAnsi="Arial Narrow"/>
          <w:i/>
          <w:color w:val="000000" w:themeColor="text1"/>
        </w:rPr>
      </w:pPr>
      <w:r w:rsidRPr="00F118CF">
        <w:rPr>
          <w:rFonts w:ascii="Arial Narrow" w:hAnsi="Arial Narrow" w:cs="Arial Narrow"/>
          <w:i/>
        </w:rPr>
        <w:lastRenderedPageBreak/>
        <w:t xml:space="preserve"> </w:t>
      </w:r>
    </w:p>
    <w:p w14:paraId="3C9236BC" w14:textId="2B8E9B52" w:rsidR="0097720E" w:rsidRDefault="00854422" w:rsidP="00D65B0C">
      <w:pPr>
        <w:spacing w:after="0" w:line="240" w:lineRule="auto"/>
        <w:jc w:val="both"/>
        <w:rPr>
          <w:rFonts w:ascii="Arial Narrow" w:hAnsi="Arial Narrow"/>
          <w:color w:val="000000" w:themeColor="text1"/>
        </w:rPr>
      </w:pPr>
      <w:r>
        <w:rPr>
          <w:rFonts w:ascii="Arial Narrow" w:hAnsi="Arial Narrow"/>
          <w:color w:val="000000" w:themeColor="text1"/>
        </w:rPr>
        <w:t>V </w:t>
      </w:r>
      <w:r w:rsidRPr="00854422">
        <w:rPr>
          <w:rFonts w:ascii="Arial Narrow" w:hAnsi="Arial Narrow"/>
          <w:b/>
          <w:color w:val="000000" w:themeColor="text1"/>
        </w:rPr>
        <w:t>súdnictve</w:t>
      </w:r>
      <w:r>
        <w:rPr>
          <w:rFonts w:ascii="Arial Narrow" w:hAnsi="Arial Narrow"/>
          <w:color w:val="000000" w:themeColor="text1"/>
        </w:rPr>
        <w:t xml:space="preserve"> sa zavedú </w:t>
      </w:r>
      <w:r w:rsidRPr="000E36E8">
        <w:rPr>
          <w:rFonts w:ascii="Arial Narrow" w:hAnsi="Arial Narrow"/>
          <w:szCs w:val="32"/>
        </w:rPr>
        <w:t>hromadné výberové konania pri obsadzovaní voľných mie</w:t>
      </w:r>
      <w:r>
        <w:rPr>
          <w:rFonts w:ascii="Arial Narrow" w:hAnsi="Arial Narrow"/>
          <w:szCs w:val="32"/>
        </w:rPr>
        <w:t>st sudcov na okresných súdoch a vytvoria sa komisie hodnotiace prácu sudcov</w:t>
      </w:r>
      <w:r w:rsidRPr="000E36E8">
        <w:rPr>
          <w:rFonts w:ascii="Arial Narrow" w:hAnsi="Arial Narrow"/>
          <w:szCs w:val="32"/>
        </w:rPr>
        <w:t xml:space="preserve">. </w:t>
      </w:r>
      <w:r>
        <w:rPr>
          <w:rFonts w:ascii="Arial Narrow" w:hAnsi="Arial Narrow"/>
          <w:szCs w:val="32"/>
        </w:rPr>
        <w:t>V roku 2017 rezort spravodlivosti plánuje vykonať</w:t>
      </w:r>
      <w:r w:rsidDel="00C074C6">
        <w:rPr>
          <w:rFonts w:ascii="Arial Narrow" w:hAnsi="Arial Narrow"/>
          <w:szCs w:val="32"/>
        </w:rPr>
        <w:t xml:space="preserve"> </w:t>
      </w:r>
      <w:r w:rsidRPr="000E36E8" w:rsidDel="00C074C6">
        <w:rPr>
          <w:rFonts w:ascii="Arial Narrow" w:hAnsi="Arial Narrow"/>
          <w:szCs w:val="32"/>
        </w:rPr>
        <w:t>audit výkonu súdnictva.</w:t>
      </w:r>
      <w:r>
        <w:rPr>
          <w:rFonts w:ascii="Arial Narrow" w:hAnsi="Arial Narrow"/>
          <w:color w:val="000000" w:themeColor="text1"/>
        </w:rPr>
        <w:t xml:space="preserve"> </w:t>
      </w:r>
      <w:r w:rsidRPr="00854422">
        <w:rPr>
          <w:rFonts w:ascii="Arial Narrow" w:hAnsi="Arial Narrow"/>
          <w:color w:val="000000" w:themeColor="text1"/>
        </w:rPr>
        <w:t xml:space="preserve">Novela bankrotového zákona </w:t>
      </w:r>
      <w:r w:rsidR="00A14F9D" w:rsidRPr="00854422">
        <w:rPr>
          <w:rFonts w:ascii="Arial Narrow" w:hAnsi="Arial Narrow"/>
          <w:color w:val="000000" w:themeColor="text1"/>
        </w:rPr>
        <w:t>prin</w:t>
      </w:r>
      <w:r w:rsidR="0085240E">
        <w:rPr>
          <w:rFonts w:ascii="Arial Narrow" w:hAnsi="Arial Narrow"/>
          <w:color w:val="000000" w:themeColor="text1"/>
        </w:rPr>
        <w:t>áša</w:t>
      </w:r>
      <w:r w:rsidR="00A14F9D" w:rsidRPr="00854422">
        <w:rPr>
          <w:rFonts w:ascii="Arial Narrow" w:hAnsi="Arial Narrow"/>
          <w:color w:val="000000" w:themeColor="text1"/>
        </w:rPr>
        <w:t xml:space="preserve"> </w:t>
      </w:r>
      <w:r w:rsidRPr="00854422">
        <w:rPr>
          <w:rFonts w:ascii="Arial Narrow" w:hAnsi="Arial Narrow"/>
          <w:color w:val="000000" w:themeColor="text1"/>
        </w:rPr>
        <w:t>dostupnejší osobný bankrot pre fyzické osoby</w:t>
      </w:r>
      <w:r>
        <w:rPr>
          <w:rFonts w:ascii="Arial Narrow" w:hAnsi="Arial Narrow"/>
          <w:color w:val="000000" w:themeColor="text1"/>
        </w:rPr>
        <w:t xml:space="preserve"> v dlhovej pasci. </w:t>
      </w:r>
    </w:p>
    <w:p w14:paraId="567BE004" w14:textId="77777777" w:rsidR="00D47DD5" w:rsidRDefault="00D47DD5" w:rsidP="00FB625E">
      <w:pPr>
        <w:spacing w:after="0" w:line="240" w:lineRule="auto"/>
        <w:jc w:val="both"/>
        <w:rPr>
          <w:rFonts w:ascii="Arial Narrow" w:hAnsi="Arial Narrow"/>
          <w:szCs w:val="32"/>
        </w:rPr>
      </w:pPr>
    </w:p>
    <w:p w14:paraId="334511FB" w14:textId="18E95569" w:rsidR="00802A81" w:rsidRDefault="00A242CD" w:rsidP="00FB625E">
      <w:pPr>
        <w:spacing w:after="0" w:line="240" w:lineRule="auto"/>
        <w:jc w:val="both"/>
        <w:rPr>
          <w:rFonts w:ascii="Arial Narrow" w:hAnsi="Arial Narrow"/>
        </w:rPr>
      </w:pPr>
      <w:r>
        <w:rPr>
          <w:rFonts w:ascii="Arial Narrow" w:hAnsi="Arial Narrow"/>
        </w:rPr>
        <w:t>I</w:t>
      </w:r>
      <w:r w:rsidR="00361C49">
        <w:rPr>
          <w:rFonts w:ascii="Arial Narrow" w:hAnsi="Arial Narrow"/>
        </w:rPr>
        <w:t>mplem</w:t>
      </w:r>
      <w:r w:rsidR="00E416C6">
        <w:rPr>
          <w:rFonts w:ascii="Arial Narrow" w:hAnsi="Arial Narrow"/>
        </w:rPr>
        <w:t>e</w:t>
      </w:r>
      <w:r w:rsidR="00361C49">
        <w:rPr>
          <w:rFonts w:ascii="Arial Narrow" w:hAnsi="Arial Narrow"/>
        </w:rPr>
        <w:t>ntácia záverov revízie výdavkov z roku 2016</w:t>
      </w:r>
      <w:r>
        <w:rPr>
          <w:rFonts w:ascii="Arial Narrow" w:hAnsi="Arial Narrow"/>
        </w:rPr>
        <w:t xml:space="preserve"> zvýši </w:t>
      </w:r>
      <w:r w:rsidRPr="00204E19">
        <w:rPr>
          <w:rFonts w:ascii="Arial Narrow" w:hAnsi="Arial Narrow"/>
          <w:b/>
        </w:rPr>
        <w:t>efektívnosť výdavkov na zdravotníctvo</w:t>
      </w:r>
      <w:r w:rsidR="00361C49">
        <w:rPr>
          <w:rFonts w:ascii="Arial Narrow" w:hAnsi="Arial Narrow"/>
        </w:rPr>
        <w:t xml:space="preserve">. Od roku 2017 </w:t>
      </w:r>
      <w:r w:rsidR="00D47DD5">
        <w:rPr>
          <w:rFonts w:ascii="Arial Narrow" w:hAnsi="Arial Narrow"/>
        </w:rPr>
        <w:t xml:space="preserve">prechádzajú </w:t>
      </w:r>
      <w:r w:rsidR="00361C49">
        <w:rPr>
          <w:rFonts w:ascii="Arial Narrow" w:hAnsi="Arial Narrow"/>
        </w:rPr>
        <w:t xml:space="preserve">platby pre lôžkové zariadenia </w:t>
      </w:r>
      <w:r w:rsidR="00D47DD5">
        <w:rPr>
          <w:rFonts w:ascii="Arial Narrow" w:hAnsi="Arial Narrow"/>
        </w:rPr>
        <w:t>na</w:t>
      </w:r>
      <w:r w:rsidR="00D47DD5" w:rsidRPr="00D47DD5">
        <w:rPr>
          <w:rFonts w:ascii="Arial Narrow" w:hAnsi="Arial Narrow"/>
        </w:rPr>
        <w:t xml:space="preserve"> systém úhrad za diagnostickú skupinu (DRG). Postupuje implementácia </w:t>
      </w:r>
      <w:r w:rsidR="00D47DD5" w:rsidRPr="003E5927">
        <w:rPr>
          <w:rFonts w:ascii="Arial Narrow" w:hAnsi="Arial Narrow"/>
          <w:i/>
        </w:rPr>
        <w:t>eHealth</w:t>
      </w:r>
      <w:r w:rsidR="00361C49">
        <w:rPr>
          <w:rFonts w:ascii="Arial Narrow" w:hAnsi="Arial Narrow"/>
        </w:rPr>
        <w:t xml:space="preserve">, ktorého plné fungovanie začne </w:t>
      </w:r>
      <w:r w:rsidR="00D47DD5" w:rsidRPr="00D47DD5">
        <w:rPr>
          <w:rFonts w:ascii="Arial Narrow" w:hAnsi="Arial Narrow"/>
        </w:rPr>
        <w:t xml:space="preserve">v roku 2018. </w:t>
      </w:r>
      <w:r w:rsidR="00524C75">
        <w:rPr>
          <w:rFonts w:ascii="Arial Narrow" w:hAnsi="Arial Narrow"/>
        </w:rPr>
        <w:t>D</w:t>
      </w:r>
      <w:r w:rsidR="00D47DD5" w:rsidRPr="00D47DD5">
        <w:rPr>
          <w:rFonts w:ascii="Arial Narrow" w:hAnsi="Arial Narrow"/>
        </w:rPr>
        <w:t xml:space="preserve">obuduje </w:t>
      </w:r>
      <w:r w:rsidR="00FD20D4">
        <w:rPr>
          <w:rFonts w:ascii="Arial Narrow" w:hAnsi="Arial Narrow"/>
        </w:rPr>
        <w:t xml:space="preserve">sa </w:t>
      </w:r>
      <w:r w:rsidR="00D47DD5" w:rsidRPr="00D47DD5">
        <w:rPr>
          <w:rFonts w:ascii="Arial Narrow" w:hAnsi="Arial Narrow"/>
        </w:rPr>
        <w:t>sieť centrálnych príjmov. Bude reorganizovaný systém pohotovostí a model kompetencií. Posilní sa transparentnosť a zavedú sa maximálne čakacie doby na ďalšie výkony aj v rámci ambulantnej starostlivosti.</w:t>
      </w:r>
    </w:p>
    <w:p w14:paraId="2E61A254" w14:textId="77777777" w:rsidR="00802A81" w:rsidRDefault="00802A81" w:rsidP="00FB625E">
      <w:pPr>
        <w:spacing w:after="0" w:line="240" w:lineRule="auto"/>
        <w:jc w:val="both"/>
        <w:rPr>
          <w:rFonts w:ascii="Arial Narrow" w:hAnsi="Arial Narrow"/>
        </w:rPr>
      </w:pPr>
    </w:p>
    <w:p w14:paraId="172A5B07" w14:textId="5FB3FC52" w:rsidR="00541CFC" w:rsidRPr="00256D89" w:rsidRDefault="00361C49" w:rsidP="00FB625E">
      <w:pPr>
        <w:spacing w:after="0" w:line="240" w:lineRule="auto"/>
        <w:jc w:val="both"/>
        <w:rPr>
          <w:rFonts w:ascii="Arial Narrow" w:eastAsiaTheme="majorEastAsia" w:hAnsi="Arial Narrow" w:cstheme="majorBidi"/>
          <w:b/>
          <w:bCs/>
          <w:sz w:val="32"/>
          <w:szCs w:val="32"/>
        </w:rPr>
      </w:pPr>
      <w:r w:rsidRPr="00256D89">
        <w:rPr>
          <w:rFonts w:ascii="Arial Narrow" w:hAnsi="Arial Narrow"/>
        </w:rPr>
        <w:t>NPR vychádza zo špecifických odporúčaní Rady EÚ pre Slovensko z roku 201</w:t>
      </w:r>
      <w:r>
        <w:rPr>
          <w:rFonts w:ascii="Arial Narrow" w:hAnsi="Arial Narrow"/>
        </w:rPr>
        <w:t>6</w:t>
      </w:r>
      <w:r w:rsidRPr="00256D89">
        <w:rPr>
          <w:rFonts w:ascii="Arial Narrow" w:hAnsi="Arial Narrow"/>
        </w:rPr>
        <w:t xml:space="preserve"> a hodnotenia ich plnenia </w:t>
      </w:r>
      <w:r w:rsidRPr="00471BD5">
        <w:rPr>
          <w:rFonts w:ascii="Arial Narrow" w:hAnsi="Arial Narrow"/>
        </w:rPr>
        <w:t>Európskou komisiou z februára 201</w:t>
      </w:r>
      <w:r>
        <w:rPr>
          <w:rFonts w:ascii="Arial Narrow" w:hAnsi="Arial Narrow"/>
        </w:rPr>
        <w:t>7</w:t>
      </w:r>
      <w:r w:rsidRPr="00471BD5">
        <w:rPr>
          <w:rFonts w:ascii="Arial Narrow" w:hAnsi="Arial Narrow"/>
        </w:rPr>
        <w:t>. Financovanie opatrení NPR bude zabezpečené v rámci stanovených limitov výdavkov</w:t>
      </w:r>
      <w:r>
        <w:rPr>
          <w:rFonts w:ascii="Arial Narrow" w:hAnsi="Arial Narrow"/>
        </w:rPr>
        <w:t xml:space="preserve"> a počtu zamestnancov kapitol štátneho rozpočtu.</w:t>
      </w:r>
      <w:r w:rsidR="00541CFC" w:rsidRPr="00256D89">
        <w:rPr>
          <w:rFonts w:ascii="Arial Narrow" w:hAnsi="Arial Narrow"/>
          <w:sz w:val="32"/>
          <w:szCs w:val="32"/>
        </w:rPr>
        <w:br w:type="page"/>
      </w:r>
    </w:p>
    <w:p w14:paraId="4EF2C9C6" w14:textId="77777777" w:rsidR="00E81DE6" w:rsidRPr="00256D89" w:rsidRDefault="00541CFC" w:rsidP="00FB625E">
      <w:pPr>
        <w:pStyle w:val="Nadpis1"/>
        <w:numPr>
          <w:ilvl w:val="0"/>
          <w:numId w:val="1"/>
        </w:numPr>
        <w:spacing w:line="240" w:lineRule="auto"/>
        <w:rPr>
          <w:rFonts w:ascii="Arial Narrow" w:hAnsi="Arial Narrow"/>
          <w:color w:val="auto"/>
          <w:sz w:val="32"/>
          <w:szCs w:val="32"/>
        </w:rPr>
      </w:pPr>
      <w:bookmarkStart w:id="2" w:name="_Toc477259943"/>
      <w:r w:rsidRPr="00256D89">
        <w:rPr>
          <w:rFonts w:ascii="Arial Narrow" w:hAnsi="Arial Narrow"/>
          <w:color w:val="auto"/>
          <w:sz w:val="32"/>
          <w:szCs w:val="32"/>
        </w:rPr>
        <w:lastRenderedPageBreak/>
        <w:t>Identifikácia výziev slovenskej ekonomiky</w:t>
      </w:r>
      <w:bookmarkEnd w:id="2"/>
    </w:p>
    <w:p w14:paraId="7DC61EB6" w14:textId="77777777" w:rsidR="00C62275" w:rsidRPr="00256D89" w:rsidRDefault="00C62275" w:rsidP="00FB625E">
      <w:pPr>
        <w:spacing w:after="0" w:line="240" w:lineRule="auto"/>
        <w:jc w:val="both"/>
        <w:rPr>
          <w:rFonts w:ascii="Arial Narrow" w:hAnsi="Arial Narrow"/>
        </w:rPr>
      </w:pPr>
    </w:p>
    <w:p w14:paraId="6D0D8893" w14:textId="345CFA16" w:rsidR="00BC2833" w:rsidRPr="00256D89" w:rsidRDefault="00BC2833" w:rsidP="00BC2833">
      <w:pPr>
        <w:spacing w:after="0" w:line="240" w:lineRule="auto"/>
        <w:jc w:val="both"/>
        <w:rPr>
          <w:rFonts w:ascii="Arial Narrow" w:hAnsi="Arial Narrow"/>
        </w:rPr>
      </w:pPr>
      <w:r>
        <w:rPr>
          <w:rFonts w:ascii="Arial Narrow" w:hAnsi="Arial Narrow"/>
        </w:rPr>
        <w:t>Najväčšie výzvy z pohľadu zaost</w:t>
      </w:r>
      <w:r w:rsidRPr="00256D89">
        <w:rPr>
          <w:rFonts w:ascii="Arial Narrow" w:hAnsi="Arial Narrow"/>
        </w:rPr>
        <w:t>ávania oproti zahraničiu predstavuje</w:t>
      </w:r>
      <w:r>
        <w:rPr>
          <w:rFonts w:ascii="Arial Narrow" w:hAnsi="Arial Narrow"/>
        </w:rPr>
        <w:t xml:space="preserve"> kvalita základného školstva,</w:t>
      </w:r>
      <w:r w:rsidRPr="00256D89">
        <w:rPr>
          <w:rFonts w:ascii="Arial Narrow" w:hAnsi="Arial Narrow"/>
        </w:rPr>
        <w:t xml:space="preserve"> trh práce</w:t>
      </w:r>
      <w:r>
        <w:rPr>
          <w:rFonts w:ascii="Arial Narrow" w:hAnsi="Arial Narrow"/>
        </w:rPr>
        <w:t xml:space="preserve"> a</w:t>
      </w:r>
      <w:r w:rsidRPr="00256D89">
        <w:rPr>
          <w:rFonts w:ascii="Arial Narrow" w:hAnsi="Arial Narrow"/>
        </w:rPr>
        <w:t xml:space="preserve"> kvalita zdravotnej starostlivosti</w:t>
      </w:r>
      <w:r>
        <w:rPr>
          <w:rStyle w:val="Odkaznapoznmkupodiarou"/>
          <w:rFonts w:ascii="Arial Narrow" w:hAnsi="Arial Narrow"/>
        </w:rPr>
        <w:footnoteReference w:id="1"/>
      </w:r>
      <w:r w:rsidRPr="00256D89">
        <w:rPr>
          <w:rFonts w:ascii="Arial Narrow" w:hAnsi="Arial Narrow"/>
        </w:rPr>
        <w:t xml:space="preserve">. </w:t>
      </w:r>
      <w:r w:rsidR="003F7C8B">
        <w:rPr>
          <w:rFonts w:ascii="Arial Narrow" w:hAnsi="Arial Narrow"/>
        </w:rPr>
        <w:t xml:space="preserve">Oproti hodnoteniu v roku 2015 došlo k zlepšeniu </w:t>
      </w:r>
      <w:r w:rsidR="00E055EB">
        <w:rPr>
          <w:rFonts w:ascii="Arial Narrow" w:hAnsi="Arial Narrow"/>
        </w:rPr>
        <w:t xml:space="preserve">najmä </w:t>
      </w:r>
      <w:r w:rsidR="003F7C8B">
        <w:rPr>
          <w:rFonts w:ascii="Arial Narrow" w:hAnsi="Arial Narrow"/>
        </w:rPr>
        <w:t>v oblasti trhu práce.</w:t>
      </w:r>
      <w:r w:rsidR="00E055EB">
        <w:rPr>
          <w:rFonts w:ascii="Arial Narrow" w:hAnsi="Arial Narrow"/>
        </w:rPr>
        <w:t xml:space="preserve"> </w:t>
      </w:r>
      <w:r>
        <w:rPr>
          <w:rFonts w:ascii="Arial Narrow" w:hAnsi="Arial Narrow"/>
        </w:rPr>
        <w:t>Okrem príjmovej nerovnosti (</w:t>
      </w:r>
      <w:r w:rsidRPr="00256D89">
        <w:rPr>
          <w:rFonts w:ascii="Arial Narrow" w:hAnsi="Arial Narrow"/>
        </w:rPr>
        <w:t>sociáln</w:t>
      </w:r>
      <w:r>
        <w:rPr>
          <w:rFonts w:ascii="Arial Narrow" w:hAnsi="Arial Narrow"/>
        </w:rPr>
        <w:t xml:space="preserve">a </w:t>
      </w:r>
      <w:r w:rsidRPr="00256D89">
        <w:rPr>
          <w:rFonts w:ascii="Arial Narrow" w:hAnsi="Arial Narrow"/>
        </w:rPr>
        <w:t>udržateľnos</w:t>
      </w:r>
      <w:r>
        <w:rPr>
          <w:rFonts w:ascii="Arial Narrow" w:hAnsi="Arial Narrow"/>
        </w:rPr>
        <w:t xml:space="preserve">ť) </w:t>
      </w:r>
      <w:r w:rsidRPr="00256D89">
        <w:rPr>
          <w:rFonts w:ascii="Arial Narrow" w:hAnsi="Arial Narrow"/>
        </w:rPr>
        <w:t>dosahuje Slovensko vo všetkých ostatných sledovaných výsledkových ukazovateľoch podpriemerné hodnoty</w:t>
      </w:r>
      <w:r>
        <w:rPr>
          <w:rFonts w:ascii="Arial Narrow" w:hAnsi="Arial Narrow"/>
        </w:rPr>
        <w:t xml:space="preserve"> (Graf 1)</w:t>
      </w:r>
      <w:r w:rsidRPr="00256D89">
        <w:rPr>
          <w:rFonts w:ascii="Arial Narrow" w:hAnsi="Arial Narrow"/>
        </w:rPr>
        <w:t>.</w:t>
      </w:r>
    </w:p>
    <w:p w14:paraId="3B3D7048" w14:textId="77777777" w:rsidR="00BC2833" w:rsidRPr="00256D89" w:rsidRDefault="00BC2833" w:rsidP="00BC2833">
      <w:pPr>
        <w:spacing w:after="0" w:line="240" w:lineRule="auto"/>
        <w:jc w:val="both"/>
        <w:rPr>
          <w:rFonts w:ascii="Arial Narrow" w:hAnsi="Arial Narrow"/>
        </w:rPr>
      </w:pPr>
    </w:p>
    <w:p w14:paraId="4623BE26" w14:textId="7C8AAD05" w:rsidR="003D28C8" w:rsidRDefault="00BC2833" w:rsidP="00BC2833">
      <w:pPr>
        <w:spacing w:after="0" w:line="240" w:lineRule="auto"/>
        <w:jc w:val="both"/>
        <w:rPr>
          <w:rFonts w:ascii="Arial Narrow" w:hAnsi="Arial Narrow"/>
        </w:rPr>
      </w:pPr>
      <w:r w:rsidRPr="00256D89">
        <w:rPr>
          <w:rFonts w:ascii="Arial Narrow" w:hAnsi="Arial Narrow"/>
        </w:rPr>
        <w:t>Výsledkové ukazovatele sú spárované s doplnkovými indikátormi (</w:t>
      </w:r>
      <w:r>
        <w:rPr>
          <w:rFonts w:ascii="Arial Narrow" w:hAnsi="Arial Narrow"/>
        </w:rPr>
        <w:t>G</w:t>
      </w:r>
      <w:r w:rsidRPr="00256D89">
        <w:rPr>
          <w:rFonts w:ascii="Arial Narrow" w:hAnsi="Arial Narrow"/>
        </w:rPr>
        <w:t>raf</w:t>
      </w:r>
      <w:r>
        <w:rPr>
          <w:rFonts w:ascii="Arial Narrow" w:hAnsi="Arial Narrow"/>
        </w:rPr>
        <w:t xml:space="preserve"> 2</w:t>
      </w:r>
      <w:r w:rsidRPr="00256D89">
        <w:rPr>
          <w:rFonts w:ascii="Arial Narrow" w:hAnsi="Arial Narrow"/>
        </w:rPr>
        <w:t>), ktoré široko definovaný problém</w:t>
      </w:r>
      <w:r>
        <w:rPr>
          <w:rFonts w:ascii="Arial Narrow" w:hAnsi="Arial Narrow"/>
        </w:rPr>
        <w:t xml:space="preserve"> </w:t>
      </w:r>
      <w:r w:rsidR="000B5900">
        <w:rPr>
          <w:rFonts w:ascii="Arial Narrow" w:hAnsi="Arial Narrow"/>
        </w:rPr>
        <w:t>(napríklad trh práce) di</w:t>
      </w:r>
      <w:r w:rsidRPr="00256D89">
        <w:rPr>
          <w:rFonts w:ascii="Arial Narrow" w:hAnsi="Arial Narrow"/>
        </w:rPr>
        <w:t xml:space="preserve">sagregujú na menšie, uchopiteľnejšie oblasti (napr. </w:t>
      </w:r>
      <w:r w:rsidRPr="00A7530C">
        <w:rPr>
          <w:rFonts w:ascii="Arial Narrow" w:hAnsi="Arial Narrow"/>
        </w:rPr>
        <w:t xml:space="preserve">nezamestnanosť ľudí so základným vzdelaním </w:t>
      </w:r>
      <w:r w:rsidRPr="00256D89">
        <w:rPr>
          <w:rFonts w:ascii="Arial Narrow" w:hAnsi="Arial Narrow"/>
        </w:rPr>
        <w:t>alebo</w:t>
      </w:r>
      <w:r>
        <w:rPr>
          <w:rFonts w:ascii="Arial Narrow" w:hAnsi="Arial Narrow"/>
        </w:rPr>
        <w:t xml:space="preserve"> predchádzateľné úmrtia v kvalite </w:t>
      </w:r>
      <w:r w:rsidR="00A256AC">
        <w:rPr>
          <w:rFonts w:ascii="Arial Narrow" w:hAnsi="Arial Narrow"/>
        </w:rPr>
        <w:t>zdravia</w:t>
      </w:r>
      <w:r w:rsidR="00A256AC">
        <w:rPr>
          <w:rStyle w:val="Odkaznapoznmkupodiarou"/>
          <w:rFonts w:ascii="Arial Narrow" w:hAnsi="Arial Narrow"/>
        </w:rPr>
        <w:footnoteReference w:id="2"/>
      </w:r>
      <w:r w:rsidRPr="00256D89">
        <w:rPr>
          <w:rFonts w:ascii="Arial Narrow" w:hAnsi="Arial Narrow"/>
        </w:rPr>
        <w:t>). Body v ľavom dolnom kvadrante tak obsahujú podpriemerné výsledkové a zároveň doplnkové ukazovatele.</w:t>
      </w:r>
      <w:r w:rsidR="000B5900">
        <w:rPr>
          <w:rFonts w:ascii="Arial Narrow" w:hAnsi="Arial Narrow"/>
        </w:rPr>
        <w:t xml:space="preserve"> </w:t>
      </w:r>
      <w:r w:rsidRPr="00A7530C">
        <w:rPr>
          <w:rFonts w:ascii="Arial Narrow" w:hAnsi="Arial Narrow"/>
        </w:rPr>
        <w:t>V ľavom hornom kvadrante sú oblasti, v ktorých dosahujeme podpriemerné výsledky, avšak s nadpriemernými vstupmi (napr.</w:t>
      </w:r>
      <w:r w:rsidR="000B5900">
        <w:rPr>
          <w:rFonts w:ascii="Arial Narrow" w:hAnsi="Arial Narrow"/>
        </w:rPr>
        <w:t xml:space="preserve"> nízky počet citácií a vysoká miera</w:t>
      </w:r>
      <w:r w:rsidRPr="00A7530C">
        <w:rPr>
          <w:rFonts w:ascii="Arial Narrow" w:hAnsi="Arial Narrow"/>
        </w:rPr>
        <w:t xml:space="preserve"> absolventov doktorandského štúdia).</w:t>
      </w:r>
    </w:p>
    <w:p w14:paraId="3C688D07" w14:textId="644291DE" w:rsidR="00C83F39" w:rsidRDefault="00BC2833" w:rsidP="00BC2833">
      <w:pPr>
        <w:spacing w:after="0" w:line="240" w:lineRule="auto"/>
        <w:jc w:val="both"/>
        <w:rPr>
          <w:rFonts w:ascii="Arial Narrow" w:hAnsi="Arial Narrow"/>
        </w:rPr>
      </w:pPr>
      <w:r w:rsidRPr="00A7530C">
        <w:rPr>
          <w:rFonts w:ascii="Arial Narrow" w:hAnsi="Arial Narrow"/>
        </w:rPr>
        <w:t xml:space="preserve"> </w:t>
      </w:r>
    </w:p>
    <w:tbl>
      <w:tblPr>
        <w:tblpPr w:leftFromText="141" w:rightFromText="141" w:vertAnchor="text" w:horzAnchor="margin" w:tblpXSpec="center" w:tblpY="109"/>
        <w:tblOverlap w:val="never"/>
        <w:tblW w:w="86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207"/>
        <w:gridCol w:w="4128"/>
        <w:gridCol w:w="161"/>
        <w:gridCol w:w="4151"/>
      </w:tblGrid>
      <w:tr w:rsidR="00BC4214" w:rsidRPr="00614593" w14:paraId="1BF52F9E" w14:textId="77777777" w:rsidTr="00A45EB5">
        <w:trPr>
          <w:trHeight w:val="268"/>
        </w:trPr>
        <w:tc>
          <w:tcPr>
            <w:tcW w:w="2507" w:type="pct"/>
            <w:gridSpan w:val="2"/>
            <w:tcBorders>
              <w:top w:val="nil"/>
              <w:left w:val="nil"/>
              <w:bottom w:val="single" w:sz="4" w:space="0" w:color="auto"/>
              <w:right w:val="nil"/>
            </w:tcBorders>
            <w:shd w:val="clear" w:color="auto" w:fill="auto"/>
            <w:vAlign w:val="center"/>
          </w:tcPr>
          <w:p w14:paraId="15D41AD5" w14:textId="223BDDB6" w:rsidR="00BC4214" w:rsidRPr="00F4601C" w:rsidRDefault="00F4601C" w:rsidP="00A45EB5">
            <w:pPr>
              <w:spacing w:before="40" w:after="0"/>
              <w:rPr>
                <w:rFonts w:ascii="Arial Narrow" w:hAnsi="Arial Narrow" w:cs="Arial"/>
                <w:b/>
                <w:color w:val="2C9ADC"/>
                <w:sz w:val="20"/>
                <w:szCs w:val="18"/>
              </w:rPr>
            </w:pPr>
            <w:bookmarkStart w:id="3" w:name="_Toc478656304"/>
            <w:r w:rsidRPr="00F4601C">
              <w:rPr>
                <w:rFonts w:ascii="Arial Narrow" w:hAnsi="Arial Narrow" w:cs="Arial"/>
                <w:b/>
                <w:color w:val="2C9ADC"/>
                <w:sz w:val="20"/>
                <w:szCs w:val="18"/>
              </w:rPr>
              <w:t xml:space="preserve">Graf </w:t>
            </w:r>
            <w:r w:rsidRPr="00F4601C">
              <w:rPr>
                <w:rFonts w:ascii="Arial Narrow" w:hAnsi="Arial Narrow" w:cs="Arial"/>
                <w:b/>
                <w:color w:val="2C9ADC"/>
                <w:sz w:val="20"/>
                <w:szCs w:val="18"/>
              </w:rPr>
              <w:fldChar w:fldCharType="begin"/>
            </w:r>
            <w:r w:rsidRPr="00F4601C">
              <w:rPr>
                <w:rFonts w:ascii="Arial Narrow" w:hAnsi="Arial Narrow" w:cs="Arial"/>
                <w:b/>
                <w:color w:val="2C9ADC"/>
                <w:sz w:val="20"/>
                <w:szCs w:val="18"/>
              </w:rPr>
              <w:instrText xml:space="preserve"> SEQ Graf \* ARABIC </w:instrText>
            </w:r>
            <w:r w:rsidRPr="00F4601C">
              <w:rPr>
                <w:rFonts w:ascii="Arial Narrow" w:hAnsi="Arial Narrow" w:cs="Arial"/>
                <w:b/>
                <w:color w:val="2C9ADC"/>
                <w:sz w:val="20"/>
                <w:szCs w:val="18"/>
              </w:rPr>
              <w:fldChar w:fldCharType="separate"/>
            </w:r>
            <w:r w:rsidR="002E71B2">
              <w:rPr>
                <w:rFonts w:ascii="Arial Narrow" w:hAnsi="Arial Narrow" w:cs="Arial"/>
                <w:b/>
                <w:noProof/>
                <w:color w:val="2C9ADC"/>
                <w:sz w:val="20"/>
                <w:szCs w:val="18"/>
              </w:rPr>
              <w:t>1</w:t>
            </w:r>
            <w:r w:rsidRPr="00F4601C">
              <w:rPr>
                <w:rFonts w:ascii="Arial Narrow" w:hAnsi="Arial Narrow" w:cs="Arial"/>
                <w:b/>
                <w:color w:val="2C9ADC"/>
                <w:sz w:val="20"/>
                <w:szCs w:val="18"/>
              </w:rPr>
              <w:fldChar w:fldCharType="end"/>
            </w:r>
            <w:r w:rsidRPr="00F4601C">
              <w:rPr>
                <w:rFonts w:ascii="Arial Narrow" w:hAnsi="Arial Narrow" w:cs="Arial"/>
                <w:b/>
                <w:color w:val="2C9ADC"/>
                <w:sz w:val="20"/>
                <w:szCs w:val="18"/>
              </w:rPr>
              <w:t xml:space="preserve">:  </w:t>
            </w:r>
            <w:r w:rsidR="00BC4214">
              <w:rPr>
                <w:rFonts w:ascii="Arial Narrow" w:hAnsi="Arial Narrow" w:cs="Arial"/>
                <w:b/>
                <w:color w:val="2C9ADC"/>
                <w:sz w:val="20"/>
                <w:szCs w:val="18"/>
              </w:rPr>
              <w:t>Sledované výsledko</w:t>
            </w:r>
            <w:r w:rsidR="00BC4214" w:rsidRPr="00F73772">
              <w:rPr>
                <w:rFonts w:ascii="Arial Narrow" w:hAnsi="Arial Narrow" w:cs="Arial"/>
                <w:b/>
                <w:color w:val="2C9ADC"/>
                <w:sz w:val="20"/>
                <w:szCs w:val="18"/>
              </w:rPr>
              <w:t>v</w:t>
            </w:r>
            <w:r w:rsidR="00BC4214">
              <w:rPr>
                <w:rFonts w:ascii="Arial Narrow" w:hAnsi="Arial Narrow" w:cs="Arial"/>
                <w:b/>
                <w:color w:val="2C9ADC"/>
                <w:sz w:val="20"/>
                <w:szCs w:val="18"/>
              </w:rPr>
              <w:t>é</w:t>
            </w:r>
            <w:r w:rsidR="00BC4214" w:rsidRPr="00F73772">
              <w:rPr>
                <w:rFonts w:ascii="Arial Narrow" w:hAnsi="Arial Narrow" w:cs="Arial"/>
                <w:b/>
                <w:color w:val="2C9ADC"/>
                <w:sz w:val="20"/>
                <w:szCs w:val="18"/>
              </w:rPr>
              <w:t xml:space="preserve"> ukazovate</w:t>
            </w:r>
            <w:r w:rsidR="00BC4214">
              <w:rPr>
                <w:rFonts w:ascii="Arial Narrow" w:hAnsi="Arial Narrow" w:cs="Arial"/>
                <w:b/>
                <w:color w:val="2C9ADC"/>
                <w:sz w:val="20"/>
                <w:szCs w:val="18"/>
              </w:rPr>
              <w:t>le, štandardná odchýlka</w:t>
            </w:r>
            <w:r w:rsidR="00BC4214" w:rsidRPr="00F73772">
              <w:rPr>
                <w:rFonts w:ascii="Arial Narrow" w:hAnsi="Arial Narrow" w:cs="Arial"/>
                <w:b/>
                <w:color w:val="2C9ADC"/>
                <w:sz w:val="20"/>
                <w:szCs w:val="18"/>
              </w:rPr>
              <w:t xml:space="preserve"> </w:t>
            </w:r>
            <w:r w:rsidR="00BC4214">
              <w:rPr>
                <w:rFonts w:ascii="Arial Narrow" w:hAnsi="Arial Narrow" w:cs="Arial"/>
                <w:b/>
                <w:color w:val="2C9ADC"/>
                <w:sz w:val="20"/>
                <w:szCs w:val="18"/>
              </w:rPr>
              <w:t>od priemeru OECD a EÚ</w:t>
            </w:r>
            <w:bookmarkEnd w:id="3"/>
            <w:r w:rsidR="00BC4214" w:rsidRPr="00F73772">
              <w:rPr>
                <w:rFonts w:ascii="Arial Narrow" w:hAnsi="Arial Narrow" w:cs="Arial"/>
                <w:b/>
                <w:color w:val="2C9ADC"/>
                <w:sz w:val="20"/>
                <w:szCs w:val="18"/>
              </w:rPr>
              <w:t xml:space="preserve">  </w:t>
            </w:r>
          </w:p>
        </w:tc>
        <w:tc>
          <w:tcPr>
            <w:tcW w:w="93" w:type="pct"/>
            <w:tcBorders>
              <w:top w:val="nil"/>
              <w:left w:val="nil"/>
              <w:bottom w:val="nil"/>
              <w:right w:val="nil"/>
            </w:tcBorders>
            <w:shd w:val="clear" w:color="auto" w:fill="auto"/>
            <w:vAlign w:val="center"/>
          </w:tcPr>
          <w:p w14:paraId="05162431" w14:textId="77777777" w:rsidR="00BC4214" w:rsidRPr="00614593" w:rsidRDefault="00BC4214" w:rsidP="00A45EB5">
            <w:pPr>
              <w:spacing w:before="60" w:after="0"/>
              <w:rPr>
                <w:rFonts w:ascii="Arial Narrow" w:hAnsi="Arial Narrow" w:cs="Arial"/>
                <w:b/>
                <w:color w:val="2C9ADC"/>
                <w:sz w:val="18"/>
                <w:szCs w:val="18"/>
              </w:rPr>
            </w:pPr>
          </w:p>
        </w:tc>
        <w:tc>
          <w:tcPr>
            <w:tcW w:w="2400" w:type="pct"/>
            <w:tcBorders>
              <w:top w:val="nil"/>
              <w:left w:val="nil"/>
              <w:bottom w:val="single" w:sz="4" w:space="0" w:color="auto"/>
              <w:right w:val="nil"/>
            </w:tcBorders>
            <w:shd w:val="clear" w:color="auto" w:fill="auto"/>
            <w:vAlign w:val="center"/>
          </w:tcPr>
          <w:p w14:paraId="3D7711DD" w14:textId="32B7D3C8" w:rsidR="00BC4214" w:rsidRPr="00614593" w:rsidRDefault="00F4601C" w:rsidP="00A45EB5">
            <w:pPr>
              <w:spacing w:before="40" w:after="0"/>
              <w:rPr>
                <w:rFonts w:ascii="Arial Narrow" w:hAnsi="Arial Narrow" w:cs="Arial"/>
                <w:b/>
                <w:color w:val="2C9ADC"/>
                <w:sz w:val="18"/>
                <w:szCs w:val="18"/>
              </w:rPr>
            </w:pPr>
            <w:bookmarkStart w:id="4" w:name="_Toc478656305"/>
            <w:r w:rsidRPr="00F4601C">
              <w:rPr>
                <w:rFonts w:ascii="Arial Narrow" w:hAnsi="Arial Narrow" w:cs="Arial"/>
                <w:b/>
                <w:color w:val="2C9ADC"/>
                <w:sz w:val="20"/>
                <w:szCs w:val="18"/>
              </w:rPr>
              <w:t xml:space="preserve">Graf </w:t>
            </w:r>
            <w:r w:rsidRPr="00F4601C">
              <w:rPr>
                <w:rFonts w:ascii="Arial Narrow" w:hAnsi="Arial Narrow" w:cs="Arial"/>
                <w:b/>
                <w:color w:val="2C9ADC"/>
                <w:sz w:val="20"/>
                <w:szCs w:val="18"/>
              </w:rPr>
              <w:fldChar w:fldCharType="begin"/>
            </w:r>
            <w:r w:rsidRPr="00F4601C">
              <w:rPr>
                <w:rFonts w:ascii="Arial Narrow" w:hAnsi="Arial Narrow" w:cs="Arial"/>
                <w:b/>
                <w:color w:val="2C9ADC"/>
                <w:sz w:val="20"/>
                <w:szCs w:val="18"/>
              </w:rPr>
              <w:instrText xml:space="preserve"> SEQ Graf \* ARABIC </w:instrText>
            </w:r>
            <w:r w:rsidRPr="00F4601C">
              <w:rPr>
                <w:rFonts w:ascii="Arial Narrow" w:hAnsi="Arial Narrow" w:cs="Arial"/>
                <w:b/>
                <w:color w:val="2C9ADC"/>
                <w:sz w:val="20"/>
                <w:szCs w:val="18"/>
              </w:rPr>
              <w:fldChar w:fldCharType="separate"/>
            </w:r>
            <w:r w:rsidR="002E71B2">
              <w:rPr>
                <w:rFonts w:ascii="Arial Narrow" w:hAnsi="Arial Narrow" w:cs="Arial"/>
                <w:b/>
                <w:noProof/>
                <w:color w:val="2C9ADC"/>
                <w:sz w:val="20"/>
                <w:szCs w:val="18"/>
              </w:rPr>
              <w:t>2</w:t>
            </w:r>
            <w:r w:rsidRPr="00F4601C">
              <w:rPr>
                <w:rFonts w:ascii="Arial Narrow" w:hAnsi="Arial Narrow" w:cs="Arial"/>
                <w:b/>
                <w:color w:val="2C9ADC"/>
                <w:sz w:val="20"/>
                <w:szCs w:val="18"/>
              </w:rPr>
              <w:fldChar w:fldCharType="end"/>
            </w:r>
            <w:r>
              <w:rPr>
                <w:rFonts w:ascii="Arial Narrow" w:hAnsi="Arial Narrow" w:cs="Arial"/>
                <w:b/>
                <w:color w:val="2C9ADC"/>
                <w:sz w:val="20"/>
                <w:szCs w:val="18"/>
              </w:rPr>
              <w:t xml:space="preserve">: </w:t>
            </w:r>
            <w:r w:rsidR="00BC4214">
              <w:rPr>
                <w:rFonts w:ascii="Arial Narrow" w:hAnsi="Arial Narrow" w:cs="Arial"/>
                <w:b/>
                <w:color w:val="2C9ADC"/>
                <w:sz w:val="20"/>
                <w:szCs w:val="18"/>
              </w:rPr>
              <w:t>„Disagregácia“ výsledkových ukazovateľov pomocou doplnkových indikátorov, štandardná odchýlka od priemeru ostatných krajín</w:t>
            </w:r>
            <w:bookmarkEnd w:id="4"/>
          </w:p>
        </w:tc>
      </w:tr>
      <w:tr w:rsidR="00BC4214" w:rsidRPr="00614593" w14:paraId="695D457B" w14:textId="77777777" w:rsidTr="00A45EB5">
        <w:trPr>
          <w:gridBefore w:val="1"/>
          <w:wBefore w:w="120" w:type="pct"/>
          <w:trHeight w:val="4033"/>
        </w:trPr>
        <w:tc>
          <w:tcPr>
            <w:tcW w:w="2387" w:type="pct"/>
            <w:tcBorders>
              <w:top w:val="single" w:sz="4" w:space="0" w:color="auto"/>
              <w:left w:val="nil"/>
              <w:bottom w:val="single" w:sz="4" w:space="0" w:color="auto"/>
              <w:right w:val="nil"/>
            </w:tcBorders>
            <w:vAlign w:val="center"/>
          </w:tcPr>
          <w:p w14:paraId="28307C31" w14:textId="77777777" w:rsidR="00BC4214" w:rsidRPr="00522B96" w:rsidRDefault="00BC4214" w:rsidP="00A45EB5">
            <w:pPr>
              <w:spacing w:before="40" w:after="40"/>
              <w:ind w:left="-136" w:hanging="142"/>
              <w:jc w:val="center"/>
              <w:rPr>
                <w:rFonts w:ascii="Arial Narrow" w:hAnsi="Arial Narrow" w:cs="Arial"/>
                <w:b/>
                <w:sz w:val="20"/>
                <w:szCs w:val="20"/>
              </w:rPr>
            </w:pPr>
            <w:r>
              <w:rPr>
                <w:noProof/>
                <w:lang w:val="en-US" w:eastAsia="en-US"/>
              </w:rPr>
              <w:drawing>
                <wp:inline distT="0" distB="0" distL="0" distR="0" wp14:anchorId="0F7047DD" wp14:editId="7B7F6528">
                  <wp:extent cx="2532380" cy="2460062"/>
                  <wp:effectExtent l="0" t="0" r="127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93" w:type="pct"/>
            <w:tcBorders>
              <w:top w:val="nil"/>
              <w:left w:val="nil"/>
              <w:bottom w:val="nil"/>
              <w:right w:val="nil"/>
            </w:tcBorders>
            <w:vAlign w:val="center"/>
          </w:tcPr>
          <w:p w14:paraId="67193BB1" w14:textId="77777777" w:rsidR="00BC4214" w:rsidRPr="00614593" w:rsidRDefault="00BC4214" w:rsidP="00A45EB5">
            <w:pPr>
              <w:spacing w:before="40" w:after="40"/>
              <w:jc w:val="center"/>
              <w:rPr>
                <w:rFonts w:ascii="Arial Narrow" w:hAnsi="Arial Narrow" w:cs="Arial"/>
                <w:b/>
                <w:sz w:val="20"/>
                <w:szCs w:val="20"/>
              </w:rPr>
            </w:pPr>
          </w:p>
        </w:tc>
        <w:tc>
          <w:tcPr>
            <w:tcW w:w="2400" w:type="pct"/>
            <w:tcBorders>
              <w:top w:val="single" w:sz="4" w:space="0" w:color="auto"/>
              <w:left w:val="nil"/>
              <w:bottom w:val="single" w:sz="4" w:space="0" w:color="auto"/>
              <w:right w:val="nil"/>
            </w:tcBorders>
            <w:vAlign w:val="center"/>
          </w:tcPr>
          <w:p w14:paraId="4E13D19D" w14:textId="68BF2CF4" w:rsidR="00BC4214" w:rsidRPr="00522B96" w:rsidRDefault="00BC4214" w:rsidP="00A45EB5">
            <w:pPr>
              <w:spacing w:before="40" w:after="40"/>
              <w:ind w:right="213"/>
              <w:jc w:val="center"/>
              <w:rPr>
                <w:rFonts w:ascii="Arial Narrow" w:hAnsi="Arial Narrow" w:cs="Arial"/>
                <w:b/>
                <w:color w:val="000000" w:themeColor="text1"/>
                <w:sz w:val="20"/>
                <w:szCs w:val="20"/>
              </w:rPr>
            </w:pPr>
            <w:r>
              <w:rPr>
                <w:noProof/>
                <w:lang w:val="en-US" w:eastAsia="en-US"/>
              </w:rPr>
              <w:drawing>
                <wp:inline distT="0" distB="0" distL="0" distR="0" wp14:anchorId="092C820F" wp14:editId="7CEE7E87">
                  <wp:extent cx="2600325" cy="2524125"/>
                  <wp:effectExtent l="0" t="0" r="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C4214" w:rsidRPr="00614593" w14:paraId="7577C93E" w14:textId="77777777" w:rsidTr="00A45EB5">
        <w:trPr>
          <w:trHeight w:val="113"/>
        </w:trPr>
        <w:tc>
          <w:tcPr>
            <w:tcW w:w="2507" w:type="pct"/>
            <w:gridSpan w:val="2"/>
            <w:tcBorders>
              <w:top w:val="single" w:sz="4" w:space="0" w:color="auto"/>
              <w:left w:val="nil"/>
              <w:bottom w:val="nil"/>
              <w:right w:val="nil"/>
            </w:tcBorders>
            <w:vAlign w:val="center"/>
          </w:tcPr>
          <w:p w14:paraId="3A3F6A88" w14:textId="2F5FFF24" w:rsidR="00BC4214" w:rsidRPr="00653D43" w:rsidRDefault="00BC4214" w:rsidP="00152EE6">
            <w:pPr>
              <w:jc w:val="right"/>
              <w:rPr>
                <w:rFonts w:ascii="Arial Narrow" w:hAnsi="Arial Narrow" w:cs="Arial"/>
                <w:sz w:val="18"/>
                <w:szCs w:val="14"/>
              </w:rPr>
            </w:pPr>
            <w:r w:rsidRPr="00653D43">
              <w:rPr>
                <w:rFonts w:ascii="Arial Narrow" w:hAnsi="Arial Narrow"/>
                <w:i/>
                <w:iCs/>
                <w:color w:val="000000"/>
                <w:sz w:val="18"/>
                <w:szCs w:val="16"/>
              </w:rPr>
              <w:t xml:space="preserve">Zdroj: </w:t>
            </w:r>
            <w:r w:rsidR="00152EE6">
              <w:rPr>
                <w:rFonts w:ascii="Arial Narrow" w:hAnsi="Arial Narrow"/>
                <w:i/>
                <w:iCs/>
                <w:color w:val="000000"/>
                <w:sz w:val="18"/>
                <w:szCs w:val="16"/>
              </w:rPr>
              <w:t>MF SR</w:t>
            </w:r>
          </w:p>
        </w:tc>
        <w:tc>
          <w:tcPr>
            <w:tcW w:w="93" w:type="pct"/>
            <w:tcBorders>
              <w:top w:val="nil"/>
              <w:left w:val="nil"/>
              <w:bottom w:val="nil"/>
              <w:right w:val="nil"/>
            </w:tcBorders>
            <w:vAlign w:val="center"/>
          </w:tcPr>
          <w:p w14:paraId="2DE6BDFF" w14:textId="77777777" w:rsidR="00BC4214" w:rsidRPr="00653D43" w:rsidRDefault="00BC4214" w:rsidP="00A45EB5">
            <w:pPr>
              <w:jc w:val="center"/>
              <w:rPr>
                <w:rFonts w:ascii="Arial Narrow" w:hAnsi="Arial Narrow" w:cs="Arial"/>
                <w:sz w:val="18"/>
                <w:szCs w:val="14"/>
              </w:rPr>
            </w:pPr>
          </w:p>
        </w:tc>
        <w:tc>
          <w:tcPr>
            <w:tcW w:w="2400" w:type="pct"/>
            <w:tcBorders>
              <w:top w:val="single" w:sz="4" w:space="0" w:color="auto"/>
              <w:left w:val="nil"/>
              <w:bottom w:val="nil"/>
              <w:right w:val="nil"/>
            </w:tcBorders>
            <w:vAlign w:val="center"/>
          </w:tcPr>
          <w:p w14:paraId="0813AA45" w14:textId="024B05E5" w:rsidR="00BC4214" w:rsidRPr="00653D43" w:rsidRDefault="00152EE6" w:rsidP="00152EE6">
            <w:pPr>
              <w:jc w:val="right"/>
              <w:rPr>
                <w:rFonts w:ascii="Arial Narrow" w:hAnsi="Arial Narrow" w:cs="Arial"/>
                <w:sz w:val="18"/>
                <w:szCs w:val="14"/>
              </w:rPr>
            </w:pPr>
            <w:r>
              <w:rPr>
                <w:rFonts w:ascii="Arial Narrow" w:hAnsi="Arial Narrow"/>
                <w:i/>
                <w:iCs/>
                <w:color w:val="000000"/>
                <w:sz w:val="18"/>
                <w:szCs w:val="16"/>
              </w:rPr>
              <w:t>Zdroj: MF SR</w:t>
            </w:r>
            <w:r w:rsidR="00BC4214" w:rsidRPr="00653D43">
              <w:rPr>
                <w:rFonts w:ascii="Arial Narrow" w:hAnsi="Arial Narrow"/>
                <w:i/>
                <w:iCs/>
                <w:color w:val="000000"/>
                <w:sz w:val="18"/>
                <w:szCs w:val="16"/>
              </w:rPr>
              <w:t xml:space="preserve"> </w:t>
            </w:r>
          </w:p>
        </w:tc>
      </w:tr>
    </w:tbl>
    <w:p w14:paraId="797D6453" w14:textId="7E97AFE8" w:rsidR="00BC2833" w:rsidRDefault="00BC2833" w:rsidP="00BC2833">
      <w:pPr>
        <w:spacing w:after="0" w:line="240" w:lineRule="auto"/>
        <w:jc w:val="both"/>
        <w:rPr>
          <w:rFonts w:ascii="Arial Narrow" w:hAnsi="Arial Narrow"/>
        </w:rPr>
      </w:pPr>
      <w:r w:rsidRPr="00256D89">
        <w:rPr>
          <w:rFonts w:ascii="Arial Narrow" w:hAnsi="Arial Narrow"/>
        </w:rPr>
        <w:t>Doplňujúce indikátory naznačujú, že hlavn</w:t>
      </w:r>
      <w:r w:rsidR="00185707">
        <w:rPr>
          <w:rFonts w:ascii="Arial Narrow" w:hAnsi="Arial Narrow"/>
        </w:rPr>
        <w:t xml:space="preserve">á výzva </w:t>
      </w:r>
      <w:r w:rsidRPr="00256D89">
        <w:rPr>
          <w:rFonts w:ascii="Arial Narrow" w:hAnsi="Arial Narrow"/>
        </w:rPr>
        <w:t>trhu práce je zamestnávan</w:t>
      </w:r>
      <w:r w:rsidR="00185707">
        <w:rPr>
          <w:rFonts w:ascii="Arial Narrow" w:hAnsi="Arial Narrow"/>
        </w:rPr>
        <w:t>ie</w:t>
      </w:r>
      <w:r w:rsidRPr="00256D89">
        <w:rPr>
          <w:rFonts w:ascii="Arial Narrow" w:hAnsi="Arial Narrow"/>
        </w:rPr>
        <w:t> </w:t>
      </w:r>
      <w:r w:rsidR="00786C06">
        <w:rPr>
          <w:rFonts w:ascii="Arial Narrow" w:hAnsi="Arial Narrow"/>
        </w:rPr>
        <w:t xml:space="preserve"> UoZ</w:t>
      </w:r>
      <w:r w:rsidR="00786C06" w:rsidRPr="00256D89">
        <w:rPr>
          <w:rFonts w:ascii="Arial Narrow" w:hAnsi="Arial Narrow"/>
        </w:rPr>
        <w:t xml:space="preserve"> </w:t>
      </w:r>
      <w:r>
        <w:rPr>
          <w:rFonts w:ascii="Arial Narrow" w:hAnsi="Arial Narrow"/>
        </w:rPr>
        <w:t xml:space="preserve">so základným vzdelaním </w:t>
      </w:r>
      <w:r w:rsidRPr="00256D89">
        <w:rPr>
          <w:rFonts w:ascii="Arial Narrow" w:hAnsi="Arial Narrow"/>
        </w:rPr>
        <w:t>a</w:t>
      </w:r>
      <w:r>
        <w:rPr>
          <w:rFonts w:ascii="Arial Narrow" w:hAnsi="Arial Narrow"/>
        </w:rPr>
        <w:t xml:space="preserve"> v</w:t>
      </w:r>
      <w:r w:rsidRPr="00256D89">
        <w:rPr>
          <w:rFonts w:ascii="Arial Narrow" w:hAnsi="Arial Narrow"/>
        </w:rPr>
        <w:t xml:space="preserve"> dlhodobej nezamestnanosti. Dlhodobá nezamestnanosť, a s ňou súvisiaca strata zručností, je ďalšou bariérou lepších výsledkov </w:t>
      </w:r>
      <w:r w:rsidR="00433B13">
        <w:rPr>
          <w:rFonts w:ascii="Arial Narrow" w:hAnsi="Arial Narrow"/>
        </w:rPr>
        <w:t>slovenského</w:t>
      </w:r>
      <w:r w:rsidR="00433B13" w:rsidRPr="00256D89">
        <w:rPr>
          <w:rFonts w:ascii="Arial Narrow" w:hAnsi="Arial Narrow"/>
        </w:rPr>
        <w:t xml:space="preserve"> </w:t>
      </w:r>
      <w:r w:rsidRPr="00256D89">
        <w:rPr>
          <w:rFonts w:ascii="Arial Narrow" w:hAnsi="Arial Narrow"/>
        </w:rPr>
        <w:t xml:space="preserve">pracovného trhu. </w:t>
      </w:r>
      <w:r>
        <w:rPr>
          <w:rFonts w:ascii="Arial Narrow" w:hAnsi="Arial Narrow"/>
        </w:rPr>
        <w:t xml:space="preserve">Z pohľadu vekového rozdelenia je situácia na trhu práce horšia najmä </w:t>
      </w:r>
      <w:r w:rsidR="00433B13">
        <w:rPr>
          <w:rFonts w:ascii="Arial Narrow" w:hAnsi="Arial Narrow"/>
        </w:rPr>
        <w:t xml:space="preserve">u </w:t>
      </w:r>
      <w:r>
        <w:rPr>
          <w:rFonts w:ascii="Arial Narrow" w:hAnsi="Arial Narrow"/>
        </w:rPr>
        <w:t>starších</w:t>
      </w:r>
      <w:r w:rsidRPr="00256D89">
        <w:rPr>
          <w:rFonts w:ascii="Arial Narrow" w:hAnsi="Arial Narrow"/>
        </w:rPr>
        <w:t xml:space="preserve"> (</w:t>
      </w:r>
      <w:r>
        <w:rPr>
          <w:rFonts w:ascii="Arial Narrow" w:hAnsi="Arial Narrow"/>
        </w:rPr>
        <w:t xml:space="preserve">vo veku </w:t>
      </w:r>
      <w:r w:rsidRPr="00256D89">
        <w:rPr>
          <w:rFonts w:ascii="Arial Narrow" w:hAnsi="Arial Narrow"/>
        </w:rPr>
        <w:t>55</w:t>
      </w:r>
      <w:r>
        <w:rPr>
          <w:rFonts w:ascii="Arial Narrow" w:hAnsi="Arial Narrow"/>
        </w:rPr>
        <w:t xml:space="preserve"> – </w:t>
      </w:r>
      <w:r w:rsidRPr="00256D89">
        <w:rPr>
          <w:rFonts w:ascii="Arial Narrow" w:hAnsi="Arial Narrow"/>
        </w:rPr>
        <w:t>64</w:t>
      </w:r>
      <w:r>
        <w:rPr>
          <w:rFonts w:ascii="Arial Narrow" w:hAnsi="Arial Narrow"/>
        </w:rPr>
        <w:t xml:space="preserve"> rokov</w:t>
      </w:r>
      <w:r w:rsidRPr="00256D89">
        <w:rPr>
          <w:rFonts w:ascii="Arial Narrow" w:hAnsi="Arial Narrow"/>
        </w:rPr>
        <w:t>)</w:t>
      </w:r>
      <w:r>
        <w:rPr>
          <w:rFonts w:ascii="Arial Narrow" w:hAnsi="Arial Narrow"/>
        </w:rPr>
        <w:t xml:space="preserve"> a</w:t>
      </w:r>
      <w:r w:rsidR="00433B13">
        <w:rPr>
          <w:rFonts w:ascii="Arial Narrow" w:hAnsi="Arial Narrow"/>
        </w:rPr>
        <w:t xml:space="preserve"> u </w:t>
      </w:r>
      <w:r w:rsidRPr="00256D89">
        <w:rPr>
          <w:rFonts w:ascii="Arial Narrow" w:hAnsi="Arial Narrow"/>
        </w:rPr>
        <w:t>ž</w:t>
      </w:r>
      <w:r>
        <w:rPr>
          <w:rFonts w:ascii="Arial Narrow" w:hAnsi="Arial Narrow"/>
        </w:rPr>
        <w:t>i</w:t>
      </w:r>
      <w:r w:rsidRPr="00256D89">
        <w:rPr>
          <w:rFonts w:ascii="Arial Narrow" w:hAnsi="Arial Narrow"/>
        </w:rPr>
        <w:t>e</w:t>
      </w:r>
      <w:r>
        <w:rPr>
          <w:rFonts w:ascii="Arial Narrow" w:hAnsi="Arial Narrow"/>
        </w:rPr>
        <w:t>n</w:t>
      </w:r>
      <w:r w:rsidRPr="00256D89">
        <w:rPr>
          <w:rFonts w:ascii="Arial Narrow" w:hAnsi="Arial Narrow"/>
        </w:rPr>
        <w:t xml:space="preserve">. </w:t>
      </w:r>
      <w:r w:rsidRPr="00DD6942">
        <w:rPr>
          <w:rFonts w:ascii="Arial Narrow" w:hAnsi="Arial Narrow"/>
        </w:rPr>
        <w:t xml:space="preserve">Podiel nezamestnanosti mladých na celkovej nezamestnanosti je nižší ako priemer krajín </w:t>
      </w:r>
      <w:r w:rsidR="00F85165">
        <w:rPr>
          <w:rFonts w:ascii="Arial Narrow" w:hAnsi="Arial Narrow"/>
        </w:rPr>
        <w:t>OECD</w:t>
      </w:r>
      <w:r w:rsidRPr="00DD6942">
        <w:rPr>
          <w:rFonts w:ascii="Arial Narrow" w:hAnsi="Arial Narrow"/>
        </w:rPr>
        <w:t>, aj keď ich miera nezamestnanosti je vyššia ako priemer.</w:t>
      </w:r>
      <w:r>
        <w:rPr>
          <w:rFonts w:ascii="Arial Narrow" w:hAnsi="Arial Narrow"/>
        </w:rPr>
        <w:t xml:space="preserve"> </w:t>
      </w:r>
    </w:p>
    <w:p w14:paraId="5A7EC387" w14:textId="77777777" w:rsidR="00BC2833" w:rsidRPr="00256D89" w:rsidRDefault="00BC2833" w:rsidP="00BC2833">
      <w:pPr>
        <w:spacing w:after="0" w:line="240" w:lineRule="auto"/>
        <w:jc w:val="both"/>
        <w:rPr>
          <w:rFonts w:ascii="Arial Narrow" w:hAnsi="Arial Narrow"/>
        </w:rPr>
      </w:pPr>
    </w:p>
    <w:p w14:paraId="4C200A27" w14:textId="16FE4059" w:rsidR="00BC2833" w:rsidRPr="00256D89" w:rsidRDefault="00BC2833" w:rsidP="00BC2833">
      <w:pPr>
        <w:spacing w:after="0" w:line="240" w:lineRule="auto"/>
        <w:jc w:val="both"/>
        <w:rPr>
          <w:rFonts w:ascii="Arial Narrow" w:hAnsi="Arial Narrow"/>
        </w:rPr>
      </w:pPr>
      <w:r w:rsidRPr="00256D89">
        <w:rPr>
          <w:rFonts w:ascii="Arial Narrow" w:hAnsi="Arial Narrow"/>
        </w:rPr>
        <w:t>Slov</w:t>
      </w:r>
      <w:r>
        <w:rPr>
          <w:rFonts w:ascii="Arial Narrow" w:hAnsi="Arial Narrow"/>
        </w:rPr>
        <w:t xml:space="preserve">ensko zaostáva v počte predchádzateľných úmrtí, </w:t>
      </w:r>
      <w:r w:rsidRPr="00FD3BA6">
        <w:rPr>
          <w:rFonts w:ascii="Arial Narrow" w:hAnsi="Arial Narrow"/>
        </w:rPr>
        <w:t>ktorým sa dalo zabrániť kvalitnou zdravotnou starostlivosťou</w:t>
      </w:r>
      <w:r w:rsidR="00BC4214">
        <w:rPr>
          <w:rFonts w:ascii="Arial Narrow" w:hAnsi="Arial Narrow"/>
        </w:rPr>
        <w:t xml:space="preserve">, </w:t>
      </w:r>
      <w:r>
        <w:rPr>
          <w:rFonts w:ascii="Arial Narrow" w:hAnsi="Arial Narrow"/>
        </w:rPr>
        <w:t>a</w:t>
      </w:r>
      <w:r w:rsidR="00CE5D6C">
        <w:rPr>
          <w:rFonts w:ascii="Arial Narrow" w:hAnsi="Arial Narrow"/>
        </w:rPr>
        <w:t> Slováci</w:t>
      </w:r>
      <w:r w:rsidRPr="00256D89">
        <w:rPr>
          <w:rFonts w:ascii="Arial Narrow" w:hAnsi="Arial Narrow"/>
        </w:rPr>
        <w:t xml:space="preserve"> zároveň </w:t>
      </w:r>
      <w:r>
        <w:rPr>
          <w:rFonts w:ascii="Arial Narrow" w:hAnsi="Arial Narrow"/>
        </w:rPr>
        <w:t xml:space="preserve">prežijú takmer </w:t>
      </w:r>
      <w:r w:rsidRPr="00256D89">
        <w:rPr>
          <w:rFonts w:ascii="Arial Narrow" w:hAnsi="Arial Narrow"/>
        </w:rPr>
        <w:t>najmenej rokov zdravého života</w:t>
      </w:r>
      <w:r>
        <w:rPr>
          <w:rFonts w:ascii="Arial Narrow" w:hAnsi="Arial Narrow"/>
        </w:rPr>
        <w:t xml:space="preserve"> v EÚ</w:t>
      </w:r>
      <w:r w:rsidRPr="00256D89">
        <w:rPr>
          <w:rFonts w:ascii="Arial Narrow" w:hAnsi="Arial Narrow"/>
        </w:rPr>
        <w:t>. Aktualizovaný model, ktorý bol použitý v štúdií o zdravotníctve</w:t>
      </w:r>
      <w:r w:rsidRPr="00256D89">
        <w:rPr>
          <w:rStyle w:val="Odkaznapoznmkupodiarou"/>
          <w:rFonts w:ascii="Arial Narrow" w:hAnsi="Arial Narrow"/>
        </w:rPr>
        <w:footnoteReference w:id="3"/>
      </w:r>
      <w:r w:rsidRPr="00256D89">
        <w:rPr>
          <w:rFonts w:ascii="Arial Narrow" w:hAnsi="Arial Narrow"/>
        </w:rPr>
        <w:t xml:space="preserve">, naznačuje vysokú neefektivitu vynakladaných zdrojov. </w:t>
      </w:r>
    </w:p>
    <w:p w14:paraId="04325A88" w14:textId="77777777" w:rsidR="00BC2833" w:rsidRPr="00256D89" w:rsidRDefault="00BC2833" w:rsidP="00BC2833">
      <w:pPr>
        <w:spacing w:after="0" w:line="240" w:lineRule="auto"/>
        <w:jc w:val="both"/>
        <w:rPr>
          <w:rFonts w:ascii="Arial Narrow" w:hAnsi="Arial Narrow"/>
        </w:rPr>
      </w:pPr>
    </w:p>
    <w:p w14:paraId="1AC7B726" w14:textId="015B1A16" w:rsidR="00BC2833" w:rsidRPr="00256D89" w:rsidRDefault="00BC2833" w:rsidP="00BC2833">
      <w:pPr>
        <w:spacing w:after="0" w:line="240" w:lineRule="auto"/>
        <w:jc w:val="both"/>
        <w:rPr>
          <w:rFonts w:ascii="NeueHaasGroteskText W02" w:hAnsi="NeueHaasGroteskText W02"/>
        </w:rPr>
      </w:pPr>
      <w:r w:rsidRPr="00256D89">
        <w:rPr>
          <w:rFonts w:ascii="Arial Narrow" w:hAnsi="Arial Narrow"/>
        </w:rPr>
        <w:lastRenderedPageBreak/>
        <w:t xml:space="preserve">Medzinárodne porovnateľné výsledky školstva </w:t>
      </w:r>
      <w:r w:rsidR="00320118">
        <w:rPr>
          <w:rFonts w:ascii="Arial Narrow" w:hAnsi="Arial Narrow"/>
        </w:rPr>
        <w:t>pozorujeme</w:t>
      </w:r>
      <w:r w:rsidRPr="00256D89">
        <w:rPr>
          <w:rFonts w:ascii="Arial Narrow" w:hAnsi="Arial Narrow"/>
        </w:rPr>
        <w:t xml:space="preserve"> iba na úrovni základných škôl testovaním 15-ročných študentov PISA</w:t>
      </w:r>
      <w:r>
        <w:rPr>
          <w:rFonts w:ascii="Arial Narrow" w:hAnsi="Arial Narrow"/>
        </w:rPr>
        <w:t>, ktorých výsledky sa v roku 2015</w:t>
      </w:r>
      <w:r w:rsidRPr="00256D89">
        <w:rPr>
          <w:rFonts w:ascii="Arial Narrow" w:hAnsi="Arial Narrow"/>
        </w:rPr>
        <w:t xml:space="preserve"> výrazne prepadli. </w:t>
      </w:r>
      <w:r>
        <w:rPr>
          <w:rFonts w:ascii="Arial Narrow" w:hAnsi="Arial Narrow"/>
        </w:rPr>
        <w:t>V</w:t>
      </w:r>
      <w:r w:rsidRPr="00256D89">
        <w:rPr>
          <w:rFonts w:ascii="Arial Narrow" w:hAnsi="Arial Narrow"/>
        </w:rPr>
        <w:t xml:space="preserve">zdelávanie má výrazný vplyv aj na iné oblasti, napríklad </w:t>
      </w:r>
      <w:r w:rsidR="00014AC6">
        <w:rPr>
          <w:rFonts w:ascii="Arial Narrow" w:hAnsi="Arial Narrow"/>
        </w:rPr>
        <w:t xml:space="preserve">na </w:t>
      </w:r>
      <w:r w:rsidR="006C1751">
        <w:rPr>
          <w:rFonts w:ascii="Arial Narrow" w:hAnsi="Arial Narrow"/>
        </w:rPr>
        <w:t xml:space="preserve">výsledky trhu práce a </w:t>
      </w:r>
      <w:r w:rsidRPr="00256D89">
        <w:rPr>
          <w:rFonts w:ascii="Arial Narrow" w:hAnsi="Arial Narrow"/>
        </w:rPr>
        <w:t xml:space="preserve">produktivitu práce. </w:t>
      </w:r>
      <w:r>
        <w:rPr>
          <w:rFonts w:ascii="Arial Narrow" w:hAnsi="Arial Narrow"/>
        </w:rPr>
        <w:t xml:space="preserve">Vláda reaguje na tieto výzvy opatreniami, ktoré sú bližšie popísané vo vecne príslušných kapitolách NPR. </w:t>
      </w:r>
    </w:p>
    <w:p w14:paraId="672D8398" w14:textId="77777777" w:rsidR="00C62275" w:rsidRPr="00256D89" w:rsidRDefault="00C62275" w:rsidP="00FB625E">
      <w:pPr>
        <w:spacing w:after="0" w:line="240" w:lineRule="auto"/>
        <w:jc w:val="both"/>
        <w:rPr>
          <w:rFonts w:ascii="Arial Narrow" w:hAnsi="Arial Narrow"/>
        </w:rPr>
      </w:pPr>
    </w:p>
    <w:p w14:paraId="65F2A540" w14:textId="4E3B130B" w:rsidR="00DC0931" w:rsidRPr="00256D89" w:rsidRDefault="009916C3" w:rsidP="00FB625E">
      <w:pPr>
        <w:pStyle w:val="Nadpis1"/>
        <w:numPr>
          <w:ilvl w:val="0"/>
          <w:numId w:val="1"/>
        </w:numPr>
        <w:spacing w:line="240" w:lineRule="auto"/>
      </w:pPr>
      <w:r w:rsidRPr="00256D89">
        <w:br w:type="page"/>
      </w:r>
      <w:bookmarkStart w:id="5" w:name="_Toc386005358"/>
      <w:bookmarkStart w:id="6" w:name="_Toc477259944"/>
      <w:r w:rsidR="00E81DE6" w:rsidRPr="00256D89">
        <w:rPr>
          <w:rFonts w:ascii="Arial Narrow" w:hAnsi="Arial Narrow"/>
          <w:color w:val="auto"/>
          <w:sz w:val="32"/>
          <w:szCs w:val="32"/>
        </w:rPr>
        <w:lastRenderedPageBreak/>
        <w:t>Plnenie opatrení Národného programu reforiem 201</w:t>
      </w:r>
      <w:bookmarkEnd w:id="5"/>
      <w:r w:rsidR="00A03058">
        <w:rPr>
          <w:rFonts w:ascii="Arial Narrow" w:hAnsi="Arial Narrow"/>
          <w:color w:val="auto"/>
          <w:sz w:val="32"/>
          <w:szCs w:val="32"/>
        </w:rPr>
        <w:t>6</w:t>
      </w:r>
      <w:bookmarkEnd w:id="6"/>
    </w:p>
    <w:p w14:paraId="28BA7F3D" w14:textId="77777777" w:rsidR="009C7EEA" w:rsidRPr="00256D89" w:rsidRDefault="009C7EEA" w:rsidP="00FB625E">
      <w:pPr>
        <w:spacing w:after="0" w:line="240" w:lineRule="auto"/>
        <w:jc w:val="both"/>
        <w:rPr>
          <w:rFonts w:ascii="Arial Narrow" w:hAnsi="Arial Narrow"/>
        </w:rPr>
      </w:pPr>
    </w:p>
    <w:p w14:paraId="5B1DEA9D" w14:textId="69E30D94" w:rsidR="00682C07" w:rsidRDefault="00682C07" w:rsidP="00FB625E">
      <w:pPr>
        <w:spacing w:after="0" w:line="240" w:lineRule="auto"/>
        <w:jc w:val="both"/>
        <w:rPr>
          <w:rFonts w:ascii="Arial Narrow" w:hAnsi="Arial Narrow"/>
        </w:rPr>
      </w:pPr>
      <w:r w:rsidRPr="005B48EF">
        <w:rPr>
          <w:rFonts w:ascii="Arial Narrow" w:hAnsi="Arial Narrow"/>
        </w:rPr>
        <w:t>Odpočet plnenia úloh akčného plánu NPR je vecne usporiadaný podľa jednotlivých špecifických odporúčaní, ktoré boli schválené na zasadnutí júnového summitu Európskej rady</w:t>
      </w:r>
      <w:r>
        <w:rPr>
          <w:rFonts w:ascii="Arial Narrow" w:hAnsi="Arial Narrow"/>
        </w:rPr>
        <w:t xml:space="preserve"> a v júli 2016</w:t>
      </w:r>
      <w:r w:rsidRPr="005B48EF">
        <w:rPr>
          <w:rFonts w:ascii="Arial Narrow" w:hAnsi="Arial Narrow"/>
        </w:rPr>
        <w:t xml:space="preserve"> prijaté Radou.</w:t>
      </w:r>
      <w:r w:rsidR="00894482">
        <w:rPr>
          <w:rFonts w:ascii="Arial Narrow" w:hAnsi="Arial Narrow"/>
        </w:rPr>
        <w:t xml:space="preserve"> </w:t>
      </w:r>
    </w:p>
    <w:p w14:paraId="61F851B8" w14:textId="77777777" w:rsidR="00A455A6" w:rsidRPr="005B48EF" w:rsidRDefault="00A455A6" w:rsidP="00FB625E">
      <w:pPr>
        <w:spacing w:after="0" w:line="240" w:lineRule="auto"/>
        <w:jc w:val="both"/>
        <w:rPr>
          <w:rFonts w:ascii="Arial Narrow" w:hAnsi="Arial Narrow"/>
        </w:rPr>
      </w:pPr>
    </w:p>
    <w:p w14:paraId="25BE79F4" w14:textId="77777777" w:rsidR="00682C07" w:rsidRPr="005B48EF" w:rsidRDefault="00682C07" w:rsidP="00FB625E">
      <w:pPr>
        <w:pStyle w:val="Odsekzoznamu"/>
        <w:numPr>
          <w:ilvl w:val="0"/>
          <w:numId w:val="19"/>
        </w:numPr>
        <w:spacing w:after="0" w:line="240" w:lineRule="auto"/>
        <w:ind w:left="425" w:hanging="425"/>
        <w:contextualSpacing w:val="0"/>
        <w:jc w:val="both"/>
        <w:rPr>
          <w:rFonts w:ascii="Arial Narrow" w:hAnsi="Arial Narrow"/>
          <w:b/>
          <w:sz w:val="24"/>
          <w:szCs w:val="24"/>
        </w:rPr>
      </w:pPr>
      <w:r w:rsidRPr="005B48EF">
        <w:rPr>
          <w:rFonts w:ascii="Arial Narrow" w:hAnsi="Arial Narrow"/>
          <w:b/>
          <w:sz w:val="24"/>
          <w:szCs w:val="24"/>
        </w:rPr>
        <w:t>Efektivita zdravotníctva a výber daní</w:t>
      </w:r>
    </w:p>
    <w:p w14:paraId="17595538" w14:textId="77777777" w:rsidR="00682C07" w:rsidRPr="005B48EF" w:rsidRDefault="00682C07" w:rsidP="00FB625E">
      <w:pPr>
        <w:pStyle w:val="Odsekzoznamu"/>
        <w:spacing w:before="120" w:after="0" w:line="240" w:lineRule="auto"/>
        <w:ind w:left="0"/>
        <w:jc w:val="both"/>
        <w:rPr>
          <w:rFonts w:ascii="Arial Narrow" w:hAnsi="Arial Narrow"/>
          <w:b/>
          <w:i/>
          <w:szCs w:val="36"/>
        </w:rPr>
      </w:pPr>
    </w:p>
    <w:p w14:paraId="5926F512" w14:textId="77777777" w:rsidR="00682C07" w:rsidRPr="006C620A" w:rsidRDefault="00682C07" w:rsidP="00FB625E">
      <w:pPr>
        <w:spacing w:after="240" w:line="240" w:lineRule="auto"/>
        <w:jc w:val="both"/>
        <w:rPr>
          <w:rFonts w:ascii="Arial Narrow" w:hAnsi="Arial Narrow"/>
          <w:b/>
          <w:i/>
        </w:rPr>
      </w:pPr>
      <w:r w:rsidRPr="005B48EF">
        <w:rPr>
          <w:rFonts w:ascii="Arial Narrow" w:hAnsi="Arial Narrow"/>
          <w:b/>
          <w:i/>
          <w:szCs w:val="36"/>
        </w:rPr>
        <w:t xml:space="preserve">Špecifické odporúčanie Rady: </w:t>
      </w:r>
      <w:r>
        <w:rPr>
          <w:rFonts w:ascii="Arial Narrow" w:hAnsi="Arial Narrow"/>
          <w:b/>
          <w:i/>
        </w:rPr>
        <w:t xml:space="preserve">V roku 2016 dosiahnuť </w:t>
      </w:r>
      <w:r w:rsidRPr="005B48EF">
        <w:rPr>
          <w:rFonts w:ascii="Arial Narrow" w:hAnsi="Arial Narrow"/>
          <w:b/>
          <w:i/>
        </w:rPr>
        <w:t>ročnú fiškálnu úpravu o 0,25 % HDP a v roku 2017 o 0,5 % HDP smerom k strednodobému rozpočtovému cieľu. Zvýšiť nákladovú efektívnosť v systéme zdravotnej starostlivosti. Prijať opatrenia na zlepšenie daňovej disciplíny.</w:t>
      </w:r>
    </w:p>
    <w:p w14:paraId="4694A86D" w14:textId="020B822F" w:rsidR="00682C07" w:rsidRPr="005B48EF" w:rsidRDefault="00682C07" w:rsidP="00FB625E">
      <w:pPr>
        <w:spacing w:after="120" w:line="240" w:lineRule="auto"/>
        <w:jc w:val="both"/>
        <w:rPr>
          <w:rFonts w:ascii="Arial Narrow" w:hAnsi="Arial Narrow"/>
          <w:i/>
        </w:rPr>
      </w:pPr>
      <w:r w:rsidRPr="00313DFD">
        <w:rPr>
          <w:rFonts w:ascii="Arial Narrow" w:hAnsi="Arial Narrow"/>
          <w:i/>
        </w:rPr>
        <w:t xml:space="preserve">V roku </w:t>
      </w:r>
      <w:r w:rsidR="003F7C8B" w:rsidRPr="00313DFD">
        <w:rPr>
          <w:rFonts w:ascii="Arial Narrow" w:hAnsi="Arial Narrow"/>
          <w:i/>
        </w:rPr>
        <w:t>201</w:t>
      </w:r>
      <w:r w:rsidR="003F7C8B">
        <w:rPr>
          <w:rFonts w:ascii="Arial Narrow" w:hAnsi="Arial Narrow"/>
          <w:i/>
        </w:rPr>
        <w:t>6</w:t>
      </w:r>
      <w:r w:rsidR="003F7C8B" w:rsidRPr="00313DFD">
        <w:rPr>
          <w:rFonts w:ascii="Arial Narrow" w:hAnsi="Arial Narrow"/>
          <w:i/>
        </w:rPr>
        <w:t xml:space="preserve"> </w:t>
      </w:r>
      <w:r w:rsidRPr="00313DFD">
        <w:rPr>
          <w:rFonts w:ascii="Arial Narrow" w:hAnsi="Arial Narrow"/>
          <w:i/>
        </w:rPr>
        <w:t>bola ukončená revízia výdavkov v sektore zdravotníctva, ktorá identifikovala priestor pre zefektívnenie vo výške 174 až 363 mil. eur ročne. Nemocnice v pôsobnosti MZ SR boli požiadané o vypovedanie aktuálnych zmlúv a obstaranie nových dodávateľov v súlade s aktuálnymi trhovými cenami. Medzinárodné referencovanie cien sa po liekoch rozšir</w:t>
      </w:r>
      <w:r w:rsidR="0065312A">
        <w:rPr>
          <w:rFonts w:ascii="Arial Narrow" w:hAnsi="Arial Narrow"/>
          <w:i/>
        </w:rPr>
        <w:t xml:space="preserve">il  </w:t>
      </w:r>
      <w:r w:rsidRPr="00313DFD">
        <w:rPr>
          <w:rFonts w:ascii="Arial Narrow" w:hAnsi="Arial Narrow"/>
          <w:i/>
        </w:rPr>
        <w:t xml:space="preserve">aj na zdravotné pomôcky a špecializovaný zdravotnícky materiál. Dlhodobo plánovaná elektronizácia </w:t>
      </w:r>
      <w:r w:rsidR="00FE1462">
        <w:rPr>
          <w:rFonts w:ascii="Arial Narrow" w:hAnsi="Arial Narrow"/>
          <w:i/>
        </w:rPr>
        <w:t xml:space="preserve">(eHealth) </w:t>
      </w:r>
      <w:r w:rsidRPr="00313DFD">
        <w:rPr>
          <w:rFonts w:ascii="Arial Narrow" w:hAnsi="Arial Narrow"/>
          <w:i/>
        </w:rPr>
        <w:t>ako aj zavedenie platieb za diagnostickú skupinu</w:t>
      </w:r>
      <w:r w:rsidR="00A1090E">
        <w:rPr>
          <w:rFonts w:ascii="Arial Narrow" w:hAnsi="Arial Narrow"/>
          <w:i/>
        </w:rPr>
        <w:t xml:space="preserve"> síce zaostávajú v tempe implementácie, no zostávajú hlavnými prioritami v zdravotníctve na najbližšie dva roky.</w:t>
      </w:r>
    </w:p>
    <w:p w14:paraId="4E827D90" w14:textId="0E8DF6AE" w:rsidR="00682C07" w:rsidRDefault="00682C07" w:rsidP="00FB625E">
      <w:pPr>
        <w:spacing w:after="0" w:line="240" w:lineRule="auto"/>
        <w:jc w:val="both"/>
        <w:rPr>
          <w:rFonts w:ascii="Arial Narrow" w:hAnsi="Arial Narrow"/>
          <w:i/>
        </w:rPr>
      </w:pPr>
      <w:r w:rsidRPr="005B48EF">
        <w:rPr>
          <w:rFonts w:ascii="Arial Narrow" w:hAnsi="Arial Narrow"/>
          <w:i/>
        </w:rPr>
        <w:t>Naďalej sa darí zvyšovať efektívn</w:t>
      </w:r>
      <w:r w:rsidR="00185707">
        <w:rPr>
          <w:rFonts w:ascii="Arial Narrow" w:hAnsi="Arial Narrow"/>
          <w:i/>
        </w:rPr>
        <w:t xml:space="preserve">osť výberu </w:t>
      </w:r>
      <w:r w:rsidRPr="005B48EF">
        <w:rPr>
          <w:rFonts w:ascii="Arial Narrow" w:hAnsi="Arial Narrow"/>
          <w:i/>
        </w:rPr>
        <w:t xml:space="preserve"> DPH</w:t>
      </w:r>
      <w:r w:rsidR="00185707">
        <w:rPr>
          <w:rFonts w:ascii="Arial Narrow" w:hAnsi="Arial Narrow"/>
          <w:i/>
        </w:rPr>
        <w:t xml:space="preserve"> a</w:t>
      </w:r>
      <w:r w:rsidRPr="005B48EF">
        <w:rPr>
          <w:rFonts w:ascii="Arial Narrow" w:hAnsi="Arial Narrow"/>
          <w:i/>
        </w:rPr>
        <w:t xml:space="preserve"> DPPO. Medzera dane z minerálneho oleja sa stabilizuje. V roku 2017 vstupujú do platnosti viaceré opatrenia zamerané na efektívnejšiu správu daní,</w:t>
      </w:r>
      <w:r w:rsidR="00000A4B">
        <w:rPr>
          <w:rFonts w:ascii="Arial Narrow" w:hAnsi="Arial Narrow"/>
          <w:i/>
        </w:rPr>
        <w:t xml:space="preserve"> </w:t>
      </w:r>
      <w:r w:rsidR="00693DBE">
        <w:rPr>
          <w:rFonts w:ascii="Arial Narrow" w:hAnsi="Arial Narrow"/>
          <w:i/>
        </w:rPr>
        <w:t xml:space="preserve">najmä </w:t>
      </w:r>
      <w:r w:rsidR="00000A4B">
        <w:rPr>
          <w:rFonts w:ascii="Arial Narrow" w:hAnsi="Arial Narrow"/>
          <w:i/>
        </w:rPr>
        <w:t xml:space="preserve">zavedenie inštitútu </w:t>
      </w:r>
      <w:r w:rsidRPr="005B48EF">
        <w:rPr>
          <w:rFonts w:ascii="Arial Narrow" w:hAnsi="Arial Narrow"/>
          <w:i/>
        </w:rPr>
        <w:t>skrátené</w:t>
      </w:r>
      <w:r w:rsidR="00000A4B">
        <w:rPr>
          <w:rFonts w:ascii="Arial Narrow" w:hAnsi="Arial Narrow"/>
          <w:i/>
        </w:rPr>
        <w:t>ho</w:t>
      </w:r>
      <w:r w:rsidRPr="005B48EF">
        <w:rPr>
          <w:rFonts w:ascii="Arial Narrow" w:hAnsi="Arial Narrow"/>
          <w:i/>
        </w:rPr>
        <w:t xml:space="preserve"> vyrubovacie</w:t>
      </w:r>
      <w:r w:rsidR="00000A4B">
        <w:rPr>
          <w:rFonts w:ascii="Arial Narrow" w:hAnsi="Arial Narrow"/>
          <w:i/>
        </w:rPr>
        <w:t>ho konania</w:t>
      </w:r>
      <w:r w:rsidRPr="005B48EF">
        <w:rPr>
          <w:rFonts w:ascii="Arial Narrow" w:hAnsi="Arial Narrow"/>
          <w:i/>
        </w:rPr>
        <w:t xml:space="preserve">, úprava inštitútu predbežného opatrenia a ustanovenia o podávaní námietok. </w:t>
      </w:r>
    </w:p>
    <w:p w14:paraId="127C7A38" w14:textId="77777777" w:rsidR="00802A81" w:rsidRPr="00A94E2C" w:rsidRDefault="00802A81" w:rsidP="00FB625E">
      <w:pPr>
        <w:spacing w:after="0" w:line="240" w:lineRule="auto"/>
        <w:jc w:val="both"/>
        <w:rPr>
          <w:rFonts w:ascii="Arial Narrow" w:hAnsi="Arial Narrow"/>
          <w:i/>
        </w:rPr>
      </w:pPr>
    </w:p>
    <w:p w14:paraId="4BF76429" w14:textId="2A9253ED" w:rsidR="00803EDD" w:rsidRDefault="00803EDD" w:rsidP="00FB625E">
      <w:pPr>
        <w:spacing w:after="0" w:line="240" w:lineRule="auto"/>
        <w:jc w:val="both"/>
        <w:rPr>
          <w:rFonts w:ascii="Arial Narrow" w:hAnsi="Arial Narrow"/>
          <w:b/>
          <w:i/>
        </w:rPr>
      </w:pPr>
      <w:r>
        <w:rPr>
          <w:rFonts w:ascii="Arial Narrow" w:hAnsi="Arial Narrow"/>
          <w:b/>
          <w:i/>
        </w:rPr>
        <w:t>Fiškálna politika</w:t>
      </w:r>
    </w:p>
    <w:p w14:paraId="6CCA5E58" w14:textId="7CE491FC" w:rsidR="00803EDD" w:rsidRDefault="00EE6A40" w:rsidP="00FB625E">
      <w:pPr>
        <w:spacing w:after="0" w:line="240" w:lineRule="auto"/>
        <w:jc w:val="both"/>
        <w:rPr>
          <w:rFonts w:ascii="Arial Narrow" w:hAnsi="Arial Narrow"/>
        </w:rPr>
      </w:pPr>
      <w:r>
        <w:rPr>
          <w:rFonts w:ascii="Arial Narrow" w:hAnsi="Arial Narrow"/>
        </w:rPr>
        <w:t>Výsledky a ciele rozpočtovej politiky sú špecifikované v Programe stability SR na roky 2018 až 2020.</w:t>
      </w:r>
    </w:p>
    <w:p w14:paraId="0D2D3D2F" w14:textId="77777777" w:rsidR="005763B5" w:rsidRDefault="005763B5" w:rsidP="00FB625E">
      <w:pPr>
        <w:spacing w:after="0" w:line="240" w:lineRule="auto"/>
        <w:jc w:val="both"/>
        <w:rPr>
          <w:rFonts w:ascii="Arial Narrow" w:hAnsi="Arial Narrow"/>
        </w:rPr>
      </w:pPr>
    </w:p>
    <w:p w14:paraId="1FF44E45" w14:textId="35529B92" w:rsidR="00803EDD" w:rsidRDefault="005763B5" w:rsidP="00FB625E">
      <w:pPr>
        <w:spacing w:after="0" w:line="240" w:lineRule="auto"/>
        <w:jc w:val="both"/>
        <w:rPr>
          <w:rStyle w:val="Zstupntext"/>
          <w:rFonts w:ascii="Arial Narrow" w:hAnsi="Arial Narrow"/>
          <w:color w:val="000000" w:themeColor="text1"/>
        </w:rPr>
      </w:pPr>
      <w:r w:rsidRPr="00455C9B">
        <w:rPr>
          <w:rFonts w:ascii="Arial Narrow" w:hAnsi="Arial Narrow"/>
          <w:color w:val="000000" w:themeColor="text1"/>
        </w:rPr>
        <w:t xml:space="preserve">V daňovej oblasti boli prijaté </w:t>
      </w:r>
      <w:r w:rsidRPr="00455C9B">
        <w:rPr>
          <w:rFonts w:ascii="Arial Narrow" w:hAnsi="Arial Narrow"/>
          <w:b/>
          <w:color w:val="000000" w:themeColor="text1"/>
        </w:rPr>
        <w:t>opatrenia s celkovým pozitívnym vplyvom na výnos daňových príjmov</w:t>
      </w:r>
      <w:r w:rsidRPr="00455C9B">
        <w:rPr>
          <w:rFonts w:ascii="Arial Narrow" w:hAnsi="Arial Narrow"/>
          <w:color w:val="000000" w:themeColor="text1"/>
        </w:rPr>
        <w:t xml:space="preserve"> vo výške 317 mil. eur (0,</w:t>
      </w:r>
      <w:r w:rsidR="00693DBE" w:rsidRPr="00455C9B">
        <w:rPr>
          <w:rFonts w:ascii="Arial Narrow" w:hAnsi="Arial Narrow"/>
          <w:color w:val="000000" w:themeColor="text1"/>
        </w:rPr>
        <w:t>4</w:t>
      </w:r>
      <w:r w:rsidR="003B5C5D" w:rsidRPr="00455C9B">
        <w:rPr>
          <w:rFonts w:ascii="Arial Narrow" w:hAnsi="Arial Narrow"/>
          <w:color w:val="000000" w:themeColor="text1"/>
        </w:rPr>
        <w:t xml:space="preserve"> </w:t>
      </w:r>
      <w:r w:rsidRPr="00455C9B">
        <w:rPr>
          <w:rFonts w:ascii="Arial Narrow" w:hAnsi="Arial Narrow"/>
          <w:color w:val="000000" w:themeColor="text1"/>
        </w:rPr>
        <w:t>% HDP) v roku 2017. V kontexte konsolidácie verejných financií boli prijaté opatrenia s dôrazom na minimalizáciu negatívneho vplyvu na ekonomický rast. Opatrenia sa týkajú odvetví s nedokonalou konkurenciou, zvyšovania nepriamych daní a zvyšovania daňovej spravodlivosti pri zdaňovaní príjmov z</w:t>
      </w:r>
      <w:r w:rsidR="001E7BD9">
        <w:rPr>
          <w:rFonts w:ascii="Arial Narrow" w:hAnsi="Arial Narrow"/>
          <w:color w:val="000000" w:themeColor="text1"/>
        </w:rPr>
        <w:t xml:space="preserve"> </w:t>
      </w:r>
      <w:r w:rsidRPr="00455C9B">
        <w:rPr>
          <w:rFonts w:ascii="Arial Narrow" w:hAnsi="Arial Narrow"/>
          <w:color w:val="000000" w:themeColor="text1"/>
        </w:rPr>
        <w:t xml:space="preserve">kapitálu a dividend. </w:t>
      </w:r>
      <w:r w:rsidR="00290C30" w:rsidRPr="00455C9B">
        <w:rPr>
          <w:rFonts w:ascii="Arial Narrow" w:hAnsi="Arial Narrow"/>
          <w:color w:val="000000" w:themeColor="text1"/>
        </w:rPr>
        <w:t xml:space="preserve">Ide najmä o predĺženie a </w:t>
      </w:r>
      <w:r w:rsidRPr="00455C9B">
        <w:rPr>
          <w:rFonts w:ascii="Arial Narrow" w:hAnsi="Arial Narrow"/>
          <w:color w:val="000000" w:themeColor="text1"/>
        </w:rPr>
        <w:t>zmeny v osobitnom odvode v </w:t>
      </w:r>
      <w:r w:rsidR="00290C30" w:rsidRPr="00455C9B">
        <w:rPr>
          <w:rFonts w:ascii="Arial Narrow" w:hAnsi="Arial Narrow"/>
          <w:color w:val="000000" w:themeColor="text1"/>
        </w:rPr>
        <w:t xml:space="preserve">regulovaných odvetviach, zmeny v </w:t>
      </w:r>
      <w:r w:rsidRPr="00455C9B">
        <w:rPr>
          <w:rFonts w:ascii="Arial Narrow" w:hAnsi="Arial Narrow"/>
          <w:color w:val="000000" w:themeColor="text1"/>
        </w:rPr>
        <w:t xml:space="preserve">osobitnom odvode </w:t>
      </w:r>
      <w:r w:rsidR="00290C30" w:rsidRPr="00455C9B">
        <w:rPr>
          <w:rFonts w:ascii="Arial Narrow" w:hAnsi="Arial Narrow"/>
          <w:color w:val="000000" w:themeColor="text1"/>
        </w:rPr>
        <w:t>finančných inštitúcií, zavedenie</w:t>
      </w:r>
      <w:r w:rsidRPr="00455C9B">
        <w:rPr>
          <w:rFonts w:ascii="Arial Narrow" w:hAnsi="Arial Narrow"/>
          <w:color w:val="000000" w:themeColor="text1"/>
        </w:rPr>
        <w:t xml:space="preserve"> zrážkovej dane z dividend a zvýše</w:t>
      </w:r>
      <w:r w:rsidR="00290C30" w:rsidRPr="00455C9B">
        <w:rPr>
          <w:rFonts w:ascii="Arial Narrow" w:hAnsi="Arial Narrow"/>
          <w:color w:val="000000" w:themeColor="text1"/>
        </w:rPr>
        <w:t>nie</w:t>
      </w:r>
      <w:r w:rsidRPr="00455C9B">
        <w:rPr>
          <w:rFonts w:ascii="Arial Narrow" w:hAnsi="Arial Narrow"/>
          <w:color w:val="000000" w:themeColor="text1"/>
        </w:rPr>
        <w:t xml:space="preserve"> spotrebnej dane z tabakových výrobkov. Zároveň boli prijaté opatrenia </w:t>
      </w:r>
      <w:r w:rsidR="00700206" w:rsidRPr="00455C9B">
        <w:rPr>
          <w:rFonts w:ascii="Arial Narrow" w:hAnsi="Arial Narrow"/>
          <w:color w:val="000000" w:themeColor="text1"/>
        </w:rPr>
        <w:t>s pozitívnym vplyvom</w:t>
      </w:r>
      <w:r w:rsidR="000B5900">
        <w:rPr>
          <w:rFonts w:ascii="Arial Narrow" w:hAnsi="Arial Narrow"/>
          <w:color w:val="000000" w:themeColor="text1"/>
        </w:rPr>
        <w:t xml:space="preserve"> na podnikateľské prostredie, </w:t>
      </w:r>
      <w:r w:rsidRPr="00455C9B">
        <w:rPr>
          <w:rFonts w:ascii="Arial Narrow" w:hAnsi="Arial Narrow"/>
          <w:color w:val="000000" w:themeColor="text1"/>
        </w:rPr>
        <w:t>ako zníženie sadzby DPPO, zrušenie</w:t>
      </w:r>
      <w:r w:rsidR="00E90141" w:rsidRPr="00455C9B">
        <w:rPr>
          <w:rFonts w:ascii="Arial Narrow" w:hAnsi="Arial Narrow"/>
          <w:color w:val="000000" w:themeColor="text1"/>
        </w:rPr>
        <w:t xml:space="preserve"> daňovej licencie (</w:t>
      </w:r>
      <w:r w:rsidRPr="00455C9B">
        <w:rPr>
          <w:rFonts w:ascii="Arial Narrow" w:hAnsi="Arial Narrow"/>
          <w:color w:val="000000" w:themeColor="text1"/>
        </w:rPr>
        <w:t>od roku 2018</w:t>
      </w:r>
      <w:r w:rsidR="00E90141" w:rsidRPr="00455C9B">
        <w:rPr>
          <w:rFonts w:ascii="Arial Narrow" w:hAnsi="Arial Narrow"/>
          <w:color w:val="000000" w:themeColor="text1"/>
        </w:rPr>
        <w:t xml:space="preserve">) </w:t>
      </w:r>
      <w:r w:rsidRPr="00455C9B">
        <w:rPr>
          <w:rFonts w:ascii="Arial Narrow" w:hAnsi="Arial Narrow"/>
          <w:color w:val="000000" w:themeColor="text1"/>
        </w:rPr>
        <w:t>a zvýšenie limitu paušálnych výdavkov pre SZČO.</w:t>
      </w:r>
      <w:r w:rsidR="00803EDD" w:rsidRPr="00455C9B">
        <w:rPr>
          <w:rStyle w:val="Zstupntext"/>
          <w:rFonts w:ascii="Arial Narrow" w:hAnsi="Arial Narrow"/>
          <w:color w:val="000000" w:themeColor="text1"/>
        </w:rPr>
        <w:t xml:space="preserve"> </w:t>
      </w:r>
    </w:p>
    <w:p w14:paraId="7FD42C94" w14:textId="77777777" w:rsidR="00415D99" w:rsidRDefault="00415D99" w:rsidP="00FB625E">
      <w:pPr>
        <w:spacing w:after="0" w:line="240" w:lineRule="auto"/>
        <w:jc w:val="both"/>
        <w:rPr>
          <w:rStyle w:val="Zstupntext"/>
          <w:rFonts w:ascii="Arial Narrow" w:hAnsi="Arial Narrow"/>
          <w:color w:val="000000" w:themeColor="text1"/>
        </w:rPr>
      </w:pPr>
    </w:p>
    <w:p w14:paraId="5A3ECD8F" w14:textId="26499EBD" w:rsidR="00682C07" w:rsidRPr="00A94E2C" w:rsidRDefault="00682C07" w:rsidP="00FB625E">
      <w:pPr>
        <w:spacing w:after="0" w:line="240" w:lineRule="auto"/>
        <w:jc w:val="both"/>
        <w:rPr>
          <w:rFonts w:ascii="Arial Narrow" w:hAnsi="Arial Narrow"/>
          <w:b/>
          <w:i/>
        </w:rPr>
      </w:pPr>
      <w:r w:rsidRPr="00A94E2C">
        <w:rPr>
          <w:rFonts w:ascii="Arial Narrow" w:hAnsi="Arial Narrow"/>
          <w:b/>
          <w:i/>
        </w:rPr>
        <w:t>Zdravotníctvo</w:t>
      </w:r>
    </w:p>
    <w:p w14:paraId="0CD2E547" w14:textId="7C7FD814" w:rsidR="00682C07" w:rsidRDefault="00C80F9E" w:rsidP="001823E2">
      <w:pPr>
        <w:spacing w:after="0" w:line="240" w:lineRule="auto"/>
        <w:jc w:val="both"/>
        <w:rPr>
          <w:rFonts w:ascii="Arial Narrow" w:hAnsi="Arial Narrow"/>
        </w:rPr>
      </w:pPr>
      <w:r w:rsidRPr="001823E2">
        <w:rPr>
          <w:rFonts w:ascii="Arial Narrow" w:hAnsi="Arial Narrow"/>
          <w:b/>
        </w:rPr>
        <w:t>R</w:t>
      </w:r>
      <w:r w:rsidR="00682C07" w:rsidRPr="005B48EF">
        <w:rPr>
          <w:rFonts w:ascii="Arial Narrow" w:hAnsi="Arial Narrow"/>
          <w:b/>
        </w:rPr>
        <w:t>evízia výdavkov zdravotníctva</w:t>
      </w:r>
      <w:r>
        <w:rPr>
          <w:rFonts w:ascii="Arial Narrow" w:hAnsi="Arial Narrow"/>
          <w:b/>
        </w:rPr>
        <w:t xml:space="preserve"> </w:t>
      </w:r>
      <w:r w:rsidRPr="001823E2">
        <w:rPr>
          <w:rFonts w:ascii="Arial Narrow" w:hAnsi="Arial Narrow"/>
        </w:rPr>
        <w:t>v roku 2016</w:t>
      </w:r>
      <w:r>
        <w:rPr>
          <w:rFonts w:ascii="Arial Narrow" w:hAnsi="Arial Narrow"/>
          <w:b/>
        </w:rPr>
        <w:t xml:space="preserve"> </w:t>
      </w:r>
      <w:r w:rsidR="00682C07" w:rsidRPr="005B48EF">
        <w:rPr>
          <w:rFonts w:ascii="Arial Narrow" w:hAnsi="Arial Narrow"/>
        </w:rPr>
        <w:t xml:space="preserve">identifikovala potenciál pre </w:t>
      </w:r>
      <w:r w:rsidR="00682C07" w:rsidRPr="005B48EF">
        <w:rPr>
          <w:rFonts w:ascii="Arial Narrow" w:hAnsi="Arial Narrow"/>
          <w:b/>
        </w:rPr>
        <w:t>zvýšenie efektívnosti v objeme 174 až 363 mil. eur</w:t>
      </w:r>
      <w:r w:rsidR="00682C07" w:rsidRPr="005B48EF">
        <w:rPr>
          <w:rFonts w:ascii="Arial Narrow" w:hAnsi="Arial Narrow"/>
        </w:rPr>
        <w:t>. Konkrétne úsporné opatrenia na rok 2017 sú v objeme 174 mil. eur a budú použité na zdravotnú starostlivosť, tak aby efektívne prispeli k znižovaniu úmrtnosti odvrátiteľnej systémom zdravotnej starostlivosti.</w:t>
      </w:r>
    </w:p>
    <w:p w14:paraId="50290C5B" w14:textId="77777777" w:rsidR="00802A81" w:rsidRDefault="00802A81" w:rsidP="001823E2">
      <w:pPr>
        <w:spacing w:after="0" w:line="240" w:lineRule="auto"/>
        <w:jc w:val="both"/>
        <w:rPr>
          <w:rFonts w:ascii="Arial Narrow" w:hAnsi="Arial Narrow"/>
        </w:rPr>
      </w:pPr>
    </w:p>
    <w:p w14:paraId="58A9D6E1" w14:textId="5BA2270D" w:rsidR="00C80F9E" w:rsidRPr="00C80F9E" w:rsidRDefault="00682C07" w:rsidP="00C80F9E">
      <w:pPr>
        <w:spacing w:after="0" w:line="240" w:lineRule="auto"/>
        <w:jc w:val="both"/>
        <w:rPr>
          <w:rFonts w:ascii="Arial Narrow" w:hAnsi="Arial Narrow"/>
        </w:rPr>
      </w:pPr>
      <w:r w:rsidRPr="005B48EF">
        <w:rPr>
          <w:rFonts w:ascii="Arial Narrow" w:hAnsi="Arial Narrow"/>
        </w:rPr>
        <w:t>Pokračujú procesy pre zlepšenie hospodárenia nemocníc v pôsobnosti MZ SR. V záujme zefek</w:t>
      </w:r>
      <w:r w:rsidR="000B5900">
        <w:rPr>
          <w:rFonts w:ascii="Arial Narrow" w:hAnsi="Arial Narrow"/>
        </w:rPr>
        <w:t xml:space="preserve">tívnenia obstarávania energií a služieb, </w:t>
      </w:r>
      <w:r w:rsidRPr="005B48EF">
        <w:rPr>
          <w:rFonts w:ascii="Arial Narrow" w:hAnsi="Arial Narrow"/>
        </w:rPr>
        <w:t xml:space="preserve">ale aj liekov a medicínskeho materiálu boli nemocnice požiadané o vypovedanie aktuálnych platných zmlúv. </w:t>
      </w:r>
      <w:r w:rsidRPr="005B48EF">
        <w:rPr>
          <w:rFonts w:ascii="Arial Narrow" w:hAnsi="Arial Narrow"/>
          <w:b/>
        </w:rPr>
        <w:t>Obstaranie nových dodávateľov</w:t>
      </w:r>
      <w:r w:rsidRPr="005B48EF">
        <w:rPr>
          <w:rFonts w:ascii="Arial Narrow" w:hAnsi="Arial Narrow"/>
        </w:rPr>
        <w:t xml:space="preserve"> má byť </w:t>
      </w:r>
      <w:r w:rsidRPr="005B48EF">
        <w:rPr>
          <w:rFonts w:ascii="Arial Narrow" w:hAnsi="Arial Narrow"/>
          <w:b/>
        </w:rPr>
        <w:t>v súlade s aktuálnymi trhovými cenami</w:t>
      </w:r>
      <w:r w:rsidRPr="005B48EF">
        <w:rPr>
          <w:rFonts w:ascii="Arial Narrow" w:hAnsi="Arial Narrow"/>
        </w:rPr>
        <w:t xml:space="preserve"> energií a priemernými trhovými cenami vybranýc</w:t>
      </w:r>
      <w:r w:rsidR="000B5900">
        <w:rPr>
          <w:rFonts w:ascii="Arial Narrow" w:hAnsi="Arial Narrow"/>
        </w:rPr>
        <w:t xml:space="preserve">h služieb a tovarov. V septembri </w:t>
      </w:r>
      <w:r w:rsidRPr="005B48EF">
        <w:rPr>
          <w:rFonts w:ascii="Arial Narrow" w:hAnsi="Arial Narrow"/>
        </w:rPr>
        <w:t>2016 bol nemocniciam poskytnutý cenník liekov, ktorý predstavuje</w:t>
      </w:r>
      <w:r w:rsidR="000B5900">
        <w:rPr>
          <w:rFonts w:ascii="Arial Narrow" w:hAnsi="Arial Narrow"/>
        </w:rPr>
        <w:t xml:space="preserve"> maximálne hodnoty, za ktoré by sa </w:t>
      </w:r>
      <w:r w:rsidRPr="005B48EF">
        <w:rPr>
          <w:rFonts w:ascii="Arial Narrow" w:hAnsi="Arial Narrow"/>
        </w:rPr>
        <w:t xml:space="preserve">mali jednotlivé položky nakupovať. Ak by všetky nemocnice nakupovali lieky na úrovni najnižších dosiahnutých cien, úspora by mohla dosiahnuť 6,5 mil. eur. </w:t>
      </w:r>
    </w:p>
    <w:p w14:paraId="32C550AF" w14:textId="77777777" w:rsidR="00313DFD" w:rsidRPr="005B48EF" w:rsidRDefault="00313DFD" w:rsidP="00313DFD">
      <w:pPr>
        <w:spacing w:after="0" w:line="240" w:lineRule="auto"/>
        <w:jc w:val="both"/>
        <w:rPr>
          <w:rFonts w:ascii="Arial Narrow" w:hAnsi="Arial Narrow"/>
        </w:rPr>
      </w:pPr>
    </w:p>
    <w:p w14:paraId="5C9964BE" w14:textId="67081CE6" w:rsidR="00682C07" w:rsidRPr="005B48EF" w:rsidRDefault="00682C07" w:rsidP="00FB625E">
      <w:pPr>
        <w:spacing w:after="120" w:line="240" w:lineRule="auto"/>
        <w:jc w:val="both"/>
        <w:rPr>
          <w:rFonts w:ascii="Arial Narrow" w:hAnsi="Arial Narrow"/>
        </w:rPr>
      </w:pPr>
      <w:r w:rsidRPr="005B48EF">
        <w:rPr>
          <w:rFonts w:ascii="Arial Narrow" w:hAnsi="Arial Narrow"/>
        </w:rPr>
        <w:t xml:space="preserve">Medzinárodné </w:t>
      </w:r>
      <w:r w:rsidRPr="005B48EF">
        <w:rPr>
          <w:rFonts w:ascii="Arial Narrow" w:hAnsi="Arial Narrow"/>
          <w:b/>
        </w:rPr>
        <w:t>referencovanie</w:t>
      </w:r>
      <w:r w:rsidRPr="005B48EF">
        <w:rPr>
          <w:rFonts w:ascii="Arial Narrow" w:hAnsi="Arial Narrow"/>
        </w:rPr>
        <w:t xml:space="preserve"> cien sa </w:t>
      </w:r>
      <w:r w:rsidRPr="005B48EF">
        <w:rPr>
          <w:rFonts w:ascii="Arial Narrow" w:hAnsi="Arial Narrow"/>
          <w:b/>
        </w:rPr>
        <w:t>rozšírilo aj na zdravotnícke pomôcky a špeciálny zdravotnícky materiál</w:t>
      </w:r>
      <w:r w:rsidRPr="005B48EF">
        <w:rPr>
          <w:rFonts w:ascii="Arial Narrow" w:hAnsi="Arial Narrow"/>
        </w:rPr>
        <w:t>. V </w:t>
      </w:r>
      <w:r w:rsidR="00FC4A85">
        <w:rPr>
          <w:rFonts w:ascii="Arial Narrow" w:hAnsi="Arial Narrow"/>
        </w:rPr>
        <w:t>júni</w:t>
      </w:r>
      <w:r w:rsidR="00FC4A85" w:rsidRPr="005B48EF">
        <w:rPr>
          <w:rFonts w:ascii="Arial Narrow" w:hAnsi="Arial Narrow"/>
        </w:rPr>
        <w:t xml:space="preserve"> </w:t>
      </w:r>
      <w:r w:rsidRPr="005B48EF">
        <w:rPr>
          <w:rFonts w:ascii="Arial Narrow" w:hAnsi="Arial Narrow"/>
        </w:rPr>
        <w:t>2016 vstúpili do platnosti ceny zdravotn</w:t>
      </w:r>
      <w:r w:rsidR="000B5900">
        <w:rPr>
          <w:rFonts w:ascii="Arial Narrow" w:hAnsi="Arial Narrow"/>
        </w:rPr>
        <w:t>íckych pomôcok, ktoré boli prvý</w:t>
      </w:r>
      <w:r w:rsidRPr="005B48EF">
        <w:rPr>
          <w:rFonts w:ascii="Arial Narrow" w:hAnsi="Arial Narrow"/>
        </w:rPr>
        <w:t xml:space="preserve">krát vystavené medzinárodnému referencovaniu. </w:t>
      </w:r>
      <w:r w:rsidR="00A1090E">
        <w:rPr>
          <w:rFonts w:ascii="Arial Narrow" w:hAnsi="Arial Narrow"/>
        </w:rPr>
        <w:t>Po zavedeni referencovania zdravotných pomôcok</w:t>
      </w:r>
      <w:r w:rsidR="0064285B">
        <w:rPr>
          <w:rFonts w:ascii="Arial Narrow" w:hAnsi="Arial Narrow"/>
        </w:rPr>
        <w:t xml:space="preserve"> v roku 2016 </w:t>
      </w:r>
      <w:r w:rsidR="00A1090E">
        <w:rPr>
          <w:rFonts w:ascii="Arial Narrow" w:hAnsi="Arial Narrow"/>
        </w:rPr>
        <w:t xml:space="preserve">klesli ceny </w:t>
      </w:r>
      <w:r w:rsidRPr="005B48EF">
        <w:rPr>
          <w:rFonts w:ascii="Arial Narrow" w:hAnsi="Arial Narrow"/>
        </w:rPr>
        <w:lastRenderedPageBreak/>
        <w:t xml:space="preserve">535 zdravotných pomôcok (11,1 % všetkých pomôcok) </w:t>
      </w:r>
      <w:r w:rsidR="00A1090E">
        <w:rPr>
          <w:rFonts w:ascii="Arial Narrow" w:hAnsi="Arial Narrow"/>
        </w:rPr>
        <w:t xml:space="preserve">v priemere </w:t>
      </w:r>
      <w:r w:rsidRPr="005B48EF">
        <w:rPr>
          <w:rFonts w:ascii="Arial Narrow" w:hAnsi="Arial Narrow"/>
        </w:rPr>
        <w:t>o 21 %</w:t>
      </w:r>
      <w:r w:rsidR="0064285B">
        <w:rPr>
          <w:rFonts w:ascii="Arial Narrow" w:hAnsi="Arial Narrow"/>
        </w:rPr>
        <w:t xml:space="preserve"> oproti roku 2015</w:t>
      </w:r>
      <w:r w:rsidRPr="005B48EF">
        <w:rPr>
          <w:rStyle w:val="Odkaznapoznmkupodiarou"/>
          <w:rFonts w:ascii="Arial Narrow" w:hAnsi="Arial Narrow"/>
        </w:rPr>
        <w:footnoteReference w:id="4"/>
      </w:r>
      <w:r w:rsidRPr="005B48EF">
        <w:rPr>
          <w:rFonts w:ascii="Arial Narrow" w:hAnsi="Arial Narrow"/>
        </w:rPr>
        <w:t xml:space="preserve">. V roku 2016 boli po prvýkrát zreferencované ceny vybraných špeciálnych zdravotných materiálov (kardiostimulátorov, stentov a defibrilátorov používaných v kardioústavoch) na základe cien v Českej republike. Okruh referencovaných materiálov bol v októbri rozšírený na všetky materiály a vplyv referencovania </w:t>
      </w:r>
      <w:r w:rsidR="001823E2">
        <w:rPr>
          <w:rFonts w:ascii="Arial Narrow" w:hAnsi="Arial Narrow"/>
        </w:rPr>
        <w:t>odhaduje MZ SR</w:t>
      </w:r>
      <w:r w:rsidRPr="005B48EF">
        <w:rPr>
          <w:rFonts w:ascii="Arial Narrow" w:hAnsi="Arial Narrow"/>
        </w:rPr>
        <w:t xml:space="preserve"> </w:t>
      </w:r>
      <w:r w:rsidR="001823E2">
        <w:rPr>
          <w:rFonts w:ascii="Arial Narrow" w:hAnsi="Arial Narrow"/>
        </w:rPr>
        <w:t xml:space="preserve">na </w:t>
      </w:r>
      <w:r w:rsidRPr="005B48EF">
        <w:rPr>
          <w:rFonts w:ascii="Arial Narrow" w:hAnsi="Arial Narrow"/>
        </w:rPr>
        <w:t>35 mil. eur.</w:t>
      </w:r>
    </w:p>
    <w:p w14:paraId="03BAA957" w14:textId="77777777" w:rsidR="00682C07" w:rsidRPr="006C620A" w:rsidRDefault="00682C07" w:rsidP="00FB625E">
      <w:pPr>
        <w:pStyle w:val="Odsekzoznamu"/>
        <w:spacing w:before="120" w:after="0" w:line="240" w:lineRule="auto"/>
        <w:ind w:left="0"/>
        <w:jc w:val="both"/>
        <w:rPr>
          <w:rFonts w:ascii="Arial Narrow" w:hAnsi="Arial Narrow"/>
          <w:szCs w:val="36"/>
        </w:rPr>
      </w:pPr>
      <w:r w:rsidRPr="005B48EF">
        <w:rPr>
          <w:rFonts w:ascii="Arial Narrow" w:hAnsi="Arial Narrow"/>
          <w:szCs w:val="36"/>
        </w:rPr>
        <w:t>Dlhodobo sa realizuje viacero projektov, ktoré prispejú k vyššej efektívnosti a transparentnosti zdravotníctva:</w:t>
      </w:r>
    </w:p>
    <w:p w14:paraId="2AFF19B1" w14:textId="77777777" w:rsidR="00682C07" w:rsidRPr="005B48EF" w:rsidRDefault="00682C07" w:rsidP="00FB625E">
      <w:pPr>
        <w:pStyle w:val="Odsekzoznamu"/>
        <w:numPr>
          <w:ilvl w:val="0"/>
          <w:numId w:val="20"/>
        </w:numPr>
        <w:spacing w:after="120" w:line="240" w:lineRule="auto"/>
        <w:contextualSpacing w:val="0"/>
        <w:jc w:val="both"/>
        <w:rPr>
          <w:rFonts w:ascii="Arial Narrow" w:hAnsi="Arial Narrow"/>
          <w:szCs w:val="36"/>
        </w:rPr>
      </w:pPr>
      <w:r w:rsidRPr="005B48EF">
        <w:rPr>
          <w:rFonts w:ascii="Arial Narrow" w:hAnsi="Arial Narrow"/>
          <w:b/>
          <w:szCs w:val="36"/>
        </w:rPr>
        <w:t>Elektronizácia zdravotníctva a Elektronické služby zdravotníctva</w:t>
      </w:r>
      <w:r w:rsidRPr="005B48EF">
        <w:rPr>
          <w:rFonts w:ascii="Arial Narrow" w:hAnsi="Arial Narrow"/>
          <w:szCs w:val="36"/>
        </w:rPr>
        <w:t>. Od novembra 2015 prebieha testovanie systému v štyroch pilotných prevádzkach, v súčasnosti sa pripravujú právne a iné technické oblasti potrebné pre prípravu ďalších funkcionalít systému.</w:t>
      </w:r>
    </w:p>
    <w:p w14:paraId="17895FCA" w14:textId="1353E9D4" w:rsidR="00682C07" w:rsidRPr="005B48EF" w:rsidRDefault="00682C07" w:rsidP="00FB625E">
      <w:pPr>
        <w:pStyle w:val="Odsekzoznamu"/>
        <w:numPr>
          <w:ilvl w:val="0"/>
          <w:numId w:val="20"/>
        </w:numPr>
        <w:spacing w:after="120" w:line="240" w:lineRule="auto"/>
        <w:contextualSpacing w:val="0"/>
        <w:jc w:val="both"/>
        <w:rPr>
          <w:rFonts w:ascii="Arial Narrow" w:hAnsi="Arial Narrow"/>
          <w:szCs w:val="36"/>
        </w:rPr>
      </w:pPr>
      <w:r w:rsidRPr="005B48EF">
        <w:rPr>
          <w:rFonts w:ascii="Arial Narrow" w:hAnsi="Arial Narrow"/>
          <w:b/>
          <w:szCs w:val="36"/>
        </w:rPr>
        <w:t xml:space="preserve">Zavedenie platieb za diagnostickú skupinu. </w:t>
      </w:r>
      <w:r w:rsidRPr="005B48EF">
        <w:rPr>
          <w:rFonts w:ascii="Arial Narrow" w:hAnsi="Arial Narrow"/>
          <w:szCs w:val="36"/>
        </w:rPr>
        <w:t xml:space="preserve">Od roku 2016 prebieha </w:t>
      </w:r>
      <w:r w:rsidR="004D15CC">
        <w:rPr>
          <w:rFonts w:ascii="Arial Narrow" w:hAnsi="Arial Narrow"/>
          <w:szCs w:val="36"/>
        </w:rPr>
        <w:t>plný</w:t>
      </w:r>
      <w:r w:rsidRPr="005B48EF">
        <w:rPr>
          <w:rFonts w:ascii="Arial Narrow" w:hAnsi="Arial Narrow"/>
          <w:szCs w:val="36"/>
        </w:rPr>
        <w:t xml:space="preserve"> zber klinických a ekonomických dát podľa DRG štruktúry, ale bez dopadu na financovanie. MZ SR pripravilo metodiku výpočtu a stanovenia základných sadzieb, ktoré budú v strednodobom horizonte konvergovať na jednu sadzbu. </w:t>
      </w:r>
    </w:p>
    <w:p w14:paraId="0C2C7C9C" w14:textId="7C3BD722" w:rsidR="00682C07" w:rsidRPr="00C82890" w:rsidRDefault="00682C07" w:rsidP="00FB625E">
      <w:pPr>
        <w:pStyle w:val="Odsekzoznamu"/>
        <w:numPr>
          <w:ilvl w:val="0"/>
          <w:numId w:val="20"/>
        </w:numPr>
        <w:spacing w:after="0" w:line="240" w:lineRule="auto"/>
        <w:ind w:left="357" w:hanging="357"/>
        <w:contextualSpacing w:val="0"/>
        <w:jc w:val="both"/>
        <w:rPr>
          <w:rFonts w:ascii="Arial Narrow" w:hAnsi="Arial Narrow"/>
        </w:rPr>
      </w:pPr>
      <w:r w:rsidRPr="005B48EF">
        <w:rPr>
          <w:rFonts w:ascii="Arial Narrow" w:hAnsi="Arial Narrow"/>
          <w:b/>
          <w:szCs w:val="36"/>
        </w:rPr>
        <w:t>Redefinovanie typov nemocníc a starostlivosti.</w:t>
      </w:r>
      <w:r w:rsidRPr="005B48EF">
        <w:rPr>
          <w:rFonts w:ascii="Arial Narrow" w:hAnsi="Arial Narrow"/>
          <w:szCs w:val="36"/>
        </w:rPr>
        <w:t xml:space="preserve"> MZ </w:t>
      </w:r>
      <w:r w:rsidRPr="005B48EF">
        <w:rPr>
          <w:rFonts w:ascii="Arial Narrow" w:hAnsi="Arial Narrow"/>
          <w:bCs/>
        </w:rPr>
        <w:t>SR pripravilo vlastný</w:t>
      </w:r>
      <w:r w:rsidR="00FC4A85">
        <w:rPr>
          <w:rFonts w:ascii="Arial Narrow" w:hAnsi="Arial Narrow"/>
          <w:bCs/>
        </w:rPr>
        <w:t xml:space="preserve"> návrh stratifikácie</w:t>
      </w:r>
      <w:r w:rsidRPr="005B48EF">
        <w:rPr>
          <w:rFonts w:ascii="Arial Narrow" w:hAnsi="Arial Narrow"/>
          <w:bCs/>
        </w:rPr>
        <w:t>, ktorý bol zvere</w:t>
      </w:r>
      <w:r w:rsidR="000B5900">
        <w:rPr>
          <w:rFonts w:ascii="Arial Narrow" w:hAnsi="Arial Narrow"/>
          <w:bCs/>
        </w:rPr>
        <w:t xml:space="preserve">jnený v rámci príloh čerpania EÚ </w:t>
      </w:r>
      <w:r w:rsidRPr="005B48EF">
        <w:rPr>
          <w:rFonts w:ascii="Arial Narrow" w:hAnsi="Arial Narrow"/>
          <w:bCs/>
        </w:rPr>
        <w:t>fondov z Operačného programu</w:t>
      </w:r>
      <w:r w:rsidR="00F904B9">
        <w:rPr>
          <w:rFonts w:ascii="Arial Narrow" w:hAnsi="Arial Narrow"/>
          <w:bCs/>
        </w:rPr>
        <w:t xml:space="preserve"> (OP) </w:t>
      </w:r>
      <w:r w:rsidRPr="005B48EF">
        <w:rPr>
          <w:rFonts w:ascii="Arial Narrow" w:hAnsi="Arial Narrow"/>
          <w:bCs/>
        </w:rPr>
        <w:t>IROP v prvej polovici novembra 2016.</w:t>
      </w:r>
      <w:r w:rsidRPr="005B48EF">
        <w:rPr>
          <w:rFonts w:ascii="Arial Narrow" w:hAnsi="Arial Narrow"/>
          <w:szCs w:val="36"/>
        </w:rPr>
        <w:t xml:space="preserve"> V priebehu roka 2017 sa následne upravia pe</w:t>
      </w:r>
      <w:r w:rsidR="00A577AA">
        <w:rPr>
          <w:rFonts w:ascii="Arial Narrow" w:hAnsi="Arial Narrow"/>
          <w:szCs w:val="36"/>
        </w:rPr>
        <w:t>rsonálne normatívy a materiálno-</w:t>
      </w:r>
      <w:r w:rsidRPr="005B48EF">
        <w:rPr>
          <w:rFonts w:ascii="Arial Narrow" w:hAnsi="Arial Narrow"/>
          <w:szCs w:val="36"/>
        </w:rPr>
        <w:t>technické zabezpečenie, ako aj typológia nemocníc, aby sa zabezpečila objektí</w:t>
      </w:r>
      <w:r>
        <w:rPr>
          <w:rFonts w:ascii="Arial Narrow" w:hAnsi="Arial Narrow"/>
          <w:szCs w:val="36"/>
        </w:rPr>
        <w:t>vnosť nákladov a zlepšila alokačná</w:t>
      </w:r>
      <w:r w:rsidRPr="005B48EF">
        <w:rPr>
          <w:rFonts w:ascii="Arial Narrow" w:hAnsi="Arial Narrow"/>
          <w:szCs w:val="36"/>
        </w:rPr>
        <w:t xml:space="preserve"> efektivita využitia zdrojov.</w:t>
      </w:r>
    </w:p>
    <w:p w14:paraId="21B5374D" w14:textId="77777777" w:rsidR="00682C07" w:rsidRPr="00C82890" w:rsidRDefault="00682C07" w:rsidP="00FB625E">
      <w:pPr>
        <w:spacing w:after="0" w:line="240" w:lineRule="auto"/>
        <w:jc w:val="both"/>
        <w:rPr>
          <w:rFonts w:ascii="Arial Narrow" w:hAnsi="Arial Narrow"/>
        </w:rPr>
      </w:pPr>
    </w:p>
    <w:p w14:paraId="40175B84" w14:textId="7F9C83B7" w:rsidR="00682C07" w:rsidRPr="00A94E2C" w:rsidRDefault="00590379" w:rsidP="00FB625E">
      <w:pPr>
        <w:spacing w:after="0" w:line="240" w:lineRule="auto"/>
        <w:jc w:val="both"/>
        <w:rPr>
          <w:rFonts w:ascii="Arial Narrow" w:hAnsi="Arial Narrow"/>
          <w:b/>
          <w:i/>
        </w:rPr>
      </w:pPr>
      <w:r>
        <w:rPr>
          <w:rFonts w:ascii="Arial Narrow" w:hAnsi="Arial Narrow"/>
          <w:b/>
          <w:i/>
        </w:rPr>
        <w:t>Výber d</w:t>
      </w:r>
      <w:r w:rsidRPr="00A94E2C">
        <w:rPr>
          <w:rFonts w:ascii="Arial Narrow" w:hAnsi="Arial Narrow"/>
          <w:b/>
          <w:i/>
        </w:rPr>
        <w:t>a</w:t>
      </w:r>
      <w:r>
        <w:rPr>
          <w:rFonts w:ascii="Arial Narrow" w:hAnsi="Arial Narrow"/>
          <w:b/>
          <w:i/>
        </w:rPr>
        <w:t>ní</w:t>
      </w:r>
    </w:p>
    <w:p w14:paraId="55599CAF" w14:textId="79AE13EB" w:rsidR="00142633" w:rsidRDefault="00682C07" w:rsidP="00313DFD">
      <w:pPr>
        <w:spacing w:after="0" w:line="240" w:lineRule="auto"/>
        <w:jc w:val="both"/>
        <w:rPr>
          <w:rFonts w:ascii="Arial Narrow" w:hAnsi="Arial Narrow"/>
        </w:rPr>
      </w:pPr>
      <w:r w:rsidRPr="00854422">
        <w:rPr>
          <w:rFonts w:ascii="Arial Narrow" w:hAnsi="Arial Narrow"/>
          <w:b/>
        </w:rPr>
        <w:t>Boj proti daňovým únikom</w:t>
      </w:r>
      <w:r w:rsidRPr="00854422">
        <w:rPr>
          <w:rFonts w:ascii="Arial Narrow" w:hAnsi="Arial Narrow"/>
        </w:rPr>
        <w:t xml:space="preserve"> ostáva kľúčovou prioritou slovenskej vlády. Odhadovaný dodatočný prínos zlepšenej úspešnosti výberu DPH v roku 2016 z titulu realizovaných opatrení na boj proti daňovým únikom predstavuje </w:t>
      </w:r>
      <w:r w:rsidR="00FC4A85">
        <w:rPr>
          <w:rFonts w:ascii="Arial Narrow" w:hAnsi="Arial Narrow"/>
        </w:rPr>
        <w:t>1,04 mld. eur (</w:t>
      </w:r>
      <w:r w:rsidRPr="00854422">
        <w:rPr>
          <w:rFonts w:ascii="Arial Narrow" w:hAnsi="Arial Narrow"/>
        </w:rPr>
        <w:t>1,</w:t>
      </w:r>
      <w:r w:rsidR="003C61BC">
        <w:rPr>
          <w:rFonts w:ascii="Arial Narrow" w:hAnsi="Arial Narrow"/>
        </w:rPr>
        <w:t xml:space="preserve">3 </w:t>
      </w:r>
      <w:r w:rsidRPr="00854422">
        <w:rPr>
          <w:rFonts w:ascii="Arial Narrow" w:hAnsi="Arial Narrow"/>
        </w:rPr>
        <w:t>% HDP</w:t>
      </w:r>
      <w:r w:rsidR="00FC4A85">
        <w:rPr>
          <w:rFonts w:ascii="Arial Narrow" w:hAnsi="Arial Narrow"/>
        </w:rPr>
        <w:t>)</w:t>
      </w:r>
      <w:r w:rsidRPr="00854422">
        <w:rPr>
          <w:rFonts w:ascii="Arial Narrow" w:hAnsi="Arial Narrow"/>
        </w:rPr>
        <w:t xml:space="preserve"> oproti roku 2012. Efektívna daňová sadzba DPPO v posledných rokoch rastie historickým tempom, čo </w:t>
      </w:r>
      <w:r w:rsidR="009405C8">
        <w:rPr>
          <w:rFonts w:ascii="Arial Narrow" w:hAnsi="Arial Narrow"/>
        </w:rPr>
        <w:t xml:space="preserve">je možné </w:t>
      </w:r>
      <w:r w:rsidRPr="00854422">
        <w:rPr>
          <w:rFonts w:ascii="Arial Narrow" w:hAnsi="Arial Narrow"/>
        </w:rPr>
        <w:t xml:space="preserve">okrem procyklickosti tejto dane pripísať opatreniam </w:t>
      </w:r>
      <w:r w:rsidR="009405C8">
        <w:rPr>
          <w:rFonts w:ascii="Arial Narrow" w:hAnsi="Arial Narrow"/>
        </w:rPr>
        <w:t xml:space="preserve">najmä </w:t>
      </w:r>
      <w:r w:rsidRPr="00854422">
        <w:rPr>
          <w:rFonts w:ascii="Arial Narrow" w:hAnsi="Arial Narrow"/>
        </w:rPr>
        <w:t>na DPH, ktoré sa pozití</w:t>
      </w:r>
      <w:r w:rsidR="00CE1161" w:rsidRPr="00854422">
        <w:rPr>
          <w:rFonts w:ascii="Arial Narrow" w:hAnsi="Arial Narrow"/>
        </w:rPr>
        <w:t>vne prejavujú aj vo výnose DPPO</w:t>
      </w:r>
      <w:r w:rsidRPr="00854422">
        <w:rPr>
          <w:rFonts w:ascii="Arial Narrow" w:hAnsi="Arial Narrow"/>
        </w:rPr>
        <w:t>.</w:t>
      </w:r>
    </w:p>
    <w:p w14:paraId="576297C1" w14:textId="77777777" w:rsidR="00142633" w:rsidRDefault="00142633" w:rsidP="00313DFD">
      <w:pPr>
        <w:spacing w:after="0" w:line="240" w:lineRule="auto"/>
        <w:jc w:val="both"/>
        <w:rPr>
          <w:rFonts w:ascii="Arial Narrow" w:hAnsi="Arial Narrow"/>
        </w:rPr>
      </w:pPr>
    </w:p>
    <w:p w14:paraId="7C649C87" w14:textId="464D8CAB" w:rsidR="00142633" w:rsidRDefault="00142633" w:rsidP="00142633">
      <w:pPr>
        <w:spacing w:after="0" w:line="240" w:lineRule="auto"/>
        <w:jc w:val="both"/>
        <w:rPr>
          <w:rFonts w:ascii="Arial Narrow" w:hAnsi="Arial Narrow"/>
        </w:rPr>
      </w:pPr>
      <w:r w:rsidRPr="00854422">
        <w:rPr>
          <w:rFonts w:ascii="Arial Narrow" w:hAnsi="Arial Narrow"/>
        </w:rPr>
        <w:t xml:space="preserve">Okrem DPH sa úsilie sústreďuje aj na </w:t>
      </w:r>
      <w:r w:rsidRPr="00854422">
        <w:rPr>
          <w:rFonts w:ascii="Arial Narrow" w:hAnsi="Arial Narrow"/>
          <w:b/>
        </w:rPr>
        <w:t>spotrebné</w:t>
      </w:r>
      <w:r w:rsidRPr="00854422">
        <w:rPr>
          <w:rFonts w:ascii="Arial Narrow" w:hAnsi="Arial Narrow"/>
        </w:rPr>
        <w:t xml:space="preserve"> </w:t>
      </w:r>
      <w:r w:rsidRPr="00854422">
        <w:rPr>
          <w:rFonts w:ascii="Arial Narrow" w:hAnsi="Arial Narrow"/>
          <w:b/>
        </w:rPr>
        <w:t>dane</w:t>
      </w:r>
      <w:r w:rsidRPr="00854422">
        <w:rPr>
          <w:rFonts w:ascii="Arial Narrow" w:hAnsi="Arial Narrow"/>
        </w:rPr>
        <w:t xml:space="preserve">, kde bolo prijatých viacero </w:t>
      </w:r>
      <w:r w:rsidRPr="00854422">
        <w:rPr>
          <w:rFonts w:ascii="Arial Narrow" w:hAnsi="Arial Narrow"/>
          <w:b/>
        </w:rPr>
        <w:t>opatrení na zníženie priestoru optimalizácie</w:t>
      </w:r>
      <w:r w:rsidRPr="00854422">
        <w:rPr>
          <w:rFonts w:ascii="Arial Narrow" w:hAnsi="Arial Narrow"/>
        </w:rPr>
        <w:t xml:space="preserve"> dane z tabaku, či všeobecného potierania daňových únikov na spotrebných daniach. Aktualizovaná daňová medzera na dani z minerálnych olejov ukazuje, že v posledných rokoch dochádza k ustáleniu vývoja daňovej medzery. Na rozdiel od DPH</w:t>
      </w:r>
      <w:r w:rsidR="009405C8">
        <w:rPr>
          <w:rFonts w:ascii="Arial Narrow" w:hAnsi="Arial Narrow"/>
        </w:rPr>
        <w:t>,</w:t>
      </w:r>
      <w:r w:rsidRPr="00854422">
        <w:rPr>
          <w:rFonts w:ascii="Arial Narrow" w:hAnsi="Arial Narrow"/>
        </w:rPr>
        <w:t xml:space="preserve"> medzera na spotrebnej dani z minerálnych olejov nie je tvorená len únikmi, ale aj cezhraničnými</w:t>
      </w:r>
      <w:r w:rsidRPr="00854422">
        <w:rPr>
          <w:rFonts w:ascii="Arial Narrow" w:hAnsi="Arial Narrow"/>
          <w:b/>
        </w:rPr>
        <w:t xml:space="preserve"> </w:t>
      </w:r>
      <w:r w:rsidRPr="00854422">
        <w:rPr>
          <w:rFonts w:ascii="Arial Narrow" w:hAnsi="Arial Narrow"/>
        </w:rPr>
        <w:t>nákupmi. Trend vývoja daňovej medzery je</w:t>
      </w:r>
      <w:r w:rsidR="00C54D41">
        <w:rPr>
          <w:rFonts w:ascii="Arial Narrow" w:hAnsi="Arial Narrow"/>
        </w:rPr>
        <w:t xml:space="preserve"> značne ovplyvnený aj </w:t>
      </w:r>
      <w:r w:rsidRPr="00854422">
        <w:rPr>
          <w:rFonts w:ascii="Arial Narrow" w:hAnsi="Arial Narrow"/>
        </w:rPr>
        <w:t>vývojom výmenného kurzu voči najbližším krajinám.</w:t>
      </w:r>
    </w:p>
    <w:p w14:paraId="3AD5E9F1" w14:textId="77777777" w:rsidR="00142633" w:rsidRDefault="00142633" w:rsidP="00142633">
      <w:pPr>
        <w:spacing w:after="0" w:line="240" w:lineRule="auto"/>
        <w:jc w:val="both"/>
        <w:rPr>
          <w:rFonts w:ascii="Arial Narrow" w:hAnsi="Arial Narrow"/>
        </w:rPr>
      </w:pPr>
    </w:p>
    <w:p w14:paraId="4DDFCCEA" w14:textId="4BFD808A" w:rsidR="00682C07" w:rsidRPr="00854422" w:rsidRDefault="00682C07" w:rsidP="00313DFD">
      <w:pPr>
        <w:spacing w:after="0" w:line="240" w:lineRule="auto"/>
        <w:jc w:val="both"/>
        <w:rPr>
          <w:rFonts w:ascii="Arial Narrow" w:hAnsi="Arial Narrow"/>
        </w:rPr>
      </w:pPr>
      <w:r w:rsidRPr="00854422">
        <w:rPr>
          <w:rFonts w:ascii="Arial Narrow" w:hAnsi="Arial Narrow"/>
        </w:rPr>
        <w:t xml:space="preserve">S účinnosťou od roku 2017 boli prijaté viaceré opatrenia zamerané najmä na </w:t>
      </w:r>
      <w:r w:rsidRPr="00854422">
        <w:rPr>
          <w:rFonts w:ascii="Arial Narrow" w:hAnsi="Arial Narrow"/>
          <w:b/>
        </w:rPr>
        <w:t>efektívnejšiu správu daní</w:t>
      </w:r>
      <w:r w:rsidRPr="00854422">
        <w:rPr>
          <w:rFonts w:ascii="Arial Narrow" w:hAnsi="Arial Narrow"/>
        </w:rPr>
        <w:t xml:space="preserve">. Upravuje sa </w:t>
      </w:r>
      <w:r w:rsidRPr="00854422">
        <w:rPr>
          <w:rFonts w:ascii="Arial Narrow" w:hAnsi="Arial Narrow"/>
          <w:b/>
        </w:rPr>
        <w:t>inštitút</w:t>
      </w:r>
      <w:r w:rsidRPr="00854422">
        <w:rPr>
          <w:rFonts w:ascii="Arial Narrow" w:hAnsi="Arial Narrow"/>
        </w:rPr>
        <w:t xml:space="preserve"> </w:t>
      </w:r>
      <w:r w:rsidRPr="00854422">
        <w:rPr>
          <w:rFonts w:ascii="Arial Narrow" w:hAnsi="Arial Narrow"/>
          <w:b/>
        </w:rPr>
        <w:t>predbežného opatrenia</w:t>
      </w:r>
      <w:r w:rsidRPr="00854422">
        <w:rPr>
          <w:rFonts w:ascii="Arial Narrow" w:hAnsi="Arial Narrow"/>
        </w:rPr>
        <w:t>, ktorý efektívne prispieva k plneniu budúcich povinností daňových subjektov. Správca dane</w:t>
      </w:r>
      <w:r w:rsidR="00C54D41">
        <w:rPr>
          <w:rFonts w:ascii="Arial Narrow" w:hAnsi="Arial Narrow"/>
        </w:rPr>
        <w:t xml:space="preserve"> bude môcť pružnejšie reagovať </w:t>
      </w:r>
      <w:r w:rsidRPr="00854422">
        <w:rPr>
          <w:rFonts w:ascii="Arial Narrow" w:hAnsi="Arial Narrow"/>
        </w:rPr>
        <w:t xml:space="preserve">v prípade odôvodnenej obavy, že nesplatná alebo nevyrubená daň nebude v dobe jej splatnosti uhradená, alebo že bude nevymožiteľná. </w:t>
      </w:r>
      <w:r w:rsidRPr="00854422">
        <w:rPr>
          <w:rFonts w:ascii="Arial Narrow" w:hAnsi="Arial Narrow"/>
          <w:b/>
        </w:rPr>
        <w:t>Ustanovenie o podávaní námietok</w:t>
      </w:r>
      <w:r w:rsidRPr="00854422">
        <w:rPr>
          <w:rFonts w:ascii="Arial Narrow" w:hAnsi="Arial Narrow"/>
        </w:rPr>
        <w:t xml:space="preserve"> sa upravuje tak, aby daňový subjekt podanú námi</w:t>
      </w:r>
      <w:r w:rsidR="00C54D41">
        <w:rPr>
          <w:rFonts w:ascii="Arial Narrow" w:hAnsi="Arial Narrow"/>
        </w:rPr>
        <w:t xml:space="preserve">etku riadne odôvodnil a uviedol, </w:t>
      </w:r>
      <w:r w:rsidRPr="00854422">
        <w:rPr>
          <w:rFonts w:ascii="Arial Narrow" w:hAnsi="Arial Narrow"/>
        </w:rPr>
        <w:t>proti komu smeruje. Cieľom je predísť mareniu správy daní podávaním opakovaných, často neopodstatnených námietok.</w:t>
      </w:r>
      <w:r w:rsidR="008F3AF0">
        <w:rPr>
          <w:rFonts w:ascii="Arial Narrow" w:hAnsi="Arial Narrow"/>
        </w:rPr>
        <w:t xml:space="preserve"> Najnovšie zmeny s</w:t>
      </w:r>
      <w:r w:rsidR="00845688">
        <w:rPr>
          <w:rFonts w:ascii="Arial Narrow" w:hAnsi="Arial Narrow"/>
        </w:rPr>
        <w:t xml:space="preserve"> </w:t>
      </w:r>
      <w:r w:rsidR="008F3AF0">
        <w:rPr>
          <w:rFonts w:ascii="Arial Narrow" w:hAnsi="Arial Narrow"/>
        </w:rPr>
        <w:t xml:space="preserve">účinnosťou od januára 2017 v </w:t>
      </w:r>
      <w:r w:rsidR="008F3AF0" w:rsidRPr="008F3AF0">
        <w:rPr>
          <w:rFonts w:ascii="Arial Narrow" w:hAnsi="Arial Narrow"/>
          <w:b/>
        </w:rPr>
        <w:t xml:space="preserve">sankcionovaní neodôvodneného zníženia základu dane </w:t>
      </w:r>
      <w:r w:rsidR="008F3AF0">
        <w:rPr>
          <w:rFonts w:ascii="Arial Narrow" w:hAnsi="Arial Narrow"/>
        </w:rPr>
        <w:t xml:space="preserve">cez nesprávnu metódu transferového oceňovania tiež zvýhodňujú tých daňovníkov, ktorí akceptujú rozhodnutie správcu dane o vyrubení rozdielu dane a nevyužijú možnosť podania odvolania. </w:t>
      </w:r>
      <w:r w:rsidRPr="00854422">
        <w:rPr>
          <w:rFonts w:ascii="Arial Narrow" w:hAnsi="Arial Narrow"/>
        </w:rPr>
        <w:t xml:space="preserve">Zavádza sa nový </w:t>
      </w:r>
      <w:r w:rsidR="00D86928" w:rsidRPr="00854422">
        <w:rPr>
          <w:rFonts w:ascii="Arial Narrow" w:hAnsi="Arial Narrow"/>
          <w:b/>
        </w:rPr>
        <w:t xml:space="preserve">inštitút </w:t>
      </w:r>
      <w:r w:rsidRPr="00854422">
        <w:rPr>
          <w:rFonts w:ascii="Arial Narrow" w:hAnsi="Arial Narrow"/>
          <w:b/>
        </w:rPr>
        <w:t>skrátené</w:t>
      </w:r>
      <w:r w:rsidR="00D86928" w:rsidRPr="00854422">
        <w:rPr>
          <w:rFonts w:ascii="Arial Narrow" w:hAnsi="Arial Narrow"/>
          <w:b/>
        </w:rPr>
        <w:t>ho</w:t>
      </w:r>
      <w:r w:rsidRPr="00854422">
        <w:rPr>
          <w:rFonts w:ascii="Arial Narrow" w:hAnsi="Arial Narrow"/>
          <w:b/>
        </w:rPr>
        <w:t xml:space="preserve"> vyrubovacie</w:t>
      </w:r>
      <w:r w:rsidR="00D86928" w:rsidRPr="00854422">
        <w:rPr>
          <w:rFonts w:ascii="Arial Narrow" w:hAnsi="Arial Narrow"/>
          <w:b/>
        </w:rPr>
        <w:t xml:space="preserve">ho konania </w:t>
      </w:r>
      <w:r w:rsidR="00C54D41">
        <w:rPr>
          <w:rFonts w:ascii="Arial Narrow" w:hAnsi="Arial Narrow"/>
        </w:rPr>
        <w:t xml:space="preserve">(vyrubovací rozkaz) </w:t>
      </w:r>
      <w:r w:rsidR="00D86928" w:rsidRPr="00854422">
        <w:rPr>
          <w:rFonts w:ascii="Arial Narrow" w:hAnsi="Arial Narrow"/>
        </w:rPr>
        <w:t xml:space="preserve">ako nový pružnejší spôsob vyrubenia dane. </w:t>
      </w:r>
      <w:r w:rsidRPr="00854422">
        <w:rPr>
          <w:rFonts w:ascii="Arial Narrow" w:hAnsi="Arial Narrow"/>
        </w:rPr>
        <w:t xml:space="preserve">Vyrubovací rozkaz vydá správca dane, ak má pochybnosti o správnosti alebo pravdivosti podaného daňového priznania a daňový subjekt nereaguje na jeho výzvu na odstránenie týchto nedostatkov.  </w:t>
      </w:r>
    </w:p>
    <w:p w14:paraId="56B52669" w14:textId="77777777" w:rsidR="00313DFD" w:rsidRPr="00854422" w:rsidRDefault="00313DFD" w:rsidP="00313DFD">
      <w:pPr>
        <w:spacing w:after="0" w:line="240" w:lineRule="auto"/>
        <w:jc w:val="both"/>
        <w:rPr>
          <w:rFonts w:ascii="Arial Narrow" w:hAnsi="Arial Narrow"/>
        </w:rPr>
      </w:pPr>
    </w:p>
    <w:p w14:paraId="373791A6" w14:textId="56290A04" w:rsidR="00682C07" w:rsidRPr="00854422" w:rsidRDefault="00682C07" w:rsidP="00313DFD">
      <w:pPr>
        <w:spacing w:after="0" w:line="240" w:lineRule="auto"/>
        <w:jc w:val="both"/>
        <w:rPr>
          <w:rFonts w:ascii="Arial Narrow" w:hAnsi="Arial Narrow"/>
        </w:rPr>
      </w:pPr>
      <w:r w:rsidRPr="00854422">
        <w:rPr>
          <w:rFonts w:ascii="Arial Narrow" w:hAnsi="Arial Narrow"/>
          <w:b/>
          <w:szCs w:val="24"/>
        </w:rPr>
        <w:t xml:space="preserve">Posilnila sa elektronizácia zdaňovania nehnuteľností. </w:t>
      </w:r>
      <w:r w:rsidR="00C549FA">
        <w:rPr>
          <w:rFonts w:ascii="Arial Narrow" w:hAnsi="Arial Narrow"/>
          <w:szCs w:val="24"/>
        </w:rPr>
        <w:t>Od roku 2017 sa z</w:t>
      </w:r>
      <w:r w:rsidRPr="00854422">
        <w:rPr>
          <w:rFonts w:ascii="Arial Narrow" w:hAnsi="Arial Narrow"/>
          <w:szCs w:val="24"/>
        </w:rPr>
        <w:t xml:space="preserve">aviedlo predkladanie údajov o dani z nehnuteľností výhradne elektronicky prostredníctvom rozpočtového informačného systému pre samosprávy.  </w:t>
      </w:r>
    </w:p>
    <w:p w14:paraId="2BB7E32A" w14:textId="77777777" w:rsidR="00313DFD" w:rsidRPr="00854422" w:rsidRDefault="00313DFD" w:rsidP="00313DFD">
      <w:pPr>
        <w:spacing w:after="0" w:line="240" w:lineRule="auto"/>
        <w:jc w:val="both"/>
        <w:rPr>
          <w:rFonts w:ascii="Arial Narrow" w:hAnsi="Arial Narrow"/>
          <w:szCs w:val="24"/>
        </w:rPr>
      </w:pPr>
    </w:p>
    <w:p w14:paraId="22D8B3B9" w14:textId="3BADFE92" w:rsidR="00A455A6" w:rsidRDefault="00682C07" w:rsidP="00FB625E">
      <w:pPr>
        <w:spacing w:after="0" w:line="240" w:lineRule="auto"/>
        <w:jc w:val="both"/>
        <w:rPr>
          <w:rFonts w:ascii="Arial Narrow" w:hAnsi="Arial Narrow"/>
          <w:szCs w:val="24"/>
        </w:rPr>
      </w:pPr>
      <w:r w:rsidRPr="00854422">
        <w:rPr>
          <w:rFonts w:ascii="Arial Narrow" w:hAnsi="Arial Narrow"/>
          <w:szCs w:val="24"/>
        </w:rPr>
        <w:t xml:space="preserve">V roku 2016 prebiehala prípravná fáza </w:t>
      </w:r>
      <w:r w:rsidRPr="00854422">
        <w:rPr>
          <w:rFonts w:ascii="Arial Narrow" w:hAnsi="Arial Narrow"/>
          <w:b/>
          <w:szCs w:val="24"/>
        </w:rPr>
        <w:t>tvorby centrálnej analytickej jednotky a dobudovania</w:t>
      </w:r>
      <w:r w:rsidRPr="00854422">
        <w:rPr>
          <w:rFonts w:ascii="Arial Narrow" w:hAnsi="Arial Narrow"/>
          <w:szCs w:val="24"/>
        </w:rPr>
        <w:t xml:space="preserve"> </w:t>
      </w:r>
      <w:r w:rsidRPr="00854422">
        <w:rPr>
          <w:rFonts w:ascii="Arial Narrow" w:hAnsi="Arial Narrow"/>
          <w:b/>
          <w:szCs w:val="24"/>
        </w:rPr>
        <w:t xml:space="preserve">analytických kapacít </w:t>
      </w:r>
      <w:r w:rsidR="00D86928" w:rsidRPr="00854422">
        <w:rPr>
          <w:rFonts w:ascii="Arial Narrow" w:hAnsi="Arial Narrow"/>
          <w:b/>
          <w:szCs w:val="24"/>
        </w:rPr>
        <w:t>f</w:t>
      </w:r>
      <w:r w:rsidR="00C80F9E" w:rsidRPr="00854422">
        <w:rPr>
          <w:rFonts w:ascii="Arial Narrow" w:hAnsi="Arial Narrow"/>
          <w:b/>
          <w:szCs w:val="24"/>
        </w:rPr>
        <w:t>inančnej správ</w:t>
      </w:r>
      <w:r w:rsidR="00D86928" w:rsidRPr="00854422">
        <w:rPr>
          <w:rFonts w:ascii="Arial Narrow" w:hAnsi="Arial Narrow"/>
          <w:b/>
          <w:szCs w:val="24"/>
        </w:rPr>
        <w:t>y</w:t>
      </w:r>
      <w:r w:rsidR="007451BA" w:rsidRPr="00854422">
        <w:rPr>
          <w:rFonts w:ascii="Arial Narrow" w:hAnsi="Arial Narrow"/>
          <w:szCs w:val="24"/>
        </w:rPr>
        <w:t>.</w:t>
      </w:r>
      <w:r w:rsidR="00150812">
        <w:rPr>
          <w:rFonts w:ascii="Arial Narrow" w:hAnsi="Arial Narrow"/>
          <w:szCs w:val="24"/>
        </w:rPr>
        <w:t xml:space="preserve"> </w:t>
      </w:r>
      <w:r w:rsidRPr="00854422">
        <w:rPr>
          <w:rFonts w:ascii="Arial Narrow" w:hAnsi="Arial Narrow"/>
          <w:szCs w:val="24"/>
        </w:rPr>
        <w:t xml:space="preserve">MF SR pripravilo pilotnú štúdiu revízie výdavkov </w:t>
      </w:r>
      <w:r w:rsidR="00D86928" w:rsidRPr="00854422">
        <w:rPr>
          <w:rFonts w:ascii="Arial Narrow" w:hAnsi="Arial Narrow"/>
          <w:szCs w:val="24"/>
        </w:rPr>
        <w:t>finančnej správy</w:t>
      </w:r>
      <w:r w:rsidRPr="00854422">
        <w:rPr>
          <w:rFonts w:ascii="Arial Narrow" w:hAnsi="Arial Narrow"/>
          <w:szCs w:val="24"/>
        </w:rPr>
        <w:t>, ktorá identifikuje priestor na ďalšie zvyšovanie efektivity výberu daní, ciel a pokles administrat</w:t>
      </w:r>
      <w:r w:rsidR="00A455A6" w:rsidRPr="00854422">
        <w:rPr>
          <w:rFonts w:ascii="Arial Narrow" w:hAnsi="Arial Narrow"/>
          <w:szCs w:val="24"/>
        </w:rPr>
        <w:t>ívnych nákladov na vybrané euro.</w:t>
      </w:r>
      <w:r w:rsidR="00A455A6">
        <w:rPr>
          <w:rFonts w:ascii="Arial Narrow" w:hAnsi="Arial Narrow"/>
          <w:szCs w:val="24"/>
        </w:rPr>
        <w:t xml:space="preserve"> </w:t>
      </w:r>
    </w:p>
    <w:p w14:paraId="5E5F03CA" w14:textId="77777777" w:rsidR="00121D57" w:rsidRDefault="00121D57" w:rsidP="00FB625E">
      <w:pPr>
        <w:spacing w:after="0" w:line="240" w:lineRule="auto"/>
        <w:jc w:val="both"/>
        <w:rPr>
          <w:rFonts w:ascii="Arial Narrow" w:hAnsi="Arial Narrow"/>
          <w:szCs w:val="24"/>
        </w:rPr>
      </w:pPr>
    </w:p>
    <w:p w14:paraId="11E88A8F" w14:textId="40D5D9DE" w:rsidR="00682C07" w:rsidRPr="00A455A6" w:rsidRDefault="00894482" w:rsidP="00FB625E">
      <w:pPr>
        <w:pStyle w:val="Odsekzoznamu"/>
        <w:numPr>
          <w:ilvl w:val="0"/>
          <w:numId w:val="19"/>
        </w:numPr>
        <w:spacing w:after="0" w:line="240" w:lineRule="auto"/>
        <w:ind w:left="357" w:hanging="357"/>
        <w:jc w:val="both"/>
        <w:rPr>
          <w:rFonts w:ascii="Arial Narrow" w:hAnsi="Arial Narrow"/>
          <w:szCs w:val="24"/>
        </w:rPr>
      </w:pPr>
      <w:r>
        <w:rPr>
          <w:rFonts w:ascii="Arial Narrow" w:hAnsi="Arial Narrow"/>
          <w:b/>
          <w:sz w:val="24"/>
          <w:szCs w:val="24"/>
        </w:rPr>
        <w:t xml:space="preserve">Dlhodobá nezamestnanosť a </w:t>
      </w:r>
      <w:r w:rsidR="00682C07" w:rsidRPr="00A455A6">
        <w:rPr>
          <w:rFonts w:ascii="Arial Narrow" w:hAnsi="Arial Narrow"/>
          <w:b/>
          <w:sz w:val="24"/>
          <w:szCs w:val="24"/>
        </w:rPr>
        <w:t>zamestnanosť žien a</w:t>
      </w:r>
      <w:r w:rsidR="00A455A6">
        <w:rPr>
          <w:rFonts w:ascii="Arial Narrow" w:hAnsi="Arial Narrow"/>
          <w:b/>
          <w:sz w:val="24"/>
          <w:szCs w:val="24"/>
        </w:rPr>
        <w:t> </w:t>
      </w:r>
      <w:r w:rsidR="00682C07" w:rsidRPr="00A455A6">
        <w:rPr>
          <w:rFonts w:ascii="Arial Narrow" w:hAnsi="Arial Narrow"/>
          <w:b/>
          <w:sz w:val="24"/>
          <w:szCs w:val="24"/>
        </w:rPr>
        <w:t>vzdelávanie</w:t>
      </w:r>
    </w:p>
    <w:p w14:paraId="1EF8B1A4" w14:textId="77777777" w:rsidR="00A455A6" w:rsidRPr="00A455A6" w:rsidRDefault="00A455A6" w:rsidP="00FB625E">
      <w:pPr>
        <w:pStyle w:val="Odsekzoznamu"/>
        <w:spacing w:after="0" w:line="240" w:lineRule="auto"/>
        <w:ind w:left="357"/>
        <w:jc w:val="both"/>
        <w:rPr>
          <w:rFonts w:ascii="Arial Narrow" w:hAnsi="Arial Narrow"/>
          <w:szCs w:val="24"/>
        </w:rPr>
      </w:pPr>
    </w:p>
    <w:p w14:paraId="21184467" w14:textId="77777777" w:rsidR="00682C07" w:rsidRDefault="00682C07" w:rsidP="00FB625E">
      <w:pPr>
        <w:spacing w:after="240" w:line="240" w:lineRule="auto"/>
        <w:jc w:val="both"/>
        <w:rPr>
          <w:rFonts w:ascii="Arial Narrow" w:hAnsi="Arial Narrow"/>
          <w:b/>
          <w:i/>
        </w:rPr>
      </w:pPr>
      <w:r w:rsidRPr="005B48EF">
        <w:rPr>
          <w:rFonts w:ascii="Arial Narrow" w:hAnsi="Arial Narrow"/>
          <w:b/>
          <w:i/>
          <w:szCs w:val="36"/>
          <w:lang w:eastAsia="en-US"/>
        </w:rPr>
        <w:t xml:space="preserve">Špecifické odporúčanie Rady: </w:t>
      </w:r>
      <w:r w:rsidRPr="005B48EF">
        <w:rPr>
          <w:rFonts w:ascii="Arial Narrow" w:hAnsi="Arial Narrow"/>
          <w:b/>
          <w:i/>
        </w:rPr>
        <w:t>Zlepšiť aktivačné opatrenia pre dlhodobo nezamestnané osoby a iné znevýhodnené skupiny, vrátane individualizovaných služieb a cielenej odbornej prípravy. Uľahčiť zamestnávanie žien, a to najmä rozšírením poskytovania cenovo dostupnej a kvalitnej starostlivosti o deti. Zlepšiť výsledky v oblasti vzdelávania zvyšovaním atraktívnosti učiteľského povolania a posilňovaním účasti rómskych detí od raného detstva v hlavnom prúde vzdelávania.</w:t>
      </w:r>
    </w:p>
    <w:p w14:paraId="07421E40" w14:textId="4DAB9A8C" w:rsidR="00CE1161" w:rsidRPr="007D7576" w:rsidRDefault="00682C07" w:rsidP="002C4F4C">
      <w:pPr>
        <w:pStyle w:val="Odsekzoznamu"/>
        <w:spacing w:after="0" w:line="240" w:lineRule="auto"/>
        <w:ind w:left="0"/>
        <w:contextualSpacing w:val="0"/>
        <w:jc w:val="both"/>
        <w:rPr>
          <w:rFonts w:ascii="Arial Narrow" w:hAnsi="Arial Narrow"/>
          <w:i/>
          <w:color w:val="000000" w:themeColor="text1"/>
        </w:rPr>
      </w:pPr>
      <w:r w:rsidRPr="007D7576">
        <w:rPr>
          <w:rFonts w:ascii="Arial Narrow" w:hAnsi="Arial Narrow"/>
          <w:i/>
        </w:rPr>
        <w:t>Reforma služieb zamestnanosti pokrač</w:t>
      </w:r>
      <w:r w:rsidR="002C4F4C" w:rsidRPr="007D7576">
        <w:rPr>
          <w:rFonts w:ascii="Arial Narrow" w:hAnsi="Arial Narrow"/>
          <w:i/>
        </w:rPr>
        <w:t xml:space="preserve">uje </w:t>
      </w:r>
      <w:r w:rsidRPr="007D7576">
        <w:rPr>
          <w:rFonts w:ascii="Arial Narrow" w:hAnsi="Arial Narrow"/>
          <w:i/>
        </w:rPr>
        <w:t>ďalším zefektívňovaním činností úradov práce a školení</w:t>
      </w:r>
      <w:r w:rsidR="002C4F4C" w:rsidRPr="007D7576">
        <w:rPr>
          <w:rFonts w:ascii="Arial Narrow" w:hAnsi="Arial Narrow"/>
          <w:i/>
        </w:rPr>
        <w:t xml:space="preserve">m ich zamestnancov. Implementovali </w:t>
      </w:r>
      <w:r w:rsidRPr="007D7576">
        <w:rPr>
          <w:rFonts w:ascii="Arial Narrow" w:hAnsi="Arial Narrow"/>
          <w:i/>
        </w:rPr>
        <w:t xml:space="preserve">sa </w:t>
      </w:r>
      <w:r w:rsidR="007D7576">
        <w:rPr>
          <w:rFonts w:ascii="Arial Narrow" w:hAnsi="Arial Narrow"/>
          <w:i/>
        </w:rPr>
        <w:t>viaceré zmeny v nástrojoch APTP</w:t>
      </w:r>
      <w:r w:rsidRPr="007D7576">
        <w:rPr>
          <w:rFonts w:ascii="Arial Narrow" w:hAnsi="Arial Narrow"/>
          <w:i/>
        </w:rPr>
        <w:t xml:space="preserve"> </w:t>
      </w:r>
      <w:r w:rsidR="007D7576">
        <w:rPr>
          <w:rFonts w:ascii="Arial Narrow" w:hAnsi="Arial Narrow"/>
          <w:i/>
        </w:rPr>
        <w:t xml:space="preserve">na podporu </w:t>
      </w:r>
      <w:r w:rsidRPr="007D7576">
        <w:rPr>
          <w:rFonts w:ascii="Arial Narrow" w:hAnsi="Arial Narrow"/>
          <w:i/>
        </w:rPr>
        <w:t>znevýhodnen</w:t>
      </w:r>
      <w:r w:rsidR="007D7576">
        <w:rPr>
          <w:rFonts w:ascii="Arial Narrow" w:hAnsi="Arial Narrow"/>
          <w:i/>
        </w:rPr>
        <w:t xml:space="preserve">ých </w:t>
      </w:r>
      <w:r w:rsidR="007D7576" w:rsidRPr="007D7576">
        <w:rPr>
          <w:rFonts w:ascii="Arial Narrow" w:hAnsi="Arial Narrow"/>
          <w:i/>
        </w:rPr>
        <w:t>skup</w:t>
      </w:r>
      <w:r w:rsidR="007D7576">
        <w:rPr>
          <w:rFonts w:ascii="Arial Narrow" w:hAnsi="Arial Narrow"/>
          <w:i/>
        </w:rPr>
        <w:t xml:space="preserve">ín </w:t>
      </w:r>
      <w:r w:rsidR="00796684">
        <w:rPr>
          <w:rFonts w:ascii="Arial Narrow" w:hAnsi="Arial Narrow"/>
          <w:i/>
        </w:rPr>
        <w:t xml:space="preserve">UoZ </w:t>
      </w:r>
      <w:r w:rsidRPr="007D7576">
        <w:rPr>
          <w:rFonts w:ascii="Arial Narrow" w:hAnsi="Arial Narrow"/>
          <w:i/>
        </w:rPr>
        <w:t>na trhu práce</w:t>
      </w:r>
      <w:r w:rsidR="007D7576">
        <w:rPr>
          <w:rFonts w:ascii="Arial Narrow" w:hAnsi="Arial Narrow"/>
          <w:i/>
        </w:rPr>
        <w:t>.</w:t>
      </w:r>
      <w:r w:rsidR="00557C09">
        <w:rPr>
          <w:rFonts w:ascii="Arial Narrow" w:hAnsi="Arial Narrow"/>
          <w:i/>
        </w:rPr>
        <w:t xml:space="preserve"> Vytvoril </w:t>
      </w:r>
      <w:r w:rsidR="00474F92" w:rsidRPr="007D7576">
        <w:rPr>
          <w:rFonts w:ascii="Arial Narrow" w:hAnsi="Arial Narrow"/>
          <w:i/>
          <w:color w:val="000000" w:themeColor="text1"/>
        </w:rPr>
        <w:t xml:space="preserve">sa legislatívny rámec pre činnosť zariadení starostlivosti o deti do troch rokov a nastavili sa podmienky pre ich finančnú podporu. </w:t>
      </w:r>
      <w:r w:rsidRPr="007D7576">
        <w:rPr>
          <w:rFonts w:ascii="Arial Narrow" w:hAnsi="Arial Narrow"/>
          <w:i/>
          <w:color w:val="000000" w:themeColor="text1"/>
        </w:rPr>
        <w:t>Od januára 2016 sa zvýšila sum</w:t>
      </w:r>
      <w:r w:rsidR="002C4F4C" w:rsidRPr="007D7576">
        <w:rPr>
          <w:rFonts w:ascii="Arial Narrow" w:hAnsi="Arial Narrow"/>
          <w:i/>
          <w:color w:val="000000" w:themeColor="text1"/>
        </w:rPr>
        <w:t xml:space="preserve">a príspevku na starostlivosť o </w:t>
      </w:r>
      <w:r w:rsidRPr="007D7576">
        <w:rPr>
          <w:rFonts w:ascii="Arial Narrow" w:hAnsi="Arial Narrow"/>
          <w:i/>
          <w:color w:val="000000" w:themeColor="text1"/>
        </w:rPr>
        <w:t>dieťa a</w:t>
      </w:r>
      <w:r w:rsidR="001E7BD9">
        <w:rPr>
          <w:rFonts w:ascii="Arial Narrow" w:hAnsi="Arial Narrow"/>
          <w:i/>
          <w:color w:val="000000" w:themeColor="text1"/>
        </w:rPr>
        <w:t xml:space="preserve"> zvyšuje sa suma </w:t>
      </w:r>
      <w:r w:rsidRPr="007D7576">
        <w:rPr>
          <w:rFonts w:ascii="Arial Narrow" w:hAnsi="Arial Narrow"/>
          <w:i/>
          <w:color w:val="000000" w:themeColor="text1"/>
        </w:rPr>
        <w:t>matersk</w:t>
      </w:r>
      <w:r w:rsidR="002C4F4C" w:rsidRPr="007D7576">
        <w:rPr>
          <w:rFonts w:ascii="Arial Narrow" w:hAnsi="Arial Narrow"/>
          <w:i/>
          <w:color w:val="000000" w:themeColor="text1"/>
        </w:rPr>
        <w:t>ého</w:t>
      </w:r>
      <w:r w:rsidR="001E7BD9">
        <w:rPr>
          <w:rFonts w:ascii="Arial Narrow" w:hAnsi="Arial Narrow"/>
          <w:i/>
          <w:color w:val="000000" w:themeColor="text1"/>
        </w:rPr>
        <w:t xml:space="preserve"> a rodičovského príspevku</w:t>
      </w:r>
      <w:r w:rsidR="002C4F4C" w:rsidRPr="007D7576">
        <w:rPr>
          <w:rFonts w:ascii="Arial Narrow" w:hAnsi="Arial Narrow"/>
          <w:i/>
          <w:color w:val="000000" w:themeColor="text1"/>
        </w:rPr>
        <w:t>.</w:t>
      </w:r>
    </w:p>
    <w:p w14:paraId="1B4937EB" w14:textId="77777777" w:rsidR="002C4F4C" w:rsidRPr="004A20C8" w:rsidRDefault="002C4F4C" w:rsidP="002C4F4C">
      <w:pPr>
        <w:pStyle w:val="Odsekzoznamu"/>
        <w:spacing w:after="0" w:line="240" w:lineRule="auto"/>
        <w:ind w:left="0"/>
        <w:contextualSpacing w:val="0"/>
        <w:jc w:val="both"/>
        <w:rPr>
          <w:rFonts w:ascii="Arial Narrow" w:hAnsi="Arial Narrow"/>
          <w:i/>
          <w:color w:val="000000" w:themeColor="text1"/>
        </w:rPr>
      </w:pPr>
    </w:p>
    <w:p w14:paraId="62F2FBA6" w14:textId="4B042026" w:rsidR="002C4F4C" w:rsidRPr="0054402B" w:rsidRDefault="002C4F4C" w:rsidP="002C4F4C">
      <w:pPr>
        <w:spacing w:after="0" w:line="240" w:lineRule="auto"/>
        <w:jc w:val="both"/>
        <w:rPr>
          <w:rFonts w:ascii="Arial Narrow" w:hAnsi="Arial Narrow"/>
          <w:i/>
        </w:rPr>
      </w:pPr>
      <w:r w:rsidRPr="004B0627">
        <w:rPr>
          <w:rFonts w:ascii="Arial Narrow" w:hAnsi="Arial Narrow"/>
          <w:i/>
          <w:lang w:eastAsia="en-US"/>
        </w:rPr>
        <w:t>Platy pedagogických zamestnancov rástli od roku 2013, v januári 2016 sa zvýšili o 4 % a od septembra 2016 o dodatočných 6 %</w:t>
      </w:r>
      <w:r w:rsidR="002A17B8">
        <w:rPr>
          <w:rFonts w:ascii="Arial Narrow" w:hAnsi="Arial Narrow"/>
          <w:i/>
        </w:rPr>
        <w:t xml:space="preserve">. Rozšírili sa kapacity materských škôl. </w:t>
      </w:r>
    </w:p>
    <w:p w14:paraId="2A25B3D0" w14:textId="77777777" w:rsidR="002C4F4C" w:rsidRPr="007D7576" w:rsidRDefault="002C4F4C" w:rsidP="002C4F4C">
      <w:pPr>
        <w:pStyle w:val="Odsekzoznamu"/>
        <w:spacing w:after="0" w:line="240" w:lineRule="auto"/>
        <w:ind w:left="0"/>
        <w:contextualSpacing w:val="0"/>
        <w:jc w:val="both"/>
        <w:rPr>
          <w:rFonts w:ascii="Arial Narrow" w:hAnsi="Arial Narrow"/>
          <w:i/>
          <w:color w:val="000000" w:themeColor="text1"/>
        </w:rPr>
      </w:pPr>
    </w:p>
    <w:p w14:paraId="4655C26A" w14:textId="77C5088A" w:rsidR="002C4F4C" w:rsidRPr="007D7576" w:rsidRDefault="002C4F4C" w:rsidP="00FB625E">
      <w:pPr>
        <w:spacing w:after="0" w:line="240" w:lineRule="auto"/>
        <w:jc w:val="both"/>
        <w:rPr>
          <w:rFonts w:ascii="Arial Narrow" w:hAnsi="Arial Narrow"/>
          <w:b/>
          <w:i/>
        </w:rPr>
      </w:pPr>
      <w:r w:rsidRPr="007D7576">
        <w:rPr>
          <w:rFonts w:ascii="Arial Narrow" w:hAnsi="Arial Narrow"/>
          <w:b/>
          <w:i/>
        </w:rPr>
        <w:t>Služby zamestnanosti</w:t>
      </w:r>
    </w:p>
    <w:p w14:paraId="4CA15FCF" w14:textId="466CFA8C" w:rsidR="00474F92" w:rsidRPr="007D7576" w:rsidRDefault="007F3264" w:rsidP="00FB625E">
      <w:pPr>
        <w:spacing w:after="0" w:line="240" w:lineRule="auto"/>
        <w:jc w:val="both"/>
        <w:rPr>
          <w:rFonts w:ascii="Arial Narrow" w:hAnsi="Arial Narrow"/>
          <w:color w:val="000000" w:themeColor="text1"/>
        </w:rPr>
      </w:pPr>
      <w:r w:rsidRPr="007D7576">
        <w:rPr>
          <w:rFonts w:ascii="Arial Narrow" w:hAnsi="Arial Narrow"/>
        </w:rPr>
        <w:t xml:space="preserve">Pilotná štúdia </w:t>
      </w:r>
      <w:r w:rsidRPr="007D7576">
        <w:rPr>
          <w:rFonts w:ascii="Arial Narrow" w:hAnsi="Arial Narrow"/>
          <w:b/>
        </w:rPr>
        <w:t xml:space="preserve">revízie výdavkov na služby zamestnanosti </w:t>
      </w:r>
      <w:r w:rsidRPr="007D7576">
        <w:rPr>
          <w:rFonts w:ascii="Arial Narrow" w:hAnsi="Arial Narrow"/>
        </w:rPr>
        <w:t>z októbra 2016</w:t>
      </w:r>
      <w:r w:rsidRPr="007D7576">
        <w:rPr>
          <w:rFonts w:ascii="Arial Narrow" w:hAnsi="Arial Narrow"/>
          <w:b/>
        </w:rPr>
        <w:t xml:space="preserve"> </w:t>
      </w:r>
      <w:r w:rsidRPr="007D7576">
        <w:rPr>
          <w:rFonts w:ascii="Arial Narrow" w:hAnsi="Arial Narrow"/>
        </w:rPr>
        <w:t xml:space="preserve">identifikuje </w:t>
      </w:r>
      <w:r w:rsidRPr="007D7576">
        <w:rPr>
          <w:rFonts w:ascii="Arial Narrow" w:hAnsi="Arial Narrow"/>
          <w:color w:val="000000" w:themeColor="text1"/>
        </w:rPr>
        <w:t xml:space="preserve">priestor na zlepšenie prevádzkovej efektívnosti úradov práce a možnosti realokácie zdrojov na nástroje APTP a prevádzku s cieľom </w:t>
      </w:r>
      <w:r w:rsidR="00BB03A4">
        <w:rPr>
          <w:rFonts w:ascii="Arial Narrow" w:hAnsi="Arial Narrow"/>
          <w:color w:val="000000" w:themeColor="text1"/>
        </w:rPr>
        <w:t>zvýsenia zamestnateľnosti dlhodobo nezamestnaných UoZ</w:t>
      </w:r>
      <w:r w:rsidRPr="007D7576">
        <w:rPr>
          <w:rStyle w:val="Odkaznapoznmkupodiarou"/>
          <w:rFonts w:ascii="Arial Narrow" w:hAnsi="Arial Narrow"/>
          <w:color w:val="000000" w:themeColor="text1"/>
        </w:rPr>
        <w:footnoteReference w:id="5"/>
      </w:r>
      <w:r w:rsidRPr="007D7576">
        <w:rPr>
          <w:rFonts w:ascii="Arial Narrow" w:hAnsi="Arial Narrow"/>
          <w:color w:val="000000" w:themeColor="text1"/>
        </w:rPr>
        <w:t>.</w:t>
      </w:r>
    </w:p>
    <w:p w14:paraId="038759D2" w14:textId="77777777" w:rsidR="00474F92" w:rsidRPr="004A20C8" w:rsidRDefault="00474F92" w:rsidP="00FB625E">
      <w:pPr>
        <w:spacing w:after="0" w:line="240" w:lineRule="auto"/>
        <w:jc w:val="both"/>
        <w:rPr>
          <w:rFonts w:ascii="Arial Narrow" w:hAnsi="Arial Narrow"/>
        </w:rPr>
      </w:pPr>
    </w:p>
    <w:p w14:paraId="0540EDD6" w14:textId="0BC7BAD0" w:rsidR="00A94E2C" w:rsidRPr="007D7576" w:rsidRDefault="00474F92" w:rsidP="00FB625E">
      <w:pPr>
        <w:spacing w:after="0" w:line="240" w:lineRule="auto"/>
        <w:jc w:val="both"/>
        <w:rPr>
          <w:rFonts w:ascii="Arial Narrow" w:hAnsi="Arial Narrow"/>
          <w:b/>
        </w:rPr>
      </w:pPr>
      <w:r w:rsidRPr="004B0627">
        <w:rPr>
          <w:rFonts w:ascii="Arial Narrow" w:hAnsi="Arial Narrow"/>
        </w:rPr>
        <w:t xml:space="preserve">Skvalitňovanie </w:t>
      </w:r>
      <w:r w:rsidRPr="00D764E3">
        <w:rPr>
          <w:rFonts w:ascii="Arial Narrow" w:hAnsi="Arial Narrow"/>
          <w:b/>
        </w:rPr>
        <w:t>služieb zamestnanosti</w:t>
      </w:r>
      <w:r w:rsidRPr="0031744B">
        <w:rPr>
          <w:rFonts w:ascii="Arial Narrow" w:hAnsi="Arial Narrow"/>
        </w:rPr>
        <w:t xml:space="preserve"> pokračovalo školením zamestnancov </w:t>
      </w:r>
      <w:r w:rsidR="00A94E2C" w:rsidRPr="0031744B">
        <w:rPr>
          <w:rFonts w:ascii="Arial Narrow" w:hAnsi="Arial Narrow"/>
        </w:rPr>
        <w:t>na úradoch práce.</w:t>
      </w:r>
      <w:r w:rsidR="00880118" w:rsidRPr="0031744B">
        <w:rPr>
          <w:rFonts w:ascii="Arial Narrow" w:hAnsi="Arial Narrow"/>
        </w:rPr>
        <w:t xml:space="preserve"> Na základe vyhodnocovania efektívno</w:t>
      </w:r>
      <w:r w:rsidR="00880118" w:rsidRPr="0054402B">
        <w:rPr>
          <w:rFonts w:ascii="Arial Narrow" w:hAnsi="Arial Narrow"/>
        </w:rPr>
        <w:t xml:space="preserve">sti činností úradov práce pokračujú presuny zamestnancov na frekventovanejšie a náročnejšie činnosti. </w:t>
      </w:r>
      <w:r w:rsidR="007576AE" w:rsidRPr="00FC0A44">
        <w:rPr>
          <w:rFonts w:ascii="Arial Narrow" w:hAnsi="Arial Narrow"/>
        </w:rPr>
        <w:t xml:space="preserve">V novembri 2016 </w:t>
      </w:r>
      <w:r w:rsidR="00264BFF" w:rsidRPr="00FC0A44">
        <w:rPr>
          <w:rFonts w:ascii="Arial Narrow" w:hAnsi="Arial Narrow"/>
        </w:rPr>
        <w:t xml:space="preserve">MPSVR SR prijalo </w:t>
      </w:r>
      <w:r w:rsidR="007576AE" w:rsidRPr="00FC0A44">
        <w:rPr>
          <w:rFonts w:ascii="Arial Narrow" w:hAnsi="Arial Narrow"/>
          <w:b/>
        </w:rPr>
        <w:t>akčný plán</w:t>
      </w:r>
      <w:r w:rsidR="00880118" w:rsidRPr="00FC0A44">
        <w:rPr>
          <w:rStyle w:val="Odkaznapoznmkupodiarou"/>
          <w:rFonts w:ascii="Arial Narrow" w:hAnsi="Arial Narrow"/>
          <w:b/>
        </w:rPr>
        <w:footnoteReference w:id="6"/>
      </w:r>
      <w:r w:rsidR="007576AE" w:rsidRPr="00FC0A44">
        <w:rPr>
          <w:rFonts w:ascii="Arial Narrow" w:hAnsi="Arial Narrow"/>
        </w:rPr>
        <w:t xml:space="preserve">, </w:t>
      </w:r>
      <w:r w:rsidR="00264BFF" w:rsidRPr="00FC0A44">
        <w:rPr>
          <w:rFonts w:ascii="Arial Narrow" w:hAnsi="Arial Narrow"/>
        </w:rPr>
        <w:t>podľa ktorého sa zavedie</w:t>
      </w:r>
      <w:r w:rsidR="00E00B26" w:rsidRPr="00FC0A44">
        <w:rPr>
          <w:rFonts w:ascii="Arial Narrow" w:hAnsi="Arial Narrow"/>
        </w:rPr>
        <w:t xml:space="preserve"> viacero foriem podpory integrácie dlhodobo nezamestnaných na trhu práce, </w:t>
      </w:r>
      <w:r w:rsidR="009D4848" w:rsidRPr="00FC0A44">
        <w:rPr>
          <w:rFonts w:ascii="Arial Narrow" w:hAnsi="Arial Narrow"/>
        </w:rPr>
        <w:t xml:space="preserve">najmä </w:t>
      </w:r>
      <w:r w:rsidR="007576AE" w:rsidRPr="00FC0A44">
        <w:rPr>
          <w:rFonts w:ascii="Arial Narrow" w:hAnsi="Arial Narrow"/>
          <w:b/>
        </w:rPr>
        <w:t>individualizované</w:t>
      </w:r>
      <w:r w:rsidR="00880118" w:rsidRPr="00FC0A44">
        <w:rPr>
          <w:rFonts w:ascii="Arial Narrow" w:hAnsi="Arial Narrow"/>
          <w:b/>
        </w:rPr>
        <w:t xml:space="preserve"> poradenstv</w:t>
      </w:r>
      <w:r w:rsidR="00264BFF" w:rsidRPr="00FC0A44">
        <w:rPr>
          <w:rFonts w:ascii="Arial Narrow" w:hAnsi="Arial Narrow"/>
          <w:b/>
        </w:rPr>
        <w:t>o</w:t>
      </w:r>
      <w:r w:rsidR="00880118" w:rsidRPr="00FC0A44">
        <w:rPr>
          <w:rFonts w:ascii="Arial Narrow" w:hAnsi="Arial Narrow"/>
          <w:b/>
        </w:rPr>
        <w:t xml:space="preserve"> vrátane profilácie </w:t>
      </w:r>
      <w:r w:rsidR="00264BFF" w:rsidRPr="00FC0A44">
        <w:rPr>
          <w:rFonts w:ascii="Arial Narrow" w:hAnsi="Arial Narrow"/>
          <w:b/>
        </w:rPr>
        <w:t>UoZ</w:t>
      </w:r>
      <w:r w:rsidR="00E00B26" w:rsidRPr="00FC0A44">
        <w:rPr>
          <w:rFonts w:ascii="Arial Narrow" w:hAnsi="Arial Narrow"/>
        </w:rPr>
        <w:t xml:space="preserve">, či </w:t>
      </w:r>
      <w:r w:rsidR="00E00B26" w:rsidRPr="00FC0A44">
        <w:rPr>
          <w:rFonts w:ascii="Arial Narrow" w:hAnsi="Arial Narrow"/>
          <w:b/>
        </w:rPr>
        <w:t>vzdelávacie a rekvalifikačné programy</w:t>
      </w:r>
      <w:r w:rsidR="007576AE" w:rsidRPr="00FC0A44">
        <w:rPr>
          <w:rFonts w:ascii="Arial Narrow" w:hAnsi="Arial Narrow"/>
        </w:rPr>
        <w:t>.</w:t>
      </w:r>
    </w:p>
    <w:p w14:paraId="26E09B90" w14:textId="77777777" w:rsidR="00B5796C" w:rsidRPr="004A20C8" w:rsidRDefault="00B5796C" w:rsidP="00FB625E">
      <w:pPr>
        <w:spacing w:after="0" w:line="240" w:lineRule="auto"/>
        <w:jc w:val="both"/>
        <w:rPr>
          <w:rFonts w:ascii="Arial Narrow" w:hAnsi="Arial Narrow"/>
        </w:rPr>
      </w:pPr>
    </w:p>
    <w:p w14:paraId="37843C39" w14:textId="44E4CB3F" w:rsidR="007576AE" w:rsidRPr="007D7576" w:rsidRDefault="007576AE" w:rsidP="00C9264C">
      <w:pPr>
        <w:spacing w:after="0" w:line="240" w:lineRule="auto"/>
        <w:jc w:val="both"/>
        <w:rPr>
          <w:rFonts w:ascii="Arial Narrow" w:hAnsi="Arial Narrow"/>
        </w:rPr>
      </w:pPr>
      <w:r w:rsidRPr="004A20C8">
        <w:rPr>
          <w:rFonts w:ascii="Arial Narrow" w:hAnsi="Arial Narrow"/>
        </w:rPr>
        <w:t>Implementovali sa viaceré zmeny v nástrojoch APTP zameran</w:t>
      </w:r>
      <w:r w:rsidRPr="004B0627">
        <w:rPr>
          <w:rFonts w:ascii="Arial Narrow" w:hAnsi="Arial Narrow"/>
        </w:rPr>
        <w:t xml:space="preserve">ých na </w:t>
      </w:r>
      <w:r w:rsidRPr="004B0627">
        <w:rPr>
          <w:rFonts w:ascii="Arial Narrow" w:hAnsi="Arial Narrow"/>
          <w:b/>
        </w:rPr>
        <w:t>znevýhodnené skupiny UoZ</w:t>
      </w:r>
      <w:r w:rsidRPr="00D764E3">
        <w:rPr>
          <w:rFonts w:ascii="Arial Narrow" w:hAnsi="Arial Narrow"/>
        </w:rPr>
        <w:t xml:space="preserve"> na trhu práce. Spustili sa projekty na podporu tvorby pracovných miest pre </w:t>
      </w:r>
      <w:r w:rsidRPr="00C9264C">
        <w:rPr>
          <w:rFonts w:ascii="Arial Narrow" w:hAnsi="Arial Narrow"/>
          <w:b/>
        </w:rPr>
        <w:t>nízkokvalif</w:t>
      </w:r>
      <w:r w:rsidR="00522436">
        <w:rPr>
          <w:rFonts w:ascii="Arial Narrow" w:hAnsi="Arial Narrow"/>
          <w:b/>
        </w:rPr>
        <w:t>i</w:t>
      </w:r>
      <w:r w:rsidRPr="00C9264C">
        <w:rPr>
          <w:rFonts w:ascii="Arial Narrow" w:hAnsi="Arial Narrow"/>
          <w:b/>
        </w:rPr>
        <w:t>kovaných</w:t>
      </w:r>
      <w:r w:rsidRPr="00C9264C">
        <w:rPr>
          <w:rFonts w:ascii="Arial Narrow" w:hAnsi="Arial Narrow"/>
        </w:rPr>
        <w:t xml:space="preserve"> a </w:t>
      </w:r>
      <w:r w:rsidRPr="00C9264C">
        <w:rPr>
          <w:rFonts w:ascii="Arial Narrow" w:hAnsi="Arial Narrow"/>
          <w:b/>
        </w:rPr>
        <w:t>dlhodobo nezamestnaných</w:t>
      </w:r>
      <w:r w:rsidRPr="004B6F5E">
        <w:rPr>
          <w:rFonts w:ascii="Arial Narrow" w:hAnsi="Arial Narrow"/>
        </w:rPr>
        <w:t xml:space="preserve">, a takisto </w:t>
      </w:r>
      <w:r w:rsidRPr="009D3ECC">
        <w:rPr>
          <w:rFonts w:ascii="Arial Narrow" w:hAnsi="Arial Narrow"/>
          <w:b/>
        </w:rPr>
        <w:t>UoZ starších ako 50 rokov</w:t>
      </w:r>
      <w:r w:rsidRPr="0054402B">
        <w:rPr>
          <w:rFonts w:ascii="Arial Narrow" w:hAnsi="Arial Narrow"/>
        </w:rPr>
        <w:t xml:space="preserve">. </w:t>
      </w:r>
      <w:r w:rsidRPr="0054402B">
        <w:rPr>
          <w:rFonts w:ascii="Arial Narrow" w:hAnsi="Arial Narrow"/>
          <w:b/>
        </w:rPr>
        <w:t>Absolventská prax</w:t>
      </w:r>
      <w:r w:rsidRPr="007D7576">
        <w:rPr>
          <w:rFonts w:ascii="Arial Narrow" w:hAnsi="Arial Narrow"/>
        </w:rPr>
        <w:t xml:space="preserve"> sa rozšírila na širšiu skupinu mladých UoZ a zaviedla sa v nej mentorovaná prax s</w:t>
      </w:r>
      <w:r w:rsidR="00A342A2">
        <w:rPr>
          <w:rFonts w:ascii="Arial Narrow" w:hAnsi="Arial Narrow"/>
        </w:rPr>
        <w:t xml:space="preserve"> vytvorením pracovného miesta u </w:t>
      </w:r>
      <w:r w:rsidRPr="007D7576">
        <w:rPr>
          <w:rFonts w:ascii="Arial Narrow" w:hAnsi="Arial Narrow"/>
        </w:rPr>
        <w:t xml:space="preserve">zamestnávateľov. Zmeny v nastavení v príspevkoch </w:t>
      </w:r>
      <w:r w:rsidRPr="007D7576">
        <w:rPr>
          <w:rFonts w:ascii="Arial Narrow" w:hAnsi="Arial Narrow"/>
          <w:b/>
        </w:rPr>
        <w:t>podpory mobility za prácou</w:t>
      </w:r>
      <w:r w:rsidR="00C54D41">
        <w:rPr>
          <w:rFonts w:ascii="Arial Narrow" w:hAnsi="Arial Narrow"/>
        </w:rPr>
        <w:t xml:space="preserve"> s</w:t>
      </w:r>
      <w:r w:rsidRPr="007D7576">
        <w:rPr>
          <w:rFonts w:ascii="Arial Narrow" w:hAnsi="Arial Narrow"/>
        </w:rPr>
        <w:t>flexibilnili podmienky na ich čerpanie.</w:t>
      </w:r>
    </w:p>
    <w:p w14:paraId="6E323505" w14:textId="77777777" w:rsidR="007D7576" w:rsidRPr="007D7576" w:rsidRDefault="007D7576" w:rsidP="00C9264C">
      <w:pPr>
        <w:spacing w:after="0" w:line="240" w:lineRule="auto"/>
        <w:jc w:val="both"/>
        <w:rPr>
          <w:rFonts w:ascii="Arial Narrow" w:hAnsi="Arial Narrow"/>
        </w:rPr>
      </w:pPr>
    </w:p>
    <w:p w14:paraId="0519BC7A" w14:textId="4290B3C7" w:rsidR="00313DFD" w:rsidRPr="007D7576" w:rsidRDefault="00B5796C" w:rsidP="00FB625E">
      <w:pPr>
        <w:spacing w:after="0" w:line="240" w:lineRule="auto"/>
        <w:jc w:val="both"/>
        <w:rPr>
          <w:rFonts w:ascii="Arial Narrow" w:hAnsi="Arial Narrow"/>
          <w:b/>
          <w:i/>
        </w:rPr>
      </w:pPr>
      <w:r w:rsidRPr="007D7576">
        <w:rPr>
          <w:rFonts w:ascii="Arial Narrow" w:hAnsi="Arial Narrow"/>
          <w:b/>
          <w:i/>
        </w:rPr>
        <w:t>Zosúladenie</w:t>
      </w:r>
      <w:r w:rsidR="00313DFD" w:rsidRPr="007D7576">
        <w:rPr>
          <w:rFonts w:ascii="Arial Narrow" w:hAnsi="Arial Narrow"/>
          <w:b/>
          <w:i/>
        </w:rPr>
        <w:t xml:space="preserve"> pracovného a rodinného života</w:t>
      </w:r>
    </w:p>
    <w:p w14:paraId="17C27183" w14:textId="5D028EB5" w:rsidR="00A94E2C" w:rsidRPr="00AD60B6" w:rsidRDefault="00A94E2C" w:rsidP="00FB625E">
      <w:pPr>
        <w:pStyle w:val="Odsekzoznamu"/>
        <w:spacing w:after="0" w:line="240" w:lineRule="auto"/>
        <w:ind w:left="0"/>
        <w:contextualSpacing w:val="0"/>
        <w:jc w:val="both"/>
        <w:rPr>
          <w:rFonts w:ascii="Arial Narrow" w:hAnsi="Arial Narrow"/>
          <w:color w:val="000000" w:themeColor="text1"/>
        </w:rPr>
      </w:pPr>
      <w:r w:rsidRPr="007D7576">
        <w:rPr>
          <w:rFonts w:ascii="Arial Narrow" w:hAnsi="Arial Narrow" w:cs="Arial Narrow"/>
          <w:color w:val="000000"/>
        </w:rPr>
        <w:t>Za účelom finančne</w:t>
      </w:r>
      <w:r w:rsidR="00557C09">
        <w:rPr>
          <w:rFonts w:ascii="Arial Narrow" w:hAnsi="Arial Narrow" w:cs="Arial Narrow"/>
          <w:color w:val="000000"/>
        </w:rPr>
        <w:t>j</w:t>
      </w:r>
      <w:r w:rsidRPr="007D7576">
        <w:rPr>
          <w:rFonts w:ascii="Arial Narrow" w:hAnsi="Arial Narrow" w:cs="Arial Narrow"/>
          <w:color w:val="000000"/>
        </w:rPr>
        <w:t xml:space="preserve"> podpor</w:t>
      </w:r>
      <w:r w:rsidR="00557C09">
        <w:rPr>
          <w:rFonts w:ascii="Arial Narrow" w:hAnsi="Arial Narrow" w:cs="Arial Narrow"/>
          <w:color w:val="000000"/>
        </w:rPr>
        <w:t>y</w:t>
      </w:r>
      <w:r w:rsidRPr="007D7576">
        <w:rPr>
          <w:rFonts w:ascii="Arial Narrow" w:hAnsi="Arial Narrow" w:cs="Arial Narrow"/>
          <w:color w:val="000000"/>
        </w:rPr>
        <w:t xml:space="preserve"> </w:t>
      </w:r>
      <w:r w:rsidRPr="007D7576">
        <w:rPr>
          <w:rFonts w:ascii="Arial Narrow" w:hAnsi="Arial Narrow" w:cs="Arial Narrow"/>
          <w:b/>
          <w:color w:val="000000"/>
        </w:rPr>
        <w:t>rozvoj</w:t>
      </w:r>
      <w:r w:rsidR="006B004C">
        <w:rPr>
          <w:rFonts w:ascii="Arial Narrow" w:hAnsi="Arial Narrow" w:cs="Arial Narrow"/>
          <w:b/>
          <w:color w:val="000000"/>
        </w:rPr>
        <w:t>a</w:t>
      </w:r>
      <w:r w:rsidRPr="007D7576">
        <w:rPr>
          <w:rFonts w:ascii="Arial Narrow" w:hAnsi="Arial Narrow" w:cs="Arial Narrow"/>
          <w:b/>
          <w:color w:val="000000"/>
        </w:rPr>
        <w:t xml:space="preserve"> služieb starostlivosti o dieťa do troch rokov</w:t>
      </w:r>
      <w:r w:rsidRPr="007D7576">
        <w:rPr>
          <w:rFonts w:ascii="Arial Narrow" w:hAnsi="Arial Narrow" w:cs="Arial Narrow"/>
          <w:color w:val="000000"/>
        </w:rPr>
        <w:t xml:space="preserve"> </w:t>
      </w:r>
      <w:r w:rsidR="00AD60B6">
        <w:rPr>
          <w:rFonts w:ascii="Arial Narrow" w:hAnsi="Arial Narrow" w:cs="Arial Narrow"/>
          <w:color w:val="000000"/>
        </w:rPr>
        <w:t>sa nastavili podmienky pre čerpanie finančných zdrojov v novom programovom období</w:t>
      </w:r>
      <w:r w:rsidRPr="007D7576">
        <w:rPr>
          <w:rFonts w:ascii="Arial Narrow" w:hAnsi="Arial Narrow" w:cs="Arial Narrow"/>
          <w:color w:val="000000"/>
        </w:rPr>
        <w:t>.</w:t>
      </w:r>
      <w:r w:rsidR="00AD60B6">
        <w:rPr>
          <w:rFonts w:ascii="Arial Narrow" w:hAnsi="Arial Narrow" w:cs="Arial Narrow"/>
          <w:color w:val="000000"/>
        </w:rPr>
        <w:t xml:space="preserve"> </w:t>
      </w:r>
      <w:r w:rsidRPr="007D7576">
        <w:rPr>
          <w:rFonts w:ascii="Arial Narrow" w:hAnsi="Arial Narrow" w:cs="Arial Narrow"/>
          <w:color w:val="000000"/>
        </w:rPr>
        <w:t xml:space="preserve">V januári 2017 parlament schválil legislatívu (tzv. jasličkový zákon), ktorá s účinnosťou od marca 2017 </w:t>
      </w:r>
      <w:r w:rsidR="00557C09">
        <w:rPr>
          <w:rFonts w:ascii="Arial Narrow" w:hAnsi="Arial Narrow" w:cs="Arial Narrow"/>
          <w:color w:val="000000"/>
        </w:rPr>
        <w:t xml:space="preserve">implementuje </w:t>
      </w:r>
      <w:r w:rsidR="00557C09" w:rsidRPr="00B84AF8">
        <w:rPr>
          <w:rFonts w:ascii="Arial Narrow" w:hAnsi="Arial Narrow"/>
          <w:color w:val="000000" w:themeColor="text1"/>
        </w:rPr>
        <w:t>legislatívny rámec pre činnosť zariadení starostlivosti o deti do troch rokov</w:t>
      </w:r>
      <w:r w:rsidR="00AD60B6">
        <w:rPr>
          <w:rFonts w:ascii="Arial Narrow" w:hAnsi="Arial Narrow"/>
          <w:color w:val="000000" w:themeColor="text1"/>
        </w:rPr>
        <w:t>. Doteraz bola ich činnosť regulovaná voľnou živnosťou.</w:t>
      </w:r>
      <w:r w:rsidRPr="007D7576">
        <w:rPr>
          <w:rFonts w:ascii="Arial Narrow" w:hAnsi="Arial Narrow" w:cs="Arial Narrow"/>
          <w:color w:val="000000"/>
        </w:rPr>
        <w:t xml:space="preserve"> </w:t>
      </w:r>
      <w:r w:rsidR="00AD60B6">
        <w:rPr>
          <w:rFonts w:ascii="Arial Narrow" w:hAnsi="Arial Narrow" w:cs="Arial Narrow"/>
          <w:color w:val="000000"/>
        </w:rPr>
        <w:t>Zavádzajú sa kritériá pre k</w:t>
      </w:r>
      <w:r w:rsidR="00AD60B6" w:rsidRPr="00AD60B6">
        <w:rPr>
          <w:rFonts w:ascii="Arial Narrow" w:hAnsi="Arial Narrow" w:cs="Arial Narrow"/>
          <w:color w:val="000000"/>
        </w:rPr>
        <w:t xml:space="preserve">valifikačné predpoklady zamestnancov, personálne štandardy, </w:t>
      </w:r>
      <w:r w:rsidR="00AD60B6">
        <w:rPr>
          <w:rFonts w:ascii="Arial Narrow" w:hAnsi="Arial Narrow" w:cs="Arial Narrow"/>
          <w:color w:val="000000"/>
        </w:rPr>
        <w:t>rozsah a spôsob poskytovania činností, kontrolnú činnosť a registráciu poskytovateľov týchto služieb.</w:t>
      </w:r>
    </w:p>
    <w:p w14:paraId="55B078A9" w14:textId="77777777" w:rsidR="00393DAB" w:rsidRPr="007D7576" w:rsidRDefault="00393DAB" w:rsidP="00FB625E">
      <w:pPr>
        <w:pStyle w:val="Odsekzoznamu"/>
        <w:spacing w:after="0" w:line="240" w:lineRule="auto"/>
        <w:ind w:left="0"/>
        <w:contextualSpacing w:val="0"/>
        <w:jc w:val="both"/>
        <w:rPr>
          <w:rFonts w:ascii="Arial Narrow" w:hAnsi="Arial Narrow" w:cs="Arial Narrow"/>
          <w:color w:val="000000"/>
        </w:rPr>
      </w:pPr>
    </w:p>
    <w:p w14:paraId="137A2266" w14:textId="31E75F41" w:rsidR="00A94E2C" w:rsidRPr="007D7576" w:rsidRDefault="00A94E2C" w:rsidP="00FB625E">
      <w:pPr>
        <w:pStyle w:val="Odsekzoznamu"/>
        <w:spacing w:after="0" w:line="240" w:lineRule="auto"/>
        <w:ind w:left="0"/>
        <w:contextualSpacing w:val="0"/>
        <w:jc w:val="both"/>
        <w:rPr>
          <w:rFonts w:ascii="Arial Narrow" w:hAnsi="Arial Narrow" w:cs="Arial Narrow"/>
          <w:color w:val="000000"/>
        </w:rPr>
      </w:pPr>
      <w:r w:rsidRPr="007D7576">
        <w:rPr>
          <w:rFonts w:ascii="Arial Narrow" w:hAnsi="Arial Narrow" w:cs="Arial Narrow"/>
          <w:color w:val="000000"/>
        </w:rPr>
        <w:t xml:space="preserve">Na podporu zamestnanosti matiek s deťmi sa od januára 2016 zvýšila maximálna </w:t>
      </w:r>
      <w:r w:rsidRPr="007D7576">
        <w:rPr>
          <w:rFonts w:ascii="Arial Narrow" w:hAnsi="Arial Narrow" w:cs="Arial Narrow"/>
          <w:b/>
          <w:color w:val="000000"/>
        </w:rPr>
        <w:t xml:space="preserve">suma príspevku na starostlivosť o dieťa </w:t>
      </w:r>
      <w:r w:rsidRPr="007D7576">
        <w:rPr>
          <w:rFonts w:ascii="Arial Narrow" w:hAnsi="Arial Narrow" w:cs="Arial Narrow"/>
          <w:color w:val="000000"/>
        </w:rPr>
        <w:t>z 230 eur na 280 eur na pokrytie nákladov rodičov na služby starostlivosti o dieťa. Znížila sa tiež administratívna náročnosť pri jeho poskytovaní.</w:t>
      </w:r>
    </w:p>
    <w:p w14:paraId="3626EF41" w14:textId="77777777" w:rsidR="00682C07" w:rsidRPr="004A20C8" w:rsidRDefault="00682C07" w:rsidP="00FB625E">
      <w:pPr>
        <w:pStyle w:val="Odsekzoznamu"/>
        <w:spacing w:after="0" w:line="240" w:lineRule="auto"/>
        <w:ind w:left="0"/>
        <w:contextualSpacing w:val="0"/>
        <w:jc w:val="both"/>
        <w:rPr>
          <w:rFonts w:ascii="Arial Narrow" w:hAnsi="Arial Narrow" w:cs="Arial Narrow"/>
          <w:i/>
          <w:color w:val="000000"/>
        </w:rPr>
      </w:pPr>
    </w:p>
    <w:p w14:paraId="5D4ED7A9" w14:textId="77777777" w:rsidR="00B2546E" w:rsidRDefault="00B2546E" w:rsidP="00B2546E">
      <w:pPr>
        <w:spacing w:after="0" w:line="240" w:lineRule="auto"/>
        <w:rPr>
          <w:rFonts w:ascii="Arial Narrow" w:hAnsi="Arial Narrow"/>
          <w:i/>
        </w:rPr>
      </w:pPr>
      <w:r>
        <w:rPr>
          <w:rFonts w:ascii="Arial Narrow" w:hAnsi="Arial Narrow"/>
          <w:b/>
          <w:i/>
        </w:rPr>
        <w:lastRenderedPageBreak/>
        <w:t xml:space="preserve">Peňažné dávky pri rodičovskej starostlivosti  </w:t>
      </w:r>
    </w:p>
    <w:p w14:paraId="34B45AAB" w14:textId="234EF922" w:rsidR="00B2546E" w:rsidRDefault="00B2546E" w:rsidP="00B2546E">
      <w:pPr>
        <w:spacing w:after="0" w:line="240" w:lineRule="auto"/>
        <w:jc w:val="both"/>
        <w:rPr>
          <w:rFonts w:ascii="Arial Narrow" w:hAnsi="Arial Narrow"/>
        </w:rPr>
      </w:pPr>
      <w:r>
        <w:rPr>
          <w:rFonts w:ascii="Arial Narrow" w:hAnsi="Arial Narrow"/>
        </w:rPr>
        <w:t xml:space="preserve">Po náraste v roku 2016 sa od mája 2017 opäť zvyšuje </w:t>
      </w:r>
      <w:r w:rsidRPr="00F14CE7">
        <w:rPr>
          <w:rFonts w:ascii="Arial Narrow" w:hAnsi="Arial Narrow"/>
          <w:b/>
        </w:rPr>
        <w:t>materské</w:t>
      </w:r>
      <w:r>
        <w:rPr>
          <w:rFonts w:ascii="Arial Narrow" w:hAnsi="Arial Narrow"/>
        </w:rPr>
        <w:t xml:space="preserve"> zo </w:t>
      </w:r>
      <w:r w:rsidRPr="00DF4EA2">
        <w:rPr>
          <w:rFonts w:ascii="Arial Narrow" w:hAnsi="Arial Narrow"/>
        </w:rPr>
        <w:t>70 % denného</w:t>
      </w:r>
      <w:r>
        <w:rPr>
          <w:rFonts w:ascii="Arial Narrow" w:hAnsi="Arial Narrow"/>
        </w:rPr>
        <w:t xml:space="preserve"> vymeriavacieho základu na 75 %. </w:t>
      </w:r>
      <w:r w:rsidR="009D4848">
        <w:rPr>
          <w:rFonts w:ascii="Arial Narrow" w:hAnsi="Arial Narrow"/>
        </w:rPr>
        <w:t xml:space="preserve">Rodič poberajúci materské </w:t>
      </w:r>
      <w:r>
        <w:rPr>
          <w:rFonts w:ascii="Arial Narrow" w:hAnsi="Arial Narrow"/>
        </w:rPr>
        <w:t xml:space="preserve">tak v priemere dosiahne úplnú náhradu predošlého čistého pracovného príjmu. Maximálne materské </w:t>
      </w:r>
      <w:r w:rsidR="009D4848">
        <w:rPr>
          <w:rFonts w:ascii="Arial Narrow" w:hAnsi="Arial Narrow"/>
        </w:rPr>
        <w:t xml:space="preserve">sa od mája 2017 zvýši z </w:t>
      </w:r>
      <w:r>
        <w:rPr>
          <w:rFonts w:ascii="Arial Narrow" w:hAnsi="Arial Narrow"/>
        </w:rPr>
        <w:t>1</w:t>
      </w:r>
      <w:r w:rsidR="009D4848">
        <w:rPr>
          <w:rFonts w:ascii="Arial Narrow" w:hAnsi="Arial Narrow"/>
        </w:rPr>
        <w:t> </w:t>
      </w:r>
      <w:r>
        <w:rPr>
          <w:rFonts w:ascii="Arial Narrow" w:hAnsi="Arial Narrow"/>
        </w:rPr>
        <w:t>260</w:t>
      </w:r>
      <w:r w:rsidR="009D4848">
        <w:rPr>
          <w:rFonts w:ascii="Arial Narrow" w:hAnsi="Arial Narrow"/>
        </w:rPr>
        <w:t xml:space="preserve"> </w:t>
      </w:r>
      <w:r w:rsidR="007D4596">
        <w:rPr>
          <w:rFonts w:ascii="Arial Narrow" w:hAnsi="Arial Narrow"/>
        </w:rPr>
        <w:t xml:space="preserve">eur </w:t>
      </w:r>
      <w:r w:rsidR="009D4848">
        <w:rPr>
          <w:rFonts w:ascii="Arial Narrow" w:hAnsi="Arial Narrow"/>
        </w:rPr>
        <w:t xml:space="preserve">na 1 350 </w:t>
      </w:r>
      <w:r w:rsidR="00695DEC">
        <w:rPr>
          <w:rFonts w:ascii="Arial Narrow" w:hAnsi="Arial Narrow"/>
        </w:rPr>
        <w:t>eur mesačne. Od mája sa zvy</w:t>
      </w:r>
      <w:r>
        <w:rPr>
          <w:rFonts w:ascii="Arial Narrow" w:hAnsi="Arial Narrow"/>
        </w:rPr>
        <w:t xml:space="preserve">šuje aj </w:t>
      </w:r>
      <w:r w:rsidRPr="00F844BF">
        <w:rPr>
          <w:rFonts w:ascii="Arial Narrow" w:hAnsi="Arial Narrow"/>
          <w:b/>
        </w:rPr>
        <w:t>rodičovský príspevok</w:t>
      </w:r>
      <w:r>
        <w:rPr>
          <w:rFonts w:ascii="Arial Narrow" w:hAnsi="Arial Narrow"/>
        </w:rPr>
        <w:t xml:space="preserve"> zo súčasných 203,20 eur na 213,20 eur. Vplyv zvýšenia </w:t>
      </w:r>
      <w:r w:rsidRPr="00F844BF">
        <w:rPr>
          <w:rFonts w:ascii="Arial Narrow" w:hAnsi="Arial Narrow"/>
        </w:rPr>
        <w:t>rodičovského príspevku</w:t>
      </w:r>
      <w:r>
        <w:rPr>
          <w:rFonts w:ascii="Arial Narrow" w:hAnsi="Arial Narrow"/>
        </w:rPr>
        <w:t xml:space="preserve"> a materského bude v roku 2018 predstavovať 29,9 mil. eur.</w:t>
      </w:r>
    </w:p>
    <w:p w14:paraId="4AAF5972" w14:textId="77777777" w:rsidR="00FC0A44" w:rsidRDefault="00FC0A44" w:rsidP="00B2546E">
      <w:pPr>
        <w:spacing w:after="0" w:line="240" w:lineRule="auto"/>
        <w:jc w:val="both"/>
        <w:rPr>
          <w:rFonts w:ascii="Arial Narrow" w:hAnsi="Arial Narrow"/>
        </w:rPr>
      </w:pPr>
    </w:p>
    <w:p w14:paraId="0E78C808" w14:textId="77777777" w:rsidR="00C54D41" w:rsidRDefault="00C54D41" w:rsidP="00C54D41">
      <w:pPr>
        <w:pStyle w:val="Odsekzoznamu"/>
        <w:spacing w:after="0" w:line="240" w:lineRule="auto"/>
        <w:ind w:left="0"/>
        <w:contextualSpacing w:val="0"/>
        <w:jc w:val="both"/>
        <w:rPr>
          <w:rFonts w:ascii="Arial Narrow" w:hAnsi="Arial Narrow" w:cs="Arial Narrow"/>
          <w:b/>
          <w:i/>
          <w:color w:val="000000"/>
        </w:rPr>
      </w:pPr>
      <w:r w:rsidRPr="004B0627">
        <w:rPr>
          <w:rFonts w:ascii="Arial Narrow" w:hAnsi="Arial Narrow" w:cs="Arial Narrow"/>
          <w:b/>
          <w:i/>
          <w:color w:val="000000"/>
        </w:rPr>
        <w:t>Sociálna inklúzia</w:t>
      </w:r>
    </w:p>
    <w:p w14:paraId="67E60B5C" w14:textId="234F8620" w:rsidR="00FC0A44" w:rsidRDefault="00FC0A44" w:rsidP="00FC0A44">
      <w:pPr>
        <w:spacing w:after="0" w:line="240" w:lineRule="auto"/>
        <w:jc w:val="both"/>
        <w:rPr>
          <w:rFonts w:ascii="Arial Narrow" w:hAnsi="Arial Narrow"/>
          <w:szCs w:val="36"/>
          <w:lang w:eastAsia="en-US"/>
        </w:rPr>
      </w:pPr>
      <w:r w:rsidRPr="00A94E2C">
        <w:rPr>
          <w:rFonts w:ascii="Arial Narrow" w:hAnsi="Arial Narrow"/>
          <w:szCs w:val="36"/>
          <w:lang w:eastAsia="en-US"/>
        </w:rPr>
        <w:t xml:space="preserve">V rámci </w:t>
      </w:r>
      <w:r w:rsidRPr="00A94E2C">
        <w:rPr>
          <w:rFonts w:ascii="Arial Narrow" w:hAnsi="Arial Narrow"/>
          <w:b/>
          <w:szCs w:val="36"/>
          <w:lang w:eastAsia="en-US"/>
        </w:rPr>
        <w:t>sociálnej pomoci zdravotne ťažko postihnutým</w:t>
      </w:r>
      <w:r>
        <w:rPr>
          <w:rFonts w:ascii="Arial Narrow" w:hAnsi="Arial Narrow"/>
          <w:szCs w:val="36"/>
          <w:lang w:eastAsia="en-US"/>
        </w:rPr>
        <w:t xml:space="preserve"> sa </w:t>
      </w:r>
      <w:r w:rsidRPr="00A94E2C">
        <w:rPr>
          <w:rFonts w:ascii="Arial Narrow" w:hAnsi="Arial Narrow"/>
          <w:szCs w:val="36"/>
          <w:lang w:eastAsia="en-US"/>
        </w:rPr>
        <w:t xml:space="preserve">od roku 2017 bude poskytovať zvýšený peňažný príspevok na opatrovanie. V roku 2017 </w:t>
      </w:r>
      <w:r w:rsidR="007D4596">
        <w:rPr>
          <w:rFonts w:ascii="Arial Narrow" w:hAnsi="Arial Narrow"/>
          <w:szCs w:val="36"/>
          <w:lang w:eastAsia="en-US"/>
        </w:rPr>
        <w:t xml:space="preserve">rozpočet </w:t>
      </w:r>
      <w:r w:rsidRPr="00A94E2C">
        <w:rPr>
          <w:rFonts w:ascii="Arial Narrow" w:hAnsi="Arial Narrow"/>
          <w:szCs w:val="36"/>
          <w:lang w:eastAsia="en-US"/>
        </w:rPr>
        <w:t>predpoklad</w:t>
      </w:r>
      <w:r w:rsidR="007D4596">
        <w:rPr>
          <w:rFonts w:ascii="Arial Narrow" w:hAnsi="Arial Narrow"/>
          <w:szCs w:val="36"/>
          <w:lang w:eastAsia="en-US"/>
        </w:rPr>
        <w:t xml:space="preserve">á </w:t>
      </w:r>
      <w:r w:rsidRPr="00A94E2C">
        <w:rPr>
          <w:rFonts w:ascii="Arial Narrow" w:hAnsi="Arial Narrow"/>
          <w:szCs w:val="36"/>
          <w:lang w:eastAsia="en-US"/>
        </w:rPr>
        <w:t>na tento účel dodatočné výdavky vo výške 29,5 mil. eur.</w:t>
      </w:r>
    </w:p>
    <w:p w14:paraId="50014F5F" w14:textId="77777777" w:rsidR="00B2546E" w:rsidRPr="004B0627" w:rsidRDefault="00B2546E" w:rsidP="00FB625E">
      <w:pPr>
        <w:pStyle w:val="Odsekzoznamu"/>
        <w:spacing w:after="0" w:line="240" w:lineRule="auto"/>
        <w:ind w:left="0"/>
        <w:contextualSpacing w:val="0"/>
        <w:jc w:val="both"/>
        <w:rPr>
          <w:rFonts w:ascii="Arial Narrow" w:hAnsi="Arial Narrow" w:cs="Arial Narrow"/>
          <w:b/>
          <w:i/>
          <w:color w:val="000000"/>
        </w:rPr>
      </w:pPr>
    </w:p>
    <w:p w14:paraId="6B98708F" w14:textId="185A93DD" w:rsidR="00682C07" w:rsidRDefault="00066ADF" w:rsidP="00393DAB">
      <w:pPr>
        <w:spacing w:after="0" w:line="240" w:lineRule="auto"/>
        <w:jc w:val="both"/>
        <w:rPr>
          <w:rFonts w:ascii="Arial Narrow" w:hAnsi="Arial Narrow"/>
        </w:rPr>
      </w:pPr>
      <w:r>
        <w:rPr>
          <w:rFonts w:ascii="Arial Narrow" w:hAnsi="Arial Narrow"/>
        </w:rPr>
        <w:t>P</w:t>
      </w:r>
      <w:r w:rsidR="00B5796C" w:rsidRPr="007D7576">
        <w:rPr>
          <w:rFonts w:ascii="Arial Narrow" w:hAnsi="Arial Narrow"/>
        </w:rPr>
        <w:t>okračuje podpora terénnej sociálnej práce a sociálnych služieb</w:t>
      </w:r>
      <w:r w:rsidR="00B61602" w:rsidRPr="007D7576">
        <w:rPr>
          <w:rFonts w:ascii="Arial Narrow" w:hAnsi="Arial Narrow"/>
        </w:rPr>
        <w:t xml:space="preserve"> </w:t>
      </w:r>
      <w:r w:rsidR="00000A4B">
        <w:rPr>
          <w:rFonts w:ascii="Arial Narrow" w:hAnsi="Arial Narrow"/>
        </w:rPr>
        <w:t xml:space="preserve">(komunitné centrá, </w:t>
      </w:r>
      <w:r w:rsidR="004F6CF6" w:rsidRPr="007D7576">
        <w:rPr>
          <w:rFonts w:ascii="Arial Narrow" w:hAnsi="Arial Narrow"/>
        </w:rPr>
        <w:t>nízkoprahové denné centrá a nízkoprahové sociálne služby pre deti</w:t>
      </w:r>
      <w:r w:rsidR="004F6CF6" w:rsidRPr="00B5796C">
        <w:rPr>
          <w:rFonts w:ascii="Arial Narrow" w:hAnsi="Arial Narrow"/>
        </w:rPr>
        <w:t xml:space="preserve"> a rodinu)</w:t>
      </w:r>
      <w:r w:rsidR="00B61602" w:rsidRPr="00B5796C">
        <w:rPr>
          <w:rStyle w:val="Odkaznapoznmkupodiarou"/>
          <w:rFonts w:ascii="Arial Narrow" w:hAnsi="Arial Narrow"/>
        </w:rPr>
        <w:footnoteReference w:id="7"/>
      </w:r>
      <w:r w:rsidR="004F6CF6" w:rsidRPr="00B5796C">
        <w:rPr>
          <w:rFonts w:ascii="Arial Narrow" w:hAnsi="Arial Narrow"/>
        </w:rPr>
        <w:t>.</w:t>
      </w:r>
      <w:r w:rsidR="00B61602">
        <w:rPr>
          <w:rFonts w:ascii="Arial Narrow" w:hAnsi="Arial Narrow"/>
        </w:rPr>
        <w:t xml:space="preserve"> </w:t>
      </w:r>
      <w:r w:rsidR="001021F3">
        <w:rPr>
          <w:rFonts w:ascii="Arial Narrow" w:hAnsi="Arial Narrow"/>
        </w:rPr>
        <w:t xml:space="preserve">Projekty pomáhajú </w:t>
      </w:r>
      <w:r w:rsidR="001021F3">
        <w:rPr>
          <w:rFonts w:ascii="Arial Narrow" w:hAnsi="Arial Narrow"/>
          <w:b/>
        </w:rPr>
        <w:t xml:space="preserve">integrovať </w:t>
      </w:r>
      <w:r w:rsidR="009D4848">
        <w:rPr>
          <w:rFonts w:ascii="Arial Narrow" w:hAnsi="Arial Narrow"/>
          <w:b/>
        </w:rPr>
        <w:t>osoby v nepriaznivej sociálnej situácii</w:t>
      </w:r>
      <w:r w:rsidR="001021F3">
        <w:rPr>
          <w:rFonts w:ascii="Arial Narrow" w:hAnsi="Arial Narrow"/>
        </w:rPr>
        <w:t xml:space="preserve">, </w:t>
      </w:r>
      <w:r w:rsidR="00490692" w:rsidRPr="00B5796C">
        <w:rPr>
          <w:rFonts w:ascii="Arial Narrow" w:hAnsi="Arial Narrow"/>
        </w:rPr>
        <w:t>vrátane</w:t>
      </w:r>
      <w:r w:rsidR="00682C07" w:rsidRPr="00B5796C">
        <w:rPr>
          <w:rFonts w:ascii="Arial Narrow" w:hAnsi="Arial Narrow"/>
        </w:rPr>
        <w:t xml:space="preserve"> </w:t>
      </w:r>
      <w:r w:rsidR="006153B6">
        <w:rPr>
          <w:rFonts w:ascii="Arial Narrow" w:hAnsi="Arial Narrow"/>
        </w:rPr>
        <w:t xml:space="preserve">ľudí žijúcich v </w:t>
      </w:r>
      <w:r w:rsidR="006153B6" w:rsidRPr="006153B6">
        <w:rPr>
          <w:rFonts w:ascii="Arial Narrow" w:hAnsi="Arial Narrow"/>
        </w:rPr>
        <w:t>MRK</w:t>
      </w:r>
      <w:r w:rsidR="00682C07" w:rsidRPr="00B5796C">
        <w:rPr>
          <w:rFonts w:ascii="Arial Narrow" w:hAnsi="Arial Narrow"/>
        </w:rPr>
        <w:t>, do spoločnosti cez prístup k predškolskému a školskému vzdelávaniu, zamestnanosti a zdravotnej starostlivosti. Finančná alokácia na</w:t>
      </w:r>
      <w:r w:rsidR="00682C07" w:rsidRPr="005B48EF">
        <w:rPr>
          <w:rFonts w:ascii="Arial Narrow" w:hAnsi="Arial Narrow"/>
        </w:rPr>
        <w:t xml:space="preserve"> obdobie realizácie od októbra 2015 do septembra 2019 predstavuje 29,3 mil. eur pre prvý a 20,9 mil. eur pre druhý projekt.</w:t>
      </w:r>
      <w:r w:rsidR="004F6CF6">
        <w:rPr>
          <w:rFonts w:ascii="Arial Narrow" w:hAnsi="Arial Narrow"/>
        </w:rPr>
        <w:t xml:space="preserve"> </w:t>
      </w:r>
    </w:p>
    <w:p w14:paraId="6508B55F" w14:textId="77777777" w:rsidR="00FC0A44" w:rsidRDefault="00FC0A44" w:rsidP="00393DAB">
      <w:pPr>
        <w:spacing w:after="0" w:line="240" w:lineRule="auto"/>
        <w:jc w:val="both"/>
        <w:rPr>
          <w:rFonts w:ascii="Arial Narrow" w:hAnsi="Arial Narrow"/>
        </w:rPr>
      </w:pPr>
    </w:p>
    <w:p w14:paraId="2E5DADB3" w14:textId="60200231" w:rsidR="00066ADF" w:rsidRPr="00066ADF" w:rsidRDefault="00FC0A44" w:rsidP="00066ADF">
      <w:pPr>
        <w:spacing w:after="0" w:line="240" w:lineRule="auto"/>
        <w:jc w:val="both"/>
        <w:rPr>
          <w:rFonts w:ascii="Arial Narrow" w:hAnsi="Arial Narrow"/>
        </w:rPr>
      </w:pPr>
      <w:r w:rsidRPr="00845688">
        <w:rPr>
          <w:rFonts w:ascii="Arial Narrow" w:hAnsi="Arial Narrow"/>
          <w:b/>
        </w:rPr>
        <w:t xml:space="preserve">Inklúziu obyvateľov </w:t>
      </w:r>
      <w:r w:rsidR="004961D7" w:rsidRPr="00845688">
        <w:rPr>
          <w:rFonts w:ascii="Arial Narrow" w:hAnsi="Arial Narrow"/>
          <w:b/>
        </w:rPr>
        <w:t xml:space="preserve">z </w:t>
      </w:r>
      <w:r w:rsidRPr="00845688">
        <w:rPr>
          <w:rFonts w:ascii="Arial Narrow" w:hAnsi="Arial Narrow"/>
          <w:b/>
        </w:rPr>
        <w:t>MRK</w:t>
      </w:r>
      <w:r w:rsidRPr="00092BE9">
        <w:rPr>
          <w:rFonts w:ascii="Arial Narrow" w:hAnsi="Arial Narrow"/>
        </w:rPr>
        <w:t xml:space="preserve"> podporia viaceré </w:t>
      </w:r>
      <w:r>
        <w:rPr>
          <w:rFonts w:ascii="Arial Narrow" w:hAnsi="Arial Narrow"/>
        </w:rPr>
        <w:t>projekty</w:t>
      </w:r>
      <w:r w:rsidR="00066ADF">
        <w:rPr>
          <w:rFonts w:ascii="Arial Narrow" w:hAnsi="Arial Narrow"/>
        </w:rPr>
        <w:t xml:space="preserve"> financované z EÚ zdrojov</w:t>
      </w:r>
      <w:r w:rsidR="00A27AAD">
        <w:rPr>
          <w:rFonts w:ascii="Arial Narrow" w:hAnsi="Arial Narrow"/>
        </w:rPr>
        <w:t>. Zamerajú sa</w:t>
      </w:r>
      <w:r w:rsidR="00066ADF">
        <w:rPr>
          <w:rFonts w:ascii="Arial Narrow" w:hAnsi="Arial Narrow"/>
        </w:rPr>
        <w:t xml:space="preserve"> </w:t>
      </w:r>
      <w:r w:rsidR="00066ADF" w:rsidRPr="00063A75">
        <w:rPr>
          <w:rFonts w:ascii="Arial Narrow" w:hAnsi="Arial Narrow"/>
        </w:rPr>
        <w:t xml:space="preserve">na </w:t>
      </w:r>
      <w:r w:rsidR="00066ADF">
        <w:rPr>
          <w:rFonts w:ascii="Arial Narrow" w:hAnsi="Arial Narrow"/>
        </w:rPr>
        <w:t xml:space="preserve">podporu </w:t>
      </w:r>
      <w:r w:rsidR="00066ADF" w:rsidRPr="00063A75">
        <w:rPr>
          <w:rFonts w:ascii="Arial Narrow" w:hAnsi="Arial Narrow"/>
        </w:rPr>
        <w:t>rozvoj</w:t>
      </w:r>
      <w:r w:rsidR="00066ADF">
        <w:rPr>
          <w:rFonts w:ascii="Arial Narrow" w:hAnsi="Arial Narrow"/>
        </w:rPr>
        <w:t>a</w:t>
      </w:r>
      <w:r w:rsidR="00066ADF" w:rsidRPr="00063A75">
        <w:rPr>
          <w:rFonts w:ascii="Arial Narrow" w:hAnsi="Arial Narrow"/>
        </w:rPr>
        <w:t xml:space="preserve"> matersk</w:t>
      </w:r>
      <w:r w:rsidR="00E31875">
        <w:rPr>
          <w:rFonts w:ascii="Arial Narrow" w:hAnsi="Arial Narrow"/>
        </w:rPr>
        <w:t xml:space="preserve">ých škôl, komunitných centier, </w:t>
      </w:r>
      <w:r w:rsidR="00066ADF" w:rsidRPr="00063A75">
        <w:rPr>
          <w:rFonts w:ascii="Arial Narrow" w:hAnsi="Arial Narrow"/>
        </w:rPr>
        <w:t>terénnej sociálnej práce</w:t>
      </w:r>
      <w:r w:rsidR="00066ADF">
        <w:rPr>
          <w:rFonts w:ascii="Arial Narrow" w:hAnsi="Arial Narrow"/>
        </w:rPr>
        <w:t xml:space="preserve"> </w:t>
      </w:r>
      <w:r w:rsidR="00066ADF" w:rsidRPr="00063A75">
        <w:rPr>
          <w:rFonts w:ascii="Arial Narrow" w:hAnsi="Arial Narrow"/>
        </w:rPr>
        <w:t>a</w:t>
      </w:r>
      <w:r w:rsidR="00066ADF">
        <w:rPr>
          <w:rFonts w:ascii="Arial Narrow" w:hAnsi="Arial Narrow"/>
        </w:rPr>
        <w:t xml:space="preserve"> </w:t>
      </w:r>
      <w:r w:rsidR="00066ADF" w:rsidRPr="00063A75">
        <w:rPr>
          <w:rFonts w:ascii="Arial Narrow" w:hAnsi="Arial Narrow"/>
        </w:rPr>
        <w:t>prístupu k pitnej vode</w:t>
      </w:r>
      <w:r w:rsidR="00A27AAD">
        <w:rPr>
          <w:rFonts w:ascii="Arial Narrow" w:hAnsi="Arial Narrow"/>
        </w:rPr>
        <w:t>. C</w:t>
      </w:r>
      <w:r w:rsidR="00066ADF">
        <w:rPr>
          <w:rFonts w:ascii="Arial Narrow" w:hAnsi="Arial Narrow"/>
        </w:rPr>
        <w:t xml:space="preserve">elková finančná alokácia výziev </w:t>
      </w:r>
      <w:r w:rsidR="00A27AAD">
        <w:rPr>
          <w:rFonts w:ascii="Arial Narrow" w:hAnsi="Arial Narrow"/>
        </w:rPr>
        <w:t xml:space="preserve">vyhlásených v roku 2016 </w:t>
      </w:r>
      <w:r w:rsidR="00066ADF">
        <w:rPr>
          <w:rFonts w:ascii="Arial Narrow" w:hAnsi="Arial Narrow"/>
        </w:rPr>
        <w:t>dos</w:t>
      </w:r>
      <w:r w:rsidR="00E31875">
        <w:rPr>
          <w:rFonts w:ascii="Arial Narrow" w:hAnsi="Arial Narrow"/>
        </w:rPr>
        <w:t xml:space="preserve">iahla </w:t>
      </w:r>
      <w:r w:rsidR="00066ADF">
        <w:rPr>
          <w:rFonts w:ascii="Arial Narrow" w:hAnsi="Arial Narrow"/>
        </w:rPr>
        <w:t>121,4 mil. eur</w:t>
      </w:r>
      <w:r w:rsidR="004951FF">
        <w:rPr>
          <w:rFonts w:ascii="Arial Narrow" w:hAnsi="Arial Narrow"/>
        </w:rPr>
        <w:t xml:space="preserve">. </w:t>
      </w:r>
      <w:r w:rsidR="00A27AAD">
        <w:rPr>
          <w:rFonts w:ascii="Arial Narrow" w:hAnsi="Arial Narrow"/>
        </w:rPr>
        <w:t xml:space="preserve">Do marca </w:t>
      </w:r>
      <w:r w:rsidR="004951FF" w:rsidRPr="00063A75">
        <w:rPr>
          <w:rFonts w:ascii="Arial Narrow" w:hAnsi="Arial Narrow"/>
        </w:rPr>
        <w:t>201</w:t>
      </w:r>
      <w:r w:rsidR="00A27AAD">
        <w:rPr>
          <w:rFonts w:ascii="Arial Narrow" w:hAnsi="Arial Narrow"/>
        </w:rPr>
        <w:t>7</w:t>
      </w:r>
      <w:r w:rsidR="004951FF" w:rsidRPr="00063A75">
        <w:rPr>
          <w:rFonts w:ascii="Arial Narrow" w:hAnsi="Arial Narrow"/>
        </w:rPr>
        <w:t xml:space="preserve"> bol</w:t>
      </w:r>
      <w:r w:rsidR="00066ADF">
        <w:rPr>
          <w:rFonts w:ascii="Arial Narrow" w:hAnsi="Arial Narrow"/>
        </w:rPr>
        <w:t>i</w:t>
      </w:r>
      <w:r w:rsidR="004951FF" w:rsidRPr="00063A75">
        <w:rPr>
          <w:rFonts w:ascii="Arial Narrow" w:hAnsi="Arial Narrow"/>
        </w:rPr>
        <w:t xml:space="preserve"> </w:t>
      </w:r>
      <w:r w:rsidR="00A27AAD">
        <w:rPr>
          <w:rFonts w:ascii="Arial Narrow" w:hAnsi="Arial Narrow"/>
        </w:rPr>
        <w:t xml:space="preserve">zatiaľ </w:t>
      </w:r>
      <w:r w:rsidR="004951FF" w:rsidRPr="00063A75">
        <w:rPr>
          <w:rFonts w:ascii="Arial Narrow" w:hAnsi="Arial Narrow"/>
        </w:rPr>
        <w:t>schválen</w:t>
      </w:r>
      <w:r w:rsidR="00066ADF">
        <w:rPr>
          <w:rFonts w:ascii="Arial Narrow" w:hAnsi="Arial Narrow"/>
        </w:rPr>
        <w:t xml:space="preserve">é projekty zamerané na </w:t>
      </w:r>
      <w:r w:rsidR="004951FF" w:rsidRPr="00063A75">
        <w:rPr>
          <w:rFonts w:ascii="Arial Narrow" w:hAnsi="Arial Narrow"/>
        </w:rPr>
        <w:t>výstavb</w:t>
      </w:r>
      <w:r w:rsidR="00066ADF">
        <w:rPr>
          <w:rFonts w:ascii="Arial Narrow" w:hAnsi="Arial Narrow"/>
        </w:rPr>
        <w:t xml:space="preserve">u </w:t>
      </w:r>
      <w:r w:rsidR="004951FF" w:rsidRPr="00063A75">
        <w:rPr>
          <w:rFonts w:ascii="Arial Narrow" w:hAnsi="Arial Narrow"/>
        </w:rPr>
        <w:t>a</w:t>
      </w:r>
      <w:r w:rsidR="00066ADF">
        <w:rPr>
          <w:rFonts w:ascii="Arial Narrow" w:hAnsi="Arial Narrow"/>
        </w:rPr>
        <w:t xml:space="preserve"> </w:t>
      </w:r>
      <w:r w:rsidR="00161690">
        <w:rPr>
          <w:rFonts w:ascii="Arial Narrow" w:hAnsi="Arial Narrow"/>
        </w:rPr>
        <w:t>rekonštrukciu</w:t>
      </w:r>
      <w:r w:rsidR="004951FF" w:rsidRPr="00063A75">
        <w:rPr>
          <w:rFonts w:ascii="Arial Narrow" w:hAnsi="Arial Narrow"/>
        </w:rPr>
        <w:t xml:space="preserve"> materských škôl </w:t>
      </w:r>
      <w:r w:rsidR="00066ADF">
        <w:rPr>
          <w:rFonts w:ascii="Arial Narrow" w:hAnsi="Arial Narrow"/>
        </w:rPr>
        <w:t xml:space="preserve">(36 projektov v sume 14,5 mil. eur) </w:t>
      </w:r>
      <w:r w:rsidR="004951FF" w:rsidRPr="00063A75">
        <w:rPr>
          <w:rFonts w:ascii="Arial Narrow" w:hAnsi="Arial Narrow"/>
        </w:rPr>
        <w:t>a</w:t>
      </w:r>
      <w:r w:rsidR="00066ADF">
        <w:rPr>
          <w:rFonts w:ascii="Arial Narrow" w:hAnsi="Arial Narrow"/>
        </w:rPr>
        <w:t xml:space="preserve"> </w:t>
      </w:r>
      <w:r w:rsidR="004951FF" w:rsidRPr="00063A75">
        <w:rPr>
          <w:rFonts w:ascii="Arial Narrow" w:hAnsi="Arial Narrow"/>
        </w:rPr>
        <w:t>komunitných centier</w:t>
      </w:r>
      <w:r w:rsidR="00066ADF">
        <w:rPr>
          <w:rFonts w:ascii="Arial Narrow" w:hAnsi="Arial Narrow"/>
        </w:rPr>
        <w:t xml:space="preserve"> (7 projektov v sume 1,1 mil. eur)</w:t>
      </w:r>
      <w:r w:rsidR="004951FF" w:rsidRPr="00063A75">
        <w:rPr>
          <w:rFonts w:ascii="Arial Narrow" w:hAnsi="Arial Narrow"/>
        </w:rPr>
        <w:t>.</w:t>
      </w:r>
      <w:r w:rsidR="00066ADF">
        <w:rPr>
          <w:rFonts w:ascii="Arial Narrow" w:hAnsi="Arial Narrow"/>
        </w:rPr>
        <w:t xml:space="preserve"> </w:t>
      </w:r>
    </w:p>
    <w:p w14:paraId="32F401DF" w14:textId="77777777" w:rsidR="00A94E2C" w:rsidRDefault="00A94E2C" w:rsidP="00FB625E">
      <w:pPr>
        <w:spacing w:after="0" w:line="240" w:lineRule="auto"/>
        <w:jc w:val="both"/>
        <w:rPr>
          <w:rFonts w:ascii="Arial Narrow" w:hAnsi="Arial Narrow"/>
          <w:szCs w:val="36"/>
          <w:lang w:eastAsia="en-US"/>
        </w:rPr>
      </w:pPr>
    </w:p>
    <w:p w14:paraId="13A789D0" w14:textId="77777777" w:rsidR="00682C07" w:rsidRPr="00FD35C1" w:rsidRDefault="00682C07" w:rsidP="00FB625E">
      <w:pPr>
        <w:spacing w:after="0" w:line="240" w:lineRule="auto"/>
        <w:jc w:val="both"/>
        <w:rPr>
          <w:rFonts w:ascii="Arial Narrow" w:hAnsi="Arial Narrow" w:cs="Arial Narrow"/>
          <w:b/>
          <w:i/>
        </w:rPr>
      </w:pPr>
      <w:r w:rsidRPr="00FD35C1">
        <w:rPr>
          <w:rFonts w:ascii="Arial Narrow" w:hAnsi="Arial Narrow" w:cs="Arial Narrow"/>
          <w:b/>
          <w:i/>
        </w:rPr>
        <w:t>Vzdelávanie</w:t>
      </w:r>
    </w:p>
    <w:p w14:paraId="1D5EBA98" w14:textId="76B4758F" w:rsidR="00682C07" w:rsidRDefault="00682C07" w:rsidP="00393DAB">
      <w:pPr>
        <w:spacing w:after="0" w:line="240" w:lineRule="auto"/>
        <w:jc w:val="both"/>
        <w:rPr>
          <w:rFonts w:ascii="Arial Narrow" w:hAnsi="Arial Narrow"/>
        </w:rPr>
      </w:pPr>
      <w:r w:rsidRPr="005B48EF">
        <w:rPr>
          <w:rFonts w:ascii="Arial Narrow" w:hAnsi="Arial Narrow"/>
        </w:rPr>
        <w:t xml:space="preserve">Platy pedagogických a odborných zamestnancov v regionálnom školstve a vysokom školstve sa v januári 2016 </w:t>
      </w:r>
      <w:r w:rsidRPr="005B48EF">
        <w:rPr>
          <w:rFonts w:ascii="Arial Narrow" w:hAnsi="Arial Narrow"/>
          <w:b/>
        </w:rPr>
        <w:t xml:space="preserve">zvýšili o 4 </w:t>
      </w:r>
      <w:r w:rsidRPr="008B6B5C">
        <w:rPr>
          <w:rFonts w:ascii="Arial Narrow" w:hAnsi="Arial Narrow"/>
          <w:b/>
        </w:rPr>
        <w:t>%</w:t>
      </w:r>
      <w:r w:rsidRPr="008B6B5C">
        <w:rPr>
          <w:rFonts w:ascii="Arial Narrow" w:hAnsi="Arial Narrow"/>
        </w:rPr>
        <w:t xml:space="preserve"> a </w:t>
      </w:r>
      <w:r w:rsidRPr="005B48EF">
        <w:rPr>
          <w:rFonts w:ascii="Arial Narrow" w:hAnsi="Arial Narrow"/>
        </w:rPr>
        <w:t xml:space="preserve">od </w:t>
      </w:r>
      <w:r w:rsidR="00786C06">
        <w:rPr>
          <w:rFonts w:ascii="Arial Narrow" w:hAnsi="Arial Narrow"/>
        </w:rPr>
        <w:t>septembra</w:t>
      </w:r>
      <w:r w:rsidRPr="005B48EF">
        <w:rPr>
          <w:rFonts w:ascii="Arial Narrow" w:hAnsi="Arial Narrow"/>
        </w:rPr>
        <w:t xml:space="preserve">. 2016 sa </w:t>
      </w:r>
      <w:r w:rsidRPr="005B48EF">
        <w:rPr>
          <w:rFonts w:ascii="Arial Narrow" w:hAnsi="Arial Narrow"/>
          <w:b/>
        </w:rPr>
        <w:t>zvýšili o ďalších 6 %</w:t>
      </w:r>
      <w:r w:rsidRPr="005B48EF">
        <w:rPr>
          <w:rFonts w:ascii="Arial Narrow" w:hAnsi="Arial Narrow"/>
        </w:rPr>
        <w:t>.</w:t>
      </w:r>
      <w:r w:rsidR="00AF7A38">
        <w:rPr>
          <w:rFonts w:ascii="Arial Narrow" w:hAnsi="Arial Narrow"/>
        </w:rPr>
        <w:t xml:space="preserve"> </w:t>
      </w:r>
      <w:r w:rsidRPr="005B48EF">
        <w:rPr>
          <w:rFonts w:ascii="Arial Narrow" w:hAnsi="Arial Narrow"/>
        </w:rPr>
        <w:t xml:space="preserve">V rámci zvyšovania platov sa do budúcna predpokladá podpora rýchlejšieho rastu platov začínajúcich učiteľov, aby sa zvýšila atraktívnosť učiteľskej profesie pre najtalentovanejších mladých ľudí. </w:t>
      </w:r>
    </w:p>
    <w:p w14:paraId="0B76A92F" w14:textId="77777777" w:rsidR="00393DAB" w:rsidRPr="005B48EF" w:rsidRDefault="00393DAB" w:rsidP="00393DAB">
      <w:pPr>
        <w:spacing w:after="0" w:line="240" w:lineRule="auto"/>
        <w:jc w:val="both"/>
        <w:rPr>
          <w:rFonts w:ascii="Arial Narrow" w:hAnsi="Arial Narrow"/>
        </w:rPr>
      </w:pPr>
    </w:p>
    <w:p w14:paraId="68A5612A" w14:textId="7BBA307B" w:rsidR="0077138F" w:rsidRDefault="00682C07" w:rsidP="00393DAB">
      <w:pPr>
        <w:spacing w:after="0" w:line="240" w:lineRule="auto"/>
        <w:jc w:val="both"/>
        <w:rPr>
          <w:rFonts w:ascii="Arial Narrow" w:hAnsi="Arial Narrow"/>
        </w:rPr>
      </w:pPr>
      <w:r w:rsidRPr="005B48EF">
        <w:rPr>
          <w:rFonts w:ascii="Arial Narrow" w:hAnsi="Arial Narrow"/>
        </w:rPr>
        <w:t xml:space="preserve">V priebehu roka 2015 bolo obciam a mestám </w:t>
      </w:r>
      <w:r>
        <w:rPr>
          <w:rFonts w:ascii="Arial Narrow" w:hAnsi="Arial Narrow"/>
        </w:rPr>
        <w:t>poskytnutých 14,</w:t>
      </w:r>
      <w:r w:rsidRPr="005B48EF">
        <w:rPr>
          <w:rFonts w:ascii="Arial Narrow" w:hAnsi="Arial Narrow"/>
        </w:rPr>
        <w:t xml:space="preserve">5 mil. eur na </w:t>
      </w:r>
      <w:r w:rsidRPr="003424F1">
        <w:rPr>
          <w:rFonts w:ascii="Arial Narrow" w:hAnsi="Arial Narrow"/>
          <w:b/>
        </w:rPr>
        <w:t>rozšírenie kapacít materských škôl</w:t>
      </w:r>
      <w:r w:rsidRPr="005B48EF">
        <w:rPr>
          <w:rFonts w:ascii="Arial Narrow" w:hAnsi="Arial Narrow"/>
        </w:rPr>
        <w:t xml:space="preserve">. </w:t>
      </w:r>
      <w:r w:rsidR="003F63BF">
        <w:rPr>
          <w:rFonts w:ascii="Arial Narrow" w:hAnsi="Arial Narrow"/>
        </w:rPr>
        <w:t>B</w:t>
      </w:r>
      <w:r w:rsidRPr="005B48EF">
        <w:rPr>
          <w:rFonts w:ascii="Arial Narrow" w:hAnsi="Arial Narrow"/>
        </w:rPr>
        <w:t>olo podporených</w:t>
      </w:r>
      <w:r w:rsidR="00ED31DD">
        <w:rPr>
          <w:rFonts w:ascii="Arial Narrow" w:hAnsi="Arial Narrow"/>
        </w:rPr>
        <w:t xml:space="preserve"> 185 žiadateľov, </w:t>
      </w:r>
      <w:r w:rsidR="0077138F">
        <w:rPr>
          <w:rFonts w:ascii="Arial Narrow" w:hAnsi="Arial Narrow"/>
        </w:rPr>
        <w:t>k</w:t>
      </w:r>
      <w:r w:rsidR="002A17B8">
        <w:rPr>
          <w:rFonts w:ascii="Arial Narrow" w:hAnsi="Arial Narrow"/>
        </w:rPr>
        <w:t xml:space="preserve">u koncu roka </w:t>
      </w:r>
      <w:r w:rsidR="0077138F">
        <w:rPr>
          <w:rFonts w:ascii="Arial Narrow" w:hAnsi="Arial Narrow"/>
        </w:rPr>
        <w:t>2016</w:t>
      </w:r>
      <w:r w:rsidR="0077138F" w:rsidRPr="0077138F">
        <w:rPr>
          <w:rFonts w:ascii="Arial Narrow" w:hAnsi="Arial Narrow"/>
        </w:rPr>
        <w:t xml:space="preserve"> bolo vytvorených 125 nových tried </w:t>
      </w:r>
      <w:r w:rsidR="003F63BF">
        <w:rPr>
          <w:rFonts w:ascii="Arial Narrow" w:hAnsi="Arial Narrow"/>
        </w:rPr>
        <w:t>(</w:t>
      </w:r>
      <w:r w:rsidR="009C51D2">
        <w:rPr>
          <w:rFonts w:ascii="Arial Narrow" w:hAnsi="Arial Narrow"/>
        </w:rPr>
        <w:t xml:space="preserve">cieľ </w:t>
      </w:r>
      <w:r w:rsidR="003F63BF">
        <w:rPr>
          <w:rFonts w:ascii="Arial Narrow" w:hAnsi="Arial Narrow"/>
        </w:rPr>
        <w:t>227</w:t>
      </w:r>
      <w:r w:rsidR="009C51D2">
        <w:rPr>
          <w:rFonts w:ascii="Arial Narrow" w:hAnsi="Arial Narrow"/>
        </w:rPr>
        <w:t xml:space="preserve"> tried</w:t>
      </w:r>
      <w:r w:rsidR="002A17B8">
        <w:rPr>
          <w:rFonts w:ascii="Arial Narrow" w:hAnsi="Arial Narrow"/>
        </w:rPr>
        <w:t xml:space="preserve"> do roku 2018</w:t>
      </w:r>
      <w:r w:rsidR="003F63BF">
        <w:rPr>
          <w:rFonts w:ascii="Arial Narrow" w:hAnsi="Arial Narrow"/>
        </w:rPr>
        <w:t xml:space="preserve">) </w:t>
      </w:r>
      <w:r w:rsidR="0077138F" w:rsidRPr="0077138F">
        <w:rPr>
          <w:rFonts w:ascii="Arial Narrow" w:hAnsi="Arial Narrow"/>
        </w:rPr>
        <w:t>a 13 tried bolo udržaných v</w:t>
      </w:r>
      <w:r w:rsidR="003F63BF">
        <w:rPr>
          <w:rFonts w:ascii="Arial Narrow" w:hAnsi="Arial Narrow"/>
        </w:rPr>
        <w:t> </w:t>
      </w:r>
      <w:r w:rsidR="0077138F" w:rsidRPr="0077138F">
        <w:rPr>
          <w:rFonts w:ascii="Arial Narrow" w:hAnsi="Arial Narrow"/>
        </w:rPr>
        <w:t>prevádzke</w:t>
      </w:r>
      <w:r w:rsidR="003F63BF">
        <w:rPr>
          <w:rFonts w:ascii="Arial Narrow" w:hAnsi="Arial Narrow"/>
        </w:rPr>
        <w:t xml:space="preserve"> (cieľ 22</w:t>
      </w:r>
      <w:r w:rsidR="009C51D2">
        <w:rPr>
          <w:rFonts w:ascii="Arial Narrow" w:hAnsi="Arial Narrow"/>
        </w:rPr>
        <w:t xml:space="preserve"> tried</w:t>
      </w:r>
      <w:r w:rsidR="003F63BF">
        <w:rPr>
          <w:rFonts w:ascii="Arial Narrow" w:hAnsi="Arial Narrow"/>
        </w:rPr>
        <w:t>)</w:t>
      </w:r>
      <w:r w:rsidR="0077138F" w:rsidRPr="0077138F">
        <w:rPr>
          <w:rFonts w:ascii="Arial Narrow" w:hAnsi="Arial Narrow"/>
        </w:rPr>
        <w:t>.</w:t>
      </w:r>
      <w:r w:rsidR="003F63BF">
        <w:rPr>
          <w:rFonts w:ascii="Arial Narrow" w:hAnsi="Arial Narrow"/>
        </w:rPr>
        <w:t xml:space="preserve"> Umožní sa tak postupné prijatie približne </w:t>
      </w:r>
      <w:r w:rsidR="003F63BF" w:rsidRPr="005B48EF">
        <w:rPr>
          <w:rFonts w:ascii="Arial Narrow" w:hAnsi="Arial Narrow"/>
        </w:rPr>
        <w:t>5</w:t>
      </w:r>
      <w:r w:rsidR="002A17B8">
        <w:rPr>
          <w:rFonts w:ascii="Arial Narrow" w:hAnsi="Arial Narrow"/>
        </w:rPr>
        <w:t xml:space="preserve"> </w:t>
      </w:r>
      <w:r w:rsidR="0051456A">
        <w:rPr>
          <w:rFonts w:ascii="Arial Narrow" w:hAnsi="Arial Narrow"/>
        </w:rPr>
        <w:t xml:space="preserve">tisíc </w:t>
      </w:r>
      <w:r w:rsidR="003F63BF" w:rsidRPr="005B48EF">
        <w:rPr>
          <w:rFonts w:ascii="Arial Narrow" w:hAnsi="Arial Narrow"/>
        </w:rPr>
        <w:t xml:space="preserve">novoprijatých detí a vytvorenie </w:t>
      </w:r>
      <w:r w:rsidR="003F63BF">
        <w:rPr>
          <w:rFonts w:ascii="Arial Narrow" w:hAnsi="Arial Narrow"/>
        </w:rPr>
        <w:t xml:space="preserve">zhruba </w:t>
      </w:r>
      <w:r w:rsidR="003F63BF" w:rsidRPr="005B48EF">
        <w:rPr>
          <w:rFonts w:ascii="Arial Narrow" w:hAnsi="Arial Narrow"/>
        </w:rPr>
        <w:t>460 pracovných miest pre učiteľov.</w:t>
      </w:r>
    </w:p>
    <w:p w14:paraId="56893FED" w14:textId="77777777" w:rsidR="00393DAB" w:rsidRDefault="00393DAB" w:rsidP="00393DAB">
      <w:pPr>
        <w:spacing w:after="0" w:line="240" w:lineRule="auto"/>
        <w:jc w:val="both"/>
        <w:rPr>
          <w:rFonts w:ascii="Arial Narrow" w:hAnsi="Arial Narrow"/>
        </w:rPr>
      </w:pPr>
    </w:p>
    <w:p w14:paraId="2792AF59" w14:textId="1FA110F8" w:rsidR="00682C07" w:rsidRPr="00A455A6" w:rsidRDefault="00682C07" w:rsidP="00FB625E">
      <w:pPr>
        <w:pStyle w:val="Odsekzoznamu"/>
        <w:numPr>
          <w:ilvl w:val="0"/>
          <w:numId w:val="19"/>
        </w:numPr>
        <w:spacing w:after="0" w:line="240" w:lineRule="auto"/>
        <w:ind w:left="425" w:hanging="425"/>
        <w:jc w:val="both"/>
        <w:rPr>
          <w:rFonts w:ascii="Arial Narrow" w:hAnsi="Arial Narrow"/>
          <w:b/>
          <w:i/>
          <w:szCs w:val="36"/>
          <w:lang w:eastAsia="en-US"/>
        </w:rPr>
      </w:pPr>
      <w:r w:rsidRPr="00A455A6">
        <w:rPr>
          <w:rFonts w:ascii="Arial Narrow" w:hAnsi="Arial Narrow"/>
          <w:b/>
          <w:sz w:val="24"/>
          <w:szCs w:val="24"/>
        </w:rPr>
        <w:t>Efektívnosť a transparentnosť verejnej správy, podnikateľské prostredie</w:t>
      </w:r>
    </w:p>
    <w:p w14:paraId="415DA2CD" w14:textId="77777777" w:rsidR="00682C07" w:rsidRPr="00A455A6" w:rsidRDefault="00682C07" w:rsidP="00FB625E">
      <w:pPr>
        <w:spacing w:after="0" w:line="240" w:lineRule="auto"/>
        <w:jc w:val="both"/>
        <w:rPr>
          <w:rFonts w:ascii="Arial Narrow" w:hAnsi="Arial Narrow"/>
          <w:b/>
          <w:szCs w:val="24"/>
        </w:rPr>
      </w:pPr>
    </w:p>
    <w:p w14:paraId="3226AF05" w14:textId="77777777" w:rsidR="00427CBC" w:rsidRDefault="00682C07" w:rsidP="00427CBC">
      <w:pPr>
        <w:spacing w:after="240" w:line="240" w:lineRule="auto"/>
        <w:jc w:val="both"/>
        <w:rPr>
          <w:rFonts w:ascii="Arial Narrow" w:hAnsi="Arial Narrow"/>
          <w:b/>
          <w:i/>
        </w:rPr>
      </w:pPr>
      <w:r w:rsidRPr="00B47351">
        <w:rPr>
          <w:rFonts w:ascii="Arial Narrow" w:hAnsi="Arial Narrow"/>
          <w:b/>
          <w:i/>
          <w:szCs w:val="36"/>
          <w:lang w:eastAsia="en-US"/>
        </w:rPr>
        <w:t xml:space="preserve">Špecifické odporúčanie Rady: </w:t>
      </w:r>
      <w:r w:rsidRPr="00B47351">
        <w:rPr>
          <w:rFonts w:ascii="Arial Narrow" w:hAnsi="Arial Narrow"/>
          <w:b/>
          <w:i/>
        </w:rPr>
        <w:t>Skonsolidovať spôsob riadenia, posilniť prechod od súťaží orientovaných výlučne na cenu k obstarávaniu na základe kvality a zlepšiť stíhanie nezákonných praktík pri verejnom obstarávaní. Zlepšiť transparentnosť, kvalitu a účinnosť riadenia ľudských zdrojov vo verejnej správe – najmä prijatím nového zákona o štátnej službe –, ako aj účinnosť súdneho systému. Prijať komplexný plán na odstránenie administratívnych a regulačných prekážok pre podnikateľský sektor.</w:t>
      </w:r>
    </w:p>
    <w:p w14:paraId="39F913DD" w14:textId="00FB0602" w:rsidR="00682C07" w:rsidRPr="00427CBC" w:rsidRDefault="003261C4" w:rsidP="00427CBC">
      <w:pPr>
        <w:spacing w:after="240" w:line="240" w:lineRule="auto"/>
        <w:jc w:val="both"/>
        <w:rPr>
          <w:rFonts w:ascii="Arial Narrow" w:hAnsi="Arial Narrow"/>
          <w:b/>
          <w:i/>
        </w:rPr>
      </w:pPr>
      <w:r w:rsidRPr="003261C4">
        <w:rPr>
          <w:rFonts w:ascii="Arial Narrow" w:hAnsi="Arial Narrow"/>
          <w:i/>
          <w:color w:val="000000" w:themeColor="text1"/>
        </w:rPr>
        <w:t xml:space="preserve">Pre zvýšenie transparentnosti vo verejnom obstarávaní bol s účinnosťou od februára 2017 </w:t>
      </w:r>
      <w:r w:rsidR="006724D0" w:rsidRPr="003261C4">
        <w:rPr>
          <w:rFonts w:ascii="Arial Narrow" w:hAnsi="Arial Narrow"/>
          <w:i/>
          <w:color w:val="000000" w:themeColor="text1"/>
        </w:rPr>
        <w:t xml:space="preserve">schválený </w:t>
      </w:r>
      <w:r w:rsidR="005B2BB8" w:rsidRPr="003261C4">
        <w:rPr>
          <w:rFonts w:ascii="Arial Narrow" w:hAnsi="Arial Narrow"/>
          <w:i/>
          <w:color w:val="000000" w:themeColor="text1"/>
        </w:rPr>
        <w:t xml:space="preserve">tzv. </w:t>
      </w:r>
      <w:r w:rsidR="006724D0" w:rsidRPr="003261C4">
        <w:rPr>
          <w:rFonts w:ascii="Arial Narrow" w:hAnsi="Arial Narrow"/>
          <w:i/>
          <w:color w:val="000000" w:themeColor="text1"/>
        </w:rPr>
        <w:t>protischránkový zákon</w:t>
      </w:r>
      <w:r w:rsidR="006724D0" w:rsidRPr="003261C4">
        <w:rPr>
          <w:rFonts w:ascii="Arial Narrow" w:hAnsi="Arial Narrow"/>
          <w:i/>
          <w:color w:val="000000" w:themeColor="text1"/>
          <w:shd w:val="clear" w:color="auto" w:fill="FFFFFF"/>
        </w:rPr>
        <w:t>.</w:t>
      </w:r>
      <w:r>
        <w:rPr>
          <w:rFonts w:ascii="Arial Narrow" w:hAnsi="Arial Narrow"/>
          <w:i/>
          <w:color w:val="000000" w:themeColor="text1"/>
          <w:shd w:val="clear" w:color="auto" w:fill="FFFFFF"/>
        </w:rPr>
        <w:t xml:space="preserve"> </w:t>
      </w:r>
      <w:r w:rsidR="006724D0">
        <w:rPr>
          <w:rFonts w:ascii="Arial Narrow" w:hAnsi="Arial Narrow"/>
          <w:i/>
          <w:color w:val="000000" w:themeColor="text1"/>
        </w:rPr>
        <w:t xml:space="preserve">Od júna 2017 </w:t>
      </w:r>
      <w:r w:rsidR="005B2BB8">
        <w:rPr>
          <w:rFonts w:ascii="Arial Narrow" w:hAnsi="Arial Narrow"/>
          <w:i/>
          <w:color w:val="000000" w:themeColor="text1"/>
        </w:rPr>
        <w:t xml:space="preserve">nadobudne účinnosť </w:t>
      </w:r>
      <w:r w:rsidR="00682C07" w:rsidRPr="00313DFD">
        <w:rPr>
          <w:rFonts w:ascii="Arial Narrow" w:hAnsi="Arial Narrow"/>
          <w:i/>
          <w:color w:val="000000" w:themeColor="text1"/>
        </w:rPr>
        <w:t>novel</w:t>
      </w:r>
      <w:r w:rsidR="006724D0">
        <w:rPr>
          <w:rFonts w:ascii="Arial Narrow" w:hAnsi="Arial Narrow"/>
          <w:i/>
          <w:color w:val="000000" w:themeColor="text1"/>
        </w:rPr>
        <w:t>a</w:t>
      </w:r>
      <w:r w:rsidR="00682C07" w:rsidRPr="00313DFD">
        <w:rPr>
          <w:rFonts w:ascii="Arial Narrow" w:hAnsi="Arial Narrow"/>
          <w:i/>
          <w:color w:val="000000" w:themeColor="text1"/>
        </w:rPr>
        <w:t xml:space="preserve"> zákon</w:t>
      </w:r>
      <w:r w:rsidR="00313DFD" w:rsidRPr="00313DFD">
        <w:rPr>
          <w:rFonts w:ascii="Arial Narrow" w:hAnsi="Arial Narrow"/>
          <w:i/>
          <w:color w:val="000000" w:themeColor="text1"/>
        </w:rPr>
        <w:t xml:space="preserve">a </w:t>
      </w:r>
      <w:r w:rsidR="00682C07" w:rsidRPr="00313DFD">
        <w:rPr>
          <w:rFonts w:ascii="Arial Narrow" w:hAnsi="Arial Narrow"/>
          <w:i/>
          <w:color w:val="000000" w:themeColor="text1"/>
        </w:rPr>
        <w:t xml:space="preserve">o štátnej službe pre efektívne a transparentné riadenie ľudských zdrojov. Novela bankrotového zákona </w:t>
      </w:r>
      <w:r w:rsidR="00A14F9D" w:rsidRPr="00313DFD">
        <w:rPr>
          <w:rFonts w:ascii="Arial Narrow" w:hAnsi="Arial Narrow"/>
          <w:i/>
          <w:color w:val="000000" w:themeColor="text1"/>
        </w:rPr>
        <w:t>prin</w:t>
      </w:r>
      <w:r w:rsidR="00E055EB">
        <w:rPr>
          <w:rFonts w:ascii="Arial Narrow" w:hAnsi="Arial Narrow"/>
          <w:i/>
          <w:color w:val="000000" w:themeColor="text1"/>
        </w:rPr>
        <w:t>áša</w:t>
      </w:r>
      <w:r w:rsidR="00A14F9D" w:rsidRPr="00313DFD">
        <w:rPr>
          <w:rFonts w:ascii="Arial Narrow" w:hAnsi="Arial Narrow"/>
          <w:i/>
          <w:color w:val="000000" w:themeColor="text1"/>
        </w:rPr>
        <w:t xml:space="preserve"> </w:t>
      </w:r>
      <w:r w:rsidR="00682C07" w:rsidRPr="00313DFD">
        <w:rPr>
          <w:rFonts w:ascii="Arial Narrow" w:hAnsi="Arial Narrow"/>
          <w:i/>
          <w:color w:val="000000" w:themeColor="text1"/>
        </w:rPr>
        <w:t>dostupnejší osobný ba</w:t>
      </w:r>
      <w:r w:rsidR="00313DFD" w:rsidRPr="00313DFD">
        <w:rPr>
          <w:rFonts w:ascii="Arial Narrow" w:hAnsi="Arial Narrow"/>
          <w:i/>
          <w:color w:val="000000" w:themeColor="text1"/>
        </w:rPr>
        <w:t>nkrot pre fyzické osoby. Z</w:t>
      </w:r>
      <w:r w:rsidR="00682C07" w:rsidRPr="00313DFD">
        <w:rPr>
          <w:rFonts w:ascii="Arial Narrow" w:hAnsi="Arial Narrow"/>
          <w:i/>
          <w:color w:val="000000" w:themeColor="text1"/>
        </w:rPr>
        <w:t xml:space="preserve">meny s pozitívnym vplyvom </w:t>
      </w:r>
      <w:r w:rsidR="00313DFD" w:rsidRPr="00313DFD">
        <w:rPr>
          <w:rFonts w:ascii="Arial Narrow" w:hAnsi="Arial Narrow"/>
          <w:i/>
          <w:color w:val="000000" w:themeColor="text1"/>
        </w:rPr>
        <w:t xml:space="preserve">aj </w:t>
      </w:r>
      <w:r w:rsidR="00682C07" w:rsidRPr="00313DFD">
        <w:rPr>
          <w:rFonts w:ascii="Arial Narrow" w:hAnsi="Arial Narrow"/>
          <w:i/>
          <w:color w:val="000000" w:themeColor="text1"/>
        </w:rPr>
        <w:t>na podn</w:t>
      </w:r>
      <w:r w:rsidR="00313DFD" w:rsidRPr="00313DFD">
        <w:rPr>
          <w:rFonts w:ascii="Arial Narrow" w:hAnsi="Arial Narrow"/>
          <w:i/>
          <w:color w:val="000000" w:themeColor="text1"/>
        </w:rPr>
        <w:t xml:space="preserve">ikateľské prostredie </w:t>
      </w:r>
      <w:r w:rsidR="00A14F9D">
        <w:rPr>
          <w:rFonts w:ascii="Arial Narrow" w:hAnsi="Arial Narrow"/>
          <w:i/>
          <w:color w:val="000000" w:themeColor="text1"/>
        </w:rPr>
        <w:t>boli prijaté</w:t>
      </w:r>
      <w:r w:rsidR="00A14F9D" w:rsidRPr="00313DFD">
        <w:rPr>
          <w:rFonts w:ascii="Arial Narrow" w:hAnsi="Arial Narrow"/>
          <w:i/>
          <w:color w:val="000000" w:themeColor="text1"/>
        </w:rPr>
        <w:t xml:space="preserve"> </w:t>
      </w:r>
      <w:r w:rsidR="00682C07" w:rsidRPr="00313DFD">
        <w:rPr>
          <w:rFonts w:ascii="Arial Narrow" w:hAnsi="Arial Narrow"/>
          <w:i/>
          <w:color w:val="000000" w:themeColor="text1"/>
        </w:rPr>
        <w:t xml:space="preserve">v procese </w:t>
      </w:r>
      <w:r w:rsidR="00430A5A" w:rsidRPr="00313DFD">
        <w:rPr>
          <w:rFonts w:ascii="Arial Narrow" w:hAnsi="Arial Narrow"/>
          <w:i/>
          <w:color w:val="000000" w:themeColor="text1"/>
        </w:rPr>
        <w:t>súdnej reštrukturalizácie</w:t>
      </w:r>
      <w:r w:rsidR="00313DFD" w:rsidRPr="00313DFD">
        <w:rPr>
          <w:rFonts w:ascii="Arial Narrow" w:hAnsi="Arial Narrow"/>
          <w:i/>
          <w:color w:val="000000" w:themeColor="text1"/>
        </w:rPr>
        <w:t xml:space="preserve"> a vymáhaní pohľadávok (súdne exekúcie). </w:t>
      </w:r>
    </w:p>
    <w:p w14:paraId="6408E643" w14:textId="77777777" w:rsidR="00695DEC" w:rsidRDefault="00695DEC">
      <w:pPr>
        <w:spacing w:after="0" w:line="240" w:lineRule="auto"/>
        <w:rPr>
          <w:rFonts w:ascii="Arial Narrow" w:hAnsi="Arial Narrow"/>
          <w:b/>
          <w:i/>
          <w:szCs w:val="24"/>
        </w:rPr>
      </w:pPr>
      <w:r>
        <w:rPr>
          <w:rFonts w:ascii="Arial Narrow" w:hAnsi="Arial Narrow"/>
          <w:b/>
          <w:i/>
          <w:szCs w:val="24"/>
        </w:rPr>
        <w:br w:type="page"/>
      </w:r>
    </w:p>
    <w:p w14:paraId="0FCFE389" w14:textId="27B84A58" w:rsidR="00B874CE" w:rsidRDefault="00B874CE" w:rsidP="00B874CE">
      <w:pPr>
        <w:spacing w:after="0" w:line="240" w:lineRule="auto"/>
        <w:jc w:val="both"/>
        <w:rPr>
          <w:rFonts w:ascii="Arial Narrow" w:hAnsi="Arial Narrow"/>
          <w:b/>
          <w:i/>
          <w:szCs w:val="24"/>
        </w:rPr>
      </w:pPr>
      <w:r>
        <w:rPr>
          <w:rFonts w:ascii="Arial Narrow" w:hAnsi="Arial Narrow"/>
          <w:b/>
          <w:i/>
          <w:szCs w:val="24"/>
        </w:rPr>
        <w:lastRenderedPageBreak/>
        <w:t>Verejné obstarávanie</w:t>
      </w:r>
    </w:p>
    <w:p w14:paraId="3558C7C0" w14:textId="77777777" w:rsidR="00B874CE" w:rsidRDefault="00B874CE" w:rsidP="00B874CE">
      <w:pPr>
        <w:spacing w:after="0" w:line="240" w:lineRule="auto"/>
        <w:jc w:val="both"/>
        <w:rPr>
          <w:rFonts w:ascii="Arial Narrow" w:hAnsi="Arial Narrow"/>
          <w:shd w:val="clear" w:color="auto" w:fill="FFFFFF"/>
        </w:rPr>
      </w:pPr>
      <w:r w:rsidRPr="004048D6">
        <w:rPr>
          <w:rFonts w:ascii="Arial Narrow" w:hAnsi="Arial Narrow"/>
        </w:rPr>
        <w:t xml:space="preserve">Parlamentom schválený </w:t>
      </w:r>
      <w:r>
        <w:rPr>
          <w:rFonts w:ascii="Arial Narrow" w:hAnsi="Arial Narrow"/>
        </w:rPr>
        <w:t xml:space="preserve">zákon o registri partnerov verejného sektora (tzv. </w:t>
      </w:r>
      <w:r w:rsidRPr="004048D6">
        <w:rPr>
          <w:rFonts w:ascii="Arial Narrow" w:hAnsi="Arial Narrow"/>
          <w:b/>
        </w:rPr>
        <w:t>protischránkový zákon</w:t>
      </w:r>
      <w:r w:rsidRPr="00E34E77">
        <w:rPr>
          <w:rFonts w:ascii="Arial Narrow" w:hAnsi="Arial Narrow"/>
        </w:rPr>
        <w:t>)</w:t>
      </w:r>
      <w:r w:rsidRPr="004048D6">
        <w:rPr>
          <w:rFonts w:ascii="Arial Narrow" w:hAnsi="Arial Narrow"/>
        </w:rPr>
        <w:t xml:space="preserve"> zavádza od februára  2017 pre firmy </w:t>
      </w:r>
      <w:r>
        <w:rPr>
          <w:rFonts w:ascii="Arial Narrow" w:hAnsi="Arial Narrow"/>
          <w:shd w:val="clear" w:color="auto" w:fill="FFFFFF"/>
        </w:rPr>
        <w:t xml:space="preserve">povinnosť </w:t>
      </w:r>
      <w:r w:rsidRPr="004048D6">
        <w:rPr>
          <w:rFonts w:ascii="Arial Narrow" w:hAnsi="Arial Narrow"/>
          <w:shd w:val="clear" w:color="auto" w:fill="FFFFFF"/>
        </w:rPr>
        <w:t>zverejniť vlastnícku štruktúru až na úr</w:t>
      </w:r>
      <w:r>
        <w:rPr>
          <w:rFonts w:ascii="Arial Narrow" w:hAnsi="Arial Narrow"/>
          <w:shd w:val="clear" w:color="auto" w:fill="FFFFFF"/>
        </w:rPr>
        <w:t>oveň konečného užívateľa výhod pri obchodoch so štátom.</w:t>
      </w:r>
    </w:p>
    <w:p w14:paraId="29F3E772" w14:textId="77777777" w:rsidR="00B874CE" w:rsidRPr="004048D6" w:rsidRDefault="00B874CE" w:rsidP="00B874CE">
      <w:pPr>
        <w:spacing w:after="0" w:line="240" w:lineRule="auto"/>
        <w:jc w:val="both"/>
        <w:rPr>
          <w:rFonts w:ascii="Arial Narrow" w:hAnsi="Arial Narrow"/>
          <w:shd w:val="clear" w:color="auto" w:fill="FFFFFF"/>
        </w:rPr>
      </w:pPr>
    </w:p>
    <w:p w14:paraId="1D67F53D" w14:textId="77777777" w:rsidR="00682C07" w:rsidRPr="00A94E2C" w:rsidRDefault="00682C07" w:rsidP="00FB625E">
      <w:pPr>
        <w:spacing w:after="0" w:line="240" w:lineRule="auto"/>
        <w:jc w:val="both"/>
        <w:rPr>
          <w:rFonts w:ascii="Arial Narrow" w:hAnsi="Arial Narrow"/>
          <w:b/>
          <w:i/>
          <w:szCs w:val="24"/>
        </w:rPr>
      </w:pPr>
      <w:r w:rsidRPr="00A94E2C">
        <w:rPr>
          <w:rFonts w:ascii="Arial Narrow" w:hAnsi="Arial Narrow"/>
          <w:b/>
          <w:i/>
          <w:szCs w:val="24"/>
        </w:rPr>
        <w:t>Riadenie ľudských zdrojov</w:t>
      </w:r>
    </w:p>
    <w:p w14:paraId="5BD4E93B" w14:textId="0704552D" w:rsidR="00682C07" w:rsidRDefault="00313DFD" w:rsidP="00FB625E">
      <w:pPr>
        <w:spacing w:after="0" w:line="240" w:lineRule="auto"/>
        <w:jc w:val="both"/>
        <w:rPr>
          <w:rFonts w:ascii="Arial Narrow" w:hAnsi="Arial Narrow"/>
          <w:szCs w:val="24"/>
        </w:rPr>
      </w:pPr>
      <w:r>
        <w:rPr>
          <w:rFonts w:ascii="Arial Narrow" w:hAnsi="Arial Narrow"/>
          <w:szCs w:val="24"/>
        </w:rPr>
        <w:t xml:space="preserve">Parlament vo februári 2017 schválil </w:t>
      </w:r>
      <w:r w:rsidR="00682C07">
        <w:rPr>
          <w:rFonts w:ascii="Arial Narrow" w:hAnsi="Arial Narrow"/>
          <w:szCs w:val="24"/>
        </w:rPr>
        <w:t xml:space="preserve">novelu </w:t>
      </w:r>
      <w:r w:rsidR="00682C07">
        <w:rPr>
          <w:rFonts w:ascii="Arial Narrow" w:hAnsi="Arial Narrow"/>
          <w:b/>
          <w:szCs w:val="24"/>
        </w:rPr>
        <w:t xml:space="preserve">zákona o </w:t>
      </w:r>
      <w:r w:rsidR="00682C07" w:rsidRPr="00195F57">
        <w:rPr>
          <w:rFonts w:ascii="Arial Narrow" w:hAnsi="Arial Narrow"/>
          <w:b/>
          <w:szCs w:val="24"/>
        </w:rPr>
        <w:t>štátnej službe</w:t>
      </w:r>
      <w:r w:rsidR="00A14F9D">
        <w:rPr>
          <w:rFonts w:ascii="Arial Narrow" w:hAnsi="Arial Narrow"/>
          <w:b/>
          <w:szCs w:val="24"/>
        </w:rPr>
        <w:t xml:space="preserve"> </w:t>
      </w:r>
      <w:r w:rsidR="00A14F9D" w:rsidRPr="00A14F9D">
        <w:rPr>
          <w:rFonts w:ascii="Arial Narrow" w:hAnsi="Arial Narrow"/>
          <w:szCs w:val="24"/>
        </w:rPr>
        <w:t xml:space="preserve">s účinnosťou </w:t>
      </w:r>
      <w:r w:rsidR="003B5C5D">
        <w:rPr>
          <w:rFonts w:ascii="Arial Narrow" w:hAnsi="Arial Narrow"/>
          <w:szCs w:val="24"/>
        </w:rPr>
        <w:t xml:space="preserve">od </w:t>
      </w:r>
      <w:r w:rsidR="00A14F9D" w:rsidRPr="00A14F9D">
        <w:rPr>
          <w:rFonts w:ascii="Arial Narrow" w:hAnsi="Arial Narrow"/>
          <w:szCs w:val="24"/>
        </w:rPr>
        <w:t>júna</w:t>
      </w:r>
      <w:r w:rsidR="00863AB3">
        <w:rPr>
          <w:rFonts w:ascii="Arial Narrow" w:hAnsi="Arial Narrow"/>
          <w:szCs w:val="24"/>
        </w:rPr>
        <w:t xml:space="preserve"> 2017</w:t>
      </w:r>
      <w:r w:rsidR="00682C07">
        <w:rPr>
          <w:rFonts w:ascii="Arial Narrow" w:hAnsi="Arial Narrow"/>
          <w:szCs w:val="24"/>
        </w:rPr>
        <w:t xml:space="preserve">. Nová legislatíva sa zameriava na zvýšenie transparentnosti a efektívnosti pri prijímaní </w:t>
      </w:r>
      <w:r w:rsidR="00682C07" w:rsidRPr="00195F57">
        <w:rPr>
          <w:rFonts w:ascii="Arial Narrow" w:hAnsi="Arial Narrow"/>
          <w:szCs w:val="24"/>
        </w:rPr>
        <w:t>štá</w:t>
      </w:r>
      <w:r w:rsidR="00682C07">
        <w:rPr>
          <w:rFonts w:ascii="Arial Narrow" w:hAnsi="Arial Narrow"/>
          <w:szCs w:val="24"/>
        </w:rPr>
        <w:t>tnych zamestnancov, zvýšenie stability štátnozamestnaneckých miest ich odpolitizovaním</w:t>
      </w:r>
      <w:r w:rsidR="00682C07" w:rsidRPr="00195F57">
        <w:rPr>
          <w:rFonts w:ascii="Arial Narrow" w:hAnsi="Arial Narrow"/>
          <w:szCs w:val="24"/>
        </w:rPr>
        <w:t xml:space="preserve">, </w:t>
      </w:r>
      <w:r w:rsidR="00682C07">
        <w:rPr>
          <w:rFonts w:ascii="Arial Narrow" w:hAnsi="Arial Narrow"/>
          <w:szCs w:val="24"/>
        </w:rPr>
        <w:t xml:space="preserve">či hodnotenie výkonnosti a </w:t>
      </w:r>
      <w:r w:rsidR="00682C07" w:rsidRPr="00195F57">
        <w:rPr>
          <w:rFonts w:ascii="Arial Narrow" w:hAnsi="Arial Narrow"/>
          <w:szCs w:val="24"/>
        </w:rPr>
        <w:t>odmeňovanie v štátnej službe.</w:t>
      </w:r>
      <w:r w:rsidR="00682C07">
        <w:rPr>
          <w:rFonts w:ascii="Arial Narrow" w:hAnsi="Arial Narrow"/>
          <w:szCs w:val="24"/>
        </w:rPr>
        <w:t xml:space="preserve"> Zriaďuje sa tiež centrálny informačný systém štátnej služby pre lepšie plánovanie a riadenie ľudských zdrojov.</w:t>
      </w:r>
    </w:p>
    <w:p w14:paraId="6A4BC877" w14:textId="77777777" w:rsidR="000940CA" w:rsidRDefault="000940CA" w:rsidP="00BD0D18">
      <w:pPr>
        <w:spacing w:after="0" w:line="240" w:lineRule="auto"/>
        <w:jc w:val="both"/>
        <w:rPr>
          <w:rFonts w:ascii="Arial Narrow" w:hAnsi="Arial Narrow"/>
        </w:rPr>
      </w:pPr>
    </w:p>
    <w:p w14:paraId="785672A4" w14:textId="658D6BEB" w:rsidR="000940CA" w:rsidRPr="000940CA" w:rsidRDefault="000940CA" w:rsidP="00BD0D18">
      <w:pPr>
        <w:spacing w:after="0" w:line="240" w:lineRule="auto"/>
        <w:jc w:val="both"/>
        <w:rPr>
          <w:rFonts w:ascii="Arial Narrow" w:hAnsi="Arial Narrow"/>
          <w:b/>
          <w:i/>
        </w:rPr>
      </w:pPr>
      <w:r w:rsidRPr="000940CA">
        <w:rPr>
          <w:rFonts w:ascii="Arial Narrow" w:hAnsi="Arial Narrow"/>
          <w:b/>
          <w:i/>
        </w:rPr>
        <w:t>Súdnictvo</w:t>
      </w:r>
    </w:p>
    <w:p w14:paraId="7374C991" w14:textId="39223A7E" w:rsidR="007F149B" w:rsidRDefault="00BD0D18" w:rsidP="007F149B">
      <w:pPr>
        <w:spacing w:after="0" w:line="240" w:lineRule="auto"/>
        <w:jc w:val="both"/>
        <w:rPr>
          <w:rFonts w:ascii="Arial Narrow" w:hAnsi="Arial Narrow"/>
        </w:rPr>
      </w:pPr>
      <w:r>
        <w:rPr>
          <w:rFonts w:ascii="Arial Narrow" w:hAnsi="Arial Narrow"/>
        </w:rPr>
        <w:t xml:space="preserve">Novela </w:t>
      </w:r>
      <w:r w:rsidR="00682C07">
        <w:rPr>
          <w:rFonts w:ascii="Arial Narrow" w:hAnsi="Arial Narrow"/>
        </w:rPr>
        <w:t xml:space="preserve">zákona o konkurze a reštrukturalizácii (tzv. bankrotový zákon) znižuje od marca 2017 náklady spojené so začatím konania o </w:t>
      </w:r>
      <w:r w:rsidR="00682C07">
        <w:rPr>
          <w:rFonts w:ascii="Arial Narrow" w:hAnsi="Arial Narrow"/>
          <w:b/>
        </w:rPr>
        <w:t>osobnom</w:t>
      </w:r>
      <w:r w:rsidR="00682C07" w:rsidRPr="00195F57">
        <w:rPr>
          <w:rFonts w:ascii="Arial Narrow" w:hAnsi="Arial Narrow"/>
          <w:b/>
        </w:rPr>
        <w:t xml:space="preserve"> bankrot</w:t>
      </w:r>
      <w:r w:rsidR="00682C07">
        <w:rPr>
          <w:rFonts w:ascii="Arial Narrow" w:hAnsi="Arial Narrow"/>
          <w:b/>
        </w:rPr>
        <w:t>e</w:t>
      </w:r>
      <w:r>
        <w:rPr>
          <w:rFonts w:ascii="Arial Narrow" w:hAnsi="Arial Narrow"/>
        </w:rPr>
        <w:t xml:space="preserve">. Nová legislatíva zvyšuje dostupnosť nástroja na vymanenie sa z dlhovej pasce aj pre fyzické osoby bez príjmu a majetku, vrátane ochrany </w:t>
      </w:r>
      <w:r w:rsidR="00682C07" w:rsidRPr="00737CD8">
        <w:rPr>
          <w:rFonts w:ascii="Arial Narrow" w:hAnsi="Arial Narrow"/>
        </w:rPr>
        <w:t>pred úplnou stratou bývania.</w:t>
      </w:r>
      <w:r>
        <w:rPr>
          <w:rFonts w:ascii="Arial Narrow" w:hAnsi="Arial Narrow"/>
        </w:rPr>
        <w:t xml:space="preserve"> Zároveň </w:t>
      </w:r>
      <w:r w:rsidR="00140026" w:rsidRPr="00140026">
        <w:rPr>
          <w:rFonts w:ascii="Arial Narrow" w:hAnsi="Arial Narrow"/>
        </w:rPr>
        <w:t>nijako neznižuje uspokojenie opráv</w:t>
      </w:r>
      <w:r>
        <w:rPr>
          <w:rFonts w:ascii="Arial Narrow" w:hAnsi="Arial Narrow"/>
        </w:rPr>
        <w:t xml:space="preserve">nených nárokov veriteľov. </w:t>
      </w:r>
      <w:r w:rsidR="0064702A" w:rsidRPr="0064702A">
        <w:rPr>
          <w:rFonts w:ascii="Arial Narrow" w:hAnsi="Arial Narrow"/>
        </w:rPr>
        <w:t>Dlžníkom bude poskytovaná právna pomoc Centra právnej pomoci.</w:t>
      </w:r>
    </w:p>
    <w:p w14:paraId="0F686112" w14:textId="77777777" w:rsidR="00082848" w:rsidRDefault="00082848" w:rsidP="00082848">
      <w:pPr>
        <w:spacing w:after="0" w:line="240" w:lineRule="auto"/>
        <w:jc w:val="both"/>
        <w:rPr>
          <w:rFonts w:ascii="Arial Narrow" w:hAnsi="Arial Narrow"/>
        </w:rPr>
      </w:pPr>
    </w:p>
    <w:p w14:paraId="6E61D529" w14:textId="2E0B2B29" w:rsidR="00082848" w:rsidRDefault="00082848" w:rsidP="00082848">
      <w:pPr>
        <w:spacing w:after="0" w:line="240" w:lineRule="auto"/>
        <w:jc w:val="both"/>
        <w:rPr>
          <w:rFonts w:ascii="Arial Narrow" w:hAnsi="Arial Narrow"/>
        </w:rPr>
      </w:pPr>
      <w:r>
        <w:rPr>
          <w:rFonts w:ascii="Arial Narrow" w:hAnsi="Arial Narrow"/>
        </w:rPr>
        <w:t xml:space="preserve">V novembri 2016 parlament schválil zmeny v </w:t>
      </w:r>
      <w:r w:rsidRPr="00CE248B">
        <w:rPr>
          <w:rFonts w:ascii="Arial Narrow" w:hAnsi="Arial Narrow"/>
          <w:b/>
        </w:rPr>
        <w:t>exekučnom konaní</w:t>
      </w:r>
      <w:r>
        <w:rPr>
          <w:rFonts w:ascii="Arial Narrow" w:hAnsi="Arial Narrow"/>
        </w:rPr>
        <w:t xml:space="preserve">, ktoré umožnia zrýchliť procesy vo vymáhaní pohľadávok. Novelou Exekučného poriadku sa zavádza </w:t>
      </w:r>
      <w:r w:rsidR="00695DEC">
        <w:rPr>
          <w:rFonts w:ascii="Arial Narrow" w:hAnsi="Arial Narrow"/>
        </w:rPr>
        <w:t xml:space="preserve">náhodný výber exekútora za účelom posilnenia </w:t>
      </w:r>
      <w:r w:rsidRPr="00CE248B">
        <w:rPr>
          <w:rFonts w:ascii="Arial Narrow" w:hAnsi="Arial Narrow"/>
        </w:rPr>
        <w:t>jeho nezávislosti v exekučnom konaní, paušálne odmeňovanie exekútorov, posilní sa význam elektronickej komunikácie a centrálneho registra exekúcií pre transparentnosť exekučného konania.</w:t>
      </w:r>
      <w:r>
        <w:rPr>
          <w:rFonts w:ascii="Arial Narrow" w:hAnsi="Arial Narrow"/>
        </w:rPr>
        <w:t xml:space="preserve"> Zmeny by mali tiež odbremeniť súdy od preby</w:t>
      </w:r>
      <w:r w:rsidR="00736AA2">
        <w:rPr>
          <w:rFonts w:ascii="Arial Narrow" w:hAnsi="Arial Narrow"/>
        </w:rPr>
        <w:t xml:space="preserve">točných výkonov v tejto oblasti, keďže jednou z kľúčových </w:t>
      </w:r>
      <w:r w:rsidRPr="00140026">
        <w:rPr>
          <w:rFonts w:ascii="Arial Narrow" w:hAnsi="Arial Narrow"/>
        </w:rPr>
        <w:t>zmien novej právnej úpravy</w:t>
      </w:r>
      <w:r w:rsidR="00736AA2">
        <w:rPr>
          <w:rFonts w:ascii="Arial Narrow" w:hAnsi="Arial Narrow"/>
        </w:rPr>
        <w:t xml:space="preserve"> </w:t>
      </w:r>
      <w:r w:rsidR="00E31D07">
        <w:rPr>
          <w:rFonts w:ascii="Arial Narrow" w:hAnsi="Arial Narrow"/>
        </w:rPr>
        <w:t xml:space="preserve">je aj </w:t>
      </w:r>
      <w:r w:rsidRPr="00405653">
        <w:rPr>
          <w:rFonts w:ascii="Arial Narrow" w:hAnsi="Arial Narrow"/>
        </w:rPr>
        <w:t>zriadenie jediného</w:t>
      </w:r>
      <w:r w:rsidRPr="00140026">
        <w:rPr>
          <w:rFonts w:ascii="Arial Narrow" w:hAnsi="Arial Narrow"/>
          <w:b/>
        </w:rPr>
        <w:t xml:space="preserve"> exekučného súdu</w:t>
      </w:r>
      <w:r>
        <w:rPr>
          <w:rFonts w:ascii="Arial Narrow" w:hAnsi="Arial Narrow"/>
        </w:rPr>
        <w:t xml:space="preserve"> na Slovensku. </w:t>
      </w:r>
      <w:r w:rsidRPr="00140026">
        <w:rPr>
          <w:rFonts w:ascii="Arial Narrow" w:hAnsi="Arial Narrow"/>
        </w:rPr>
        <w:t>Nové pracovisko zabezpečí úzku špecializáciu sudcov a ostatných zamestnancov súdu</w:t>
      </w:r>
      <w:r w:rsidR="00695DEC">
        <w:rPr>
          <w:rFonts w:ascii="Arial Narrow" w:hAnsi="Arial Narrow"/>
        </w:rPr>
        <w:t xml:space="preserve"> na vybavovanie exekučných vecí, </w:t>
      </w:r>
      <w:r w:rsidRPr="00140026">
        <w:rPr>
          <w:rFonts w:ascii="Arial Narrow" w:hAnsi="Arial Narrow"/>
        </w:rPr>
        <w:t xml:space="preserve">a tým aj kvalifikované a rýchle rozhodovanie. </w:t>
      </w:r>
    </w:p>
    <w:p w14:paraId="55CA6E49" w14:textId="77777777" w:rsidR="007B307E" w:rsidRDefault="007B307E" w:rsidP="00082848">
      <w:pPr>
        <w:spacing w:after="0" w:line="240" w:lineRule="auto"/>
        <w:jc w:val="both"/>
        <w:rPr>
          <w:rFonts w:ascii="Arial Narrow" w:hAnsi="Arial Narrow"/>
        </w:rPr>
      </w:pPr>
    </w:p>
    <w:p w14:paraId="54A3DE46" w14:textId="7998426B" w:rsidR="000940CA" w:rsidRPr="000940CA" w:rsidRDefault="000940CA" w:rsidP="00082848">
      <w:pPr>
        <w:spacing w:after="0" w:line="240" w:lineRule="auto"/>
        <w:jc w:val="both"/>
        <w:rPr>
          <w:rFonts w:ascii="Arial Narrow" w:hAnsi="Arial Narrow"/>
          <w:b/>
          <w:i/>
        </w:rPr>
      </w:pPr>
      <w:r w:rsidRPr="000940CA">
        <w:rPr>
          <w:rFonts w:ascii="Arial Narrow" w:hAnsi="Arial Narrow"/>
          <w:b/>
          <w:i/>
        </w:rPr>
        <w:t>Podnikateľské prostredie</w:t>
      </w:r>
    </w:p>
    <w:p w14:paraId="2B6E7AC8" w14:textId="59D5958C" w:rsidR="007B307E" w:rsidRDefault="000940CA" w:rsidP="000940CA">
      <w:pPr>
        <w:spacing w:after="0" w:line="240" w:lineRule="auto"/>
        <w:jc w:val="both"/>
        <w:rPr>
          <w:rFonts w:ascii="Arial Narrow" w:hAnsi="Arial Narrow"/>
        </w:rPr>
      </w:pPr>
      <w:r>
        <w:rPr>
          <w:rFonts w:ascii="Arial Narrow" w:hAnsi="Arial Narrow"/>
        </w:rPr>
        <w:t xml:space="preserve">Zmeny v </w:t>
      </w:r>
      <w:r w:rsidRPr="00CE248B">
        <w:rPr>
          <w:rFonts w:ascii="Arial Narrow" w:hAnsi="Arial Narrow"/>
          <w:b/>
        </w:rPr>
        <w:t>procese súdnej reštrukturalizácie</w:t>
      </w:r>
      <w:r>
        <w:rPr>
          <w:rFonts w:ascii="Arial Narrow" w:hAnsi="Arial Narrow"/>
          <w:b/>
        </w:rPr>
        <w:t xml:space="preserve"> </w:t>
      </w:r>
      <w:r w:rsidRPr="00A14F9D">
        <w:rPr>
          <w:rFonts w:ascii="Arial Narrow" w:hAnsi="Arial Narrow"/>
        </w:rPr>
        <w:t xml:space="preserve">(novela zákona o konkurze a reštrukturalizácii) </w:t>
      </w:r>
      <w:r>
        <w:rPr>
          <w:rFonts w:ascii="Arial Narrow" w:hAnsi="Arial Narrow"/>
        </w:rPr>
        <w:t>budú mať pozitívny vplyv aj na podnikateľské prostredie pri definovaní vzťahov medzi dlžníkmi a veriteľmi</w:t>
      </w:r>
      <w:r w:rsidRPr="00CE248B">
        <w:rPr>
          <w:rFonts w:ascii="Arial Narrow" w:hAnsi="Arial Narrow"/>
        </w:rPr>
        <w:t xml:space="preserve">. Novela </w:t>
      </w:r>
      <w:r>
        <w:rPr>
          <w:rFonts w:ascii="Arial Narrow" w:hAnsi="Arial Narrow"/>
        </w:rPr>
        <w:t xml:space="preserve">tzv. </w:t>
      </w:r>
      <w:r w:rsidRPr="00CE248B">
        <w:rPr>
          <w:rFonts w:ascii="Arial Narrow" w:hAnsi="Arial Narrow"/>
        </w:rPr>
        <w:t>bankrotového zákona od marca 2017 v praxi ruší možnosť odpustenia viac ako polovice dlhov a upravuje splatnosť zvyšku dlhu do 5 rokov v</w:t>
      </w:r>
      <w:r w:rsidR="00C23150">
        <w:rPr>
          <w:rFonts w:ascii="Arial Narrow" w:hAnsi="Arial Narrow"/>
        </w:rPr>
        <w:t xml:space="preserve"> procese reštrukturalizácie </w:t>
      </w:r>
      <w:r w:rsidRPr="00CE248B">
        <w:rPr>
          <w:rFonts w:ascii="Arial Narrow" w:hAnsi="Arial Narrow"/>
        </w:rPr>
        <w:t>firiem, pokiaľ by nešlo</w:t>
      </w:r>
      <w:r>
        <w:rPr>
          <w:rFonts w:ascii="Arial Narrow" w:hAnsi="Arial Narrow"/>
        </w:rPr>
        <w:t xml:space="preserve"> o dobrovoľný súhlas veriteľov.</w:t>
      </w:r>
    </w:p>
    <w:p w14:paraId="3014ACB4" w14:textId="77777777" w:rsidR="00121D57" w:rsidRDefault="00121D57" w:rsidP="000940CA">
      <w:pPr>
        <w:spacing w:after="0" w:line="240" w:lineRule="auto"/>
        <w:jc w:val="both"/>
        <w:rPr>
          <w:rFonts w:ascii="Arial Narrow" w:hAnsi="Arial Narrow"/>
        </w:rPr>
      </w:pPr>
    </w:p>
    <w:p w14:paraId="24322F89" w14:textId="2C25BC80" w:rsidR="00121D57" w:rsidRDefault="00121D57" w:rsidP="000940CA">
      <w:pPr>
        <w:spacing w:after="0" w:line="240" w:lineRule="auto"/>
        <w:jc w:val="both"/>
        <w:rPr>
          <w:rFonts w:ascii="Arial Narrow" w:hAnsi="Arial Narrow"/>
        </w:rPr>
      </w:pPr>
      <w:r>
        <w:rPr>
          <w:rFonts w:ascii="Arial Narrow" w:hAnsi="Arial Narrow"/>
        </w:rPr>
        <w:t xml:space="preserve">Pre zjednodušenie administratívy platenia daní sa od januára 2016 </w:t>
      </w:r>
      <w:r w:rsidRPr="00121D57">
        <w:rPr>
          <w:rFonts w:ascii="Arial Narrow" w:hAnsi="Arial Narrow"/>
        </w:rPr>
        <w:t xml:space="preserve">uplatňuje </w:t>
      </w:r>
      <w:r w:rsidRPr="00285312">
        <w:rPr>
          <w:rFonts w:ascii="Arial Narrow" w:hAnsi="Arial Narrow"/>
          <w:b/>
        </w:rPr>
        <w:t>obojsmerná elektronická komunikácia</w:t>
      </w:r>
      <w:r w:rsidRPr="00121D57">
        <w:rPr>
          <w:rFonts w:ascii="Arial Narrow" w:hAnsi="Arial Narrow"/>
        </w:rPr>
        <w:t xml:space="preserve"> vo vzťahu k podnikateľským subjektom v oblasti správy spotrebných daní.</w:t>
      </w:r>
    </w:p>
    <w:p w14:paraId="3B9515F9" w14:textId="77777777" w:rsidR="007B307E" w:rsidRDefault="007B307E" w:rsidP="000940CA">
      <w:pPr>
        <w:spacing w:after="0" w:line="240" w:lineRule="auto"/>
        <w:jc w:val="both"/>
        <w:rPr>
          <w:rFonts w:ascii="Arial Narrow" w:hAnsi="Arial Narrow"/>
        </w:rPr>
      </w:pPr>
    </w:p>
    <w:p w14:paraId="5A632020" w14:textId="77777777" w:rsidR="00AF2225" w:rsidRDefault="00AF2225" w:rsidP="00AF2225">
      <w:pPr>
        <w:spacing w:after="0" w:line="240" w:lineRule="auto"/>
        <w:jc w:val="both"/>
        <w:rPr>
          <w:rFonts w:ascii="Arial Narrow" w:hAnsi="Arial Narrow"/>
          <w:b/>
          <w:i/>
        </w:rPr>
      </w:pPr>
      <w:r w:rsidRPr="007B307E">
        <w:rPr>
          <w:rFonts w:ascii="Arial Narrow" w:hAnsi="Arial Narrow"/>
          <w:b/>
          <w:i/>
        </w:rPr>
        <w:t>Informatizácia verejnej správy</w:t>
      </w:r>
    </w:p>
    <w:p w14:paraId="6178B68A" w14:textId="62886283" w:rsidR="007B307E" w:rsidRDefault="00DF32C2" w:rsidP="000940CA">
      <w:pPr>
        <w:spacing w:after="0" w:line="240" w:lineRule="auto"/>
        <w:jc w:val="both"/>
        <w:rPr>
          <w:rFonts w:ascii="Arial Narrow" w:hAnsi="Arial Narrow"/>
        </w:rPr>
      </w:pPr>
      <w:r>
        <w:rPr>
          <w:rFonts w:ascii="Arial Narrow" w:hAnsi="Arial Narrow"/>
        </w:rPr>
        <w:t xml:space="preserve">V rámci projeku </w:t>
      </w:r>
      <w:r w:rsidRPr="00DF32C2">
        <w:rPr>
          <w:rFonts w:ascii="Arial Narrow" w:hAnsi="Arial Narrow"/>
          <w:i/>
        </w:rPr>
        <w:t>Hodnota za peniaze</w:t>
      </w:r>
      <w:r>
        <w:rPr>
          <w:rFonts w:ascii="Arial Narrow" w:hAnsi="Arial Narrow"/>
        </w:rPr>
        <w:t xml:space="preserve"> </w:t>
      </w:r>
      <w:r w:rsidR="00AF2225">
        <w:rPr>
          <w:rFonts w:ascii="Arial Narrow" w:hAnsi="Arial Narrow"/>
        </w:rPr>
        <w:t xml:space="preserve">prebehla </w:t>
      </w:r>
      <w:r>
        <w:rPr>
          <w:rFonts w:ascii="Arial Narrow" w:hAnsi="Arial Narrow"/>
        </w:rPr>
        <w:t xml:space="preserve">v roku 2016 </w:t>
      </w:r>
      <w:r w:rsidR="00AF2225" w:rsidRPr="006153B6">
        <w:rPr>
          <w:rFonts w:ascii="Arial Narrow" w:hAnsi="Arial Narrow"/>
          <w:b/>
        </w:rPr>
        <w:t>revízia výdavkov v</w:t>
      </w:r>
      <w:r w:rsidRPr="006153B6">
        <w:rPr>
          <w:rFonts w:ascii="Arial Narrow" w:hAnsi="Arial Narrow"/>
          <w:b/>
        </w:rPr>
        <w:t xml:space="preserve"> oblasti </w:t>
      </w:r>
      <w:r w:rsidR="00AF2225" w:rsidRPr="006153B6">
        <w:rPr>
          <w:rFonts w:ascii="Arial Narrow" w:hAnsi="Arial Narrow"/>
          <w:b/>
        </w:rPr>
        <w:t>info</w:t>
      </w:r>
      <w:r w:rsidRPr="006153B6">
        <w:rPr>
          <w:rFonts w:ascii="Arial Narrow" w:hAnsi="Arial Narrow"/>
          <w:b/>
        </w:rPr>
        <w:t>rmatizácie</w:t>
      </w:r>
      <w:r>
        <w:rPr>
          <w:rFonts w:ascii="Arial Narrow" w:hAnsi="Arial Narrow"/>
        </w:rPr>
        <w:t xml:space="preserve"> verejnej správy. </w:t>
      </w:r>
      <w:r w:rsidR="00AF2225" w:rsidRPr="00AF2225">
        <w:rPr>
          <w:rFonts w:ascii="Arial Narrow" w:hAnsi="Arial Narrow"/>
        </w:rPr>
        <w:t xml:space="preserve">Záverečná správa identifikovala priame úspory vo výške približne 5 až 9 % IT výdavkov na rok </w:t>
      </w:r>
      <w:r w:rsidR="00C23150">
        <w:rPr>
          <w:rFonts w:ascii="Arial Narrow" w:hAnsi="Arial Narrow"/>
        </w:rPr>
        <w:t xml:space="preserve">2017 (22 až 40 mil. eur ročne) </w:t>
      </w:r>
      <w:r w:rsidR="00CB32AE">
        <w:rPr>
          <w:rFonts w:ascii="Arial Narrow" w:hAnsi="Arial Narrow"/>
        </w:rPr>
        <w:t xml:space="preserve">zavedením </w:t>
      </w:r>
      <w:r w:rsidR="00C23150">
        <w:rPr>
          <w:rFonts w:ascii="Arial Narrow" w:hAnsi="Arial Narrow"/>
        </w:rPr>
        <w:t>centralizácie</w:t>
      </w:r>
      <w:r w:rsidR="00AF2225" w:rsidRPr="00AF2225">
        <w:rPr>
          <w:rFonts w:ascii="Arial Narrow" w:hAnsi="Arial Narrow"/>
        </w:rPr>
        <w:t xml:space="preserve"> podporných služieb ako sú telekomunikácie a konektivita, licencie produktov Microsoft a efektívnej</w:t>
      </w:r>
      <w:r w:rsidR="00AF2225">
        <w:rPr>
          <w:rFonts w:ascii="Arial Narrow" w:hAnsi="Arial Narrow"/>
        </w:rPr>
        <w:t xml:space="preserve">šie využívanie vládneho cloudu. </w:t>
      </w:r>
    </w:p>
    <w:p w14:paraId="38F97505" w14:textId="77777777" w:rsidR="00AF2225" w:rsidRDefault="00AF2225" w:rsidP="000940CA">
      <w:pPr>
        <w:spacing w:after="0" w:line="240" w:lineRule="auto"/>
        <w:jc w:val="both"/>
        <w:rPr>
          <w:rFonts w:ascii="Arial Narrow" w:hAnsi="Arial Narrow"/>
        </w:rPr>
      </w:pPr>
    </w:p>
    <w:p w14:paraId="258BF665" w14:textId="2DF28A9C" w:rsidR="00285312" w:rsidRDefault="00AF2225" w:rsidP="000940CA">
      <w:pPr>
        <w:spacing w:after="0" w:line="240" w:lineRule="auto"/>
        <w:jc w:val="both"/>
        <w:rPr>
          <w:rFonts w:ascii="Arial Narrow" w:hAnsi="Arial Narrow"/>
        </w:rPr>
      </w:pPr>
      <w:r w:rsidRPr="00AF2225">
        <w:rPr>
          <w:rFonts w:ascii="Arial Narrow" w:hAnsi="Arial Narrow"/>
        </w:rPr>
        <w:t>V roku 2016 prešli kompetencie pre oblasť informatizácie spoločnosti z</w:t>
      </w:r>
      <w:r w:rsidR="00DF32C2">
        <w:rPr>
          <w:rFonts w:ascii="Arial Narrow" w:hAnsi="Arial Narrow"/>
        </w:rPr>
        <w:t xml:space="preserve"> </w:t>
      </w:r>
      <w:r>
        <w:rPr>
          <w:rFonts w:ascii="Arial Narrow" w:hAnsi="Arial Narrow"/>
        </w:rPr>
        <w:t xml:space="preserve">MF </w:t>
      </w:r>
      <w:r w:rsidRPr="00AF2225">
        <w:rPr>
          <w:rFonts w:ascii="Arial Narrow" w:hAnsi="Arial Narrow"/>
        </w:rPr>
        <w:t>SR na novo zriadený Úrad podpredsedu vlády SR pre investície a</w:t>
      </w:r>
      <w:r>
        <w:rPr>
          <w:rFonts w:ascii="Arial Narrow" w:hAnsi="Arial Narrow"/>
        </w:rPr>
        <w:t> </w:t>
      </w:r>
      <w:r w:rsidRPr="00AF2225">
        <w:rPr>
          <w:rFonts w:ascii="Arial Narrow" w:hAnsi="Arial Narrow"/>
        </w:rPr>
        <w:t>informatizáciu</w:t>
      </w:r>
      <w:r>
        <w:rPr>
          <w:rFonts w:ascii="Arial Narrow" w:hAnsi="Arial Narrow"/>
        </w:rPr>
        <w:t xml:space="preserve"> (ÚPVII). V</w:t>
      </w:r>
      <w:r w:rsidRPr="00AF2225">
        <w:rPr>
          <w:rFonts w:ascii="Arial Narrow" w:hAnsi="Arial Narrow"/>
        </w:rPr>
        <w:t>láda v septembri 2016 schválila Národnú koncepciu informatizácie verejnej správy</w:t>
      </w:r>
      <w:r w:rsidR="003F5541">
        <w:rPr>
          <w:rFonts w:ascii="Arial Narrow" w:hAnsi="Arial Narrow"/>
        </w:rPr>
        <w:t xml:space="preserve"> (NKIVS)</w:t>
      </w:r>
      <w:r w:rsidRPr="00AF2225">
        <w:rPr>
          <w:rFonts w:ascii="Arial Narrow" w:hAnsi="Arial Narrow"/>
        </w:rPr>
        <w:t>, kľúčový dokument stanovujúci centrálnu architektúru a centrálne komponenty architektúry integrovaného informačného systému verejnej správy, ako aj pravidlá pre tvorbu informačný</w:t>
      </w:r>
      <w:r>
        <w:rPr>
          <w:rFonts w:ascii="Arial Narrow" w:hAnsi="Arial Narrow"/>
        </w:rPr>
        <w:t xml:space="preserve">ch systémov. </w:t>
      </w:r>
      <w:r w:rsidR="003F5541">
        <w:rPr>
          <w:rFonts w:ascii="Arial Narrow" w:hAnsi="Arial Narrow"/>
        </w:rPr>
        <w:t xml:space="preserve">Vo februári 2017 boli schválené štyri z desiatich strategických priorít NKIVS v samostatných riadiacich dokumentoch – </w:t>
      </w:r>
      <w:r w:rsidR="003F5541" w:rsidRPr="003F5541">
        <w:rPr>
          <w:rFonts w:ascii="Arial Narrow" w:hAnsi="Arial Narrow"/>
          <w:i/>
        </w:rPr>
        <w:t>Vládny cloud</w:t>
      </w:r>
      <w:r w:rsidR="003F5541">
        <w:rPr>
          <w:rFonts w:ascii="Arial Narrow" w:hAnsi="Arial Narrow"/>
        </w:rPr>
        <w:t xml:space="preserve">, </w:t>
      </w:r>
      <w:r w:rsidR="003F5541" w:rsidRPr="003F5541">
        <w:rPr>
          <w:rFonts w:ascii="Arial Narrow" w:hAnsi="Arial Narrow"/>
          <w:i/>
        </w:rPr>
        <w:t>Manažment údajov</w:t>
      </w:r>
      <w:r w:rsidR="003F5541">
        <w:rPr>
          <w:rFonts w:ascii="Arial Narrow" w:hAnsi="Arial Narrow"/>
        </w:rPr>
        <w:t xml:space="preserve">, </w:t>
      </w:r>
      <w:r w:rsidR="003F5541" w:rsidRPr="003F5541">
        <w:rPr>
          <w:rFonts w:ascii="Arial Narrow" w:hAnsi="Arial Narrow"/>
          <w:i/>
        </w:rPr>
        <w:t>Multikanálový prístup</w:t>
      </w:r>
      <w:r w:rsidR="003F5541">
        <w:rPr>
          <w:rFonts w:ascii="Arial Narrow" w:hAnsi="Arial Narrow"/>
        </w:rPr>
        <w:t xml:space="preserve"> a </w:t>
      </w:r>
      <w:r w:rsidR="003F5541" w:rsidRPr="003F5541">
        <w:rPr>
          <w:rFonts w:ascii="Arial Narrow" w:hAnsi="Arial Narrow"/>
          <w:i/>
        </w:rPr>
        <w:t>Integrácia a orchestrácia</w:t>
      </w:r>
      <w:r w:rsidR="003F5541">
        <w:rPr>
          <w:rStyle w:val="Odkaznapoznmkupodiarou"/>
          <w:rFonts w:ascii="Arial Narrow" w:hAnsi="Arial Narrow"/>
          <w:i/>
        </w:rPr>
        <w:footnoteReference w:id="8"/>
      </w:r>
      <w:r w:rsidR="003F5541">
        <w:rPr>
          <w:rFonts w:ascii="Arial Narrow" w:hAnsi="Arial Narrow"/>
        </w:rPr>
        <w:t>. Ostatné priority t</w:t>
      </w:r>
      <w:r>
        <w:rPr>
          <w:rFonts w:ascii="Arial Narrow" w:hAnsi="Arial Narrow"/>
        </w:rPr>
        <w:t>émy</w:t>
      </w:r>
      <w:r w:rsidR="003F5541">
        <w:rPr>
          <w:rFonts w:ascii="Arial Narrow" w:hAnsi="Arial Narrow"/>
        </w:rPr>
        <w:t xml:space="preserve"> NKIVS</w:t>
      </w:r>
      <w:r>
        <w:rPr>
          <w:rFonts w:ascii="Arial Narrow" w:hAnsi="Arial Narrow"/>
        </w:rPr>
        <w:t xml:space="preserve"> budú </w:t>
      </w:r>
      <w:r w:rsidRPr="00AF2225">
        <w:rPr>
          <w:rFonts w:ascii="Arial Narrow" w:hAnsi="Arial Narrow"/>
        </w:rPr>
        <w:t xml:space="preserve">rozpracované v </w:t>
      </w:r>
      <w:r w:rsidR="003F5541">
        <w:rPr>
          <w:rFonts w:ascii="Arial Narrow" w:hAnsi="Arial Narrow"/>
        </w:rPr>
        <w:t>priebehu roku 2017</w:t>
      </w:r>
      <w:r w:rsidRPr="00AF2225">
        <w:rPr>
          <w:rFonts w:ascii="Arial Narrow" w:hAnsi="Arial Narrow"/>
        </w:rPr>
        <w:t>.</w:t>
      </w:r>
    </w:p>
    <w:p w14:paraId="419F336B" w14:textId="138479BF" w:rsidR="00285312" w:rsidRPr="00285312" w:rsidRDefault="004961D7" w:rsidP="00285312">
      <w:pPr>
        <w:spacing w:after="0" w:line="240" w:lineRule="auto"/>
        <w:rPr>
          <w:rFonts w:ascii="Arial Narrow" w:hAnsi="Arial Narrow"/>
        </w:rPr>
      </w:pPr>
      <w:r>
        <w:rPr>
          <w:rFonts w:ascii="Arial Narrow" w:hAnsi="Arial Narrow"/>
        </w:rPr>
        <w:br w:type="page"/>
      </w:r>
    </w:p>
    <w:p w14:paraId="098E8140" w14:textId="276F32AF" w:rsidR="00682C07" w:rsidRPr="00A94E2C" w:rsidRDefault="00682C07" w:rsidP="00FB625E">
      <w:pPr>
        <w:pStyle w:val="Odsekzoznamu"/>
        <w:numPr>
          <w:ilvl w:val="0"/>
          <w:numId w:val="19"/>
        </w:numPr>
        <w:spacing w:after="0" w:line="240" w:lineRule="auto"/>
        <w:ind w:left="357" w:hanging="357"/>
        <w:jc w:val="both"/>
        <w:rPr>
          <w:rFonts w:ascii="Arial Narrow" w:hAnsi="Arial Narrow"/>
          <w:b/>
          <w:sz w:val="24"/>
          <w:szCs w:val="24"/>
        </w:rPr>
      </w:pPr>
      <w:r w:rsidRPr="00A94E2C">
        <w:rPr>
          <w:rFonts w:ascii="Arial Narrow" w:hAnsi="Arial Narrow"/>
          <w:b/>
          <w:sz w:val="24"/>
          <w:szCs w:val="24"/>
        </w:rPr>
        <w:lastRenderedPageBreak/>
        <w:t>Pokrok v iných oblastiach</w:t>
      </w:r>
    </w:p>
    <w:p w14:paraId="18EA89A4" w14:textId="77777777" w:rsidR="00393DAB" w:rsidRDefault="00393DAB" w:rsidP="00FB625E">
      <w:pPr>
        <w:spacing w:after="0" w:line="240" w:lineRule="auto"/>
        <w:jc w:val="both"/>
        <w:rPr>
          <w:rFonts w:ascii="Arial Narrow" w:hAnsi="Arial Narrow"/>
          <w:b/>
          <w:sz w:val="24"/>
          <w:szCs w:val="24"/>
        </w:rPr>
      </w:pPr>
    </w:p>
    <w:p w14:paraId="43417851" w14:textId="49F027D1" w:rsidR="00B37F77" w:rsidRDefault="00682C07" w:rsidP="0072482D">
      <w:pPr>
        <w:spacing w:after="0" w:line="240" w:lineRule="auto"/>
        <w:jc w:val="both"/>
        <w:rPr>
          <w:rFonts w:ascii="Arial Narrow" w:hAnsi="Arial Narrow"/>
        </w:rPr>
      </w:pPr>
      <w:r w:rsidRPr="00A94E2C">
        <w:rPr>
          <w:rFonts w:ascii="Arial Narrow" w:hAnsi="Arial Narrow"/>
          <w:b/>
          <w:i/>
        </w:rPr>
        <w:t>Sociálne poisteni</w:t>
      </w:r>
      <w:r w:rsidR="00A94E2C" w:rsidRPr="00A94E2C">
        <w:rPr>
          <w:rFonts w:ascii="Arial Narrow" w:hAnsi="Arial Narrow"/>
          <w:b/>
          <w:i/>
        </w:rPr>
        <w:t>e a starobné dôchodkové sporenie</w:t>
      </w:r>
    </w:p>
    <w:p w14:paraId="54A12469" w14:textId="419C553A" w:rsidR="00B37F77" w:rsidRDefault="00B37F77" w:rsidP="00B37F77">
      <w:pPr>
        <w:spacing w:after="0" w:line="240" w:lineRule="auto"/>
        <w:jc w:val="both"/>
        <w:rPr>
          <w:rFonts w:ascii="Arial Narrow" w:hAnsi="Arial Narrow"/>
        </w:rPr>
      </w:pPr>
      <w:r>
        <w:rPr>
          <w:rFonts w:ascii="Arial Narrow" w:hAnsi="Arial Narrow"/>
        </w:rPr>
        <w:t xml:space="preserve">Pokračuje implementácia </w:t>
      </w:r>
      <w:r w:rsidRPr="00B37F77">
        <w:rPr>
          <w:rFonts w:ascii="Arial Narrow" w:hAnsi="Arial Narrow"/>
          <w:b/>
        </w:rPr>
        <w:t>dôchodkovej  reformy</w:t>
      </w:r>
      <w:r>
        <w:rPr>
          <w:rFonts w:ascii="Arial Narrow" w:hAnsi="Arial Narrow"/>
        </w:rPr>
        <w:t xml:space="preserve"> z roku 2012, </w:t>
      </w:r>
      <w:r w:rsidR="00620934">
        <w:rPr>
          <w:rFonts w:ascii="Arial Narrow" w:hAnsi="Arial Narrow"/>
        </w:rPr>
        <w:t xml:space="preserve">ktorá </w:t>
      </w:r>
      <w:r w:rsidR="00620934">
        <w:rPr>
          <w:rFonts w:ascii="Arial Narrow" w:hAnsi="Arial Narrow" w:cs="Arial Narrow"/>
        </w:rPr>
        <w:t xml:space="preserve">naviazala </w:t>
      </w:r>
      <w:r>
        <w:rPr>
          <w:rFonts w:ascii="Arial Narrow" w:hAnsi="Arial Narrow" w:cs="Arial Narrow"/>
        </w:rPr>
        <w:t xml:space="preserve">dôchodkový vek </w:t>
      </w:r>
      <w:r w:rsidR="00620934">
        <w:rPr>
          <w:rFonts w:ascii="Arial Narrow" w:hAnsi="Arial Narrow" w:cs="Arial Narrow"/>
        </w:rPr>
        <w:t>na</w:t>
      </w:r>
      <w:r w:rsidR="00F156C1">
        <w:rPr>
          <w:rFonts w:ascii="Arial Narrow" w:hAnsi="Arial Narrow" w:cs="Arial Narrow"/>
        </w:rPr>
        <w:t xml:space="preserve"> rast</w:t>
      </w:r>
      <w:r>
        <w:rPr>
          <w:rFonts w:ascii="Arial Narrow" w:hAnsi="Arial Narrow" w:cs="Arial Narrow"/>
        </w:rPr>
        <w:t xml:space="preserve"> očakávanej dĺžky života.</w:t>
      </w:r>
      <w:r>
        <w:rPr>
          <w:rFonts w:ascii="Arial Narrow" w:hAnsi="Arial Narrow"/>
        </w:rPr>
        <w:t xml:space="preserve"> Po prvýkrát sa automaticky pr</w:t>
      </w:r>
      <w:r w:rsidR="00F156C1">
        <w:rPr>
          <w:rFonts w:ascii="Arial Narrow" w:hAnsi="Arial Narrow"/>
        </w:rPr>
        <w:t>edĺ</w:t>
      </w:r>
      <w:r>
        <w:rPr>
          <w:rFonts w:ascii="Arial Narrow" w:hAnsi="Arial Narrow"/>
        </w:rPr>
        <w:t>ži</w:t>
      </w:r>
      <w:r w:rsidR="00C05373">
        <w:rPr>
          <w:rFonts w:ascii="Arial Narrow" w:hAnsi="Arial Narrow"/>
        </w:rPr>
        <w:t>l</w:t>
      </w:r>
      <w:r>
        <w:rPr>
          <w:rFonts w:ascii="Arial Narrow" w:hAnsi="Arial Narrow"/>
        </w:rPr>
        <w:t xml:space="preserve"> o 76 dní v roku 2017. </w:t>
      </w:r>
      <w:r w:rsidR="005B27E8">
        <w:rPr>
          <w:rFonts w:ascii="Arial Narrow" w:hAnsi="Arial Narrow"/>
        </w:rPr>
        <w:t xml:space="preserve">Aj po </w:t>
      </w:r>
      <w:r>
        <w:rPr>
          <w:rFonts w:ascii="Arial Narrow" w:hAnsi="Arial Narrow"/>
        </w:rPr>
        <w:t xml:space="preserve">zohľadnení </w:t>
      </w:r>
      <w:r w:rsidR="00620934">
        <w:rPr>
          <w:rFonts w:ascii="Arial Narrow" w:hAnsi="Arial Narrow"/>
        </w:rPr>
        <w:t xml:space="preserve">vyššej </w:t>
      </w:r>
      <w:r>
        <w:rPr>
          <w:rFonts w:ascii="Arial Narrow" w:hAnsi="Arial Narrow"/>
        </w:rPr>
        <w:t xml:space="preserve">jednorazovej valorizácie v roku 2017 reforma </w:t>
      </w:r>
      <w:r w:rsidR="005B27E8">
        <w:rPr>
          <w:rFonts w:ascii="Arial Narrow" w:hAnsi="Arial Narrow"/>
        </w:rPr>
        <w:t xml:space="preserve">pomáha </w:t>
      </w:r>
      <w:r w:rsidR="00620934">
        <w:rPr>
          <w:rFonts w:ascii="Arial Narrow" w:hAnsi="Arial Narrow"/>
        </w:rPr>
        <w:t>tlm</w:t>
      </w:r>
      <w:r w:rsidR="005B27E8">
        <w:rPr>
          <w:rFonts w:ascii="Arial Narrow" w:hAnsi="Arial Narrow"/>
        </w:rPr>
        <w:t xml:space="preserve">iť </w:t>
      </w:r>
      <w:r w:rsidR="00620934">
        <w:rPr>
          <w:rFonts w:ascii="Arial Narrow" w:hAnsi="Arial Narrow"/>
        </w:rPr>
        <w:t>rast výdavkov na dôchodky,</w:t>
      </w:r>
      <w:r w:rsidR="005B27E8">
        <w:rPr>
          <w:rFonts w:ascii="Arial Narrow" w:hAnsi="Arial Narrow"/>
        </w:rPr>
        <w:t xml:space="preserve"> ktoré by bez reformy boli </w:t>
      </w:r>
      <w:r>
        <w:rPr>
          <w:rFonts w:ascii="Arial Narrow" w:hAnsi="Arial Narrow"/>
        </w:rPr>
        <w:t>kumulatívn</w:t>
      </w:r>
      <w:r w:rsidR="00F761B8">
        <w:rPr>
          <w:rFonts w:ascii="Arial Narrow" w:hAnsi="Arial Narrow"/>
        </w:rPr>
        <w:t>e</w:t>
      </w:r>
      <w:r w:rsidR="005B27E8">
        <w:rPr>
          <w:rFonts w:ascii="Arial Narrow" w:hAnsi="Arial Narrow"/>
        </w:rPr>
        <w:t xml:space="preserve"> vyššie</w:t>
      </w:r>
      <w:r w:rsidR="00F761B8">
        <w:rPr>
          <w:rFonts w:ascii="Arial Narrow" w:hAnsi="Arial Narrow"/>
        </w:rPr>
        <w:t xml:space="preserve"> </w:t>
      </w:r>
      <w:r>
        <w:rPr>
          <w:rFonts w:ascii="Arial Narrow" w:hAnsi="Arial Narrow"/>
        </w:rPr>
        <w:t>o 275 mil. eur.</w:t>
      </w:r>
    </w:p>
    <w:p w14:paraId="318257BC" w14:textId="0289B3B9" w:rsidR="0072482D" w:rsidRDefault="0072482D" w:rsidP="0072482D">
      <w:pPr>
        <w:spacing w:after="0" w:line="240" w:lineRule="auto"/>
        <w:jc w:val="both"/>
        <w:rPr>
          <w:rFonts w:ascii="Arial Narrow" w:hAnsi="Arial Narrow"/>
        </w:rPr>
      </w:pPr>
    </w:p>
    <w:p w14:paraId="6A3908B3" w14:textId="70E14CDA" w:rsidR="0072482D" w:rsidRDefault="00393DAB" w:rsidP="0072482D">
      <w:pPr>
        <w:spacing w:after="0" w:line="240" w:lineRule="auto"/>
        <w:jc w:val="both"/>
        <w:rPr>
          <w:rFonts w:ascii="Arial Narrow" w:hAnsi="Arial Narrow" w:cs="Arial Narrow"/>
        </w:rPr>
      </w:pPr>
      <w:r>
        <w:rPr>
          <w:rFonts w:ascii="Arial Narrow" w:hAnsi="Arial Narrow"/>
        </w:rPr>
        <w:t>V decembri 2016 vláda schválila</w:t>
      </w:r>
      <w:r w:rsidR="0072482D">
        <w:rPr>
          <w:rFonts w:ascii="Arial Narrow" w:hAnsi="Arial Narrow"/>
        </w:rPr>
        <w:t xml:space="preserve"> návrh zákona, ktorý </w:t>
      </w:r>
      <w:r w:rsidR="00353601">
        <w:rPr>
          <w:rFonts w:ascii="Arial Narrow" w:hAnsi="Arial Narrow"/>
          <w:b/>
        </w:rPr>
        <w:t xml:space="preserve">rozšíri </w:t>
      </w:r>
      <w:r w:rsidR="0072482D">
        <w:rPr>
          <w:rFonts w:ascii="Arial Narrow" w:hAnsi="Arial Narrow"/>
          <w:b/>
        </w:rPr>
        <w:t xml:space="preserve"> </w:t>
      </w:r>
      <w:r w:rsidR="00682C07" w:rsidRPr="0057747E">
        <w:rPr>
          <w:rFonts w:ascii="Arial Narrow" w:hAnsi="Arial Narrow"/>
          <w:b/>
        </w:rPr>
        <w:t>programov</w:t>
      </w:r>
      <w:r w:rsidR="00353601">
        <w:rPr>
          <w:rFonts w:ascii="Arial Narrow" w:hAnsi="Arial Narrow"/>
          <w:b/>
        </w:rPr>
        <w:t>ý</w:t>
      </w:r>
      <w:r w:rsidR="00682C07" w:rsidRPr="0057747E">
        <w:rPr>
          <w:rFonts w:ascii="Arial Narrow" w:hAnsi="Arial Narrow"/>
          <w:b/>
        </w:rPr>
        <w:t xml:space="preserve"> výber </w:t>
      </w:r>
      <w:r w:rsidR="0072482D">
        <w:rPr>
          <w:rFonts w:ascii="Arial Narrow" w:hAnsi="Arial Narrow"/>
          <w:b/>
        </w:rPr>
        <w:t xml:space="preserve">v druhom </w:t>
      </w:r>
      <w:r w:rsidR="00682C07" w:rsidRPr="0057747E">
        <w:rPr>
          <w:rFonts w:ascii="Arial Narrow" w:hAnsi="Arial Narrow"/>
          <w:b/>
        </w:rPr>
        <w:t>dôchodkovom pilieri</w:t>
      </w:r>
      <w:r w:rsidR="00682C07" w:rsidRPr="007E44B5">
        <w:rPr>
          <w:rFonts w:ascii="Arial Narrow" w:hAnsi="Arial Narrow"/>
        </w:rPr>
        <w:t xml:space="preserve"> pre širší okruh sporiteľov.</w:t>
      </w:r>
      <w:r w:rsidR="00B07B28">
        <w:rPr>
          <w:rFonts w:ascii="Arial Narrow" w:hAnsi="Arial Narrow"/>
        </w:rPr>
        <w:t xml:space="preserve"> </w:t>
      </w:r>
      <w:r w:rsidR="00353601">
        <w:rPr>
          <w:rFonts w:ascii="Arial Narrow" w:hAnsi="Arial Narrow"/>
        </w:rPr>
        <w:t>J</w:t>
      </w:r>
      <w:r w:rsidR="00B07B28">
        <w:rPr>
          <w:rFonts w:ascii="Arial Narrow" w:hAnsi="Arial Narrow"/>
        </w:rPr>
        <w:t>ednorázový výber nasporených peňazí</w:t>
      </w:r>
      <w:r w:rsidR="00353601">
        <w:rPr>
          <w:rFonts w:ascii="Arial Narrow" w:hAnsi="Arial Narrow"/>
        </w:rPr>
        <w:t xml:space="preserve"> </w:t>
      </w:r>
      <w:r w:rsidR="005B27E8">
        <w:rPr>
          <w:rFonts w:ascii="Arial Narrow" w:hAnsi="Arial Narrow"/>
        </w:rPr>
        <w:t xml:space="preserve">pri odchode do dôchodku </w:t>
      </w:r>
      <w:r w:rsidR="00353601">
        <w:rPr>
          <w:rFonts w:ascii="Arial Narrow" w:hAnsi="Arial Narrow"/>
        </w:rPr>
        <w:t xml:space="preserve">bude </w:t>
      </w:r>
      <w:r w:rsidR="00CB4F3A">
        <w:rPr>
          <w:rFonts w:ascii="Arial Narrow" w:hAnsi="Arial Narrow"/>
        </w:rPr>
        <w:t>dostupný</w:t>
      </w:r>
      <w:r w:rsidR="00353601">
        <w:rPr>
          <w:rFonts w:ascii="Arial Narrow" w:hAnsi="Arial Narrow"/>
        </w:rPr>
        <w:t xml:space="preserve"> </w:t>
      </w:r>
      <w:r w:rsidR="00B07B28">
        <w:rPr>
          <w:rFonts w:ascii="Arial Narrow" w:hAnsi="Arial Narrow"/>
        </w:rPr>
        <w:t xml:space="preserve">pre </w:t>
      </w:r>
      <w:r w:rsidR="005B27E8">
        <w:rPr>
          <w:rFonts w:ascii="Arial Narrow" w:hAnsi="Arial Narrow"/>
        </w:rPr>
        <w:t>sporiteľov</w:t>
      </w:r>
      <w:r w:rsidR="00B07B28">
        <w:rPr>
          <w:rFonts w:ascii="Arial Narrow" w:hAnsi="Arial Narrow"/>
        </w:rPr>
        <w:t>, kto</w:t>
      </w:r>
      <w:r w:rsidR="005B27E8">
        <w:rPr>
          <w:rFonts w:ascii="Arial Narrow" w:hAnsi="Arial Narrow"/>
        </w:rPr>
        <w:t>rí</w:t>
      </w:r>
      <w:r w:rsidR="00B07B28">
        <w:rPr>
          <w:rFonts w:ascii="Arial Narrow" w:hAnsi="Arial Narrow"/>
        </w:rPr>
        <w:t xml:space="preserve"> </w:t>
      </w:r>
      <w:r w:rsidR="005B27E8">
        <w:rPr>
          <w:rFonts w:ascii="Arial Narrow" w:hAnsi="Arial Narrow"/>
        </w:rPr>
        <w:t xml:space="preserve">budú </w:t>
      </w:r>
      <w:r w:rsidR="00B07B28">
        <w:rPr>
          <w:rFonts w:ascii="Arial Narrow" w:hAnsi="Arial Narrow"/>
        </w:rPr>
        <w:t>mať vyšší dôchodok</w:t>
      </w:r>
      <w:r w:rsidR="005B175A">
        <w:rPr>
          <w:rStyle w:val="Odkaznapoznmkupodiarou"/>
          <w:rFonts w:ascii="Arial Narrow" w:hAnsi="Arial Narrow"/>
        </w:rPr>
        <w:footnoteReference w:id="9"/>
      </w:r>
      <w:r w:rsidR="005B175A">
        <w:rPr>
          <w:rFonts w:ascii="Arial Narrow" w:hAnsi="Arial Narrow"/>
        </w:rPr>
        <w:t xml:space="preserve"> </w:t>
      </w:r>
      <w:r w:rsidR="00B07B28">
        <w:rPr>
          <w:rFonts w:ascii="Arial Narrow" w:hAnsi="Arial Narrow"/>
        </w:rPr>
        <w:t xml:space="preserve">ako je priemerný dôchodok priznaný po roku 2004. </w:t>
      </w:r>
      <w:r w:rsidR="00682C07" w:rsidRPr="007E44B5">
        <w:rPr>
          <w:rFonts w:ascii="Arial Narrow" w:hAnsi="Arial Narrow" w:cs="Arial Narrow"/>
        </w:rPr>
        <w:t xml:space="preserve"> </w:t>
      </w:r>
    </w:p>
    <w:p w14:paraId="0D0EFCAC" w14:textId="77777777" w:rsidR="00082848" w:rsidRDefault="00082848" w:rsidP="00FB625E">
      <w:pPr>
        <w:spacing w:after="0" w:line="240" w:lineRule="auto"/>
        <w:jc w:val="both"/>
        <w:rPr>
          <w:rFonts w:ascii="Arial Narrow" w:hAnsi="Arial Narrow"/>
          <w:b/>
          <w:i/>
        </w:rPr>
      </w:pPr>
    </w:p>
    <w:p w14:paraId="51BD0DA6" w14:textId="77777777" w:rsidR="005419B4" w:rsidRDefault="00682C07" w:rsidP="00FB625E">
      <w:pPr>
        <w:spacing w:after="0" w:line="240" w:lineRule="auto"/>
        <w:jc w:val="both"/>
        <w:rPr>
          <w:rFonts w:ascii="Arial Narrow" w:hAnsi="Arial Narrow"/>
          <w:b/>
          <w:i/>
        </w:rPr>
      </w:pPr>
      <w:r w:rsidRPr="00FB625E">
        <w:rPr>
          <w:rFonts w:ascii="Arial Narrow" w:hAnsi="Arial Narrow"/>
          <w:b/>
          <w:i/>
        </w:rPr>
        <w:t>Doprava</w:t>
      </w:r>
    </w:p>
    <w:p w14:paraId="74A5B541" w14:textId="7F721D61" w:rsidR="00FB625E" w:rsidRPr="00082848" w:rsidRDefault="005419B4" w:rsidP="00FB625E">
      <w:pPr>
        <w:spacing w:after="0" w:line="240" w:lineRule="auto"/>
        <w:jc w:val="both"/>
        <w:rPr>
          <w:rFonts w:ascii="Arial Narrow" w:hAnsi="Arial Narrow"/>
        </w:rPr>
      </w:pPr>
      <w:r w:rsidRPr="00082848">
        <w:rPr>
          <w:rFonts w:ascii="Arial Narrow" w:hAnsi="Arial Narrow"/>
        </w:rPr>
        <w:t xml:space="preserve">V roku 2016 prebehla v rámci projektu </w:t>
      </w:r>
      <w:r w:rsidRPr="00597425">
        <w:rPr>
          <w:rFonts w:ascii="Arial Narrow" w:hAnsi="Arial Narrow"/>
          <w:i/>
        </w:rPr>
        <w:t>Hodnota za peniaze</w:t>
      </w:r>
      <w:r w:rsidRPr="00082848">
        <w:rPr>
          <w:rFonts w:ascii="Arial Narrow" w:hAnsi="Arial Narrow"/>
        </w:rPr>
        <w:t xml:space="preserve"> </w:t>
      </w:r>
      <w:r w:rsidRPr="00082848">
        <w:rPr>
          <w:rFonts w:ascii="Arial Narrow" w:hAnsi="Arial Narrow"/>
          <w:b/>
        </w:rPr>
        <w:t>revízia výdavkov na dopravu</w:t>
      </w:r>
      <w:r w:rsidRPr="00082848">
        <w:rPr>
          <w:rFonts w:ascii="Arial Narrow" w:hAnsi="Arial Narrow"/>
        </w:rPr>
        <w:t xml:space="preserve">. Na základe záverov revízie MF SR počas roka 2017 vykoná ekonomické zhodnotenie pripravovaných investičných projektov v dopravnom sektore s celkovými odhadovanými nákladmi </w:t>
      </w:r>
      <w:r w:rsidR="00E934E9">
        <w:rPr>
          <w:rFonts w:ascii="Arial Narrow" w:hAnsi="Arial Narrow"/>
        </w:rPr>
        <w:t>7</w:t>
      </w:r>
      <w:r w:rsidRPr="00082848">
        <w:rPr>
          <w:rFonts w:ascii="Arial Narrow" w:hAnsi="Arial Narrow"/>
        </w:rPr>
        <w:t>,5 mld. eur.</w:t>
      </w:r>
      <w:r w:rsidRPr="004A20C8">
        <w:rPr>
          <w:rFonts w:ascii="Arial Narrow" w:hAnsi="Arial Narrow"/>
        </w:rPr>
        <w:t xml:space="preserve"> </w:t>
      </w:r>
    </w:p>
    <w:p w14:paraId="7A809A42" w14:textId="77777777" w:rsidR="005419B4" w:rsidRPr="00082848" w:rsidRDefault="005419B4" w:rsidP="00FB625E">
      <w:pPr>
        <w:spacing w:after="0" w:line="240" w:lineRule="auto"/>
        <w:jc w:val="both"/>
        <w:rPr>
          <w:rFonts w:ascii="Arial Narrow" w:hAnsi="Arial Narrow"/>
        </w:rPr>
      </w:pPr>
    </w:p>
    <w:p w14:paraId="290CB9FB" w14:textId="13D798BD" w:rsidR="00CD74B9" w:rsidRPr="00082848" w:rsidRDefault="00855167" w:rsidP="00FB625E">
      <w:pPr>
        <w:spacing w:after="0" w:line="240" w:lineRule="auto"/>
        <w:jc w:val="both"/>
        <w:rPr>
          <w:rFonts w:ascii="Arial Narrow" w:hAnsi="Arial Narrow" w:cs="Arial Narrow"/>
        </w:rPr>
      </w:pPr>
      <w:r w:rsidRPr="004A20C8">
        <w:rPr>
          <w:rFonts w:ascii="Arial Narrow" w:hAnsi="Arial Narrow"/>
          <w:noProof/>
        </w:rPr>
        <w:t>Hlavnou prioritou výstavby dopravnej infraštruktúry</w:t>
      </w:r>
      <w:r w:rsidRPr="004A20C8">
        <w:rPr>
          <w:rStyle w:val="Odkaznapoznmkupodiarou"/>
          <w:rFonts w:ascii="Arial Narrow" w:hAnsi="Arial Narrow"/>
          <w:noProof/>
        </w:rPr>
        <w:footnoteReference w:id="10"/>
      </w:r>
      <w:r w:rsidRPr="004A20C8">
        <w:rPr>
          <w:rFonts w:ascii="Arial Narrow" w:hAnsi="Arial Narrow"/>
          <w:noProof/>
        </w:rPr>
        <w:t xml:space="preserve"> je stále </w:t>
      </w:r>
      <w:r w:rsidRPr="004A20C8">
        <w:rPr>
          <w:rFonts w:ascii="Arial Narrow" w:hAnsi="Arial Narrow"/>
          <w:b/>
          <w:noProof/>
        </w:rPr>
        <w:t>dokončenie diaľnice D1 z Bratislavy do Košíc</w:t>
      </w:r>
      <w:r w:rsidR="009C1E73" w:rsidRPr="004A20C8">
        <w:rPr>
          <w:rFonts w:ascii="Arial Narrow" w:hAnsi="Arial Narrow"/>
          <w:b/>
          <w:noProof/>
        </w:rPr>
        <w:t>.</w:t>
      </w:r>
      <w:r w:rsidRPr="004A20C8">
        <w:rPr>
          <w:rFonts w:ascii="Arial Narrow" w:hAnsi="Arial Narrow"/>
          <w:b/>
          <w:noProof/>
        </w:rPr>
        <w:t xml:space="preserve"> </w:t>
      </w:r>
      <w:r w:rsidRPr="004A20C8">
        <w:rPr>
          <w:rFonts w:ascii="Arial Narrow" w:hAnsi="Arial Narrow" w:cs="Arial Narrow"/>
        </w:rPr>
        <w:t xml:space="preserve">V roku 2016 bola v rámci D1 rozbehnutá výstavba úseku Budimír – Bidovce (14,4 km), </w:t>
      </w:r>
      <w:r w:rsidRPr="004B0627">
        <w:rPr>
          <w:rFonts w:ascii="Arial Narrow" w:hAnsi="Arial Narrow"/>
          <w:noProof/>
        </w:rPr>
        <w:t>prebehla súťaž na obchvat Prešova a </w:t>
      </w:r>
      <w:r w:rsidRPr="00690827">
        <w:rPr>
          <w:rFonts w:ascii="Arial Narrow" w:hAnsi="Arial Narrow" w:cs="Arial Narrow"/>
        </w:rPr>
        <w:t xml:space="preserve">posledným úsekom, </w:t>
      </w:r>
      <w:r w:rsidRPr="00690827">
        <w:rPr>
          <w:rFonts w:ascii="Arial Narrow" w:hAnsi="Arial Narrow"/>
          <w:noProof/>
        </w:rPr>
        <w:t>kde sa ešte nesúťažilo,</w:t>
      </w:r>
      <w:r w:rsidRPr="00690827">
        <w:rPr>
          <w:rFonts w:ascii="Arial Narrow" w:hAnsi="Arial Narrow" w:cs="Arial Narrow"/>
        </w:rPr>
        <w:t xml:space="preserve"> ostáva úsek </w:t>
      </w:r>
      <w:r w:rsidRPr="00690827">
        <w:rPr>
          <w:rFonts w:ascii="Arial Narrow" w:hAnsi="Arial Narrow"/>
          <w:noProof/>
        </w:rPr>
        <w:t>Turany – Hubová.</w:t>
      </w:r>
      <w:r w:rsidRPr="00082848">
        <w:rPr>
          <w:rFonts w:ascii="Arial Narrow" w:hAnsi="Arial Narrow"/>
        </w:rPr>
        <w:t xml:space="preserve"> </w:t>
      </w:r>
      <w:r w:rsidRPr="00082848">
        <w:rPr>
          <w:rFonts w:ascii="Arial Narrow" w:hAnsi="Arial Narrow"/>
          <w:noProof/>
        </w:rPr>
        <w:t>Začalo sa aj s</w:t>
      </w:r>
      <w:r w:rsidRPr="00082848">
        <w:rPr>
          <w:rFonts w:ascii="Arial Narrow" w:hAnsi="Arial Narrow" w:cs="Arial Narrow"/>
        </w:rPr>
        <w:t xml:space="preserve"> výstavbou úseku D</w:t>
      </w:r>
      <w:r w:rsidR="00326611">
        <w:rPr>
          <w:rFonts w:ascii="Arial Narrow" w:hAnsi="Arial Narrow" w:cs="Arial Narrow"/>
        </w:rPr>
        <w:t>3 Čadca, Bukov – Svrčinovec (5,</w:t>
      </w:r>
      <w:r w:rsidRPr="00082848">
        <w:rPr>
          <w:rFonts w:ascii="Arial Narrow" w:hAnsi="Arial Narrow" w:cs="Arial Narrow"/>
        </w:rPr>
        <w:t xml:space="preserve">7 km) a oficiálne sa rozbehol aj obchvat BA – D4/R7 </w:t>
      </w:r>
      <w:r w:rsidR="00326611">
        <w:rPr>
          <w:rFonts w:ascii="Arial Narrow" w:hAnsi="Arial Narrow" w:cs="Arial Narrow"/>
        </w:rPr>
        <w:t>(58,7</w:t>
      </w:r>
      <w:r w:rsidRPr="004A20C8">
        <w:rPr>
          <w:rFonts w:ascii="Arial Narrow" w:hAnsi="Arial Narrow" w:cs="Arial Narrow"/>
        </w:rPr>
        <w:t xml:space="preserve"> km). </w:t>
      </w:r>
      <w:r w:rsidR="000934D9">
        <w:rPr>
          <w:rFonts w:ascii="Arial Narrow" w:hAnsi="Arial Narrow" w:cs="Arial Narrow"/>
        </w:rPr>
        <w:t>K</w:t>
      </w:r>
      <w:r w:rsidR="00A263FA" w:rsidRPr="0031744B">
        <w:rPr>
          <w:rFonts w:ascii="Arial Narrow" w:hAnsi="Arial Narrow" w:cs="Arial Narrow"/>
        </w:rPr>
        <w:t> </w:t>
      </w:r>
      <w:r w:rsidR="000934D9">
        <w:rPr>
          <w:rFonts w:ascii="Arial Narrow" w:hAnsi="Arial Narrow" w:cs="Arial Narrow"/>
        </w:rPr>
        <w:t>februáru</w:t>
      </w:r>
      <w:r w:rsidR="00A263FA" w:rsidRPr="00825C88">
        <w:rPr>
          <w:rFonts w:ascii="Arial Narrow" w:hAnsi="Arial Narrow" w:cs="Arial Narrow"/>
        </w:rPr>
        <w:t xml:space="preserve"> </w:t>
      </w:r>
      <w:r w:rsidR="00E9605F">
        <w:rPr>
          <w:rFonts w:ascii="Arial Narrow" w:hAnsi="Arial Narrow" w:cs="Arial Narrow"/>
        </w:rPr>
        <w:t xml:space="preserve">2017 </w:t>
      </w:r>
      <w:r w:rsidR="00A263FA" w:rsidRPr="00825C88">
        <w:rPr>
          <w:rFonts w:ascii="Arial Narrow" w:hAnsi="Arial Narrow" w:cs="Arial Narrow"/>
        </w:rPr>
        <w:t>je teda</w:t>
      </w:r>
      <w:r w:rsidRPr="00825C88">
        <w:rPr>
          <w:rFonts w:ascii="Arial Narrow" w:hAnsi="Arial Narrow" w:cs="Arial Narrow"/>
        </w:rPr>
        <w:t xml:space="preserve"> vo výstavbe takmer 143 km diaľnic a rýchlostných ciest</w:t>
      </w:r>
      <w:r w:rsidR="00A263FA" w:rsidRPr="00690827">
        <w:rPr>
          <w:rFonts w:ascii="Arial Narrow" w:hAnsi="Arial Narrow" w:cs="Arial Narrow"/>
        </w:rPr>
        <w:t xml:space="preserve">, z toho </w:t>
      </w:r>
      <w:r w:rsidR="00A13C5D">
        <w:rPr>
          <w:rFonts w:ascii="Arial Narrow" w:hAnsi="Arial Narrow" w:cs="Arial Narrow"/>
        </w:rPr>
        <w:t xml:space="preserve">približne </w:t>
      </w:r>
      <w:r w:rsidRPr="00690827">
        <w:rPr>
          <w:rFonts w:ascii="Arial Narrow" w:hAnsi="Arial Narrow" w:cs="Arial Narrow"/>
        </w:rPr>
        <w:t xml:space="preserve">17 km tunelov a vyše 20 km mostných objektov. </w:t>
      </w:r>
      <w:r w:rsidRPr="0054402B">
        <w:rPr>
          <w:rFonts w:ascii="Arial Narrow" w:hAnsi="Arial Narrow"/>
          <w:noProof/>
        </w:rPr>
        <w:t>V októbri 2016 bol na R2 dokončený 9,6 km dlhý obchvat Bánoviec nad Bebravou v polovičnom profile</w:t>
      </w:r>
      <w:r w:rsidR="00CD74B9" w:rsidRPr="00082848">
        <w:rPr>
          <w:rFonts w:ascii="Arial Narrow" w:hAnsi="Arial Narrow" w:cs="Arial Narrow"/>
        </w:rPr>
        <w:t>.</w:t>
      </w:r>
    </w:p>
    <w:p w14:paraId="2A640658" w14:textId="77777777" w:rsidR="00082848" w:rsidRPr="00082848" w:rsidRDefault="00082848" w:rsidP="00FB625E">
      <w:pPr>
        <w:spacing w:after="0" w:line="240" w:lineRule="auto"/>
        <w:jc w:val="both"/>
        <w:rPr>
          <w:rFonts w:ascii="Arial Narrow" w:hAnsi="Arial Narrow"/>
          <w:noProof/>
        </w:rPr>
      </w:pPr>
    </w:p>
    <w:p w14:paraId="574415EF" w14:textId="78D272CD" w:rsidR="00855167" w:rsidRPr="00082848" w:rsidRDefault="00855167" w:rsidP="0072482D">
      <w:pPr>
        <w:spacing w:after="0" w:line="240" w:lineRule="auto"/>
        <w:jc w:val="both"/>
        <w:rPr>
          <w:rFonts w:ascii="Arial Narrow" w:hAnsi="Arial Narrow"/>
          <w:color w:val="000000"/>
        </w:rPr>
      </w:pPr>
      <w:r w:rsidRPr="00B84AF8">
        <w:rPr>
          <w:rFonts w:ascii="Arial Narrow" w:hAnsi="Arial Narrow" w:cs="Arial Narrow"/>
        </w:rPr>
        <w:t>Pokračujú investície do modernizácie železničných koridorov</w:t>
      </w:r>
      <w:r w:rsidR="009C1E73" w:rsidRPr="00B84AF8">
        <w:rPr>
          <w:rFonts w:ascii="Arial Narrow" w:hAnsi="Arial Narrow" w:cs="Arial Narrow"/>
        </w:rPr>
        <w:t>,</w:t>
      </w:r>
      <w:r w:rsidR="00A13C5D">
        <w:rPr>
          <w:rFonts w:ascii="Arial Narrow" w:hAnsi="Arial Narrow" w:cs="Arial Narrow"/>
        </w:rPr>
        <w:t xml:space="preserve"> nákupu nových a </w:t>
      </w:r>
      <w:r w:rsidRPr="00B84AF8">
        <w:rPr>
          <w:rFonts w:ascii="Arial Narrow" w:hAnsi="Arial Narrow" w:cs="Arial Narrow"/>
        </w:rPr>
        <w:t xml:space="preserve">obnovy existujúcich vlakových súprav. </w:t>
      </w:r>
      <w:r w:rsidRPr="00082848">
        <w:rPr>
          <w:rFonts w:ascii="Arial Narrow" w:hAnsi="Arial Narrow"/>
          <w:color w:val="000000"/>
        </w:rPr>
        <w:t xml:space="preserve">Z hlavných </w:t>
      </w:r>
      <w:r w:rsidRPr="00082848">
        <w:rPr>
          <w:rFonts w:ascii="Arial Narrow" w:hAnsi="Arial Narrow"/>
          <w:b/>
          <w:color w:val="000000"/>
        </w:rPr>
        <w:t>koridorových stavieb v</w:t>
      </w:r>
      <w:r w:rsidRPr="00082848">
        <w:rPr>
          <w:rFonts w:ascii="Arial Narrow" w:hAnsi="Arial Narrow"/>
          <w:color w:val="000000"/>
        </w:rPr>
        <w:t xml:space="preserve"> </w:t>
      </w:r>
      <w:r w:rsidRPr="00082848">
        <w:rPr>
          <w:rFonts w:ascii="Arial Narrow" w:hAnsi="Arial Narrow"/>
          <w:b/>
          <w:color w:val="000000"/>
        </w:rPr>
        <w:t>železničnej infraštruktúre</w:t>
      </w:r>
      <w:r w:rsidRPr="00082848">
        <w:rPr>
          <w:rFonts w:ascii="Arial Narrow" w:hAnsi="Arial Narrow"/>
          <w:color w:val="000000"/>
        </w:rPr>
        <w:t xml:space="preserve"> sú rozostavané tri. Pri Trenčíne je to takmer 12 km dlhý úsek Zlatovce </w:t>
      </w:r>
      <w:r w:rsidR="00326611">
        <w:rPr>
          <w:rFonts w:ascii="Arial Narrow" w:hAnsi="Arial Narrow"/>
          <w:color w:val="000000"/>
        </w:rPr>
        <w:t>–</w:t>
      </w:r>
      <w:r w:rsidRPr="00082848">
        <w:rPr>
          <w:rFonts w:ascii="Arial Narrow" w:hAnsi="Arial Narrow"/>
          <w:color w:val="000000"/>
        </w:rPr>
        <w:t xml:space="preserve"> Trenčianska Teplá. Tento rok začala výstavba chýbajúceho nezmodernizovaného úseku na trase Bratislava – Žilina: Púchov </w:t>
      </w:r>
      <w:r w:rsidR="00A13C5D">
        <w:rPr>
          <w:rFonts w:ascii="Arial Narrow" w:hAnsi="Arial Narrow"/>
          <w:color w:val="000000"/>
        </w:rPr>
        <w:t>–</w:t>
      </w:r>
      <w:r w:rsidR="00326611">
        <w:rPr>
          <w:rFonts w:ascii="Arial Narrow" w:hAnsi="Arial Narrow"/>
          <w:color w:val="000000"/>
        </w:rPr>
        <w:t xml:space="preserve"> Považská Teplá (16 km). Vo </w:t>
      </w:r>
      <w:r w:rsidRPr="00082848">
        <w:rPr>
          <w:rFonts w:ascii="Arial Narrow" w:hAnsi="Arial Narrow"/>
          <w:color w:val="000000"/>
        </w:rPr>
        <w:t xml:space="preserve">výstavbe sa pokračuje aj na poslednom úseku pred Žilinou Považská Teplá </w:t>
      </w:r>
      <w:r w:rsidR="00A13C5D">
        <w:rPr>
          <w:rFonts w:ascii="Arial Narrow" w:hAnsi="Arial Narrow"/>
          <w:color w:val="000000"/>
        </w:rPr>
        <w:t>–</w:t>
      </w:r>
      <w:r w:rsidRPr="00082848">
        <w:rPr>
          <w:rFonts w:ascii="Arial Narrow" w:hAnsi="Arial Narrow"/>
          <w:color w:val="000000"/>
        </w:rPr>
        <w:t xml:space="preserve"> Žilina (22,7 km).</w:t>
      </w:r>
    </w:p>
    <w:p w14:paraId="30CF7DF9" w14:textId="77777777" w:rsidR="0072482D" w:rsidRPr="00B84AF8" w:rsidRDefault="0072482D" w:rsidP="0072482D">
      <w:pPr>
        <w:spacing w:after="0" w:line="240" w:lineRule="auto"/>
        <w:jc w:val="both"/>
        <w:rPr>
          <w:rFonts w:ascii="Arial Narrow" w:hAnsi="Arial Narrow" w:cs="Arial Narrow"/>
        </w:rPr>
      </w:pPr>
    </w:p>
    <w:p w14:paraId="5DE5F1BE" w14:textId="77777777" w:rsidR="002D6DC8" w:rsidRDefault="00855167" w:rsidP="00227C3F">
      <w:pPr>
        <w:spacing w:after="0" w:line="240" w:lineRule="auto"/>
        <w:jc w:val="both"/>
        <w:rPr>
          <w:rFonts w:ascii="Arial Narrow" w:hAnsi="Arial Narrow"/>
          <w:iCs/>
        </w:rPr>
      </w:pPr>
      <w:r w:rsidRPr="00B84AF8">
        <w:rPr>
          <w:rFonts w:ascii="Arial Narrow" w:hAnsi="Arial Narrow"/>
          <w:iCs/>
        </w:rPr>
        <w:t xml:space="preserve">V januári 2017 schválila vláda SR </w:t>
      </w:r>
      <w:r w:rsidRPr="00B84AF8">
        <w:rPr>
          <w:rFonts w:ascii="Arial Narrow" w:hAnsi="Arial Narrow"/>
          <w:b/>
          <w:iCs/>
        </w:rPr>
        <w:t>Strategický plán rozvoja dopravy SR do roku 2030</w:t>
      </w:r>
      <w:r w:rsidR="0091558B" w:rsidRPr="00B84AF8">
        <w:rPr>
          <w:rFonts w:ascii="Arial Narrow" w:hAnsi="Arial Narrow"/>
          <w:b/>
          <w:iCs/>
        </w:rPr>
        <w:t xml:space="preserve"> </w:t>
      </w:r>
      <w:r w:rsidR="0091558B" w:rsidRPr="00B84AF8">
        <w:rPr>
          <w:rFonts w:ascii="Arial Narrow" w:hAnsi="Arial Narrow"/>
          <w:iCs/>
        </w:rPr>
        <w:t xml:space="preserve">(druhá fáza </w:t>
      </w:r>
      <w:r w:rsidR="0091558B" w:rsidRPr="006153B6">
        <w:rPr>
          <w:rFonts w:ascii="Arial Narrow" w:hAnsi="Arial Narrow"/>
          <w:i/>
          <w:iCs/>
        </w:rPr>
        <w:t>MASTER</w:t>
      </w:r>
      <w:r w:rsidR="0091558B" w:rsidRPr="00B84AF8">
        <w:rPr>
          <w:rFonts w:ascii="Arial Narrow" w:hAnsi="Arial Narrow"/>
          <w:iCs/>
        </w:rPr>
        <w:t xml:space="preserve"> plánu)</w:t>
      </w:r>
      <w:r w:rsidR="00346545">
        <w:rPr>
          <w:rFonts w:ascii="Arial Narrow" w:hAnsi="Arial Narrow"/>
          <w:iCs/>
        </w:rPr>
        <w:t>.</w:t>
      </w:r>
      <w:r w:rsidR="00293F64">
        <w:rPr>
          <w:rFonts w:ascii="Arial Narrow" w:hAnsi="Arial Narrow"/>
          <w:iCs/>
        </w:rPr>
        <w:t xml:space="preserve"> </w:t>
      </w:r>
      <w:r w:rsidR="00CE4584">
        <w:rPr>
          <w:rFonts w:ascii="Arial Narrow" w:hAnsi="Arial Narrow"/>
          <w:iCs/>
        </w:rPr>
        <w:t>N</w:t>
      </w:r>
      <w:r w:rsidR="00CE4584" w:rsidRPr="00CE4584">
        <w:rPr>
          <w:rFonts w:ascii="Arial Narrow" w:hAnsi="Arial Narrow"/>
          <w:iCs/>
        </w:rPr>
        <w:t>astav</w:t>
      </w:r>
      <w:r w:rsidR="00CE4584">
        <w:rPr>
          <w:rFonts w:ascii="Arial Narrow" w:hAnsi="Arial Narrow"/>
          <w:iCs/>
        </w:rPr>
        <w:t>uje strategické priority, teda opatrenia</w:t>
      </w:r>
      <w:r w:rsidR="00C912E5">
        <w:rPr>
          <w:rFonts w:ascii="Arial Narrow" w:hAnsi="Arial Narrow"/>
          <w:iCs/>
        </w:rPr>
        <w:t xml:space="preserve"> (napr. dobudovanie</w:t>
      </w:r>
      <w:r w:rsidR="00293F64">
        <w:rPr>
          <w:rFonts w:ascii="Arial Narrow" w:hAnsi="Arial Narrow"/>
          <w:iCs/>
        </w:rPr>
        <w:t xml:space="preserve"> konkrétnej</w:t>
      </w:r>
      <w:r w:rsidR="00C912E5">
        <w:rPr>
          <w:rFonts w:ascii="Arial Narrow" w:hAnsi="Arial Narrow"/>
          <w:iCs/>
        </w:rPr>
        <w:t xml:space="preserve"> cestnej osi, modernizácia </w:t>
      </w:r>
      <w:r w:rsidR="00293F64">
        <w:rPr>
          <w:rFonts w:ascii="Arial Narrow" w:hAnsi="Arial Narrow"/>
          <w:iCs/>
        </w:rPr>
        <w:t>konkrétnych tratí, zmena organizácie v niektorých oblastiach)</w:t>
      </w:r>
      <w:r w:rsidR="00CE4584">
        <w:rPr>
          <w:rFonts w:ascii="Arial Narrow" w:hAnsi="Arial Narrow"/>
          <w:iCs/>
        </w:rPr>
        <w:t>, ktoré sú ohodnotené</w:t>
      </w:r>
      <w:r w:rsidR="00CE4584" w:rsidRPr="00CE4584">
        <w:rPr>
          <w:rFonts w:ascii="Arial Narrow" w:hAnsi="Arial Narrow"/>
          <w:iCs/>
        </w:rPr>
        <w:t xml:space="preserve"> a prioritizovan</w:t>
      </w:r>
      <w:r w:rsidR="00CE4584">
        <w:rPr>
          <w:rFonts w:ascii="Arial Narrow" w:hAnsi="Arial Narrow"/>
          <w:iCs/>
        </w:rPr>
        <w:t>é</w:t>
      </w:r>
      <w:r w:rsidR="00CE4584" w:rsidRPr="00CE4584">
        <w:rPr>
          <w:rFonts w:ascii="Arial Narrow" w:hAnsi="Arial Narrow"/>
          <w:iCs/>
        </w:rPr>
        <w:t xml:space="preserve"> z pohľadu ich potenciálneho prínosu a ekonomickej efektivity</w:t>
      </w:r>
      <w:r w:rsidR="00CE4584">
        <w:rPr>
          <w:rFonts w:ascii="Arial Narrow" w:hAnsi="Arial Narrow"/>
          <w:iCs/>
        </w:rPr>
        <w:t>.</w:t>
      </w:r>
      <w:r w:rsidR="00346545">
        <w:rPr>
          <w:rFonts w:ascii="Arial Narrow" w:hAnsi="Arial Narrow"/>
          <w:iCs/>
        </w:rPr>
        <w:t xml:space="preserve"> </w:t>
      </w:r>
      <w:r w:rsidR="00293F64">
        <w:rPr>
          <w:rFonts w:ascii="Arial Narrow" w:hAnsi="Arial Narrow"/>
          <w:iCs/>
        </w:rPr>
        <w:t>P</w:t>
      </w:r>
      <w:r w:rsidR="00346545">
        <w:rPr>
          <w:rFonts w:ascii="Arial Narrow" w:hAnsi="Arial Narrow"/>
          <w:iCs/>
        </w:rPr>
        <w:t xml:space="preserve">ri výstavbe diaľnic </w:t>
      </w:r>
      <w:r w:rsidR="00CE4584">
        <w:rPr>
          <w:rFonts w:ascii="Arial Narrow" w:hAnsi="Arial Narrow"/>
          <w:iCs/>
        </w:rPr>
        <w:t xml:space="preserve">napr. </w:t>
      </w:r>
      <w:r w:rsidR="00293F64">
        <w:rPr>
          <w:rFonts w:ascii="Arial Narrow" w:hAnsi="Arial Narrow"/>
          <w:iCs/>
        </w:rPr>
        <w:t xml:space="preserve">v rámci hodnotenia </w:t>
      </w:r>
      <w:r w:rsidR="00346545">
        <w:rPr>
          <w:rFonts w:ascii="Arial Narrow" w:hAnsi="Arial Narrow"/>
          <w:iCs/>
        </w:rPr>
        <w:t>uvádza úseky</w:t>
      </w:r>
      <w:r w:rsidR="00293F64">
        <w:rPr>
          <w:rFonts w:ascii="Arial Narrow" w:hAnsi="Arial Narrow"/>
          <w:iCs/>
        </w:rPr>
        <w:t xml:space="preserve"> diaľnic</w:t>
      </w:r>
      <w:r w:rsidR="00346545">
        <w:rPr>
          <w:rFonts w:ascii="Arial Narrow" w:hAnsi="Arial Narrow"/>
          <w:iCs/>
        </w:rPr>
        <w:t xml:space="preserve"> s potenciálom prehodnotenia </w:t>
      </w:r>
      <w:r w:rsidR="00293F64">
        <w:rPr>
          <w:rFonts w:ascii="Arial Narrow" w:hAnsi="Arial Narrow"/>
          <w:iCs/>
        </w:rPr>
        <w:t xml:space="preserve">ich </w:t>
      </w:r>
      <w:r w:rsidR="00CE4584" w:rsidRPr="00CE4584">
        <w:rPr>
          <w:rFonts w:ascii="Arial Narrow" w:hAnsi="Arial Narrow"/>
          <w:iCs/>
        </w:rPr>
        <w:t>šírkového usporiadania</w:t>
      </w:r>
      <w:r w:rsidR="002D6DC8">
        <w:rPr>
          <w:rFonts w:ascii="Arial Narrow" w:hAnsi="Arial Narrow"/>
          <w:iCs/>
        </w:rPr>
        <w:t xml:space="preserve"> a teda úspornejšej výstavby</w:t>
      </w:r>
      <w:r w:rsidR="00293F64">
        <w:rPr>
          <w:rFonts w:ascii="Arial Narrow" w:hAnsi="Arial Narrow"/>
          <w:iCs/>
        </w:rPr>
        <w:t>.</w:t>
      </w:r>
      <w:r w:rsidRPr="00B84AF8">
        <w:rPr>
          <w:rFonts w:ascii="Arial Narrow" w:hAnsi="Arial Narrow"/>
          <w:iCs/>
        </w:rPr>
        <w:t xml:space="preserve"> </w:t>
      </w:r>
    </w:p>
    <w:p w14:paraId="67388E6E" w14:textId="77777777" w:rsidR="002D6DC8" w:rsidRDefault="002D6DC8" w:rsidP="00227C3F">
      <w:pPr>
        <w:spacing w:after="0" w:line="240" w:lineRule="auto"/>
        <w:jc w:val="both"/>
        <w:rPr>
          <w:rFonts w:ascii="Arial Narrow" w:hAnsi="Arial Narrow"/>
          <w:iCs/>
        </w:rPr>
      </w:pPr>
    </w:p>
    <w:p w14:paraId="6A0A4478" w14:textId="77AB81CD" w:rsidR="00855167" w:rsidRPr="00082848" w:rsidRDefault="00855167" w:rsidP="00227C3F">
      <w:pPr>
        <w:spacing w:after="0" w:line="240" w:lineRule="auto"/>
        <w:jc w:val="both"/>
        <w:rPr>
          <w:rFonts w:ascii="Arial Narrow" w:hAnsi="Arial Narrow"/>
          <w:iCs/>
        </w:rPr>
      </w:pPr>
      <w:r w:rsidRPr="00B84AF8">
        <w:rPr>
          <w:rFonts w:ascii="Arial Narrow" w:hAnsi="Arial Narrow"/>
          <w:iCs/>
        </w:rPr>
        <w:t>Pri tvorbe</w:t>
      </w:r>
      <w:r w:rsidR="00346545">
        <w:rPr>
          <w:rFonts w:ascii="Arial Narrow" w:hAnsi="Arial Narrow"/>
          <w:iCs/>
        </w:rPr>
        <w:t xml:space="preserve"> a hodnotení opatrení</w:t>
      </w:r>
      <w:r w:rsidRPr="00B84AF8">
        <w:rPr>
          <w:rFonts w:ascii="Arial Narrow" w:hAnsi="Arial Narrow"/>
          <w:iCs/>
        </w:rPr>
        <w:t xml:space="preserve"> sa využili aj prvé výstupy </w:t>
      </w:r>
      <w:r w:rsidRPr="00B84AF8">
        <w:rPr>
          <w:rFonts w:ascii="Arial Narrow" w:hAnsi="Arial Narrow"/>
          <w:b/>
          <w:iCs/>
        </w:rPr>
        <w:t>Dopravného modelu SR</w:t>
      </w:r>
      <w:r w:rsidR="009725D4" w:rsidRPr="00B84AF8">
        <w:rPr>
          <w:rFonts w:ascii="Arial Narrow" w:hAnsi="Arial Narrow"/>
          <w:iCs/>
        </w:rPr>
        <w:t>.</w:t>
      </w:r>
      <w:r w:rsidRPr="00B84AF8">
        <w:rPr>
          <w:rFonts w:ascii="Arial Narrow" w:hAnsi="Arial Narrow"/>
          <w:iCs/>
        </w:rPr>
        <w:t xml:space="preserve"> </w:t>
      </w:r>
      <w:r w:rsidR="00A13C5D">
        <w:rPr>
          <w:rFonts w:ascii="Arial Narrow" w:hAnsi="Arial Narrow"/>
          <w:iCs/>
        </w:rPr>
        <w:t>P</w:t>
      </w:r>
      <w:r w:rsidRPr="00557C09">
        <w:rPr>
          <w:rFonts w:ascii="Arial Narrow" w:hAnsi="Arial Narrow"/>
          <w:iCs/>
        </w:rPr>
        <w:t>o jeh</w:t>
      </w:r>
      <w:r w:rsidR="00A13C5D">
        <w:rPr>
          <w:rFonts w:ascii="Arial Narrow" w:hAnsi="Arial Narrow"/>
          <w:iCs/>
        </w:rPr>
        <w:t xml:space="preserve">o plnom sfunkčnení v budúcnosti by sa postupne mal </w:t>
      </w:r>
      <w:r w:rsidRPr="00557C09">
        <w:rPr>
          <w:rFonts w:ascii="Arial Narrow" w:hAnsi="Arial Narrow"/>
          <w:iCs/>
        </w:rPr>
        <w:t>stať jedným zo základných nástrojov pre tvorbu a hodnotenie dopravnej politiky a jej dopadov a dopomôcť k hodnoteniu pripravovaných a plánovaných pro</w:t>
      </w:r>
      <w:r w:rsidRPr="00AD60B6">
        <w:rPr>
          <w:rFonts w:ascii="Arial Narrow" w:hAnsi="Arial Narrow"/>
          <w:iCs/>
        </w:rPr>
        <w:t>jektov dopravnej infraštruktúry.</w:t>
      </w:r>
      <w:r w:rsidRPr="00082848">
        <w:rPr>
          <w:rFonts w:ascii="Arial Narrow" w:hAnsi="Arial Narrow"/>
        </w:rPr>
        <w:t xml:space="preserve"> </w:t>
      </w:r>
      <w:r w:rsidR="009725D4" w:rsidRPr="00082848">
        <w:rPr>
          <w:rFonts w:ascii="Arial Narrow" w:hAnsi="Arial Narrow"/>
          <w:iCs/>
        </w:rPr>
        <w:t>M</w:t>
      </w:r>
      <w:r w:rsidRPr="00082848">
        <w:rPr>
          <w:rFonts w:ascii="Arial Narrow" w:hAnsi="Arial Narrow"/>
          <w:iCs/>
        </w:rPr>
        <w:t>al</w:t>
      </w:r>
      <w:r w:rsidR="009725D4" w:rsidRPr="00082848">
        <w:rPr>
          <w:rFonts w:ascii="Arial Narrow" w:hAnsi="Arial Narrow"/>
          <w:iCs/>
        </w:rPr>
        <w:t xml:space="preserve"> by</w:t>
      </w:r>
      <w:r w:rsidRPr="00082848">
        <w:rPr>
          <w:rFonts w:ascii="Arial Narrow" w:hAnsi="Arial Narrow"/>
          <w:iCs/>
        </w:rPr>
        <w:t xml:space="preserve"> byť schopný určiť zaťaženie dopravnej siete, charakteristiky prepravného prúdu, porovnávať rôzne scenáre zmien v doprave a iné. </w:t>
      </w:r>
    </w:p>
    <w:p w14:paraId="70B4097B" w14:textId="77777777" w:rsidR="0072482D" w:rsidRDefault="0072482D" w:rsidP="0072482D">
      <w:pPr>
        <w:spacing w:after="0" w:line="240" w:lineRule="auto"/>
        <w:jc w:val="both"/>
        <w:rPr>
          <w:rFonts w:ascii="Arial Narrow" w:hAnsi="Arial Narrow"/>
          <w:iCs/>
          <w:szCs w:val="20"/>
        </w:rPr>
      </w:pPr>
    </w:p>
    <w:p w14:paraId="792BD4FC" w14:textId="77777777" w:rsidR="00427CBC" w:rsidRDefault="00855167" w:rsidP="000940CA">
      <w:pPr>
        <w:spacing w:after="0" w:line="240" w:lineRule="auto"/>
        <w:jc w:val="both"/>
        <w:rPr>
          <w:rFonts w:ascii="Arial Narrow" w:hAnsi="Arial Narrow"/>
          <w:iCs/>
          <w:szCs w:val="20"/>
        </w:rPr>
      </w:pPr>
      <w:r w:rsidRPr="00DA79A3">
        <w:rPr>
          <w:rFonts w:ascii="Arial Narrow" w:hAnsi="Arial Narrow"/>
          <w:iCs/>
          <w:szCs w:val="20"/>
        </w:rPr>
        <w:t>V spolupráci s MF SR a </w:t>
      </w:r>
      <w:r w:rsidRPr="00017675">
        <w:rPr>
          <w:rFonts w:ascii="Arial Narrow" w:hAnsi="Arial Narrow"/>
          <w:iCs/>
          <w:szCs w:val="20"/>
        </w:rPr>
        <w:t>JASPERS</w:t>
      </w:r>
      <w:r w:rsidRPr="00017675">
        <w:rPr>
          <w:rStyle w:val="Odkaznapoznmkupodiarou"/>
          <w:rFonts w:ascii="Arial Narrow" w:hAnsi="Arial Narrow"/>
          <w:iCs/>
          <w:szCs w:val="20"/>
        </w:rPr>
        <w:footnoteReference w:id="11"/>
      </w:r>
      <w:r w:rsidRPr="00DA79A3">
        <w:rPr>
          <w:rFonts w:ascii="Arial Narrow" w:hAnsi="Arial Narrow"/>
          <w:iCs/>
          <w:szCs w:val="20"/>
        </w:rPr>
        <w:t xml:space="preserve"> prebieha </w:t>
      </w:r>
      <w:r w:rsidRPr="00DA79A3">
        <w:rPr>
          <w:rFonts w:ascii="Arial Narrow" w:hAnsi="Arial Narrow"/>
          <w:b/>
          <w:iCs/>
          <w:szCs w:val="20"/>
        </w:rPr>
        <w:t>tvorba jednotnej štandardizovanej metodiky CBA pre investičné projekty</w:t>
      </w:r>
      <w:r w:rsidRPr="00DA79A3">
        <w:rPr>
          <w:rFonts w:ascii="Arial Narrow" w:hAnsi="Arial Narrow"/>
          <w:iCs/>
          <w:szCs w:val="20"/>
        </w:rPr>
        <w:t xml:space="preserve"> s konzistentnými a validovanými predpokladmi.</w:t>
      </w:r>
    </w:p>
    <w:p w14:paraId="099F906F" w14:textId="77777777" w:rsidR="00A13C5D" w:rsidRDefault="00A13C5D" w:rsidP="000940CA">
      <w:pPr>
        <w:spacing w:after="0" w:line="240" w:lineRule="auto"/>
        <w:jc w:val="both"/>
        <w:rPr>
          <w:rFonts w:ascii="Arial Narrow" w:hAnsi="Arial Narrow"/>
          <w:iCs/>
          <w:szCs w:val="20"/>
        </w:rPr>
      </w:pPr>
    </w:p>
    <w:p w14:paraId="14916EAE" w14:textId="77777777" w:rsidR="00B3393F" w:rsidRDefault="00B3393F">
      <w:pPr>
        <w:spacing w:after="0" w:line="240" w:lineRule="auto"/>
        <w:rPr>
          <w:rFonts w:ascii="Arial Narrow" w:hAnsi="Arial Narrow" w:cs="Arial Narrow"/>
          <w:b/>
          <w:i/>
        </w:rPr>
      </w:pPr>
      <w:r>
        <w:rPr>
          <w:rFonts w:ascii="Arial Narrow" w:hAnsi="Arial Narrow" w:cs="Arial Narrow"/>
          <w:b/>
          <w:i/>
        </w:rPr>
        <w:br w:type="page"/>
      </w:r>
    </w:p>
    <w:p w14:paraId="20E7283C" w14:textId="77B27723" w:rsidR="008F3AF0" w:rsidRPr="005438EA" w:rsidRDefault="008F3AF0" w:rsidP="008F3AF0">
      <w:pPr>
        <w:spacing w:after="0" w:line="240" w:lineRule="auto"/>
        <w:jc w:val="both"/>
        <w:rPr>
          <w:rFonts w:ascii="Arial Narrow" w:hAnsi="Arial Narrow" w:cs="Arial Narrow"/>
          <w:b/>
          <w:i/>
        </w:rPr>
      </w:pPr>
      <w:r>
        <w:rPr>
          <w:rFonts w:ascii="Arial Narrow" w:hAnsi="Arial Narrow" w:cs="Arial Narrow"/>
          <w:b/>
          <w:i/>
        </w:rPr>
        <w:lastRenderedPageBreak/>
        <w:t>Zniž</w:t>
      </w:r>
      <w:r w:rsidRPr="005438EA">
        <w:rPr>
          <w:rFonts w:ascii="Arial Narrow" w:hAnsi="Arial Narrow" w:cs="Arial Narrow"/>
          <w:b/>
          <w:i/>
        </w:rPr>
        <w:t>ovanie regionálnych rozdielov</w:t>
      </w:r>
    </w:p>
    <w:p w14:paraId="5EFF3E5E" w14:textId="0C0B81D7" w:rsidR="008F3AF0" w:rsidRDefault="008F3AF0" w:rsidP="008F3AF0">
      <w:pPr>
        <w:spacing w:after="0" w:line="240" w:lineRule="auto"/>
        <w:jc w:val="both"/>
        <w:rPr>
          <w:rFonts w:ascii="Arial Narrow" w:hAnsi="Arial Narrow"/>
        </w:rPr>
      </w:pPr>
      <w:r w:rsidRPr="00934FE1">
        <w:rPr>
          <w:rFonts w:ascii="Arial Narrow" w:hAnsi="Arial Narrow"/>
        </w:rPr>
        <w:t>V priebehu roku 2016</w:t>
      </w:r>
      <w:r>
        <w:rPr>
          <w:rFonts w:ascii="Arial Narrow" w:hAnsi="Arial Narrow"/>
        </w:rPr>
        <w:t xml:space="preserve"> boli schválené </w:t>
      </w:r>
      <w:r w:rsidRPr="00F00339">
        <w:rPr>
          <w:rFonts w:ascii="Arial Narrow" w:hAnsi="Arial Narrow"/>
          <w:b/>
        </w:rPr>
        <w:t>akčné plány pre 12 najmenej rozvinutých okresov</w:t>
      </w:r>
      <w:r>
        <w:rPr>
          <w:rStyle w:val="Odkaznapoznmkupodiarou"/>
          <w:rFonts w:ascii="Arial Narrow" w:hAnsi="Arial Narrow"/>
          <w:b/>
        </w:rPr>
        <w:footnoteReference w:id="12"/>
      </w:r>
      <w:r w:rsidR="00066ADF">
        <w:rPr>
          <w:rFonts w:ascii="Arial Narrow" w:hAnsi="Arial Narrow"/>
        </w:rPr>
        <w:t>. Obsahujú zoznam</w:t>
      </w:r>
      <w:r w:rsidR="00066ADF" w:rsidRPr="00346DCE">
        <w:rPr>
          <w:rFonts w:ascii="Arial Narrow" w:hAnsi="Arial Narrow"/>
        </w:rPr>
        <w:t xml:space="preserve"> konkrétnych projektových zámerov</w:t>
      </w:r>
      <w:r w:rsidR="00066ADF">
        <w:rPr>
          <w:rFonts w:ascii="Arial Narrow" w:hAnsi="Arial Narrow"/>
        </w:rPr>
        <w:t xml:space="preserve"> v </w:t>
      </w:r>
      <w:r w:rsidR="00066ADF" w:rsidRPr="005B48EF">
        <w:rPr>
          <w:rFonts w:ascii="Arial Narrow" w:hAnsi="Arial Narrow" w:cs="Arial Narrow"/>
        </w:rPr>
        <w:t>oblasti</w:t>
      </w:r>
      <w:r w:rsidR="00066ADF">
        <w:rPr>
          <w:rFonts w:ascii="Arial Narrow" w:hAnsi="Arial Narrow" w:cs="Arial Narrow"/>
        </w:rPr>
        <w:t xml:space="preserve">ach </w:t>
      </w:r>
      <w:r w:rsidR="00066ADF" w:rsidRPr="005B48EF">
        <w:rPr>
          <w:rFonts w:ascii="Arial Narrow" w:hAnsi="Arial Narrow" w:cs="Arial Narrow"/>
        </w:rPr>
        <w:t>podpory podnikania a investo</w:t>
      </w:r>
      <w:r w:rsidR="00066ADF">
        <w:rPr>
          <w:rFonts w:ascii="Arial Narrow" w:hAnsi="Arial Narrow" w:cs="Arial Narrow"/>
        </w:rPr>
        <w:t xml:space="preserve">rov, rozvoja ľudských zdrojov a skvalitňovania lokálnej </w:t>
      </w:r>
      <w:r w:rsidR="00066ADF" w:rsidRPr="005B48EF">
        <w:rPr>
          <w:rFonts w:ascii="Arial Narrow" w:hAnsi="Arial Narrow" w:cs="Arial Narrow"/>
        </w:rPr>
        <w:t>infraštruktúry</w:t>
      </w:r>
      <w:r w:rsidR="00066ADF" w:rsidRPr="00346DCE">
        <w:rPr>
          <w:rFonts w:ascii="Arial Narrow" w:hAnsi="Arial Narrow"/>
        </w:rPr>
        <w:t>.</w:t>
      </w:r>
      <w:r w:rsidR="00066ADF">
        <w:rPr>
          <w:rFonts w:ascii="Arial Narrow" w:hAnsi="Arial Narrow"/>
        </w:rPr>
        <w:t xml:space="preserve"> </w:t>
      </w:r>
      <w:r w:rsidR="001C415C" w:rsidRPr="00934FE1">
        <w:rPr>
          <w:rFonts w:ascii="Arial Narrow" w:hAnsi="Arial Narrow"/>
        </w:rPr>
        <w:t>Regionálny prísp</w:t>
      </w:r>
      <w:r w:rsidR="001C415C">
        <w:rPr>
          <w:rFonts w:ascii="Arial Narrow" w:hAnsi="Arial Narrow"/>
        </w:rPr>
        <w:t xml:space="preserve">evok bol v roku 2016 </w:t>
      </w:r>
      <w:r w:rsidR="001C415C" w:rsidRPr="00934FE1">
        <w:rPr>
          <w:rFonts w:ascii="Arial Narrow" w:hAnsi="Arial Narrow"/>
        </w:rPr>
        <w:t>poskytnutý na rekonštrukciu základných škôl, rozvoj infraštruktúry, pilotn</w:t>
      </w:r>
      <w:r w:rsidR="0074094C">
        <w:rPr>
          <w:rFonts w:ascii="Arial Narrow" w:hAnsi="Arial Narrow"/>
        </w:rPr>
        <w:t xml:space="preserve">é projekty </w:t>
      </w:r>
      <w:r w:rsidR="001C415C" w:rsidRPr="00934FE1">
        <w:rPr>
          <w:rFonts w:ascii="Arial Narrow" w:hAnsi="Arial Narrow"/>
        </w:rPr>
        <w:t>sociálneho bývania a činnosť rozvojových center vo výške 1,7 mil. eur.</w:t>
      </w:r>
      <w:r w:rsidR="001C415C">
        <w:rPr>
          <w:rFonts w:ascii="Arial Narrow" w:hAnsi="Arial Narrow"/>
        </w:rPr>
        <w:t xml:space="preserve"> </w:t>
      </w:r>
      <w:r w:rsidR="001C415C" w:rsidRPr="00B2546E">
        <w:rPr>
          <w:rFonts w:ascii="Arial Narrow" w:hAnsi="Arial Narrow"/>
        </w:rPr>
        <w:t>Kompetencie v regionálnom rozvoji, vrátane podpory na</w:t>
      </w:r>
      <w:r w:rsidR="001C415C">
        <w:rPr>
          <w:rFonts w:ascii="Arial Narrow" w:hAnsi="Arial Narrow"/>
        </w:rPr>
        <w:t xml:space="preserve">jmenej rozvinutých okresov, </w:t>
      </w:r>
      <w:r w:rsidR="001C415C" w:rsidRPr="00B2546E">
        <w:rPr>
          <w:rFonts w:ascii="Arial Narrow" w:hAnsi="Arial Narrow"/>
        </w:rPr>
        <w:t xml:space="preserve">sa </w:t>
      </w:r>
      <w:r w:rsidR="001C415C">
        <w:rPr>
          <w:rFonts w:ascii="Arial Narrow" w:hAnsi="Arial Narrow"/>
        </w:rPr>
        <w:t xml:space="preserve">od januára 2017 </w:t>
      </w:r>
      <w:r w:rsidR="001C415C" w:rsidRPr="00B2546E">
        <w:rPr>
          <w:rFonts w:ascii="Arial Narrow" w:hAnsi="Arial Narrow"/>
        </w:rPr>
        <w:t xml:space="preserve">pre lepšiu koordináciu </w:t>
      </w:r>
      <w:r w:rsidR="001C415C">
        <w:rPr>
          <w:rFonts w:ascii="Arial Narrow" w:hAnsi="Arial Narrow"/>
        </w:rPr>
        <w:t xml:space="preserve">rezortov </w:t>
      </w:r>
      <w:r w:rsidR="001C415C" w:rsidRPr="00B2546E">
        <w:rPr>
          <w:rFonts w:ascii="Arial Narrow" w:hAnsi="Arial Narrow"/>
        </w:rPr>
        <w:t>presunuli z MDV SR na Úrad vlády SR.</w:t>
      </w:r>
      <w:r w:rsidR="001C415C">
        <w:rPr>
          <w:rFonts w:ascii="Arial Narrow" w:hAnsi="Arial Narrow"/>
        </w:rPr>
        <w:t xml:space="preserve"> </w:t>
      </w:r>
    </w:p>
    <w:p w14:paraId="01087B50" w14:textId="77777777" w:rsidR="008F3AF0" w:rsidRDefault="008F3AF0" w:rsidP="008F3AF0">
      <w:pPr>
        <w:spacing w:after="0" w:line="240" w:lineRule="auto"/>
        <w:jc w:val="both"/>
        <w:rPr>
          <w:rFonts w:ascii="Arial Narrow" w:hAnsi="Arial Narrow"/>
        </w:rPr>
      </w:pPr>
    </w:p>
    <w:p w14:paraId="3D6F5366" w14:textId="62671112" w:rsidR="008F3AF0" w:rsidRDefault="001C415C" w:rsidP="008F3AF0">
      <w:pPr>
        <w:spacing w:after="0" w:line="240" w:lineRule="auto"/>
        <w:jc w:val="both"/>
        <w:rPr>
          <w:rFonts w:ascii="Arial Narrow" w:hAnsi="Arial Narrow" w:cs="Arial Narrow"/>
        </w:rPr>
      </w:pPr>
      <w:r>
        <w:rPr>
          <w:rFonts w:ascii="Arial Narrow" w:hAnsi="Arial Narrow" w:cs="Arial Narrow"/>
        </w:rPr>
        <w:t>O</w:t>
      </w:r>
      <w:r w:rsidR="008F3AF0" w:rsidRPr="005B48EF">
        <w:rPr>
          <w:rFonts w:ascii="Arial Narrow" w:hAnsi="Arial Narrow" w:cs="Arial Narrow"/>
        </w:rPr>
        <w:t xml:space="preserve">d decembra 2015 </w:t>
      </w:r>
      <w:r>
        <w:rPr>
          <w:rFonts w:ascii="Arial Narrow" w:hAnsi="Arial Narrow" w:cs="Arial Narrow"/>
        </w:rPr>
        <w:t xml:space="preserve">platí </w:t>
      </w:r>
      <w:r w:rsidR="008F3AF0" w:rsidRPr="005B48EF">
        <w:rPr>
          <w:rFonts w:ascii="Arial Narrow" w:hAnsi="Arial Narrow" w:cs="Arial Narrow"/>
          <w:b/>
        </w:rPr>
        <w:t xml:space="preserve">odvodová úľava </w:t>
      </w:r>
      <w:r w:rsidR="008F3AF0" w:rsidRPr="005213AA">
        <w:rPr>
          <w:rFonts w:ascii="Arial Narrow" w:hAnsi="Arial Narrow" w:cs="Arial Narrow"/>
          <w:b/>
        </w:rPr>
        <w:t xml:space="preserve">pri zamestnávaní osôb </w:t>
      </w:r>
      <w:r w:rsidR="009D4848" w:rsidRPr="005213AA">
        <w:rPr>
          <w:rFonts w:ascii="Arial Narrow" w:hAnsi="Arial Narrow" w:cs="Arial Narrow"/>
          <w:b/>
        </w:rPr>
        <w:t xml:space="preserve">s trvalým </w:t>
      </w:r>
      <w:r w:rsidR="00691B3B" w:rsidRPr="005213AA">
        <w:rPr>
          <w:rFonts w:ascii="Arial Narrow" w:hAnsi="Arial Narrow" w:cs="Arial Narrow"/>
          <w:b/>
        </w:rPr>
        <w:t xml:space="preserve">pobytom v </w:t>
      </w:r>
      <w:r w:rsidR="005D05B2">
        <w:rPr>
          <w:rFonts w:ascii="Arial Narrow" w:hAnsi="Arial Narrow" w:cs="Arial Narrow"/>
          <w:b/>
        </w:rPr>
        <w:t xml:space="preserve">najmenej rozvinutých okresoch </w:t>
      </w:r>
      <w:r w:rsidR="005603BD" w:rsidRPr="005603BD">
        <w:rPr>
          <w:rFonts w:ascii="Arial Narrow" w:hAnsi="Arial Narrow" w:cs="Arial Narrow"/>
        </w:rPr>
        <w:t>a zároveň sa r</w:t>
      </w:r>
      <w:r w:rsidR="005D05B2">
        <w:rPr>
          <w:rFonts w:ascii="Arial Narrow" w:hAnsi="Arial Narrow" w:cs="Arial Narrow"/>
        </w:rPr>
        <w:t>ozšírila cieľová skupina nezamestnaných</w:t>
      </w:r>
      <w:r w:rsidR="008F3AF0" w:rsidRPr="005213AA">
        <w:rPr>
          <w:rFonts w:ascii="Arial Narrow" w:hAnsi="Arial Narrow" w:cs="Arial Narrow"/>
        </w:rPr>
        <w:t>.</w:t>
      </w:r>
      <w:r w:rsidR="008F3AF0" w:rsidRPr="005B48EF">
        <w:rPr>
          <w:rFonts w:ascii="Arial Narrow" w:hAnsi="Arial Narrow" w:cs="Arial Narrow"/>
        </w:rPr>
        <w:t xml:space="preserve"> Rozšírenie odvodovej úľavy sa týka novej skupiny zamestnancov, ktorí boli evidovaní </w:t>
      </w:r>
      <w:r w:rsidR="00691B3B">
        <w:rPr>
          <w:rFonts w:ascii="Arial Narrow" w:hAnsi="Arial Narrow" w:cs="Arial Narrow"/>
        </w:rPr>
        <w:t xml:space="preserve">ako </w:t>
      </w:r>
      <w:r w:rsidR="008F3AF0" w:rsidRPr="005B48EF">
        <w:rPr>
          <w:rFonts w:ascii="Arial Narrow" w:hAnsi="Arial Narrow" w:cs="Arial Narrow"/>
        </w:rPr>
        <w:t xml:space="preserve">nezamestnaní </w:t>
      </w:r>
      <w:r w:rsidR="00691B3B">
        <w:rPr>
          <w:rFonts w:ascii="Arial Narrow" w:hAnsi="Arial Narrow" w:cs="Arial Narrow"/>
        </w:rPr>
        <w:t xml:space="preserve">nepretržite </w:t>
      </w:r>
      <w:r w:rsidR="008F3AF0" w:rsidRPr="005B48EF">
        <w:rPr>
          <w:rFonts w:ascii="Arial Narrow" w:hAnsi="Arial Narrow" w:cs="Arial Narrow"/>
        </w:rPr>
        <w:t>najmenej 6 mesiacov</w:t>
      </w:r>
      <w:r w:rsidR="00691B3B">
        <w:rPr>
          <w:rFonts w:ascii="Arial Narrow" w:hAnsi="Arial Narrow" w:cs="Arial Narrow"/>
        </w:rPr>
        <w:t xml:space="preserve">, a ich príjem nepresahuje </w:t>
      </w:r>
      <w:r w:rsidR="005213AA">
        <w:rPr>
          <w:rFonts w:ascii="Arial Narrow" w:hAnsi="Arial Narrow" w:cs="Arial Narrow"/>
        </w:rPr>
        <w:t xml:space="preserve">67 % priemernej mzdy spred dvoch rokov (591,61 eur v roku 2017). </w:t>
      </w:r>
      <w:r w:rsidR="008F3AF0" w:rsidRPr="005B48EF">
        <w:rPr>
          <w:rFonts w:ascii="Arial Narrow" w:hAnsi="Arial Narrow" w:cs="Arial Narrow"/>
        </w:rPr>
        <w:t>Zamestnávateľ bude</w:t>
      </w:r>
      <w:r w:rsidR="00691B3B">
        <w:rPr>
          <w:rFonts w:ascii="Arial Narrow" w:hAnsi="Arial Narrow" w:cs="Arial Narrow"/>
        </w:rPr>
        <w:t xml:space="preserve"> za takýchto zamestnancov platiť </w:t>
      </w:r>
      <w:r w:rsidR="008F3AF0" w:rsidRPr="005B48EF">
        <w:rPr>
          <w:rFonts w:ascii="Arial Narrow" w:hAnsi="Arial Narrow" w:cs="Arial Narrow"/>
        </w:rPr>
        <w:t xml:space="preserve">poistné len na úrazové poistenie </w:t>
      </w:r>
      <w:r w:rsidR="00691B3B">
        <w:rPr>
          <w:rFonts w:ascii="Arial Narrow" w:hAnsi="Arial Narrow" w:cs="Arial Narrow"/>
        </w:rPr>
        <w:t xml:space="preserve">a garančné poistenie najviac 12 </w:t>
      </w:r>
      <w:r w:rsidR="008F3AF0" w:rsidRPr="005B48EF">
        <w:rPr>
          <w:rFonts w:ascii="Arial Narrow" w:hAnsi="Arial Narrow" w:cs="Arial Narrow"/>
        </w:rPr>
        <w:t>kalendárnych mesiacov.</w:t>
      </w:r>
    </w:p>
    <w:p w14:paraId="72DF57C1" w14:textId="77777777" w:rsidR="008F3AF0" w:rsidRDefault="008F3AF0" w:rsidP="008F3AF0">
      <w:pPr>
        <w:spacing w:after="0" w:line="240" w:lineRule="auto"/>
        <w:jc w:val="both"/>
        <w:rPr>
          <w:rFonts w:ascii="Arial Narrow" w:hAnsi="Arial Narrow" w:cs="Arial Narrow"/>
        </w:rPr>
      </w:pPr>
    </w:p>
    <w:p w14:paraId="7D367B66" w14:textId="336F4376" w:rsidR="008F3AF0" w:rsidRDefault="008F3AF0" w:rsidP="008F3AF0">
      <w:pPr>
        <w:spacing w:after="0" w:line="240" w:lineRule="auto"/>
        <w:jc w:val="both"/>
        <w:rPr>
          <w:rFonts w:ascii="Arial Narrow" w:hAnsi="Arial Narrow" w:cs="Arial Narrow"/>
        </w:rPr>
      </w:pPr>
      <w:r>
        <w:rPr>
          <w:rFonts w:ascii="Arial Narrow" w:hAnsi="Arial Narrow" w:cs="Arial Narrow"/>
        </w:rPr>
        <w:t xml:space="preserve">Zároveň sa </w:t>
      </w:r>
      <w:r w:rsidR="001C415C">
        <w:rPr>
          <w:rFonts w:ascii="Arial Narrow" w:hAnsi="Arial Narrow" w:cs="Arial Narrow"/>
        </w:rPr>
        <w:t>úpravou pravidiel pre poskytovanie</w:t>
      </w:r>
      <w:r>
        <w:rPr>
          <w:rFonts w:ascii="Arial Narrow" w:hAnsi="Arial Narrow" w:cs="Arial Narrow"/>
        </w:rPr>
        <w:t xml:space="preserve"> investičnej pomoci zaviedli aj menej striktné podmienky pre </w:t>
      </w:r>
      <w:r w:rsidRPr="0042212E">
        <w:rPr>
          <w:rFonts w:ascii="Arial Narrow" w:hAnsi="Arial Narrow" w:cs="Arial Narrow"/>
          <w:b/>
        </w:rPr>
        <w:t>čerpanie investičnej pomoci v najmenej rozvinutých okresoch.</w:t>
      </w:r>
      <w:r>
        <w:rPr>
          <w:rFonts w:ascii="Arial Narrow" w:hAnsi="Arial Narrow" w:cs="Arial Narrow"/>
        </w:rPr>
        <w:t xml:space="preserve"> Zatiaľ čo štandardne sa investičná pomoc poskytuje iba projektom s minimálnou investíciou na obstaranie majetku v hodnote najmenej 3 mil. eur až 10 mil. eur (v závislosti od lokality), v prípade najmenej rozvinutých okresov sa táto hranica znižuje na 200 tis. eur. V prípade malých a stredných podnikov pôsibiacich v najmenej roznitých okresoch sa uvedená hranica  znižuje až na úroveň 100 tis. eur.</w:t>
      </w:r>
    </w:p>
    <w:p w14:paraId="6B290D11" w14:textId="77777777" w:rsidR="008F3AF0" w:rsidRDefault="008F3AF0" w:rsidP="000940CA">
      <w:pPr>
        <w:spacing w:after="0" w:line="240" w:lineRule="auto"/>
        <w:jc w:val="both"/>
        <w:rPr>
          <w:rFonts w:ascii="Arial Narrow" w:hAnsi="Arial Narrow"/>
          <w:b/>
          <w:i/>
          <w:szCs w:val="24"/>
        </w:rPr>
      </w:pPr>
    </w:p>
    <w:p w14:paraId="27D15161" w14:textId="2196C79A" w:rsidR="000940CA" w:rsidRPr="00427CBC" w:rsidRDefault="000940CA" w:rsidP="000940CA">
      <w:pPr>
        <w:spacing w:after="0" w:line="240" w:lineRule="auto"/>
        <w:jc w:val="both"/>
        <w:rPr>
          <w:rFonts w:ascii="Arial Narrow" w:hAnsi="Arial Narrow"/>
          <w:iCs/>
          <w:szCs w:val="20"/>
        </w:rPr>
      </w:pPr>
      <w:r>
        <w:rPr>
          <w:rFonts w:ascii="Arial Narrow" w:hAnsi="Arial Narrow"/>
          <w:b/>
          <w:i/>
          <w:szCs w:val="24"/>
        </w:rPr>
        <w:t xml:space="preserve">Verejná správa – </w:t>
      </w:r>
      <w:r w:rsidRPr="00A94E2C">
        <w:rPr>
          <w:rFonts w:ascii="Arial Narrow" w:hAnsi="Arial Narrow"/>
          <w:b/>
          <w:i/>
          <w:szCs w:val="24"/>
        </w:rPr>
        <w:t>Reforma ESO</w:t>
      </w:r>
    </w:p>
    <w:p w14:paraId="242BC3CB" w14:textId="19EE51BC" w:rsidR="000940CA" w:rsidRPr="00AE35E3" w:rsidRDefault="000940CA" w:rsidP="000940CA">
      <w:pPr>
        <w:spacing w:after="0" w:line="240" w:lineRule="auto"/>
        <w:jc w:val="both"/>
        <w:rPr>
          <w:rFonts w:ascii="Arial Narrow" w:hAnsi="Arial Narrow"/>
          <w:szCs w:val="24"/>
        </w:rPr>
      </w:pPr>
      <w:r>
        <w:rPr>
          <w:rFonts w:ascii="Arial Narrow" w:hAnsi="Arial Narrow"/>
          <w:szCs w:val="24"/>
        </w:rPr>
        <w:t xml:space="preserve">V rámci reformy ESO bolo k januáru 2017 zriadených celkovo 50 </w:t>
      </w:r>
      <w:r>
        <w:rPr>
          <w:rFonts w:ascii="Arial Narrow" w:hAnsi="Arial Narrow"/>
          <w:b/>
          <w:szCs w:val="24"/>
        </w:rPr>
        <w:t>klientsky</w:t>
      </w:r>
      <w:r w:rsidRPr="00AE35E3">
        <w:rPr>
          <w:rFonts w:ascii="Arial Narrow" w:hAnsi="Arial Narrow"/>
          <w:b/>
          <w:szCs w:val="24"/>
        </w:rPr>
        <w:t>ch centier</w:t>
      </w:r>
      <w:r>
        <w:rPr>
          <w:rFonts w:ascii="Arial Narrow" w:hAnsi="Arial Narrow"/>
          <w:b/>
          <w:szCs w:val="24"/>
        </w:rPr>
        <w:t xml:space="preserve"> </w:t>
      </w:r>
      <w:r>
        <w:rPr>
          <w:rFonts w:ascii="Arial Narrow" w:hAnsi="Arial Narrow"/>
          <w:szCs w:val="24"/>
        </w:rPr>
        <w:t xml:space="preserve"> a v ich zriaďovaní sa plánuje ďalej pokračovať. Otváranie klientskych centier bolo zahájené v roku 2013. V legislatívnom procese dochádza z titulu reformy ESO k aktualizácii doložiek vybraných vplyvov o doložku </w:t>
      </w:r>
      <w:r w:rsidR="00ED2948">
        <w:rPr>
          <w:rFonts w:ascii="Arial Narrow" w:hAnsi="Arial Narrow"/>
          <w:i/>
          <w:szCs w:val="24"/>
        </w:rPr>
        <w:t xml:space="preserve">Vplyvy </w:t>
      </w:r>
      <w:r w:rsidRPr="00000A4B">
        <w:rPr>
          <w:rFonts w:ascii="Arial Narrow" w:hAnsi="Arial Narrow"/>
          <w:i/>
          <w:szCs w:val="24"/>
        </w:rPr>
        <w:t>s</w:t>
      </w:r>
      <w:r w:rsidR="00ED2948">
        <w:rPr>
          <w:rFonts w:ascii="Arial Narrow" w:hAnsi="Arial Narrow"/>
          <w:i/>
          <w:szCs w:val="24"/>
        </w:rPr>
        <w:t xml:space="preserve">lužieb verejnej správy na občana </w:t>
      </w:r>
      <w:r w:rsidR="00ED2948">
        <w:rPr>
          <w:rFonts w:ascii="Arial Narrow" w:hAnsi="Arial Narrow"/>
          <w:szCs w:val="24"/>
        </w:rPr>
        <w:t>a </w:t>
      </w:r>
      <w:r w:rsidR="00ED2948">
        <w:rPr>
          <w:rFonts w:ascii="Arial Narrow" w:hAnsi="Arial Narrow"/>
          <w:i/>
          <w:szCs w:val="24"/>
        </w:rPr>
        <w:t xml:space="preserve">Vplyvy </w:t>
      </w:r>
      <w:r w:rsidRPr="00000A4B">
        <w:rPr>
          <w:rFonts w:ascii="Arial Narrow" w:hAnsi="Arial Narrow"/>
          <w:i/>
          <w:szCs w:val="24"/>
        </w:rPr>
        <w:t>na pro</w:t>
      </w:r>
      <w:r w:rsidR="00ED2948">
        <w:rPr>
          <w:rFonts w:ascii="Arial Narrow" w:hAnsi="Arial Narrow"/>
          <w:i/>
          <w:szCs w:val="24"/>
        </w:rPr>
        <w:t>cesy služieb vo verejnej správe</w:t>
      </w:r>
      <w:r w:rsidR="00ED2948">
        <w:rPr>
          <w:rFonts w:ascii="Arial Narrow" w:hAnsi="Arial Narrow"/>
          <w:szCs w:val="24"/>
        </w:rPr>
        <w:t xml:space="preserve">. </w:t>
      </w:r>
    </w:p>
    <w:p w14:paraId="137499FB" w14:textId="77777777" w:rsidR="00082848" w:rsidRDefault="00082848" w:rsidP="00082848">
      <w:pPr>
        <w:spacing w:after="0" w:line="240" w:lineRule="auto"/>
        <w:jc w:val="both"/>
        <w:rPr>
          <w:rFonts w:ascii="Arial Narrow" w:hAnsi="Arial Narrow"/>
          <w:iCs/>
          <w:szCs w:val="20"/>
        </w:rPr>
      </w:pPr>
    </w:p>
    <w:p w14:paraId="64412A30" w14:textId="0C54F776" w:rsidR="00082848" w:rsidRDefault="003B7944" w:rsidP="00082848">
      <w:pPr>
        <w:spacing w:after="0" w:line="240" w:lineRule="auto"/>
        <w:jc w:val="both"/>
        <w:rPr>
          <w:rStyle w:val="Zstupntext"/>
          <w:rFonts w:ascii="Arial Narrow" w:hAnsi="Arial Narrow"/>
        </w:rPr>
      </w:pPr>
      <w:r>
        <w:rPr>
          <w:rFonts w:ascii="Arial Narrow" w:hAnsi="Arial Narrow"/>
          <w:b/>
          <w:i/>
        </w:rPr>
        <w:t>P</w:t>
      </w:r>
      <w:r w:rsidR="00082848">
        <w:rPr>
          <w:rFonts w:ascii="Arial Narrow" w:hAnsi="Arial Narrow"/>
          <w:b/>
          <w:i/>
        </w:rPr>
        <w:t>odpora inováci</w:t>
      </w:r>
      <w:r w:rsidR="00D86928">
        <w:rPr>
          <w:rFonts w:ascii="Arial Narrow" w:hAnsi="Arial Narrow"/>
          <w:b/>
          <w:i/>
        </w:rPr>
        <w:t>í</w:t>
      </w:r>
    </w:p>
    <w:p w14:paraId="2480AE6F" w14:textId="7E9E668E" w:rsidR="0030156A" w:rsidRDefault="00082848" w:rsidP="00082848">
      <w:pPr>
        <w:spacing w:after="0" w:line="240" w:lineRule="auto"/>
        <w:jc w:val="both"/>
        <w:rPr>
          <w:rFonts w:ascii="Arial Narrow" w:hAnsi="Arial Narrow"/>
          <w:szCs w:val="28"/>
        </w:rPr>
      </w:pPr>
      <w:r>
        <w:rPr>
          <w:rFonts w:ascii="Arial Narrow" w:hAnsi="Arial Narrow"/>
          <w:szCs w:val="28"/>
        </w:rPr>
        <w:t xml:space="preserve">Od roku 2015 zavedený </w:t>
      </w:r>
      <w:r w:rsidRPr="00673185">
        <w:rPr>
          <w:rFonts w:ascii="Arial Narrow" w:hAnsi="Arial Narrow"/>
          <w:b/>
          <w:szCs w:val="28"/>
        </w:rPr>
        <w:t>odpočet výdavkov na vedu a výskum</w:t>
      </w:r>
      <w:r>
        <w:rPr>
          <w:rFonts w:ascii="Arial Narrow" w:hAnsi="Arial Narrow"/>
          <w:szCs w:val="28"/>
        </w:rPr>
        <w:t xml:space="preserve"> má formou daňového zvýhodnenia podporiť investície podnikateľského sektora do vedy a výskumu. </w:t>
      </w:r>
      <w:r w:rsidRPr="002C5A62">
        <w:rPr>
          <w:rFonts w:ascii="Arial Narrow" w:hAnsi="Arial Narrow"/>
          <w:szCs w:val="28"/>
        </w:rPr>
        <w:t xml:space="preserve">V zdaňovacom období 2015 si </w:t>
      </w:r>
      <w:r>
        <w:rPr>
          <w:rFonts w:ascii="Arial Narrow" w:hAnsi="Arial Narrow"/>
          <w:szCs w:val="28"/>
        </w:rPr>
        <w:t xml:space="preserve">tzv. </w:t>
      </w:r>
      <w:r w:rsidRPr="00673185">
        <w:rPr>
          <w:rFonts w:ascii="Arial Narrow" w:hAnsi="Arial Narrow"/>
          <w:szCs w:val="28"/>
        </w:rPr>
        <w:t xml:space="preserve">super </w:t>
      </w:r>
      <w:r>
        <w:rPr>
          <w:rFonts w:ascii="Arial Narrow" w:hAnsi="Arial Narrow"/>
          <w:szCs w:val="28"/>
        </w:rPr>
        <w:t xml:space="preserve">odpočet </w:t>
      </w:r>
      <w:r w:rsidRPr="002C5A62">
        <w:rPr>
          <w:rFonts w:ascii="Arial Narrow" w:hAnsi="Arial Narrow"/>
          <w:szCs w:val="28"/>
        </w:rPr>
        <w:t>uplatnilo 84 subjektov v objeme 9,2 mil. eur, tieto subjekty zaplatili daň v objeme 63,3 mil. eu</w:t>
      </w:r>
      <w:r>
        <w:rPr>
          <w:rFonts w:ascii="Arial Narrow" w:hAnsi="Arial Narrow"/>
          <w:szCs w:val="28"/>
        </w:rPr>
        <w:t>r (2,2 % celkového výnosu DPPO).</w:t>
      </w:r>
      <w:r w:rsidR="0030156A">
        <w:rPr>
          <w:rFonts w:ascii="Arial Narrow" w:hAnsi="Arial Narrow"/>
          <w:szCs w:val="28"/>
        </w:rPr>
        <w:t xml:space="preserve"> Daňová úľava nemala zásadný motivujúci účinok pre nové a malé firmy. Využili ju najmä na trhu dlhodobo úspešné a etablované firmy. Približne 69 % objemu si uplatnili veľké firmy s počtom 100 a viac zamestnancov. Malé a stredné firmy tvorili na uvedenej úľave 31 %.</w:t>
      </w:r>
    </w:p>
    <w:p w14:paraId="7DC785B9" w14:textId="019EF8E2" w:rsidR="00285312" w:rsidRPr="00773B8C" w:rsidRDefault="00285312" w:rsidP="00773B8C">
      <w:pPr>
        <w:spacing w:after="0" w:line="240" w:lineRule="auto"/>
        <w:jc w:val="both"/>
        <w:rPr>
          <w:rFonts w:ascii="Arial Narrow" w:hAnsi="Arial Narrow"/>
          <w:szCs w:val="28"/>
        </w:rPr>
      </w:pPr>
    </w:p>
    <w:p w14:paraId="7E9302C8" w14:textId="77777777" w:rsidR="00FC6A70" w:rsidRPr="00A94E2C" w:rsidRDefault="00FC6A70" w:rsidP="00D42A65">
      <w:pPr>
        <w:spacing w:after="0" w:line="240" w:lineRule="auto"/>
        <w:jc w:val="both"/>
        <w:rPr>
          <w:rFonts w:ascii="Arial Narrow" w:hAnsi="Arial Narrow"/>
          <w:b/>
          <w:i/>
          <w:szCs w:val="24"/>
        </w:rPr>
      </w:pPr>
      <w:r>
        <w:rPr>
          <w:rFonts w:ascii="Arial Narrow" w:hAnsi="Arial Narrow"/>
          <w:b/>
          <w:i/>
          <w:szCs w:val="24"/>
        </w:rPr>
        <w:t>Obozretnejšie poskytovanie úverov domácnostiam</w:t>
      </w:r>
    </w:p>
    <w:p w14:paraId="05DE5B53" w14:textId="51B8469A" w:rsidR="00E9605F" w:rsidRDefault="00C31D2B" w:rsidP="0074094C">
      <w:pPr>
        <w:spacing w:after="120" w:line="240" w:lineRule="auto"/>
        <w:jc w:val="both"/>
        <w:rPr>
          <w:rFonts w:ascii="Arial Narrow" w:hAnsi="Arial Narrow" w:cs="Arial Narrow"/>
        </w:rPr>
      </w:pPr>
      <w:r>
        <w:rPr>
          <w:rFonts w:ascii="Arial Narrow" w:hAnsi="Arial Narrow" w:cs="Arial Narrow"/>
        </w:rPr>
        <w:t xml:space="preserve">Zadlženosť slovenských domácností rastie nepretržite od roku 2003, pričom od roku 2010 dosahuje </w:t>
      </w:r>
      <w:r w:rsidR="00FC6A70" w:rsidRPr="00285312">
        <w:rPr>
          <w:rFonts w:ascii="Arial Narrow" w:hAnsi="Arial Narrow" w:cs="Arial Narrow"/>
        </w:rPr>
        <w:t>navyšší</w:t>
      </w:r>
      <w:r>
        <w:rPr>
          <w:rFonts w:ascii="Arial Narrow" w:hAnsi="Arial Narrow" w:cs="Arial Narrow"/>
        </w:rPr>
        <w:t xml:space="preserve"> rast v krajinách EÚ. </w:t>
      </w:r>
      <w:r w:rsidR="00FC6A70" w:rsidRPr="00285312">
        <w:rPr>
          <w:rFonts w:ascii="Arial Narrow" w:hAnsi="Arial Narrow" w:cs="Arial Narrow"/>
        </w:rPr>
        <w:t xml:space="preserve">Dlhotrvajúci rast úverov poskytnutých domácnostiam je podporovaný stále nízkymi úrokovými sadzbami. </w:t>
      </w:r>
      <w:r w:rsidR="00A94BB7">
        <w:rPr>
          <w:rFonts w:ascii="Arial Narrow" w:hAnsi="Arial Narrow" w:cs="Arial Narrow"/>
        </w:rPr>
        <w:t>Celková m</w:t>
      </w:r>
      <w:r w:rsidR="00FC6A70" w:rsidRPr="00285312">
        <w:rPr>
          <w:rFonts w:ascii="Arial Narrow" w:hAnsi="Arial Narrow" w:cs="Arial Narrow"/>
        </w:rPr>
        <w:t xml:space="preserve">iera zadĺženia </w:t>
      </w:r>
      <w:r w:rsidR="003B5C5D">
        <w:rPr>
          <w:rFonts w:ascii="Arial Narrow" w:hAnsi="Arial Narrow" w:cs="Arial Narrow"/>
        </w:rPr>
        <w:t xml:space="preserve">domácností </w:t>
      </w:r>
      <w:r w:rsidR="00B3393F">
        <w:rPr>
          <w:rFonts w:ascii="Arial Narrow" w:hAnsi="Arial Narrow" w:cs="Arial Narrow"/>
        </w:rPr>
        <w:t>v pomere k HDP a k d</w:t>
      </w:r>
      <w:r w:rsidR="00FC6A70" w:rsidRPr="00285312">
        <w:rPr>
          <w:rFonts w:ascii="Arial Narrow" w:hAnsi="Arial Narrow" w:cs="Arial Narrow"/>
        </w:rPr>
        <w:t>isponibilným príjmom domácností však zostáva výrazne pod priemerom krajín EÚ</w:t>
      </w:r>
      <w:r w:rsidR="00FC6A70">
        <w:rPr>
          <w:rStyle w:val="Odkaznapoznmkupodiarou"/>
          <w:rFonts w:ascii="Arial Narrow" w:hAnsi="Arial Narrow" w:cs="Arial Narrow"/>
        </w:rPr>
        <w:footnoteReference w:id="13"/>
      </w:r>
      <w:r w:rsidR="00FC6A70" w:rsidRPr="00285312">
        <w:rPr>
          <w:rFonts w:ascii="Arial Narrow" w:hAnsi="Arial Narrow" w:cs="Arial Narrow"/>
        </w:rPr>
        <w:t xml:space="preserve">. </w:t>
      </w:r>
    </w:p>
    <w:p w14:paraId="68DEC045" w14:textId="017442C0" w:rsidR="00FC6A70" w:rsidRPr="00AD310A" w:rsidRDefault="00E9605F" w:rsidP="00D42A65">
      <w:pPr>
        <w:spacing w:after="0" w:line="240" w:lineRule="auto"/>
        <w:jc w:val="both"/>
        <w:rPr>
          <w:rFonts w:ascii="Times New Roman" w:hAnsi="Times New Roman"/>
          <w:color w:val="000000"/>
        </w:rPr>
      </w:pPr>
      <w:r w:rsidRPr="00285312">
        <w:rPr>
          <w:rFonts w:ascii="Arial Narrow" w:hAnsi="Arial Narrow" w:cs="Arial Narrow"/>
        </w:rPr>
        <w:t xml:space="preserve">Na </w:t>
      </w:r>
      <w:r w:rsidRPr="00B2738A">
        <w:rPr>
          <w:rFonts w:ascii="Arial Narrow" w:hAnsi="Arial Narrow" w:cs="Arial Narrow"/>
          <w:b/>
        </w:rPr>
        <w:t>posilnenie obozretného poskytovania úverov</w:t>
      </w:r>
      <w:r w:rsidRPr="00285312">
        <w:rPr>
          <w:rFonts w:ascii="Arial Narrow" w:hAnsi="Arial Narrow" w:cs="Arial Narrow"/>
        </w:rPr>
        <w:t xml:space="preserve"> </w:t>
      </w:r>
      <w:r>
        <w:rPr>
          <w:rFonts w:ascii="Arial Narrow" w:hAnsi="Arial Narrow" w:cs="Arial Narrow"/>
        </w:rPr>
        <w:t>zaviedl</w:t>
      </w:r>
      <w:r w:rsidR="00040F9A">
        <w:rPr>
          <w:rFonts w:ascii="Arial Narrow" w:hAnsi="Arial Narrow" w:cs="Arial Narrow"/>
        </w:rPr>
        <w:t xml:space="preserve">i </w:t>
      </w:r>
      <w:r>
        <w:rPr>
          <w:rFonts w:ascii="Arial Narrow" w:hAnsi="Arial Narrow" w:cs="Arial Narrow"/>
        </w:rPr>
        <w:t xml:space="preserve">MF SR a NBS </w:t>
      </w:r>
      <w:r w:rsidRPr="00285312">
        <w:rPr>
          <w:rFonts w:ascii="Arial Narrow" w:hAnsi="Arial Narrow" w:cs="Arial Narrow"/>
        </w:rPr>
        <w:t>viaceré opatrenia.</w:t>
      </w:r>
      <w:r>
        <w:rPr>
          <w:rFonts w:ascii="Arial Narrow" w:hAnsi="Arial Narrow" w:cs="Arial Narrow"/>
        </w:rPr>
        <w:t xml:space="preserve"> Upravili sa podmienky na poskytovanie </w:t>
      </w:r>
      <w:r w:rsidRPr="00E9605F">
        <w:rPr>
          <w:rFonts w:ascii="Arial Narrow" w:hAnsi="Arial Narrow" w:cs="Arial Narrow"/>
        </w:rPr>
        <w:t>úver</w:t>
      </w:r>
      <w:r>
        <w:rPr>
          <w:rFonts w:ascii="Arial Narrow" w:hAnsi="Arial Narrow" w:cs="Arial Narrow"/>
        </w:rPr>
        <w:t>ov</w:t>
      </w:r>
      <w:r w:rsidRPr="00E9605F">
        <w:rPr>
          <w:rFonts w:ascii="Arial Narrow" w:hAnsi="Arial Narrow" w:cs="Arial Narrow"/>
        </w:rPr>
        <w:t xml:space="preserve"> na bývanie</w:t>
      </w:r>
      <w:r w:rsidRPr="00E9605F">
        <w:rPr>
          <w:rStyle w:val="Odkaznapoznmkupodiarou"/>
          <w:rFonts w:ascii="Arial Narrow" w:hAnsi="Arial Narrow" w:cs="Arial Narrow"/>
        </w:rPr>
        <w:footnoteReference w:id="14"/>
      </w:r>
      <w:r>
        <w:rPr>
          <w:rFonts w:ascii="Arial Narrow" w:hAnsi="Arial Narrow" w:cs="Arial Narrow"/>
        </w:rPr>
        <w:t xml:space="preserve"> a spotrebiteľské úvery</w:t>
      </w:r>
      <w:r>
        <w:rPr>
          <w:rStyle w:val="Odkaznapoznmkupodiarou"/>
          <w:rFonts w:ascii="Arial Narrow" w:hAnsi="Arial Narrow" w:cs="Arial Narrow"/>
        </w:rPr>
        <w:footnoteReference w:id="15"/>
      </w:r>
      <w:r>
        <w:rPr>
          <w:rFonts w:ascii="Arial Narrow" w:hAnsi="Arial Narrow" w:cs="Arial Narrow"/>
        </w:rPr>
        <w:t xml:space="preserve">. </w:t>
      </w:r>
      <w:r w:rsidR="00FC6A70" w:rsidRPr="00285312">
        <w:rPr>
          <w:rFonts w:ascii="Arial Narrow" w:hAnsi="Arial Narrow" w:cs="Arial Narrow"/>
        </w:rPr>
        <w:t xml:space="preserve">Zmeny sa týkajú určovania ukazovateľa schopnosti klienta splácať úver so zohľadnením potenciálneho nárastu úrokových sadzieb, či overovania jeho príjmov. </w:t>
      </w:r>
      <w:r w:rsidR="008F7A9C">
        <w:rPr>
          <w:rFonts w:ascii="Arial Narrow" w:hAnsi="Arial Narrow" w:cs="Arial Narrow"/>
        </w:rPr>
        <w:t xml:space="preserve">Pre spotrebiteľské úvery sa zaviedli </w:t>
      </w:r>
      <w:r w:rsidR="00FC6A70" w:rsidRPr="00285312">
        <w:rPr>
          <w:rFonts w:ascii="Arial Narrow" w:hAnsi="Arial Narrow" w:cs="Arial Narrow"/>
        </w:rPr>
        <w:t>limity pre maximálnu splatnosť a poskytovať ich môžu len subjekty s licenciou.</w:t>
      </w:r>
      <w:r w:rsidR="00CC5DAE">
        <w:rPr>
          <w:rFonts w:ascii="Arial Narrow" w:hAnsi="Arial Narrow" w:cs="Arial Narrow"/>
        </w:rPr>
        <w:t xml:space="preserve"> </w:t>
      </w:r>
      <w:r w:rsidR="00FC6A70" w:rsidRPr="00285312">
        <w:rPr>
          <w:rFonts w:ascii="Arial Narrow" w:hAnsi="Arial Narrow" w:cs="Arial Narrow"/>
        </w:rPr>
        <w:t xml:space="preserve">Opatrením NBS sa zároveň od januára 2017 obmedzuje </w:t>
      </w:r>
      <w:r w:rsidR="00FC6A70">
        <w:rPr>
          <w:rFonts w:ascii="Arial Narrow" w:hAnsi="Arial Narrow" w:cs="Arial Narrow"/>
        </w:rPr>
        <w:t xml:space="preserve">bankám </w:t>
      </w:r>
      <w:r w:rsidR="00FC6A70" w:rsidRPr="00285312">
        <w:rPr>
          <w:rFonts w:ascii="Arial Narrow" w:hAnsi="Arial Narrow" w:cs="Arial Narrow"/>
        </w:rPr>
        <w:t>poskytovanie úverov na bývanie nad 90 % hodnoty nehnuteľnosti a s</w:t>
      </w:r>
      <w:r w:rsidR="00FC6A70">
        <w:rPr>
          <w:rFonts w:ascii="Arial Narrow" w:hAnsi="Arial Narrow" w:cs="Arial Narrow"/>
        </w:rPr>
        <w:t xml:space="preserve"> lehotou splatnosti nad </w:t>
      </w:r>
      <w:r w:rsidR="00FC6A70" w:rsidRPr="00285312">
        <w:rPr>
          <w:rFonts w:ascii="Arial Narrow" w:hAnsi="Arial Narrow" w:cs="Arial Narrow"/>
        </w:rPr>
        <w:t>30 rokov.</w:t>
      </w:r>
    </w:p>
    <w:p w14:paraId="5C13948F" w14:textId="6560AFD7" w:rsidR="00E81DE6" w:rsidRDefault="00E81DE6" w:rsidP="007B7EDC">
      <w:pPr>
        <w:pStyle w:val="Nadpis1"/>
        <w:numPr>
          <w:ilvl w:val="0"/>
          <w:numId w:val="1"/>
        </w:numPr>
        <w:spacing w:line="240" w:lineRule="auto"/>
        <w:rPr>
          <w:rFonts w:ascii="Arial Narrow" w:hAnsi="Arial Narrow"/>
          <w:color w:val="auto"/>
          <w:sz w:val="32"/>
          <w:szCs w:val="32"/>
        </w:rPr>
      </w:pPr>
      <w:bookmarkStart w:id="7" w:name="_Toc386005361"/>
      <w:bookmarkStart w:id="8" w:name="_Toc477259945"/>
      <w:r w:rsidRPr="007B7EDC">
        <w:rPr>
          <w:rFonts w:ascii="Arial Narrow" w:hAnsi="Arial Narrow"/>
          <w:color w:val="auto"/>
          <w:sz w:val="32"/>
          <w:szCs w:val="32"/>
        </w:rPr>
        <w:lastRenderedPageBreak/>
        <w:t>Makroekonomický rámec a strednodobá prognóza</w:t>
      </w:r>
      <w:bookmarkEnd w:id="7"/>
      <w:bookmarkEnd w:id="8"/>
    </w:p>
    <w:p w14:paraId="23518994" w14:textId="77777777" w:rsidR="000A0811" w:rsidRPr="000A0811" w:rsidRDefault="000A0811" w:rsidP="000A0811">
      <w:pPr>
        <w:spacing w:after="0" w:line="240" w:lineRule="auto"/>
      </w:pPr>
    </w:p>
    <w:p w14:paraId="519CA57E" w14:textId="57CC1C29" w:rsidR="006E43E2" w:rsidRPr="006E43E2" w:rsidRDefault="006E43E2" w:rsidP="006E43E2">
      <w:pPr>
        <w:spacing w:after="0" w:line="240" w:lineRule="auto"/>
        <w:jc w:val="both"/>
        <w:rPr>
          <w:rFonts w:ascii="Arial Narrow" w:hAnsi="Arial Narrow"/>
          <w:color w:val="000000"/>
        </w:rPr>
      </w:pPr>
      <w:r w:rsidRPr="006E43E2">
        <w:rPr>
          <w:rFonts w:ascii="Arial Narrow" w:hAnsi="Arial Narrow"/>
          <w:color w:val="000000"/>
        </w:rPr>
        <w:t xml:space="preserve">Makroekonomickú a fiškálnu stabilitu považuje vláda SR za základný predpoklad zdravého vývoja ekonomiky a rastu kvality života. Nasledujúca kapitola obsahuje základný makroekonomický </w:t>
      </w:r>
      <w:r w:rsidR="00FC4A85">
        <w:rPr>
          <w:rFonts w:ascii="Arial Narrow" w:hAnsi="Arial Narrow"/>
          <w:color w:val="000000"/>
        </w:rPr>
        <w:t>výhľad.</w:t>
      </w:r>
      <w:r w:rsidRPr="006E43E2">
        <w:rPr>
          <w:rFonts w:ascii="Arial Narrow" w:hAnsi="Arial Narrow"/>
          <w:color w:val="000000"/>
        </w:rPr>
        <w:t xml:space="preserve"> </w:t>
      </w:r>
    </w:p>
    <w:p w14:paraId="0185C5F1" w14:textId="77777777" w:rsidR="006E43E2" w:rsidRPr="006E43E2" w:rsidRDefault="006E43E2" w:rsidP="006E43E2">
      <w:pPr>
        <w:spacing w:after="0" w:line="240" w:lineRule="auto"/>
        <w:jc w:val="both"/>
        <w:rPr>
          <w:rFonts w:ascii="Arial Narrow" w:hAnsi="Arial Narrow"/>
          <w:color w:val="000000"/>
        </w:rPr>
      </w:pPr>
    </w:p>
    <w:p w14:paraId="04076900" w14:textId="2E789252" w:rsidR="006E43E2" w:rsidRPr="00152128" w:rsidRDefault="00FC4A85" w:rsidP="006E43E2">
      <w:pPr>
        <w:spacing w:after="0" w:line="240" w:lineRule="auto"/>
        <w:jc w:val="both"/>
        <w:rPr>
          <w:rFonts w:ascii="Arial Narrow" w:hAnsi="Arial Narrow"/>
          <w:b/>
          <w:i/>
          <w:color w:val="000000"/>
        </w:rPr>
      </w:pPr>
      <w:r>
        <w:rPr>
          <w:rFonts w:ascii="Arial Narrow" w:hAnsi="Arial Narrow"/>
          <w:b/>
          <w:i/>
          <w:color w:val="000000"/>
        </w:rPr>
        <w:t>Rast ťahala spotreba domácností a čistý export</w:t>
      </w:r>
    </w:p>
    <w:p w14:paraId="48CD32B3" w14:textId="122375F9" w:rsidR="006E43E2" w:rsidRPr="006E43E2" w:rsidRDefault="006E43E2" w:rsidP="006E43E2">
      <w:pPr>
        <w:spacing w:after="0" w:line="240" w:lineRule="auto"/>
        <w:jc w:val="both"/>
        <w:rPr>
          <w:rFonts w:ascii="Arial Narrow" w:hAnsi="Arial Narrow"/>
          <w:color w:val="000000"/>
        </w:rPr>
      </w:pPr>
      <w:r w:rsidRPr="00152128">
        <w:rPr>
          <w:rFonts w:ascii="Arial Narrow" w:hAnsi="Arial Narrow"/>
          <w:color w:val="000000"/>
        </w:rPr>
        <w:t xml:space="preserve">Slovenská ekonomika vlani vzrástla o 3,3 %. Hlavným motorom rastu bola spotreba domácností a po dvoch rokoch aj čistý export. Zvoľnenie rastu oproti predošlému roku odráža najmä nižšie čerpanie EÚ fondov v novom programovom období. Výsledkom je </w:t>
      </w:r>
      <w:r w:rsidR="00152128" w:rsidRPr="00152128">
        <w:rPr>
          <w:rFonts w:ascii="Arial Narrow" w:hAnsi="Arial Narrow"/>
          <w:color w:val="000000"/>
        </w:rPr>
        <w:t>9</w:t>
      </w:r>
      <w:r w:rsidR="008B6933">
        <w:rPr>
          <w:rFonts w:ascii="Arial Narrow" w:hAnsi="Arial Narrow"/>
          <w:color w:val="000000"/>
        </w:rPr>
        <w:t>-</w:t>
      </w:r>
      <w:r w:rsidRPr="00152128">
        <w:rPr>
          <w:rFonts w:ascii="Arial Narrow" w:hAnsi="Arial Narrow"/>
          <w:color w:val="000000"/>
        </w:rPr>
        <w:t>percentný</w:t>
      </w:r>
      <w:r w:rsidRPr="006E43E2">
        <w:rPr>
          <w:rFonts w:ascii="Arial Narrow" w:hAnsi="Arial Narrow"/>
          <w:color w:val="000000"/>
        </w:rPr>
        <w:t xml:space="preserve"> pokles investícií v celej ekonomike. Pozitívom je rast spotreby domácností, ktorý bol vďaka výbornej kondícii trhu práce a klesajúcim cenám najvyšší od roku 2008. Export nezopakoval veľmi silný rast z roku 2015, keď ani rekordná výroba v automobilovom sektore nedokázala vykompenzovať spomalenie v krajinách V3.</w:t>
      </w:r>
    </w:p>
    <w:p w14:paraId="031ECEBE" w14:textId="77777777" w:rsidR="006E43E2" w:rsidRPr="006E43E2" w:rsidRDefault="006E43E2" w:rsidP="006E43E2">
      <w:pPr>
        <w:spacing w:after="0" w:line="240" w:lineRule="auto"/>
        <w:jc w:val="both"/>
        <w:rPr>
          <w:rFonts w:ascii="Arial Narrow" w:hAnsi="Arial Narrow"/>
          <w:color w:val="000000"/>
        </w:rPr>
      </w:pPr>
    </w:p>
    <w:p w14:paraId="4FEDF264" w14:textId="6752ED83" w:rsidR="006E43E2" w:rsidRPr="006E43E2" w:rsidRDefault="006E43E2" w:rsidP="006E43E2">
      <w:pPr>
        <w:spacing w:after="0" w:line="240" w:lineRule="auto"/>
        <w:jc w:val="both"/>
        <w:rPr>
          <w:rFonts w:ascii="Arial Narrow" w:hAnsi="Arial Narrow"/>
          <w:color w:val="000000"/>
        </w:rPr>
      </w:pPr>
      <w:r w:rsidRPr="006E43E2">
        <w:rPr>
          <w:rFonts w:ascii="Arial Narrow" w:hAnsi="Arial Narrow"/>
          <w:color w:val="000000"/>
        </w:rPr>
        <w:t>Trh práce v roku 2016 zaznamenal jeden z najlepších rokov. Zvýšenie počt</w:t>
      </w:r>
      <w:r w:rsidR="004D353B">
        <w:rPr>
          <w:rFonts w:ascii="Arial Narrow" w:hAnsi="Arial Narrow"/>
          <w:color w:val="000000"/>
        </w:rPr>
        <w:t>u pracujúcich o 54 tisíc</w:t>
      </w:r>
      <w:r w:rsidR="004D353B">
        <w:rPr>
          <w:rStyle w:val="Odkaznapoznmkupodiarou"/>
          <w:rFonts w:ascii="Arial Narrow" w:hAnsi="Arial Narrow"/>
          <w:color w:val="000000"/>
        </w:rPr>
        <w:footnoteReference w:id="16"/>
      </w:r>
      <w:r w:rsidR="004D353B">
        <w:rPr>
          <w:rFonts w:ascii="Arial Narrow" w:hAnsi="Arial Narrow"/>
          <w:color w:val="000000"/>
        </w:rPr>
        <w:t xml:space="preserve"> </w:t>
      </w:r>
      <w:r w:rsidRPr="006E43E2">
        <w:rPr>
          <w:rFonts w:ascii="Arial Narrow" w:hAnsi="Arial Narrow"/>
          <w:color w:val="000000"/>
        </w:rPr>
        <w:t>viedlo k</w:t>
      </w:r>
      <w:r w:rsidR="003C2381">
        <w:rPr>
          <w:rFonts w:ascii="Arial Narrow" w:hAnsi="Arial Narrow"/>
          <w:color w:val="000000"/>
        </w:rPr>
        <w:t xml:space="preserve"> poklesu miery nezamestnanosti </w:t>
      </w:r>
      <w:r w:rsidRPr="006E43E2">
        <w:rPr>
          <w:rFonts w:ascii="Arial Narrow" w:hAnsi="Arial Narrow"/>
          <w:color w:val="000000"/>
        </w:rPr>
        <w:t>(podľa metodiky VZPS) na úroveň 9,6 %. Ide o vyrovnanie rekordného roku 2008. Pracovné miesta sa tvorili rovnomerne vo všetkých sektoroch domácej ekonomiky. Rekordne rástol počet cudzincov pracujúcich na Slovensku (nárast o 8 tisíc), ktorí obsadili 15 % všetkých nových pracovných miest. Nominálne mzdy sa zvýšili o 3,</w:t>
      </w:r>
      <w:r w:rsidR="00432653">
        <w:rPr>
          <w:rFonts w:ascii="Arial Narrow" w:hAnsi="Arial Narrow"/>
          <w:color w:val="000000"/>
        </w:rPr>
        <w:t>3</w:t>
      </w:r>
      <w:r w:rsidRPr="006E43E2">
        <w:rPr>
          <w:rFonts w:ascii="Arial Narrow" w:hAnsi="Arial Narrow"/>
          <w:color w:val="000000"/>
        </w:rPr>
        <w:t xml:space="preserve"> %. Reálne mzdy vďaka deflačnému vývoju rástli ešte rýchlejšie, a to tempom 3,</w:t>
      </w:r>
      <w:r w:rsidR="00432653">
        <w:rPr>
          <w:rFonts w:ascii="Arial Narrow" w:hAnsi="Arial Narrow"/>
          <w:color w:val="000000"/>
        </w:rPr>
        <w:t>8</w:t>
      </w:r>
      <w:r w:rsidRPr="006E43E2">
        <w:rPr>
          <w:rFonts w:ascii="Arial Narrow" w:hAnsi="Arial Narrow"/>
          <w:color w:val="000000"/>
        </w:rPr>
        <w:t xml:space="preserve"> %. Tretí rok po sebe výrazne predbiehajú rast produktivity práce.</w:t>
      </w:r>
    </w:p>
    <w:p w14:paraId="7678B5FA" w14:textId="77777777" w:rsidR="006E43E2" w:rsidRPr="006E43E2" w:rsidRDefault="006E43E2" w:rsidP="006E43E2">
      <w:pPr>
        <w:spacing w:after="0" w:line="240" w:lineRule="auto"/>
        <w:jc w:val="both"/>
        <w:rPr>
          <w:rFonts w:ascii="Arial Narrow" w:hAnsi="Arial Narrow"/>
          <w:color w:val="000000"/>
        </w:rPr>
      </w:pPr>
    </w:p>
    <w:p w14:paraId="530015E3" w14:textId="0FEA2BE3" w:rsidR="001F0607" w:rsidRDefault="006E43E2" w:rsidP="006E43E2">
      <w:pPr>
        <w:spacing w:after="0" w:line="240" w:lineRule="auto"/>
        <w:jc w:val="both"/>
        <w:rPr>
          <w:rFonts w:ascii="Arial Narrow" w:hAnsi="Arial Narrow"/>
          <w:color w:val="000000"/>
        </w:rPr>
      </w:pPr>
      <w:r w:rsidRPr="006E43E2">
        <w:rPr>
          <w:rFonts w:ascii="Arial Narrow" w:hAnsi="Arial Narrow"/>
          <w:color w:val="000000"/>
        </w:rPr>
        <w:t>Inflácia dosiahla v roku 2016 svoje dno. Celoročne sa pokles cien prehĺbil na 0,5 %. Zapríčinený bol predovšetkým mimoriadne nízkymi cenami potravín a pomalým rastom cien obchodovateľných tovarov. Koncom roka sa inflácia dostala od kladných čísel najmä pre nárast cien potravín a pohonných hmôt, ktoré reagovali na rastúcu cenu ropy. Zrýchlil aj rast cien služieb, kým ceny obchodovateľných tovarov stagnovali. Zrýchľovanie inflácie pokračovalo aj na začiatku roka 2017.</w:t>
      </w:r>
    </w:p>
    <w:p w14:paraId="27DD3F01" w14:textId="77777777" w:rsidR="006E43E2" w:rsidRDefault="006E43E2" w:rsidP="006E43E2">
      <w:pPr>
        <w:spacing w:after="0" w:line="240" w:lineRule="auto"/>
        <w:jc w:val="both"/>
        <w:rPr>
          <w:rFonts w:ascii="Arial Narrow" w:hAnsi="Arial Narrow"/>
          <w:color w:val="000000"/>
        </w:rPr>
      </w:pP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34"/>
        <w:gridCol w:w="222"/>
        <w:gridCol w:w="4208"/>
      </w:tblGrid>
      <w:tr w:rsidR="006E43E2" w:rsidRPr="00256D89" w14:paraId="751FA783" w14:textId="77777777" w:rsidTr="00D42B95">
        <w:trPr>
          <w:trHeight w:val="126"/>
        </w:trPr>
        <w:tc>
          <w:tcPr>
            <w:tcW w:w="3836" w:type="dxa"/>
            <w:tcBorders>
              <w:top w:val="nil"/>
              <w:left w:val="nil"/>
              <w:bottom w:val="single" w:sz="4" w:space="0" w:color="auto"/>
              <w:right w:val="nil"/>
            </w:tcBorders>
            <w:vAlign w:val="bottom"/>
          </w:tcPr>
          <w:p w14:paraId="7EF09720" w14:textId="0A17FC10" w:rsidR="006E43E2" w:rsidRPr="006E43E2" w:rsidRDefault="006E43E2" w:rsidP="00BC15D1">
            <w:pPr>
              <w:pStyle w:val="Popis"/>
              <w:rPr>
                <w:rFonts w:cs="Arial"/>
                <w:szCs w:val="20"/>
              </w:rPr>
            </w:pPr>
            <w:bookmarkStart w:id="9" w:name="_Toc478656306"/>
            <w:r w:rsidRPr="00256D89">
              <w:t xml:space="preserve">Graf </w:t>
            </w:r>
            <w:fldSimple w:instr=" SEQ Graf \* ARABIC ">
              <w:r w:rsidR="002E71B2">
                <w:rPr>
                  <w:noProof/>
                </w:rPr>
                <w:t>3</w:t>
              </w:r>
            </w:fldSimple>
            <w:r w:rsidRPr="00256D89">
              <w:t xml:space="preserve">: </w:t>
            </w:r>
            <w:r>
              <w:t xml:space="preserve"> </w:t>
            </w:r>
            <w:r w:rsidRPr="006E43E2">
              <w:rPr>
                <w:rFonts w:cs="Arial"/>
                <w:szCs w:val="20"/>
              </w:rPr>
              <w:t>Príspevky k</w:t>
            </w:r>
            <w:r>
              <w:rPr>
                <w:rFonts w:cs="Arial"/>
                <w:szCs w:val="20"/>
              </w:rPr>
              <w:t xml:space="preserve"> rastu HDP na Slovensku, 2012 – </w:t>
            </w:r>
            <w:r w:rsidRPr="006E43E2">
              <w:rPr>
                <w:rFonts w:cs="Arial"/>
                <w:szCs w:val="20"/>
              </w:rPr>
              <w:t>2020</w:t>
            </w:r>
            <w:r w:rsidR="00D42B95">
              <w:rPr>
                <w:rFonts w:cs="Arial"/>
                <w:szCs w:val="20"/>
              </w:rPr>
              <w:t xml:space="preserve"> (v p. b.)</w:t>
            </w:r>
            <w:bookmarkEnd w:id="9"/>
          </w:p>
        </w:tc>
        <w:tc>
          <w:tcPr>
            <w:tcW w:w="222" w:type="dxa"/>
            <w:tcBorders>
              <w:top w:val="nil"/>
              <w:left w:val="nil"/>
              <w:bottom w:val="nil"/>
              <w:right w:val="nil"/>
            </w:tcBorders>
            <w:vAlign w:val="bottom"/>
          </w:tcPr>
          <w:p w14:paraId="6EE294D8" w14:textId="77777777" w:rsidR="006E43E2" w:rsidRPr="00256D89" w:rsidRDefault="006E43E2" w:rsidP="00BC15D1">
            <w:pPr>
              <w:spacing w:before="40" w:after="40" w:line="240" w:lineRule="auto"/>
              <w:rPr>
                <w:rFonts w:ascii="Arial Narrow" w:hAnsi="Arial Narrow" w:cs="Arial"/>
                <w:b/>
                <w:sz w:val="20"/>
                <w:szCs w:val="20"/>
              </w:rPr>
            </w:pPr>
          </w:p>
        </w:tc>
        <w:tc>
          <w:tcPr>
            <w:tcW w:w="4506" w:type="dxa"/>
            <w:tcBorders>
              <w:top w:val="nil"/>
              <w:left w:val="nil"/>
              <w:bottom w:val="single" w:sz="4" w:space="0" w:color="auto"/>
              <w:right w:val="nil"/>
            </w:tcBorders>
            <w:vAlign w:val="bottom"/>
          </w:tcPr>
          <w:p w14:paraId="057503CE" w14:textId="5D038E35" w:rsidR="006E43E2" w:rsidRDefault="006E43E2" w:rsidP="00BC15D1">
            <w:pPr>
              <w:pStyle w:val="Popis"/>
            </w:pPr>
            <w:bookmarkStart w:id="10" w:name="_Toc478656307"/>
            <w:r w:rsidRPr="00256D89">
              <w:t xml:space="preserve">Graf </w:t>
            </w:r>
            <w:fldSimple w:instr=" SEQ Graf \* ARABIC ">
              <w:r w:rsidR="002E71B2">
                <w:rPr>
                  <w:noProof/>
                </w:rPr>
                <w:t>4</w:t>
              </w:r>
            </w:fldSimple>
            <w:r w:rsidRPr="00256D89">
              <w:t xml:space="preserve">: </w:t>
            </w:r>
            <w:r>
              <w:t xml:space="preserve"> </w:t>
            </w:r>
            <w:r w:rsidRPr="006E43E2">
              <w:rPr>
                <w:rFonts w:cs="Arial"/>
                <w:szCs w:val="20"/>
              </w:rPr>
              <w:t>Štruktúra spotrebiteľskej inflácie – medziročné príspevky zložiek CPI (v p. b.)</w:t>
            </w:r>
            <w:bookmarkEnd w:id="10"/>
          </w:p>
        </w:tc>
      </w:tr>
      <w:tr w:rsidR="006E43E2" w:rsidRPr="00256D89" w14:paraId="0BC55BF0" w14:textId="77777777" w:rsidTr="00D42B95">
        <w:tblPrEx>
          <w:tblCellMar>
            <w:left w:w="108" w:type="dxa"/>
            <w:right w:w="108" w:type="dxa"/>
          </w:tblCellMar>
        </w:tblPrEx>
        <w:trPr>
          <w:trHeight w:val="944"/>
        </w:trPr>
        <w:tc>
          <w:tcPr>
            <w:tcW w:w="3836" w:type="dxa"/>
            <w:tcBorders>
              <w:top w:val="single" w:sz="4" w:space="0" w:color="auto"/>
              <w:left w:val="nil"/>
              <w:bottom w:val="single" w:sz="4" w:space="0" w:color="auto"/>
              <w:right w:val="nil"/>
            </w:tcBorders>
            <w:vAlign w:val="center"/>
          </w:tcPr>
          <w:p w14:paraId="5A6A36D6" w14:textId="0A2AAC1A" w:rsidR="006E43E2" w:rsidRPr="00256D89" w:rsidRDefault="00D42B95" w:rsidP="00BC15D1">
            <w:pPr>
              <w:spacing w:before="40" w:after="40" w:line="240" w:lineRule="auto"/>
              <w:jc w:val="center"/>
              <w:rPr>
                <w:rFonts w:ascii="Arial Narrow" w:hAnsi="Arial Narrow" w:cs="Arial"/>
                <w:b/>
                <w:sz w:val="20"/>
                <w:szCs w:val="20"/>
              </w:rPr>
            </w:pPr>
            <w:r>
              <w:rPr>
                <w:noProof/>
                <w:lang w:val="en-US" w:eastAsia="en-US"/>
              </w:rPr>
              <w:drawing>
                <wp:inline distT="0" distB="0" distL="0" distR="0" wp14:anchorId="22190D5B" wp14:editId="6D83F4A5">
                  <wp:extent cx="2527300" cy="2188210"/>
                  <wp:effectExtent l="0" t="0" r="6350" b="254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2" w:type="dxa"/>
            <w:tcBorders>
              <w:top w:val="nil"/>
              <w:left w:val="nil"/>
              <w:bottom w:val="nil"/>
              <w:right w:val="nil"/>
            </w:tcBorders>
            <w:vAlign w:val="center"/>
          </w:tcPr>
          <w:p w14:paraId="37C69F76" w14:textId="77777777" w:rsidR="006E43E2" w:rsidRPr="00256D89" w:rsidRDefault="006E43E2" w:rsidP="00BC15D1">
            <w:pPr>
              <w:spacing w:before="40" w:after="40" w:line="240" w:lineRule="auto"/>
              <w:jc w:val="center"/>
              <w:rPr>
                <w:rFonts w:ascii="Arial Narrow" w:hAnsi="Arial Narrow" w:cs="Arial"/>
                <w:b/>
                <w:sz w:val="20"/>
                <w:szCs w:val="20"/>
              </w:rPr>
            </w:pPr>
          </w:p>
        </w:tc>
        <w:tc>
          <w:tcPr>
            <w:tcW w:w="4506" w:type="dxa"/>
            <w:tcBorders>
              <w:top w:val="single" w:sz="4" w:space="0" w:color="auto"/>
              <w:left w:val="nil"/>
              <w:bottom w:val="single" w:sz="4" w:space="0" w:color="auto"/>
              <w:right w:val="nil"/>
            </w:tcBorders>
            <w:vAlign w:val="center"/>
          </w:tcPr>
          <w:p w14:paraId="59E04509" w14:textId="40F46BD1" w:rsidR="006E43E2" w:rsidRPr="00256D89" w:rsidRDefault="00C54FF9" w:rsidP="00BC15D1">
            <w:pPr>
              <w:spacing w:before="40" w:after="40" w:line="240" w:lineRule="auto"/>
              <w:jc w:val="center"/>
              <w:rPr>
                <w:rFonts w:ascii="Arial Narrow" w:hAnsi="Arial Narrow" w:cs="Arial"/>
                <w:b/>
                <w:sz w:val="20"/>
                <w:szCs w:val="20"/>
              </w:rPr>
            </w:pPr>
            <w:r>
              <w:rPr>
                <w:noProof/>
                <w:lang w:val="en-US" w:eastAsia="en-US"/>
              </w:rPr>
              <w:drawing>
                <wp:inline distT="0" distB="0" distL="0" distR="0" wp14:anchorId="7BD913AE" wp14:editId="59FADA53">
                  <wp:extent cx="2581275" cy="2266950"/>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E43E2" w:rsidRPr="00C83F39" w14:paraId="0813B4E7" w14:textId="77777777" w:rsidTr="00D42B95">
        <w:trPr>
          <w:trHeight w:val="120"/>
        </w:trPr>
        <w:tc>
          <w:tcPr>
            <w:tcW w:w="3836" w:type="dxa"/>
            <w:tcBorders>
              <w:top w:val="single" w:sz="4" w:space="0" w:color="auto"/>
              <w:left w:val="nil"/>
              <w:bottom w:val="nil"/>
              <w:right w:val="nil"/>
            </w:tcBorders>
            <w:vAlign w:val="center"/>
          </w:tcPr>
          <w:p w14:paraId="2D64CEB8" w14:textId="443FBD2A" w:rsidR="006E43E2" w:rsidRPr="00C83F39" w:rsidRDefault="006E43E2" w:rsidP="00D42B95">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 xml:space="preserve">ŠÚ SR, </w:t>
            </w:r>
            <w:r w:rsidR="00D42B95">
              <w:rPr>
                <w:rFonts w:ascii="Arial Narrow" w:hAnsi="Arial Narrow" w:cs="Arial Narrow"/>
                <w:i/>
                <w:iCs/>
                <w:color w:val="000000"/>
                <w:sz w:val="16"/>
                <w:szCs w:val="16"/>
              </w:rPr>
              <w:t>MF SR</w:t>
            </w:r>
            <w:r w:rsidRPr="00C83F39">
              <w:rPr>
                <w:rFonts w:ascii="Arial Narrow" w:hAnsi="Arial Narrow" w:cs="Arial Narrow"/>
                <w:i/>
                <w:iCs/>
                <w:color w:val="000000"/>
                <w:sz w:val="16"/>
                <w:szCs w:val="16"/>
              </w:rPr>
              <w:t xml:space="preserve"> </w:t>
            </w:r>
          </w:p>
        </w:tc>
        <w:tc>
          <w:tcPr>
            <w:tcW w:w="222" w:type="dxa"/>
            <w:tcBorders>
              <w:top w:val="nil"/>
              <w:left w:val="nil"/>
              <w:bottom w:val="nil"/>
              <w:right w:val="nil"/>
            </w:tcBorders>
            <w:vAlign w:val="center"/>
          </w:tcPr>
          <w:p w14:paraId="0F5B3C18" w14:textId="77777777" w:rsidR="006E43E2" w:rsidRPr="00C83F39" w:rsidRDefault="006E43E2" w:rsidP="00BC15D1">
            <w:pPr>
              <w:spacing w:after="120" w:line="240" w:lineRule="auto"/>
              <w:jc w:val="center"/>
              <w:rPr>
                <w:rFonts w:ascii="Arial Narrow" w:hAnsi="Arial Narrow" w:cs="Arial"/>
                <w:sz w:val="16"/>
                <w:szCs w:val="14"/>
              </w:rPr>
            </w:pPr>
          </w:p>
        </w:tc>
        <w:tc>
          <w:tcPr>
            <w:tcW w:w="4506" w:type="dxa"/>
            <w:tcBorders>
              <w:top w:val="single" w:sz="4" w:space="0" w:color="auto"/>
              <w:left w:val="nil"/>
              <w:bottom w:val="nil"/>
              <w:right w:val="nil"/>
            </w:tcBorders>
            <w:vAlign w:val="center"/>
          </w:tcPr>
          <w:p w14:paraId="3A1D10A1" w14:textId="5E7029A6" w:rsidR="006E43E2" w:rsidRPr="00C83F39" w:rsidRDefault="006E43E2" w:rsidP="006E43E2">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ŠÚ SR</w:t>
            </w:r>
            <w:r w:rsidRPr="00C83F39">
              <w:rPr>
                <w:rFonts w:ascii="Arial Narrow" w:hAnsi="Arial Narrow" w:cs="Arial Narrow"/>
                <w:i/>
                <w:iCs/>
                <w:color w:val="000000"/>
                <w:sz w:val="16"/>
                <w:szCs w:val="16"/>
              </w:rPr>
              <w:t xml:space="preserve"> </w:t>
            </w:r>
          </w:p>
        </w:tc>
      </w:tr>
    </w:tbl>
    <w:p w14:paraId="0067541C" w14:textId="77777777" w:rsidR="0079221B" w:rsidRPr="0079221B" w:rsidRDefault="0079221B" w:rsidP="0079221B">
      <w:pPr>
        <w:spacing w:after="0" w:line="240" w:lineRule="auto"/>
        <w:jc w:val="both"/>
        <w:rPr>
          <w:rFonts w:ascii="Arial Narrow" w:hAnsi="Arial Narrow"/>
          <w:b/>
          <w:i/>
          <w:color w:val="000000"/>
        </w:rPr>
      </w:pPr>
      <w:r w:rsidRPr="0079221B">
        <w:rPr>
          <w:rFonts w:ascii="Arial Narrow" w:hAnsi="Arial Narrow"/>
          <w:b/>
          <w:i/>
          <w:color w:val="000000"/>
        </w:rPr>
        <w:t xml:space="preserve">Postupné zrýchlenie rastu slovenskej ekonomiky v nasledujúcich rokoch   </w:t>
      </w:r>
    </w:p>
    <w:p w14:paraId="39BF07B8" w14:textId="4C614316" w:rsidR="0079221B" w:rsidRPr="0079221B" w:rsidRDefault="0079221B" w:rsidP="0079221B">
      <w:pPr>
        <w:spacing w:after="0" w:line="240" w:lineRule="auto"/>
        <w:jc w:val="both"/>
        <w:rPr>
          <w:rFonts w:ascii="Arial Narrow" w:hAnsi="Arial Narrow"/>
          <w:color w:val="000000"/>
        </w:rPr>
      </w:pPr>
      <w:r w:rsidRPr="0079221B">
        <w:rPr>
          <w:rFonts w:ascii="Arial Narrow" w:hAnsi="Arial Narrow"/>
          <w:color w:val="000000"/>
        </w:rPr>
        <w:t>V roku 2017 si ekonomika zopakuje rast o 3,3 %. Štruktúra rastu bude vyvážená</w:t>
      </w:r>
      <w:r w:rsidR="0051456A">
        <w:rPr>
          <w:rFonts w:ascii="Arial Narrow" w:hAnsi="Arial Narrow"/>
          <w:color w:val="000000"/>
        </w:rPr>
        <w:t xml:space="preserve">, ekonomiku potiahne tak domáci, </w:t>
      </w:r>
      <w:r w:rsidRPr="0079221B">
        <w:rPr>
          <w:rFonts w:ascii="Arial Narrow" w:hAnsi="Arial Narrow"/>
          <w:color w:val="000000"/>
        </w:rPr>
        <w:t>ako aj zahraničný dopyt. Oživenie inflácie mierne pribrzdí reálny rast príjmov domácností a tým aj ich spotrebné výdavky. Rastúce investície potiahne verejný sektor, automobilový priemysel a výstavba D4/R7. Zotavenie súkromných investícií bude naproti tomu len veľmi pozvoľné. Exportná aktivita zrýchli a prevýši dynamiku zahraničného dopytu. Nárast dovozne náročných investícií spojených s výstavbou novej automobilky sa podpíše pod zrýchlenie importov, čo v medziročnom porovnaní zníži príspevok čistého exportu k rastu HDP. V rokoch 2018 a 2019 ekonomika vďaka novým produkčným kapacitám zrýchli na 4</w:t>
      </w:r>
      <w:r w:rsidR="00A94BB7">
        <w:rPr>
          <w:rFonts w:ascii="Arial Narrow" w:hAnsi="Arial Narrow"/>
          <w:color w:val="000000"/>
        </w:rPr>
        <w:t> </w:t>
      </w:r>
      <w:r w:rsidR="004C7D3D">
        <w:rPr>
          <w:rFonts w:ascii="Arial Narrow" w:hAnsi="Arial Narrow"/>
          <w:color w:val="000000"/>
        </w:rPr>
        <w:t xml:space="preserve">%, </w:t>
      </w:r>
      <w:r w:rsidRPr="0079221B">
        <w:rPr>
          <w:rFonts w:ascii="Arial Narrow" w:hAnsi="Arial Narrow"/>
          <w:color w:val="000000"/>
        </w:rPr>
        <w:lastRenderedPageBreak/>
        <w:t xml:space="preserve">resp. 4,3 %. Na konci strednodobého horizontu ekonomický rast zvoľní smerom k dlhodobému potenciálu ekonomiky na 3,8 %. </w:t>
      </w:r>
    </w:p>
    <w:p w14:paraId="7097EBAC" w14:textId="77777777" w:rsidR="0079221B" w:rsidRPr="0079221B" w:rsidRDefault="0079221B" w:rsidP="0079221B">
      <w:pPr>
        <w:spacing w:after="0" w:line="240" w:lineRule="auto"/>
        <w:jc w:val="both"/>
        <w:rPr>
          <w:rFonts w:ascii="Arial Narrow" w:hAnsi="Arial Narrow"/>
          <w:color w:val="000000"/>
        </w:rPr>
      </w:pPr>
    </w:p>
    <w:p w14:paraId="0F3922FE" w14:textId="70616F1C" w:rsidR="0079221B" w:rsidRPr="0079221B" w:rsidRDefault="0079221B" w:rsidP="0079221B">
      <w:pPr>
        <w:spacing w:after="0" w:line="240" w:lineRule="auto"/>
        <w:jc w:val="both"/>
        <w:rPr>
          <w:rFonts w:ascii="Arial Narrow" w:hAnsi="Arial Narrow"/>
          <w:color w:val="000000"/>
        </w:rPr>
      </w:pPr>
      <w:r w:rsidRPr="0079221B">
        <w:rPr>
          <w:rFonts w:ascii="Arial Narrow" w:hAnsi="Arial Narrow"/>
          <w:color w:val="000000"/>
        </w:rPr>
        <w:t>Zame</w:t>
      </w:r>
      <w:r w:rsidR="002D6DC8">
        <w:rPr>
          <w:rFonts w:ascii="Arial Narrow" w:hAnsi="Arial Narrow"/>
          <w:color w:val="000000"/>
        </w:rPr>
        <w:t xml:space="preserve">stnanosť vzrastie v tomto roku </w:t>
      </w:r>
      <w:r w:rsidRPr="0079221B">
        <w:rPr>
          <w:rFonts w:ascii="Arial Narrow" w:hAnsi="Arial Narrow"/>
          <w:color w:val="000000"/>
        </w:rPr>
        <w:t>o 1,8 %. V ekonomike tak pribudne vyše 42 tisíc pracovných miest, z toho 26 tisíc v sektore trhových služieb. Pozitívny vývoj na trhu práce zníži mieru nezamestnanosti na úroveň 8,4 %. Aj v nasledujúcich rokoch sa očakáva svižný rast zamestnanosti, ku ktorému prispejú všetky sektory hospodárstva. Miera nezamestnanosti tak bude na konci strednodobého horizontu atakovať hranicu 6 %.</w:t>
      </w:r>
    </w:p>
    <w:p w14:paraId="1E002758" w14:textId="77777777" w:rsidR="0079221B" w:rsidRPr="0079221B" w:rsidRDefault="0079221B" w:rsidP="0079221B">
      <w:pPr>
        <w:spacing w:after="0" w:line="240" w:lineRule="auto"/>
        <w:jc w:val="both"/>
        <w:rPr>
          <w:rFonts w:ascii="Arial Narrow" w:hAnsi="Arial Narrow"/>
          <w:color w:val="000000"/>
        </w:rPr>
      </w:pPr>
    </w:p>
    <w:p w14:paraId="7CC34A83" w14:textId="6AEC0E23" w:rsidR="00005C28" w:rsidRPr="001F0607" w:rsidRDefault="0079221B" w:rsidP="0079221B">
      <w:pPr>
        <w:spacing w:after="0" w:line="240" w:lineRule="auto"/>
        <w:jc w:val="both"/>
        <w:rPr>
          <w:rFonts w:ascii="Arial Narrow" w:hAnsi="Arial Narrow"/>
          <w:color w:val="000000"/>
        </w:rPr>
      </w:pPr>
      <w:r w:rsidRPr="0079221B">
        <w:rPr>
          <w:rFonts w:ascii="Arial Narrow" w:hAnsi="Arial Narrow"/>
          <w:color w:val="000000"/>
        </w:rPr>
        <w:t xml:space="preserve">Inflácia sa v roku 2017 vymaní z negatívnych čísel, keď ceny narastú v priemere o 1,1 %. K tomuto vývoju prispeje najviac čistá inflácia. Vyššia </w:t>
      </w:r>
      <w:r w:rsidR="008B6933">
        <w:rPr>
          <w:rFonts w:ascii="Arial Narrow" w:hAnsi="Arial Narrow"/>
          <w:color w:val="000000"/>
        </w:rPr>
        <w:t xml:space="preserve">cena ropy sa premietne do cien </w:t>
      </w:r>
      <w:r w:rsidRPr="0079221B">
        <w:rPr>
          <w:rFonts w:ascii="Arial Narrow" w:hAnsi="Arial Narrow"/>
          <w:color w:val="000000"/>
        </w:rPr>
        <w:t xml:space="preserve">pohonných látok a sekundárne aj do cien potravín a služieb. Regulované ceny budú mať na infláciu stále mierne tlmiaci vplyv. V nasledujúcich rokoch bude pokračovať akcelerácia dopytovej inflácie. Ceny trhových služieb budú rásť zo všetkých položiek inflácie najrýchlejšie, v ekonomike sa obnoví väzba rastu miezd a cien. Na základe vývoja future kontraktov energetických komodít </w:t>
      </w:r>
      <w:r w:rsidR="008B6933">
        <w:rPr>
          <w:rFonts w:ascii="Arial Narrow" w:hAnsi="Arial Narrow"/>
          <w:color w:val="000000"/>
        </w:rPr>
        <w:t xml:space="preserve">sa však očakávajú </w:t>
      </w:r>
      <w:r w:rsidRPr="0079221B">
        <w:rPr>
          <w:rFonts w:ascii="Arial Narrow" w:hAnsi="Arial Narrow"/>
          <w:color w:val="000000"/>
        </w:rPr>
        <w:t>aj vyššie ceny energií, predovšetkým plynu a tepla. Inflácia dosiahne hranicu 2 % koncom roka 2019 a v súlade s predpokladmi o konvergencii slovenskej ekonomiky by mala na konci horizont</w:t>
      </w:r>
      <w:r w:rsidR="008B6933">
        <w:rPr>
          <w:rFonts w:ascii="Arial Narrow" w:hAnsi="Arial Narrow"/>
          <w:color w:val="000000"/>
        </w:rPr>
        <w:t>u prognózy ešte mierne zrýchliť</w:t>
      </w:r>
      <w:r w:rsidRPr="0079221B">
        <w:rPr>
          <w:rFonts w:ascii="Arial Narrow" w:hAnsi="Arial Narrow"/>
          <w:color w:val="000000"/>
        </w:rPr>
        <w:t>.</w:t>
      </w:r>
    </w:p>
    <w:p w14:paraId="6B0E7EC5" w14:textId="26223D16" w:rsidR="00005C28" w:rsidRPr="001F0607" w:rsidRDefault="00005C28" w:rsidP="00FB625E">
      <w:pPr>
        <w:spacing w:after="0" w:line="240" w:lineRule="auto"/>
        <w:jc w:val="both"/>
        <w:rPr>
          <w:rFonts w:ascii="Arial Narrow" w:hAnsi="Arial Narrow"/>
          <w:color w:val="000000"/>
        </w:rPr>
      </w:pPr>
      <w:r w:rsidRPr="001F0607">
        <w:rPr>
          <w:rFonts w:ascii="Arial Narrow" w:hAnsi="Arial Narrow"/>
          <w:color w:val="000000"/>
        </w:rPr>
        <w:br w:type="page"/>
      </w:r>
    </w:p>
    <w:p w14:paraId="70440E9D" w14:textId="77777777" w:rsidR="00EC3497" w:rsidRPr="00256D89" w:rsidRDefault="00827618" w:rsidP="00FB625E">
      <w:pPr>
        <w:pStyle w:val="Nadpis1"/>
        <w:numPr>
          <w:ilvl w:val="0"/>
          <w:numId w:val="1"/>
        </w:numPr>
        <w:spacing w:line="240" w:lineRule="auto"/>
        <w:rPr>
          <w:rFonts w:ascii="Arial Narrow" w:hAnsi="Arial Narrow"/>
          <w:color w:val="auto"/>
          <w:sz w:val="32"/>
          <w:szCs w:val="32"/>
        </w:rPr>
      </w:pPr>
      <w:bookmarkStart w:id="11" w:name="_Toc386005363"/>
      <w:bookmarkStart w:id="12" w:name="_Toc477259946"/>
      <w:r w:rsidRPr="00256D89">
        <w:rPr>
          <w:rFonts w:ascii="Arial Narrow" w:hAnsi="Arial Narrow"/>
          <w:color w:val="auto"/>
          <w:sz w:val="32"/>
          <w:szCs w:val="32"/>
        </w:rPr>
        <w:lastRenderedPageBreak/>
        <w:t>Plánované opatrenia v štrukturálnych témach</w:t>
      </w:r>
      <w:bookmarkEnd w:id="11"/>
      <w:bookmarkEnd w:id="12"/>
    </w:p>
    <w:p w14:paraId="7DF1A361" w14:textId="77777777" w:rsidR="009B39B4" w:rsidRPr="00256D89" w:rsidRDefault="009B39B4" w:rsidP="00FB625E">
      <w:pPr>
        <w:spacing w:after="0" w:line="240" w:lineRule="auto"/>
        <w:jc w:val="both"/>
        <w:rPr>
          <w:rFonts w:ascii="Arial Narrow" w:hAnsi="Arial Narrow"/>
        </w:rPr>
      </w:pPr>
      <w:bookmarkStart w:id="13" w:name="_Toc386005364"/>
    </w:p>
    <w:p w14:paraId="3A15B44E" w14:textId="085D4F85" w:rsidR="00827618" w:rsidRPr="00256D89" w:rsidRDefault="00FF4D99" w:rsidP="00FB625E">
      <w:pPr>
        <w:spacing w:after="0" w:line="240" w:lineRule="auto"/>
        <w:jc w:val="both"/>
        <w:rPr>
          <w:rFonts w:ascii="Arial Narrow" w:hAnsi="Arial Narrow"/>
        </w:rPr>
      </w:pPr>
      <w:r w:rsidRPr="00256D89">
        <w:rPr>
          <w:rFonts w:ascii="Arial Narrow" w:hAnsi="Arial Narrow"/>
        </w:rPr>
        <w:t xml:space="preserve">Táto kapitola popisuje opatrenia, ktoré sa vláda </w:t>
      </w:r>
      <w:r w:rsidR="00F330B5" w:rsidRPr="00256D89">
        <w:rPr>
          <w:rFonts w:ascii="Arial Narrow" w:hAnsi="Arial Narrow"/>
        </w:rPr>
        <w:t xml:space="preserve">SR </w:t>
      </w:r>
      <w:r w:rsidRPr="00256D89">
        <w:rPr>
          <w:rFonts w:ascii="Arial Narrow" w:hAnsi="Arial Narrow"/>
        </w:rPr>
        <w:t xml:space="preserve">zaväzuje plniť v nasledujúcom období. Opatrenia sa týkajú </w:t>
      </w:r>
      <w:r w:rsidR="00CF3A41" w:rsidRPr="00256D89">
        <w:rPr>
          <w:rFonts w:ascii="Arial Narrow" w:hAnsi="Arial Narrow"/>
        </w:rPr>
        <w:t>oblastí ekonomiky</w:t>
      </w:r>
      <w:r w:rsidR="005836AC">
        <w:rPr>
          <w:rFonts w:ascii="Arial Narrow" w:hAnsi="Arial Narrow"/>
        </w:rPr>
        <w:t>,</w:t>
      </w:r>
      <w:r w:rsidR="00CF3A41" w:rsidRPr="00256D89">
        <w:rPr>
          <w:rFonts w:ascii="Arial Narrow" w:hAnsi="Arial Narrow"/>
        </w:rPr>
        <w:t xml:space="preserve"> sociálnej agendy a verejnej správy. </w:t>
      </w:r>
      <w:r w:rsidRPr="00256D89">
        <w:rPr>
          <w:rFonts w:ascii="Arial Narrow" w:hAnsi="Arial Narrow"/>
        </w:rPr>
        <w:t>Nasledujúca tabuľka zhŕňa najdôležitejšie z plánovaných opatrení, ktoré reagujú na jednotlivé špecifické odporúčania Rady</w:t>
      </w:r>
      <w:r w:rsidR="00F330B5" w:rsidRPr="00256D89">
        <w:rPr>
          <w:rFonts w:ascii="Arial Narrow" w:hAnsi="Arial Narrow"/>
        </w:rPr>
        <w:t xml:space="preserve"> (CSR)</w:t>
      </w:r>
      <w:r w:rsidRPr="00256D89">
        <w:rPr>
          <w:rFonts w:ascii="Arial Narrow" w:hAnsi="Arial Narrow"/>
        </w:rPr>
        <w:t xml:space="preserve">. </w:t>
      </w:r>
      <w:bookmarkEnd w:id="13"/>
    </w:p>
    <w:p w14:paraId="00BEF02F" w14:textId="77777777" w:rsidR="00FF4D99" w:rsidRPr="00256D89" w:rsidRDefault="00FF4D99" w:rsidP="00FB625E">
      <w:pPr>
        <w:spacing w:after="0" w:line="240" w:lineRule="auto"/>
        <w:jc w:val="both"/>
        <w:rPr>
          <w:rFonts w:ascii="Arial Narrow" w:hAnsi="Arial Narrow"/>
        </w:rPr>
      </w:pPr>
    </w:p>
    <w:p w14:paraId="3810EEDA" w14:textId="1964129B" w:rsidR="00FF4D99" w:rsidRPr="00256D89" w:rsidRDefault="007D3392" w:rsidP="00FB625E">
      <w:pPr>
        <w:spacing w:after="0" w:line="240" w:lineRule="auto"/>
        <w:rPr>
          <w:rFonts w:ascii="Arial Narrow" w:hAnsi="Arial Narrow"/>
          <w:b/>
          <w:bCs/>
          <w:color w:val="2C9ADC"/>
          <w:sz w:val="20"/>
          <w:szCs w:val="20"/>
        </w:rPr>
      </w:pPr>
      <w:r w:rsidRPr="00256D89">
        <w:rPr>
          <w:rFonts w:ascii="Arial Narrow" w:hAnsi="Arial Narrow"/>
          <w:b/>
          <w:bCs/>
          <w:color w:val="2C9ADC"/>
          <w:sz w:val="20"/>
          <w:szCs w:val="20"/>
        </w:rPr>
        <w:t xml:space="preserve">Najdôležitejšie plánované opatrenia </w:t>
      </w:r>
      <w:r w:rsidR="00EB619E" w:rsidRPr="00256D89">
        <w:rPr>
          <w:rFonts w:ascii="Arial Narrow" w:hAnsi="Arial Narrow"/>
          <w:b/>
          <w:bCs/>
          <w:color w:val="2C9ADC"/>
          <w:sz w:val="20"/>
          <w:szCs w:val="20"/>
        </w:rPr>
        <w:t>NPR</w:t>
      </w:r>
      <w:r w:rsidR="004B3955" w:rsidRPr="00256D89">
        <w:rPr>
          <w:rFonts w:ascii="Arial Narrow" w:hAnsi="Arial Narrow"/>
          <w:b/>
          <w:bCs/>
          <w:color w:val="2C9ADC"/>
          <w:sz w:val="20"/>
          <w:szCs w:val="20"/>
        </w:rPr>
        <w:t xml:space="preserve"> </w:t>
      </w:r>
      <w:r w:rsidRPr="00256D89">
        <w:rPr>
          <w:rFonts w:ascii="Arial Narrow" w:hAnsi="Arial Narrow"/>
          <w:b/>
          <w:bCs/>
          <w:color w:val="2C9ADC"/>
          <w:sz w:val="20"/>
          <w:szCs w:val="20"/>
        </w:rPr>
        <w:t>v štruktúre podľa CSR</w:t>
      </w:r>
    </w:p>
    <w:tbl>
      <w:tblPr>
        <w:tblW w:w="8562" w:type="dxa"/>
        <w:jc w:val="center"/>
        <w:tblCellMar>
          <w:left w:w="70" w:type="dxa"/>
          <w:right w:w="70" w:type="dxa"/>
        </w:tblCellMar>
        <w:tblLook w:val="04A0" w:firstRow="1" w:lastRow="0" w:firstColumn="1" w:lastColumn="0" w:noHBand="0" w:noVBand="1"/>
      </w:tblPr>
      <w:tblGrid>
        <w:gridCol w:w="593"/>
        <w:gridCol w:w="4726"/>
        <w:gridCol w:w="1657"/>
        <w:gridCol w:w="8"/>
        <w:gridCol w:w="1570"/>
        <w:gridCol w:w="8"/>
      </w:tblGrid>
      <w:tr w:rsidR="00C03FC8" w:rsidRPr="00256D89" w14:paraId="1BD0281F" w14:textId="2AB35B38" w:rsidTr="00430FEB">
        <w:trPr>
          <w:gridAfter w:val="1"/>
          <w:wAfter w:w="8" w:type="dxa"/>
          <w:trHeight w:val="765"/>
          <w:jc w:val="center"/>
        </w:trPr>
        <w:tc>
          <w:tcPr>
            <w:tcW w:w="593" w:type="dxa"/>
            <w:tcBorders>
              <w:top w:val="single" w:sz="4" w:space="0" w:color="auto"/>
              <w:left w:val="nil"/>
              <w:bottom w:val="single" w:sz="4" w:space="0" w:color="auto"/>
              <w:right w:val="nil"/>
            </w:tcBorders>
            <w:shd w:val="clear" w:color="auto" w:fill="auto"/>
            <w:vAlign w:val="center"/>
            <w:hideMark/>
          </w:tcPr>
          <w:p w14:paraId="7CA7E860" w14:textId="77777777" w:rsidR="00C03FC8" w:rsidRPr="00256D89" w:rsidRDefault="00C03FC8" w:rsidP="00FB625E">
            <w:pPr>
              <w:spacing w:after="0" w:line="240" w:lineRule="auto"/>
              <w:jc w:val="center"/>
              <w:rPr>
                <w:rFonts w:ascii="Arial Narrow" w:hAnsi="Arial Narrow"/>
                <w:b/>
                <w:bCs/>
                <w:sz w:val="20"/>
                <w:szCs w:val="20"/>
              </w:rPr>
            </w:pPr>
            <w:r w:rsidRPr="00256D89">
              <w:rPr>
                <w:rFonts w:ascii="Arial Narrow" w:hAnsi="Arial Narrow"/>
                <w:b/>
                <w:bCs/>
                <w:sz w:val="20"/>
                <w:szCs w:val="20"/>
              </w:rPr>
              <w:t>CSR</w:t>
            </w:r>
          </w:p>
        </w:tc>
        <w:tc>
          <w:tcPr>
            <w:tcW w:w="4726" w:type="dxa"/>
            <w:tcBorders>
              <w:top w:val="single" w:sz="4" w:space="0" w:color="auto"/>
              <w:left w:val="nil"/>
              <w:bottom w:val="single" w:sz="4" w:space="0" w:color="auto"/>
              <w:right w:val="nil"/>
            </w:tcBorders>
            <w:shd w:val="clear" w:color="auto" w:fill="auto"/>
            <w:vAlign w:val="center"/>
            <w:hideMark/>
          </w:tcPr>
          <w:p w14:paraId="508AA59B" w14:textId="77777777" w:rsidR="00C03FC8" w:rsidRPr="00256D89" w:rsidRDefault="00C03FC8" w:rsidP="00FB625E">
            <w:pPr>
              <w:spacing w:after="0" w:line="240" w:lineRule="auto"/>
              <w:rPr>
                <w:rFonts w:ascii="Arial Narrow" w:hAnsi="Arial Narrow"/>
                <w:b/>
                <w:bCs/>
                <w:sz w:val="20"/>
                <w:szCs w:val="20"/>
              </w:rPr>
            </w:pPr>
            <w:r w:rsidRPr="00256D89">
              <w:rPr>
                <w:rFonts w:ascii="Arial Narrow" w:hAnsi="Arial Narrow"/>
                <w:b/>
                <w:bCs/>
                <w:sz w:val="20"/>
                <w:szCs w:val="20"/>
              </w:rPr>
              <w:t>Názov úlohy</w:t>
            </w:r>
          </w:p>
        </w:tc>
        <w:tc>
          <w:tcPr>
            <w:tcW w:w="1657" w:type="dxa"/>
            <w:tcBorders>
              <w:top w:val="single" w:sz="4" w:space="0" w:color="auto"/>
              <w:left w:val="nil"/>
              <w:bottom w:val="single" w:sz="4" w:space="0" w:color="auto"/>
              <w:right w:val="nil"/>
            </w:tcBorders>
            <w:shd w:val="clear" w:color="auto" w:fill="auto"/>
            <w:vAlign w:val="center"/>
            <w:hideMark/>
          </w:tcPr>
          <w:p w14:paraId="72001986" w14:textId="77777777" w:rsidR="00C03FC8" w:rsidRPr="00256D89" w:rsidRDefault="00C03FC8" w:rsidP="00FB625E">
            <w:pPr>
              <w:spacing w:after="0" w:line="240" w:lineRule="auto"/>
              <w:jc w:val="center"/>
              <w:rPr>
                <w:rFonts w:ascii="Arial Narrow" w:hAnsi="Arial Narrow"/>
                <w:b/>
                <w:bCs/>
                <w:sz w:val="20"/>
                <w:szCs w:val="20"/>
              </w:rPr>
            </w:pPr>
            <w:r w:rsidRPr="00256D89">
              <w:rPr>
                <w:rFonts w:ascii="Arial Narrow" w:hAnsi="Arial Narrow"/>
                <w:b/>
                <w:bCs/>
                <w:sz w:val="20"/>
                <w:szCs w:val="20"/>
              </w:rPr>
              <w:t>Termín</w:t>
            </w:r>
          </w:p>
        </w:tc>
        <w:tc>
          <w:tcPr>
            <w:tcW w:w="1578" w:type="dxa"/>
            <w:gridSpan w:val="2"/>
            <w:tcBorders>
              <w:top w:val="single" w:sz="4" w:space="0" w:color="auto"/>
              <w:left w:val="nil"/>
              <w:bottom w:val="single" w:sz="4" w:space="0" w:color="auto"/>
              <w:right w:val="nil"/>
            </w:tcBorders>
            <w:shd w:val="clear" w:color="auto" w:fill="auto"/>
            <w:vAlign w:val="center"/>
            <w:hideMark/>
          </w:tcPr>
          <w:p w14:paraId="08E0314E" w14:textId="77777777" w:rsidR="00C03FC8" w:rsidRPr="00256D89" w:rsidRDefault="00C03FC8" w:rsidP="00FB625E">
            <w:pPr>
              <w:spacing w:after="0" w:line="240" w:lineRule="auto"/>
              <w:jc w:val="center"/>
              <w:rPr>
                <w:rFonts w:ascii="Arial Narrow" w:hAnsi="Arial Narrow"/>
                <w:b/>
                <w:bCs/>
                <w:sz w:val="20"/>
                <w:szCs w:val="20"/>
              </w:rPr>
            </w:pPr>
            <w:r w:rsidRPr="00256D89">
              <w:rPr>
                <w:rFonts w:ascii="Arial Narrow" w:hAnsi="Arial Narrow"/>
                <w:b/>
                <w:bCs/>
                <w:sz w:val="20"/>
                <w:szCs w:val="20"/>
              </w:rPr>
              <w:t>Gestor</w:t>
            </w:r>
          </w:p>
        </w:tc>
      </w:tr>
      <w:tr w:rsidR="00C03FC8" w:rsidRPr="00256D89" w14:paraId="4B986B70" w14:textId="0EFD318B" w:rsidTr="00430FEB">
        <w:trPr>
          <w:gridAfter w:val="1"/>
          <w:wAfter w:w="8" w:type="dxa"/>
          <w:trHeight w:val="360"/>
          <w:jc w:val="center"/>
        </w:trPr>
        <w:tc>
          <w:tcPr>
            <w:tcW w:w="593" w:type="dxa"/>
            <w:tcBorders>
              <w:top w:val="nil"/>
              <w:left w:val="nil"/>
              <w:bottom w:val="dotted" w:sz="4" w:space="0" w:color="auto"/>
              <w:right w:val="nil"/>
            </w:tcBorders>
            <w:shd w:val="clear" w:color="auto" w:fill="auto"/>
            <w:noWrap/>
            <w:vAlign w:val="center"/>
            <w:hideMark/>
          </w:tcPr>
          <w:p w14:paraId="6179BAA4" w14:textId="77777777" w:rsidR="00C03FC8" w:rsidRPr="00256D89" w:rsidRDefault="00C03FC8" w:rsidP="00FB625E">
            <w:pPr>
              <w:spacing w:after="0" w:line="240" w:lineRule="auto"/>
              <w:jc w:val="center"/>
              <w:rPr>
                <w:rFonts w:ascii="Arial Narrow" w:hAnsi="Arial Narrow"/>
                <w:color w:val="000000"/>
                <w:sz w:val="18"/>
                <w:szCs w:val="18"/>
              </w:rPr>
            </w:pPr>
            <w:r w:rsidRPr="00256D89">
              <w:rPr>
                <w:rFonts w:ascii="Arial Narrow" w:hAnsi="Arial Narrow"/>
                <w:color w:val="000000"/>
                <w:sz w:val="18"/>
                <w:szCs w:val="18"/>
              </w:rPr>
              <w:t>1</w:t>
            </w:r>
          </w:p>
        </w:tc>
        <w:tc>
          <w:tcPr>
            <w:tcW w:w="4726" w:type="dxa"/>
            <w:tcBorders>
              <w:top w:val="single" w:sz="4" w:space="0" w:color="auto"/>
              <w:left w:val="nil"/>
              <w:bottom w:val="dotted" w:sz="4" w:space="0" w:color="auto"/>
              <w:right w:val="nil"/>
            </w:tcBorders>
            <w:shd w:val="clear" w:color="auto" w:fill="auto"/>
            <w:vAlign w:val="center"/>
            <w:hideMark/>
          </w:tcPr>
          <w:p w14:paraId="15FA0364" w14:textId="41002473" w:rsidR="00C03FC8" w:rsidRPr="00256D89" w:rsidRDefault="00C03FC8" w:rsidP="00FB625E">
            <w:pPr>
              <w:spacing w:after="0" w:line="240" w:lineRule="auto"/>
              <w:rPr>
                <w:rFonts w:ascii="Arial Narrow" w:hAnsi="Arial Narrow"/>
                <w:color w:val="000000"/>
                <w:sz w:val="18"/>
                <w:szCs w:val="18"/>
              </w:rPr>
            </w:pPr>
            <w:r>
              <w:rPr>
                <w:rFonts w:ascii="Arial Narrow" w:hAnsi="Arial Narrow"/>
                <w:color w:val="000000"/>
                <w:sz w:val="18"/>
                <w:szCs w:val="18"/>
              </w:rPr>
              <w:t xml:space="preserve">Implementácia </w:t>
            </w:r>
            <w:r w:rsidRPr="001E031E">
              <w:rPr>
                <w:rFonts w:ascii="Arial Narrow" w:hAnsi="Arial Narrow"/>
                <w:i/>
                <w:color w:val="000000"/>
                <w:sz w:val="18"/>
                <w:szCs w:val="18"/>
              </w:rPr>
              <w:t>eHealth</w:t>
            </w:r>
          </w:p>
        </w:tc>
        <w:tc>
          <w:tcPr>
            <w:tcW w:w="1657" w:type="dxa"/>
            <w:tcBorders>
              <w:top w:val="nil"/>
              <w:left w:val="nil"/>
              <w:bottom w:val="dotted" w:sz="4" w:space="0" w:color="auto"/>
              <w:right w:val="nil"/>
            </w:tcBorders>
            <w:shd w:val="clear" w:color="auto" w:fill="auto"/>
            <w:vAlign w:val="center"/>
            <w:hideMark/>
          </w:tcPr>
          <w:p w14:paraId="3360D6B1" w14:textId="5DB4309B" w:rsidR="00C03FC8" w:rsidRPr="00256D89"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1.1.2018</w:t>
            </w:r>
          </w:p>
        </w:tc>
        <w:tc>
          <w:tcPr>
            <w:tcW w:w="1578" w:type="dxa"/>
            <w:gridSpan w:val="2"/>
            <w:tcBorders>
              <w:top w:val="nil"/>
              <w:left w:val="nil"/>
              <w:bottom w:val="dotted" w:sz="4" w:space="0" w:color="auto"/>
              <w:right w:val="nil"/>
            </w:tcBorders>
            <w:shd w:val="clear" w:color="auto" w:fill="auto"/>
            <w:vAlign w:val="center"/>
            <w:hideMark/>
          </w:tcPr>
          <w:p w14:paraId="25190318" w14:textId="77777777" w:rsidR="00C03FC8" w:rsidRPr="00256D89" w:rsidRDefault="00C03FC8" w:rsidP="00FB625E">
            <w:pPr>
              <w:spacing w:after="0" w:line="240" w:lineRule="auto"/>
              <w:jc w:val="center"/>
              <w:rPr>
                <w:rFonts w:ascii="Arial Narrow" w:hAnsi="Arial Narrow"/>
                <w:color w:val="000000"/>
                <w:sz w:val="18"/>
                <w:szCs w:val="18"/>
              </w:rPr>
            </w:pPr>
            <w:r w:rsidRPr="00256D89">
              <w:rPr>
                <w:rFonts w:ascii="Arial Narrow" w:hAnsi="Arial Narrow"/>
                <w:color w:val="000000"/>
                <w:sz w:val="18"/>
                <w:szCs w:val="18"/>
              </w:rPr>
              <w:t>MZ SR</w:t>
            </w:r>
          </w:p>
        </w:tc>
      </w:tr>
      <w:tr w:rsidR="00C03FC8" w:rsidRPr="00256D89" w14:paraId="0CFF7893" w14:textId="30D3C085" w:rsidTr="00430FEB">
        <w:trPr>
          <w:gridAfter w:val="1"/>
          <w:wAfter w:w="8" w:type="dxa"/>
          <w:trHeight w:val="442"/>
          <w:jc w:val="center"/>
        </w:trPr>
        <w:tc>
          <w:tcPr>
            <w:tcW w:w="593" w:type="dxa"/>
            <w:tcBorders>
              <w:top w:val="dotted" w:sz="4" w:space="0" w:color="auto"/>
              <w:left w:val="nil"/>
              <w:bottom w:val="dotted" w:sz="4" w:space="0" w:color="auto"/>
              <w:right w:val="nil"/>
            </w:tcBorders>
            <w:shd w:val="clear" w:color="auto" w:fill="auto"/>
            <w:noWrap/>
            <w:vAlign w:val="center"/>
            <w:hideMark/>
          </w:tcPr>
          <w:p w14:paraId="5EC22716" w14:textId="6E117A0F" w:rsidR="00C03FC8" w:rsidRPr="00256D89" w:rsidRDefault="00C03FC8"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726" w:type="dxa"/>
            <w:tcBorders>
              <w:top w:val="dotted" w:sz="4" w:space="0" w:color="auto"/>
              <w:left w:val="nil"/>
              <w:bottom w:val="dotted" w:sz="4" w:space="0" w:color="auto"/>
              <w:right w:val="nil"/>
            </w:tcBorders>
            <w:shd w:val="clear" w:color="auto" w:fill="auto"/>
            <w:vAlign w:val="center"/>
            <w:hideMark/>
          </w:tcPr>
          <w:p w14:paraId="59625121" w14:textId="329CBE24" w:rsidR="00C03FC8" w:rsidRPr="00256D89" w:rsidRDefault="00C03FC8" w:rsidP="00FB625E">
            <w:pPr>
              <w:spacing w:after="0" w:line="240" w:lineRule="auto"/>
              <w:rPr>
                <w:rFonts w:ascii="Arial Narrow" w:hAnsi="Arial Narrow"/>
                <w:color w:val="000000"/>
                <w:sz w:val="18"/>
                <w:szCs w:val="18"/>
              </w:rPr>
            </w:pPr>
            <w:r w:rsidRPr="008A5914">
              <w:rPr>
                <w:rFonts w:ascii="Arial Narrow" w:hAnsi="Arial Narrow"/>
                <w:color w:val="000000"/>
                <w:sz w:val="18"/>
                <w:szCs w:val="18"/>
              </w:rPr>
              <w:t>Analytické kapacity finančnej správy</w:t>
            </w:r>
          </w:p>
        </w:tc>
        <w:tc>
          <w:tcPr>
            <w:tcW w:w="1657" w:type="dxa"/>
            <w:tcBorders>
              <w:top w:val="dotted" w:sz="4" w:space="0" w:color="auto"/>
              <w:left w:val="nil"/>
              <w:bottom w:val="dotted" w:sz="4" w:space="0" w:color="auto"/>
              <w:right w:val="nil"/>
            </w:tcBorders>
            <w:shd w:val="clear" w:color="auto" w:fill="auto"/>
            <w:vAlign w:val="center"/>
            <w:hideMark/>
          </w:tcPr>
          <w:p w14:paraId="2BCF4C89" w14:textId="4A5775F0" w:rsidR="00C03FC8" w:rsidRPr="00256D89" w:rsidRDefault="00C03FC8" w:rsidP="00AB3326">
            <w:pPr>
              <w:spacing w:after="0" w:line="240" w:lineRule="auto"/>
              <w:jc w:val="center"/>
              <w:rPr>
                <w:rFonts w:ascii="Arial Narrow" w:hAnsi="Arial Narrow"/>
                <w:color w:val="000000"/>
                <w:sz w:val="18"/>
                <w:szCs w:val="18"/>
              </w:rPr>
            </w:pPr>
            <w:r w:rsidRPr="00382F05">
              <w:rPr>
                <w:rFonts w:ascii="Arial Narrow" w:hAnsi="Arial Narrow"/>
                <w:color w:val="000000"/>
                <w:sz w:val="18"/>
                <w:szCs w:val="18"/>
              </w:rPr>
              <w:t>31.12.201</w:t>
            </w:r>
            <w:r>
              <w:rPr>
                <w:rFonts w:ascii="Arial Narrow" w:hAnsi="Arial Narrow"/>
                <w:color w:val="000000"/>
                <w:sz w:val="18"/>
                <w:szCs w:val="18"/>
              </w:rPr>
              <w:t>7</w:t>
            </w:r>
          </w:p>
        </w:tc>
        <w:tc>
          <w:tcPr>
            <w:tcW w:w="1578" w:type="dxa"/>
            <w:gridSpan w:val="2"/>
            <w:tcBorders>
              <w:top w:val="dotted" w:sz="4" w:space="0" w:color="auto"/>
              <w:left w:val="nil"/>
              <w:bottom w:val="dotted" w:sz="4" w:space="0" w:color="auto"/>
              <w:right w:val="nil"/>
            </w:tcBorders>
            <w:shd w:val="clear" w:color="auto" w:fill="auto"/>
            <w:vAlign w:val="center"/>
            <w:hideMark/>
          </w:tcPr>
          <w:p w14:paraId="4AB7ECAD" w14:textId="0BBF2F11" w:rsidR="00C03FC8" w:rsidRPr="00256D89" w:rsidRDefault="00C03FC8"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FS</w:t>
            </w:r>
            <w:r w:rsidRPr="008A5914">
              <w:rPr>
                <w:rFonts w:ascii="Arial Narrow" w:hAnsi="Arial Narrow"/>
                <w:color w:val="000000"/>
                <w:sz w:val="18"/>
                <w:szCs w:val="18"/>
              </w:rPr>
              <w:t xml:space="preserve"> SR</w:t>
            </w:r>
          </w:p>
        </w:tc>
      </w:tr>
      <w:tr w:rsidR="00C03FC8" w:rsidRPr="00256D89" w14:paraId="702DB2E6" w14:textId="77777777" w:rsidTr="00430FEB">
        <w:trPr>
          <w:gridAfter w:val="1"/>
          <w:wAfter w:w="8" w:type="dxa"/>
          <w:trHeight w:val="442"/>
          <w:jc w:val="center"/>
        </w:trPr>
        <w:tc>
          <w:tcPr>
            <w:tcW w:w="593" w:type="dxa"/>
            <w:tcBorders>
              <w:top w:val="dotted" w:sz="4" w:space="0" w:color="auto"/>
              <w:left w:val="nil"/>
              <w:bottom w:val="dotted" w:sz="4" w:space="0" w:color="auto"/>
              <w:right w:val="nil"/>
            </w:tcBorders>
            <w:shd w:val="clear" w:color="auto" w:fill="auto"/>
            <w:noWrap/>
            <w:vAlign w:val="center"/>
          </w:tcPr>
          <w:p w14:paraId="0106D77A" w14:textId="24350D4E" w:rsidR="00C03FC8" w:rsidRDefault="00C03FC8"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726" w:type="dxa"/>
            <w:tcBorders>
              <w:top w:val="dotted" w:sz="4" w:space="0" w:color="auto"/>
              <w:left w:val="nil"/>
              <w:bottom w:val="dotted" w:sz="4" w:space="0" w:color="auto"/>
              <w:right w:val="nil"/>
            </w:tcBorders>
            <w:shd w:val="clear" w:color="auto" w:fill="auto"/>
            <w:vAlign w:val="center"/>
          </w:tcPr>
          <w:p w14:paraId="7E85203C" w14:textId="5FB9C06D" w:rsidR="00C03FC8" w:rsidRPr="008A5914" w:rsidRDefault="00C03FC8" w:rsidP="00FB625E">
            <w:pPr>
              <w:spacing w:after="0" w:line="240" w:lineRule="auto"/>
              <w:rPr>
                <w:rFonts w:ascii="Arial Narrow" w:hAnsi="Arial Narrow"/>
                <w:color w:val="000000"/>
                <w:sz w:val="18"/>
                <w:szCs w:val="18"/>
              </w:rPr>
            </w:pPr>
            <w:r>
              <w:rPr>
                <w:rFonts w:ascii="Arial Narrow" w:hAnsi="Arial Narrow"/>
                <w:color w:val="000000"/>
                <w:sz w:val="18"/>
                <w:szCs w:val="18"/>
              </w:rPr>
              <w:t xml:space="preserve">Ročné zúčtovanie sociálnych odvodov </w:t>
            </w:r>
          </w:p>
        </w:tc>
        <w:tc>
          <w:tcPr>
            <w:tcW w:w="1657" w:type="dxa"/>
            <w:tcBorders>
              <w:top w:val="dotted" w:sz="4" w:space="0" w:color="auto"/>
              <w:left w:val="nil"/>
              <w:bottom w:val="dotted" w:sz="4" w:space="0" w:color="auto"/>
              <w:right w:val="nil"/>
            </w:tcBorders>
            <w:shd w:val="clear" w:color="auto" w:fill="auto"/>
            <w:vAlign w:val="center"/>
          </w:tcPr>
          <w:p w14:paraId="5432917D" w14:textId="50A7C0D1" w:rsidR="00C03FC8" w:rsidRPr="00382F05" w:rsidRDefault="00C03FC8" w:rsidP="00522741">
            <w:pPr>
              <w:spacing w:after="0" w:line="240" w:lineRule="auto"/>
              <w:jc w:val="center"/>
              <w:rPr>
                <w:rFonts w:ascii="Arial Narrow" w:hAnsi="Arial Narrow"/>
                <w:color w:val="000000"/>
                <w:sz w:val="18"/>
                <w:szCs w:val="18"/>
              </w:rPr>
            </w:pPr>
            <w:r w:rsidRPr="00A94BB7">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tcPr>
          <w:p w14:paraId="330438CF" w14:textId="4E7BCC13" w:rsidR="00C03FC8" w:rsidRDefault="00C03FC8" w:rsidP="00894035">
            <w:pPr>
              <w:spacing w:after="0" w:line="240" w:lineRule="auto"/>
              <w:jc w:val="center"/>
              <w:rPr>
                <w:rFonts w:ascii="Arial Narrow" w:hAnsi="Arial Narrow"/>
                <w:color w:val="000000"/>
                <w:sz w:val="18"/>
                <w:szCs w:val="18"/>
              </w:rPr>
            </w:pPr>
            <w:r>
              <w:rPr>
                <w:rFonts w:ascii="Arial Narrow" w:hAnsi="Arial Narrow"/>
                <w:color w:val="000000"/>
                <w:sz w:val="18"/>
                <w:szCs w:val="18"/>
              </w:rPr>
              <w:t>MPSVR SR</w:t>
            </w:r>
          </w:p>
        </w:tc>
      </w:tr>
      <w:tr w:rsidR="00C03FC8" w:rsidRPr="00256D89" w14:paraId="666A1AD4" w14:textId="77777777" w:rsidTr="00430FEB">
        <w:trPr>
          <w:trHeight w:val="489"/>
          <w:jc w:val="center"/>
        </w:trPr>
        <w:tc>
          <w:tcPr>
            <w:tcW w:w="593" w:type="dxa"/>
            <w:tcBorders>
              <w:top w:val="dotted" w:sz="4" w:space="0" w:color="auto"/>
              <w:left w:val="nil"/>
              <w:bottom w:val="dotted" w:sz="4" w:space="0" w:color="auto"/>
              <w:right w:val="nil"/>
            </w:tcBorders>
            <w:shd w:val="clear" w:color="auto" w:fill="auto"/>
            <w:noWrap/>
            <w:vAlign w:val="center"/>
          </w:tcPr>
          <w:p w14:paraId="59714F29" w14:textId="4D86FEF3" w:rsidR="00C03FC8" w:rsidRPr="00256D89" w:rsidRDefault="00C03FC8" w:rsidP="00E94861">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726" w:type="dxa"/>
            <w:tcBorders>
              <w:top w:val="dotted" w:sz="4" w:space="0" w:color="auto"/>
              <w:left w:val="nil"/>
              <w:bottom w:val="dotted" w:sz="4" w:space="0" w:color="auto"/>
              <w:right w:val="nil"/>
            </w:tcBorders>
            <w:shd w:val="clear" w:color="auto" w:fill="auto"/>
            <w:vAlign w:val="center"/>
          </w:tcPr>
          <w:p w14:paraId="6AF6C909" w14:textId="77777777" w:rsidR="00C03FC8" w:rsidRPr="008A5914" w:rsidRDefault="00C03FC8" w:rsidP="00E94861">
            <w:pPr>
              <w:spacing w:after="0" w:line="240" w:lineRule="auto"/>
              <w:rPr>
                <w:rFonts w:ascii="Arial Narrow" w:hAnsi="Arial Narrow"/>
                <w:color w:val="000000"/>
                <w:sz w:val="18"/>
                <w:szCs w:val="18"/>
              </w:rPr>
            </w:pPr>
            <w:r>
              <w:rPr>
                <w:rFonts w:ascii="Arial Narrow" w:hAnsi="Arial Narrow"/>
                <w:color w:val="000000"/>
                <w:sz w:val="18"/>
                <w:szCs w:val="18"/>
              </w:rPr>
              <w:t>Implementácia výsledkov revízie výdavkov v zdravotníctve</w:t>
            </w:r>
          </w:p>
        </w:tc>
        <w:tc>
          <w:tcPr>
            <w:tcW w:w="1665" w:type="dxa"/>
            <w:gridSpan w:val="2"/>
            <w:tcBorders>
              <w:top w:val="dotted" w:sz="4" w:space="0" w:color="auto"/>
              <w:left w:val="nil"/>
              <w:bottom w:val="dotted" w:sz="4" w:space="0" w:color="auto"/>
              <w:right w:val="nil"/>
            </w:tcBorders>
            <w:shd w:val="clear" w:color="auto" w:fill="auto"/>
            <w:vAlign w:val="center"/>
          </w:tcPr>
          <w:p w14:paraId="188B42C0" w14:textId="77777777" w:rsidR="00C03FC8" w:rsidRPr="00382F05" w:rsidRDefault="00C03FC8" w:rsidP="00522741">
            <w:pPr>
              <w:spacing w:after="0" w:line="240" w:lineRule="auto"/>
              <w:jc w:val="center"/>
              <w:rPr>
                <w:rFonts w:ascii="Arial Narrow" w:hAnsi="Arial Narrow"/>
                <w:color w:val="000000"/>
                <w:sz w:val="18"/>
                <w:szCs w:val="18"/>
              </w:rPr>
            </w:pPr>
            <w:r w:rsidRPr="00382F05">
              <w:rPr>
                <w:rFonts w:ascii="Arial Narrow" w:hAnsi="Arial Narrow"/>
                <w:color w:val="000000"/>
                <w:sz w:val="18"/>
                <w:szCs w:val="18"/>
              </w:rPr>
              <w:t>31.12.201</w:t>
            </w:r>
            <w:r>
              <w:rPr>
                <w:rFonts w:ascii="Arial Narrow" w:hAnsi="Arial Narrow"/>
                <w:color w:val="000000"/>
                <w:sz w:val="18"/>
                <w:szCs w:val="18"/>
              </w:rPr>
              <w:t>7</w:t>
            </w:r>
          </w:p>
        </w:tc>
        <w:tc>
          <w:tcPr>
            <w:tcW w:w="1578" w:type="dxa"/>
            <w:gridSpan w:val="2"/>
            <w:tcBorders>
              <w:top w:val="dotted" w:sz="4" w:space="0" w:color="auto"/>
              <w:left w:val="nil"/>
              <w:bottom w:val="dotted" w:sz="4" w:space="0" w:color="auto"/>
              <w:right w:val="nil"/>
            </w:tcBorders>
            <w:shd w:val="clear" w:color="auto" w:fill="auto"/>
            <w:vAlign w:val="center"/>
          </w:tcPr>
          <w:p w14:paraId="318C898E" w14:textId="77777777" w:rsidR="00C03FC8" w:rsidRDefault="00C03FC8" w:rsidP="00E94861">
            <w:pPr>
              <w:spacing w:after="0" w:line="240" w:lineRule="auto"/>
              <w:jc w:val="center"/>
              <w:rPr>
                <w:rFonts w:ascii="Arial Narrow" w:hAnsi="Arial Narrow"/>
                <w:color w:val="000000"/>
                <w:sz w:val="18"/>
                <w:szCs w:val="18"/>
              </w:rPr>
            </w:pPr>
            <w:r>
              <w:rPr>
                <w:rFonts w:ascii="Arial Narrow" w:hAnsi="Arial Narrow"/>
                <w:color w:val="000000"/>
                <w:sz w:val="18"/>
                <w:szCs w:val="18"/>
              </w:rPr>
              <w:t>MZ SR</w:t>
            </w:r>
          </w:p>
        </w:tc>
      </w:tr>
      <w:tr w:rsidR="00C03FC8" w:rsidRPr="00256D89" w14:paraId="524BEEA2" w14:textId="77777777" w:rsidTr="00430FEB">
        <w:trPr>
          <w:trHeight w:val="489"/>
          <w:jc w:val="center"/>
        </w:trPr>
        <w:tc>
          <w:tcPr>
            <w:tcW w:w="593" w:type="dxa"/>
            <w:tcBorders>
              <w:top w:val="dotted" w:sz="4" w:space="0" w:color="auto"/>
              <w:left w:val="nil"/>
              <w:bottom w:val="dotted" w:sz="4" w:space="0" w:color="auto"/>
              <w:right w:val="nil"/>
            </w:tcBorders>
            <w:shd w:val="clear" w:color="auto" w:fill="auto"/>
            <w:noWrap/>
            <w:vAlign w:val="center"/>
          </w:tcPr>
          <w:p w14:paraId="0F94283C" w14:textId="4EEF8851" w:rsidR="00C03FC8" w:rsidRPr="00256D89" w:rsidRDefault="00C03FC8" w:rsidP="00E94861">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726" w:type="dxa"/>
            <w:tcBorders>
              <w:top w:val="dotted" w:sz="4" w:space="0" w:color="auto"/>
              <w:left w:val="nil"/>
              <w:bottom w:val="dotted" w:sz="4" w:space="0" w:color="auto"/>
              <w:right w:val="nil"/>
            </w:tcBorders>
            <w:shd w:val="clear" w:color="auto" w:fill="auto"/>
            <w:vAlign w:val="center"/>
          </w:tcPr>
          <w:p w14:paraId="41D84AE2" w14:textId="77777777" w:rsidR="00C03FC8" w:rsidRPr="008A5914" w:rsidRDefault="00C03FC8" w:rsidP="00E94861">
            <w:pPr>
              <w:spacing w:after="0" w:line="240" w:lineRule="auto"/>
              <w:rPr>
                <w:rFonts w:ascii="Arial Narrow" w:hAnsi="Arial Narrow"/>
                <w:color w:val="000000"/>
                <w:sz w:val="18"/>
                <w:szCs w:val="18"/>
              </w:rPr>
            </w:pPr>
            <w:r>
              <w:rPr>
                <w:rFonts w:ascii="Arial Narrow" w:hAnsi="Arial Narrow"/>
                <w:color w:val="000000"/>
                <w:sz w:val="18"/>
                <w:szCs w:val="18"/>
              </w:rPr>
              <w:t xml:space="preserve">Implementácia výsledkov revízie výdavkov v doprave </w:t>
            </w:r>
          </w:p>
        </w:tc>
        <w:tc>
          <w:tcPr>
            <w:tcW w:w="1665" w:type="dxa"/>
            <w:gridSpan w:val="2"/>
            <w:tcBorders>
              <w:top w:val="dotted" w:sz="4" w:space="0" w:color="auto"/>
              <w:left w:val="nil"/>
              <w:bottom w:val="dotted" w:sz="4" w:space="0" w:color="auto"/>
              <w:right w:val="nil"/>
            </w:tcBorders>
            <w:shd w:val="clear" w:color="auto" w:fill="auto"/>
            <w:vAlign w:val="center"/>
          </w:tcPr>
          <w:p w14:paraId="21BD85B6" w14:textId="77777777" w:rsidR="00C03FC8" w:rsidRPr="00382F05" w:rsidRDefault="00C03FC8" w:rsidP="00522741">
            <w:pPr>
              <w:spacing w:after="0" w:line="240" w:lineRule="auto"/>
              <w:jc w:val="center"/>
              <w:rPr>
                <w:rFonts w:ascii="Arial Narrow" w:hAnsi="Arial Narrow"/>
                <w:color w:val="000000"/>
                <w:sz w:val="18"/>
                <w:szCs w:val="18"/>
              </w:rPr>
            </w:pPr>
            <w:r w:rsidRPr="00382F05">
              <w:rPr>
                <w:rFonts w:ascii="Arial Narrow" w:hAnsi="Arial Narrow"/>
                <w:color w:val="000000"/>
                <w:sz w:val="18"/>
                <w:szCs w:val="18"/>
              </w:rPr>
              <w:t>31.12.201</w:t>
            </w:r>
            <w:r>
              <w:rPr>
                <w:rFonts w:ascii="Arial Narrow" w:hAnsi="Arial Narrow"/>
                <w:color w:val="000000"/>
                <w:sz w:val="18"/>
                <w:szCs w:val="18"/>
              </w:rPr>
              <w:t>7</w:t>
            </w:r>
          </w:p>
        </w:tc>
        <w:tc>
          <w:tcPr>
            <w:tcW w:w="1578" w:type="dxa"/>
            <w:gridSpan w:val="2"/>
            <w:tcBorders>
              <w:top w:val="dotted" w:sz="4" w:space="0" w:color="auto"/>
              <w:left w:val="nil"/>
              <w:bottom w:val="dotted" w:sz="4" w:space="0" w:color="auto"/>
              <w:right w:val="nil"/>
            </w:tcBorders>
            <w:shd w:val="clear" w:color="auto" w:fill="auto"/>
            <w:vAlign w:val="center"/>
          </w:tcPr>
          <w:p w14:paraId="7EBF6723" w14:textId="6E2761AA" w:rsidR="00C03FC8" w:rsidRDefault="00C03FC8" w:rsidP="00ED5213">
            <w:pPr>
              <w:spacing w:after="0" w:line="240" w:lineRule="auto"/>
              <w:jc w:val="center"/>
              <w:rPr>
                <w:rFonts w:ascii="Arial Narrow" w:hAnsi="Arial Narrow"/>
                <w:color w:val="000000"/>
                <w:sz w:val="18"/>
                <w:szCs w:val="18"/>
              </w:rPr>
            </w:pPr>
            <w:r>
              <w:rPr>
                <w:rFonts w:ascii="Arial Narrow" w:hAnsi="Arial Narrow"/>
                <w:color w:val="000000"/>
                <w:sz w:val="18"/>
                <w:szCs w:val="18"/>
              </w:rPr>
              <w:t>MDV SR</w:t>
            </w:r>
          </w:p>
        </w:tc>
      </w:tr>
      <w:tr w:rsidR="00C03FC8" w:rsidRPr="00256D89" w14:paraId="1F77AF26" w14:textId="77777777" w:rsidTr="00430FEB">
        <w:trPr>
          <w:trHeight w:val="489"/>
          <w:jc w:val="center"/>
        </w:trPr>
        <w:tc>
          <w:tcPr>
            <w:tcW w:w="593" w:type="dxa"/>
            <w:tcBorders>
              <w:top w:val="dotted" w:sz="4" w:space="0" w:color="auto"/>
              <w:left w:val="nil"/>
              <w:bottom w:val="single" w:sz="4" w:space="0" w:color="auto"/>
              <w:right w:val="nil"/>
            </w:tcBorders>
            <w:shd w:val="clear" w:color="auto" w:fill="auto"/>
            <w:noWrap/>
            <w:vAlign w:val="center"/>
          </w:tcPr>
          <w:p w14:paraId="460EADB2" w14:textId="564D75AC" w:rsidR="00C03FC8" w:rsidRPr="00256D89" w:rsidRDefault="00C03FC8" w:rsidP="00E94861">
            <w:pPr>
              <w:spacing w:after="0" w:line="240" w:lineRule="auto"/>
              <w:jc w:val="center"/>
              <w:rPr>
                <w:rFonts w:ascii="Arial Narrow" w:hAnsi="Arial Narrow"/>
                <w:color w:val="000000"/>
                <w:sz w:val="18"/>
                <w:szCs w:val="18"/>
              </w:rPr>
            </w:pPr>
            <w:r>
              <w:rPr>
                <w:rFonts w:ascii="Arial Narrow" w:hAnsi="Arial Narrow"/>
                <w:color w:val="000000"/>
                <w:sz w:val="18"/>
                <w:szCs w:val="18"/>
              </w:rPr>
              <w:t>1</w:t>
            </w:r>
          </w:p>
        </w:tc>
        <w:tc>
          <w:tcPr>
            <w:tcW w:w="4726" w:type="dxa"/>
            <w:tcBorders>
              <w:top w:val="dotted" w:sz="4" w:space="0" w:color="auto"/>
              <w:left w:val="nil"/>
              <w:bottom w:val="single" w:sz="4" w:space="0" w:color="auto"/>
              <w:right w:val="nil"/>
            </w:tcBorders>
            <w:shd w:val="clear" w:color="auto" w:fill="auto"/>
            <w:vAlign w:val="center"/>
          </w:tcPr>
          <w:p w14:paraId="3C2A4E45" w14:textId="77777777" w:rsidR="00C03FC8" w:rsidRPr="008A5914" w:rsidRDefault="00C03FC8" w:rsidP="00E94861">
            <w:pPr>
              <w:spacing w:after="0" w:line="240" w:lineRule="auto"/>
              <w:rPr>
                <w:rFonts w:ascii="Arial Narrow" w:hAnsi="Arial Narrow"/>
                <w:color w:val="000000"/>
                <w:sz w:val="18"/>
                <w:szCs w:val="18"/>
              </w:rPr>
            </w:pPr>
            <w:r>
              <w:rPr>
                <w:rFonts w:ascii="Arial Narrow" w:hAnsi="Arial Narrow"/>
                <w:color w:val="000000"/>
                <w:sz w:val="18"/>
                <w:szCs w:val="18"/>
              </w:rPr>
              <w:t>Implementácia výsledkov revízie výdavkov v IT</w:t>
            </w:r>
          </w:p>
        </w:tc>
        <w:tc>
          <w:tcPr>
            <w:tcW w:w="1665" w:type="dxa"/>
            <w:gridSpan w:val="2"/>
            <w:tcBorders>
              <w:top w:val="dotted" w:sz="4" w:space="0" w:color="auto"/>
              <w:left w:val="nil"/>
              <w:bottom w:val="single" w:sz="4" w:space="0" w:color="auto"/>
              <w:right w:val="nil"/>
            </w:tcBorders>
            <w:shd w:val="clear" w:color="auto" w:fill="auto"/>
            <w:vAlign w:val="center"/>
          </w:tcPr>
          <w:p w14:paraId="3E098748" w14:textId="77777777" w:rsidR="00C03FC8" w:rsidRPr="00382F05" w:rsidRDefault="00C03FC8" w:rsidP="00522741">
            <w:pPr>
              <w:spacing w:after="0" w:line="240" w:lineRule="auto"/>
              <w:jc w:val="center"/>
              <w:rPr>
                <w:rFonts w:ascii="Arial Narrow" w:hAnsi="Arial Narrow"/>
                <w:color w:val="000000"/>
                <w:sz w:val="18"/>
                <w:szCs w:val="18"/>
              </w:rPr>
            </w:pPr>
            <w:r w:rsidRPr="00382F05">
              <w:rPr>
                <w:rFonts w:ascii="Arial Narrow" w:hAnsi="Arial Narrow"/>
                <w:color w:val="000000"/>
                <w:sz w:val="18"/>
                <w:szCs w:val="18"/>
              </w:rPr>
              <w:t>31.12.201</w:t>
            </w:r>
            <w:r>
              <w:rPr>
                <w:rFonts w:ascii="Arial Narrow" w:hAnsi="Arial Narrow"/>
                <w:color w:val="000000"/>
                <w:sz w:val="18"/>
                <w:szCs w:val="18"/>
              </w:rPr>
              <w:t>7</w:t>
            </w:r>
          </w:p>
        </w:tc>
        <w:tc>
          <w:tcPr>
            <w:tcW w:w="1578" w:type="dxa"/>
            <w:gridSpan w:val="2"/>
            <w:tcBorders>
              <w:top w:val="dotted" w:sz="4" w:space="0" w:color="auto"/>
              <w:left w:val="nil"/>
              <w:bottom w:val="single" w:sz="4" w:space="0" w:color="auto"/>
              <w:right w:val="nil"/>
            </w:tcBorders>
            <w:shd w:val="clear" w:color="auto" w:fill="auto"/>
            <w:vAlign w:val="center"/>
          </w:tcPr>
          <w:p w14:paraId="0E97A34F" w14:textId="77777777" w:rsidR="00C03FC8" w:rsidRDefault="00C03FC8" w:rsidP="00E94861">
            <w:pPr>
              <w:spacing w:after="0" w:line="240" w:lineRule="auto"/>
              <w:jc w:val="center"/>
              <w:rPr>
                <w:rFonts w:ascii="Arial Narrow" w:hAnsi="Arial Narrow"/>
                <w:color w:val="000000"/>
                <w:sz w:val="18"/>
                <w:szCs w:val="18"/>
              </w:rPr>
            </w:pPr>
            <w:r>
              <w:rPr>
                <w:rFonts w:ascii="Arial Narrow" w:hAnsi="Arial Narrow"/>
                <w:color w:val="000000"/>
                <w:sz w:val="18"/>
                <w:szCs w:val="18"/>
              </w:rPr>
              <w:t>ÚPVII</w:t>
            </w:r>
          </w:p>
        </w:tc>
      </w:tr>
      <w:tr w:rsidR="00C03FC8" w:rsidRPr="00256D89" w14:paraId="14FABECA" w14:textId="3E347DA3" w:rsidTr="00430FEB">
        <w:trPr>
          <w:gridAfter w:val="1"/>
          <w:wAfter w:w="8" w:type="dxa"/>
          <w:trHeight w:val="427"/>
          <w:jc w:val="center"/>
        </w:trPr>
        <w:tc>
          <w:tcPr>
            <w:tcW w:w="593" w:type="dxa"/>
            <w:tcBorders>
              <w:top w:val="dotted" w:sz="4" w:space="0" w:color="auto"/>
              <w:left w:val="nil"/>
              <w:bottom w:val="dotted" w:sz="4" w:space="0" w:color="auto"/>
              <w:right w:val="nil"/>
            </w:tcBorders>
            <w:shd w:val="clear" w:color="auto" w:fill="auto"/>
            <w:noWrap/>
            <w:vAlign w:val="center"/>
            <w:hideMark/>
          </w:tcPr>
          <w:p w14:paraId="4B896957" w14:textId="08596D82" w:rsidR="00C03FC8" w:rsidRPr="008A5914" w:rsidRDefault="00C03FC8"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dotted" w:sz="4" w:space="0" w:color="auto"/>
              <w:left w:val="nil"/>
              <w:bottom w:val="dotted" w:sz="4" w:space="0" w:color="auto"/>
              <w:right w:val="nil"/>
            </w:tcBorders>
            <w:shd w:val="clear" w:color="auto" w:fill="auto"/>
            <w:vAlign w:val="center"/>
            <w:hideMark/>
          </w:tcPr>
          <w:p w14:paraId="719B1794" w14:textId="38B52845" w:rsidR="00C03FC8" w:rsidRPr="008A5914" w:rsidRDefault="00C03FC8" w:rsidP="00FB625E">
            <w:pPr>
              <w:spacing w:after="0" w:line="240" w:lineRule="auto"/>
              <w:rPr>
                <w:rFonts w:ascii="Arial Narrow" w:hAnsi="Arial Narrow"/>
                <w:color w:val="000000"/>
                <w:sz w:val="18"/>
                <w:szCs w:val="18"/>
              </w:rPr>
            </w:pPr>
            <w:r w:rsidRPr="00767333">
              <w:rPr>
                <w:rFonts w:ascii="Arial Narrow" w:hAnsi="Arial Narrow"/>
                <w:color w:val="000000"/>
                <w:sz w:val="18"/>
                <w:szCs w:val="18"/>
              </w:rPr>
              <w:t>Reforma služieb zamestnanosti a APTP</w:t>
            </w:r>
          </w:p>
        </w:tc>
        <w:tc>
          <w:tcPr>
            <w:tcW w:w="1657" w:type="dxa"/>
            <w:tcBorders>
              <w:top w:val="single" w:sz="4" w:space="0" w:color="auto"/>
              <w:left w:val="nil"/>
              <w:bottom w:val="dotted" w:sz="4" w:space="0" w:color="auto"/>
              <w:right w:val="nil"/>
            </w:tcBorders>
            <w:shd w:val="clear" w:color="auto" w:fill="auto"/>
            <w:noWrap/>
            <w:vAlign w:val="center"/>
            <w:hideMark/>
          </w:tcPr>
          <w:p w14:paraId="65E474F6" w14:textId="001612BE" w:rsidR="00C03FC8" w:rsidRPr="008A5914"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31.12.2017</w:t>
            </w:r>
          </w:p>
        </w:tc>
        <w:tc>
          <w:tcPr>
            <w:tcW w:w="1578" w:type="dxa"/>
            <w:gridSpan w:val="2"/>
            <w:tcBorders>
              <w:top w:val="single" w:sz="4" w:space="0" w:color="auto"/>
              <w:left w:val="nil"/>
              <w:bottom w:val="dotted" w:sz="4" w:space="0" w:color="auto"/>
              <w:right w:val="nil"/>
            </w:tcBorders>
            <w:shd w:val="clear" w:color="auto" w:fill="auto"/>
            <w:vAlign w:val="center"/>
            <w:hideMark/>
          </w:tcPr>
          <w:p w14:paraId="0867E64D" w14:textId="65BE20BE" w:rsidR="00C03FC8" w:rsidRPr="008A5914" w:rsidRDefault="00C03FC8" w:rsidP="00FB625E">
            <w:pPr>
              <w:spacing w:after="0" w:line="240" w:lineRule="auto"/>
              <w:jc w:val="center"/>
              <w:rPr>
                <w:rFonts w:ascii="Arial Narrow" w:hAnsi="Arial Narrow"/>
                <w:color w:val="000000"/>
                <w:sz w:val="18"/>
                <w:szCs w:val="18"/>
              </w:rPr>
            </w:pPr>
            <w:r w:rsidRPr="00256D89">
              <w:rPr>
                <w:rFonts w:ascii="Arial Narrow" w:hAnsi="Arial Narrow"/>
                <w:color w:val="000000"/>
                <w:sz w:val="18"/>
                <w:szCs w:val="18"/>
              </w:rPr>
              <w:t>MPSVR SR</w:t>
            </w:r>
          </w:p>
        </w:tc>
      </w:tr>
      <w:tr w:rsidR="00C03FC8" w:rsidRPr="00256D89" w14:paraId="3D848BC8" w14:textId="70CF27B4" w:rsidTr="00430FEB">
        <w:trPr>
          <w:gridAfter w:val="1"/>
          <w:wAfter w:w="8" w:type="dxa"/>
          <w:trHeight w:val="360"/>
          <w:jc w:val="center"/>
        </w:trPr>
        <w:tc>
          <w:tcPr>
            <w:tcW w:w="593" w:type="dxa"/>
            <w:tcBorders>
              <w:top w:val="nil"/>
              <w:left w:val="nil"/>
              <w:bottom w:val="dotted" w:sz="4" w:space="0" w:color="auto"/>
              <w:right w:val="nil"/>
            </w:tcBorders>
            <w:shd w:val="clear" w:color="auto" w:fill="auto"/>
            <w:noWrap/>
            <w:vAlign w:val="center"/>
            <w:hideMark/>
          </w:tcPr>
          <w:p w14:paraId="2A9D9209" w14:textId="775B42FB" w:rsidR="00C03FC8" w:rsidRPr="00256D89"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hideMark/>
          </w:tcPr>
          <w:p w14:paraId="79F836BD" w14:textId="5EF5B17F" w:rsidR="00C03FC8" w:rsidRPr="00256D89" w:rsidRDefault="00C03FC8" w:rsidP="00767333">
            <w:pPr>
              <w:spacing w:after="0" w:line="240" w:lineRule="auto"/>
              <w:rPr>
                <w:rFonts w:ascii="Arial Narrow" w:hAnsi="Arial Narrow"/>
                <w:color w:val="000000"/>
                <w:sz w:val="18"/>
                <w:szCs w:val="18"/>
              </w:rPr>
            </w:pPr>
            <w:r w:rsidRPr="00256D89">
              <w:rPr>
                <w:rFonts w:ascii="Arial Narrow" w:hAnsi="Arial Narrow"/>
                <w:color w:val="000000"/>
                <w:sz w:val="18"/>
                <w:szCs w:val="18"/>
              </w:rPr>
              <w:t>Rozšírenie kapacít materských škôl a rozvoj služieb starostlivosti o deti do 3 rokov</w:t>
            </w:r>
          </w:p>
        </w:tc>
        <w:tc>
          <w:tcPr>
            <w:tcW w:w="1657" w:type="dxa"/>
            <w:tcBorders>
              <w:top w:val="nil"/>
              <w:left w:val="nil"/>
              <w:bottom w:val="dotted" w:sz="4" w:space="0" w:color="auto"/>
              <w:right w:val="nil"/>
            </w:tcBorders>
            <w:shd w:val="clear" w:color="auto" w:fill="auto"/>
            <w:noWrap/>
            <w:vAlign w:val="center"/>
            <w:hideMark/>
          </w:tcPr>
          <w:p w14:paraId="4258D7D6" w14:textId="674C4603" w:rsidR="00C03FC8" w:rsidRPr="00256D89"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31.12.2017</w:t>
            </w:r>
          </w:p>
        </w:tc>
        <w:tc>
          <w:tcPr>
            <w:tcW w:w="1578" w:type="dxa"/>
            <w:gridSpan w:val="2"/>
            <w:tcBorders>
              <w:top w:val="nil"/>
              <w:left w:val="nil"/>
              <w:bottom w:val="dotted" w:sz="4" w:space="0" w:color="auto"/>
              <w:right w:val="nil"/>
            </w:tcBorders>
            <w:shd w:val="clear" w:color="auto" w:fill="auto"/>
            <w:vAlign w:val="center"/>
            <w:hideMark/>
          </w:tcPr>
          <w:p w14:paraId="394F752C" w14:textId="623E4396" w:rsidR="00C03FC8" w:rsidRPr="00256D89"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 xml:space="preserve">MPSVR SR, MŠVVŠ </w:t>
            </w:r>
            <w:r w:rsidRPr="00256D89">
              <w:rPr>
                <w:rFonts w:ascii="Arial Narrow" w:hAnsi="Arial Narrow"/>
                <w:color w:val="000000"/>
                <w:sz w:val="18"/>
                <w:szCs w:val="18"/>
              </w:rPr>
              <w:t xml:space="preserve">SR, </w:t>
            </w:r>
          </w:p>
          <w:p w14:paraId="655D0B3A" w14:textId="384EDA3F" w:rsidR="00C03FC8" w:rsidRPr="00256D89" w:rsidRDefault="00C03FC8" w:rsidP="00767333">
            <w:pPr>
              <w:spacing w:after="0" w:line="240" w:lineRule="auto"/>
              <w:jc w:val="center"/>
              <w:rPr>
                <w:rFonts w:ascii="Arial Narrow" w:hAnsi="Arial Narrow"/>
                <w:color w:val="000000"/>
                <w:sz w:val="18"/>
                <w:szCs w:val="18"/>
              </w:rPr>
            </w:pPr>
            <w:r w:rsidRPr="00256D89">
              <w:rPr>
                <w:rFonts w:ascii="Arial Narrow" w:hAnsi="Arial Narrow"/>
                <w:color w:val="000000"/>
                <w:sz w:val="18"/>
                <w:szCs w:val="18"/>
              </w:rPr>
              <w:t>MPRV SR</w:t>
            </w:r>
          </w:p>
        </w:tc>
      </w:tr>
      <w:tr w:rsidR="00C03FC8" w:rsidRPr="00256D89" w14:paraId="3E438164" w14:textId="029CB225" w:rsidTr="00430FEB">
        <w:trPr>
          <w:gridAfter w:val="1"/>
          <w:wAfter w:w="8" w:type="dxa"/>
          <w:trHeight w:val="647"/>
          <w:jc w:val="center"/>
        </w:trPr>
        <w:tc>
          <w:tcPr>
            <w:tcW w:w="593" w:type="dxa"/>
            <w:tcBorders>
              <w:top w:val="nil"/>
              <w:left w:val="nil"/>
              <w:bottom w:val="dotted" w:sz="4" w:space="0" w:color="auto"/>
              <w:right w:val="nil"/>
            </w:tcBorders>
            <w:shd w:val="clear" w:color="auto" w:fill="auto"/>
            <w:noWrap/>
            <w:vAlign w:val="center"/>
          </w:tcPr>
          <w:p w14:paraId="6F9B59CB" w14:textId="515EE30B" w:rsidR="00C03FC8" w:rsidRPr="00256D89"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35D0B4D0" w14:textId="673CB4C0" w:rsidR="00C03FC8" w:rsidRPr="00256D89" w:rsidRDefault="00C03FC8" w:rsidP="00522741">
            <w:pPr>
              <w:spacing w:after="0" w:line="240" w:lineRule="auto"/>
              <w:rPr>
                <w:rFonts w:ascii="Arial Narrow" w:hAnsi="Arial Narrow"/>
                <w:color w:val="000000"/>
                <w:sz w:val="18"/>
                <w:szCs w:val="18"/>
              </w:rPr>
            </w:pPr>
            <w:r w:rsidRPr="00256D89">
              <w:rPr>
                <w:rFonts w:ascii="Arial Narrow" w:hAnsi="Arial Narrow"/>
                <w:color w:val="000000"/>
                <w:sz w:val="18"/>
                <w:szCs w:val="18"/>
              </w:rPr>
              <w:t>Integrácia marginalizovaných rómskych komunít</w:t>
            </w:r>
            <w:r>
              <w:rPr>
                <w:rFonts w:ascii="Arial Narrow" w:hAnsi="Arial Narrow"/>
                <w:color w:val="000000"/>
                <w:sz w:val="18"/>
                <w:szCs w:val="18"/>
              </w:rPr>
              <w:t xml:space="preserve"> (vzdelávanie, trh práce a sociálna inklúzia)</w:t>
            </w:r>
          </w:p>
        </w:tc>
        <w:tc>
          <w:tcPr>
            <w:tcW w:w="1657" w:type="dxa"/>
            <w:tcBorders>
              <w:top w:val="nil"/>
              <w:left w:val="nil"/>
              <w:bottom w:val="dotted" w:sz="4" w:space="0" w:color="auto"/>
              <w:right w:val="nil"/>
            </w:tcBorders>
            <w:shd w:val="clear" w:color="auto" w:fill="auto"/>
            <w:noWrap/>
            <w:vAlign w:val="center"/>
          </w:tcPr>
          <w:p w14:paraId="22B550FA" w14:textId="1286CCF5" w:rsidR="00C03FC8" w:rsidRPr="00256D89"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31.12.2017</w:t>
            </w:r>
          </w:p>
        </w:tc>
        <w:tc>
          <w:tcPr>
            <w:tcW w:w="1578" w:type="dxa"/>
            <w:gridSpan w:val="2"/>
            <w:tcBorders>
              <w:top w:val="nil"/>
              <w:left w:val="nil"/>
              <w:bottom w:val="dotted" w:sz="4" w:space="0" w:color="auto"/>
              <w:right w:val="nil"/>
            </w:tcBorders>
            <w:shd w:val="clear" w:color="auto" w:fill="auto"/>
            <w:vAlign w:val="center"/>
          </w:tcPr>
          <w:p w14:paraId="20F05041" w14:textId="19287175" w:rsidR="00C03FC8" w:rsidRPr="00256D89" w:rsidRDefault="00C03FC8" w:rsidP="00767333">
            <w:pPr>
              <w:spacing w:after="0" w:line="240" w:lineRule="auto"/>
              <w:jc w:val="center"/>
              <w:rPr>
                <w:rFonts w:ascii="Arial Narrow" w:hAnsi="Arial Narrow"/>
                <w:color w:val="000000"/>
                <w:sz w:val="18"/>
                <w:szCs w:val="18"/>
              </w:rPr>
            </w:pPr>
            <w:r w:rsidRPr="00256D89">
              <w:rPr>
                <w:rFonts w:ascii="Arial Narrow" w:hAnsi="Arial Narrow"/>
                <w:color w:val="000000"/>
                <w:sz w:val="18"/>
                <w:szCs w:val="18"/>
              </w:rPr>
              <w:t>MPSVR SR</w:t>
            </w:r>
            <w:r>
              <w:rPr>
                <w:rFonts w:ascii="Arial Narrow" w:hAnsi="Arial Narrow"/>
                <w:color w:val="000000"/>
                <w:sz w:val="18"/>
                <w:szCs w:val="18"/>
              </w:rPr>
              <w:t>, MŠVV</w:t>
            </w:r>
            <w:r w:rsidRPr="00256D89">
              <w:rPr>
                <w:rFonts w:ascii="Arial Narrow" w:hAnsi="Arial Narrow"/>
                <w:color w:val="000000"/>
                <w:sz w:val="18"/>
                <w:szCs w:val="18"/>
              </w:rPr>
              <w:t>Š SR</w:t>
            </w:r>
            <w:r>
              <w:rPr>
                <w:rFonts w:ascii="Arial Narrow" w:hAnsi="Arial Narrow"/>
                <w:color w:val="000000"/>
                <w:sz w:val="18"/>
                <w:szCs w:val="18"/>
              </w:rPr>
              <w:t xml:space="preserve">, </w:t>
            </w:r>
            <w:r w:rsidR="00F53976">
              <w:rPr>
                <w:rFonts w:ascii="Arial Narrow" w:hAnsi="Arial Narrow"/>
                <w:color w:val="000000"/>
                <w:sz w:val="18"/>
                <w:szCs w:val="18"/>
              </w:rPr>
              <w:t xml:space="preserve">MV SR, </w:t>
            </w:r>
            <w:r w:rsidRPr="00256D89">
              <w:rPr>
                <w:rFonts w:ascii="Arial Narrow" w:hAnsi="Arial Narrow"/>
                <w:color w:val="000000"/>
                <w:sz w:val="18"/>
                <w:szCs w:val="18"/>
              </w:rPr>
              <w:t>ÚSVRK</w:t>
            </w:r>
          </w:p>
        </w:tc>
      </w:tr>
      <w:tr w:rsidR="00C03FC8" w:rsidRPr="00256D89" w14:paraId="2161B515" w14:textId="77777777" w:rsidTr="00430FEB">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58107407" w14:textId="365AA10F"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0A40122E" w14:textId="0B889B5B" w:rsidR="00C03FC8" w:rsidRPr="00256D89" w:rsidRDefault="00C03FC8" w:rsidP="00767333">
            <w:pPr>
              <w:spacing w:after="0" w:line="240" w:lineRule="auto"/>
              <w:rPr>
                <w:rFonts w:ascii="Arial Narrow" w:hAnsi="Arial Narrow"/>
                <w:color w:val="000000"/>
                <w:sz w:val="18"/>
                <w:szCs w:val="18"/>
              </w:rPr>
            </w:pPr>
            <w:r>
              <w:rPr>
                <w:rFonts w:ascii="Arial Narrow" w:hAnsi="Arial Narrow"/>
                <w:color w:val="000000"/>
                <w:sz w:val="18"/>
                <w:szCs w:val="18"/>
              </w:rPr>
              <w:t xml:space="preserve">Zmeny financovania v regionálnom školstve </w:t>
            </w:r>
            <w:r w:rsidRPr="00A94BB7">
              <w:rPr>
                <w:rFonts w:ascii="Arial Narrow" w:hAnsi="Arial Narrow"/>
                <w:color w:val="000000"/>
                <w:sz w:val="18"/>
                <w:szCs w:val="18"/>
              </w:rPr>
              <w:t>a jeho racionalizácia</w:t>
            </w:r>
          </w:p>
        </w:tc>
        <w:tc>
          <w:tcPr>
            <w:tcW w:w="1657" w:type="dxa"/>
            <w:tcBorders>
              <w:top w:val="nil"/>
              <w:left w:val="nil"/>
              <w:bottom w:val="dotted" w:sz="4" w:space="0" w:color="auto"/>
              <w:right w:val="nil"/>
            </w:tcBorders>
            <w:shd w:val="clear" w:color="auto" w:fill="auto"/>
            <w:noWrap/>
            <w:vAlign w:val="center"/>
          </w:tcPr>
          <w:p w14:paraId="570615D3" w14:textId="7488CA5C" w:rsidR="00C03FC8"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31.12.2017</w:t>
            </w:r>
          </w:p>
        </w:tc>
        <w:tc>
          <w:tcPr>
            <w:tcW w:w="1578" w:type="dxa"/>
            <w:gridSpan w:val="2"/>
            <w:tcBorders>
              <w:top w:val="nil"/>
              <w:left w:val="nil"/>
              <w:bottom w:val="dotted" w:sz="4" w:space="0" w:color="auto"/>
              <w:right w:val="nil"/>
            </w:tcBorders>
            <w:shd w:val="clear" w:color="auto" w:fill="auto"/>
            <w:vAlign w:val="center"/>
          </w:tcPr>
          <w:p w14:paraId="1F801273" w14:textId="4E199E08" w:rsidR="00C03FC8" w:rsidRPr="00256D89"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MŠVVŠ SR</w:t>
            </w:r>
          </w:p>
        </w:tc>
      </w:tr>
      <w:tr w:rsidR="00C03FC8" w:rsidRPr="00256D89" w14:paraId="5583391C" w14:textId="77777777" w:rsidTr="00430FEB">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18614FF4" w14:textId="2632D4DE"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68450174" w14:textId="5B03455C" w:rsidR="00C03FC8" w:rsidRDefault="00C03FC8" w:rsidP="00767333">
            <w:pPr>
              <w:spacing w:after="0" w:line="240" w:lineRule="auto"/>
              <w:rPr>
                <w:rFonts w:ascii="Arial Narrow" w:hAnsi="Arial Narrow"/>
                <w:color w:val="000000"/>
                <w:sz w:val="18"/>
                <w:szCs w:val="18"/>
              </w:rPr>
            </w:pPr>
            <w:r w:rsidRPr="00F91084">
              <w:rPr>
                <w:rFonts w:ascii="Arial Narrow" w:hAnsi="Arial Narrow"/>
                <w:color w:val="000000"/>
                <w:sz w:val="18"/>
                <w:szCs w:val="18"/>
              </w:rPr>
              <w:t>Vyššia kvalita a lepšia podpora učiteľov</w:t>
            </w:r>
          </w:p>
        </w:tc>
        <w:tc>
          <w:tcPr>
            <w:tcW w:w="1657" w:type="dxa"/>
            <w:tcBorders>
              <w:top w:val="nil"/>
              <w:left w:val="nil"/>
              <w:bottom w:val="dotted" w:sz="4" w:space="0" w:color="auto"/>
              <w:right w:val="nil"/>
            </w:tcBorders>
            <w:shd w:val="clear" w:color="auto" w:fill="auto"/>
            <w:noWrap/>
            <w:vAlign w:val="center"/>
          </w:tcPr>
          <w:p w14:paraId="3A55B9B9" w14:textId="6DFC3648" w:rsidR="00C03FC8" w:rsidRPr="00D27F1A" w:rsidRDefault="00C03FC8" w:rsidP="00522741">
            <w:pPr>
              <w:spacing w:after="0" w:line="240" w:lineRule="auto"/>
              <w:jc w:val="center"/>
              <w:rPr>
                <w:rFonts w:ascii="Arial Narrow" w:hAnsi="Arial Narrow"/>
                <w:color w:val="000000"/>
                <w:sz w:val="18"/>
                <w:szCs w:val="18"/>
                <w:highlight w:val="yellow"/>
              </w:rPr>
            </w:pPr>
            <w:r w:rsidRPr="00A94BB7">
              <w:rPr>
                <w:rFonts w:ascii="Arial Narrow" w:hAnsi="Arial Narrow"/>
                <w:color w:val="000000"/>
                <w:sz w:val="18"/>
                <w:szCs w:val="18"/>
              </w:rPr>
              <w:t>31.12.2017</w:t>
            </w:r>
          </w:p>
        </w:tc>
        <w:tc>
          <w:tcPr>
            <w:tcW w:w="1578" w:type="dxa"/>
            <w:gridSpan w:val="2"/>
            <w:tcBorders>
              <w:top w:val="nil"/>
              <w:left w:val="nil"/>
              <w:bottom w:val="dotted" w:sz="4" w:space="0" w:color="auto"/>
              <w:right w:val="nil"/>
            </w:tcBorders>
            <w:shd w:val="clear" w:color="auto" w:fill="auto"/>
            <w:vAlign w:val="center"/>
          </w:tcPr>
          <w:p w14:paraId="05C2CE58" w14:textId="47D0767E"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MŠVVŠ SR</w:t>
            </w:r>
          </w:p>
        </w:tc>
      </w:tr>
      <w:tr w:rsidR="00C03FC8" w:rsidRPr="00256D89" w14:paraId="0C318D58" w14:textId="77777777" w:rsidTr="00430FEB">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4797DF1A" w14:textId="319F68C6"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2856D5FE" w14:textId="764BC32B" w:rsidR="00C03FC8" w:rsidRPr="00A94BB7" w:rsidRDefault="00C03FC8">
            <w:pPr>
              <w:spacing w:after="0" w:line="240" w:lineRule="auto"/>
              <w:rPr>
                <w:rFonts w:ascii="Arial Narrow" w:hAnsi="Arial Narrow"/>
                <w:color w:val="000000"/>
                <w:sz w:val="18"/>
                <w:szCs w:val="18"/>
              </w:rPr>
            </w:pPr>
            <w:r w:rsidRPr="00A94BB7">
              <w:rPr>
                <w:rFonts w:ascii="Arial Narrow" w:hAnsi="Arial Narrow"/>
                <w:color w:val="000000"/>
                <w:sz w:val="18"/>
                <w:szCs w:val="18"/>
              </w:rPr>
              <w:t>Zvýšenie podielu grantového financovania VŠ</w:t>
            </w:r>
          </w:p>
        </w:tc>
        <w:tc>
          <w:tcPr>
            <w:tcW w:w="1657" w:type="dxa"/>
            <w:tcBorders>
              <w:top w:val="nil"/>
              <w:left w:val="nil"/>
              <w:bottom w:val="dotted" w:sz="4" w:space="0" w:color="auto"/>
              <w:right w:val="nil"/>
            </w:tcBorders>
            <w:shd w:val="clear" w:color="auto" w:fill="auto"/>
            <w:noWrap/>
            <w:vAlign w:val="center"/>
          </w:tcPr>
          <w:p w14:paraId="265C3A2E" w14:textId="37E527E2" w:rsidR="00C03FC8" w:rsidRPr="00A94BB7" w:rsidRDefault="00C03FC8" w:rsidP="00D27F1A">
            <w:pPr>
              <w:spacing w:after="0" w:line="240" w:lineRule="auto"/>
              <w:jc w:val="center"/>
              <w:rPr>
                <w:rFonts w:ascii="Arial Narrow" w:hAnsi="Arial Narrow"/>
                <w:color w:val="000000"/>
                <w:sz w:val="18"/>
                <w:szCs w:val="18"/>
              </w:rPr>
            </w:pPr>
            <w:r w:rsidRPr="00A94BB7">
              <w:rPr>
                <w:rFonts w:ascii="Arial Narrow" w:hAnsi="Arial Narrow"/>
                <w:color w:val="000000"/>
                <w:sz w:val="18"/>
                <w:szCs w:val="18"/>
              </w:rPr>
              <w:t>31.12.2018</w:t>
            </w:r>
          </w:p>
        </w:tc>
        <w:tc>
          <w:tcPr>
            <w:tcW w:w="1578" w:type="dxa"/>
            <w:gridSpan w:val="2"/>
            <w:tcBorders>
              <w:top w:val="nil"/>
              <w:left w:val="nil"/>
              <w:bottom w:val="dotted" w:sz="4" w:space="0" w:color="auto"/>
              <w:right w:val="nil"/>
            </w:tcBorders>
            <w:shd w:val="clear" w:color="auto" w:fill="auto"/>
            <w:vAlign w:val="center"/>
          </w:tcPr>
          <w:p w14:paraId="3B30C66F" w14:textId="235E9498"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MŠVVŠ SR</w:t>
            </w:r>
          </w:p>
        </w:tc>
      </w:tr>
      <w:tr w:rsidR="00C03FC8" w:rsidRPr="00256D89" w14:paraId="2185DA5D" w14:textId="77777777" w:rsidTr="00430FEB">
        <w:trPr>
          <w:gridAfter w:val="1"/>
          <w:wAfter w:w="8" w:type="dxa"/>
          <w:trHeight w:val="422"/>
          <w:jc w:val="center"/>
        </w:trPr>
        <w:tc>
          <w:tcPr>
            <w:tcW w:w="593" w:type="dxa"/>
            <w:tcBorders>
              <w:top w:val="nil"/>
              <w:left w:val="nil"/>
              <w:bottom w:val="dotted" w:sz="4" w:space="0" w:color="auto"/>
              <w:right w:val="nil"/>
            </w:tcBorders>
            <w:shd w:val="clear" w:color="auto" w:fill="auto"/>
            <w:noWrap/>
            <w:vAlign w:val="center"/>
          </w:tcPr>
          <w:p w14:paraId="7FCEBBAB" w14:textId="432494BC" w:rsidR="00C03FC8" w:rsidRDefault="00C03FC8"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39028283" w14:textId="114CEF8F" w:rsidR="00C03FC8" w:rsidRPr="00256D89" w:rsidRDefault="00C03FC8" w:rsidP="00767333">
            <w:pPr>
              <w:spacing w:after="0" w:line="240" w:lineRule="auto"/>
              <w:rPr>
                <w:rFonts w:ascii="Arial Narrow" w:hAnsi="Arial Narrow"/>
                <w:color w:val="000000"/>
                <w:sz w:val="18"/>
                <w:szCs w:val="18"/>
              </w:rPr>
            </w:pPr>
            <w:r>
              <w:rPr>
                <w:rFonts w:ascii="Arial Narrow" w:hAnsi="Arial Narrow"/>
                <w:color w:val="000000"/>
                <w:sz w:val="18"/>
                <w:szCs w:val="18"/>
              </w:rPr>
              <w:t>Reforma akreditačnej komisie a procesu akreditácie</w:t>
            </w:r>
          </w:p>
        </w:tc>
        <w:tc>
          <w:tcPr>
            <w:tcW w:w="1657" w:type="dxa"/>
            <w:tcBorders>
              <w:top w:val="nil"/>
              <w:left w:val="nil"/>
              <w:bottom w:val="dotted" w:sz="4" w:space="0" w:color="auto"/>
              <w:right w:val="nil"/>
            </w:tcBorders>
            <w:shd w:val="clear" w:color="auto" w:fill="auto"/>
            <w:noWrap/>
            <w:vAlign w:val="center"/>
          </w:tcPr>
          <w:p w14:paraId="3055AAF1" w14:textId="6E4C3298" w:rsidR="00C03FC8" w:rsidRPr="00A94BB7" w:rsidRDefault="00C03FC8" w:rsidP="00D27F1A">
            <w:pPr>
              <w:spacing w:after="0" w:line="240" w:lineRule="auto"/>
              <w:jc w:val="center"/>
              <w:rPr>
                <w:rFonts w:ascii="Arial Narrow" w:hAnsi="Arial Narrow"/>
                <w:color w:val="000000"/>
                <w:sz w:val="18"/>
                <w:szCs w:val="18"/>
              </w:rPr>
            </w:pPr>
            <w:r w:rsidRPr="00A94BB7">
              <w:rPr>
                <w:rFonts w:ascii="Arial Narrow" w:hAnsi="Arial Narrow"/>
                <w:color w:val="000000"/>
                <w:sz w:val="18"/>
                <w:szCs w:val="18"/>
              </w:rPr>
              <w:t>31.12.2017</w:t>
            </w:r>
          </w:p>
        </w:tc>
        <w:tc>
          <w:tcPr>
            <w:tcW w:w="1578" w:type="dxa"/>
            <w:gridSpan w:val="2"/>
            <w:tcBorders>
              <w:top w:val="nil"/>
              <w:left w:val="nil"/>
              <w:bottom w:val="dotted" w:sz="4" w:space="0" w:color="auto"/>
              <w:right w:val="nil"/>
            </w:tcBorders>
            <w:shd w:val="clear" w:color="auto" w:fill="auto"/>
            <w:vAlign w:val="center"/>
          </w:tcPr>
          <w:p w14:paraId="618BA0BD" w14:textId="7E77565E" w:rsidR="00C03FC8" w:rsidRPr="00A94BB7" w:rsidRDefault="00C03FC8" w:rsidP="00767333">
            <w:pPr>
              <w:spacing w:after="0" w:line="240" w:lineRule="auto"/>
              <w:jc w:val="center"/>
              <w:rPr>
                <w:rFonts w:ascii="Arial Narrow" w:hAnsi="Arial Narrow"/>
                <w:color w:val="000000"/>
                <w:sz w:val="18"/>
                <w:szCs w:val="18"/>
              </w:rPr>
            </w:pPr>
            <w:r w:rsidRPr="00A94BB7">
              <w:rPr>
                <w:rFonts w:ascii="Arial Narrow" w:hAnsi="Arial Narrow"/>
                <w:color w:val="000000"/>
                <w:sz w:val="18"/>
                <w:szCs w:val="18"/>
              </w:rPr>
              <w:t>MŠVVŠ SR</w:t>
            </w:r>
          </w:p>
        </w:tc>
      </w:tr>
      <w:tr w:rsidR="00430FEB" w:rsidRPr="00256D89" w14:paraId="5EC4BA21" w14:textId="77777777" w:rsidTr="00430FEB">
        <w:trPr>
          <w:gridAfter w:val="1"/>
          <w:wAfter w:w="8" w:type="dxa"/>
          <w:trHeight w:val="422"/>
          <w:jc w:val="center"/>
        </w:trPr>
        <w:tc>
          <w:tcPr>
            <w:tcW w:w="593" w:type="dxa"/>
            <w:tcBorders>
              <w:top w:val="nil"/>
              <w:left w:val="nil"/>
              <w:bottom w:val="single" w:sz="4" w:space="0" w:color="000000" w:themeColor="text1"/>
              <w:right w:val="nil"/>
            </w:tcBorders>
            <w:shd w:val="clear" w:color="auto" w:fill="auto"/>
            <w:noWrap/>
            <w:vAlign w:val="center"/>
          </w:tcPr>
          <w:p w14:paraId="27DBB36F" w14:textId="3C25652C" w:rsidR="00430FEB" w:rsidRDefault="00430FEB"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c>
          <w:tcPr>
            <w:tcW w:w="4726" w:type="dxa"/>
            <w:tcBorders>
              <w:top w:val="nil"/>
              <w:left w:val="nil"/>
              <w:bottom w:val="single" w:sz="4" w:space="0" w:color="000000" w:themeColor="text1"/>
              <w:right w:val="nil"/>
            </w:tcBorders>
            <w:shd w:val="clear" w:color="auto" w:fill="auto"/>
            <w:vAlign w:val="center"/>
          </w:tcPr>
          <w:p w14:paraId="327F6B0A" w14:textId="0191459E" w:rsidR="00430FEB" w:rsidRDefault="00430FEB" w:rsidP="00767333">
            <w:pPr>
              <w:spacing w:after="0" w:line="240" w:lineRule="auto"/>
              <w:rPr>
                <w:rFonts w:ascii="Arial Narrow" w:hAnsi="Arial Narrow"/>
                <w:color w:val="000000"/>
                <w:sz w:val="18"/>
                <w:szCs w:val="18"/>
              </w:rPr>
            </w:pPr>
            <w:r>
              <w:rPr>
                <w:rFonts w:ascii="Arial Narrow" w:hAnsi="Arial Narrow"/>
                <w:color w:val="000000"/>
                <w:sz w:val="18"/>
                <w:szCs w:val="18"/>
              </w:rPr>
              <w:t>Elektronizácia verejnej správy</w:t>
            </w:r>
          </w:p>
        </w:tc>
        <w:tc>
          <w:tcPr>
            <w:tcW w:w="1657" w:type="dxa"/>
            <w:tcBorders>
              <w:top w:val="nil"/>
              <w:left w:val="nil"/>
              <w:bottom w:val="single" w:sz="4" w:space="0" w:color="000000" w:themeColor="text1"/>
              <w:right w:val="nil"/>
            </w:tcBorders>
            <w:shd w:val="clear" w:color="auto" w:fill="auto"/>
            <w:noWrap/>
            <w:vAlign w:val="center"/>
          </w:tcPr>
          <w:p w14:paraId="5D3A1D92" w14:textId="22A8FDB0" w:rsidR="00430FEB" w:rsidRPr="00A94BB7" w:rsidRDefault="00430FEB" w:rsidP="00DE60C9">
            <w:pPr>
              <w:spacing w:after="0" w:line="240" w:lineRule="auto"/>
              <w:jc w:val="center"/>
              <w:rPr>
                <w:rFonts w:ascii="Arial Narrow" w:hAnsi="Arial Narrow"/>
                <w:color w:val="000000"/>
                <w:sz w:val="18"/>
                <w:szCs w:val="18"/>
              </w:rPr>
            </w:pPr>
            <w:r>
              <w:rPr>
                <w:rFonts w:ascii="Arial Narrow" w:hAnsi="Arial Narrow"/>
                <w:color w:val="000000"/>
                <w:sz w:val="18"/>
                <w:szCs w:val="18"/>
              </w:rPr>
              <w:t>31.12.201</w:t>
            </w:r>
            <w:r w:rsidR="00DE60C9">
              <w:rPr>
                <w:rFonts w:ascii="Arial Narrow" w:hAnsi="Arial Narrow"/>
                <w:color w:val="000000"/>
                <w:sz w:val="18"/>
                <w:szCs w:val="18"/>
              </w:rPr>
              <w:t>7</w:t>
            </w:r>
          </w:p>
        </w:tc>
        <w:tc>
          <w:tcPr>
            <w:tcW w:w="1578" w:type="dxa"/>
            <w:gridSpan w:val="2"/>
            <w:tcBorders>
              <w:top w:val="nil"/>
              <w:left w:val="nil"/>
              <w:bottom w:val="single" w:sz="4" w:space="0" w:color="000000" w:themeColor="text1"/>
              <w:right w:val="nil"/>
            </w:tcBorders>
            <w:shd w:val="clear" w:color="auto" w:fill="auto"/>
            <w:vAlign w:val="center"/>
          </w:tcPr>
          <w:p w14:paraId="198D5A0F" w14:textId="2D8CBBEF" w:rsidR="00430FEB" w:rsidRPr="00A94BB7" w:rsidRDefault="00430FEB"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 xml:space="preserve">ÚPVII, </w:t>
            </w:r>
            <w:r>
              <w:rPr>
                <w:rFonts w:ascii="Arial Narrow" w:hAnsi="Arial Narrow"/>
                <w:sz w:val="18"/>
                <w:szCs w:val="18"/>
              </w:rPr>
              <w:t>MS SR, MF SR, MDV</w:t>
            </w:r>
            <w:r w:rsidRPr="00256D89">
              <w:rPr>
                <w:rFonts w:ascii="Arial Narrow" w:hAnsi="Arial Narrow"/>
                <w:sz w:val="18"/>
                <w:szCs w:val="18"/>
              </w:rPr>
              <w:t xml:space="preserve"> SR</w:t>
            </w:r>
          </w:p>
        </w:tc>
      </w:tr>
      <w:tr w:rsidR="00C03FC8" w:rsidRPr="00821847" w14:paraId="3562DA72" w14:textId="77777777" w:rsidTr="00430FEB">
        <w:trPr>
          <w:gridAfter w:val="1"/>
          <w:wAfter w:w="8" w:type="dxa"/>
          <w:trHeight w:val="422"/>
          <w:jc w:val="center"/>
        </w:trPr>
        <w:tc>
          <w:tcPr>
            <w:tcW w:w="593" w:type="dxa"/>
            <w:tcBorders>
              <w:top w:val="single" w:sz="4" w:space="0" w:color="000000" w:themeColor="text1"/>
              <w:left w:val="nil"/>
              <w:bottom w:val="dotted" w:sz="4" w:space="0" w:color="auto"/>
              <w:right w:val="nil"/>
            </w:tcBorders>
            <w:shd w:val="clear" w:color="auto" w:fill="auto"/>
            <w:noWrap/>
            <w:vAlign w:val="center"/>
          </w:tcPr>
          <w:p w14:paraId="753B3D36" w14:textId="2263F1A4" w:rsidR="00C03FC8" w:rsidRPr="003A3454" w:rsidRDefault="00B77AB7" w:rsidP="00767333">
            <w:pPr>
              <w:spacing w:after="0" w:line="240" w:lineRule="auto"/>
              <w:jc w:val="center"/>
              <w:rPr>
                <w:rFonts w:ascii="Arial Narrow" w:hAnsi="Arial Narrow"/>
                <w:color w:val="000000"/>
                <w:sz w:val="18"/>
                <w:szCs w:val="18"/>
              </w:rPr>
            </w:pPr>
            <w:r>
              <w:rPr>
                <w:rFonts w:ascii="Arial Narrow" w:hAnsi="Arial Narrow"/>
                <w:color w:val="000000"/>
                <w:sz w:val="18"/>
                <w:szCs w:val="18"/>
              </w:rPr>
              <w:t>x</w:t>
            </w:r>
          </w:p>
        </w:tc>
        <w:tc>
          <w:tcPr>
            <w:tcW w:w="4726" w:type="dxa"/>
            <w:tcBorders>
              <w:top w:val="single" w:sz="4" w:space="0" w:color="000000" w:themeColor="text1"/>
              <w:left w:val="nil"/>
              <w:bottom w:val="dotted" w:sz="4" w:space="0" w:color="auto"/>
              <w:right w:val="nil"/>
            </w:tcBorders>
            <w:shd w:val="clear" w:color="auto" w:fill="auto"/>
            <w:vAlign w:val="center"/>
          </w:tcPr>
          <w:p w14:paraId="7CA8253E" w14:textId="3919204A" w:rsidR="00C03FC8" w:rsidRPr="00FC6A70" w:rsidRDefault="00C03FC8">
            <w:pPr>
              <w:spacing w:after="0" w:line="240" w:lineRule="auto"/>
              <w:rPr>
                <w:rFonts w:ascii="Arial Narrow" w:hAnsi="Arial Narrow"/>
                <w:color w:val="000000"/>
                <w:sz w:val="18"/>
                <w:szCs w:val="18"/>
              </w:rPr>
            </w:pPr>
            <w:r w:rsidRPr="003A3454">
              <w:rPr>
                <w:rFonts w:ascii="Arial Narrow" w:hAnsi="Arial Narrow"/>
                <w:color w:val="000000"/>
                <w:sz w:val="18"/>
                <w:szCs w:val="18"/>
              </w:rPr>
              <w:t>Transformácia Slovenskej akadémie vied</w:t>
            </w:r>
            <w:r w:rsidRPr="00FC6A70">
              <w:rPr>
                <w:rFonts w:ascii="Arial Narrow" w:hAnsi="Arial Narrow"/>
                <w:color w:val="000000"/>
                <w:sz w:val="18"/>
                <w:szCs w:val="18"/>
              </w:rPr>
              <w:t xml:space="preserve"> (SAV)</w:t>
            </w:r>
          </w:p>
        </w:tc>
        <w:tc>
          <w:tcPr>
            <w:tcW w:w="1657" w:type="dxa"/>
            <w:tcBorders>
              <w:top w:val="single" w:sz="4" w:space="0" w:color="000000" w:themeColor="text1"/>
              <w:left w:val="nil"/>
              <w:bottom w:val="dotted" w:sz="4" w:space="0" w:color="auto"/>
              <w:right w:val="nil"/>
            </w:tcBorders>
            <w:shd w:val="clear" w:color="auto" w:fill="auto"/>
            <w:noWrap/>
            <w:vAlign w:val="center"/>
          </w:tcPr>
          <w:p w14:paraId="59A9B9A0" w14:textId="009C8712" w:rsidR="00C03FC8" w:rsidRPr="0030156A" w:rsidRDefault="00C03FC8" w:rsidP="00D27F1A">
            <w:pPr>
              <w:spacing w:after="0" w:line="240" w:lineRule="auto"/>
              <w:jc w:val="center"/>
              <w:rPr>
                <w:rFonts w:ascii="Arial Narrow" w:hAnsi="Arial Narrow"/>
                <w:color w:val="000000"/>
                <w:sz w:val="18"/>
                <w:szCs w:val="18"/>
              </w:rPr>
            </w:pPr>
            <w:r w:rsidRPr="00D35F19">
              <w:rPr>
                <w:rFonts w:ascii="Arial Narrow" w:hAnsi="Arial Narrow"/>
                <w:color w:val="000000"/>
                <w:sz w:val="18"/>
                <w:szCs w:val="18"/>
              </w:rPr>
              <w:t>31.12.2017</w:t>
            </w:r>
          </w:p>
        </w:tc>
        <w:tc>
          <w:tcPr>
            <w:tcW w:w="1578" w:type="dxa"/>
            <w:gridSpan w:val="2"/>
            <w:tcBorders>
              <w:top w:val="single" w:sz="4" w:space="0" w:color="000000" w:themeColor="text1"/>
              <w:left w:val="nil"/>
              <w:bottom w:val="dotted" w:sz="4" w:space="0" w:color="auto"/>
              <w:right w:val="nil"/>
            </w:tcBorders>
            <w:shd w:val="clear" w:color="auto" w:fill="auto"/>
            <w:vAlign w:val="center"/>
          </w:tcPr>
          <w:p w14:paraId="5F4323F0" w14:textId="5F4137A5" w:rsidR="00C03FC8" w:rsidRPr="0030156A" w:rsidRDefault="00C03FC8" w:rsidP="00767333">
            <w:pPr>
              <w:spacing w:after="0" w:line="240" w:lineRule="auto"/>
              <w:jc w:val="center"/>
              <w:rPr>
                <w:rFonts w:ascii="Arial Narrow" w:hAnsi="Arial Narrow"/>
                <w:color w:val="000000"/>
                <w:sz w:val="18"/>
                <w:szCs w:val="18"/>
              </w:rPr>
            </w:pPr>
            <w:r w:rsidRPr="0030156A">
              <w:rPr>
                <w:rFonts w:ascii="Arial Narrow" w:hAnsi="Arial Narrow"/>
                <w:color w:val="000000"/>
                <w:sz w:val="18"/>
                <w:szCs w:val="18"/>
              </w:rPr>
              <w:t>MŠVVŠ SR</w:t>
            </w:r>
          </w:p>
        </w:tc>
      </w:tr>
      <w:tr w:rsidR="00C03FC8" w:rsidRPr="00256D89" w14:paraId="76331377" w14:textId="10EC1850" w:rsidTr="00430FEB">
        <w:trPr>
          <w:gridAfter w:val="1"/>
          <w:wAfter w:w="8" w:type="dxa"/>
          <w:trHeight w:val="360"/>
          <w:jc w:val="center"/>
        </w:trPr>
        <w:tc>
          <w:tcPr>
            <w:tcW w:w="593" w:type="dxa"/>
            <w:tcBorders>
              <w:top w:val="dotted" w:sz="4" w:space="0" w:color="auto"/>
              <w:left w:val="nil"/>
              <w:bottom w:val="dotted" w:sz="4" w:space="0" w:color="auto"/>
              <w:right w:val="nil"/>
            </w:tcBorders>
            <w:shd w:val="clear" w:color="auto" w:fill="auto"/>
            <w:noWrap/>
            <w:vAlign w:val="center"/>
            <w:hideMark/>
          </w:tcPr>
          <w:p w14:paraId="402B0128" w14:textId="55DD7E79" w:rsidR="00C03FC8" w:rsidRPr="00256D89" w:rsidRDefault="00B77AB7"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x</w:t>
            </w:r>
          </w:p>
        </w:tc>
        <w:tc>
          <w:tcPr>
            <w:tcW w:w="4726" w:type="dxa"/>
            <w:tcBorders>
              <w:top w:val="dotted" w:sz="4" w:space="0" w:color="auto"/>
              <w:left w:val="nil"/>
              <w:bottom w:val="dotted" w:sz="4" w:space="0" w:color="auto"/>
              <w:right w:val="nil"/>
            </w:tcBorders>
            <w:shd w:val="clear" w:color="auto" w:fill="auto"/>
            <w:vAlign w:val="center"/>
            <w:hideMark/>
          </w:tcPr>
          <w:p w14:paraId="4CD8257C" w14:textId="396D7AC3" w:rsidR="00C03FC8" w:rsidRPr="00256D89" w:rsidRDefault="00C03FC8" w:rsidP="00FB625E">
            <w:pPr>
              <w:spacing w:after="0" w:line="240" w:lineRule="auto"/>
              <w:rPr>
                <w:rFonts w:ascii="Arial Narrow" w:hAnsi="Arial Narrow"/>
                <w:color w:val="000000"/>
                <w:sz w:val="18"/>
                <w:szCs w:val="18"/>
              </w:rPr>
            </w:pPr>
            <w:r w:rsidRPr="00256D89">
              <w:rPr>
                <w:rFonts w:ascii="Arial Narrow" w:hAnsi="Arial Narrow"/>
                <w:color w:val="000000"/>
                <w:sz w:val="18"/>
                <w:szCs w:val="18"/>
              </w:rPr>
              <w:t>Zefektívnenie verejnej osobnej dopravy</w:t>
            </w:r>
          </w:p>
        </w:tc>
        <w:tc>
          <w:tcPr>
            <w:tcW w:w="1657" w:type="dxa"/>
            <w:tcBorders>
              <w:top w:val="dotted" w:sz="4" w:space="0" w:color="auto"/>
              <w:left w:val="nil"/>
              <w:bottom w:val="dotted" w:sz="4" w:space="0" w:color="auto"/>
              <w:right w:val="nil"/>
            </w:tcBorders>
            <w:shd w:val="clear" w:color="auto" w:fill="auto"/>
            <w:noWrap/>
            <w:vAlign w:val="center"/>
            <w:hideMark/>
          </w:tcPr>
          <w:p w14:paraId="1B22EA9A" w14:textId="201B94C2" w:rsidR="00C03FC8" w:rsidRPr="00256D89" w:rsidRDefault="00B03F6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hideMark/>
          </w:tcPr>
          <w:p w14:paraId="258EE6A5" w14:textId="4DC1A72D" w:rsidR="00C03FC8" w:rsidRPr="00256D89" w:rsidRDefault="00C03FC8" w:rsidP="00FB625E">
            <w:pPr>
              <w:spacing w:after="0" w:line="240" w:lineRule="auto"/>
              <w:jc w:val="center"/>
              <w:rPr>
                <w:rFonts w:ascii="Arial Narrow" w:hAnsi="Arial Narrow"/>
                <w:sz w:val="18"/>
                <w:szCs w:val="18"/>
              </w:rPr>
            </w:pPr>
            <w:r>
              <w:rPr>
                <w:rFonts w:ascii="Arial Narrow" w:hAnsi="Arial Narrow"/>
                <w:color w:val="000000"/>
                <w:sz w:val="18"/>
                <w:szCs w:val="18"/>
              </w:rPr>
              <w:t>MDV</w:t>
            </w:r>
            <w:r w:rsidRPr="00256D89">
              <w:rPr>
                <w:rFonts w:ascii="Arial Narrow" w:hAnsi="Arial Narrow"/>
                <w:color w:val="000000"/>
                <w:sz w:val="18"/>
                <w:szCs w:val="18"/>
              </w:rPr>
              <w:t xml:space="preserve"> SR</w:t>
            </w:r>
          </w:p>
        </w:tc>
      </w:tr>
      <w:tr w:rsidR="00C03FC8" w:rsidRPr="00256D89" w14:paraId="1471803D" w14:textId="1B7E713F" w:rsidTr="00430FEB">
        <w:trPr>
          <w:gridAfter w:val="1"/>
          <w:wAfter w:w="8" w:type="dxa"/>
          <w:trHeight w:val="360"/>
          <w:jc w:val="center"/>
        </w:trPr>
        <w:tc>
          <w:tcPr>
            <w:tcW w:w="593" w:type="dxa"/>
            <w:tcBorders>
              <w:top w:val="nil"/>
              <w:left w:val="nil"/>
              <w:bottom w:val="single" w:sz="4" w:space="0" w:color="auto"/>
              <w:right w:val="nil"/>
            </w:tcBorders>
            <w:shd w:val="clear" w:color="auto" w:fill="auto"/>
            <w:noWrap/>
            <w:vAlign w:val="center"/>
          </w:tcPr>
          <w:p w14:paraId="207EC008" w14:textId="02997568" w:rsidR="00C03FC8" w:rsidRPr="00256D89" w:rsidRDefault="00B77AB7"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x</w:t>
            </w:r>
            <w:bookmarkStart w:id="14" w:name="_GoBack"/>
            <w:bookmarkEnd w:id="14"/>
          </w:p>
        </w:tc>
        <w:tc>
          <w:tcPr>
            <w:tcW w:w="4726" w:type="dxa"/>
            <w:tcBorders>
              <w:top w:val="nil"/>
              <w:left w:val="nil"/>
              <w:bottom w:val="single" w:sz="4" w:space="0" w:color="auto"/>
              <w:right w:val="nil"/>
            </w:tcBorders>
            <w:shd w:val="clear" w:color="auto" w:fill="auto"/>
            <w:vAlign w:val="center"/>
            <w:hideMark/>
          </w:tcPr>
          <w:p w14:paraId="3999B9DD" w14:textId="204D85A6" w:rsidR="00C03FC8" w:rsidRPr="00256D89" w:rsidRDefault="00C03FC8" w:rsidP="00FB625E">
            <w:pPr>
              <w:spacing w:after="0" w:line="240" w:lineRule="auto"/>
              <w:rPr>
                <w:rFonts w:ascii="Arial Narrow" w:hAnsi="Arial Narrow"/>
                <w:color w:val="000000"/>
                <w:sz w:val="18"/>
                <w:szCs w:val="18"/>
              </w:rPr>
            </w:pPr>
            <w:r w:rsidRPr="00256D89">
              <w:rPr>
                <w:rFonts w:ascii="Arial Narrow" w:hAnsi="Arial Narrow"/>
                <w:color w:val="000000"/>
                <w:sz w:val="18"/>
                <w:szCs w:val="18"/>
              </w:rPr>
              <w:t>Výstavba diaľnic a</w:t>
            </w:r>
            <w:r>
              <w:rPr>
                <w:rFonts w:ascii="Arial Narrow" w:hAnsi="Arial Narrow"/>
                <w:color w:val="000000"/>
                <w:sz w:val="18"/>
                <w:szCs w:val="18"/>
              </w:rPr>
              <w:t> rýchlostných ciest</w:t>
            </w:r>
            <w:r w:rsidRPr="00256D89">
              <w:rPr>
                <w:rFonts w:ascii="Arial Narrow" w:hAnsi="Arial Narrow"/>
                <w:color w:val="000000"/>
                <w:sz w:val="18"/>
                <w:szCs w:val="18"/>
              </w:rPr>
              <w:t>, modernizácia ciest I. triedy a železničných koridorov</w:t>
            </w:r>
          </w:p>
        </w:tc>
        <w:tc>
          <w:tcPr>
            <w:tcW w:w="1657" w:type="dxa"/>
            <w:tcBorders>
              <w:top w:val="nil"/>
              <w:left w:val="nil"/>
              <w:bottom w:val="single" w:sz="4" w:space="0" w:color="auto"/>
              <w:right w:val="nil"/>
            </w:tcBorders>
            <w:shd w:val="clear" w:color="auto" w:fill="auto"/>
            <w:vAlign w:val="center"/>
            <w:hideMark/>
          </w:tcPr>
          <w:p w14:paraId="597C2DA6" w14:textId="352B68AC" w:rsidR="00C03FC8" w:rsidRPr="00256D89" w:rsidRDefault="00C03FC8" w:rsidP="00522741">
            <w:pPr>
              <w:spacing w:after="0" w:line="240" w:lineRule="auto"/>
              <w:jc w:val="center"/>
              <w:rPr>
                <w:rFonts w:ascii="Arial Narrow" w:hAnsi="Arial Narrow"/>
                <w:color w:val="000000"/>
                <w:sz w:val="18"/>
                <w:szCs w:val="18"/>
              </w:rPr>
            </w:pPr>
            <w:r>
              <w:rPr>
                <w:rFonts w:ascii="Arial Narrow" w:hAnsi="Arial Narrow"/>
                <w:color w:val="000000"/>
                <w:sz w:val="18"/>
                <w:szCs w:val="18"/>
              </w:rPr>
              <w:t>31.12.2020</w:t>
            </w:r>
          </w:p>
        </w:tc>
        <w:tc>
          <w:tcPr>
            <w:tcW w:w="1578" w:type="dxa"/>
            <w:gridSpan w:val="2"/>
            <w:tcBorders>
              <w:top w:val="nil"/>
              <w:left w:val="nil"/>
              <w:bottom w:val="single" w:sz="4" w:space="0" w:color="auto"/>
              <w:right w:val="nil"/>
            </w:tcBorders>
            <w:shd w:val="clear" w:color="auto" w:fill="auto"/>
            <w:vAlign w:val="center"/>
            <w:hideMark/>
          </w:tcPr>
          <w:p w14:paraId="0BF01565" w14:textId="76A68ACA" w:rsidR="00C03FC8" w:rsidRPr="00256D89" w:rsidRDefault="00C03FC8" w:rsidP="00FB625E">
            <w:pPr>
              <w:spacing w:after="0" w:line="240" w:lineRule="auto"/>
              <w:jc w:val="center"/>
              <w:rPr>
                <w:rFonts w:ascii="Arial Narrow" w:hAnsi="Arial Narrow"/>
                <w:color w:val="000000"/>
                <w:sz w:val="18"/>
                <w:szCs w:val="18"/>
              </w:rPr>
            </w:pPr>
            <w:r>
              <w:rPr>
                <w:rFonts w:ascii="Arial Narrow" w:hAnsi="Arial Narrow"/>
                <w:color w:val="000000"/>
                <w:sz w:val="18"/>
                <w:szCs w:val="18"/>
              </w:rPr>
              <w:t>MDV</w:t>
            </w:r>
            <w:r w:rsidRPr="00256D89">
              <w:rPr>
                <w:rFonts w:ascii="Arial Narrow" w:hAnsi="Arial Narrow"/>
                <w:color w:val="000000"/>
                <w:sz w:val="18"/>
                <w:szCs w:val="18"/>
              </w:rPr>
              <w:t xml:space="preserve"> SR</w:t>
            </w:r>
          </w:p>
        </w:tc>
      </w:tr>
    </w:tbl>
    <w:p w14:paraId="35E06E23" w14:textId="77777777" w:rsidR="00FF4D99" w:rsidRPr="00256D89" w:rsidRDefault="00FF4D99" w:rsidP="00FB625E">
      <w:pPr>
        <w:spacing w:after="0" w:line="240" w:lineRule="auto"/>
        <w:jc w:val="both"/>
        <w:rPr>
          <w:rFonts w:ascii="Arial Narrow" w:hAnsi="Arial Narrow"/>
        </w:rPr>
      </w:pPr>
    </w:p>
    <w:p w14:paraId="7DEDF4A0" w14:textId="77777777" w:rsidR="00AC6196" w:rsidRPr="00256D89" w:rsidRDefault="00AC6196" w:rsidP="00FB625E">
      <w:pPr>
        <w:spacing w:after="0" w:line="240" w:lineRule="auto"/>
        <w:jc w:val="both"/>
        <w:rPr>
          <w:rFonts w:ascii="Arial Narrow" w:hAnsi="Arial Narrow"/>
        </w:rPr>
      </w:pPr>
    </w:p>
    <w:p w14:paraId="2CCE9C02" w14:textId="77777777" w:rsidR="00FF4D99" w:rsidRPr="00256D89" w:rsidRDefault="00FF4D99" w:rsidP="00FB625E">
      <w:pPr>
        <w:spacing w:after="0" w:line="240" w:lineRule="auto"/>
        <w:jc w:val="both"/>
        <w:rPr>
          <w:rFonts w:ascii="Arial Narrow" w:hAnsi="Arial Narrow"/>
        </w:rPr>
      </w:pPr>
      <w:r w:rsidRPr="00256D89">
        <w:rPr>
          <w:rFonts w:ascii="Arial Narrow" w:hAnsi="Arial Narrow"/>
        </w:rPr>
        <w:br w:type="page"/>
      </w:r>
    </w:p>
    <w:p w14:paraId="0D43B233" w14:textId="14ABC030" w:rsidR="00FF4D99" w:rsidRPr="00256D89" w:rsidRDefault="00BC15D1" w:rsidP="00FB625E">
      <w:pPr>
        <w:pStyle w:val="Nadpis2"/>
        <w:numPr>
          <w:ilvl w:val="1"/>
          <w:numId w:val="1"/>
        </w:numPr>
        <w:spacing w:after="240" w:line="240" w:lineRule="auto"/>
        <w:jc w:val="both"/>
        <w:rPr>
          <w:rFonts w:ascii="Arial Narrow" w:hAnsi="Arial Narrow"/>
          <w:color w:val="2C9ADC"/>
          <w:sz w:val="32"/>
          <w:szCs w:val="28"/>
        </w:rPr>
      </w:pPr>
      <w:bookmarkStart w:id="15" w:name="_Toc477259947"/>
      <w:r>
        <w:rPr>
          <w:rFonts w:ascii="Arial Narrow" w:hAnsi="Arial Narrow"/>
          <w:color w:val="2C9ADC"/>
          <w:sz w:val="32"/>
          <w:szCs w:val="28"/>
        </w:rPr>
        <w:lastRenderedPageBreak/>
        <w:t>Fiškálna politika a v</w:t>
      </w:r>
      <w:r w:rsidR="00891683">
        <w:rPr>
          <w:rFonts w:ascii="Arial Narrow" w:hAnsi="Arial Narrow"/>
          <w:color w:val="2C9ADC"/>
          <w:sz w:val="32"/>
          <w:szCs w:val="28"/>
        </w:rPr>
        <w:t>e</w:t>
      </w:r>
      <w:r w:rsidR="00FF4D99" w:rsidRPr="00256D89">
        <w:rPr>
          <w:rFonts w:ascii="Arial Narrow" w:hAnsi="Arial Narrow"/>
          <w:color w:val="2C9ADC"/>
          <w:sz w:val="32"/>
          <w:szCs w:val="28"/>
        </w:rPr>
        <w:t>rejné financie</w:t>
      </w:r>
      <w:bookmarkEnd w:id="15"/>
    </w:p>
    <w:p w14:paraId="0F8ED185" w14:textId="16B0F181" w:rsidR="00BC15D1" w:rsidRPr="00BC15D1" w:rsidRDefault="007A2D56" w:rsidP="007A2D56">
      <w:pPr>
        <w:spacing w:after="0" w:line="240" w:lineRule="auto"/>
        <w:jc w:val="both"/>
        <w:rPr>
          <w:rFonts w:ascii="Arial Narrow" w:hAnsi="Arial Narrow" w:cs="Arial Narrow"/>
          <w:i/>
        </w:rPr>
      </w:pPr>
      <w:r w:rsidRPr="007A2D56">
        <w:rPr>
          <w:rFonts w:ascii="Arial Narrow" w:hAnsi="Arial Narrow" w:cs="Arial Narrow"/>
          <w:i/>
        </w:rPr>
        <w:t xml:space="preserve">S cieľom nájsť ústavnú väčšinu iniciovala vláda v roku 2016 širokú odbornú a politickú diskusiu o reforme ústavného zákona o rozpočtovej zodpovednosti. </w:t>
      </w:r>
      <w:r>
        <w:rPr>
          <w:rFonts w:ascii="Arial Narrow" w:hAnsi="Arial Narrow" w:cs="Arial Narrow"/>
          <w:i/>
        </w:rPr>
        <w:t>N</w:t>
      </w:r>
      <w:r w:rsidR="00BC15D1" w:rsidRPr="00BC15D1">
        <w:rPr>
          <w:rFonts w:ascii="Arial Narrow" w:hAnsi="Arial Narrow" w:cs="Arial Narrow"/>
          <w:i/>
        </w:rPr>
        <w:t>ástrojom pre dosiahnutie vyrovnaného rozpočtu ako aj pre zvýšenie hodnoty za peniaze je hodnotenie efektívnosti verejných výdavkov.</w:t>
      </w:r>
      <w:r w:rsidR="00AB3326">
        <w:rPr>
          <w:rFonts w:ascii="Arial Narrow" w:hAnsi="Arial Narrow" w:cs="Arial Narrow"/>
          <w:i/>
        </w:rPr>
        <w:t xml:space="preserve"> </w:t>
      </w:r>
      <w:r w:rsidR="00AB3326" w:rsidRPr="00AB3326">
        <w:rPr>
          <w:rFonts w:ascii="Arial Narrow" w:hAnsi="Arial Narrow" w:cs="Arial Narrow"/>
          <w:i/>
        </w:rPr>
        <w:t>Výsledky revízie výdavkov v rezortoch práce a sociálnych vecí, školstva a životného prostredia budú súčasťou rozpočtu na roky 2018 až 2020.</w:t>
      </w:r>
    </w:p>
    <w:p w14:paraId="75089A1A" w14:textId="77777777" w:rsidR="00BC15D1" w:rsidRPr="00776272" w:rsidRDefault="00BC15D1" w:rsidP="00BC15D1">
      <w:pPr>
        <w:pStyle w:val="Odsekzoznamu"/>
        <w:spacing w:after="0" w:line="240" w:lineRule="auto"/>
        <w:ind w:left="0"/>
        <w:jc w:val="both"/>
        <w:rPr>
          <w:rFonts w:ascii="Arial Narrow" w:hAnsi="Arial Narrow" w:cs="Arial Narrow"/>
          <w:i/>
          <w:highlight w:val="cyan"/>
        </w:rPr>
      </w:pPr>
    </w:p>
    <w:p w14:paraId="2AE63CF5" w14:textId="5EFF3AD6" w:rsidR="00FC6B42" w:rsidRPr="00461F6A" w:rsidRDefault="0049222A" w:rsidP="00FB625E">
      <w:pPr>
        <w:spacing w:after="0" w:line="240" w:lineRule="auto"/>
        <w:jc w:val="both"/>
        <w:rPr>
          <w:rFonts w:ascii="Arial Narrow" w:hAnsi="Arial Narrow"/>
          <w:i/>
        </w:rPr>
      </w:pPr>
      <w:r>
        <w:rPr>
          <w:rFonts w:ascii="Arial Narrow" w:hAnsi="Arial Narrow"/>
          <w:i/>
        </w:rPr>
        <w:t>Na boj proti daňovým únikom</w:t>
      </w:r>
      <w:r w:rsidR="005E28B3">
        <w:rPr>
          <w:rFonts w:ascii="Arial Narrow" w:hAnsi="Arial Narrow"/>
          <w:i/>
        </w:rPr>
        <w:t xml:space="preserve"> a zlepšenie výberu daní zavedie </w:t>
      </w:r>
      <w:r w:rsidR="00AF4850">
        <w:rPr>
          <w:rFonts w:ascii="Arial Narrow" w:hAnsi="Arial Narrow"/>
          <w:i/>
        </w:rPr>
        <w:t>finančná správa interné posudzovanie spoľahlivosti daňových subjektov</w:t>
      </w:r>
      <w:r>
        <w:rPr>
          <w:rFonts w:ascii="Arial Narrow" w:hAnsi="Arial Narrow"/>
          <w:i/>
        </w:rPr>
        <w:t>. Pre zefektívnenie vymáhania daňových nedoplatkov sa zavedie systém posudzovania rizikovosti daňových dlžníkov.</w:t>
      </w:r>
      <w:r w:rsidR="00AF4850">
        <w:rPr>
          <w:rFonts w:ascii="Arial Narrow" w:hAnsi="Arial Narrow"/>
          <w:i/>
        </w:rPr>
        <w:t xml:space="preserve"> </w:t>
      </w:r>
      <w:r w:rsidR="00401D71">
        <w:rPr>
          <w:rFonts w:ascii="Arial Narrow" w:hAnsi="Arial Narrow"/>
          <w:i/>
        </w:rPr>
        <w:t xml:space="preserve">Analytické kapacity finančnej správy sa posilnia vybudovaním </w:t>
      </w:r>
      <w:r w:rsidR="001F200B">
        <w:rPr>
          <w:rFonts w:ascii="Arial Narrow" w:hAnsi="Arial Narrow"/>
          <w:i/>
        </w:rPr>
        <w:t>centráln</w:t>
      </w:r>
      <w:r w:rsidR="00401D71">
        <w:rPr>
          <w:rFonts w:ascii="Arial Narrow" w:hAnsi="Arial Narrow"/>
          <w:i/>
        </w:rPr>
        <w:t xml:space="preserve">ej </w:t>
      </w:r>
      <w:r w:rsidR="001F200B">
        <w:rPr>
          <w:rFonts w:ascii="Arial Narrow" w:hAnsi="Arial Narrow"/>
          <w:i/>
        </w:rPr>
        <w:t>analytick</w:t>
      </w:r>
      <w:r w:rsidR="00401D71">
        <w:rPr>
          <w:rFonts w:ascii="Arial Narrow" w:hAnsi="Arial Narrow"/>
          <w:i/>
        </w:rPr>
        <w:t>ej</w:t>
      </w:r>
      <w:r w:rsidR="001F200B">
        <w:rPr>
          <w:rFonts w:ascii="Arial Narrow" w:hAnsi="Arial Narrow"/>
          <w:i/>
        </w:rPr>
        <w:t xml:space="preserve"> jednotk</w:t>
      </w:r>
      <w:r w:rsidR="00401D71">
        <w:rPr>
          <w:rFonts w:ascii="Arial Narrow" w:hAnsi="Arial Narrow"/>
          <w:i/>
        </w:rPr>
        <w:t>y</w:t>
      </w:r>
      <w:r w:rsidR="001F200B">
        <w:rPr>
          <w:rFonts w:ascii="Arial Narrow" w:hAnsi="Arial Narrow"/>
          <w:i/>
        </w:rPr>
        <w:t>.</w:t>
      </w:r>
      <w:r w:rsidR="00461F6A">
        <w:rPr>
          <w:rFonts w:ascii="Arial Narrow" w:hAnsi="Arial Narrow"/>
          <w:i/>
        </w:rPr>
        <w:t xml:space="preserve"> Implementuje sa ročné zúčtovanie sociálneho poistenia.</w:t>
      </w:r>
    </w:p>
    <w:p w14:paraId="5DBD48E9" w14:textId="77777777" w:rsidR="00C24553" w:rsidRPr="00256D89" w:rsidRDefault="00C24553" w:rsidP="00FB625E">
      <w:pPr>
        <w:spacing w:after="0" w:line="240" w:lineRule="auto"/>
        <w:rPr>
          <w:lang w:eastAsia="en-US"/>
        </w:rPr>
      </w:pPr>
    </w:p>
    <w:tbl>
      <w:tblPr>
        <w:tblW w:w="8618" w:type="dxa"/>
        <w:jc w:val="center"/>
        <w:tblCellMar>
          <w:left w:w="70" w:type="dxa"/>
          <w:right w:w="70" w:type="dxa"/>
        </w:tblCellMar>
        <w:tblLook w:val="04A0" w:firstRow="1" w:lastRow="0" w:firstColumn="1" w:lastColumn="0" w:noHBand="0" w:noVBand="1"/>
      </w:tblPr>
      <w:tblGrid>
        <w:gridCol w:w="2977"/>
        <w:gridCol w:w="575"/>
        <w:gridCol w:w="505"/>
        <w:gridCol w:w="508"/>
        <w:gridCol w:w="509"/>
        <w:gridCol w:w="509"/>
        <w:gridCol w:w="509"/>
        <w:gridCol w:w="509"/>
        <w:gridCol w:w="509"/>
        <w:gridCol w:w="509"/>
        <w:gridCol w:w="505"/>
        <w:gridCol w:w="533"/>
      </w:tblGrid>
      <w:tr w:rsidR="00AB5806" w:rsidRPr="00256D89" w14:paraId="250BE38E" w14:textId="77777777" w:rsidTr="00AB5806">
        <w:trPr>
          <w:trHeight w:val="237"/>
          <w:jc w:val="center"/>
        </w:trPr>
        <w:tc>
          <w:tcPr>
            <w:tcW w:w="8618" w:type="dxa"/>
            <w:gridSpan w:val="12"/>
            <w:tcBorders>
              <w:top w:val="nil"/>
              <w:left w:val="nil"/>
              <w:bottom w:val="single" w:sz="4" w:space="0" w:color="auto"/>
              <w:right w:val="nil"/>
            </w:tcBorders>
            <w:vAlign w:val="center"/>
          </w:tcPr>
          <w:p w14:paraId="41A2FE8B" w14:textId="2B09872E" w:rsidR="00AB5806" w:rsidRPr="00256D89" w:rsidRDefault="00AB5806" w:rsidP="00AB5806">
            <w:pPr>
              <w:spacing w:after="0" w:line="240" w:lineRule="auto"/>
              <w:jc w:val="both"/>
              <w:rPr>
                <w:rFonts w:ascii="Arial Narrow" w:hAnsi="Arial Narrow"/>
                <w:b/>
                <w:bCs/>
                <w:color w:val="2C9ADC"/>
                <w:sz w:val="20"/>
                <w:szCs w:val="20"/>
              </w:rPr>
            </w:pPr>
            <w:r w:rsidRPr="005C151A">
              <w:rPr>
                <w:rFonts w:ascii="Arial Narrow" w:hAnsi="Arial Narrow"/>
                <w:b/>
                <w:bCs/>
                <w:color w:val="2C9ADC"/>
                <w:sz w:val="20"/>
                <w:szCs w:val="20"/>
              </w:rPr>
              <w:t>Výsledkové indikátory pre fiškálnu politiku a verejné financie</w:t>
            </w:r>
          </w:p>
        </w:tc>
      </w:tr>
      <w:tr w:rsidR="00AB5806" w:rsidRPr="00256D89" w14:paraId="245AA5A8" w14:textId="77777777" w:rsidTr="00AB5806">
        <w:trPr>
          <w:trHeight w:val="404"/>
          <w:jc w:val="center"/>
        </w:trPr>
        <w:tc>
          <w:tcPr>
            <w:tcW w:w="2977" w:type="dxa"/>
            <w:tcBorders>
              <w:top w:val="nil"/>
              <w:left w:val="nil"/>
              <w:bottom w:val="single" w:sz="4" w:space="0" w:color="auto"/>
              <w:right w:val="nil"/>
            </w:tcBorders>
            <w:shd w:val="clear" w:color="auto" w:fill="auto"/>
            <w:noWrap/>
            <w:vAlign w:val="center"/>
            <w:hideMark/>
          </w:tcPr>
          <w:p w14:paraId="542575E2" w14:textId="77777777"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 </w:t>
            </w:r>
          </w:p>
        </w:tc>
        <w:tc>
          <w:tcPr>
            <w:tcW w:w="575" w:type="dxa"/>
            <w:tcBorders>
              <w:top w:val="nil"/>
              <w:left w:val="nil"/>
              <w:bottom w:val="single" w:sz="4" w:space="0" w:color="auto"/>
              <w:right w:val="nil"/>
            </w:tcBorders>
            <w:shd w:val="clear" w:color="auto" w:fill="auto"/>
            <w:noWrap/>
            <w:vAlign w:val="center"/>
            <w:hideMark/>
          </w:tcPr>
          <w:p w14:paraId="3C283AE4" w14:textId="77777777"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 </w:t>
            </w:r>
          </w:p>
        </w:tc>
        <w:tc>
          <w:tcPr>
            <w:tcW w:w="508" w:type="dxa"/>
            <w:tcBorders>
              <w:top w:val="nil"/>
              <w:left w:val="nil"/>
              <w:bottom w:val="single" w:sz="4" w:space="0" w:color="auto"/>
              <w:right w:val="nil"/>
            </w:tcBorders>
            <w:vAlign w:val="center"/>
          </w:tcPr>
          <w:p w14:paraId="4D85E470" w14:textId="660510BC" w:rsidR="00AB5806" w:rsidRPr="00256D89" w:rsidRDefault="00AB5806" w:rsidP="0024415F">
            <w:pPr>
              <w:spacing w:after="0" w:line="240" w:lineRule="auto"/>
              <w:rPr>
                <w:rFonts w:ascii="Arial Narrow" w:hAnsi="Arial Narrow"/>
                <w:b/>
                <w:bCs/>
                <w:sz w:val="20"/>
                <w:szCs w:val="20"/>
              </w:rPr>
            </w:pPr>
            <w:r>
              <w:rPr>
                <w:rFonts w:ascii="Arial Narrow" w:hAnsi="Arial Narrow"/>
                <w:b/>
                <w:bCs/>
                <w:sz w:val="20"/>
                <w:szCs w:val="20"/>
              </w:rPr>
              <w:t>2008</w:t>
            </w:r>
          </w:p>
        </w:tc>
        <w:tc>
          <w:tcPr>
            <w:tcW w:w="508" w:type="dxa"/>
            <w:tcBorders>
              <w:top w:val="nil"/>
              <w:left w:val="nil"/>
              <w:bottom w:val="single" w:sz="4" w:space="0" w:color="auto"/>
              <w:right w:val="nil"/>
            </w:tcBorders>
            <w:shd w:val="clear" w:color="auto" w:fill="auto"/>
            <w:noWrap/>
            <w:vAlign w:val="center"/>
          </w:tcPr>
          <w:p w14:paraId="6E6803DC" w14:textId="29737616"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2009</w:t>
            </w:r>
          </w:p>
        </w:tc>
        <w:tc>
          <w:tcPr>
            <w:tcW w:w="509" w:type="dxa"/>
            <w:tcBorders>
              <w:top w:val="nil"/>
              <w:left w:val="nil"/>
              <w:bottom w:val="single" w:sz="4" w:space="0" w:color="auto"/>
              <w:right w:val="nil"/>
            </w:tcBorders>
            <w:shd w:val="clear" w:color="auto" w:fill="auto"/>
            <w:noWrap/>
            <w:vAlign w:val="center"/>
          </w:tcPr>
          <w:p w14:paraId="2768F041" w14:textId="4A8ACF7E"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2010</w:t>
            </w:r>
          </w:p>
        </w:tc>
        <w:tc>
          <w:tcPr>
            <w:tcW w:w="509" w:type="dxa"/>
            <w:tcBorders>
              <w:top w:val="nil"/>
              <w:left w:val="nil"/>
              <w:bottom w:val="single" w:sz="4" w:space="0" w:color="auto"/>
              <w:right w:val="nil"/>
            </w:tcBorders>
            <w:shd w:val="clear" w:color="auto" w:fill="auto"/>
            <w:noWrap/>
            <w:vAlign w:val="center"/>
          </w:tcPr>
          <w:p w14:paraId="7FD5C5A7" w14:textId="4A46E4CC"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2011</w:t>
            </w:r>
          </w:p>
        </w:tc>
        <w:tc>
          <w:tcPr>
            <w:tcW w:w="509" w:type="dxa"/>
            <w:tcBorders>
              <w:top w:val="nil"/>
              <w:left w:val="nil"/>
              <w:bottom w:val="single" w:sz="4" w:space="0" w:color="auto"/>
              <w:right w:val="nil"/>
            </w:tcBorders>
            <w:shd w:val="clear" w:color="auto" w:fill="auto"/>
            <w:noWrap/>
            <w:vAlign w:val="center"/>
          </w:tcPr>
          <w:p w14:paraId="470C81EB" w14:textId="1CC43FA7"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2012</w:t>
            </w:r>
          </w:p>
        </w:tc>
        <w:tc>
          <w:tcPr>
            <w:tcW w:w="509" w:type="dxa"/>
            <w:tcBorders>
              <w:top w:val="nil"/>
              <w:left w:val="nil"/>
              <w:bottom w:val="single" w:sz="4" w:space="0" w:color="auto"/>
              <w:right w:val="nil"/>
            </w:tcBorders>
            <w:shd w:val="clear" w:color="auto" w:fill="auto"/>
            <w:noWrap/>
            <w:vAlign w:val="center"/>
          </w:tcPr>
          <w:p w14:paraId="45E0DDBA" w14:textId="2FCA9F78"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2013</w:t>
            </w:r>
          </w:p>
        </w:tc>
        <w:tc>
          <w:tcPr>
            <w:tcW w:w="509" w:type="dxa"/>
            <w:tcBorders>
              <w:top w:val="nil"/>
              <w:left w:val="nil"/>
              <w:bottom w:val="single" w:sz="4" w:space="0" w:color="auto"/>
              <w:right w:val="nil"/>
            </w:tcBorders>
            <w:shd w:val="clear" w:color="auto" w:fill="auto"/>
            <w:noWrap/>
            <w:vAlign w:val="center"/>
          </w:tcPr>
          <w:p w14:paraId="5EA6FBBD" w14:textId="0B54821C"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2014</w:t>
            </w:r>
          </w:p>
        </w:tc>
        <w:tc>
          <w:tcPr>
            <w:tcW w:w="509" w:type="dxa"/>
            <w:tcBorders>
              <w:top w:val="nil"/>
              <w:left w:val="nil"/>
              <w:bottom w:val="single" w:sz="4" w:space="0" w:color="auto"/>
              <w:right w:val="nil"/>
            </w:tcBorders>
            <w:shd w:val="clear" w:color="auto" w:fill="auto"/>
            <w:noWrap/>
            <w:vAlign w:val="center"/>
          </w:tcPr>
          <w:p w14:paraId="47147354" w14:textId="44101289" w:rsidR="00AB5806" w:rsidRPr="00256D89" w:rsidRDefault="00AB5806" w:rsidP="0024415F">
            <w:pPr>
              <w:spacing w:after="0" w:line="240" w:lineRule="auto"/>
              <w:rPr>
                <w:rFonts w:ascii="Arial Narrow" w:hAnsi="Arial Narrow"/>
                <w:b/>
                <w:bCs/>
                <w:sz w:val="20"/>
                <w:szCs w:val="20"/>
              </w:rPr>
            </w:pPr>
            <w:r>
              <w:rPr>
                <w:rFonts w:ascii="Arial Narrow" w:hAnsi="Arial Narrow"/>
                <w:b/>
                <w:bCs/>
                <w:sz w:val="20"/>
                <w:szCs w:val="20"/>
              </w:rPr>
              <w:t>2015</w:t>
            </w:r>
          </w:p>
        </w:tc>
        <w:tc>
          <w:tcPr>
            <w:tcW w:w="463" w:type="dxa"/>
            <w:tcBorders>
              <w:top w:val="nil"/>
              <w:left w:val="nil"/>
              <w:bottom w:val="single" w:sz="4" w:space="0" w:color="auto"/>
              <w:right w:val="nil"/>
            </w:tcBorders>
            <w:vAlign w:val="center"/>
          </w:tcPr>
          <w:p w14:paraId="26989439" w14:textId="363D8542" w:rsidR="00AB5806" w:rsidRPr="00256D89" w:rsidRDefault="00AB5806" w:rsidP="0024415F">
            <w:pPr>
              <w:spacing w:after="0" w:line="240" w:lineRule="auto"/>
              <w:rPr>
                <w:rFonts w:ascii="Arial Narrow" w:hAnsi="Arial Narrow"/>
                <w:b/>
                <w:bCs/>
                <w:sz w:val="20"/>
                <w:szCs w:val="20"/>
              </w:rPr>
            </w:pPr>
            <w:r>
              <w:rPr>
                <w:rFonts w:ascii="Arial Narrow" w:hAnsi="Arial Narrow"/>
                <w:b/>
                <w:bCs/>
                <w:sz w:val="20"/>
                <w:szCs w:val="20"/>
              </w:rPr>
              <w:t>2016</w:t>
            </w:r>
          </w:p>
        </w:tc>
        <w:tc>
          <w:tcPr>
            <w:tcW w:w="533" w:type="dxa"/>
            <w:tcBorders>
              <w:top w:val="nil"/>
              <w:left w:val="nil"/>
              <w:bottom w:val="single" w:sz="4" w:space="0" w:color="auto"/>
              <w:right w:val="nil"/>
            </w:tcBorders>
            <w:shd w:val="clear" w:color="auto" w:fill="auto"/>
            <w:noWrap/>
            <w:vAlign w:val="center"/>
          </w:tcPr>
          <w:p w14:paraId="6C556D9A" w14:textId="6746EA54" w:rsidR="00AB5806" w:rsidRPr="00256D89" w:rsidRDefault="00AB5806" w:rsidP="0024415F">
            <w:pPr>
              <w:spacing w:after="0" w:line="240" w:lineRule="auto"/>
              <w:rPr>
                <w:rFonts w:ascii="Arial Narrow" w:hAnsi="Arial Narrow"/>
                <w:b/>
                <w:bCs/>
                <w:sz w:val="20"/>
                <w:szCs w:val="20"/>
              </w:rPr>
            </w:pPr>
            <w:r w:rsidRPr="00256D89">
              <w:rPr>
                <w:rFonts w:ascii="Arial Narrow" w:hAnsi="Arial Narrow"/>
                <w:b/>
                <w:bCs/>
                <w:sz w:val="20"/>
                <w:szCs w:val="20"/>
              </w:rPr>
              <w:t>Cieľ 2020</w:t>
            </w:r>
          </w:p>
        </w:tc>
      </w:tr>
      <w:tr w:rsidR="00AB5806" w:rsidRPr="00256D89" w14:paraId="267106D2" w14:textId="77777777" w:rsidTr="00AB5806">
        <w:trPr>
          <w:trHeight w:val="249"/>
          <w:jc w:val="center"/>
        </w:trPr>
        <w:tc>
          <w:tcPr>
            <w:tcW w:w="2977" w:type="dxa"/>
            <w:tcBorders>
              <w:top w:val="nil"/>
              <w:left w:val="nil"/>
              <w:bottom w:val="nil"/>
              <w:right w:val="nil"/>
            </w:tcBorders>
            <w:shd w:val="clear" w:color="auto" w:fill="auto"/>
            <w:noWrap/>
            <w:vAlign w:val="center"/>
            <w:hideMark/>
          </w:tcPr>
          <w:p w14:paraId="4491E97C" w14:textId="31C24376" w:rsidR="00AB5806" w:rsidRPr="004D3541" w:rsidRDefault="00AB5806" w:rsidP="00AB5806">
            <w:pPr>
              <w:spacing w:after="0" w:line="240" w:lineRule="auto"/>
              <w:jc w:val="both"/>
              <w:rPr>
                <w:rFonts w:ascii="Arial Narrow" w:hAnsi="Arial Narrow"/>
                <w:b/>
                <w:bCs/>
                <w:color w:val="000000"/>
                <w:sz w:val="20"/>
                <w:szCs w:val="20"/>
              </w:rPr>
            </w:pPr>
            <w:r>
              <w:rPr>
                <w:rFonts w:ascii="Arial Narrow" w:hAnsi="Arial Narrow"/>
                <w:b/>
                <w:bCs/>
                <w:color w:val="000000"/>
                <w:sz w:val="20"/>
                <w:szCs w:val="20"/>
              </w:rPr>
              <w:t xml:space="preserve">Ukazovateľ </w:t>
            </w:r>
            <w:r w:rsidRPr="004D3541">
              <w:rPr>
                <w:rFonts w:ascii="Arial Narrow" w:hAnsi="Arial Narrow"/>
                <w:b/>
                <w:bCs/>
                <w:color w:val="000000"/>
                <w:sz w:val="20"/>
                <w:szCs w:val="20"/>
              </w:rPr>
              <w:t>dlhodobej udržateľnosti (GAP)</w:t>
            </w:r>
            <w:r w:rsidRPr="004D3541">
              <w:rPr>
                <w:rStyle w:val="Odkaznapoznmkupodiarou"/>
                <w:rFonts w:ascii="Arial Narrow" w:hAnsi="Arial Narrow"/>
                <w:b/>
                <w:bCs/>
                <w:color w:val="000000"/>
                <w:sz w:val="20"/>
                <w:szCs w:val="20"/>
              </w:rPr>
              <w:footnoteReference w:id="17"/>
            </w:r>
          </w:p>
        </w:tc>
        <w:tc>
          <w:tcPr>
            <w:tcW w:w="575" w:type="dxa"/>
            <w:tcBorders>
              <w:top w:val="nil"/>
              <w:left w:val="nil"/>
              <w:bottom w:val="nil"/>
              <w:right w:val="nil"/>
            </w:tcBorders>
            <w:shd w:val="clear" w:color="auto" w:fill="auto"/>
            <w:noWrap/>
            <w:vAlign w:val="center"/>
            <w:hideMark/>
          </w:tcPr>
          <w:p w14:paraId="2CB71084" w14:textId="77777777" w:rsidR="00AB5806" w:rsidRPr="004D3541" w:rsidRDefault="00AB5806" w:rsidP="0024415F">
            <w:pPr>
              <w:spacing w:after="0" w:line="240" w:lineRule="auto"/>
              <w:jc w:val="center"/>
              <w:rPr>
                <w:rFonts w:ascii="Arial Narrow" w:hAnsi="Arial Narrow"/>
                <w:b/>
                <w:bCs/>
                <w:color w:val="000000"/>
                <w:sz w:val="20"/>
                <w:szCs w:val="20"/>
              </w:rPr>
            </w:pPr>
            <w:r w:rsidRPr="004D3541">
              <w:rPr>
                <w:rFonts w:ascii="Arial Narrow" w:hAnsi="Arial Narrow"/>
                <w:b/>
                <w:bCs/>
                <w:color w:val="000000"/>
                <w:sz w:val="20"/>
                <w:szCs w:val="20"/>
              </w:rPr>
              <w:t>SK</w:t>
            </w:r>
          </w:p>
        </w:tc>
        <w:tc>
          <w:tcPr>
            <w:tcW w:w="508" w:type="dxa"/>
            <w:tcBorders>
              <w:top w:val="nil"/>
              <w:left w:val="nil"/>
              <w:bottom w:val="nil"/>
              <w:right w:val="nil"/>
            </w:tcBorders>
            <w:vAlign w:val="center"/>
          </w:tcPr>
          <w:p w14:paraId="2C8D7FED" w14:textId="4C239F39" w:rsidR="00AB5806" w:rsidRPr="004D3541"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nil"/>
              <w:left w:val="nil"/>
              <w:bottom w:val="nil"/>
              <w:right w:val="nil"/>
            </w:tcBorders>
            <w:shd w:val="clear" w:color="auto" w:fill="auto"/>
            <w:vAlign w:val="center"/>
          </w:tcPr>
          <w:p w14:paraId="060162F6" w14:textId="24996A3E"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9,5</w:t>
            </w:r>
          </w:p>
        </w:tc>
        <w:tc>
          <w:tcPr>
            <w:tcW w:w="509" w:type="dxa"/>
            <w:tcBorders>
              <w:top w:val="nil"/>
              <w:left w:val="nil"/>
              <w:bottom w:val="nil"/>
              <w:right w:val="nil"/>
            </w:tcBorders>
            <w:shd w:val="clear" w:color="auto" w:fill="auto"/>
            <w:vAlign w:val="center"/>
          </w:tcPr>
          <w:p w14:paraId="7E3E2405" w14:textId="26929158"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9,2</w:t>
            </w:r>
          </w:p>
        </w:tc>
        <w:tc>
          <w:tcPr>
            <w:tcW w:w="509" w:type="dxa"/>
            <w:tcBorders>
              <w:top w:val="nil"/>
              <w:left w:val="nil"/>
              <w:bottom w:val="nil"/>
              <w:right w:val="nil"/>
            </w:tcBorders>
            <w:shd w:val="clear" w:color="auto" w:fill="auto"/>
            <w:vAlign w:val="center"/>
          </w:tcPr>
          <w:p w14:paraId="30F8DDE9" w14:textId="20C5A8E3"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7</w:t>
            </w:r>
          </w:p>
        </w:tc>
        <w:tc>
          <w:tcPr>
            <w:tcW w:w="509" w:type="dxa"/>
            <w:tcBorders>
              <w:top w:val="nil"/>
              <w:left w:val="nil"/>
              <w:bottom w:val="nil"/>
              <w:right w:val="nil"/>
            </w:tcBorders>
            <w:shd w:val="clear" w:color="auto" w:fill="auto"/>
            <w:vAlign w:val="center"/>
          </w:tcPr>
          <w:p w14:paraId="5666047E" w14:textId="342594AE"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4</w:t>
            </w:r>
          </w:p>
        </w:tc>
        <w:tc>
          <w:tcPr>
            <w:tcW w:w="509" w:type="dxa"/>
            <w:tcBorders>
              <w:top w:val="nil"/>
              <w:left w:val="nil"/>
              <w:bottom w:val="nil"/>
              <w:right w:val="nil"/>
            </w:tcBorders>
            <w:shd w:val="clear" w:color="auto" w:fill="auto"/>
            <w:vAlign w:val="center"/>
          </w:tcPr>
          <w:p w14:paraId="22C72F3D" w14:textId="6A7B12FF"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1,9</w:t>
            </w:r>
          </w:p>
        </w:tc>
        <w:tc>
          <w:tcPr>
            <w:tcW w:w="509" w:type="dxa"/>
            <w:tcBorders>
              <w:top w:val="nil"/>
              <w:left w:val="nil"/>
              <w:bottom w:val="nil"/>
              <w:right w:val="nil"/>
            </w:tcBorders>
            <w:shd w:val="clear" w:color="auto" w:fill="auto"/>
            <w:vAlign w:val="center"/>
          </w:tcPr>
          <w:p w14:paraId="4E6C0C5A" w14:textId="799A6216"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 xml:space="preserve"> 1,4 </w:t>
            </w:r>
          </w:p>
        </w:tc>
        <w:tc>
          <w:tcPr>
            <w:tcW w:w="509" w:type="dxa"/>
            <w:tcBorders>
              <w:top w:val="nil"/>
              <w:left w:val="nil"/>
              <w:bottom w:val="nil"/>
              <w:right w:val="nil"/>
            </w:tcBorders>
            <w:shd w:val="clear" w:color="auto" w:fill="auto"/>
            <w:vAlign w:val="center"/>
          </w:tcPr>
          <w:p w14:paraId="2222C6B1" w14:textId="6EE711C0" w:rsidR="00AB5806" w:rsidRPr="004D3541" w:rsidRDefault="00AB5806" w:rsidP="0024415F">
            <w:pPr>
              <w:spacing w:after="0" w:line="240" w:lineRule="auto"/>
              <w:jc w:val="center"/>
              <w:rPr>
                <w:rFonts w:ascii="Arial Narrow" w:hAnsi="Arial Narrow"/>
                <w:color w:val="000000"/>
                <w:sz w:val="20"/>
                <w:szCs w:val="20"/>
              </w:rPr>
            </w:pPr>
            <w:r w:rsidRPr="004D3541">
              <w:rPr>
                <w:rFonts w:ascii="Arial Narrow" w:hAnsi="Arial Narrow"/>
                <w:color w:val="000000"/>
                <w:sz w:val="20"/>
                <w:szCs w:val="20"/>
              </w:rPr>
              <w:t>1,4</w:t>
            </w:r>
          </w:p>
        </w:tc>
        <w:tc>
          <w:tcPr>
            <w:tcW w:w="463" w:type="dxa"/>
            <w:tcBorders>
              <w:top w:val="nil"/>
              <w:left w:val="nil"/>
              <w:bottom w:val="nil"/>
              <w:right w:val="nil"/>
            </w:tcBorders>
            <w:vAlign w:val="center"/>
          </w:tcPr>
          <w:p w14:paraId="7D2B7BE6" w14:textId="712DFE8E" w:rsidR="00AB5806"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33" w:type="dxa"/>
            <w:tcBorders>
              <w:top w:val="nil"/>
              <w:left w:val="nil"/>
              <w:bottom w:val="nil"/>
              <w:right w:val="nil"/>
            </w:tcBorders>
            <w:shd w:val="clear" w:color="auto" w:fill="auto"/>
            <w:vAlign w:val="center"/>
          </w:tcPr>
          <w:p w14:paraId="02162408" w14:textId="467B2446" w:rsidR="00AB5806" w:rsidRPr="004D3541"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0</w:t>
            </w:r>
          </w:p>
        </w:tc>
      </w:tr>
      <w:tr w:rsidR="00AB5806" w:rsidRPr="00256D89" w14:paraId="4039DF2C" w14:textId="77777777" w:rsidTr="00AB5806">
        <w:trPr>
          <w:trHeight w:val="237"/>
          <w:jc w:val="center"/>
        </w:trPr>
        <w:tc>
          <w:tcPr>
            <w:tcW w:w="2977" w:type="dxa"/>
            <w:tcBorders>
              <w:top w:val="nil"/>
              <w:left w:val="nil"/>
              <w:bottom w:val="single" w:sz="4" w:space="0" w:color="auto"/>
              <w:right w:val="nil"/>
            </w:tcBorders>
            <w:shd w:val="clear" w:color="auto" w:fill="auto"/>
            <w:noWrap/>
            <w:vAlign w:val="center"/>
            <w:hideMark/>
          </w:tcPr>
          <w:p w14:paraId="591F7DCE" w14:textId="5FE415C2" w:rsidR="00AB5806" w:rsidRPr="00256D89" w:rsidRDefault="00AB5806" w:rsidP="0024415F">
            <w:pPr>
              <w:spacing w:after="0" w:line="240" w:lineRule="auto"/>
              <w:jc w:val="both"/>
              <w:rPr>
                <w:rFonts w:ascii="Arial Narrow" w:hAnsi="Arial Narrow"/>
                <w:color w:val="000000"/>
                <w:sz w:val="20"/>
                <w:szCs w:val="20"/>
              </w:rPr>
            </w:pPr>
            <w:r w:rsidRPr="00256D89">
              <w:rPr>
                <w:rFonts w:ascii="Arial Narrow" w:hAnsi="Arial Narrow"/>
                <w:color w:val="000000"/>
                <w:sz w:val="20"/>
                <w:szCs w:val="20"/>
              </w:rPr>
              <w:t>(% HDP)</w:t>
            </w:r>
          </w:p>
        </w:tc>
        <w:tc>
          <w:tcPr>
            <w:tcW w:w="575" w:type="dxa"/>
            <w:tcBorders>
              <w:top w:val="nil"/>
              <w:left w:val="nil"/>
              <w:bottom w:val="single" w:sz="4" w:space="0" w:color="auto"/>
              <w:right w:val="nil"/>
            </w:tcBorders>
            <w:shd w:val="clear" w:color="auto" w:fill="auto"/>
            <w:noWrap/>
            <w:vAlign w:val="center"/>
            <w:hideMark/>
          </w:tcPr>
          <w:p w14:paraId="282A3EAD" w14:textId="77777777" w:rsidR="00AB5806" w:rsidRPr="00256D89" w:rsidRDefault="00AB5806" w:rsidP="0024415F">
            <w:pPr>
              <w:spacing w:after="0" w:line="240" w:lineRule="auto"/>
              <w:jc w:val="center"/>
              <w:rPr>
                <w:rFonts w:ascii="Arial Narrow" w:hAnsi="Arial Narrow"/>
                <w:b/>
                <w:bCs/>
                <w:color w:val="000000"/>
                <w:sz w:val="20"/>
                <w:szCs w:val="20"/>
              </w:rPr>
            </w:pPr>
            <w:r w:rsidRPr="00256D89">
              <w:rPr>
                <w:rFonts w:ascii="Arial Narrow" w:hAnsi="Arial Narrow"/>
                <w:b/>
                <w:bCs/>
                <w:color w:val="000000"/>
                <w:sz w:val="20"/>
                <w:szCs w:val="20"/>
              </w:rPr>
              <w:t>EÚ</w:t>
            </w:r>
          </w:p>
        </w:tc>
        <w:tc>
          <w:tcPr>
            <w:tcW w:w="508" w:type="dxa"/>
            <w:tcBorders>
              <w:top w:val="nil"/>
              <w:left w:val="nil"/>
              <w:bottom w:val="single" w:sz="4" w:space="0" w:color="auto"/>
              <w:right w:val="nil"/>
            </w:tcBorders>
            <w:vAlign w:val="center"/>
          </w:tcPr>
          <w:p w14:paraId="5A27A2FB" w14:textId="4C18DC53"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vAlign w:val="center"/>
          </w:tcPr>
          <w:p w14:paraId="77B32978" w14:textId="4B7171CD"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tcPr>
          <w:p w14:paraId="2F4ACA65" w14:textId="0B75ED3D"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tcPr>
          <w:p w14:paraId="63434A73" w14:textId="461AFC66"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278BFBBD" w14:textId="1451BA96"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404552F5" w14:textId="1E6FC4B1"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3E8C5DEA" w14:textId="40D9769E"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29FBBCD7" w14:textId="37EF6B63" w:rsidR="00AB5806" w:rsidRPr="00256D89" w:rsidRDefault="00AB5806" w:rsidP="0024415F">
            <w:pPr>
              <w:spacing w:after="0" w:line="240" w:lineRule="auto"/>
              <w:jc w:val="center"/>
              <w:rPr>
                <w:rFonts w:ascii="Arial Narrow" w:hAnsi="Arial Narrow"/>
                <w:color w:val="000000"/>
                <w:sz w:val="20"/>
                <w:szCs w:val="20"/>
              </w:rPr>
            </w:pPr>
          </w:p>
        </w:tc>
        <w:tc>
          <w:tcPr>
            <w:tcW w:w="463" w:type="dxa"/>
            <w:tcBorders>
              <w:top w:val="nil"/>
              <w:left w:val="nil"/>
              <w:bottom w:val="single" w:sz="4" w:space="0" w:color="auto"/>
              <w:right w:val="nil"/>
            </w:tcBorders>
            <w:vAlign w:val="center"/>
          </w:tcPr>
          <w:p w14:paraId="2DA88AC7" w14:textId="0C8B75AA" w:rsidR="00AB5806" w:rsidRPr="00256D89"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33" w:type="dxa"/>
            <w:tcBorders>
              <w:top w:val="nil"/>
              <w:left w:val="nil"/>
              <w:bottom w:val="single" w:sz="4" w:space="0" w:color="auto"/>
              <w:right w:val="nil"/>
            </w:tcBorders>
            <w:shd w:val="clear" w:color="auto" w:fill="auto"/>
            <w:vAlign w:val="center"/>
          </w:tcPr>
          <w:p w14:paraId="3D249A22" w14:textId="083D2B08" w:rsidR="00AB5806" w:rsidRPr="00256D89" w:rsidRDefault="00AB5806" w:rsidP="0024415F">
            <w:pPr>
              <w:spacing w:after="0" w:line="240" w:lineRule="auto"/>
              <w:jc w:val="center"/>
              <w:rPr>
                <w:rFonts w:ascii="Arial Narrow" w:hAnsi="Arial Narrow"/>
                <w:color w:val="000000"/>
                <w:sz w:val="20"/>
                <w:szCs w:val="20"/>
              </w:rPr>
            </w:pPr>
            <w:r w:rsidRPr="00256D89">
              <w:rPr>
                <w:rFonts w:ascii="Arial Narrow" w:hAnsi="Arial Narrow"/>
                <w:color w:val="000000"/>
                <w:sz w:val="20"/>
                <w:szCs w:val="20"/>
              </w:rPr>
              <w:t>-</w:t>
            </w:r>
          </w:p>
        </w:tc>
      </w:tr>
      <w:tr w:rsidR="00AB5806" w:rsidRPr="00256D89" w14:paraId="6828728C" w14:textId="77777777" w:rsidTr="00AB5806">
        <w:trPr>
          <w:trHeight w:val="237"/>
          <w:jc w:val="center"/>
        </w:trPr>
        <w:tc>
          <w:tcPr>
            <w:tcW w:w="2977" w:type="dxa"/>
            <w:tcBorders>
              <w:top w:val="nil"/>
              <w:left w:val="nil"/>
              <w:right w:val="nil"/>
            </w:tcBorders>
            <w:shd w:val="clear" w:color="auto" w:fill="auto"/>
            <w:noWrap/>
            <w:vAlign w:val="center"/>
            <w:hideMark/>
          </w:tcPr>
          <w:p w14:paraId="07336624" w14:textId="0D2C2E48" w:rsidR="00AB5806" w:rsidRPr="00256D89" w:rsidRDefault="00AB5806" w:rsidP="00AB5806">
            <w:pPr>
              <w:spacing w:after="0" w:line="240" w:lineRule="auto"/>
              <w:rPr>
                <w:rFonts w:ascii="Arial Narrow" w:hAnsi="Arial Narrow"/>
                <w:b/>
                <w:bCs/>
                <w:color w:val="000000"/>
                <w:sz w:val="20"/>
                <w:szCs w:val="20"/>
              </w:rPr>
            </w:pPr>
            <w:r w:rsidRPr="00256D89">
              <w:rPr>
                <w:rFonts w:ascii="Arial Narrow" w:hAnsi="Arial Narrow"/>
                <w:b/>
                <w:bCs/>
                <w:color w:val="000000"/>
                <w:sz w:val="20"/>
                <w:szCs w:val="20"/>
              </w:rPr>
              <w:t>Efektívnosť výberu DPH</w:t>
            </w:r>
          </w:p>
        </w:tc>
        <w:tc>
          <w:tcPr>
            <w:tcW w:w="575" w:type="dxa"/>
            <w:tcBorders>
              <w:top w:val="nil"/>
              <w:left w:val="nil"/>
              <w:right w:val="nil"/>
            </w:tcBorders>
            <w:shd w:val="clear" w:color="auto" w:fill="auto"/>
            <w:noWrap/>
            <w:vAlign w:val="center"/>
            <w:hideMark/>
          </w:tcPr>
          <w:p w14:paraId="59E22DAC" w14:textId="77777777" w:rsidR="00AB5806" w:rsidRPr="00256D89" w:rsidRDefault="00AB5806" w:rsidP="0024415F">
            <w:pPr>
              <w:spacing w:after="0" w:line="240" w:lineRule="auto"/>
              <w:jc w:val="center"/>
              <w:rPr>
                <w:rFonts w:ascii="Arial Narrow" w:hAnsi="Arial Narrow"/>
                <w:b/>
                <w:bCs/>
                <w:color w:val="000000"/>
                <w:sz w:val="20"/>
                <w:szCs w:val="20"/>
              </w:rPr>
            </w:pPr>
            <w:r w:rsidRPr="00256D89">
              <w:rPr>
                <w:rFonts w:ascii="Arial Narrow" w:hAnsi="Arial Narrow"/>
                <w:b/>
                <w:bCs/>
                <w:color w:val="000000"/>
                <w:sz w:val="20"/>
                <w:szCs w:val="20"/>
              </w:rPr>
              <w:t>SK</w:t>
            </w:r>
          </w:p>
        </w:tc>
        <w:tc>
          <w:tcPr>
            <w:tcW w:w="508" w:type="dxa"/>
            <w:tcBorders>
              <w:top w:val="nil"/>
              <w:left w:val="nil"/>
              <w:right w:val="nil"/>
            </w:tcBorders>
            <w:vAlign w:val="center"/>
          </w:tcPr>
          <w:p w14:paraId="67B8F754" w14:textId="553F2A57" w:rsidR="00AB5806" w:rsidRPr="007A0B31" w:rsidRDefault="00AB5806" w:rsidP="0024415F">
            <w:pPr>
              <w:spacing w:after="0" w:line="240" w:lineRule="auto"/>
              <w:jc w:val="center"/>
              <w:rPr>
                <w:rFonts w:ascii="Arial Narrow" w:hAnsi="Arial Narrow"/>
                <w:sz w:val="20"/>
                <w:szCs w:val="20"/>
              </w:rPr>
            </w:pPr>
            <w:r>
              <w:rPr>
                <w:rFonts w:ascii="Arial Narrow" w:hAnsi="Arial Narrow"/>
                <w:sz w:val="20"/>
                <w:szCs w:val="20"/>
              </w:rPr>
              <w:t>62,3</w:t>
            </w:r>
          </w:p>
        </w:tc>
        <w:tc>
          <w:tcPr>
            <w:tcW w:w="508" w:type="dxa"/>
            <w:tcBorders>
              <w:top w:val="nil"/>
              <w:left w:val="nil"/>
              <w:right w:val="nil"/>
            </w:tcBorders>
            <w:shd w:val="clear" w:color="auto" w:fill="auto"/>
            <w:vAlign w:val="center"/>
          </w:tcPr>
          <w:p w14:paraId="54FEFAF9" w14:textId="3DA46B66"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55,5</w:t>
            </w:r>
          </w:p>
        </w:tc>
        <w:tc>
          <w:tcPr>
            <w:tcW w:w="509" w:type="dxa"/>
            <w:tcBorders>
              <w:top w:val="nil"/>
              <w:left w:val="nil"/>
              <w:right w:val="nil"/>
            </w:tcBorders>
            <w:shd w:val="clear" w:color="auto" w:fill="auto"/>
            <w:vAlign w:val="center"/>
          </w:tcPr>
          <w:p w14:paraId="54EEF3FA" w14:textId="65857837"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54,3</w:t>
            </w:r>
          </w:p>
        </w:tc>
        <w:tc>
          <w:tcPr>
            <w:tcW w:w="509" w:type="dxa"/>
            <w:tcBorders>
              <w:top w:val="nil"/>
              <w:left w:val="nil"/>
              <w:right w:val="nil"/>
            </w:tcBorders>
            <w:shd w:val="clear" w:color="auto" w:fill="auto"/>
            <w:vAlign w:val="center"/>
          </w:tcPr>
          <w:p w14:paraId="6E12AFA2" w14:textId="4C61D07D" w:rsidR="00AB5806" w:rsidRPr="007A0B31" w:rsidRDefault="00AB5806" w:rsidP="0024415F">
            <w:pPr>
              <w:spacing w:after="0" w:line="240" w:lineRule="auto"/>
              <w:jc w:val="center"/>
              <w:rPr>
                <w:rFonts w:ascii="Arial Narrow" w:hAnsi="Arial Narrow"/>
                <w:color w:val="000000"/>
                <w:sz w:val="20"/>
                <w:szCs w:val="20"/>
                <w:highlight w:val="yellow"/>
              </w:rPr>
            </w:pPr>
            <w:r w:rsidRPr="007A0B31">
              <w:rPr>
                <w:rFonts w:ascii="Arial Narrow" w:hAnsi="Arial Narrow"/>
                <w:sz w:val="20"/>
                <w:szCs w:val="20"/>
              </w:rPr>
              <w:t>54,3</w:t>
            </w:r>
          </w:p>
        </w:tc>
        <w:tc>
          <w:tcPr>
            <w:tcW w:w="509" w:type="dxa"/>
            <w:tcBorders>
              <w:top w:val="nil"/>
              <w:left w:val="nil"/>
              <w:right w:val="nil"/>
            </w:tcBorders>
            <w:shd w:val="clear" w:color="auto" w:fill="auto"/>
            <w:vAlign w:val="center"/>
          </w:tcPr>
          <w:p w14:paraId="5DE8D6AE" w14:textId="5F882493" w:rsidR="00AB5806" w:rsidRPr="007A0B31" w:rsidRDefault="00AB5806" w:rsidP="0024415F">
            <w:pPr>
              <w:spacing w:after="0" w:line="240" w:lineRule="auto"/>
              <w:jc w:val="center"/>
              <w:rPr>
                <w:rFonts w:ascii="Arial Narrow" w:hAnsi="Arial Narrow"/>
                <w:color w:val="000000"/>
                <w:sz w:val="20"/>
                <w:szCs w:val="20"/>
                <w:highlight w:val="yellow"/>
              </w:rPr>
            </w:pPr>
            <w:r w:rsidRPr="007A0B31">
              <w:rPr>
                <w:rFonts w:ascii="Arial Narrow" w:hAnsi="Arial Narrow"/>
                <w:sz w:val="20"/>
                <w:szCs w:val="20"/>
              </w:rPr>
              <w:t>49,8</w:t>
            </w:r>
          </w:p>
        </w:tc>
        <w:tc>
          <w:tcPr>
            <w:tcW w:w="509" w:type="dxa"/>
            <w:tcBorders>
              <w:top w:val="nil"/>
              <w:left w:val="nil"/>
              <w:right w:val="nil"/>
            </w:tcBorders>
            <w:shd w:val="clear" w:color="auto" w:fill="auto"/>
            <w:vAlign w:val="center"/>
          </w:tcPr>
          <w:p w14:paraId="4880C2BA" w14:textId="04EFFB17" w:rsidR="00AB5806" w:rsidRPr="007A0B31" w:rsidRDefault="00AB5806" w:rsidP="0024415F">
            <w:pPr>
              <w:spacing w:after="0" w:line="240" w:lineRule="auto"/>
              <w:jc w:val="center"/>
              <w:rPr>
                <w:rFonts w:ascii="Arial Narrow" w:hAnsi="Arial Narrow"/>
                <w:color w:val="000000"/>
                <w:sz w:val="20"/>
                <w:szCs w:val="20"/>
                <w:highlight w:val="yellow"/>
              </w:rPr>
            </w:pPr>
            <w:r w:rsidRPr="007A0B31">
              <w:rPr>
                <w:rFonts w:ascii="Arial Narrow" w:hAnsi="Arial Narrow"/>
                <w:sz w:val="20"/>
                <w:szCs w:val="20"/>
              </w:rPr>
              <w:t>54,7</w:t>
            </w:r>
          </w:p>
        </w:tc>
        <w:tc>
          <w:tcPr>
            <w:tcW w:w="509" w:type="dxa"/>
            <w:tcBorders>
              <w:top w:val="nil"/>
              <w:left w:val="nil"/>
              <w:right w:val="nil"/>
            </w:tcBorders>
            <w:shd w:val="clear" w:color="auto" w:fill="auto"/>
            <w:vAlign w:val="center"/>
          </w:tcPr>
          <w:p w14:paraId="0EBB3A88" w14:textId="0580531D" w:rsidR="00AB5806" w:rsidRPr="007A0B31" w:rsidRDefault="00AB5806" w:rsidP="0024415F">
            <w:pPr>
              <w:spacing w:after="0" w:line="240" w:lineRule="auto"/>
              <w:jc w:val="center"/>
              <w:rPr>
                <w:rFonts w:ascii="Arial Narrow" w:hAnsi="Arial Narrow"/>
                <w:color w:val="000000"/>
                <w:sz w:val="20"/>
                <w:szCs w:val="20"/>
                <w:highlight w:val="yellow"/>
              </w:rPr>
            </w:pPr>
            <w:r w:rsidRPr="007A0B31">
              <w:rPr>
                <w:rFonts w:ascii="Arial Narrow" w:hAnsi="Arial Narrow"/>
                <w:sz w:val="20"/>
                <w:szCs w:val="20"/>
              </w:rPr>
              <w:t>57,2</w:t>
            </w:r>
          </w:p>
        </w:tc>
        <w:tc>
          <w:tcPr>
            <w:tcW w:w="509" w:type="dxa"/>
            <w:tcBorders>
              <w:top w:val="nil"/>
              <w:left w:val="nil"/>
              <w:right w:val="nil"/>
            </w:tcBorders>
            <w:shd w:val="clear" w:color="auto" w:fill="auto"/>
            <w:vAlign w:val="center"/>
          </w:tcPr>
          <w:p w14:paraId="3FC12888" w14:textId="27012407" w:rsidR="00AB5806" w:rsidRPr="007A0B31" w:rsidRDefault="00AB5806" w:rsidP="0024415F">
            <w:pPr>
              <w:spacing w:after="0" w:line="240" w:lineRule="auto"/>
              <w:jc w:val="center"/>
              <w:rPr>
                <w:rFonts w:ascii="Arial Narrow" w:hAnsi="Arial Narrow"/>
                <w:color w:val="000000"/>
                <w:sz w:val="20"/>
                <w:szCs w:val="20"/>
                <w:highlight w:val="yellow"/>
              </w:rPr>
            </w:pPr>
            <w:r w:rsidRPr="007A0B31">
              <w:rPr>
                <w:rFonts w:ascii="Arial Narrow" w:hAnsi="Arial Narrow"/>
                <w:sz w:val="20"/>
                <w:szCs w:val="20"/>
              </w:rPr>
              <w:t>58,1</w:t>
            </w:r>
          </w:p>
        </w:tc>
        <w:tc>
          <w:tcPr>
            <w:tcW w:w="463" w:type="dxa"/>
            <w:tcBorders>
              <w:top w:val="nil"/>
              <w:left w:val="nil"/>
              <w:right w:val="nil"/>
            </w:tcBorders>
            <w:vAlign w:val="center"/>
          </w:tcPr>
          <w:p w14:paraId="0B8A68F3" w14:textId="5D2DB9C5" w:rsidR="00AB5806"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33" w:type="dxa"/>
            <w:tcBorders>
              <w:top w:val="nil"/>
              <w:left w:val="nil"/>
              <w:right w:val="nil"/>
            </w:tcBorders>
            <w:shd w:val="clear" w:color="auto" w:fill="auto"/>
            <w:vAlign w:val="center"/>
          </w:tcPr>
          <w:p w14:paraId="64DC07E9" w14:textId="35E0C8F6" w:rsidR="00AB5806" w:rsidRPr="007A0B31" w:rsidRDefault="00AB5806" w:rsidP="0024415F">
            <w:pPr>
              <w:spacing w:after="0" w:line="240" w:lineRule="auto"/>
              <w:jc w:val="center"/>
              <w:rPr>
                <w:rFonts w:ascii="Arial Narrow" w:hAnsi="Arial Narrow"/>
                <w:color w:val="000000"/>
                <w:sz w:val="20"/>
                <w:szCs w:val="20"/>
                <w:highlight w:val="yellow"/>
              </w:rPr>
            </w:pPr>
            <w:r>
              <w:rPr>
                <w:rFonts w:ascii="Arial Narrow" w:hAnsi="Arial Narrow"/>
                <w:color w:val="000000"/>
                <w:sz w:val="20"/>
                <w:szCs w:val="20"/>
              </w:rPr>
              <w:t>-</w:t>
            </w:r>
          </w:p>
        </w:tc>
      </w:tr>
      <w:tr w:rsidR="00AB5806" w:rsidRPr="00256D89" w14:paraId="73B53AB7" w14:textId="77777777" w:rsidTr="00AB5806">
        <w:trPr>
          <w:trHeight w:val="237"/>
          <w:jc w:val="center"/>
        </w:trPr>
        <w:tc>
          <w:tcPr>
            <w:tcW w:w="2977" w:type="dxa"/>
            <w:tcBorders>
              <w:top w:val="nil"/>
              <w:left w:val="nil"/>
              <w:bottom w:val="single" w:sz="4" w:space="0" w:color="auto"/>
              <w:right w:val="nil"/>
            </w:tcBorders>
            <w:shd w:val="clear" w:color="auto" w:fill="auto"/>
            <w:noWrap/>
            <w:vAlign w:val="center"/>
            <w:hideMark/>
          </w:tcPr>
          <w:p w14:paraId="72BF5D31" w14:textId="3E3600A9" w:rsidR="00AB5806" w:rsidRPr="00256D89" w:rsidRDefault="00AB5806" w:rsidP="0024415F">
            <w:pPr>
              <w:spacing w:after="0" w:line="240" w:lineRule="auto"/>
              <w:jc w:val="both"/>
              <w:rPr>
                <w:rFonts w:ascii="Arial Narrow" w:hAnsi="Arial Narrow"/>
                <w:color w:val="000000"/>
                <w:sz w:val="20"/>
                <w:szCs w:val="20"/>
              </w:rPr>
            </w:pPr>
            <w:r w:rsidRPr="00256D89">
              <w:rPr>
                <w:rFonts w:ascii="Arial Narrow" w:hAnsi="Arial Narrow"/>
                <w:color w:val="000000"/>
                <w:sz w:val="20"/>
                <w:szCs w:val="20"/>
              </w:rPr>
              <w:t>(%</w:t>
            </w:r>
            <w:r>
              <w:rPr>
                <w:rFonts w:ascii="Arial Narrow" w:hAnsi="Arial Narrow"/>
                <w:color w:val="000000"/>
                <w:sz w:val="20"/>
                <w:szCs w:val="20"/>
              </w:rPr>
              <w:t xml:space="preserve"> HDP</w:t>
            </w:r>
            <w:r w:rsidRPr="00256D89">
              <w:rPr>
                <w:rFonts w:ascii="Arial Narrow" w:hAnsi="Arial Narrow"/>
                <w:color w:val="000000"/>
                <w:sz w:val="20"/>
                <w:szCs w:val="20"/>
              </w:rPr>
              <w:t>)</w:t>
            </w:r>
          </w:p>
        </w:tc>
        <w:tc>
          <w:tcPr>
            <w:tcW w:w="575" w:type="dxa"/>
            <w:tcBorders>
              <w:top w:val="nil"/>
              <w:left w:val="nil"/>
              <w:bottom w:val="single" w:sz="4" w:space="0" w:color="auto"/>
              <w:right w:val="nil"/>
            </w:tcBorders>
            <w:shd w:val="clear" w:color="auto" w:fill="auto"/>
            <w:noWrap/>
            <w:vAlign w:val="center"/>
            <w:hideMark/>
          </w:tcPr>
          <w:p w14:paraId="32671611" w14:textId="77777777" w:rsidR="00AB5806" w:rsidRPr="00256D89" w:rsidRDefault="00AB5806" w:rsidP="0024415F">
            <w:pPr>
              <w:spacing w:after="0" w:line="240" w:lineRule="auto"/>
              <w:jc w:val="center"/>
              <w:rPr>
                <w:rFonts w:ascii="Arial Narrow" w:hAnsi="Arial Narrow"/>
                <w:b/>
                <w:bCs/>
                <w:color w:val="000000"/>
                <w:sz w:val="20"/>
                <w:szCs w:val="20"/>
              </w:rPr>
            </w:pPr>
            <w:r w:rsidRPr="00256D89">
              <w:rPr>
                <w:rFonts w:ascii="Arial Narrow" w:hAnsi="Arial Narrow"/>
                <w:b/>
                <w:bCs/>
                <w:color w:val="000000"/>
                <w:sz w:val="20"/>
                <w:szCs w:val="20"/>
              </w:rPr>
              <w:t>EÚ</w:t>
            </w:r>
          </w:p>
        </w:tc>
        <w:tc>
          <w:tcPr>
            <w:tcW w:w="508" w:type="dxa"/>
            <w:tcBorders>
              <w:top w:val="nil"/>
              <w:left w:val="nil"/>
              <w:bottom w:val="single" w:sz="4" w:space="0" w:color="auto"/>
              <w:right w:val="nil"/>
            </w:tcBorders>
            <w:vAlign w:val="center"/>
          </w:tcPr>
          <w:p w14:paraId="028FC818" w14:textId="31FF5605" w:rsidR="00AB5806" w:rsidRPr="007A0B31" w:rsidRDefault="00AB5806" w:rsidP="0024415F">
            <w:pPr>
              <w:spacing w:after="0" w:line="240" w:lineRule="auto"/>
              <w:jc w:val="center"/>
              <w:rPr>
                <w:rFonts w:ascii="Arial Narrow" w:hAnsi="Arial Narrow"/>
                <w:sz w:val="20"/>
                <w:szCs w:val="20"/>
              </w:rPr>
            </w:pPr>
            <w:r>
              <w:rPr>
                <w:rFonts w:ascii="Arial Narrow" w:hAnsi="Arial Narrow"/>
                <w:sz w:val="20"/>
                <w:szCs w:val="20"/>
              </w:rPr>
              <w:t>69,7</w:t>
            </w:r>
          </w:p>
        </w:tc>
        <w:tc>
          <w:tcPr>
            <w:tcW w:w="508" w:type="dxa"/>
            <w:tcBorders>
              <w:top w:val="nil"/>
              <w:left w:val="nil"/>
              <w:bottom w:val="single" w:sz="4" w:space="0" w:color="auto"/>
              <w:right w:val="nil"/>
            </w:tcBorders>
            <w:shd w:val="clear" w:color="auto" w:fill="auto"/>
            <w:vAlign w:val="center"/>
          </w:tcPr>
          <w:p w14:paraId="37C647FE" w14:textId="3DF53219"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64,3</w:t>
            </w:r>
          </w:p>
        </w:tc>
        <w:tc>
          <w:tcPr>
            <w:tcW w:w="509" w:type="dxa"/>
            <w:tcBorders>
              <w:top w:val="nil"/>
              <w:left w:val="nil"/>
              <w:bottom w:val="single" w:sz="4" w:space="0" w:color="auto"/>
              <w:right w:val="nil"/>
            </w:tcBorders>
            <w:shd w:val="clear" w:color="auto" w:fill="auto"/>
            <w:vAlign w:val="center"/>
          </w:tcPr>
          <w:p w14:paraId="4CC4AF7E" w14:textId="4FA91719"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65,3</w:t>
            </w:r>
          </w:p>
        </w:tc>
        <w:tc>
          <w:tcPr>
            <w:tcW w:w="509" w:type="dxa"/>
            <w:tcBorders>
              <w:top w:val="nil"/>
              <w:left w:val="nil"/>
              <w:bottom w:val="single" w:sz="4" w:space="0" w:color="auto"/>
              <w:right w:val="nil"/>
            </w:tcBorders>
            <w:shd w:val="clear" w:color="auto" w:fill="auto"/>
            <w:vAlign w:val="center"/>
          </w:tcPr>
          <w:p w14:paraId="308D54E8" w14:textId="24E7EA2F"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65,9</w:t>
            </w:r>
          </w:p>
        </w:tc>
        <w:tc>
          <w:tcPr>
            <w:tcW w:w="509" w:type="dxa"/>
            <w:tcBorders>
              <w:top w:val="nil"/>
              <w:left w:val="nil"/>
              <w:bottom w:val="single" w:sz="4" w:space="0" w:color="auto"/>
              <w:right w:val="nil"/>
            </w:tcBorders>
            <w:shd w:val="clear" w:color="auto" w:fill="auto"/>
            <w:vAlign w:val="center"/>
          </w:tcPr>
          <w:p w14:paraId="38FF23D8" w14:textId="700FC737"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66,0</w:t>
            </w:r>
          </w:p>
        </w:tc>
        <w:tc>
          <w:tcPr>
            <w:tcW w:w="509" w:type="dxa"/>
            <w:tcBorders>
              <w:top w:val="nil"/>
              <w:left w:val="nil"/>
              <w:bottom w:val="single" w:sz="4" w:space="0" w:color="auto"/>
              <w:right w:val="nil"/>
            </w:tcBorders>
            <w:shd w:val="clear" w:color="auto" w:fill="auto"/>
            <w:vAlign w:val="center"/>
          </w:tcPr>
          <w:p w14:paraId="2F0EEDF6" w14:textId="285A8763"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66,3</w:t>
            </w:r>
          </w:p>
        </w:tc>
        <w:tc>
          <w:tcPr>
            <w:tcW w:w="509" w:type="dxa"/>
            <w:tcBorders>
              <w:top w:val="nil"/>
              <w:left w:val="nil"/>
              <w:bottom w:val="single" w:sz="4" w:space="0" w:color="auto"/>
              <w:right w:val="nil"/>
            </w:tcBorders>
            <w:shd w:val="clear" w:color="auto" w:fill="auto"/>
            <w:vAlign w:val="center"/>
          </w:tcPr>
          <w:p w14:paraId="6ACBBDB2" w14:textId="3408A4ED"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67,7</w:t>
            </w:r>
          </w:p>
        </w:tc>
        <w:tc>
          <w:tcPr>
            <w:tcW w:w="509" w:type="dxa"/>
            <w:tcBorders>
              <w:top w:val="nil"/>
              <w:left w:val="nil"/>
              <w:bottom w:val="single" w:sz="4" w:space="0" w:color="auto"/>
              <w:right w:val="nil"/>
            </w:tcBorders>
            <w:shd w:val="clear" w:color="auto" w:fill="auto"/>
            <w:vAlign w:val="center"/>
          </w:tcPr>
          <w:p w14:paraId="253952DF" w14:textId="4AABE845"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sz w:val="20"/>
                <w:szCs w:val="20"/>
              </w:rPr>
              <w:t>67,4</w:t>
            </w:r>
          </w:p>
        </w:tc>
        <w:tc>
          <w:tcPr>
            <w:tcW w:w="463" w:type="dxa"/>
            <w:tcBorders>
              <w:top w:val="nil"/>
              <w:left w:val="nil"/>
              <w:bottom w:val="single" w:sz="4" w:space="0" w:color="auto"/>
              <w:right w:val="nil"/>
            </w:tcBorders>
            <w:vAlign w:val="center"/>
          </w:tcPr>
          <w:p w14:paraId="1F103447" w14:textId="3E3CB18E" w:rsidR="00AB5806" w:rsidRPr="007A0B31"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33" w:type="dxa"/>
            <w:tcBorders>
              <w:top w:val="nil"/>
              <w:left w:val="nil"/>
              <w:bottom w:val="single" w:sz="4" w:space="0" w:color="auto"/>
              <w:right w:val="nil"/>
            </w:tcBorders>
            <w:shd w:val="clear" w:color="auto" w:fill="auto"/>
            <w:vAlign w:val="center"/>
          </w:tcPr>
          <w:p w14:paraId="0FE2326D" w14:textId="57E8F51D"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color w:val="000000"/>
                <w:sz w:val="20"/>
                <w:szCs w:val="20"/>
              </w:rPr>
              <w:t>-</w:t>
            </w:r>
          </w:p>
        </w:tc>
      </w:tr>
      <w:tr w:rsidR="00AB5806" w:rsidRPr="00256D89" w14:paraId="5F828F57" w14:textId="77777777" w:rsidTr="00AB5806">
        <w:trPr>
          <w:trHeight w:val="237"/>
          <w:jc w:val="center"/>
        </w:trPr>
        <w:tc>
          <w:tcPr>
            <w:tcW w:w="2977" w:type="dxa"/>
            <w:tcBorders>
              <w:top w:val="single" w:sz="4" w:space="0" w:color="auto"/>
              <w:left w:val="nil"/>
              <w:bottom w:val="nil"/>
              <w:right w:val="nil"/>
            </w:tcBorders>
            <w:shd w:val="clear" w:color="auto" w:fill="auto"/>
            <w:noWrap/>
            <w:vAlign w:val="center"/>
          </w:tcPr>
          <w:p w14:paraId="34337477" w14:textId="792B819C" w:rsidR="00AB5806" w:rsidRPr="00256D89" w:rsidRDefault="00AB5806" w:rsidP="0024415F">
            <w:pPr>
              <w:spacing w:after="0" w:line="240" w:lineRule="auto"/>
              <w:jc w:val="both"/>
              <w:rPr>
                <w:rFonts w:ascii="Arial Narrow" w:hAnsi="Arial Narrow"/>
                <w:color w:val="000000"/>
                <w:sz w:val="20"/>
                <w:szCs w:val="20"/>
              </w:rPr>
            </w:pPr>
            <w:r>
              <w:rPr>
                <w:rFonts w:ascii="Arial Narrow" w:hAnsi="Arial Narrow"/>
                <w:b/>
                <w:bCs/>
                <w:color w:val="000000"/>
                <w:sz w:val="20"/>
                <w:szCs w:val="20"/>
              </w:rPr>
              <w:t>Medzera DPH</w:t>
            </w:r>
          </w:p>
        </w:tc>
        <w:tc>
          <w:tcPr>
            <w:tcW w:w="575" w:type="dxa"/>
            <w:tcBorders>
              <w:top w:val="single" w:sz="4" w:space="0" w:color="auto"/>
              <w:left w:val="nil"/>
              <w:bottom w:val="nil"/>
              <w:right w:val="nil"/>
            </w:tcBorders>
            <w:shd w:val="clear" w:color="auto" w:fill="auto"/>
            <w:noWrap/>
            <w:vAlign w:val="center"/>
          </w:tcPr>
          <w:p w14:paraId="3507BC24" w14:textId="0B0DA9C8" w:rsidR="00AB5806" w:rsidRPr="00256D89" w:rsidRDefault="00AB5806" w:rsidP="0024415F">
            <w:pPr>
              <w:spacing w:after="0" w:line="240" w:lineRule="auto"/>
              <w:jc w:val="center"/>
              <w:rPr>
                <w:rFonts w:ascii="Arial Narrow" w:hAnsi="Arial Narrow"/>
                <w:b/>
                <w:bCs/>
                <w:color w:val="000000"/>
                <w:sz w:val="20"/>
                <w:szCs w:val="20"/>
              </w:rPr>
            </w:pPr>
            <w:r w:rsidRPr="00256D89">
              <w:rPr>
                <w:rFonts w:ascii="Arial Narrow" w:hAnsi="Arial Narrow"/>
                <w:b/>
                <w:bCs/>
                <w:color w:val="000000"/>
                <w:sz w:val="20"/>
                <w:szCs w:val="20"/>
              </w:rPr>
              <w:t>SK</w:t>
            </w:r>
          </w:p>
        </w:tc>
        <w:tc>
          <w:tcPr>
            <w:tcW w:w="508" w:type="dxa"/>
            <w:tcBorders>
              <w:top w:val="single" w:sz="4" w:space="0" w:color="auto"/>
              <w:left w:val="nil"/>
              <w:bottom w:val="nil"/>
              <w:right w:val="nil"/>
            </w:tcBorders>
            <w:vAlign w:val="center"/>
          </w:tcPr>
          <w:p w14:paraId="3EAB5EA1" w14:textId="5D97C9D0" w:rsidR="00AB5806" w:rsidRPr="004D3541" w:rsidRDefault="00AB5806" w:rsidP="0024415F">
            <w:pPr>
              <w:spacing w:after="0" w:line="240" w:lineRule="auto"/>
              <w:jc w:val="center"/>
              <w:rPr>
                <w:rFonts w:ascii="Arial Narrow" w:hAnsi="Arial Narrow"/>
                <w:sz w:val="20"/>
              </w:rPr>
            </w:pPr>
            <w:r>
              <w:rPr>
                <w:rFonts w:ascii="Arial Narrow" w:hAnsi="Arial Narrow"/>
                <w:sz w:val="20"/>
              </w:rPr>
              <w:t>31,3</w:t>
            </w:r>
          </w:p>
        </w:tc>
        <w:tc>
          <w:tcPr>
            <w:tcW w:w="508" w:type="dxa"/>
            <w:tcBorders>
              <w:top w:val="single" w:sz="4" w:space="0" w:color="auto"/>
              <w:left w:val="nil"/>
              <w:bottom w:val="nil"/>
              <w:right w:val="nil"/>
            </w:tcBorders>
            <w:shd w:val="clear" w:color="auto" w:fill="auto"/>
            <w:vAlign w:val="center"/>
          </w:tcPr>
          <w:p w14:paraId="04C992CA" w14:textId="60FC007B"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34,9</w:t>
            </w:r>
          </w:p>
        </w:tc>
        <w:tc>
          <w:tcPr>
            <w:tcW w:w="509" w:type="dxa"/>
            <w:tcBorders>
              <w:top w:val="single" w:sz="4" w:space="0" w:color="auto"/>
              <w:left w:val="nil"/>
              <w:bottom w:val="nil"/>
              <w:right w:val="nil"/>
            </w:tcBorders>
            <w:shd w:val="clear" w:color="auto" w:fill="auto"/>
            <w:vAlign w:val="center"/>
          </w:tcPr>
          <w:p w14:paraId="4410FD77" w14:textId="17774923"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35,6</w:t>
            </w:r>
          </w:p>
        </w:tc>
        <w:tc>
          <w:tcPr>
            <w:tcW w:w="509" w:type="dxa"/>
            <w:tcBorders>
              <w:top w:val="single" w:sz="4" w:space="0" w:color="auto"/>
              <w:left w:val="nil"/>
              <w:bottom w:val="nil"/>
              <w:right w:val="nil"/>
            </w:tcBorders>
            <w:shd w:val="clear" w:color="auto" w:fill="auto"/>
            <w:vAlign w:val="center"/>
          </w:tcPr>
          <w:p w14:paraId="5AD88CE7" w14:textId="12C419ED"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38,2</w:t>
            </w:r>
          </w:p>
        </w:tc>
        <w:tc>
          <w:tcPr>
            <w:tcW w:w="509" w:type="dxa"/>
            <w:tcBorders>
              <w:top w:val="single" w:sz="4" w:space="0" w:color="auto"/>
              <w:left w:val="nil"/>
              <w:bottom w:val="nil"/>
              <w:right w:val="nil"/>
            </w:tcBorders>
            <w:shd w:val="clear" w:color="auto" w:fill="auto"/>
            <w:vAlign w:val="center"/>
          </w:tcPr>
          <w:p w14:paraId="40A26F7B" w14:textId="50F4EA44"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41,0</w:t>
            </w:r>
          </w:p>
        </w:tc>
        <w:tc>
          <w:tcPr>
            <w:tcW w:w="509" w:type="dxa"/>
            <w:tcBorders>
              <w:top w:val="single" w:sz="4" w:space="0" w:color="auto"/>
              <w:left w:val="nil"/>
              <w:bottom w:val="nil"/>
              <w:right w:val="nil"/>
            </w:tcBorders>
            <w:shd w:val="clear" w:color="auto" w:fill="auto"/>
            <w:vAlign w:val="center"/>
          </w:tcPr>
          <w:p w14:paraId="329B9B4D" w14:textId="57854596"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37,0</w:t>
            </w:r>
          </w:p>
        </w:tc>
        <w:tc>
          <w:tcPr>
            <w:tcW w:w="509" w:type="dxa"/>
            <w:tcBorders>
              <w:top w:val="single" w:sz="4" w:space="0" w:color="auto"/>
              <w:left w:val="nil"/>
              <w:bottom w:val="nil"/>
              <w:right w:val="nil"/>
            </w:tcBorders>
            <w:shd w:val="clear" w:color="auto" w:fill="auto"/>
            <w:vAlign w:val="center"/>
          </w:tcPr>
          <w:p w14:paraId="16A195BE" w14:textId="4D684F20"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33,1</w:t>
            </w:r>
          </w:p>
        </w:tc>
        <w:tc>
          <w:tcPr>
            <w:tcW w:w="509" w:type="dxa"/>
            <w:tcBorders>
              <w:top w:val="single" w:sz="4" w:space="0" w:color="auto"/>
              <w:left w:val="nil"/>
              <w:bottom w:val="nil"/>
              <w:right w:val="nil"/>
            </w:tcBorders>
            <w:shd w:val="clear" w:color="auto" w:fill="auto"/>
            <w:vAlign w:val="center"/>
          </w:tcPr>
          <w:p w14:paraId="4FFA596A" w14:textId="4B3B6803"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31,4</w:t>
            </w:r>
          </w:p>
        </w:tc>
        <w:tc>
          <w:tcPr>
            <w:tcW w:w="463" w:type="dxa"/>
            <w:tcBorders>
              <w:top w:val="single" w:sz="4" w:space="0" w:color="auto"/>
              <w:left w:val="nil"/>
              <w:bottom w:val="nil"/>
              <w:right w:val="nil"/>
            </w:tcBorders>
            <w:vAlign w:val="center"/>
          </w:tcPr>
          <w:p w14:paraId="0F67B9F1" w14:textId="352127C2" w:rsidR="00AB5806"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28,6</w:t>
            </w:r>
          </w:p>
        </w:tc>
        <w:tc>
          <w:tcPr>
            <w:tcW w:w="533" w:type="dxa"/>
            <w:tcBorders>
              <w:top w:val="single" w:sz="4" w:space="0" w:color="auto"/>
              <w:left w:val="nil"/>
              <w:bottom w:val="nil"/>
              <w:right w:val="nil"/>
            </w:tcBorders>
            <w:shd w:val="clear" w:color="auto" w:fill="auto"/>
            <w:vAlign w:val="center"/>
          </w:tcPr>
          <w:p w14:paraId="3CCEAAFD" w14:textId="4BB239FF" w:rsidR="00AB5806" w:rsidRPr="007A0B31"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AB5806" w:rsidRPr="00256D89" w14:paraId="63708E07" w14:textId="77777777" w:rsidTr="00AB5806">
        <w:trPr>
          <w:trHeight w:val="237"/>
          <w:jc w:val="center"/>
        </w:trPr>
        <w:tc>
          <w:tcPr>
            <w:tcW w:w="2977" w:type="dxa"/>
            <w:tcBorders>
              <w:top w:val="nil"/>
              <w:left w:val="nil"/>
              <w:bottom w:val="single" w:sz="4" w:space="0" w:color="auto"/>
              <w:right w:val="nil"/>
            </w:tcBorders>
            <w:shd w:val="clear" w:color="auto" w:fill="auto"/>
            <w:noWrap/>
            <w:vAlign w:val="center"/>
          </w:tcPr>
          <w:p w14:paraId="3B23F381" w14:textId="3A3C1C2E" w:rsidR="00AB5806" w:rsidRPr="00256D89" w:rsidRDefault="00AB5806" w:rsidP="0024415F">
            <w:pPr>
              <w:spacing w:after="0" w:line="240" w:lineRule="auto"/>
              <w:jc w:val="both"/>
              <w:rPr>
                <w:rFonts w:ascii="Arial Narrow" w:hAnsi="Arial Narrow"/>
                <w:color w:val="000000"/>
                <w:sz w:val="20"/>
                <w:szCs w:val="20"/>
              </w:rPr>
            </w:pPr>
            <w:r w:rsidRPr="00256D89">
              <w:rPr>
                <w:rFonts w:ascii="Arial Narrow" w:hAnsi="Arial Narrow"/>
                <w:color w:val="000000"/>
                <w:sz w:val="20"/>
                <w:szCs w:val="20"/>
              </w:rPr>
              <w:t>(%</w:t>
            </w:r>
            <w:r>
              <w:rPr>
                <w:rFonts w:ascii="Arial Narrow" w:hAnsi="Arial Narrow"/>
                <w:color w:val="000000"/>
                <w:sz w:val="20"/>
                <w:szCs w:val="20"/>
              </w:rPr>
              <w:t xml:space="preserve"> </w:t>
            </w:r>
            <w:r w:rsidRPr="00AB3326">
              <w:rPr>
                <w:rFonts w:ascii="Arial Narrow" w:hAnsi="Arial Narrow"/>
                <w:color w:val="000000"/>
                <w:sz w:val="20"/>
                <w:szCs w:val="20"/>
              </w:rPr>
              <w:t>potenciálneho výnosu</w:t>
            </w:r>
            <w:r w:rsidRPr="00256D89">
              <w:rPr>
                <w:rFonts w:ascii="Arial Narrow" w:hAnsi="Arial Narrow"/>
                <w:color w:val="000000"/>
                <w:sz w:val="20"/>
                <w:szCs w:val="20"/>
              </w:rPr>
              <w:t>)</w:t>
            </w:r>
          </w:p>
        </w:tc>
        <w:tc>
          <w:tcPr>
            <w:tcW w:w="575" w:type="dxa"/>
            <w:tcBorders>
              <w:top w:val="nil"/>
              <w:left w:val="nil"/>
              <w:bottom w:val="single" w:sz="4" w:space="0" w:color="auto"/>
              <w:right w:val="nil"/>
            </w:tcBorders>
            <w:shd w:val="clear" w:color="auto" w:fill="auto"/>
            <w:noWrap/>
            <w:vAlign w:val="center"/>
          </w:tcPr>
          <w:p w14:paraId="6D416E0F" w14:textId="789DD350" w:rsidR="00AB5806" w:rsidRPr="00256D89" w:rsidRDefault="00AB5806" w:rsidP="0024415F">
            <w:pPr>
              <w:spacing w:after="0" w:line="240" w:lineRule="auto"/>
              <w:jc w:val="center"/>
              <w:rPr>
                <w:rFonts w:ascii="Arial Narrow" w:hAnsi="Arial Narrow"/>
                <w:b/>
                <w:bCs/>
                <w:color w:val="000000"/>
                <w:sz w:val="20"/>
                <w:szCs w:val="20"/>
              </w:rPr>
            </w:pPr>
            <w:r w:rsidRPr="00256D89">
              <w:rPr>
                <w:rFonts w:ascii="Arial Narrow" w:hAnsi="Arial Narrow"/>
                <w:b/>
                <w:bCs/>
                <w:color w:val="000000"/>
                <w:sz w:val="20"/>
                <w:szCs w:val="20"/>
              </w:rPr>
              <w:t>EÚ</w:t>
            </w:r>
          </w:p>
        </w:tc>
        <w:tc>
          <w:tcPr>
            <w:tcW w:w="508" w:type="dxa"/>
            <w:tcBorders>
              <w:top w:val="nil"/>
              <w:left w:val="nil"/>
              <w:bottom w:val="single" w:sz="4" w:space="0" w:color="auto"/>
              <w:right w:val="nil"/>
            </w:tcBorders>
            <w:vAlign w:val="center"/>
          </w:tcPr>
          <w:p w14:paraId="4F6BEA20" w14:textId="14544129" w:rsidR="00AB5806" w:rsidRDefault="00AB5806" w:rsidP="0024415F">
            <w:pPr>
              <w:spacing w:after="0" w:line="240" w:lineRule="auto"/>
              <w:jc w:val="center"/>
              <w:rPr>
                <w:rFonts w:ascii="Arial Narrow" w:hAnsi="Arial Narrow"/>
                <w:sz w:val="20"/>
                <w:szCs w:val="20"/>
              </w:rPr>
            </w:pPr>
            <w:r>
              <w:rPr>
                <w:rFonts w:ascii="Arial Narrow" w:hAnsi="Arial Narrow"/>
                <w:sz w:val="20"/>
                <w:szCs w:val="20"/>
              </w:rPr>
              <w:t>-</w:t>
            </w:r>
          </w:p>
        </w:tc>
        <w:tc>
          <w:tcPr>
            <w:tcW w:w="508" w:type="dxa"/>
            <w:tcBorders>
              <w:top w:val="nil"/>
              <w:left w:val="nil"/>
              <w:bottom w:val="single" w:sz="4" w:space="0" w:color="auto"/>
              <w:right w:val="nil"/>
            </w:tcBorders>
            <w:shd w:val="clear" w:color="auto" w:fill="auto"/>
            <w:vAlign w:val="center"/>
          </w:tcPr>
          <w:p w14:paraId="02281942" w14:textId="4F5A1F34" w:rsidR="00AB5806" w:rsidRPr="004D3541" w:rsidRDefault="00AB5806" w:rsidP="0024415F">
            <w:pPr>
              <w:spacing w:after="0" w:line="240" w:lineRule="auto"/>
              <w:jc w:val="center"/>
              <w:rPr>
                <w:rFonts w:ascii="Arial Narrow" w:hAnsi="Arial Narrow"/>
                <w:sz w:val="20"/>
                <w:szCs w:val="20"/>
              </w:rPr>
            </w:pPr>
            <w:r>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575DAA5A" w14:textId="60B42A5B"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13,5</w:t>
            </w:r>
          </w:p>
        </w:tc>
        <w:tc>
          <w:tcPr>
            <w:tcW w:w="509" w:type="dxa"/>
            <w:tcBorders>
              <w:top w:val="nil"/>
              <w:left w:val="nil"/>
              <w:bottom w:val="single" w:sz="4" w:space="0" w:color="auto"/>
              <w:right w:val="nil"/>
            </w:tcBorders>
            <w:shd w:val="clear" w:color="auto" w:fill="auto"/>
            <w:vAlign w:val="center"/>
          </w:tcPr>
          <w:p w14:paraId="3F5D3370" w14:textId="29D841C7"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14,4</w:t>
            </w:r>
          </w:p>
        </w:tc>
        <w:tc>
          <w:tcPr>
            <w:tcW w:w="509" w:type="dxa"/>
            <w:tcBorders>
              <w:top w:val="nil"/>
              <w:left w:val="nil"/>
              <w:bottom w:val="single" w:sz="4" w:space="0" w:color="auto"/>
              <w:right w:val="nil"/>
            </w:tcBorders>
            <w:shd w:val="clear" w:color="auto" w:fill="auto"/>
            <w:vAlign w:val="center"/>
          </w:tcPr>
          <w:p w14:paraId="758B1A03" w14:textId="4FD9FAEC"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15,0</w:t>
            </w:r>
          </w:p>
        </w:tc>
        <w:tc>
          <w:tcPr>
            <w:tcW w:w="509" w:type="dxa"/>
            <w:tcBorders>
              <w:top w:val="nil"/>
              <w:left w:val="nil"/>
              <w:bottom w:val="single" w:sz="4" w:space="0" w:color="auto"/>
              <w:right w:val="nil"/>
            </w:tcBorders>
            <w:shd w:val="clear" w:color="auto" w:fill="auto"/>
            <w:vAlign w:val="center"/>
          </w:tcPr>
          <w:p w14:paraId="7471EC7B" w14:textId="48CA669C"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14,8</w:t>
            </w:r>
          </w:p>
        </w:tc>
        <w:tc>
          <w:tcPr>
            <w:tcW w:w="509" w:type="dxa"/>
            <w:tcBorders>
              <w:top w:val="nil"/>
              <w:left w:val="nil"/>
              <w:bottom w:val="single" w:sz="4" w:space="0" w:color="auto"/>
              <w:right w:val="nil"/>
            </w:tcBorders>
            <w:shd w:val="clear" w:color="auto" w:fill="auto"/>
            <w:vAlign w:val="center"/>
          </w:tcPr>
          <w:p w14:paraId="518A3394" w14:textId="06909618" w:rsidR="00AB5806" w:rsidRPr="004D3541" w:rsidRDefault="00AB5806" w:rsidP="0024415F">
            <w:pPr>
              <w:spacing w:after="0" w:line="240" w:lineRule="auto"/>
              <w:jc w:val="center"/>
              <w:rPr>
                <w:rFonts w:ascii="Arial Narrow" w:hAnsi="Arial Narrow"/>
                <w:sz w:val="20"/>
                <w:szCs w:val="20"/>
              </w:rPr>
            </w:pPr>
            <w:r w:rsidRPr="004D3541">
              <w:rPr>
                <w:rFonts w:ascii="Arial Narrow" w:hAnsi="Arial Narrow"/>
                <w:sz w:val="20"/>
              </w:rPr>
              <w:t>14,0</w:t>
            </w:r>
          </w:p>
        </w:tc>
        <w:tc>
          <w:tcPr>
            <w:tcW w:w="509" w:type="dxa"/>
            <w:tcBorders>
              <w:top w:val="nil"/>
              <w:left w:val="nil"/>
              <w:bottom w:val="single" w:sz="4" w:space="0" w:color="auto"/>
              <w:right w:val="nil"/>
            </w:tcBorders>
            <w:shd w:val="clear" w:color="auto" w:fill="auto"/>
            <w:vAlign w:val="center"/>
          </w:tcPr>
          <w:p w14:paraId="3DE98936" w14:textId="2C0D3E40" w:rsidR="00AB5806" w:rsidRPr="004D3541" w:rsidRDefault="00AB5806" w:rsidP="0024415F">
            <w:pPr>
              <w:spacing w:after="0" w:line="240" w:lineRule="auto"/>
              <w:jc w:val="center"/>
              <w:rPr>
                <w:rFonts w:ascii="Arial Narrow" w:hAnsi="Arial Narrow"/>
                <w:sz w:val="20"/>
                <w:szCs w:val="20"/>
              </w:rPr>
            </w:pPr>
            <w:r>
              <w:rPr>
                <w:rFonts w:ascii="Arial Narrow" w:hAnsi="Arial Narrow"/>
                <w:sz w:val="20"/>
                <w:szCs w:val="20"/>
              </w:rPr>
              <w:t>-</w:t>
            </w:r>
          </w:p>
        </w:tc>
        <w:tc>
          <w:tcPr>
            <w:tcW w:w="463" w:type="dxa"/>
            <w:tcBorders>
              <w:top w:val="nil"/>
              <w:left w:val="nil"/>
              <w:bottom w:val="single" w:sz="4" w:space="0" w:color="auto"/>
              <w:right w:val="nil"/>
            </w:tcBorders>
            <w:vAlign w:val="center"/>
          </w:tcPr>
          <w:p w14:paraId="6CC3F880" w14:textId="39745925" w:rsidR="00AB5806" w:rsidRPr="007A0B31" w:rsidRDefault="00AB5806" w:rsidP="0024415F">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33" w:type="dxa"/>
            <w:tcBorders>
              <w:top w:val="nil"/>
              <w:left w:val="nil"/>
              <w:bottom w:val="single" w:sz="4" w:space="0" w:color="auto"/>
              <w:right w:val="nil"/>
            </w:tcBorders>
            <w:shd w:val="clear" w:color="auto" w:fill="auto"/>
            <w:vAlign w:val="center"/>
          </w:tcPr>
          <w:p w14:paraId="49552B72" w14:textId="1954FEE9" w:rsidR="00AB5806" w:rsidRPr="007A0B31" w:rsidRDefault="00AB5806" w:rsidP="0024415F">
            <w:pPr>
              <w:spacing w:after="0" w:line="240" w:lineRule="auto"/>
              <w:jc w:val="center"/>
              <w:rPr>
                <w:rFonts w:ascii="Arial Narrow" w:hAnsi="Arial Narrow"/>
                <w:color w:val="000000"/>
                <w:sz w:val="20"/>
                <w:szCs w:val="20"/>
              </w:rPr>
            </w:pPr>
            <w:r w:rsidRPr="007A0B31">
              <w:rPr>
                <w:rFonts w:ascii="Arial Narrow" w:hAnsi="Arial Narrow"/>
                <w:color w:val="000000"/>
                <w:sz w:val="20"/>
                <w:szCs w:val="20"/>
              </w:rPr>
              <w:t>-</w:t>
            </w:r>
          </w:p>
        </w:tc>
      </w:tr>
    </w:tbl>
    <w:p w14:paraId="5D02CAF4" w14:textId="77777777" w:rsidR="00796EAB" w:rsidRPr="00256D89" w:rsidRDefault="00796EAB" w:rsidP="00FB625E">
      <w:pPr>
        <w:spacing w:after="0" w:line="240" w:lineRule="auto"/>
        <w:rPr>
          <w:rFonts w:ascii="Arial Narrow" w:hAnsi="Arial Narrow"/>
        </w:rPr>
      </w:pPr>
    </w:p>
    <w:p w14:paraId="7813F684" w14:textId="77777777" w:rsidR="00BC15D1" w:rsidRPr="005C151A" w:rsidRDefault="00BC15D1" w:rsidP="00BC15D1">
      <w:pPr>
        <w:pStyle w:val="Odsekzoznamu"/>
        <w:spacing w:after="0" w:line="240" w:lineRule="auto"/>
        <w:ind w:left="0"/>
        <w:jc w:val="both"/>
        <w:rPr>
          <w:rFonts w:ascii="Arial Narrow" w:hAnsi="Arial Narrow" w:cs="Arial Narrow"/>
        </w:rPr>
      </w:pPr>
      <w:bookmarkStart w:id="16" w:name="OLE_LINK5"/>
      <w:bookmarkStart w:id="17" w:name="_Toc386005365"/>
      <w:r w:rsidRPr="00894E19">
        <w:rPr>
          <w:rFonts w:ascii="Arial Narrow" w:hAnsi="Arial Narrow" w:cs="Arial Narrow"/>
        </w:rPr>
        <w:t xml:space="preserve">Základným cieľom rozpočtovej politiky je zabezpečenie efektívnych a dlhodobo udržateľných verejných financií podporujúcich udržateľný hospodársky rozvoj a zvyšovanie kvality života v kontexte starnutia obyvateľstva a pri zohľadnení podmienených záväzkov. </w:t>
      </w:r>
      <w:bookmarkEnd w:id="16"/>
      <w:r w:rsidRPr="00894E19">
        <w:rPr>
          <w:rFonts w:ascii="Arial Narrow" w:hAnsi="Arial Narrow" w:cs="Arial Narrow"/>
        </w:rPr>
        <w:t>Tento cieľ je zakotvený aj v ústavnom zákone o </w:t>
      </w:r>
      <w:r w:rsidRPr="005C151A">
        <w:rPr>
          <w:rFonts w:ascii="Arial Narrow" w:hAnsi="Arial Narrow" w:cs="Arial Narrow"/>
        </w:rPr>
        <w:t>rozpočtovej zodpovednosti a ovplyvňuje tým pravidelnú aktualizáciu stratégie riadenia verejných financií.</w:t>
      </w:r>
    </w:p>
    <w:p w14:paraId="30E5299A" w14:textId="77777777" w:rsidR="00BC15D1" w:rsidRPr="005C151A" w:rsidRDefault="00BC15D1" w:rsidP="00BC15D1">
      <w:pPr>
        <w:pStyle w:val="Odsekzoznamu"/>
        <w:spacing w:after="0" w:line="240" w:lineRule="auto"/>
        <w:ind w:left="0"/>
        <w:jc w:val="both"/>
        <w:rPr>
          <w:rFonts w:ascii="Arial Narrow" w:hAnsi="Arial Narrow" w:cs="Arial Narrow"/>
        </w:rPr>
      </w:pPr>
    </w:p>
    <w:p w14:paraId="4A269841" w14:textId="060732BE" w:rsidR="005C151A" w:rsidRPr="005C151A" w:rsidRDefault="005C151A" w:rsidP="005C151A">
      <w:pPr>
        <w:spacing w:after="0" w:line="240" w:lineRule="auto"/>
        <w:jc w:val="both"/>
        <w:rPr>
          <w:rFonts w:ascii="Arial Narrow" w:hAnsi="Arial Narrow"/>
          <w:iCs/>
        </w:rPr>
      </w:pPr>
      <w:r w:rsidRPr="005C151A">
        <w:rPr>
          <w:rFonts w:ascii="Arial Narrow" w:hAnsi="Arial Narrow"/>
          <w:b/>
        </w:rPr>
        <w:t xml:space="preserve">Rozpočtový rámec SR bol za rok 2015 pozitívne hodnotený </w:t>
      </w:r>
      <w:r w:rsidRPr="005C151A">
        <w:rPr>
          <w:rFonts w:ascii="Arial Narrow" w:hAnsi="Arial Narrow"/>
        </w:rPr>
        <w:t xml:space="preserve">v oblasti </w:t>
      </w:r>
      <w:r w:rsidRPr="005C151A">
        <w:rPr>
          <w:rFonts w:ascii="Arial Narrow" w:hAnsi="Arial Narrow"/>
          <w:b/>
        </w:rPr>
        <w:t>fiškálnych pravidiel</w:t>
      </w:r>
      <w:r w:rsidRPr="005C151A">
        <w:rPr>
          <w:rFonts w:ascii="Arial Narrow" w:hAnsi="Arial Narrow"/>
        </w:rPr>
        <w:t xml:space="preserve"> a priestor na ďalšie zlepšenie identifikuje EK v kvalite strednodobého rozpočtového rámca</w:t>
      </w:r>
      <w:r w:rsidRPr="005C151A">
        <w:rPr>
          <w:rFonts w:ascii="Arial Narrow" w:hAnsi="Arial Narrow"/>
          <w:b/>
        </w:rPr>
        <w:t xml:space="preserve">. </w:t>
      </w:r>
      <w:hyperlink r:id="rId15" w:history="1">
        <w:r w:rsidRPr="005C151A">
          <w:rPr>
            <w:rStyle w:val="Hypertextovprepojenie"/>
            <w:rFonts w:ascii="Arial Narrow" w:eastAsiaTheme="majorEastAsia" w:hAnsi="Arial Narrow"/>
            <w:color w:val="2C9ADC"/>
          </w:rPr>
          <w:t>Index národných fiškálnych pravidiel</w:t>
        </w:r>
      </w:hyperlink>
      <w:r w:rsidRPr="005C151A">
        <w:rPr>
          <w:rStyle w:val="Odkaznapoznmkupodiarou"/>
          <w:rFonts w:ascii="Arial Narrow" w:hAnsi="Arial Narrow"/>
        </w:rPr>
        <w:footnoteReference w:id="18"/>
      </w:r>
      <w:r w:rsidRPr="005C151A">
        <w:rPr>
          <w:rFonts w:ascii="Arial Narrow" w:hAnsi="Arial Narrow"/>
        </w:rPr>
        <w:t xml:space="preserve"> dosiahol rovnakú hodnotu ako v roku 2014 (2,5 bodu), </w:t>
      </w:r>
      <w:r w:rsidR="000A03CA">
        <w:rPr>
          <w:rFonts w:ascii="Arial Narrow" w:hAnsi="Arial Narrow"/>
          <w:iCs/>
          <w:color w:val="000000"/>
        </w:rPr>
        <w:t xml:space="preserve">čím </w:t>
      </w:r>
      <w:r w:rsidRPr="005C151A">
        <w:rPr>
          <w:rFonts w:ascii="Arial Narrow" w:hAnsi="Arial Narrow"/>
          <w:iCs/>
          <w:color w:val="000000"/>
        </w:rPr>
        <w:t xml:space="preserve">sa Slovensko zaradilo medzi 10 najlepších krajín v EÚ. </w:t>
      </w:r>
      <w:r w:rsidRPr="0075142E">
        <w:rPr>
          <w:rFonts w:ascii="Arial Narrow" w:hAnsi="Arial Narrow"/>
        </w:rPr>
        <w:t>Od roku 2015 je samospráva povinná zaplatiť pokutu</w:t>
      </w:r>
      <w:r w:rsidRPr="0075142E">
        <w:rPr>
          <w:rStyle w:val="Odkaznapoznmkupodiarou"/>
          <w:rFonts w:ascii="Arial Narrow" w:hAnsi="Arial Narrow"/>
          <w:iCs/>
        </w:rPr>
        <w:footnoteReference w:id="19"/>
      </w:r>
      <w:r w:rsidRPr="0075142E">
        <w:rPr>
          <w:rFonts w:ascii="Arial Narrow" w:hAnsi="Arial Narrow"/>
          <w:iCs/>
        </w:rPr>
        <w:t xml:space="preserve"> </w:t>
      </w:r>
      <w:r w:rsidRPr="0075142E">
        <w:rPr>
          <w:rFonts w:ascii="Arial Narrow" w:hAnsi="Arial Narrow"/>
        </w:rPr>
        <w:t>za prekročenie dlhového pravidla</w:t>
      </w:r>
      <w:r w:rsidRPr="0075142E">
        <w:rPr>
          <w:rFonts w:ascii="Arial Narrow" w:hAnsi="Arial Narrow"/>
          <w:iCs/>
        </w:rPr>
        <w:t>.</w:t>
      </w:r>
      <w:r w:rsidRPr="005C151A">
        <w:rPr>
          <w:rFonts w:ascii="Arial Narrow" w:hAnsi="Arial Narrow"/>
          <w:iCs/>
        </w:rPr>
        <w:t xml:space="preserve"> </w:t>
      </w:r>
    </w:p>
    <w:p w14:paraId="68D582BF" w14:textId="77777777" w:rsidR="005C151A" w:rsidRPr="005C151A" w:rsidRDefault="005C151A" w:rsidP="005C151A">
      <w:pPr>
        <w:spacing w:after="0" w:line="240" w:lineRule="auto"/>
        <w:jc w:val="both"/>
        <w:rPr>
          <w:rFonts w:ascii="Arial Narrow" w:hAnsi="Arial Narrow"/>
          <w:iCs/>
        </w:rPr>
      </w:pPr>
    </w:p>
    <w:p w14:paraId="5F4B7248" w14:textId="75A7E818" w:rsidR="00CA4332" w:rsidRDefault="005C151A" w:rsidP="00AB3326">
      <w:pPr>
        <w:spacing w:after="0" w:line="240" w:lineRule="auto"/>
        <w:jc w:val="both"/>
      </w:pPr>
      <w:r w:rsidRPr="005C151A">
        <w:rPr>
          <w:rFonts w:ascii="Arial Narrow" w:hAnsi="Arial Narrow"/>
          <w:iCs/>
          <w:color w:val="000000"/>
        </w:rPr>
        <w:t xml:space="preserve">Kvalita </w:t>
      </w:r>
      <w:r w:rsidRPr="005C151A">
        <w:rPr>
          <w:rFonts w:ascii="Arial Narrow" w:hAnsi="Arial Narrow"/>
          <w:b/>
          <w:iCs/>
          <w:color w:val="000000"/>
        </w:rPr>
        <w:t>strednodobého rozpočtového rámca</w:t>
      </w:r>
      <w:r w:rsidRPr="005C151A">
        <w:rPr>
          <w:rFonts w:ascii="Arial Narrow" w:hAnsi="Arial Narrow"/>
          <w:iCs/>
          <w:color w:val="000000"/>
        </w:rPr>
        <w:t xml:space="preserve"> je v súlade s priemerom EÚ a patrí medzi </w:t>
      </w:r>
      <w:r w:rsidRPr="005C151A">
        <w:rPr>
          <w:rFonts w:ascii="Arial Narrow" w:hAnsi="Arial Narrow"/>
          <w:iCs/>
        </w:rPr>
        <w:t xml:space="preserve">najlepšie z krajín V4. </w:t>
      </w:r>
      <w:r w:rsidRPr="005C151A">
        <w:rPr>
          <w:rFonts w:ascii="Arial Narrow" w:hAnsi="Arial Narrow"/>
          <w:iCs/>
          <w:color w:val="000000"/>
        </w:rPr>
        <w:t>Index pre strednodobé rozpočtové rámce</w:t>
      </w:r>
      <w:r w:rsidRPr="005C151A">
        <w:rPr>
          <w:rStyle w:val="Odkaznapoznmkupodiarou"/>
          <w:rFonts w:ascii="Arial Narrow" w:hAnsi="Arial Narrow"/>
          <w:iCs/>
          <w:color w:val="000000"/>
        </w:rPr>
        <w:footnoteReference w:id="20"/>
      </w:r>
      <w:r w:rsidRPr="005C151A">
        <w:rPr>
          <w:rFonts w:ascii="Arial Narrow" w:hAnsi="Arial Narrow"/>
          <w:iCs/>
          <w:color w:val="000000"/>
        </w:rPr>
        <w:t xml:space="preserve"> dosahuje priemer EÚ (0,6 z maximálneho 1 bodu) vďaka dob</w:t>
      </w:r>
      <w:r w:rsidR="000A03CA">
        <w:rPr>
          <w:rFonts w:ascii="Arial Narrow" w:hAnsi="Arial Narrow"/>
          <w:iCs/>
          <w:color w:val="000000"/>
        </w:rPr>
        <w:t xml:space="preserve">rej detailnosti a </w:t>
      </w:r>
      <w:r w:rsidRPr="005C151A">
        <w:rPr>
          <w:rFonts w:ascii="Arial Narrow" w:hAnsi="Arial Narrow"/>
          <w:iCs/>
          <w:color w:val="000000"/>
        </w:rPr>
        <w:t>rozsahu obsiahnutých informácií</w:t>
      </w:r>
      <w:r w:rsidR="003F05A0" w:rsidRPr="005C151A">
        <w:rPr>
          <w:rStyle w:val="Odkaznapoznmkupodiarou"/>
          <w:rFonts w:ascii="Arial Narrow" w:hAnsi="Arial Narrow"/>
          <w:b/>
          <w:iCs/>
          <w:color w:val="000000"/>
        </w:rPr>
        <w:footnoteReference w:id="21"/>
      </w:r>
      <w:r w:rsidRPr="005C151A">
        <w:rPr>
          <w:rFonts w:ascii="Arial Narrow" w:hAnsi="Arial Narrow"/>
          <w:iCs/>
          <w:color w:val="000000"/>
        </w:rPr>
        <w:t xml:space="preserve">, prepojeniu s rozpočtom a jasne definovaným korekčným mechanizmom v prípade neplnenia cieľov. </w:t>
      </w:r>
      <w:r w:rsidRPr="005C151A">
        <w:rPr>
          <w:rFonts w:ascii="Arial Narrow" w:hAnsi="Arial Narrow"/>
          <w:iCs/>
        </w:rPr>
        <w:t xml:space="preserve">Priestor na zlepšenie vidí EK najmä v posilnení záväznosti </w:t>
      </w:r>
      <w:r w:rsidR="000C5FA5">
        <w:rPr>
          <w:rFonts w:ascii="Arial Narrow" w:hAnsi="Arial Narrow"/>
          <w:iCs/>
        </w:rPr>
        <w:t xml:space="preserve">strednodobého </w:t>
      </w:r>
      <w:r w:rsidRPr="005C151A">
        <w:rPr>
          <w:rFonts w:ascii="Arial Narrow" w:hAnsi="Arial Narrow"/>
          <w:iCs/>
        </w:rPr>
        <w:t>rámc</w:t>
      </w:r>
      <w:r>
        <w:rPr>
          <w:rFonts w:ascii="Arial Narrow" w:hAnsi="Arial Narrow"/>
          <w:iCs/>
        </w:rPr>
        <w:t>a</w:t>
      </w:r>
      <w:r w:rsidRPr="001F7036">
        <w:rPr>
          <w:rFonts w:ascii="Arial Narrow" w:hAnsi="Arial Narrow"/>
          <w:iCs/>
        </w:rPr>
        <w:t>, nakoľko ciele</w:t>
      </w:r>
      <w:r w:rsidR="000C5FA5">
        <w:rPr>
          <w:rFonts w:ascii="Arial Narrow" w:hAnsi="Arial Narrow"/>
          <w:iCs/>
        </w:rPr>
        <w:t xml:space="preserve"> sú s výnimkou</w:t>
      </w:r>
      <w:r w:rsidR="006630A1">
        <w:rPr>
          <w:rFonts w:ascii="Arial Narrow" w:hAnsi="Arial Narrow"/>
          <w:iCs/>
        </w:rPr>
        <w:t xml:space="preserve"> prvého roku indikatívne, a </w:t>
      </w:r>
      <w:r w:rsidR="003F05A0" w:rsidRPr="001F7036">
        <w:rPr>
          <w:rFonts w:ascii="Arial Narrow" w:hAnsi="Arial Narrow"/>
          <w:iCs/>
        </w:rPr>
        <w:t>zaveden</w:t>
      </w:r>
      <w:r w:rsidR="003F05A0">
        <w:rPr>
          <w:rFonts w:ascii="Arial Narrow" w:hAnsi="Arial Narrow"/>
          <w:iCs/>
        </w:rPr>
        <w:t>í</w:t>
      </w:r>
      <w:r w:rsidR="003F05A0" w:rsidRPr="001F7036">
        <w:rPr>
          <w:rFonts w:ascii="Arial Narrow" w:hAnsi="Arial Narrow"/>
          <w:iCs/>
        </w:rPr>
        <w:t xml:space="preserve"> </w:t>
      </w:r>
      <w:r w:rsidRPr="001F7036">
        <w:rPr>
          <w:rFonts w:ascii="Arial Narrow" w:hAnsi="Arial Narrow"/>
          <w:iCs/>
        </w:rPr>
        <w:t xml:space="preserve">záväzných výdavkových stropov. </w:t>
      </w:r>
      <w:bookmarkStart w:id="18" w:name="_Toc448745629"/>
      <w:bookmarkStart w:id="19" w:name="_Toc448745628"/>
      <w:r w:rsidR="00CA4332">
        <w:br w:type="page"/>
      </w:r>
    </w:p>
    <w:p w14:paraId="75E6AFEF" w14:textId="77777777" w:rsidR="005C151A" w:rsidRDefault="005C151A" w:rsidP="005C151A">
      <w:pPr>
        <w:spacing w:after="0" w:line="240" w:lineRule="auto"/>
        <w:jc w:val="both"/>
      </w:pPr>
    </w:p>
    <w:tbl>
      <w:tblPr>
        <w:tblpPr w:leftFromText="180" w:rightFromText="180" w:vertAnchor="text" w:tblpXSpec="center" w:tblpY="1"/>
        <w:tblOverlap w:val="neve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58"/>
        <w:gridCol w:w="170"/>
        <w:gridCol w:w="4136"/>
      </w:tblGrid>
      <w:tr w:rsidR="005C151A" w:rsidRPr="003935D7" w14:paraId="5336EE42" w14:textId="77777777" w:rsidTr="000D3630">
        <w:trPr>
          <w:trHeight w:val="287"/>
          <w:jc w:val="center"/>
        </w:trPr>
        <w:tc>
          <w:tcPr>
            <w:tcW w:w="2486" w:type="pct"/>
            <w:tcBorders>
              <w:top w:val="nil"/>
              <w:left w:val="nil"/>
              <w:bottom w:val="single" w:sz="4" w:space="0" w:color="auto"/>
              <w:right w:val="nil"/>
            </w:tcBorders>
          </w:tcPr>
          <w:p w14:paraId="79A651D7" w14:textId="73FFCD23" w:rsidR="005C151A" w:rsidRPr="0075142E" w:rsidRDefault="00F4601C" w:rsidP="000D3630">
            <w:pPr>
              <w:pStyle w:val="Popis"/>
            </w:pPr>
            <w:bookmarkStart w:id="20" w:name="_Toc478656308"/>
            <w:r w:rsidRPr="00256D89">
              <w:t xml:space="preserve">Graf </w:t>
            </w:r>
            <w:fldSimple w:instr=" SEQ Graf \* ARABIC ">
              <w:r w:rsidR="002E71B2">
                <w:rPr>
                  <w:noProof/>
                </w:rPr>
                <w:t>5</w:t>
              </w:r>
            </w:fldSimple>
            <w:r>
              <w:t xml:space="preserve">: </w:t>
            </w:r>
            <w:r w:rsidR="005C151A" w:rsidRPr="0075142E">
              <w:t>Národné fiškálne pravidlá (index</w:t>
            </w:r>
            <w:bookmarkEnd w:id="18"/>
            <w:r w:rsidR="005C151A" w:rsidRPr="0075142E">
              <w:t>)</w:t>
            </w:r>
            <w:bookmarkEnd w:id="19"/>
            <w:bookmarkEnd w:id="20"/>
          </w:p>
        </w:tc>
        <w:tc>
          <w:tcPr>
            <w:tcW w:w="99" w:type="pct"/>
            <w:tcBorders>
              <w:top w:val="nil"/>
              <w:left w:val="nil"/>
              <w:bottom w:val="nil"/>
              <w:right w:val="nil"/>
            </w:tcBorders>
          </w:tcPr>
          <w:p w14:paraId="7C9E968B" w14:textId="77777777" w:rsidR="005C151A" w:rsidRPr="0075142E" w:rsidRDefault="005C151A" w:rsidP="000D3630">
            <w:pPr>
              <w:spacing w:after="0" w:line="240" w:lineRule="auto"/>
              <w:rPr>
                <w:rFonts w:ascii="Arial Narrow" w:hAnsi="Arial Narrow" w:cs="Arial"/>
                <w:b/>
                <w:color w:val="2C9ADC"/>
                <w:sz w:val="20"/>
                <w:szCs w:val="18"/>
              </w:rPr>
            </w:pPr>
          </w:p>
        </w:tc>
        <w:tc>
          <w:tcPr>
            <w:tcW w:w="2415" w:type="pct"/>
            <w:tcBorders>
              <w:top w:val="nil"/>
              <w:left w:val="nil"/>
              <w:bottom w:val="single" w:sz="4" w:space="0" w:color="auto"/>
              <w:right w:val="nil"/>
            </w:tcBorders>
          </w:tcPr>
          <w:p w14:paraId="6B0252FF" w14:textId="6559D74F" w:rsidR="005C151A" w:rsidRPr="0075142E" w:rsidRDefault="00F4601C" w:rsidP="000D3630">
            <w:pPr>
              <w:pStyle w:val="Popis"/>
            </w:pPr>
            <w:bookmarkStart w:id="21" w:name="_Toc478656309"/>
            <w:r w:rsidRPr="00256D89">
              <w:t xml:space="preserve">Graf </w:t>
            </w:r>
            <w:fldSimple w:instr=" SEQ Graf \* ARABIC ">
              <w:r w:rsidR="002E71B2">
                <w:rPr>
                  <w:noProof/>
                </w:rPr>
                <w:t>6</w:t>
              </w:r>
            </w:fldSimple>
            <w:r>
              <w:t xml:space="preserve">: </w:t>
            </w:r>
            <w:r w:rsidR="005C151A" w:rsidRPr="0075142E">
              <w:t>Strednodobé rozpočtové rámce (index)</w:t>
            </w:r>
            <w:bookmarkEnd w:id="21"/>
          </w:p>
        </w:tc>
      </w:tr>
      <w:tr w:rsidR="005C151A" w:rsidRPr="003935D7" w14:paraId="7773EBA8" w14:textId="77777777" w:rsidTr="000D3630">
        <w:trPr>
          <w:trHeight w:val="3540"/>
          <w:jc w:val="center"/>
        </w:trPr>
        <w:tc>
          <w:tcPr>
            <w:tcW w:w="2486" w:type="pct"/>
            <w:tcBorders>
              <w:top w:val="single" w:sz="4" w:space="0" w:color="auto"/>
              <w:left w:val="nil"/>
              <w:bottom w:val="single" w:sz="4" w:space="0" w:color="auto"/>
              <w:right w:val="nil"/>
            </w:tcBorders>
          </w:tcPr>
          <w:p w14:paraId="7D5F29EC" w14:textId="19B9B9D8" w:rsidR="005C151A" w:rsidRPr="006058D9" w:rsidRDefault="00B92CF2" w:rsidP="000D3630">
            <w:pPr>
              <w:spacing w:before="40" w:after="40"/>
              <w:rPr>
                <w:rFonts w:ascii="Arial Narrow" w:hAnsi="Arial Narrow"/>
                <w:noProof/>
              </w:rPr>
            </w:pPr>
            <w:r>
              <w:rPr>
                <w:noProof/>
                <w:lang w:val="en-US" w:eastAsia="en-US"/>
              </w:rPr>
              <w:drawing>
                <wp:inline distT="0" distB="0" distL="0" distR="0" wp14:anchorId="051B43BA" wp14:editId="53644084">
                  <wp:extent cx="2686050" cy="232410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99" w:type="pct"/>
            <w:tcBorders>
              <w:top w:val="nil"/>
              <w:left w:val="nil"/>
              <w:bottom w:val="nil"/>
              <w:right w:val="nil"/>
            </w:tcBorders>
          </w:tcPr>
          <w:p w14:paraId="46D83BAB" w14:textId="77777777" w:rsidR="005C151A" w:rsidRPr="003935D7" w:rsidRDefault="005C151A" w:rsidP="000D3630">
            <w:pPr>
              <w:spacing w:before="40" w:after="40"/>
              <w:jc w:val="center"/>
              <w:rPr>
                <w:rFonts w:ascii="Arial Narrow" w:hAnsi="Arial Narrow" w:cs="Arial"/>
                <w:b/>
                <w:sz w:val="20"/>
                <w:szCs w:val="20"/>
              </w:rPr>
            </w:pPr>
          </w:p>
        </w:tc>
        <w:tc>
          <w:tcPr>
            <w:tcW w:w="2415" w:type="pct"/>
            <w:tcBorders>
              <w:top w:val="single" w:sz="4" w:space="0" w:color="auto"/>
              <w:left w:val="nil"/>
              <w:bottom w:val="single" w:sz="4" w:space="0" w:color="auto"/>
              <w:right w:val="nil"/>
            </w:tcBorders>
          </w:tcPr>
          <w:p w14:paraId="7075EF8D" w14:textId="77777777" w:rsidR="005C151A" w:rsidRPr="006058D9" w:rsidRDefault="005C151A" w:rsidP="000D3630">
            <w:pPr>
              <w:spacing w:after="0" w:line="240" w:lineRule="auto"/>
              <w:jc w:val="center"/>
              <w:rPr>
                <w:rFonts w:ascii="Arial Narrow" w:hAnsi="Arial Narrow"/>
                <w:noProof/>
                <w:color w:val="2C9ADC"/>
              </w:rPr>
            </w:pPr>
            <w:r>
              <w:rPr>
                <w:noProof/>
                <w:lang w:val="en-US" w:eastAsia="en-US"/>
              </w:rPr>
              <w:drawing>
                <wp:inline distT="0" distB="0" distL="0" distR="0" wp14:anchorId="7FD788A0" wp14:editId="218E2BB3">
                  <wp:extent cx="2695575" cy="234315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5C151A" w:rsidRPr="003935D7" w14:paraId="36D352D0" w14:textId="77777777" w:rsidTr="000D3630">
        <w:trPr>
          <w:trHeight w:val="93"/>
          <w:jc w:val="center"/>
        </w:trPr>
        <w:tc>
          <w:tcPr>
            <w:tcW w:w="2486" w:type="pct"/>
            <w:tcBorders>
              <w:top w:val="single" w:sz="4" w:space="0" w:color="auto"/>
              <w:left w:val="nil"/>
              <w:bottom w:val="nil"/>
              <w:right w:val="nil"/>
            </w:tcBorders>
          </w:tcPr>
          <w:p w14:paraId="35247A8D" w14:textId="77777777" w:rsidR="005C151A" w:rsidRPr="006630A1" w:rsidRDefault="005C151A" w:rsidP="000D3630">
            <w:pPr>
              <w:spacing w:after="0" w:line="240" w:lineRule="auto"/>
              <w:jc w:val="right"/>
              <w:rPr>
                <w:rFonts w:ascii="Arial Narrow" w:hAnsi="Arial Narrow" w:cs="Arial"/>
                <w:i/>
                <w:sz w:val="16"/>
                <w:szCs w:val="14"/>
              </w:rPr>
            </w:pPr>
            <w:r w:rsidRPr="006630A1">
              <w:rPr>
                <w:rFonts w:ascii="Arial Narrow" w:hAnsi="Arial Narrow" w:cs="Arial"/>
                <w:i/>
                <w:sz w:val="16"/>
                <w:szCs w:val="14"/>
              </w:rPr>
              <w:t xml:space="preserve">Zdroj: EK </w:t>
            </w:r>
          </w:p>
        </w:tc>
        <w:tc>
          <w:tcPr>
            <w:tcW w:w="99" w:type="pct"/>
            <w:tcBorders>
              <w:top w:val="nil"/>
              <w:left w:val="nil"/>
              <w:bottom w:val="nil"/>
              <w:right w:val="nil"/>
            </w:tcBorders>
          </w:tcPr>
          <w:p w14:paraId="537E4A10" w14:textId="77777777" w:rsidR="005C151A" w:rsidRPr="006630A1" w:rsidRDefault="005C151A" w:rsidP="000D3630">
            <w:pPr>
              <w:spacing w:after="0" w:line="240" w:lineRule="auto"/>
              <w:jc w:val="center"/>
              <w:rPr>
                <w:rFonts w:ascii="Arial Narrow" w:hAnsi="Arial Narrow" w:cs="Arial"/>
                <w:i/>
                <w:sz w:val="16"/>
                <w:szCs w:val="14"/>
              </w:rPr>
            </w:pPr>
          </w:p>
        </w:tc>
        <w:tc>
          <w:tcPr>
            <w:tcW w:w="2415" w:type="pct"/>
            <w:tcBorders>
              <w:top w:val="single" w:sz="4" w:space="0" w:color="auto"/>
              <w:left w:val="nil"/>
              <w:bottom w:val="nil"/>
              <w:right w:val="nil"/>
            </w:tcBorders>
          </w:tcPr>
          <w:p w14:paraId="2EEC35A9" w14:textId="77777777" w:rsidR="005C151A" w:rsidRPr="006630A1" w:rsidRDefault="005C151A" w:rsidP="000D3630">
            <w:pPr>
              <w:spacing w:after="0" w:line="240" w:lineRule="auto"/>
              <w:jc w:val="right"/>
              <w:rPr>
                <w:rFonts w:ascii="Arial Narrow" w:hAnsi="Arial Narrow" w:cs="Arial"/>
                <w:i/>
                <w:sz w:val="16"/>
                <w:szCs w:val="14"/>
              </w:rPr>
            </w:pPr>
            <w:r w:rsidRPr="006630A1">
              <w:rPr>
                <w:rFonts w:ascii="Arial Narrow" w:hAnsi="Arial Narrow" w:cs="Arial"/>
                <w:i/>
                <w:sz w:val="16"/>
                <w:szCs w:val="14"/>
              </w:rPr>
              <w:t xml:space="preserve">Zdroj: EK </w:t>
            </w:r>
          </w:p>
        </w:tc>
      </w:tr>
    </w:tbl>
    <w:p w14:paraId="21B6F064" w14:textId="77777777" w:rsidR="00823F17" w:rsidRDefault="00823F17" w:rsidP="00FB625E">
      <w:pPr>
        <w:spacing w:after="0" w:line="240" w:lineRule="auto"/>
        <w:rPr>
          <w:rFonts w:ascii="Arial Narrow" w:hAnsi="Arial Narrow"/>
          <w:b/>
          <w:i/>
        </w:rPr>
      </w:pPr>
    </w:p>
    <w:p w14:paraId="5A9C2747" w14:textId="77777777" w:rsidR="00D27F1A" w:rsidRPr="002A0710" w:rsidRDefault="00D27F1A" w:rsidP="00D27F1A">
      <w:pPr>
        <w:spacing w:after="0" w:line="240" w:lineRule="auto"/>
        <w:rPr>
          <w:rFonts w:ascii="Arial Narrow" w:hAnsi="Arial Narrow"/>
          <w:b/>
          <w:i/>
        </w:rPr>
      </w:pPr>
      <w:r w:rsidRPr="002A0710">
        <w:rPr>
          <w:rFonts w:ascii="Arial Narrow" w:hAnsi="Arial Narrow"/>
          <w:b/>
          <w:i/>
        </w:rPr>
        <w:t xml:space="preserve">Reformy rozpočtových pravidiel </w:t>
      </w:r>
    </w:p>
    <w:p w14:paraId="475A9A1F" w14:textId="59138F1F" w:rsidR="00D27F1A" w:rsidRPr="002A0710" w:rsidRDefault="00D27F1A" w:rsidP="00D27F1A">
      <w:pPr>
        <w:pStyle w:val="Odsekzoznamu"/>
        <w:spacing w:after="0" w:line="240" w:lineRule="auto"/>
        <w:ind w:left="0"/>
        <w:jc w:val="both"/>
        <w:rPr>
          <w:rFonts w:ascii="Arial Narrow" w:hAnsi="Arial Narrow" w:cs="Arial Narrow"/>
        </w:rPr>
      </w:pPr>
      <w:r w:rsidRPr="002A0710">
        <w:rPr>
          <w:rFonts w:ascii="Arial Narrow" w:hAnsi="Arial Narrow" w:cs="Arial Narrow"/>
        </w:rPr>
        <w:t xml:space="preserve">S cieľom nájsť ústavnú väčšinu iniciovala vláda </w:t>
      </w:r>
      <w:r>
        <w:rPr>
          <w:rFonts w:ascii="Arial Narrow" w:hAnsi="Arial Narrow" w:cs="Arial Narrow"/>
        </w:rPr>
        <w:t xml:space="preserve">v roku 2016 </w:t>
      </w:r>
      <w:r w:rsidRPr="002A0710">
        <w:rPr>
          <w:rFonts w:ascii="Arial Narrow" w:hAnsi="Arial Narrow" w:cs="Arial Narrow"/>
        </w:rPr>
        <w:t xml:space="preserve">širokú odbornú a politickú diskusiu o reforme ústavného </w:t>
      </w:r>
      <w:r w:rsidRPr="002A0710">
        <w:rPr>
          <w:rFonts w:ascii="Arial Narrow" w:hAnsi="Arial Narrow" w:cs="Arial Narrow"/>
          <w:b/>
        </w:rPr>
        <w:t>zákona o rozpočtovej zodpovednosti</w:t>
      </w:r>
      <w:r w:rsidRPr="002A0710">
        <w:rPr>
          <w:rFonts w:ascii="Arial Narrow" w:hAnsi="Arial Narrow" w:cs="Arial Narrow"/>
        </w:rPr>
        <w:t xml:space="preserve">. Cieľom </w:t>
      </w:r>
      <w:r>
        <w:rPr>
          <w:rFonts w:ascii="Arial Narrow" w:hAnsi="Arial Narrow" w:cs="Arial Narrow"/>
        </w:rPr>
        <w:t xml:space="preserve">prebiehajúcej </w:t>
      </w:r>
      <w:r w:rsidRPr="002A0710">
        <w:rPr>
          <w:rFonts w:ascii="Arial Narrow" w:hAnsi="Arial Narrow" w:cs="Arial Narrow"/>
        </w:rPr>
        <w:t>diskusie je dosiahnuť neutralitu dlhovej brzdy pri riadení verejného dlhu naviazaním sankčných pásiem ústavného zákona na čistý verejný dlh namiesto hrubé</w:t>
      </w:r>
      <w:r>
        <w:rPr>
          <w:rFonts w:ascii="Arial Narrow" w:hAnsi="Arial Narrow" w:cs="Arial Narrow"/>
        </w:rPr>
        <w:t>ho verejného dlhu,</w:t>
      </w:r>
      <w:r w:rsidRPr="002A0710">
        <w:rPr>
          <w:rFonts w:ascii="Arial Narrow" w:hAnsi="Arial Narrow" w:cs="Arial Narrow"/>
        </w:rPr>
        <w:t xml:space="preserve"> nastavenie parametrov sankčných pásiem podporujúcic</w:t>
      </w:r>
      <w:r>
        <w:rPr>
          <w:rFonts w:ascii="Arial Narrow" w:hAnsi="Arial Narrow" w:cs="Arial Narrow"/>
        </w:rPr>
        <w:t xml:space="preserve">h hospodársky rozvoj </w:t>
      </w:r>
      <w:r w:rsidRPr="00F42963">
        <w:rPr>
          <w:rFonts w:ascii="Arial Narrow" w:hAnsi="Arial Narrow" w:cs="Arial Narrow"/>
        </w:rPr>
        <w:t xml:space="preserve">Slovenska a </w:t>
      </w:r>
      <w:r w:rsidR="0075142E" w:rsidRPr="0075142E">
        <w:rPr>
          <w:rFonts w:ascii="Arial Narrow" w:hAnsi="Arial Narrow" w:cs="Arial Narrow"/>
        </w:rPr>
        <w:t>zohľadnenie strategických verejných</w:t>
      </w:r>
      <w:r w:rsidR="0075142E">
        <w:rPr>
          <w:rFonts w:ascii="Arial Narrow" w:hAnsi="Arial Narrow" w:cs="Arial Narrow"/>
        </w:rPr>
        <w:t xml:space="preserve"> </w:t>
      </w:r>
      <w:r w:rsidR="0075142E" w:rsidRPr="0075142E">
        <w:rPr>
          <w:rFonts w:ascii="Arial Narrow" w:hAnsi="Arial Narrow" w:cs="Arial Narrow"/>
        </w:rPr>
        <w:t>investícií pri uplatňovaní sankcií</w:t>
      </w:r>
      <w:r>
        <w:rPr>
          <w:rFonts w:ascii="Arial Narrow" w:hAnsi="Arial Narrow" w:cs="Arial Narrow"/>
        </w:rPr>
        <w:t xml:space="preserve">. </w:t>
      </w:r>
      <w:r>
        <w:rPr>
          <w:rFonts w:ascii="Arial Narrow" w:hAnsi="Arial Narrow"/>
        </w:rPr>
        <w:t>Je</w:t>
      </w:r>
      <w:r w:rsidRPr="002A0710">
        <w:rPr>
          <w:rFonts w:ascii="Arial Narrow" w:hAnsi="Arial Narrow"/>
        </w:rPr>
        <w:t xml:space="preserve"> plne na rozhodnutí vlády, ktoré oblasti bude v rámci svojho mandátu a programového vyhlásenia priori</w:t>
      </w:r>
      <w:r w:rsidR="008F6CA0">
        <w:rPr>
          <w:rFonts w:ascii="Arial Narrow" w:hAnsi="Arial Narrow"/>
        </w:rPr>
        <w:t>ti</w:t>
      </w:r>
      <w:r w:rsidRPr="002A0710">
        <w:rPr>
          <w:rFonts w:ascii="Arial Narrow" w:hAnsi="Arial Narrow"/>
        </w:rPr>
        <w:t xml:space="preserve">zovať. </w:t>
      </w:r>
      <w:r w:rsidR="00412361">
        <w:rPr>
          <w:rFonts w:ascii="Arial Narrow" w:hAnsi="Arial Narrow"/>
        </w:rPr>
        <w:t xml:space="preserve">Rezort </w:t>
      </w:r>
      <w:r w:rsidRPr="002A0710">
        <w:rPr>
          <w:rFonts w:ascii="Arial Narrow" w:hAnsi="Arial Narrow"/>
        </w:rPr>
        <w:t xml:space="preserve">financií bude dôkladne sledovať vývoj diskusie s ohľadom na aplikáciu odborného prístupu pri formovaní </w:t>
      </w:r>
      <w:r>
        <w:rPr>
          <w:rFonts w:ascii="Arial Narrow" w:hAnsi="Arial Narrow"/>
        </w:rPr>
        <w:t xml:space="preserve">tejto </w:t>
      </w:r>
      <w:r w:rsidRPr="002A0710">
        <w:rPr>
          <w:rFonts w:ascii="Arial Narrow" w:hAnsi="Arial Narrow"/>
        </w:rPr>
        <w:t xml:space="preserve">legislatívnej úpravy. </w:t>
      </w:r>
    </w:p>
    <w:p w14:paraId="79D76B07" w14:textId="77777777" w:rsidR="00D27F1A" w:rsidRPr="002A0710" w:rsidRDefault="00D27F1A" w:rsidP="00D27F1A">
      <w:pPr>
        <w:spacing w:after="0" w:line="240" w:lineRule="auto"/>
        <w:jc w:val="both"/>
        <w:rPr>
          <w:rFonts w:ascii="Arial Narrow" w:hAnsi="Arial Narrow" w:cs="Arial Narrow"/>
        </w:rPr>
      </w:pPr>
    </w:p>
    <w:p w14:paraId="3F1242A4" w14:textId="256672FF" w:rsidR="007A2D56" w:rsidRDefault="00D27F1A" w:rsidP="007A2D56">
      <w:pPr>
        <w:spacing w:after="0" w:line="240" w:lineRule="auto"/>
        <w:jc w:val="both"/>
        <w:rPr>
          <w:rFonts w:ascii="Arial Narrow" w:hAnsi="Arial Narrow"/>
          <w:b/>
          <w:i/>
        </w:rPr>
      </w:pPr>
      <w:r w:rsidRPr="000566A9">
        <w:rPr>
          <w:rFonts w:ascii="Arial Narrow" w:hAnsi="Arial Narrow" w:cs="Arial Narrow"/>
        </w:rPr>
        <w:t>V rámci rozpočtového procesu</w:t>
      </w:r>
      <w:r>
        <w:rPr>
          <w:rFonts w:ascii="Arial Narrow" w:hAnsi="Arial Narrow" w:cs="Arial Narrow"/>
        </w:rPr>
        <w:t xml:space="preserve"> pri aplikovaní iniciatívy </w:t>
      </w:r>
      <w:r w:rsidRPr="00597425">
        <w:rPr>
          <w:rFonts w:ascii="Arial Narrow" w:hAnsi="Arial Narrow" w:cs="Arial Narrow"/>
          <w:i/>
        </w:rPr>
        <w:t>Hodnota za peniaze</w:t>
      </w:r>
      <w:r w:rsidRPr="000566A9">
        <w:rPr>
          <w:rFonts w:ascii="Arial Narrow" w:hAnsi="Arial Narrow" w:cs="Arial Narrow"/>
        </w:rPr>
        <w:t xml:space="preserve"> bude vláda</w:t>
      </w:r>
      <w:r>
        <w:rPr>
          <w:rFonts w:ascii="Arial Narrow" w:hAnsi="Arial Narrow" w:cs="Arial Narrow"/>
        </w:rPr>
        <w:t xml:space="preserve"> </w:t>
      </w:r>
      <w:r w:rsidR="003F05A0">
        <w:rPr>
          <w:rFonts w:ascii="Arial Narrow" w:hAnsi="Arial Narrow" w:cs="Arial Narrow"/>
        </w:rPr>
        <w:t xml:space="preserve">pokračovať v </w:t>
      </w:r>
      <w:r w:rsidR="003F05A0" w:rsidRPr="000566A9">
        <w:rPr>
          <w:rFonts w:ascii="Arial Narrow" w:hAnsi="Arial Narrow" w:cs="Arial Narrow"/>
        </w:rPr>
        <w:t>pravideln</w:t>
      </w:r>
      <w:r w:rsidR="003F05A0">
        <w:rPr>
          <w:rFonts w:ascii="Arial Narrow" w:hAnsi="Arial Narrow" w:cs="Arial Narrow"/>
        </w:rPr>
        <w:t>om</w:t>
      </w:r>
      <w:r w:rsidR="003F05A0" w:rsidRPr="000566A9">
        <w:rPr>
          <w:rFonts w:ascii="Arial Narrow" w:hAnsi="Arial Narrow" w:cs="Arial Narrow"/>
        </w:rPr>
        <w:t xml:space="preserve"> </w:t>
      </w:r>
      <w:r w:rsidRPr="000566A9">
        <w:rPr>
          <w:rFonts w:ascii="Arial Narrow" w:hAnsi="Arial Narrow" w:cs="Arial Narrow"/>
        </w:rPr>
        <w:t xml:space="preserve">a </w:t>
      </w:r>
      <w:r w:rsidR="003F05A0" w:rsidRPr="000566A9">
        <w:rPr>
          <w:rFonts w:ascii="Arial Narrow" w:hAnsi="Arial Narrow" w:cs="Arial Narrow"/>
        </w:rPr>
        <w:t>systematick</w:t>
      </w:r>
      <w:r w:rsidR="003F05A0">
        <w:rPr>
          <w:rFonts w:ascii="Arial Narrow" w:hAnsi="Arial Narrow" w:cs="Arial Narrow"/>
        </w:rPr>
        <w:t>om</w:t>
      </w:r>
      <w:r w:rsidR="003F05A0" w:rsidRPr="000566A9">
        <w:rPr>
          <w:rFonts w:ascii="Arial Narrow" w:hAnsi="Arial Narrow" w:cs="Arial Narrow"/>
        </w:rPr>
        <w:t xml:space="preserve"> </w:t>
      </w:r>
      <w:r>
        <w:rPr>
          <w:rFonts w:ascii="Arial Narrow" w:hAnsi="Arial Narrow" w:cs="Arial Narrow"/>
        </w:rPr>
        <w:t>hodnot</w:t>
      </w:r>
      <w:r w:rsidR="003F05A0">
        <w:rPr>
          <w:rFonts w:ascii="Arial Narrow" w:hAnsi="Arial Narrow" w:cs="Arial Narrow"/>
        </w:rPr>
        <w:t xml:space="preserve">ení efektívnosti </w:t>
      </w:r>
      <w:r>
        <w:rPr>
          <w:rFonts w:ascii="Arial Narrow" w:hAnsi="Arial Narrow" w:cs="Arial Narrow"/>
        </w:rPr>
        <w:t>vynakladania verejných financií</w:t>
      </w:r>
      <w:r w:rsidR="00F42963">
        <w:rPr>
          <w:rFonts w:ascii="Arial Narrow" w:hAnsi="Arial Narrow" w:cs="Arial Narrow"/>
        </w:rPr>
        <w:t>. Z</w:t>
      </w:r>
      <w:r w:rsidRPr="000566A9">
        <w:rPr>
          <w:rFonts w:ascii="Arial Narrow" w:hAnsi="Arial Narrow" w:cs="Arial Narrow"/>
        </w:rPr>
        <w:t xml:space="preserve">ávery </w:t>
      </w:r>
      <w:r>
        <w:rPr>
          <w:rFonts w:ascii="Arial Narrow" w:hAnsi="Arial Narrow" w:cs="Arial Narrow"/>
        </w:rPr>
        <w:t xml:space="preserve">jednotlivých </w:t>
      </w:r>
      <w:r w:rsidRPr="000566A9">
        <w:rPr>
          <w:rFonts w:ascii="Arial Narrow" w:hAnsi="Arial Narrow" w:cs="Arial Narrow"/>
        </w:rPr>
        <w:t>revízií budú súčasťou rozpočtu verejnej správy a návrhu rozpočtového plánu</w:t>
      </w:r>
      <w:r>
        <w:rPr>
          <w:rFonts w:ascii="Arial Narrow" w:hAnsi="Arial Narrow" w:cs="Arial Narrow"/>
        </w:rPr>
        <w:t>.</w:t>
      </w:r>
      <w:r w:rsidR="00F42963">
        <w:rPr>
          <w:rFonts w:ascii="Arial Narrow" w:hAnsi="Arial Narrow" w:cs="Arial Narrow"/>
        </w:rPr>
        <w:t xml:space="preserve"> </w:t>
      </w:r>
      <w:r w:rsidR="003F05A0">
        <w:rPr>
          <w:rFonts w:ascii="Arial Narrow" w:hAnsi="Arial Narrow" w:cs="Arial Narrow"/>
        </w:rPr>
        <w:t>Výsledky revízie výdavkov v rezortoch práce a sociálnych vecí, školstva a životného prostredia budú súčasťou rozpočtu na roky 2018 až 2020.</w:t>
      </w:r>
    </w:p>
    <w:p w14:paraId="71B99848" w14:textId="77777777" w:rsidR="00BC15D1" w:rsidRDefault="00BC15D1" w:rsidP="00FB625E">
      <w:pPr>
        <w:spacing w:after="0" w:line="240" w:lineRule="auto"/>
        <w:rPr>
          <w:rFonts w:ascii="Arial Narrow" w:hAnsi="Arial Narrow"/>
          <w:b/>
          <w:i/>
        </w:rPr>
      </w:pPr>
    </w:p>
    <w:p w14:paraId="485EBEBA" w14:textId="77777777" w:rsidR="003C1DDF" w:rsidRDefault="003C1DDF" w:rsidP="00FB625E">
      <w:pPr>
        <w:spacing w:after="0" w:line="240" w:lineRule="auto"/>
        <w:rPr>
          <w:rFonts w:ascii="Arial Narrow" w:hAnsi="Arial Narrow"/>
          <w:b/>
          <w:i/>
        </w:rPr>
      </w:pPr>
      <w:r w:rsidRPr="008F0142">
        <w:rPr>
          <w:rFonts w:ascii="Arial Narrow" w:hAnsi="Arial Narrow"/>
          <w:b/>
          <w:i/>
        </w:rPr>
        <w:t>Efektívnosť výberu daní</w:t>
      </w:r>
    </w:p>
    <w:p w14:paraId="2F679501" w14:textId="77777777" w:rsidR="00BC15D1" w:rsidRDefault="00BC15D1" w:rsidP="00BC15D1">
      <w:pPr>
        <w:spacing w:after="0" w:line="240" w:lineRule="auto"/>
        <w:jc w:val="both"/>
        <w:rPr>
          <w:rFonts w:ascii="Arial Narrow" w:hAnsi="Arial Narrow"/>
          <w:b/>
        </w:rPr>
      </w:pPr>
      <w:r w:rsidRPr="00CF7B01">
        <w:rPr>
          <w:rFonts w:ascii="Arial Narrow" w:hAnsi="Arial Narrow"/>
        </w:rPr>
        <w:t>Opatrenia z trojfázového akčného plánu prijaté v priebehu rokov 2012 až 201</w:t>
      </w:r>
      <w:r>
        <w:rPr>
          <w:rFonts w:ascii="Arial Narrow" w:hAnsi="Arial Narrow"/>
        </w:rPr>
        <w:t>6</w:t>
      </w:r>
      <w:r w:rsidRPr="00CF7B01">
        <w:rPr>
          <w:rFonts w:ascii="Arial Narrow" w:hAnsi="Arial Narrow"/>
        </w:rPr>
        <w:t xml:space="preserve"> pomohli zvrátiť dlhoročný nepriaznivý vývoj úspešnosti výberu </w:t>
      </w:r>
      <w:r>
        <w:rPr>
          <w:rFonts w:ascii="Arial Narrow" w:hAnsi="Arial Narrow"/>
        </w:rPr>
        <w:t>DPH</w:t>
      </w:r>
      <w:r w:rsidRPr="00CF7B01">
        <w:rPr>
          <w:rFonts w:ascii="Arial Narrow" w:hAnsi="Arial Narrow"/>
        </w:rPr>
        <w:t>. Uvedenú skutočnosť potvrdzuje aj pokles medzery na DPH, ktorá v období od roku 2012 do 201</w:t>
      </w:r>
      <w:r>
        <w:rPr>
          <w:rFonts w:ascii="Arial Narrow" w:hAnsi="Arial Narrow"/>
        </w:rPr>
        <w:t>5</w:t>
      </w:r>
      <w:r w:rsidRPr="00CF7B01">
        <w:rPr>
          <w:rFonts w:ascii="Arial Narrow" w:hAnsi="Arial Narrow"/>
        </w:rPr>
        <w:t xml:space="preserve"> klesla </w:t>
      </w:r>
      <w:r w:rsidRPr="00517D1F">
        <w:rPr>
          <w:rFonts w:ascii="Arial Narrow" w:hAnsi="Arial Narrow"/>
        </w:rPr>
        <w:t>z úrovne 4</w:t>
      </w:r>
      <w:r>
        <w:rPr>
          <w:rFonts w:ascii="Arial Narrow" w:hAnsi="Arial Narrow"/>
        </w:rPr>
        <w:t>1</w:t>
      </w:r>
      <w:r w:rsidRPr="00517D1F">
        <w:rPr>
          <w:rFonts w:ascii="Arial Narrow" w:hAnsi="Arial Narrow"/>
        </w:rPr>
        <w:t xml:space="preserve"> %  na </w:t>
      </w:r>
      <w:r>
        <w:rPr>
          <w:rFonts w:ascii="Arial Narrow" w:hAnsi="Arial Narrow"/>
        </w:rPr>
        <w:t>31,3</w:t>
      </w:r>
      <w:r w:rsidRPr="00517D1F">
        <w:rPr>
          <w:rFonts w:ascii="Arial Narrow" w:hAnsi="Arial Narrow"/>
        </w:rPr>
        <w:t xml:space="preserve"> %. Na základe predbežných odhadov MF SR sa ďalší, aj keď miernejší pokles vo veľkosti medzery výberu DPH očakáva aj v roku 201</w:t>
      </w:r>
      <w:r>
        <w:rPr>
          <w:rFonts w:ascii="Arial Narrow" w:hAnsi="Arial Narrow"/>
        </w:rPr>
        <w:t>6</w:t>
      </w:r>
      <w:r w:rsidRPr="00CF7B01">
        <w:rPr>
          <w:rFonts w:ascii="Arial Narrow" w:hAnsi="Arial Narrow"/>
        </w:rPr>
        <w:t xml:space="preserve">. </w:t>
      </w:r>
      <w:r w:rsidRPr="000350A2">
        <w:rPr>
          <w:rFonts w:ascii="Arial Narrow" w:hAnsi="Arial Narrow"/>
        </w:rPr>
        <w:t>Efektívna daňová sadzba DPPO v posledných rokoch rastie historickým tempom, čo okrem procyklickosti tejto dane</w:t>
      </w:r>
      <w:r w:rsidRPr="000350A2">
        <w:rPr>
          <w:rFonts w:ascii="Arial Narrow" w:hAnsi="Arial Narrow"/>
          <w:vertAlign w:val="superscript"/>
        </w:rPr>
        <w:footnoteReference w:id="22"/>
      </w:r>
      <w:r w:rsidRPr="000350A2">
        <w:rPr>
          <w:rFonts w:ascii="Arial Narrow" w:hAnsi="Arial Narrow"/>
        </w:rPr>
        <w:t xml:space="preserve"> možno pripísať opatreniam na DPH, ktoré sa pozitívne prejavujú aj vo výnose DPPO.</w:t>
      </w:r>
      <w:r>
        <w:rPr>
          <w:rFonts w:ascii="Arial Narrow" w:hAnsi="Arial Narrow"/>
          <w:b/>
        </w:rPr>
        <w:t xml:space="preserve"> </w:t>
      </w:r>
    </w:p>
    <w:p w14:paraId="57944475" w14:textId="77777777" w:rsidR="00BC15D1" w:rsidRDefault="00BC15D1" w:rsidP="00BC15D1">
      <w:pPr>
        <w:spacing w:after="0" w:line="240" w:lineRule="auto"/>
        <w:jc w:val="both"/>
        <w:rPr>
          <w:rFonts w:ascii="Arial Narrow" w:hAnsi="Arial Narrow"/>
          <w:b/>
        </w:rPr>
      </w:pPr>
    </w:p>
    <w:p w14:paraId="2600AA6D" w14:textId="77777777" w:rsidR="00B160D7" w:rsidRDefault="00B160D7">
      <w:r>
        <w:rPr>
          <w:b/>
          <w:bCs/>
        </w:rPr>
        <w:br w:type="page"/>
      </w: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29"/>
        <w:gridCol w:w="222"/>
        <w:gridCol w:w="4113"/>
      </w:tblGrid>
      <w:tr w:rsidR="00BC15D1" w:rsidRPr="00256D89" w14:paraId="72915440" w14:textId="77777777" w:rsidTr="00F33BAB">
        <w:trPr>
          <w:trHeight w:val="126"/>
        </w:trPr>
        <w:tc>
          <w:tcPr>
            <w:tcW w:w="4317" w:type="dxa"/>
            <w:tcBorders>
              <w:top w:val="nil"/>
              <w:left w:val="nil"/>
              <w:bottom w:val="single" w:sz="4" w:space="0" w:color="auto"/>
              <w:right w:val="nil"/>
            </w:tcBorders>
            <w:vAlign w:val="bottom"/>
          </w:tcPr>
          <w:p w14:paraId="7112D42F" w14:textId="2D54B717" w:rsidR="00BC15D1" w:rsidRPr="006E43E2" w:rsidRDefault="00BC15D1" w:rsidP="00BC15D1">
            <w:pPr>
              <w:pStyle w:val="Popis"/>
              <w:rPr>
                <w:rFonts w:cs="Arial"/>
                <w:szCs w:val="20"/>
              </w:rPr>
            </w:pPr>
            <w:bookmarkStart w:id="22" w:name="_Toc478656310"/>
            <w:r w:rsidRPr="00256D89">
              <w:lastRenderedPageBreak/>
              <w:t xml:space="preserve">Graf </w:t>
            </w:r>
            <w:fldSimple w:instr=" SEQ Graf \* ARABIC ">
              <w:r w:rsidR="002E71B2">
                <w:rPr>
                  <w:noProof/>
                </w:rPr>
                <w:t>7</w:t>
              </w:r>
            </w:fldSimple>
            <w:r>
              <w:t xml:space="preserve">: </w:t>
            </w:r>
            <w:r w:rsidRPr="0062549E">
              <w:t>Daňová medzera na DPH (% potenciálneho výnosu)</w:t>
            </w:r>
            <w:bookmarkEnd w:id="22"/>
          </w:p>
        </w:tc>
        <w:tc>
          <w:tcPr>
            <w:tcW w:w="146" w:type="dxa"/>
            <w:tcBorders>
              <w:top w:val="nil"/>
              <w:left w:val="nil"/>
              <w:bottom w:val="nil"/>
              <w:right w:val="nil"/>
            </w:tcBorders>
            <w:vAlign w:val="bottom"/>
          </w:tcPr>
          <w:p w14:paraId="7A630B61" w14:textId="77777777" w:rsidR="00BC15D1" w:rsidRPr="00256D89" w:rsidRDefault="00BC15D1" w:rsidP="00BC15D1">
            <w:pPr>
              <w:spacing w:before="40" w:after="40" w:line="240" w:lineRule="auto"/>
              <w:rPr>
                <w:rFonts w:ascii="Arial Narrow" w:hAnsi="Arial Narrow" w:cs="Arial"/>
                <w:b/>
                <w:sz w:val="20"/>
                <w:szCs w:val="20"/>
              </w:rPr>
            </w:pPr>
          </w:p>
        </w:tc>
        <w:tc>
          <w:tcPr>
            <w:tcW w:w="4101" w:type="dxa"/>
            <w:tcBorders>
              <w:top w:val="nil"/>
              <w:left w:val="nil"/>
              <w:bottom w:val="single" w:sz="4" w:space="0" w:color="auto"/>
              <w:right w:val="nil"/>
            </w:tcBorders>
            <w:vAlign w:val="bottom"/>
          </w:tcPr>
          <w:p w14:paraId="44B86F44" w14:textId="46CA4D57" w:rsidR="00BC15D1" w:rsidRDefault="00BC15D1" w:rsidP="00BC15D1">
            <w:pPr>
              <w:pStyle w:val="Popis"/>
            </w:pPr>
            <w:bookmarkStart w:id="23" w:name="_Toc478656311"/>
            <w:r w:rsidRPr="00256D89">
              <w:t xml:space="preserve">Graf </w:t>
            </w:r>
            <w:fldSimple w:instr=" SEQ Graf \* ARABIC ">
              <w:r w:rsidR="002E71B2">
                <w:rPr>
                  <w:noProof/>
                </w:rPr>
                <w:t>8</w:t>
              </w:r>
            </w:fldSimple>
            <w:r>
              <w:t xml:space="preserve">: </w:t>
            </w:r>
            <w:r w:rsidRPr="0062549E">
              <w:t>Efektívna daňová sadzba DPPO (výber dane na čistom prevádzkovom prebytku)</w:t>
            </w:r>
            <w:bookmarkEnd w:id="23"/>
          </w:p>
        </w:tc>
      </w:tr>
      <w:tr w:rsidR="00BC15D1" w:rsidRPr="00256D89" w14:paraId="4B291C34" w14:textId="77777777" w:rsidTr="00F33BAB">
        <w:tblPrEx>
          <w:tblCellMar>
            <w:left w:w="108" w:type="dxa"/>
            <w:right w:w="108" w:type="dxa"/>
          </w:tblCellMar>
        </w:tblPrEx>
        <w:trPr>
          <w:trHeight w:val="944"/>
        </w:trPr>
        <w:tc>
          <w:tcPr>
            <w:tcW w:w="4317" w:type="dxa"/>
            <w:tcBorders>
              <w:top w:val="single" w:sz="4" w:space="0" w:color="auto"/>
              <w:left w:val="nil"/>
              <w:bottom w:val="single" w:sz="4" w:space="0" w:color="auto"/>
              <w:right w:val="nil"/>
            </w:tcBorders>
            <w:vAlign w:val="center"/>
          </w:tcPr>
          <w:p w14:paraId="4C59FF34" w14:textId="4AB5C785" w:rsidR="00BC15D1" w:rsidRPr="00256D89" w:rsidRDefault="00F33BAB" w:rsidP="00BC15D1">
            <w:pPr>
              <w:spacing w:before="40" w:after="40" w:line="240" w:lineRule="auto"/>
              <w:jc w:val="center"/>
              <w:rPr>
                <w:rFonts w:ascii="Arial Narrow" w:hAnsi="Arial Narrow" w:cs="Arial"/>
                <w:b/>
                <w:sz w:val="20"/>
                <w:szCs w:val="20"/>
              </w:rPr>
            </w:pPr>
            <w:r>
              <w:rPr>
                <w:noProof/>
                <w:lang w:val="en-US" w:eastAsia="en-US"/>
              </w:rPr>
              <w:drawing>
                <wp:inline distT="0" distB="0" distL="0" distR="0" wp14:anchorId="3AB42570" wp14:editId="38E9DFBF">
                  <wp:extent cx="2586990" cy="2124075"/>
                  <wp:effectExtent l="0" t="0" r="381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146" w:type="dxa"/>
            <w:tcBorders>
              <w:top w:val="nil"/>
              <w:left w:val="nil"/>
              <w:bottom w:val="nil"/>
              <w:right w:val="nil"/>
            </w:tcBorders>
            <w:vAlign w:val="center"/>
          </w:tcPr>
          <w:p w14:paraId="33A053B8" w14:textId="77777777" w:rsidR="00BC15D1" w:rsidRPr="00256D89" w:rsidRDefault="00BC15D1" w:rsidP="00BC15D1">
            <w:pPr>
              <w:spacing w:before="40" w:after="40" w:line="240" w:lineRule="auto"/>
              <w:jc w:val="center"/>
              <w:rPr>
                <w:rFonts w:ascii="Arial Narrow" w:hAnsi="Arial Narrow" w:cs="Arial"/>
                <w:b/>
                <w:sz w:val="20"/>
                <w:szCs w:val="20"/>
              </w:rPr>
            </w:pPr>
          </w:p>
        </w:tc>
        <w:tc>
          <w:tcPr>
            <w:tcW w:w="4101" w:type="dxa"/>
            <w:tcBorders>
              <w:top w:val="single" w:sz="4" w:space="0" w:color="auto"/>
              <w:left w:val="nil"/>
              <w:bottom w:val="single" w:sz="4" w:space="0" w:color="auto"/>
              <w:right w:val="nil"/>
            </w:tcBorders>
            <w:vAlign w:val="center"/>
          </w:tcPr>
          <w:p w14:paraId="28B88DEA" w14:textId="47A39F8A" w:rsidR="00BC15D1" w:rsidRPr="00256D89" w:rsidRDefault="00BC15D1" w:rsidP="00BC15D1">
            <w:pPr>
              <w:spacing w:before="40" w:after="40" w:line="240" w:lineRule="auto"/>
              <w:jc w:val="center"/>
              <w:rPr>
                <w:rFonts w:ascii="Arial Narrow" w:hAnsi="Arial Narrow" w:cs="Arial"/>
                <w:b/>
                <w:sz w:val="20"/>
                <w:szCs w:val="20"/>
              </w:rPr>
            </w:pPr>
            <w:r>
              <w:rPr>
                <w:noProof/>
                <w:lang w:val="en-US" w:eastAsia="en-US"/>
              </w:rPr>
              <w:drawing>
                <wp:inline distT="0" distB="0" distL="0" distR="0" wp14:anchorId="6B2C4413" wp14:editId="030FD9EB">
                  <wp:extent cx="2515235" cy="1971675"/>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BC15D1" w:rsidRPr="00C83F39" w14:paraId="25E1293A" w14:textId="77777777" w:rsidTr="00F33BAB">
        <w:trPr>
          <w:trHeight w:val="120"/>
        </w:trPr>
        <w:tc>
          <w:tcPr>
            <w:tcW w:w="4317" w:type="dxa"/>
            <w:tcBorders>
              <w:top w:val="single" w:sz="4" w:space="0" w:color="auto"/>
              <w:left w:val="nil"/>
              <w:bottom w:val="nil"/>
              <w:right w:val="nil"/>
            </w:tcBorders>
            <w:vAlign w:val="center"/>
          </w:tcPr>
          <w:p w14:paraId="032BDAB3" w14:textId="1546B017" w:rsidR="00BC15D1" w:rsidRPr="00C83F39" w:rsidRDefault="00BC15D1" w:rsidP="00BC15D1">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MF SR</w:t>
            </w:r>
            <w:r w:rsidRPr="00C83F39">
              <w:rPr>
                <w:rFonts w:ascii="Arial Narrow" w:hAnsi="Arial Narrow" w:cs="Arial Narrow"/>
                <w:i/>
                <w:iCs/>
                <w:color w:val="000000"/>
                <w:sz w:val="16"/>
                <w:szCs w:val="16"/>
              </w:rPr>
              <w:t xml:space="preserve"> </w:t>
            </w:r>
          </w:p>
        </w:tc>
        <w:tc>
          <w:tcPr>
            <w:tcW w:w="146" w:type="dxa"/>
            <w:tcBorders>
              <w:top w:val="nil"/>
              <w:left w:val="nil"/>
              <w:bottom w:val="nil"/>
              <w:right w:val="nil"/>
            </w:tcBorders>
            <w:vAlign w:val="center"/>
          </w:tcPr>
          <w:p w14:paraId="4471B668" w14:textId="77777777" w:rsidR="00BC15D1" w:rsidRPr="00C83F39" w:rsidRDefault="00BC15D1" w:rsidP="00BC15D1">
            <w:pPr>
              <w:spacing w:after="120" w:line="240" w:lineRule="auto"/>
              <w:jc w:val="center"/>
              <w:rPr>
                <w:rFonts w:ascii="Arial Narrow" w:hAnsi="Arial Narrow" w:cs="Arial"/>
                <w:sz w:val="16"/>
                <w:szCs w:val="14"/>
              </w:rPr>
            </w:pPr>
          </w:p>
        </w:tc>
        <w:tc>
          <w:tcPr>
            <w:tcW w:w="4101" w:type="dxa"/>
            <w:tcBorders>
              <w:top w:val="single" w:sz="4" w:space="0" w:color="auto"/>
              <w:left w:val="nil"/>
              <w:bottom w:val="nil"/>
              <w:right w:val="nil"/>
            </w:tcBorders>
            <w:vAlign w:val="center"/>
          </w:tcPr>
          <w:p w14:paraId="596F8228" w14:textId="09A7E1AD" w:rsidR="00BC15D1" w:rsidRPr="00C83F39" w:rsidRDefault="00BC15D1" w:rsidP="00BC15D1">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MF SR</w:t>
            </w:r>
            <w:r w:rsidRPr="00C83F39">
              <w:rPr>
                <w:rFonts w:ascii="Arial Narrow" w:hAnsi="Arial Narrow" w:cs="Arial Narrow"/>
                <w:i/>
                <w:iCs/>
                <w:color w:val="000000"/>
                <w:sz w:val="16"/>
                <w:szCs w:val="16"/>
              </w:rPr>
              <w:t xml:space="preserve"> </w:t>
            </w:r>
          </w:p>
        </w:tc>
      </w:tr>
    </w:tbl>
    <w:p w14:paraId="1C900C30" w14:textId="20D920AC" w:rsidR="00BC15D1" w:rsidRPr="003E47C2" w:rsidRDefault="00BC15D1" w:rsidP="00BC15D1">
      <w:pPr>
        <w:spacing w:after="0" w:line="240" w:lineRule="auto"/>
        <w:jc w:val="both"/>
        <w:rPr>
          <w:rFonts w:ascii="Arial Narrow" w:hAnsi="Arial Narrow"/>
        </w:rPr>
      </w:pPr>
      <w:r w:rsidRPr="003E47C2">
        <w:rPr>
          <w:rFonts w:ascii="Arial Narrow" w:hAnsi="Arial Narrow"/>
        </w:rPr>
        <w:t xml:space="preserve">Okrem DPH sa úsilie sústreďuje aj na </w:t>
      </w:r>
      <w:r w:rsidRPr="005603BD">
        <w:rPr>
          <w:rFonts w:ascii="Arial Narrow" w:hAnsi="Arial Narrow"/>
          <w:b/>
        </w:rPr>
        <w:t>spotrebné dane</w:t>
      </w:r>
      <w:r w:rsidRPr="003E47C2">
        <w:rPr>
          <w:rFonts w:ascii="Arial Narrow" w:hAnsi="Arial Narrow"/>
        </w:rPr>
        <w:t>, kde bolo rovnako prijatých viacero opatrení na zníženie priestoru optimalizácie dane z tabaku</w:t>
      </w:r>
      <w:r w:rsidRPr="003E47C2">
        <w:rPr>
          <w:rFonts w:ascii="Arial Narrow" w:hAnsi="Arial Narrow"/>
          <w:vertAlign w:val="superscript"/>
        </w:rPr>
        <w:footnoteReference w:id="23"/>
      </w:r>
      <w:r w:rsidRPr="003E47C2">
        <w:rPr>
          <w:rFonts w:ascii="Arial Narrow" w:hAnsi="Arial Narrow"/>
        </w:rPr>
        <w:t>, či všeobecného potierania daňových únikov na spotrebných daniach.</w:t>
      </w:r>
      <w:r w:rsidRPr="008918C8">
        <w:rPr>
          <w:rFonts w:ascii="Arial Narrow" w:hAnsi="Arial Narrow"/>
        </w:rPr>
        <w:t xml:space="preserve"> </w:t>
      </w:r>
      <w:r w:rsidRPr="003E47C2">
        <w:rPr>
          <w:rFonts w:ascii="Arial Narrow" w:hAnsi="Arial Narrow"/>
        </w:rPr>
        <w:t>Aktualizovaná daňová medze</w:t>
      </w:r>
      <w:r w:rsidR="00DF6DC9">
        <w:rPr>
          <w:rFonts w:ascii="Arial Narrow" w:hAnsi="Arial Narrow"/>
        </w:rPr>
        <w:t xml:space="preserve">ra na dani z minerálnych olejov </w:t>
      </w:r>
      <w:r w:rsidRPr="003E47C2">
        <w:rPr>
          <w:rFonts w:ascii="Arial Narrow" w:hAnsi="Arial Narrow"/>
        </w:rPr>
        <w:t xml:space="preserve">ukazuje, že v posledných rokoch dochádza k ustáleniu vývoja daňovej medzery. V roku 2015 medzera mierne poklesla, kedy sa rozptyl jej odhadu pohyboval v pásme od 17,1 % až 19,2 % z potenciálneho výnosu na tejto dani (čo zodpovedá 234 až 269 mil. eur). </w:t>
      </w:r>
    </w:p>
    <w:p w14:paraId="6B15CF31" w14:textId="77777777" w:rsidR="00BC15D1" w:rsidRDefault="00BC15D1" w:rsidP="00FB625E">
      <w:pPr>
        <w:spacing w:after="0" w:line="240" w:lineRule="auto"/>
        <w:rPr>
          <w:rFonts w:ascii="Arial Narrow" w:hAnsi="Arial Narrow"/>
          <w:b/>
          <w:i/>
        </w:rPr>
      </w:pPr>
    </w:p>
    <w:p w14:paraId="62FB7289" w14:textId="6272530B" w:rsidR="00930A5D" w:rsidRDefault="008918C8" w:rsidP="0049222A">
      <w:pPr>
        <w:spacing w:after="0" w:line="240" w:lineRule="auto"/>
        <w:jc w:val="both"/>
        <w:rPr>
          <w:rFonts w:ascii="Arial Narrow" w:hAnsi="Arial Narrow"/>
        </w:rPr>
      </w:pPr>
      <w:r w:rsidRPr="007D3B39">
        <w:rPr>
          <w:rFonts w:ascii="Arial Narrow" w:hAnsi="Arial Narrow"/>
        </w:rPr>
        <w:t xml:space="preserve">V nadväznosti na plnenie aktualizovaného akčného plánu budú s účinnosťou od roku 2017 prijaté </w:t>
      </w:r>
      <w:r>
        <w:rPr>
          <w:rFonts w:ascii="Arial Narrow" w:hAnsi="Arial Narrow"/>
        </w:rPr>
        <w:t xml:space="preserve">ďalšie </w:t>
      </w:r>
      <w:r w:rsidRPr="007D3B39">
        <w:rPr>
          <w:rFonts w:ascii="Arial Narrow" w:hAnsi="Arial Narrow"/>
        </w:rPr>
        <w:t xml:space="preserve">opatrenia zamerané </w:t>
      </w:r>
      <w:r>
        <w:rPr>
          <w:rFonts w:ascii="Arial Narrow" w:hAnsi="Arial Narrow"/>
        </w:rPr>
        <w:t>na</w:t>
      </w:r>
      <w:r w:rsidRPr="007D3B39">
        <w:rPr>
          <w:rFonts w:ascii="Arial Narrow" w:hAnsi="Arial Narrow"/>
        </w:rPr>
        <w:t xml:space="preserve"> </w:t>
      </w:r>
      <w:r w:rsidRPr="008918C8">
        <w:rPr>
          <w:rFonts w:ascii="Arial Narrow" w:hAnsi="Arial Narrow"/>
          <w:b/>
        </w:rPr>
        <w:t>boj proti daňovým únikom</w:t>
      </w:r>
      <w:r w:rsidRPr="00CD5A7F">
        <w:rPr>
          <w:rFonts w:ascii="Arial Narrow" w:hAnsi="Arial Narrow"/>
        </w:rPr>
        <w:t xml:space="preserve">. </w:t>
      </w:r>
      <w:r w:rsidR="00930A5D" w:rsidRPr="00CD5A7F">
        <w:rPr>
          <w:rFonts w:ascii="Arial Narrow" w:hAnsi="Arial Narrow"/>
        </w:rPr>
        <w:t>Jedným z navrhnutých opatrení je zavedenie</w:t>
      </w:r>
      <w:r w:rsidRPr="00CD5A7F">
        <w:rPr>
          <w:rFonts w:ascii="Arial Narrow" w:hAnsi="Arial Narrow"/>
        </w:rPr>
        <w:t xml:space="preserve"> </w:t>
      </w:r>
      <w:r w:rsidRPr="00CD5A7F">
        <w:rPr>
          <w:rFonts w:ascii="Arial Narrow" w:hAnsi="Arial Narrow"/>
          <w:b/>
        </w:rPr>
        <w:t>indexu daňovej spoľahlivosti</w:t>
      </w:r>
      <w:r w:rsidR="00257018" w:rsidRPr="00CD5A7F">
        <w:rPr>
          <w:rFonts w:ascii="Arial Narrow" w:hAnsi="Arial Narrow"/>
        </w:rPr>
        <w:t>,</w:t>
      </w:r>
      <w:r w:rsidR="00257018" w:rsidRPr="00CD5A7F">
        <w:rPr>
          <w:rFonts w:ascii="Arial Narrow" w:hAnsi="Arial Narrow"/>
          <w:b/>
        </w:rPr>
        <w:t xml:space="preserve"> </w:t>
      </w:r>
      <w:r w:rsidRPr="00CD5A7F">
        <w:rPr>
          <w:rFonts w:ascii="Arial Narrow" w:hAnsi="Arial Narrow"/>
        </w:rPr>
        <w:t xml:space="preserve">ako </w:t>
      </w:r>
      <w:r w:rsidR="00930A5D" w:rsidRPr="00CD5A7F">
        <w:rPr>
          <w:rFonts w:ascii="Arial Narrow" w:hAnsi="Arial Narrow"/>
        </w:rPr>
        <w:t xml:space="preserve">interného </w:t>
      </w:r>
      <w:r w:rsidRPr="00CD5A7F">
        <w:rPr>
          <w:rFonts w:ascii="Arial Narrow" w:hAnsi="Arial Narrow"/>
        </w:rPr>
        <w:t>nástroja</w:t>
      </w:r>
      <w:r w:rsidR="00C46C0B" w:rsidRPr="00CD5A7F">
        <w:rPr>
          <w:rFonts w:ascii="Arial Narrow" w:hAnsi="Arial Narrow"/>
        </w:rPr>
        <w:t xml:space="preserve"> </w:t>
      </w:r>
      <w:r w:rsidR="00CD5A7F" w:rsidRPr="00CD5A7F">
        <w:rPr>
          <w:rFonts w:ascii="Arial Narrow" w:hAnsi="Arial Narrow"/>
        </w:rPr>
        <w:t xml:space="preserve">s preventívnym a motivačným charakterom </w:t>
      </w:r>
      <w:r w:rsidRPr="00CD5A7F">
        <w:rPr>
          <w:rFonts w:ascii="Arial Narrow" w:hAnsi="Arial Narrow"/>
        </w:rPr>
        <w:t xml:space="preserve">na </w:t>
      </w:r>
      <w:r w:rsidR="00930A5D" w:rsidRPr="00CD5A7F">
        <w:rPr>
          <w:rFonts w:ascii="Arial Narrow" w:hAnsi="Arial Narrow"/>
        </w:rPr>
        <w:t>posudzovani</w:t>
      </w:r>
      <w:r w:rsidRPr="00CD5A7F">
        <w:rPr>
          <w:rFonts w:ascii="Arial Narrow" w:hAnsi="Arial Narrow"/>
        </w:rPr>
        <w:t>e</w:t>
      </w:r>
      <w:r w:rsidR="00930A5D" w:rsidRPr="00CD5A7F">
        <w:rPr>
          <w:rFonts w:ascii="Arial Narrow" w:hAnsi="Arial Narrow"/>
        </w:rPr>
        <w:t xml:space="preserve"> spoľahlivosti daňových subjektov</w:t>
      </w:r>
      <w:r w:rsidR="00CD5A7F" w:rsidRPr="00CD5A7F">
        <w:rPr>
          <w:rFonts w:ascii="Arial Narrow" w:hAnsi="Arial Narrow"/>
        </w:rPr>
        <w:t>, vrátane osobitných daňových režimov pre spoľahlivé daňové subjekty</w:t>
      </w:r>
      <w:r w:rsidR="00123313" w:rsidRPr="00CD5A7F">
        <w:rPr>
          <w:rFonts w:ascii="Arial Narrow" w:hAnsi="Arial Narrow"/>
        </w:rPr>
        <w:t>.</w:t>
      </w:r>
      <w:r w:rsidR="00CD5A7F" w:rsidRPr="00CD5A7F">
        <w:rPr>
          <w:rFonts w:ascii="Arial Narrow" w:hAnsi="Arial Narrow"/>
        </w:rPr>
        <w:t xml:space="preserve"> </w:t>
      </w:r>
    </w:p>
    <w:p w14:paraId="514A4D84" w14:textId="77777777" w:rsidR="00374A33" w:rsidRDefault="00374A33" w:rsidP="0049222A">
      <w:pPr>
        <w:spacing w:after="0" w:line="240" w:lineRule="auto"/>
        <w:jc w:val="both"/>
        <w:rPr>
          <w:rFonts w:ascii="Arial Narrow" w:hAnsi="Arial Narrow"/>
        </w:rPr>
      </w:pPr>
    </w:p>
    <w:p w14:paraId="6D8021E9" w14:textId="76B15BE9" w:rsidR="00374A33" w:rsidRDefault="00374A33" w:rsidP="00374A33">
      <w:pPr>
        <w:spacing w:after="0" w:line="240" w:lineRule="auto"/>
        <w:jc w:val="both"/>
        <w:rPr>
          <w:rFonts w:ascii="Arial Narrow" w:hAnsi="Arial Narrow"/>
        </w:rPr>
      </w:pPr>
      <w:r>
        <w:rPr>
          <w:rFonts w:ascii="Arial Narrow" w:hAnsi="Arial Narrow"/>
        </w:rPr>
        <w:t xml:space="preserve">Pre zefektívnenie vymáhania daňových nedoplatkov sa zavedie </w:t>
      </w:r>
      <w:r>
        <w:rPr>
          <w:rFonts w:ascii="Arial Narrow" w:hAnsi="Arial Narrow"/>
          <w:b/>
        </w:rPr>
        <w:t>s</w:t>
      </w:r>
      <w:r w:rsidRPr="00430A5A">
        <w:rPr>
          <w:rFonts w:ascii="Arial Narrow" w:hAnsi="Arial Narrow"/>
          <w:b/>
        </w:rPr>
        <w:t>ystém posudzovania rizikovosti daňových dlžníkov</w:t>
      </w:r>
      <w:r>
        <w:rPr>
          <w:rFonts w:ascii="Arial Narrow" w:hAnsi="Arial Narrow"/>
        </w:rPr>
        <w:t xml:space="preserve">. </w:t>
      </w:r>
      <w:r w:rsidR="00840753">
        <w:rPr>
          <w:rFonts w:ascii="Arial Narrow" w:hAnsi="Arial Narrow"/>
        </w:rPr>
        <w:t>Z</w:t>
      </w:r>
      <w:r>
        <w:rPr>
          <w:rFonts w:ascii="Arial Narrow" w:hAnsi="Arial Narrow"/>
        </w:rPr>
        <w:t xml:space="preserve">ároveň </w:t>
      </w:r>
      <w:r w:rsidR="00840753">
        <w:rPr>
          <w:rFonts w:ascii="Arial Narrow" w:hAnsi="Arial Narrow"/>
        </w:rPr>
        <w:t xml:space="preserve">sa </w:t>
      </w:r>
      <w:r>
        <w:rPr>
          <w:rFonts w:ascii="Arial Narrow" w:hAnsi="Arial Narrow"/>
        </w:rPr>
        <w:t xml:space="preserve">zabezpečí </w:t>
      </w:r>
      <w:r w:rsidRPr="000964C3">
        <w:rPr>
          <w:rFonts w:ascii="Arial Narrow" w:hAnsi="Arial Narrow"/>
        </w:rPr>
        <w:t>obojsmern</w:t>
      </w:r>
      <w:r>
        <w:rPr>
          <w:rFonts w:ascii="Arial Narrow" w:hAnsi="Arial Narrow"/>
        </w:rPr>
        <w:t xml:space="preserve">á </w:t>
      </w:r>
      <w:r w:rsidRPr="000964C3">
        <w:rPr>
          <w:rFonts w:ascii="Arial Narrow" w:hAnsi="Arial Narrow"/>
        </w:rPr>
        <w:t>elektronick</w:t>
      </w:r>
      <w:r>
        <w:rPr>
          <w:rFonts w:ascii="Arial Narrow" w:hAnsi="Arial Narrow"/>
        </w:rPr>
        <w:t>á</w:t>
      </w:r>
      <w:r w:rsidRPr="000964C3">
        <w:rPr>
          <w:rFonts w:ascii="Arial Narrow" w:hAnsi="Arial Narrow"/>
        </w:rPr>
        <w:t xml:space="preserve"> komunikáci</w:t>
      </w:r>
      <w:r>
        <w:rPr>
          <w:rFonts w:ascii="Arial Narrow" w:hAnsi="Arial Narrow"/>
        </w:rPr>
        <w:t>a</w:t>
      </w:r>
      <w:r w:rsidRPr="000964C3">
        <w:rPr>
          <w:rFonts w:ascii="Arial Narrow" w:hAnsi="Arial Narrow"/>
        </w:rPr>
        <w:t xml:space="preserve"> exekútorov </w:t>
      </w:r>
      <w:r>
        <w:rPr>
          <w:rFonts w:ascii="Arial Narrow" w:hAnsi="Arial Narrow"/>
        </w:rPr>
        <w:t xml:space="preserve">s bankami pre umožnenie </w:t>
      </w:r>
      <w:r w:rsidRPr="000964C3">
        <w:rPr>
          <w:rFonts w:ascii="Arial Narrow" w:hAnsi="Arial Narrow"/>
        </w:rPr>
        <w:t>vymáhania nedoplatkov z účtov daňových subjektov.</w:t>
      </w:r>
      <w:r w:rsidDel="00940E74">
        <w:rPr>
          <w:rFonts w:ascii="Arial Narrow" w:hAnsi="Arial Narrow"/>
        </w:rPr>
        <w:t xml:space="preserve"> </w:t>
      </w:r>
    </w:p>
    <w:p w14:paraId="303AA4A0" w14:textId="77777777" w:rsidR="008918C8" w:rsidRDefault="008918C8" w:rsidP="0049222A">
      <w:pPr>
        <w:spacing w:after="0" w:line="240" w:lineRule="auto"/>
        <w:jc w:val="both"/>
        <w:rPr>
          <w:rFonts w:ascii="Arial Narrow" w:hAnsi="Arial Narrow"/>
        </w:rPr>
      </w:pPr>
    </w:p>
    <w:p w14:paraId="7003EE71" w14:textId="77777777" w:rsidR="008918C8" w:rsidRDefault="008918C8" w:rsidP="008918C8">
      <w:pPr>
        <w:spacing w:after="0" w:line="240" w:lineRule="auto"/>
        <w:jc w:val="both"/>
        <w:rPr>
          <w:rFonts w:ascii="Arial Narrow" w:hAnsi="Arial Narrow"/>
        </w:rPr>
      </w:pPr>
      <w:r w:rsidRPr="00825C88">
        <w:rPr>
          <w:rFonts w:ascii="Arial Narrow" w:hAnsi="Arial Narrow"/>
          <w:b/>
        </w:rPr>
        <w:t>Analytické kapacity finančnej správy</w:t>
      </w:r>
      <w:r>
        <w:rPr>
          <w:rFonts w:ascii="Arial Narrow" w:hAnsi="Arial Narrow"/>
        </w:rPr>
        <w:t xml:space="preserve"> sa do roku 2020</w:t>
      </w:r>
      <w:r>
        <w:rPr>
          <w:rStyle w:val="Odkaznapoznmkupodiarou"/>
          <w:rFonts w:ascii="Arial Narrow" w:hAnsi="Arial Narrow"/>
        </w:rPr>
        <w:footnoteReference w:id="24"/>
      </w:r>
      <w:r>
        <w:rPr>
          <w:rFonts w:ascii="Arial Narrow" w:hAnsi="Arial Narrow"/>
        </w:rPr>
        <w:t xml:space="preserve"> posilnia vytvorením centrálnej analytickej jednotky a dobudovaním daňovej a colnej analytiky vrátane riadenia rizík. </w:t>
      </w:r>
      <w:r w:rsidRPr="008918C8">
        <w:rPr>
          <w:rFonts w:ascii="Arial Narrow" w:hAnsi="Arial Narrow"/>
        </w:rPr>
        <w:t xml:space="preserve">V spolupráci s ďalšími sektormi verejnej správy bude zriadené </w:t>
      </w:r>
      <w:r w:rsidRPr="0068254B">
        <w:rPr>
          <w:rFonts w:ascii="Arial Narrow" w:hAnsi="Arial Narrow"/>
          <w:b/>
        </w:rPr>
        <w:t>medzirezortné analytické centrum</w:t>
      </w:r>
      <w:r w:rsidRPr="008918C8">
        <w:rPr>
          <w:rFonts w:ascii="Arial Narrow" w:hAnsi="Arial Narrow"/>
        </w:rPr>
        <w:t xml:space="preserve"> zaoberajúce sa finančnou kriminalitou, ktoré bude aktívne spolupracovať pri príprave návrhov legislatívnych zmien na zamedzenie podvodov na daniach.</w:t>
      </w:r>
    </w:p>
    <w:p w14:paraId="54CA4D4A" w14:textId="77777777" w:rsidR="008918C8" w:rsidRDefault="008918C8" w:rsidP="0049222A">
      <w:pPr>
        <w:spacing w:after="0" w:line="240" w:lineRule="auto"/>
        <w:jc w:val="both"/>
        <w:rPr>
          <w:rFonts w:ascii="Arial Narrow" w:hAnsi="Arial Narrow"/>
        </w:rPr>
      </w:pPr>
    </w:p>
    <w:p w14:paraId="2CB1264B" w14:textId="77777777" w:rsidR="00374A33" w:rsidRDefault="00374A33" w:rsidP="0068254B">
      <w:pPr>
        <w:spacing w:after="0" w:line="240" w:lineRule="auto"/>
        <w:jc w:val="both"/>
        <w:rPr>
          <w:rFonts w:ascii="Arial Narrow" w:hAnsi="Arial Narrow"/>
        </w:rPr>
      </w:pPr>
      <w:r w:rsidRPr="00374A33">
        <w:rPr>
          <w:rFonts w:ascii="Arial Narrow" w:hAnsi="Arial Narrow"/>
        </w:rPr>
        <w:t xml:space="preserve">V záujme eliminácie krátenia prijatých tržieb finančná správa plánuje prepojenie </w:t>
      </w:r>
      <w:r w:rsidRPr="00374A33">
        <w:rPr>
          <w:rFonts w:ascii="Arial Narrow" w:hAnsi="Arial Narrow"/>
          <w:b/>
        </w:rPr>
        <w:t>elektronických registračných pokladníc</w:t>
      </w:r>
      <w:r w:rsidRPr="00374A33">
        <w:rPr>
          <w:rFonts w:ascii="Arial Narrow" w:hAnsi="Arial Narrow"/>
        </w:rPr>
        <w:t xml:space="preserve"> so systémami finančnej správy.</w:t>
      </w:r>
    </w:p>
    <w:p w14:paraId="691FE649" w14:textId="08568069" w:rsidR="00374A33" w:rsidRDefault="00374A33" w:rsidP="0068254B">
      <w:pPr>
        <w:spacing w:after="0" w:line="240" w:lineRule="auto"/>
        <w:jc w:val="both"/>
        <w:rPr>
          <w:rFonts w:ascii="Arial Narrow" w:hAnsi="Arial Narrow"/>
        </w:rPr>
      </w:pPr>
    </w:p>
    <w:p w14:paraId="3E3DD7B6" w14:textId="7988ED72" w:rsidR="00AF4850" w:rsidRDefault="008918C8" w:rsidP="0068254B">
      <w:pPr>
        <w:spacing w:after="0" w:line="240" w:lineRule="auto"/>
        <w:jc w:val="both"/>
        <w:rPr>
          <w:rFonts w:ascii="Arial Narrow" w:hAnsi="Arial Narrow"/>
        </w:rPr>
      </w:pPr>
      <w:r w:rsidRPr="00E71F1C">
        <w:rPr>
          <w:rFonts w:ascii="Arial Narrow" w:hAnsi="Arial Narrow"/>
        </w:rPr>
        <w:t xml:space="preserve">Finančná správa rozšíri využívanie </w:t>
      </w:r>
      <w:r w:rsidRPr="0068254B">
        <w:rPr>
          <w:rFonts w:ascii="Arial Narrow" w:hAnsi="Arial Narrow"/>
          <w:b/>
        </w:rPr>
        <w:t xml:space="preserve">systému </w:t>
      </w:r>
      <w:r w:rsidRPr="00E93C64">
        <w:rPr>
          <w:rFonts w:ascii="Arial Narrow" w:hAnsi="Arial Narrow"/>
          <w:b/>
          <w:i/>
        </w:rPr>
        <w:t>ALLADIN</w:t>
      </w:r>
      <w:r w:rsidRPr="0068254B">
        <w:rPr>
          <w:rFonts w:ascii="Arial Narrow" w:hAnsi="Arial Narrow"/>
          <w:b/>
        </w:rPr>
        <w:t xml:space="preserve"> na podporu kontrol</w:t>
      </w:r>
      <w:r w:rsidRPr="00E71F1C">
        <w:rPr>
          <w:rFonts w:ascii="Arial Narrow" w:hAnsi="Arial Narrow"/>
        </w:rPr>
        <w:t xml:space="preserve"> vykonávaných nielen colnými, ale aj daňovými úradmi a v oblasti </w:t>
      </w:r>
      <w:r w:rsidRPr="003840E7">
        <w:rPr>
          <w:rFonts w:ascii="Arial Narrow" w:hAnsi="Arial Narrow"/>
        </w:rPr>
        <w:t xml:space="preserve">medzinárodnej spolupráce bude pokračovať vo výmene </w:t>
      </w:r>
      <w:r w:rsidR="00374A33">
        <w:rPr>
          <w:rFonts w:ascii="Arial Narrow" w:hAnsi="Arial Narrow"/>
        </w:rPr>
        <w:t>informácií</w:t>
      </w:r>
      <w:r w:rsidR="00374A33" w:rsidRPr="003840E7">
        <w:rPr>
          <w:rFonts w:ascii="Arial Narrow" w:hAnsi="Arial Narrow"/>
        </w:rPr>
        <w:t xml:space="preserve"> </w:t>
      </w:r>
      <w:r w:rsidRPr="003840E7">
        <w:rPr>
          <w:rFonts w:ascii="Arial Narrow" w:hAnsi="Arial Narrow"/>
        </w:rPr>
        <w:t>týkajúcich sa daňových rezidentov.</w:t>
      </w:r>
    </w:p>
    <w:p w14:paraId="04AA1D28" w14:textId="77777777" w:rsidR="005763B5" w:rsidRDefault="005763B5" w:rsidP="00FB625E">
      <w:pPr>
        <w:spacing w:after="0" w:line="240" w:lineRule="auto"/>
        <w:jc w:val="both"/>
        <w:rPr>
          <w:rFonts w:ascii="Arial Narrow" w:hAnsi="Arial Narrow"/>
        </w:rPr>
      </w:pPr>
    </w:p>
    <w:p w14:paraId="0268F152" w14:textId="1281DD1E" w:rsidR="003C1DDF" w:rsidRDefault="001E6D10" w:rsidP="00257018">
      <w:pPr>
        <w:spacing w:after="0" w:line="240" w:lineRule="auto"/>
        <w:rPr>
          <w:rFonts w:ascii="Arial Narrow" w:hAnsi="Arial Narrow"/>
          <w:b/>
          <w:i/>
        </w:rPr>
      </w:pPr>
      <w:r>
        <w:rPr>
          <w:rFonts w:ascii="Arial Narrow" w:hAnsi="Arial Narrow"/>
          <w:b/>
          <w:i/>
        </w:rPr>
        <w:t>R</w:t>
      </w:r>
      <w:r w:rsidR="003D3D10">
        <w:rPr>
          <w:rFonts w:ascii="Arial Narrow" w:hAnsi="Arial Narrow"/>
          <w:b/>
          <w:i/>
        </w:rPr>
        <w:t>očné zúčtovanie</w:t>
      </w:r>
      <w:r w:rsidR="00257018">
        <w:rPr>
          <w:rFonts w:ascii="Arial Narrow" w:hAnsi="Arial Narrow"/>
          <w:b/>
          <w:i/>
        </w:rPr>
        <w:t xml:space="preserve"> daní a </w:t>
      </w:r>
      <w:r>
        <w:rPr>
          <w:rFonts w:ascii="Arial Narrow" w:hAnsi="Arial Narrow"/>
          <w:b/>
          <w:i/>
        </w:rPr>
        <w:t>sociálneho poistenia</w:t>
      </w:r>
    </w:p>
    <w:p w14:paraId="47791CAB" w14:textId="3BF84854" w:rsidR="00B160D7" w:rsidRDefault="00A51BA5" w:rsidP="00B160D7">
      <w:pPr>
        <w:spacing w:after="0" w:line="240" w:lineRule="auto"/>
        <w:jc w:val="both"/>
        <w:rPr>
          <w:rFonts w:ascii="Arial Narrow" w:hAnsi="Arial Narrow"/>
        </w:rPr>
      </w:pPr>
      <w:r>
        <w:rPr>
          <w:rFonts w:ascii="Arial Narrow" w:hAnsi="Arial Narrow"/>
        </w:rPr>
        <w:t xml:space="preserve">Do konca roku 2018 sa príjme </w:t>
      </w:r>
      <w:r w:rsidR="001E6D10">
        <w:rPr>
          <w:rFonts w:ascii="Arial Narrow" w:hAnsi="Arial Narrow"/>
        </w:rPr>
        <w:t xml:space="preserve">legislatíva </w:t>
      </w:r>
      <w:r w:rsidR="005E28B3">
        <w:rPr>
          <w:rFonts w:ascii="Arial Narrow" w:hAnsi="Arial Narrow"/>
        </w:rPr>
        <w:t xml:space="preserve">s cieľom zavedenia </w:t>
      </w:r>
      <w:r w:rsidR="001E6D10">
        <w:rPr>
          <w:rFonts w:ascii="Arial Narrow" w:hAnsi="Arial Narrow"/>
        </w:rPr>
        <w:t>ročné</w:t>
      </w:r>
      <w:r w:rsidR="005E28B3">
        <w:rPr>
          <w:rFonts w:ascii="Arial Narrow" w:hAnsi="Arial Narrow"/>
        </w:rPr>
        <w:t>ho zúčtovania</w:t>
      </w:r>
      <w:r w:rsidR="001E6D10">
        <w:rPr>
          <w:rFonts w:ascii="Arial Narrow" w:hAnsi="Arial Narrow"/>
        </w:rPr>
        <w:t xml:space="preserve"> sociálneho p</w:t>
      </w:r>
      <w:r w:rsidR="00412361">
        <w:rPr>
          <w:rFonts w:ascii="Arial Narrow" w:hAnsi="Arial Narrow"/>
        </w:rPr>
        <w:t>o</w:t>
      </w:r>
      <w:r w:rsidR="001E6D10">
        <w:rPr>
          <w:rFonts w:ascii="Arial Narrow" w:hAnsi="Arial Narrow"/>
        </w:rPr>
        <w:t>istenia</w:t>
      </w:r>
      <w:r w:rsidR="006630A1">
        <w:rPr>
          <w:rFonts w:ascii="Arial Narrow" w:hAnsi="Arial Narrow"/>
        </w:rPr>
        <w:t xml:space="preserve"> </w:t>
      </w:r>
      <w:r w:rsidR="005E28B3">
        <w:rPr>
          <w:rFonts w:ascii="Arial Narrow" w:hAnsi="Arial Narrow"/>
        </w:rPr>
        <w:t xml:space="preserve">ako efektívneho nástroja na zamedzenie odvodovej </w:t>
      </w:r>
      <w:r w:rsidR="003D3D10" w:rsidRPr="003D3D10">
        <w:rPr>
          <w:rFonts w:ascii="Arial Narrow" w:hAnsi="Arial Narrow"/>
        </w:rPr>
        <w:t>optimali</w:t>
      </w:r>
      <w:r w:rsidR="005E28B3">
        <w:rPr>
          <w:rFonts w:ascii="Arial Narrow" w:hAnsi="Arial Narrow"/>
        </w:rPr>
        <w:t>zácie subjektov</w:t>
      </w:r>
      <w:r w:rsidR="00894035">
        <w:rPr>
          <w:rStyle w:val="Odkaznapoznmkupodiarou"/>
          <w:rFonts w:ascii="Arial Narrow" w:hAnsi="Arial Narrow"/>
        </w:rPr>
        <w:footnoteReference w:id="25"/>
      </w:r>
      <w:r w:rsidR="005E28B3">
        <w:rPr>
          <w:rFonts w:ascii="Arial Narrow" w:hAnsi="Arial Narrow"/>
        </w:rPr>
        <w:t xml:space="preserve">. </w:t>
      </w:r>
      <w:r w:rsidR="003D3D10" w:rsidRPr="003D3D10">
        <w:rPr>
          <w:rFonts w:ascii="Arial Narrow" w:hAnsi="Arial Narrow"/>
        </w:rPr>
        <w:t xml:space="preserve">Znížia sa </w:t>
      </w:r>
      <w:r w:rsidR="00257018">
        <w:rPr>
          <w:rFonts w:ascii="Arial Narrow" w:hAnsi="Arial Narrow"/>
        </w:rPr>
        <w:t xml:space="preserve">tým </w:t>
      </w:r>
      <w:r w:rsidR="003D3D10" w:rsidRPr="003D3D10">
        <w:rPr>
          <w:rFonts w:ascii="Arial Narrow" w:hAnsi="Arial Narrow"/>
        </w:rPr>
        <w:t>motivácie vykazovať vysoké odmeny v jednom mesiaci, vďaka čomu bude odvodové zaťaženie práce spravodlivejšie a príjmy štátu vyššie.</w:t>
      </w:r>
      <w:r w:rsidR="006630A1">
        <w:t xml:space="preserve"> </w:t>
      </w:r>
      <w:r w:rsidR="003415F9" w:rsidRPr="00A553B9">
        <w:rPr>
          <w:rFonts w:ascii="Arial Narrow" w:hAnsi="Arial Narrow"/>
        </w:rPr>
        <w:t xml:space="preserve">Platenie preddavkov na sociálne poistenie bude možné najskôr od </w:t>
      </w:r>
      <w:r w:rsidR="003415F9">
        <w:rPr>
          <w:rFonts w:ascii="Arial Narrow" w:hAnsi="Arial Narrow"/>
        </w:rPr>
        <w:t>januára 2019</w:t>
      </w:r>
      <w:r w:rsidR="003415F9" w:rsidRPr="00A553B9">
        <w:rPr>
          <w:rFonts w:ascii="Arial Narrow" w:hAnsi="Arial Narrow"/>
        </w:rPr>
        <w:t xml:space="preserve"> a výkon </w:t>
      </w:r>
      <w:r w:rsidR="003415F9" w:rsidRPr="00A553B9">
        <w:rPr>
          <w:rFonts w:ascii="Arial Narrow" w:hAnsi="Arial Narrow"/>
        </w:rPr>
        <w:lastRenderedPageBreak/>
        <w:t>ročného zúčtovania v sociál</w:t>
      </w:r>
      <w:r w:rsidR="003415F9">
        <w:rPr>
          <w:rFonts w:ascii="Arial Narrow" w:hAnsi="Arial Narrow"/>
        </w:rPr>
        <w:t>nom poistení najskôr v roku 2020</w:t>
      </w:r>
      <w:r w:rsidR="003415F9" w:rsidRPr="00A553B9">
        <w:rPr>
          <w:rFonts w:ascii="Arial Narrow" w:hAnsi="Arial Narrow"/>
        </w:rPr>
        <w:t xml:space="preserve"> </w:t>
      </w:r>
      <w:r w:rsidR="003415F9">
        <w:rPr>
          <w:rFonts w:ascii="Arial Narrow" w:hAnsi="Arial Narrow"/>
        </w:rPr>
        <w:t>za predošlý rok</w:t>
      </w:r>
      <w:r w:rsidR="003415F9" w:rsidRPr="00A553B9">
        <w:rPr>
          <w:rFonts w:ascii="Arial Narrow" w:hAnsi="Arial Narrow"/>
        </w:rPr>
        <w:t>.</w:t>
      </w:r>
      <w:r w:rsidR="0005133E">
        <w:rPr>
          <w:rFonts w:ascii="Arial Narrow" w:hAnsi="Arial Narrow"/>
        </w:rPr>
        <w:t xml:space="preserve"> </w:t>
      </w:r>
      <w:r w:rsidR="00257018" w:rsidRPr="00257018">
        <w:rPr>
          <w:rFonts w:ascii="Arial Narrow" w:hAnsi="Arial Narrow"/>
        </w:rPr>
        <w:t xml:space="preserve">Odhadovaný pozitívny vplyv na daňové a odvodové príjmy VS </w:t>
      </w:r>
      <w:r w:rsidR="00257018">
        <w:rPr>
          <w:rFonts w:ascii="Arial Narrow" w:hAnsi="Arial Narrow"/>
        </w:rPr>
        <w:t xml:space="preserve">predstavujú </w:t>
      </w:r>
      <w:r w:rsidR="00257018" w:rsidRPr="00257018">
        <w:rPr>
          <w:rFonts w:ascii="Arial Narrow" w:hAnsi="Arial Narrow"/>
        </w:rPr>
        <w:t>zhruba 49 mil. eur, v závislosti od finálneho návrhu</w:t>
      </w:r>
      <w:r w:rsidR="00257018">
        <w:rPr>
          <w:rFonts w:ascii="Arial Narrow" w:hAnsi="Arial Narrow"/>
        </w:rPr>
        <w:t xml:space="preserve"> a bez nákladov implementácie</w:t>
      </w:r>
      <w:r w:rsidR="00257018" w:rsidRPr="00257018">
        <w:rPr>
          <w:rFonts w:ascii="Arial Narrow" w:hAnsi="Arial Narrow"/>
        </w:rPr>
        <w:t xml:space="preserve">. Pri súčasnej akrualizácii sociálnych odvodov </w:t>
      </w:r>
      <w:r w:rsidR="00412361">
        <w:rPr>
          <w:rFonts w:ascii="Arial Narrow" w:hAnsi="Arial Narrow"/>
        </w:rPr>
        <w:t xml:space="preserve">sa očakáva </w:t>
      </w:r>
      <w:r w:rsidR="00257018" w:rsidRPr="00257018">
        <w:rPr>
          <w:rFonts w:ascii="Arial Narrow" w:hAnsi="Arial Narrow"/>
        </w:rPr>
        <w:t xml:space="preserve">akruálny vplyv až v roku 2020. </w:t>
      </w:r>
    </w:p>
    <w:p w14:paraId="3BFC1A8D" w14:textId="77777777" w:rsidR="008423BB" w:rsidRPr="00257018" w:rsidRDefault="008423BB" w:rsidP="00257018">
      <w:pPr>
        <w:spacing w:after="0" w:line="240" w:lineRule="auto"/>
        <w:rPr>
          <w:rFonts w:ascii="Arial Narrow" w:hAnsi="Arial Narrow"/>
        </w:rPr>
      </w:pPr>
    </w:p>
    <w:p w14:paraId="519361F9" w14:textId="51CCEC47" w:rsidR="008423BB" w:rsidRPr="00257018" w:rsidRDefault="008423BB" w:rsidP="00257018">
      <w:pPr>
        <w:spacing w:after="0" w:line="240" w:lineRule="auto"/>
        <w:rPr>
          <w:rFonts w:ascii="Arial Narrow" w:hAnsi="Arial Narrow"/>
          <w:b/>
          <w:i/>
        </w:rPr>
      </w:pPr>
      <w:r w:rsidRPr="00257018">
        <w:rPr>
          <w:rFonts w:ascii="Arial Narrow" w:hAnsi="Arial Narrow"/>
          <w:b/>
          <w:i/>
        </w:rPr>
        <w:t xml:space="preserve">Daňová úľava pri podpore bývania </w:t>
      </w:r>
      <w:r w:rsidR="00997219" w:rsidRPr="00257018">
        <w:rPr>
          <w:rFonts w:ascii="Arial Narrow" w:hAnsi="Arial Narrow"/>
          <w:b/>
          <w:i/>
        </w:rPr>
        <w:tab/>
      </w:r>
    </w:p>
    <w:p w14:paraId="6181B59F" w14:textId="58A9866D" w:rsidR="00796EAB" w:rsidRPr="001E6D10" w:rsidRDefault="008423BB" w:rsidP="00257018">
      <w:pPr>
        <w:spacing w:after="0" w:line="240" w:lineRule="auto"/>
        <w:jc w:val="both"/>
        <w:rPr>
          <w:rFonts w:ascii="Arial Narrow" w:hAnsi="Arial Narrow"/>
          <w:highlight w:val="lightGray"/>
        </w:rPr>
      </w:pPr>
      <w:r w:rsidRPr="00257018">
        <w:rPr>
          <w:rFonts w:ascii="Arial Narrow" w:hAnsi="Arial Narrow"/>
        </w:rPr>
        <w:t xml:space="preserve">Rezort financií plánuje </w:t>
      </w:r>
      <w:r w:rsidR="006630A1">
        <w:rPr>
          <w:rFonts w:ascii="Arial Narrow" w:hAnsi="Arial Narrow"/>
        </w:rPr>
        <w:t>zaviesť odpočí</w:t>
      </w:r>
      <w:r w:rsidR="00997219" w:rsidRPr="00257018">
        <w:rPr>
          <w:rFonts w:ascii="Arial Narrow" w:hAnsi="Arial Narrow"/>
        </w:rPr>
        <w:t>ta</w:t>
      </w:r>
      <w:r w:rsidR="006630A1">
        <w:rPr>
          <w:rFonts w:ascii="Arial Narrow" w:hAnsi="Arial Narrow"/>
        </w:rPr>
        <w:t>te</w:t>
      </w:r>
      <w:r w:rsidR="00997219" w:rsidRPr="00257018">
        <w:rPr>
          <w:rFonts w:ascii="Arial Narrow" w:hAnsi="Arial Narrow"/>
        </w:rPr>
        <w:t>ľnú položku od daňovej povinnosti pre mladých pri hypotekárnych úveroch. Od roku 2018 táto forma daňového bonusu nahradí súčasnú priamu bonifikáciu úrokovej sadzby formou</w:t>
      </w:r>
      <w:r w:rsidR="004B0627" w:rsidRPr="00257018">
        <w:rPr>
          <w:rFonts w:ascii="Arial Narrow" w:hAnsi="Arial Narrow"/>
        </w:rPr>
        <w:t xml:space="preserve"> štátneho príspevku pre mladých.</w:t>
      </w:r>
      <w:r w:rsidR="0031744B" w:rsidRPr="00257018">
        <w:rPr>
          <w:rFonts w:ascii="Arial Narrow" w:hAnsi="Arial Narrow"/>
        </w:rPr>
        <w:t xml:space="preserve"> Z daňovej úľavy budú môcť benefitovať bankoví kli</w:t>
      </w:r>
      <w:r w:rsidR="0031744B">
        <w:rPr>
          <w:rFonts w:ascii="Arial Narrow" w:hAnsi="Arial Narrow"/>
        </w:rPr>
        <w:t>enti pri rovnakých podmie</w:t>
      </w:r>
      <w:r w:rsidR="008F6CA0">
        <w:rPr>
          <w:rFonts w:ascii="Arial Narrow" w:hAnsi="Arial Narrow"/>
        </w:rPr>
        <w:t>n</w:t>
      </w:r>
      <w:r w:rsidR="0031744B">
        <w:rPr>
          <w:rFonts w:ascii="Arial Narrow" w:hAnsi="Arial Narrow"/>
        </w:rPr>
        <w:t xml:space="preserve">kach a úrokových sadzbách ako </w:t>
      </w:r>
      <w:r w:rsidR="00FD0715">
        <w:rPr>
          <w:rFonts w:ascii="Arial Narrow" w:hAnsi="Arial Narrow"/>
        </w:rPr>
        <w:t xml:space="preserve">ostatní </w:t>
      </w:r>
      <w:r w:rsidR="0031744B">
        <w:rPr>
          <w:rFonts w:ascii="Arial Narrow" w:hAnsi="Arial Narrow"/>
        </w:rPr>
        <w:t>klienti</w:t>
      </w:r>
      <w:r w:rsidR="00FD0715">
        <w:rPr>
          <w:rFonts w:ascii="Arial Narrow" w:hAnsi="Arial Narrow"/>
        </w:rPr>
        <w:t xml:space="preserve"> bánk</w:t>
      </w:r>
      <w:r w:rsidR="0031744B">
        <w:rPr>
          <w:rFonts w:ascii="Arial Narrow" w:hAnsi="Arial Narrow"/>
        </w:rPr>
        <w:t>.</w:t>
      </w:r>
      <w:r w:rsidR="009322F1">
        <w:rPr>
          <w:rFonts w:ascii="Arial Narrow" w:hAnsi="Arial Narrow"/>
        </w:rPr>
        <w:t xml:space="preserve"> Opatrenie zvýši adresnosť a hodnotu podpory bývania pri rovnakých nákladoch štátu.</w:t>
      </w:r>
      <w:r w:rsidR="00AC566A">
        <w:rPr>
          <w:rFonts w:ascii="Arial Narrow" w:hAnsi="Arial Narrow"/>
        </w:rPr>
        <w:t xml:space="preserve"> </w:t>
      </w:r>
      <w:r w:rsidR="00796EAB" w:rsidRPr="00256D89">
        <w:rPr>
          <w:rFonts w:ascii="Arial Narrow" w:hAnsi="Arial Narrow"/>
          <w:color w:val="2C9ADC"/>
          <w:sz w:val="32"/>
          <w:szCs w:val="28"/>
        </w:rPr>
        <w:br w:type="page"/>
      </w:r>
    </w:p>
    <w:p w14:paraId="4821914B" w14:textId="2B92EAF8" w:rsidR="00827618" w:rsidRPr="00256D89" w:rsidRDefault="00827618" w:rsidP="00FB625E">
      <w:pPr>
        <w:pStyle w:val="Nadpis2"/>
        <w:numPr>
          <w:ilvl w:val="1"/>
          <w:numId w:val="1"/>
        </w:numPr>
        <w:spacing w:after="240" w:line="240" w:lineRule="auto"/>
        <w:jc w:val="both"/>
        <w:rPr>
          <w:rFonts w:ascii="Arial Narrow" w:hAnsi="Arial Narrow"/>
          <w:color w:val="2C9ADC"/>
          <w:sz w:val="32"/>
          <w:szCs w:val="28"/>
        </w:rPr>
      </w:pPr>
      <w:bookmarkStart w:id="24" w:name="_Toc477259948"/>
      <w:r w:rsidRPr="00256D89">
        <w:rPr>
          <w:rFonts w:ascii="Arial Narrow" w:hAnsi="Arial Narrow"/>
          <w:color w:val="2C9ADC"/>
          <w:sz w:val="32"/>
          <w:szCs w:val="28"/>
        </w:rPr>
        <w:lastRenderedPageBreak/>
        <w:t>Vzdelávanie, veda a</w:t>
      </w:r>
      <w:r w:rsidR="00613555" w:rsidRPr="00256D89">
        <w:rPr>
          <w:rFonts w:ascii="Arial Narrow" w:hAnsi="Arial Narrow"/>
          <w:color w:val="2C9ADC"/>
          <w:sz w:val="32"/>
          <w:szCs w:val="28"/>
        </w:rPr>
        <w:t> </w:t>
      </w:r>
      <w:r w:rsidRPr="00256D89">
        <w:rPr>
          <w:rFonts w:ascii="Arial Narrow" w:hAnsi="Arial Narrow"/>
          <w:color w:val="2C9ADC"/>
          <w:sz w:val="32"/>
          <w:szCs w:val="28"/>
        </w:rPr>
        <w:t>inovácie</w:t>
      </w:r>
      <w:bookmarkEnd w:id="17"/>
      <w:bookmarkEnd w:id="24"/>
    </w:p>
    <w:p w14:paraId="21CF43BA" w14:textId="77AFF16C" w:rsidR="00192B7E" w:rsidRDefault="00A51BA5" w:rsidP="00FB625E">
      <w:pPr>
        <w:pStyle w:val="Odsekzoznamu"/>
        <w:spacing w:after="0" w:line="240" w:lineRule="auto"/>
        <w:ind w:left="0"/>
        <w:jc w:val="both"/>
        <w:rPr>
          <w:rFonts w:ascii="Arial Narrow" w:hAnsi="Arial Narrow" w:cs="Arial Narrow"/>
          <w:i/>
        </w:rPr>
      </w:pPr>
      <w:r>
        <w:rPr>
          <w:rFonts w:ascii="Arial Narrow" w:hAnsi="Arial Narrow" w:cs="Arial Narrow"/>
          <w:i/>
        </w:rPr>
        <w:t>N</w:t>
      </w:r>
      <w:r w:rsidR="00891683">
        <w:rPr>
          <w:rFonts w:ascii="Arial Narrow" w:hAnsi="Arial Narrow" w:cs="Arial Narrow"/>
          <w:i/>
        </w:rPr>
        <w:t>apriek nárastu zdrojov v posledných rokoch</w:t>
      </w:r>
      <w:r>
        <w:rPr>
          <w:rFonts w:ascii="Arial Narrow" w:hAnsi="Arial Narrow" w:cs="Arial Narrow"/>
          <w:i/>
        </w:rPr>
        <w:t xml:space="preserve"> sa výsledky regionálneho školstva zhoršili</w:t>
      </w:r>
      <w:r w:rsidR="00891683">
        <w:rPr>
          <w:rFonts w:ascii="Arial Narrow" w:hAnsi="Arial Narrow" w:cs="Arial Narrow"/>
          <w:i/>
        </w:rPr>
        <w:t xml:space="preserve">. </w:t>
      </w:r>
      <w:r w:rsidR="00925AB8">
        <w:rPr>
          <w:rFonts w:ascii="Arial Narrow" w:hAnsi="Arial Narrow" w:cs="Arial Narrow"/>
          <w:i/>
        </w:rPr>
        <w:t xml:space="preserve">V roku 2017 sa uskutoční revízia výdavkov </w:t>
      </w:r>
      <w:r w:rsidR="00925AB8" w:rsidRPr="00BA0E8B">
        <w:rPr>
          <w:rFonts w:ascii="Arial Narrow" w:hAnsi="Arial Narrow" w:cs="Arial Narrow"/>
          <w:i/>
        </w:rPr>
        <w:t>na regionálne a vysoké školstvo s cieľom efektívne alokovať dodatočné zdroje plynúce do školstva.</w:t>
      </w:r>
      <w:r w:rsidR="00925AB8">
        <w:rPr>
          <w:rFonts w:ascii="Arial Narrow" w:hAnsi="Arial Narrow" w:cs="Arial Narrow"/>
          <w:i/>
        </w:rPr>
        <w:t xml:space="preserve"> </w:t>
      </w:r>
      <w:r w:rsidR="00D4706F">
        <w:rPr>
          <w:rFonts w:ascii="Arial Narrow" w:hAnsi="Arial Narrow" w:cs="Arial Narrow"/>
          <w:i/>
        </w:rPr>
        <w:t xml:space="preserve">Pokračuje </w:t>
      </w:r>
      <w:r w:rsidR="00192B7E" w:rsidRPr="00B04EEB">
        <w:rPr>
          <w:rFonts w:ascii="Arial Narrow" w:hAnsi="Arial Narrow" w:cs="Arial Narrow"/>
          <w:i/>
        </w:rPr>
        <w:t>zvyšovanie atraktivity učiteľského povolania najmä zvyšovaním platov učiteľov</w:t>
      </w:r>
      <w:r w:rsidR="00DF6DC9">
        <w:rPr>
          <w:rFonts w:ascii="Arial Narrow" w:hAnsi="Arial Narrow" w:cs="Arial Narrow"/>
          <w:i/>
        </w:rPr>
        <w:t xml:space="preserve">. Rozšíria sa kapacity </w:t>
      </w:r>
      <w:r w:rsidR="007835E5">
        <w:rPr>
          <w:rFonts w:ascii="Arial Narrow" w:hAnsi="Arial Narrow" w:cs="Arial Narrow"/>
          <w:i/>
        </w:rPr>
        <w:t xml:space="preserve">materských škôl </w:t>
      </w:r>
      <w:r w:rsidR="00DF6DC9">
        <w:rPr>
          <w:rFonts w:ascii="Arial Narrow" w:hAnsi="Arial Narrow" w:cs="Arial Narrow"/>
          <w:i/>
        </w:rPr>
        <w:t>a podporí sa</w:t>
      </w:r>
      <w:r w:rsidR="00DF6DC9" w:rsidRPr="00B04EEB">
        <w:rPr>
          <w:rFonts w:ascii="Arial Narrow" w:hAnsi="Arial Narrow" w:cs="Arial Narrow"/>
          <w:i/>
        </w:rPr>
        <w:t xml:space="preserve"> za</w:t>
      </w:r>
      <w:r w:rsidR="00DF6DC9" w:rsidRPr="00B04EEB">
        <w:rPr>
          <w:rFonts w:ascii="Arial Narrow" w:hAnsi="Arial Narrow"/>
          <w:i/>
        </w:rPr>
        <w:t>č</w:t>
      </w:r>
      <w:r w:rsidR="00DF6DC9" w:rsidRPr="00B04EEB">
        <w:rPr>
          <w:rFonts w:ascii="Arial Narrow" w:hAnsi="Arial Narrow" w:cs="Arial Narrow"/>
          <w:i/>
        </w:rPr>
        <w:t>le</w:t>
      </w:r>
      <w:r w:rsidR="00DF6DC9" w:rsidRPr="00B04EEB">
        <w:rPr>
          <w:rFonts w:ascii="Arial Narrow" w:hAnsi="Arial Narrow"/>
          <w:i/>
        </w:rPr>
        <w:t>ň</w:t>
      </w:r>
      <w:r w:rsidR="00DF6DC9">
        <w:rPr>
          <w:rFonts w:ascii="Arial Narrow" w:hAnsi="Arial Narrow" w:cs="Arial Narrow"/>
          <w:i/>
        </w:rPr>
        <w:t xml:space="preserve">ovanie detí z MRK do vzdelávania. </w:t>
      </w:r>
      <w:r w:rsidR="001C6E2E" w:rsidRPr="001C6E2E">
        <w:rPr>
          <w:rFonts w:ascii="Arial Narrow" w:hAnsi="Arial Narrow" w:cs="Arial Narrow"/>
          <w:i/>
        </w:rPr>
        <w:t>V oblasti vysokého školstva sa reformuje akreditačná kom</w:t>
      </w:r>
      <w:r w:rsidR="0046081B">
        <w:rPr>
          <w:rFonts w:ascii="Arial Narrow" w:hAnsi="Arial Narrow" w:cs="Arial Narrow"/>
          <w:i/>
        </w:rPr>
        <w:t>i</w:t>
      </w:r>
      <w:r w:rsidR="001C6E2E" w:rsidRPr="001C6E2E">
        <w:rPr>
          <w:rFonts w:ascii="Arial Narrow" w:hAnsi="Arial Narrow" w:cs="Arial Narrow"/>
          <w:i/>
        </w:rPr>
        <w:t>sia a proces akreditácie, posilní sa adresnosť nástrojov na zvýšenie dostupnosti vysokoškolského vzdelávania, profesijne orientované vysokoškolské študijné programy</w:t>
      </w:r>
      <w:r w:rsidR="001C6E2E">
        <w:rPr>
          <w:rFonts w:ascii="Arial Narrow" w:hAnsi="Arial Narrow" w:cs="Arial Narrow"/>
          <w:i/>
        </w:rPr>
        <w:t xml:space="preserve"> </w:t>
      </w:r>
      <w:r w:rsidR="001C6E2E" w:rsidRPr="001C6E2E">
        <w:rPr>
          <w:rFonts w:ascii="Arial Narrow" w:hAnsi="Arial Narrow" w:cs="Arial Narrow"/>
          <w:i/>
        </w:rPr>
        <w:t>zabezpečia lepšiu prepojenosť s trhom práce. Opatrenia na zlepšenie vedy, výskumu a inovácií by mali zvýšiť podiel grantového financovania vedeckej a výskumnej činnosti, transform</w:t>
      </w:r>
      <w:r w:rsidR="001C6E2E">
        <w:rPr>
          <w:rFonts w:ascii="Arial Narrow" w:hAnsi="Arial Narrow" w:cs="Arial Narrow"/>
          <w:i/>
        </w:rPr>
        <w:t>uje sa Slovenská akadémia vied.</w:t>
      </w:r>
    </w:p>
    <w:p w14:paraId="2766064C" w14:textId="77777777" w:rsidR="00192B7E" w:rsidRDefault="00192B7E" w:rsidP="00FB625E">
      <w:pPr>
        <w:pStyle w:val="Odsekzoznamu"/>
        <w:spacing w:after="0" w:line="240" w:lineRule="auto"/>
        <w:ind w:left="0"/>
        <w:jc w:val="both"/>
        <w:rPr>
          <w:rFonts w:ascii="Arial Narrow" w:hAnsi="Arial Narrow"/>
        </w:rPr>
      </w:pPr>
    </w:p>
    <w:tbl>
      <w:tblPr>
        <w:tblW w:w="8624" w:type="dxa"/>
        <w:jc w:val="center"/>
        <w:tblCellMar>
          <w:left w:w="70" w:type="dxa"/>
          <w:right w:w="70" w:type="dxa"/>
        </w:tblCellMar>
        <w:tblLook w:val="04A0" w:firstRow="1" w:lastRow="0" w:firstColumn="1" w:lastColumn="0" w:noHBand="0" w:noVBand="1"/>
      </w:tblPr>
      <w:tblGrid>
        <w:gridCol w:w="3404"/>
        <w:gridCol w:w="621"/>
        <w:gridCol w:w="511"/>
        <w:gridCol w:w="511"/>
        <w:gridCol w:w="511"/>
        <w:gridCol w:w="511"/>
        <w:gridCol w:w="511"/>
        <w:gridCol w:w="511"/>
        <w:gridCol w:w="511"/>
        <w:gridCol w:w="511"/>
        <w:gridCol w:w="511"/>
      </w:tblGrid>
      <w:tr w:rsidR="002A4439" w:rsidRPr="00181935" w14:paraId="434A1D13" w14:textId="77777777" w:rsidTr="002A4439">
        <w:trPr>
          <w:trHeight w:val="300"/>
          <w:jc w:val="center"/>
        </w:trPr>
        <w:tc>
          <w:tcPr>
            <w:tcW w:w="8624" w:type="dxa"/>
            <w:gridSpan w:val="11"/>
            <w:tcBorders>
              <w:top w:val="nil"/>
              <w:left w:val="nil"/>
              <w:bottom w:val="single" w:sz="4" w:space="0" w:color="auto"/>
              <w:right w:val="nil"/>
            </w:tcBorders>
            <w:shd w:val="clear" w:color="auto" w:fill="auto"/>
            <w:noWrap/>
            <w:vAlign w:val="center"/>
            <w:hideMark/>
          </w:tcPr>
          <w:p w14:paraId="100C4F47" w14:textId="77777777" w:rsidR="002A4439" w:rsidRPr="00181935" w:rsidRDefault="002A4439" w:rsidP="00FB625E">
            <w:pPr>
              <w:spacing w:after="0" w:line="240" w:lineRule="auto"/>
              <w:rPr>
                <w:rFonts w:ascii="Arial Narrow" w:hAnsi="Arial Narrow"/>
                <w:b/>
                <w:bCs/>
                <w:color w:val="2C9ADC"/>
                <w:sz w:val="20"/>
                <w:szCs w:val="20"/>
              </w:rPr>
            </w:pPr>
            <w:r w:rsidRPr="00181935">
              <w:rPr>
                <w:rFonts w:ascii="Arial Narrow" w:hAnsi="Arial Narrow"/>
                <w:b/>
                <w:bCs/>
                <w:color w:val="2C9ADC"/>
                <w:sz w:val="20"/>
                <w:szCs w:val="20"/>
              </w:rPr>
              <w:t>Výsledkové indikátory pre vzdelávanie, vedu a inovácie</w:t>
            </w:r>
          </w:p>
        </w:tc>
      </w:tr>
      <w:tr w:rsidR="002A4439" w:rsidRPr="00181935" w14:paraId="4B5F21D3" w14:textId="77777777" w:rsidTr="002A4439">
        <w:trPr>
          <w:trHeight w:val="420"/>
          <w:jc w:val="center"/>
        </w:trPr>
        <w:tc>
          <w:tcPr>
            <w:tcW w:w="3404" w:type="dxa"/>
            <w:tcBorders>
              <w:top w:val="nil"/>
              <w:left w:val="nil"/>
              <w:bottom w:val="single" w:sz="4" w:space="0" w:color="auto"/>
              <w:right w:val="nil"/>
            </w:tcBorders>
            <w:shd w:val="clear" w:color="auto" w:fill="auto"/>
            <w:noWrap/>
            <w:vAlign w:val="center"/>
            <w:hideMark/>
          </w:tcPr>
          <w:p w14:paraId="0D4A4A48" w14:textId="77777777" w:rsidR="002A4439" w:rsidRPr="00181935" w:rsidRDefault="002A4439" w:rsidP="00FB625E">
            <w:pPr>
              <w:spacing w:after="0" w:line="240" w:lineRule="auto"/>
              <w:rPr>
                <w:rFonts w:ascii="Arial Narrow" w:hAnsi="Arial Narrow"/>
                <w:b/>
                <w:bCs/>
                <w:sz w:val="20"/>
                <w:szCs w:val="20"/>
              </w:rPr>
            </w:pPr>
            <w:r w:rsidRPr="00181935">
              <w:rPr>
                <w:rFonts w:ascii="Arial Narrow" w:hAnsi="Arial Narrow"/>
                <w:b/>
                <w:bCs/>
                <w:sz w:val="20"/>
                <w:szCs w:val="20"/>
              </w:rPr>
              <w:t> </w:t>
            </w:r>
          </w:p>
        </w:tc>
        <w:tc>
          <w:tcPr>
            <w:tcW w:w="621" w:type="dxa"/>
            <w:tcBorders>
              <w:top w:val="nil"/>
              <w:left w:val="nil"/>
              <w:bottom w:val="single" w:sz="4" w:space="0" w:color="auto"/>
              <w:right w:val="nil"/>
            </w:tcBorders>
            <w:shd w:val="clear" w:color="auto" w:fill="auto"/>
            <w:noWrap/>
            <w:vAlign w:val="center"/>
            <w:hideMark/>
          </w:tcPr>
          <w:p w14:paraId="7610609A" w14:textId="77777777" w:rsidR="002A4439" w:rsidRPr="00181935" w:rsidRDefault="002A4439" w:rsidP="00FB625E">
            <w:pPr>
              <w:spacing w:after="0" w:line="240" w:lineRule="auto"/>
              <w:rPr>
                <w:rFonts w:ascii="Arial Narrow" w:hAnsi="Arial Narrow"/>
                <w:b/>
                <w:bCs/>
                <w:sz w:val="20"/>
                <w:szCs w:val="20"/>
              </w:rPr>
            </w:pPr>
            <w:r w:rsidRPr="00181935">
              <w:rPr>
                <w:rFonts w:ascii="Arial Narrow" w:hAnsi="Arial Narrow"/>
                <w:b/>
                <w:bCs/>
                <w:sz w:val="20"/>
                <w:szCs w:val="20"/>
              </w:rPr>
              <w:t> </w:t>
            </w:r>
          </w:p>
        </w:tc>
        <w:tc>
          <w:tcPr>
            <w:tcW w:w="511" w:type="dxa"/>
            <w:tcBorders>
              <w:top w:val="nil"/>
              <w:left w:val="nil"/>
              <w:bottom w:val="single" w:sz="4" w:space="0" w:color="auto"/>
              <w:right w:val="nil"/>
            </w:tcBorders>
            <w:shd w:val="clear" w:color="auto" w:fill="auto"/>
            <w:vAlign w:val="center"/>
            <w:hideMark/>
          </w:tcPr>
          <w:p w14:paraId="6D56F9D7"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2008</w:t>
            </w:r>
          </w:p>
        </w:tc>
        <w:tc>
          <w:tcPr>
            <w:tcW w:w="511" w:type="dxa"/>
            <w:tcBorders>
              <w:top w:val="nil"/>
              <w:left w:val="nil"/>
              <w:bottom w:val="single" w:sz="4" w:space="0" w:color="auto"/>
              <w:right w:val="nil"/>
            </w:tcBorders>
            <w:shd w:val="clear" w:color="auto" w:fill="auto"/>
            <w:vAlign w:val="center"/>
            <w:hideMark/>
          </w:tcPr>
          <w:p w14:paraId="3CBB9DB9"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2009</w:t>
            </w:r>
          </w:p>
        </w:tc>
        <w:tc>
          <w:tcPr>
            <w:tcW w:w="511" w:type="dxa"/>
            <w:tcBorders>
              <w:top w:val="nil"/>
              <w:left w:val="nil"/>
              <w:bottom w:val="single" w:sz="4" w:space="0" w:color="auto"/>
              <w:right w:val="nil"/>
            </w:tcBorders>
            <w:shd w:val="clear" w:color="auto" w:fill="auto"/>
            <w:vAlign w:val="center"/>
            <w:hideMark/>
          </w:tcPr>
          <w:p w14:paraId="049E9C5A"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2010</w:t>
            </w:r>
          </w:p>
        </w:tc>
        <w:tc>
          <w:tcPr>
            <w:tcW w:w="511" w:type="dxa"/>
            <w:tcBorders>
              <w:top w:val="nil"/>
              <w:left w:val="nil"/>
              <w:bottom w:val="single" w:sz="4" w:space="0" w:color="auto"/>
              <w:right w:val="nil"/>
            </w:tcBorders>
            <w:shd w:val="clear" w:color="auto" w:fill="auto"/>
            <w:vAlign w:val="center"/>
            <w:hideMark/>
          </w:tcPr>
          <w:p w14:paraId="53E0C983"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2011</w:t>
            </w:r>
          </w:p>
        </w:tc>
        <w:tc>
          <w:tcPr>
            <w:tcW w:w="511" w:type="dxa"/>
            <w:tcBorders>
              <w:top w:val="nil"/>
              <w:left w:val="nil"/>
              <w:bottom w:val="single" w:sz="4" w:space="0" w:color="auto"/>
              <w:right w:val="nil"/>
            </w:tcBorders>
            <w:shd w:val="clear" w:color="auto" w:fill="auto"/>
            <w:vAlign w:val="center"/>
            <w:hideMark/>
          </w:tcPr>
          <w:p w14:paraId="719F95DB"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2012</w:t>
            </w:r>
          </w:p>
        </w:tc>
        <w:tc>
          <w:tcPr>
            <w:tcW w:w="511" w:type="dxa"/>
            <w:tcBorders>
              <w:top w:val="nil"/>
              <w:left w:val="nil"/>
              <w:bottom w:val="single" w:sz="4" w:space="0" w:color="auto"/>
              <w:right w:val="nil"/>
            </w:tcBorders>
            <w:shd w:val="clear" w:color="auto" w:fill="auto"/>
            <w:vAlign w:val="center"/>
            <w:hideMark/>
          </w:tcPr>
          <w:p w14:paraId="1244E8A6"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2013</w:t>
            </w:r>
          </w:p>
        </w:tc>
        <w:tc>
          <w:tcPr>
            <w:tcW w:w="511" w:type="dxa"/>
            <w:tcBorders>
              <w:top w:val="nil"/>
              <w:left w:val="nil"/>
              <w:bottom w:val="single" w:sz="4" w:space="0" w:color="auto"/>
              <w:right w:val="nil"/>
            </w:tcBorders>
            <w:shd w:val="clear" w:color="auto" w:fill="auto"/>
            <w:vAlign w:val="center"/>
            <w:hideMark/>
          </w:tcPr>
          <w:p w14:paraId="789DE5F8"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2014</w:t>
            </w:r>
          </w:p>
        </w:tc>
        <w:tc>
          <w:tcPr>
            <w:tcW w:w="511" w:type="dxa"/>
            <w:tcBorders>
              <w:top w:val="nil"/>
              <w:left w:val="nil"/>
              <w:bottom w:val="single" w:sz="4" w:space="0" w:color="auto"/>
              <w:right w:val="nil"/>
            </w:tcBorders>
            <w:shd w:val="clear" w:color="auto" w:fill="auto"/>
            <w:vAlign w:val="center"/>
            <w:hideMark/>
          </w:tcPr>
          <w:p w14:paraId="5C8C47BD"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2015</w:t>
            </w:r>
          </w:p>
        </w:tc>
        <w:tc>
          <w:tcPr>
            <w:tcW w:w="511" w:type="dxa"/>
            <w:tcBorders>
              <w:top w:val="nil"/>
              <w:left w:val="nil"/>
              <w:bottom w:val="single" w:sz="4" w:space="0" w:color="auto"/>
              <w:right w:val="nil"/>
            </w:tcBorders>
            <w:shd w:val="clear" w:color="auto" w:fill="auto"/>
            <w:vAlign w:val="center"/>
            <w:hideMark/>
          </w:tcPr>
          <w:p w14:paraId="0CA90630" w14:textId="77777777" w:rsidR="002A4439" w:rsidRPr="00181935" w:rsidRDefault="002A4439" w:rsidP="00FB625E">
            <w:pPr>
              <w:spacing w:after="0" w:line="240" w:lineRule="auto"/>
              <w:jc w:val="center"/>
              <w:rPr>
                <w:rFonts w:ascii="Arial Narrow" w:hAnsi="Arial Narrow"/>
                <w:b/>
                <w:bCs/>
                <w:sz w:val="20"/>
                <w:szCs w:val="20"/>
              </w:rPr>
            </w:pPr>
            <w:r w:rsidRPr="00181935">
              <w:rPr>
                <w:rFonts w:ascii="Arial Narrow" w:hAnsi="Arial Narrow"/>
                <w:b/>
                <w:bCs/>
                <w:sz w:val="20"/>
                <w:szCs w:val="20"/>
              </w:rPr>
              <w:t>Cieľ 2020</w:t>
            </w:r>
          </w:p>
        </w:tc>
      </w:tr>
      <w:tr w:rsidR="002A4439" w:rsidRPr="00181935" w14:paraId="654521ED"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1BA172F2" w14:textId="77777777" w:rsidR="002A4439" w:rsidRPr="00181935" w:rsidRDefault="002A4439" w:rsidP="00FB625E">
            <w:pPr>
              <w:spacing w:after="0" w:line="240" w:lineRule="auto"/>
              <w:jc w:val="both"/>
              <w:rPr>
                <w:rFonts w:ascii="Arial Narrow" w:hAnsi="Arial Narrow"/>
                <w:b/>
                <w:bCs/>
                <w:color w:val="000000"/>
                <w:sz w:val="20"/>
                <w:szCs w:val="20"/>
              </w:rPr>
            </w:pPr>
            <w:r w:rsidRPr="00181935">
              <w:rPr>
                <w:rFonts w:ascii="Arial Narrow" w:hAnsi="Arial Narrow"/>
                <w:b/>
                <w:bCs/>
                <w:color w:val="000000"/>
                <w:sz w:val="20"/>
                <w:szCs w:val="20"/>
              </w:rPr>
              <w:t>PISA</w:t>
            </w:r>
          </w:p>
        </w:tc>
        <w:tc>
          <w:tcPr>
            <w:tcW w:w="621" w:type="dxa"/>
            <w:tcBorders>
              <w:top w:val="nil"/>
              <w:left w:val="nil"/>
              <w:bottom w:val="nil"/>
              <w:right w:val="nil"/>
            </w:tcBorders>
            <w:shd w:val="clear" w:color="auto" w:fill="auto"/>
            <w:noWrap/>
            <w:vAlign w:val="center"/>
            <w:hideMark/>
          </w:tcPr>
          <w:p w14:paraId="1BC378D8"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nil"/>
              <w:left w:val="nil"/>
              <w:bottom w:val="nil"/>
              <w:right w:val="nil"/>
            </w:tcBorders>
            <w:shd w:val="clear" w:color="auto" w:fill="auto"/>
            <w:vAlign w:val="center"/>
            <w:hideMark/>
          </w:tcPr>
          <w:p w14:paraId="34FFC28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52D6502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488</w:t>
            </w:r>
          </w:p>
        </w:tc>
        <w:tc>
          <w:tcPr>
            <w:tcW w:w="511" w:type="dxa"/>
            <w:tcBorders>
              <w:top w:val="nil"/>
              <w:left w:val="nil"/>
              <w:bottom w:val="nil"/>
              <w:right w:val="nil"/>
            </w:tcBorders>
            <w:shd w:val="clear" w:color="auto" w:fill="auto"/>
            <w:vAlign w:val="center"/>
            <w:hideMark/>
          </w:tcPr>
          <w:p w14:paraId="02CE520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402D5FD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27C25C4E"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472</w:t>
            </w:r>
          </w:p>
        </w:tc>
        <w:tc>
          <w:tcPr>
            <w:tcW w:w="511" w:type="dxa"/>
            <w:tcBorders>
              <w:top w:val="nil"/>
              <w:left w:val="nil"/>
              <w:bottom w:val="nil"/>
              <w:right w:val="nil"/>
            </w:tcBorders>
            <w:shd w:val="clear" w:color="auto" w:fill="auto"/>
            <w:vAlign w:val="center"/>
            <w:hideMark/>
          </w:tcPr>
          <w:p w14:paraId="665BD25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nil"/>
              <w:right w:val="nil"/>
            </w:tcBorders>
            <w:shd w:val="clear" w:color="auto" w:fill="auto"/>
            <w:vAlign w:val="center"/>
            <w:hideMark/>
          </w:tcPr>
          <w:p w14:paraId="6BA1EBD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nil"/>
              <w:right w:val="nil"/>
            </w:tcBorders>
            <w:shd w:val="clear" w:color="auto" w:fill="auto"/>
            <w:vAlign w:val="center"/>
            <w:hideMark/>
          </w:tcPr>
          <w:p w14:paraId="3DE15778"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463</w:t>
            </w:r>
          </w:p>
        </w:tc>
        <w:tc>
          <w:tcPr>
            <w:tcW w:w="511" w:type="dxa"/>
            <w:tcBorders>
              <w:top w:val="nil"/>
              <w:left w:val="nil"/>
              <w:bottom w:val="nil"/>
              <w:right w:val="nil"/>
            </w:tcBorders>
            <w:shd w:val="clear" w:color="auto" w:fill="auto"/>
            <w:vAlign w:val="center"/>
            <w:hideMark/>
          </w:tcPr>
          <w:p w14:paraId="08E571A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505</w:t>
            </w:r>
          </w:p>
        </w:tc>
      </w:tr>
      <w:tr w:rsidR="002A4439" w:rsidRPr="00181935" w14:paraId="53481DD2"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28336547"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(priemer dosiahnutých bodov)</w:t>
            </w:r>
          </w:p>
        </w:tc>
        <w:tc>
          <w:tcPr>
            <w:tcW w:w="621" w:type="dxa"/>
            <w:tcBorders>
              <w:top w:val="nil"/>
              <w:left w:val="nil"/>
              <w:bottom w:val="nil"/>
              <w:right w:val="nil"/>
            </w:tcBorders>
            <w:shd w:val="clear" w:color="auto" w:fill="auto"/>
            <w:noWrap/>
            <w:vAlign w:val="center"/>
            <w:hideMark/>
          </w:tcPr>
          <w:p w14:paraId="56C12903"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OECD</w:t>
            </w:r>
          </w:p>
        </w:tc>
        <w:tc>
          <w:tcPr>
            <w:tcW w:w="511" w:type="dxa"/>
            <w:tcBorders>
              <w:top w:val="nil"/>
              <w:left w:val="nil"/>
              <w:bottom w:val="nil"/>
              <w:right w:val="nil"/>
            </w:tcBorders>
            <w:shd w:val="clear" w:color="auto" w:fill="auto"/>
            <w:vAlign w:val="center"/>
            <w:hideMark/>
          </w:tcPr>
          <w:p w14:paraId="4B4F383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392CBE45"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497</w:t>
            </w:r>
          </w:p>
        </w:tc>
        <w:tc>
          <w:tcPr>
            <w:tcW w:w="511" w:type="dxa"/>
            <w:tcBorders>
              <w:top w:val="nil"/>
              <w:left w:val="nil"/>
              <w:bottom w:val="nil"/>
              <w:right w:val="nil"/>
            </w:tcBorders>
            <w:shd w:val="clear" w:color="auto" w:fill="auto"/>
            <w:vAlign w:val="center"/>
            <w:hideMark/>
          </w:tcPr>
          <w:p w14:paraId="048C359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11EF764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2A997F0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497</w:t>
            </w:r>
          </w:p>
        </w:tc>
        <w:tc>
          <w:tcPr>
            <w:tcW w:w="511" w:type="dxa"/>
            <w:tcBorders>
              <w:top w:val="nil"/>
              <w:left w:val="nil"/>
              <w:bottom w:val="single" w:sz="4" w:space="0" w:color="auto"/>
              <w:right w:val="nil"/>
            </w:tcBorders>
            <w:shd w:val="clear" w:color="auto" w:fill="auto"/>
            <w:vAlign w:val="center"/>
            <w:hideMark/>
          </w:tcPr>
          <w:p w14:paraId="5DA9EA7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5A95557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2DFC757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492</w:t>
            </w:r>
          </w:p>
        </w:tc>
        <w:tc>
          <w:tcPr>
            <w:tcW w:w="511" w:type="dxa"/>
            <w:tcBorders>
              <w:top w:val="nil"/>
              <w:left w:val="nil"/>
              <w:bottom w:val="single" w:sz="4" w:space="0" w:color="auto"/>
              <w:right w:val="nil"/>
            </w:tcBorders>
            <w:shd w:val="clear" w:color="auto" w:fill="auto"/>
            <w:vAlign w:val="center"/>
            <w:hideMark/>
          </w:tcPr>
          <w:p w14:paraId="4933621F"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r>
      <w:tr w:rsidR="002A4439" w:rsidRPr="00181935" w14:paraId="673EFBB6"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10ACE3F9" w14:textId="77777777" w:rsidR="002A4439" w:rsidRPr="00181935" w:rsidRDefault="002A4439" w:rsidP="00FB625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Predčasné ukončenie školskej dochádzky</w:t>
            </w:r>
          </w:p>
        </w:tc>
        <w:tc>
          <w:tcPr>
            <w:tcW w:w="621" w:type="dxa"/>
            <w:tcBorders>
              <w:top w:val="single" w:sz="4" w:space="0" w:color="auto"/>
              <w:left w:val="nil"/>
              <w:bottom w:val="nil"/>
              <w:right w:val="nil"/>
            </w:tcBorders>
            <w:shd w:val="clear" w:color="auto" w:fill="auto"/>
            <w:noWrap/>
            <w:vAlign w:val="center"/>
            <w:hideMark/>
          </w:tcPr>
          <w:p w14:paraId="53B28366"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single" w:sz="4" w:space="0" w:color="auto"/>
              <w:left w:val="nil"/>
              <w:bottom w:val="nil"/>
              <w:right w:val="nil"/>
            </w:tcBorders>
            <w:shd w:val="clear" w:color="auto" w:fill="auto"/>
            <w:vAlign w:val="center"/>
            <w:hideMark/>
          </w:tcPr>
          <w:p w14:paraId="0267C5E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w:t>
            </w:r>
          </w:p>
        </w:tc>
        <w:tc>
          <w:tcPr>
            <w:tcW w:w="511" w:type="dxa"/>
            <w:tcBorders>
              <w:top w:val="single" w:sz="4" w:space="0" w:color="auto"/>
              <w:left w:val="nil"/>
              <w:bottom w:val="nil"/>
              <w:right w:val="nil"/>
            </w:tcBorders>
            <w:shd w:val="clear" w:color="auto" w:fill="auto"/>
            <w:vAlign w:val="center"/>
            <w:hideMark/>
          </w:tcPr>
          <w:p w14:paraId="621F432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w:t>
            </w:r>
          </w:p>
        </w:tc>
        <w:tc>
          <w:tcPr>
            <w:tcW w:w="511" w:type="dxa"/>
            <w:tcBorders>
              <w:top w:val="single" w:sz="4" w:space="0" w:color="auto"/>
              <w:left w:val="nil"/>
              <w:bottom w:val="nil"/>
              <w:right w:val="nil"/>
            </w:tcBorders>
            <w:shd w:val="clear" w:color="auto" w:fill="auto"/>
            <w:vAlign w:val="center"/>
            <w:hideMark/>
          </w:tcPr>
          <w:p w14:paraId="6460C12E"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w:t>
            </w:r>
          </w:p>
        </w:tc>
        <w:tc>
          <w:tcPr>
            <w:tcW w:w="511" w:type="dxa"/>
            <w:tcBorders>
              <w:top w:val="single" w:sz="4" w:space="0" w:color="auto"/>
              <w:left w:val="nil"/>
              <w:bottom w:val="nil"/>
              <w:right w:val="nil"/>
            </w:tcBorders>
            <w:shd w:val="clear" w:color="auto" w:fill="auto"/>
            <w:vAlign w:val="center"/>
            <w:hideMark/>
          </w:tcPr>
          <w:p w14:paraId="6EDFFC8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5,1</w:t>
            </w:r>
          </w:p>
        </w:tc>
        <w:tc>
          <w:tcPr>
            <w:tcW w:w="511" w:type="dxa"/>
            <w:tcBorders>
              <w:top w:val="single" w:sz="4" w:space="0" w:color="auto"/>
              <w:left w:val="nil"/>
              <w:bottom w:val="nil"/>
              <w:right w:val="nil"/>
            </w:tcBorders>
            <w:shd w:val="clear" w:color="auto" w:fill="auto"/>
            <w:vAlign w:val="center"/>
            <w:hideMark/>
          </w:tcPr>
          <w:p w14:paraId="21E748FE"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5,3</w:t>
            </w:r>
          </w:p>
        </w:tc>
        <w:tc>
          <w:tcPr>
            <w:tcW w:w="511" w:type="dxa"/>
            <w:tcBorders>
              <w:top w:val="nil"/>
              <w:left w:val="nil"/>
              <w:bottom w:val="nil"/>
              <w:right w:val="nil"/>
            </w:tcBorders>
            <w:shd w:val="clear" w:color="auto" w:fill="auto"/>
            <w:vAlign w:val="center"/>
            <w:hideMark/>
          </w:tcPr>
          <w:p w14:paraId="40E8079F"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6,4</w:t>
            </w:r>
          </w:p>
        </w:tc>
        <w:tc>
          <w:tcPr>
            <w:tcW w:w="511" w:type="dxa"/>
            <w:tcBorders>
              <w:top w:val="nil"/>
              <w:left w:val="nil"/>
              <w:bottom w:val="nil"/>
              <w:right w:val="nil"/>
            </w:tcBorders>
            <w:shd w:val="clear" w:color="auto" w:fill="auto"/>
            <w:vAlign w:val="center"/>
            <w:hideMark/>
          </w:tcPr>
          <w:p w14:paraId="20794651"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6,7</w:t>
            </w:r>
          </w:p>
        </w:tc>
        <w:tc>
          <w:tcPr>
            <w:tcW w:w="511" w:type="dxa"/>
            <w:tcBorders>
              <w:top w:val="nil"/>
              <w:left w:val="nil"/>
              <w:bottom w:val="nil"/>
              <w:right w:val="nil"/>
            </w:tcBorders>
            <w:shd w:val="clear" w:color="auto" w:fill="auto"/>
            <w:vAlign w:val="center"/>
            <w:hideMark/>
          </w:tcPr>
          <w:p w14:paraId="678B45F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6,9</w:t>
            </w:r>
          </w:p>
        </w:tc>
        <w:tc>
          <w:tcPr>
            <w:tcW w:w="511" w:type="dxa"/>
            <w:tcBorders>
              <w:top w:val="nil"/>
              <w:left w:val="nil"/>
              <w:bottom w:val="nil"/>
              <w:right w:val="nil"/>
            </w:tcBorders>
            <w:shd w:val="clear" w:color="auto" w:fill="auto"/>
            <w:vAlign w:val="center"/>
            <w:hideMark/>
          </w:tcPr>
          <w:p w14:paraId="650761C7"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w:t>
            </w:r>
          </w:p>
        </w:tc>
      </w:tr>
      <w:tr w:rsidR="002A4439" w:rsidRPr="00181935" w14:paraId="7657B4BF"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764B6EF3"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vo vekovej skupine 18 - 24 rokov)</w:t>
            </w:r>
          </w:p>
        </w:tc>
        <w:tc>
          <w:tcPr>
            <w:tcW w:w="621" w:type="dxa"/>
            <w:tcBorders>
              <w:top w:val="nil"/>
              <w:left w:val="nil"/>
              <w:bottom w:val="nil"/>
              <w:right w:val="nil"/>
            </w:tcBorders>
            <w:shd w:val="clear" w:color="auto" w:fill="auto"/>
            <w:noWrap/>
            <w:vAlign w:val="center"/>
            <w:hideMark/>
          </w:tcPr>
          <w:p w14:paraId="46EC4774"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511" w:type="dxa"/>
            <w:tcBorders>
              <w:top w:val="nil"/>
              <w:left w:val="nil"/>
              <w:bottom w:val="nil"/>
              <w:right w:val="nil"/>
            </w:tcBorders>
            <w:shd w:val="clear" w:color="auto" w:fill="auto"/>
            <w:vAlign w:val="center"/>
            <w:hideMark/>
          </w:tcPr>
          <w:p w14:paraId="717E0B9F"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14,7</w:t>
            </w:r>
          </w:p>
        </w:tc>
        <w:tc>
          <w:tcPr>
            <w:tcW w:w="511" w:type="dxa"/>
            <w:tcBorders>
              <w:top w:val="nil"/>
              <w:left w:val="nil"/>
              <w:bottom w:val="nil"/>
              <w:right w:val="nil"/>
            </w:tcBorders>
            <w:shd w:val="clear" w:color="auto" w:fill="auto"/>
            <w:vAlign w:val="center"/>
            <w:hideMark/>
          </w:tcPr>
          <w:p w14:paraId="0B90D4D7"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14,2</w:t>
            </w:r>
          </w:p>
        </w:tc>
        <w:tc>
          <w:tcPr>
            <w:tcW w:w="511" w:type="dxa"/>
            <w:tcBorders>
              <w:top w:val="nil"/>
              <w:left w:val="nil"/>
              <w:bottom w:val="nil"/>
              <w:right w:val="nil"/>
            </w:tcBorders>
            <w:shd w:val="clear" w:color="auto" w:fill="auto"/>
            <w:vAlign w:val="center"/>
            <w:hideMark/>
          </w:tcPr>
          <w:p w14:paraId="4E41FC2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13,9</w:t>
            </w:r>
          </w:p>
        </w:tc>
        <w:tc>
          <w:tcPr>
            <w:tcW w:w="511" w:type="dxa"/>
            <w:tcBorders>
              <w:top w:val="nil"/>
              <w:left w:val="nil"/>
              <w:bottom w:val="nil"/>
              <w:right w:val="nil"/>
            </w:tcBorders>
            <w:shd w:val="clear" w:color="auto" w:fill="auto"/>
            <w:vAlign w:val="center"/>
            <w:hideMark/>
          </w:tcPr>
          <w:p w14:paraId="5473E31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13,4</w:t>
            </w:r>
          </w:p>
        </w:tc>
        <w:tc>
          <w:tcPr>
            <w:tcW w:w="511" w:type="dxa"/>
            <w:tcBorders>
              <w:top w:val="nil"/>
              <w:left w:val="nil"/>
              <w:bottom w:val="nil"/>
              <w:right w:val="nil"/>
            </w:tcBorders>
            <w:shd w:val="clear" w:color="auto" w:fill="auto"/>
            <w:vAlign w:val="center"/>
            <w:hideMark/>
          </w:tcPr>
          <w:p w14:paraId="7CDB277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12,7</w:t>
            </w:r>
          </w:p>
        </w:tc>
        <w:tc>
          <w:tcPr>
            <w:tcW w:w="511" w:type="dxa"/>
            <w:tcBorders>
              <w:top w:val="nil"/>
              <w:left w:val="nil"/>
              <w:bottom w:val="single" w:sz="4" w:space="0" w:color="auto"/>
              <w:right w:val="nil"/>
            </w:tcBorders>
            <w:shd w:val="clear" w:color="auto" w:fill="auto"/>
            <w:vAlign w:val="center"/>
            <w:hideMark/>
          </w:tcPr>
          <w:p w14:paraId="7E86F392"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11,9</w:t>
            </w:r>
          </w:p>
        </w:tc>
        <w:tc>
          <w:tcPr>
            <w:tcW w:w="511" w:type="dxa"/>
            <w:tcBorders>
              <w:top w:val="nil"/>
              <w:left w:val="nil"/>
              <w:bottom w:val="single" w:sz="4" w:space="0" w:color="auto"/>
              <w:right w:val="nil"/>
            </w:tcBorders>
            <w:shd w:val="clear" w:color="auto" w:fill="auto"/>
            <w:vAlign w:val="center"/>
            <w:hideMark/>
          </w:tcPr>
          <w:p w14:paraId="1A3B305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11,2</w:t>
            </w:r>
          </w:p>
        </w:tc>
        <w:tc>
          <w:tcPr>
            <w:tcW w:w="511" w:type="dxa"/>
            <w:tcBorders>
              <w:top w:val="nil"/>
              <w:left w:val="nil"/>
              <w:bottom w:val="single" w:sz="4" w:space="0" w:color="auto"/>
              <w:right w:val="nil"/>
            </w:tcBorders>
            <w:shd w:val="clear" w:color="auto" w:fill="auto"/>
            <w:vAlign w:val="center"/>
            <w:hideMark/>
          </w:tcPr>
          <w:p w14:paraId="6BBA164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w:t>
            </w:r>
          </w:p>
        </w:tc>
        <w:tc>
          <w:tcPr>
            <w:tcW w:w="511" w:type="dxa"/>
            <w:tcBorders>
              <w:top w:val="nil"/>
              <w:left w:val="nil"/>
              <w:bottom w:val="single" w:sz="4" w:space="0" w:color="auto"/>
              <w:right w:val="nil"/>
            </w:tcBorders>
            <w:shd w:val="clear" w:color="auto" w:fill="auto"/>
            <w:vAlign w:val="center"/>
            <w:hideMark/>
          </w:tcPr>
          <w:p w14:paraId="5CF6779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10</w:t>
            </w:r>
          </w:p>
        </w:tc>
      </w:tr>
      <w:tr w:rsidR="002A4439" w:rsidRPr="00181935" w14:paraId="61DAE227"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1DBE071D" w14:textId="77777777" w:rsidR="002A4439" w:rsidRPr="00181935" w:rsidRDefault="002A4439" w:rsidP="00FB625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Citácie</w:t>
            </w:r>
          </w:p>
        </w:tc>
        <w:tc>
          <w:tcPr>
            <w:tcW w:w="621" w:type="dxa"/>
            <w:tcBorders>
              <w:top w:val="single" w:sz="4" w:space="0" w:color="auto"/>
              <w:left w:val="nil"/>
              <w:bottom w:val="nil"/>
              <w:right w:val="nil"/>
            </w:tcBorders>
            <w:shd w:val="clear" w:color="auto" w:fill="auto"/>
            <w:noWrap/>
            <w:vAlign w:val="center"/>
            <w:hideMark/>
          </w:tcPr>
          <w:p w14:paraId="1E23A39A"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single" w:sz="4" w:space="0" w:color="auto"/>
              <w:left w:val="nil"/>
              <w:bottom w:val="nil"/>
              <w:right w:val="nil"/>
            </w:tcBorders>
            <w:shd w:val="clear" w:color="auto" w:fill="auto"/>
            <w:noWrap/>
            <w:vAlign w:val="center"/>
            <w:hideMark/>
          </w:tcPr>
          <w:p w14:paraId="58480A0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40</w:t>
            </w:r>
          </w:p>
        </w:tc>
        <w:tc>
          <w:tcPr>
            <w:tcW w:w="511" w:type="dxa"/>
            <w:tcBorders>
              <w:top w:val="single" w:sz="4" w:space="0" w:color="auto"/>
              <w:left w:val="nil"/>
              <w:bottom w:val="nil"/>
              <w:right w:val="nil"/>
            </w:tcBorders>
            <w:shd w:val="clear" w:color="auto" w:fill="auto"/>
            <w:noWrap/>
            <w:vAlign w:val="center"/>
            <w:hideMark/>
          </w:tcPr>
          <w:p w14:paraId="5EB5D2D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35</w:t>
            </w:r>
          </w:p>
        </w:tc>
        <w:tc>
          <w:tcPr>
            <w:tcW w:w="511" w:type="dxa"/>
            <w:tcBorders>
              <w:top w:val="single" w:sz="4" w:space="0" w:color="auto"/>
              <w:left w:val="nil"/>
              <w:bottom w:val="nil"/>
              <w:right w:val="nil"/>
            </w:tcBorders>
            <w:shd w:val="clear" w:color="auto" w:fill="auto"/>
            <w:noWrap/>
            <w:vAlign w:val="center"/>
            <w:hideMark/>
          </w:tcPr>
          <w:p w14:paraId="006728BA"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34</w:t>
            </w:r>
          </w:p>
        </w:tc>
        <w:tc>
          <w:tcPr>
            <w:tcW w:w="511" w:type="dxa"/>
            <w:tcBorders>
              <w:top w:val="single" w:sz="4" w:space="0" w:color="auto"/>
              <w:left w:val="nil"/>
              <w:bottom w:val="nil"/>
              <w:right w:val="nil"/>
            </w:tcBorders>
            <w:shd w:val="clear" w:color="auto" w:fill="auto"/>
            <w:noWrap/>
            <w:vAlign w:val="center"/>
            <w:hideMark/>
          </w:tcPr>
          <w:p w14:paraId="1092232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35</w:t>
            </w:r>
          </w:p>
        </w:tc>
        <w:tc>
          <w:tcPr>
            <w:tcW w:w="511" w:type="dxa"/>
            <w:tcBorders>
              <w:top w:val="single" w:sz="4" w:space="0" w:color="auto"/>
              <w:left w:val="nil"/>
              <w:bottom w:val="nil"/>
              <w:right w:val="nil"/>
            </w:tcBorders>
            <w:shd w:val="clear" w:color="auto" w:fill="auto"/>
            <w:noWrap/>
            <w:vAlign w:val="center"/>
            <w:hideMark/>
          </w:tcPr>
          <w:p w14:paraId="515ADF11"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45</w:t>
            </w:r>
          </w:p>
        </w:tc>
        <w:tc>
          <w:tcPr>
            <w:tcW w:w="511" w:type="dxa"/>
            <w:tcBorders>
              <w:top w:val="nil"/>
              <w:left w:val="nil"/>
              <w:bottom w:val="nil"/>
              <w:right w:val="nil"/>
            </w:tcBorders>
            <w:shd w:val="clear" w:color="auto" w:fill="auto"/>
            <w:noWrap/>
            <w:vAlign w:val="center"/>
            <w:hideMark/>
          </w:tcPr>
          <w:p w14:paraId="262C5FD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w:t>
            </w:r>
          </w:p>
        </w:tc>
        <w:tc>
          <w:tcPr>
            <w:tcW w:w="511" w:type="dxa"/>
            <w:tcBorders>
              <w:top w:val="nil"/>
              <w:left w:val="nil"/>
              <w:bottom w:val="nil"/>
              <w:right w:val="nil"/>
            </w:tcBorders>
            <w:shd w:val="clear" w:color="auto" w:fill="auto"/>
            <w:noWrap/>
            <w:vAlign w:val="center"/>
            <w:hideMark/>
          </w:tcPr>
          <w:p w14:paraId="0F6627F5"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44</w:t>
            </w:r>
          </w:p>
        </w:tc>
        <w:tc>
          <w:tcPr>
            <w:tcW w:w="511" w:type="dxa"/>
            <w:tcBorders>
              <w:top w:val="nil"/>
              <w:left w:val="nil"/>
              <w:bottom w:val="nil"/>
              <w:right w:val="nil"/>
            </w:tcBorders>
            <w:shd w:val="clear" w:color="auto" w:fill="auto"/>
            <w:noWrap/>
            <w:vAlign w:val="center"/>
            <w:hideMark/>
          </w:tcPr>
          <w:p w14:paraId="5D179BD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50</w:t>
            </w:r>
          </w:p>
        </w:tc>
        <w:tc>
          <w:tcPr>
            <w:tcW w:w="511" w:type="dxa"/>
            <w:tcBorders>
              <w:top w:val="nil"/>
              <w:left w:val="nil"/>
              <w:bottom w:val="nil"/>
              <w:right w:val="nil"/>
            </w:tcBorders>
            <w:shd w:val="clear" w:color="auto" w:fill="auto"/>
            <w:noWrap/>
            <w:vAlign w:val="center"/>
            <w:hideMark/>
          </w:tcPr>
          <w:p w14:paraId="6DC2B65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70</w:t>
            </w:r>
          </w:p>
        </w:tc>
      </w:tr>
      <w:tr w:rsidR="002A4439" w:rsidRPr="00181935" w14:paraId="1515CC4C"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2522E064"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100 = priemer EÚ)</w:t>
            </w:r>
          </w:p>
        </w:tc>
        <w:tc>
          <w:tcPr>
            <w:tcW w:w="621" w:type="dxa"/>
            <w:tcBorders>
              <w:top w:val="nil"/>
              <w:left w:val="nil"/>
              <w:bottom w:val="nil"/>
              <w:right w:val="nil"/>
            </w:tcBorders>
            <w:shd w:val="clear" w:color="auto" w:fill="auto"/>
            <w:noWrap/>
            <w:vAlign w:val="center"/>
            <w:hideMark/>
          </w:tcPr>
          <w:p w14:paraId="46071739"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511" w:type="dxa"/>
            <w:tcBorders>
              <w:top w:val="nil"/>
              <w:left w:val="nil"/>
              <w:bottom w:val="nil"/>
              <w:right w:val="nil"/>
            </w:tcBorders>
            <w:shd w:val="clear" w:color="auto" w:fill="auto"/>
            <w:vAlign w:val="center"/>
            <w:hideMark/>
          </w:tcPr>
          <w:p w14:paraId="1912B6B5"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7DF7FECA"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2DF67EB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6467617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511" w:type="dxa"/>
            <w:tcBorders>
              <w:top w:val="nil"/>
              <w:left w:val="nil"/>
              <w:bottom w:val="nil"/>
              <w:right w:val="nil"/>
            </w:tcBorders>
            <w:shd w:val="clear" w:color="auto" w:fill="auto"/>
            <w:vAlign w:val="center"/>
            <w:hideMark/>
          </w:tcPr>
          <w:p w14:paraId="6D139E52"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24ADAC8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35C13AF8"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51001A3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511" w:type="dxa"/>
            <w:tcBorders>
              <w:top w:val="nil"/>
              <w:left w:val="nil"/>
              <w:bottom w:val="single" w:sz="4" w:space="0" w:color="auto"/>
              <w:right w:val="nil"/>
            </w:tcBorders>
            <w:shd w:val="clear" w:color="auto" w:fill="auto"/>
            <w:vAlign w:val="center"/>
            <w:hideMark/>
          </w:tcPr>
          <w:p w14:paraId="0BFA1C21"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r>
      <w:tr w:rsidR="002A4439" w:rsidRPr="00181935" w14:paraId="236E9BF6"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004B3CD4" w14:textId="77777777" w:rsidR="002A4439" w:rsidRPr="00181935" w:rsidRDefault="002A4439" w:rsidP="00FB625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Miera vysokoškolsky vzdelanej populácie</w:t>
            </w:r>
          </w:p>
        </w:tc>
        <w:tc>
          <w:tcPr>
            <w:tcW w:w="621" w:type="dxa"/>
            <w:tcBorders>
              <w:top w:val="single" w:sz="4" w:space="0" w:color="auto"/>
              <w:left w:val="nil"/>
              <w:bottom w:val="nil"/>
              <w:right w:val="nil"/>
            </w:tcBorders>
            <w:shd w:val="clear" w:color="auto" w:fill="auto"/>
            <w:noWrap/>
            <w:vAlign w:val="center"/>
            <w:hideMark/>
          </w:tcPr>
          <w:p w14:paraId="616953DA"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single" w:sz="4" w:space="0" w:color="auto"/>
              <w:left w:val="nil"/>
              <w:bottom w:val="nil"/>
              <w:right w:val="nil"/>
            </w:tcBorders>
            <w:shd w:val="clear" w:color="auto" w:fill="auto"/>
            <w:vAlign w:val="center"/>
            <w:hideMark/>
          </w:tcPr>
          <w:p w14:paraId="20C2ACF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15,8</w:t>
            </w:r>
          </w:p>
        </w:tc>
        <w:tc>
          <w:tcPr>
            <w:tcW w:w="511" w:type="dxa"/>
            <w:tcBorders>
              <w:top w:val="single" w:sz="4" w:space="0" w:color="auto"/>
              <w:left w:val="nil"/>
              <w:bottom w:val="nil"/>
              <w:right w:val="nil"/>
            </w:tcBorders>
            <w:shd w:val="clear" w:color="auto" w:fill="auto"/>
            <w:vAlign w:val="center"/>
            <w:hideMark/>
          </w:tcPr>
          <w:p w14:paraId="677133C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17,6</w:t>
            </w:r>
          </w:p>
        </w:tc>
        <w:tc>
          <w:tcPr>
            <w:tcW w:w="511" w:type="dxa"/>
            <w:tcBorders>
              <w:top w:val="single" w:sz="4" w:space="0" w:color="auto"/>
              <w:left w:val="nil"/>
              <w:bottom w:val="nil"/>
              <w:right w:val="nil"/>
            </w:tcBorders>
            <w:shd w:val="clear" w:color="auto" w:fill="auto"/>
            <w:vAlign w:val="center"/>
            <w:hideMark/>
          </w:tcPr>
          <w:p w14:paraId="7CDC22C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22,1</w:t>
            </w:r>
          </w:p>
        </w:tc>
        <w:tc>
          <w:tcPr>
            <w:tcW w:w="511" w:type="dxa"/>
            <w:tcBorders>
              <w:top w:val="single" w:sz="4" w:space="0" w:color="auto"/>
              <w:left w:val="nil"/>
              <w:bottom w:val="nil"/>
              <w:right w:val="nil"/>
            </w:tcBorders>
            <w:shd w:val="clear" w:color="auto" w:fill="auto"/>
            <w:vAlign w:val="center"/>
            <w:hideMark/>
          </w:tcPr>
          <w:p w14:paraId="242FCD38"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23,2</w:t>
            </w:r>
          </w:p>
        </w:tc>
        <w:tc>
          <w:tcPr>
            <w:tcW w:w="511" w:type="dxa"/>
            <w:tcBorders>
              <w:top w:val="single" w:sz="4" w:space="0" w:color="auto"/>
              <w:left w:val="nil"/>
              <w:bottom w:val="nil"/>
              <w:right w:val="nil"/>
            </w:tcBorders>
            <w:shd w:val="clear" w:color="auto" w:fill="auto"/>
            <w:vAlign w:val="center"/>
            <w:hideMark/>
          </w:tcPr>
          <w:p w14:paraId="58E0A067"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23,7</w:t>
            </w:r>
          </w:p>
        </w:tc>
        <w:tc>
          <w:tcPr>
            <w:tcW w:w="511" w:type="dxa"/>
            <w:tcBorders>
              <w:top w:val="nil"/>
              <w:left w:val="nil"/>
              <w:bottom w:val="nil"/>
              <w:right w:val="nil"/>
            </w:tcBorders>
            <w:shd w:val="clear" w:color="auto" w:fill="auto"/>
            <w:vAlign w:val="center"/>
            <w:hideMark/>
          </w:tcPr>
          <w:p w14:paraId="3C767F1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26,9</w:t>
            </w:r>
          </w:p>
        </w:tc>
        <w:tc>
          <w:tcPr>
            <w:tcW w:w="511" w:type="dxa"/>
            <w:tcBorders>
              <w:top w:val="nil"/>
              <w:left w:val="nil"/>
              <w:bottom w:val="nil"/>
              <w:right w:val="nil"/>
            </w:tcBorders>
            <w:shd w:val="clear" w:color="auto" w:fill="auto"/>
            <w:vAlign w:val="center"/>
            <w:hideMark/>
          </w:tcPr>
          <w:p w14:paraId="28F5550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26,9</w:t>
            </w:r>
          </w:p>
        </w:tc>
        <w:tc>
          <w:tcPr>
            <w:tcW w:w="511" w:type="dxa"/>
            <w:tcBorders>
              <w:top w:val="nil"/>
              <w:left w:val="nil"/>
              <w:bottom w:val="nil"/>
              <w:right w:val="nil"/>
            </w:tcBorders>
            <w:shd w:val="clear" w:color="auto" w:fill="auto"/>
            <w:vAlign w:val="center"/>
            <w:hideMark/>
          </w:tcPr>
          <w:p w14:paraId="66CB49E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28,2</w:t>
            </w:r>
          </w:p>
        </w:tc>
        <w:tc>
          <w:tcPr>
            <w:tcW w:w="511" w:type="dxa"/>
            <w:tcBorders>
              <w:top w:val="nil"/>
              <w:left w:val="nil"/>
              <w:bottom w:val="nil"/>
              <w:right w:val="nil"/>
            </w:tcBorders>
            <w:shd w:val="clear" w:color="auto" w:fill="auto"/>
            <w:vAlign w:val="center"/>
            <w:hideMark/>
          </w:tcPr>
          <w:p w14:paraId="1FDE04E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40</w:t>
            </w:r>
          </w:p>
        </w:tc>
      </w:tr>
      <w:tr w:rsidR="002A4439" w:rsidRPr="00181935" w14:paraId="6E120D5E"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6561ECE1"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vo vekovej skupine 30 - 34 rokov)</w:t>
            </w:r>
          </w:p>
        </w:tc>
        <w:tc>
          <w:tcPr>
            <w:tcW w:w="621" w:type="dxa"/>
            <w:tcBorders>
              <w:top w:val="nil"/>
              <w:left w:val="nil"/>
              <w:bottom w:val="nil"/>
              <w:right w:val="nil"/>
            </w:tcBorders>
            <w:shd w:val="clear" w:color="auto" w:fill="auto"/>
            <w:noWrap/>
            <w:vAlign w:val="center"/>
            <w:hideMark/>
          </w:tcPr>
          <w:p w14:paraId="78C95CA2"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511" w:type="dxa"/>
            <w:tcBorders>
              <w:top w:val="nil"/>
              <w:left w:val="nil"/>
              <w:bottom w:val="nil"/>
              <w:right w:val="nil"/>
            </w:tcBorders>
            <w:shd w:val="clear" w:color="auto" w:fill="auto"/>
            <w:vAlign w:val="center"/>
            <w:hideMark/>
          </w:tcPr>
          <w:p w14:paraId="5FF3BE71"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31,2</w:t>
            </w:r>
          </w:p>
        </w:tc>
        <w:tc>
          <w:tcPr>
            <w:tcW w:w="511" w:type="dxa"/>
            <w:tcBorders>
              <w:top w:val="nil"/>
              <w:left w:val="nil"/>
              <w:bottom w:val="nil"/>
              <w:right w:val="nil"/>
            </w:tcBorders>
            <w:shd w:val="clear" w:color="auto" w:fill="auto"/>
            <w:vAlign w:val="center"/>
            <w:hideMark/>
          </w:tcPr>
          <w:p w14:paraId="24DDDE2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32,3</w:t>
            </w:r>
          </w:p>
        </w:tc>
        <w:tc>
          <w:tcPr>
            <w:tcW w:w="511" w:type="dxa"/>
            <w:tcBorders>
              <w:top w:val="nil"/>
              <w:left w:val="nil"/>
              <w:bottom w:val="nil"/>
              <w:right w:val="nil"/>
            </w:tcBorders>
            <w:shd w:val="clear" w:color="auto" w:fill="auto"/>
            <w:vAlign w:val="center"/>
            <w:hideMark/>
          </w:tcPr>
          <w:p w14:paraId="6EA1381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33,8</w:t>
            </w:r>
          </w:p>
        </w:tc>
        <w:tc>
          <w:tcPr>
            <w:tcW w:w="511" w:type="dxa"/>
            <w:tcBorders>
              <w:top w:val="nil"/>
              <w:left w:val="nil"/>
              <w:bottom w:val="nil"/>
              <w:right w:val="nil"/>
            </w:tcBorders>
            <w:shd w:val="clear" w:color="auto" w:fill="auto"/>
            <w:vAlign w:val="center"/>
            <w:hideMark/>
          </w:tcPr>
          <w:p w14:paraId="39F2B39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34,8</w:t>
            </w:r>
          </w:p>
        </w:tc>
        <w:tc>
          <w:tcPr>
            <w:tcW w:w="511" w:type="dxa"/>
            <w:tcBorders>
              <w:top w:val="nil"/>
              <w:left w:val="nil"/>
              <w:bottom w:val="nil"/>
              <w:right w:val="nil"/>
            </w:tcBorders>
            <w:shd w:val="clear" w:color="auto" w:fill="auto"/>
            <w:vAlign w:val="center"/>
            <w:hideMark/>
          </w:tcPr>
          <w:p w14:paraId="2EE04F7E"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36</w:t>
            </w:r>
          </w:p>
        </w:tc>
        <w:tc>
          <w:tcPr>
            <w:tcW w:w="511" w:type="dxa"/>
            <w:tcBorders>
              <w:top w:val="nil"/>
              <w:left w:val="nil"/>
              <w:bottom w:val="single" w:sz="4" w:space="0" w:color="auto"/>
              <w:right w:val="nil"/>
            </w:tcBorders>
            <w:shd w:val="clear" w:color="auto" w:fill="auto"/>
            <w:vAlign w:val="center"/>
            <w:hideMark/>
          </w:tcPr>
          <w:p w14:paraId="6E5671F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37,1</w:t>
            </w:r>
          </w:p>
        </w:tc>
        <w:tc>
          <w:tcPr>
            <w:tcW w:w="511" w:type="dxa"/>
            <w:tcBorders>
              <w:top w:val="nil"/>
              <w:left w:val="nil"/>
              <w:bottom w:val="single" w:sz="4" w:space="0" w:color="auto"/>
              <w:right w:val="nil"/>
            </w:tcBorders>
            <w:shd w:val="clear" w:color="auto" w:fill="auto"/>
            <w:vAlign w:val="center"/>
            <w:hideMark/>
          </w:tcPr>
          <w:p w14:paraId="055FA8E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37,9</w:t>
            </w:r>
          </w:p>
        </w:tc>
        <w:tc>
          <w:tcPr>
            <w:tcW w:w="511" w:type="dxa"/>
            <w:tcBorders>
              <w:top w:val="nil"/>
              <w:left w:val="nil"/>
              <w:bottom w:val="single" w:sz="4" w:space="0" w:color="auto"/>
              <w:right w:val="nil"/>
            </w:tcBorders>
            <w:shd w:val="clear" w:color="auto" w:fill="auto"/>
            <w:vAlign w:val="center"/>
            <w:hideMark/>
          </w:tcPr>
          <w:p w14:paraId="41DEEC4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39,4</w:t>
            </w:r>
          </w:p>
        </w:tc>
        <w:tc>
          <w:tcPr>
            <w:tcW w:w="511" w:type="dxa"/>
            <w:tcBorders>
              <w:top w:val="nil"/>
              <w:left w:val="nil"/>
              <w:bottom w:val="single" w:sz="4" w:space="0" w:color="auto"/>
              <w:right w:val="nil"/>
            </w:tcBorders>
            <w:shd w:val="clear" w:color="auto" w:fill="auto"/>
            <w:vAlign w:val="center"/>
            <w:hideMark/>
          </w:tcPr>
          <w:p w14:paraId="201C05AA"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40</w:t>
            </w:r>
          </w:p>
        </w:tc>
      </w:tr>
      <w:tr w:rsidR="002A4439" w:rsidRPr="00181935" w14:paraId="0DD2E170"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4597BB58" w14:textId="77777777" w:rsidR="002A4439" w:rsidRPr="00181935" w:rsidRDefault="002A4439" w:rsidP="00FB625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Výdavky na vedu a výskum</w:t>
            </w:r>
          </w:p>
        </w:tc>
        <w:tc>
          <w:tcPr>
            <w:tcW w:w="621" w:type="dxa"/>
            <w:tcBorders>
              <w:top w:val="single" w:sz="4" w:space="0" w:color="auto"/>
              <w:left w:val="nil"/>
              <w:bottom w:val="nil"/>
              <w:right w:val="nil"/>
            </w:tcBorders>
            <w:shd w:val="clear" w:color="auto" w:fill="auto"/>
            <w:noWrap/>
            <w:vAlign w:val="center"/>
            <w:hideMark/>
          </w:tcPr>
          <w:p w14:paraId="68FB03E5"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single" w:sz="4" w:space="0" w:color="auto"/>
              <w:left w:val="nil"/>
              <w:bottom w:val="nil"/>
              <w:right w:val="nil"/>
            </w:tcBorders>
            <w:shd w:val="clear" w:color="auto" w:fill="auto"/>
            <w:vAlign w:val="center"/>
            <w:hideMark/>
          </w:tcPr>
          <w:p w14:paraId="00D15BB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0,46</w:t>
            </w:r>
          </w:p>
        </w:tc>
        <w:tc>
          <w:tcPr>
            <w:tcW w:w="511" w:type="dxa"/>
            <w:tcBorders>
              <w:top w:val="single" w:sz="4" w:space="0" w:color="auto"/>
              <w:left w:val="nil"/>
              <w:bottom w:val="nil"/>
              <w:right w:val="nil"/>
            </w:tcBorders>
            <w:shd w:val="clear" w:color="auto" w:fill="auto"/>
            <w:vAlign w:val="center"/>
            <w:hideMark/>
          </w:tcPr>
          <w:p w14:paraId="7AB8F237"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0,47</w:t>
            </w:r>
          </w:p>
        </w:tc>
        <w:tc>
          <w:tcPr>
            <w:tcW w:w="511" w:type="dxa"/>
            <w:tcBorders>
              <w:top w:val="single" w:sz="4" w:space="0" w:color="auto"/>
              <w:left w:val="nil"/>
              <w:bottom w:val="nil"/>
              <w:right w:val="nil"/>
            </w:tcBorders>
            <w:shd w:val="clear" w:color="auto" w:fill="auto"/>
            <w:vAlign w:val="center"/>
            <w:hideMark/>
          </w:tcPr>
          <w:p w14:paraId="24312DA8"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0,62</w:t>
            </w:r>
          </w:p>
        </w:tc>
        <w:tc>
          <w:tcPr>
            <w:tcW w:w="511" w:type="dxa"/>
            <w:tcBorders>
              <w:top w:val="single" w:sz="4" w:space="0" w:color="auto"/>
              <w:left w:val="nil"/>
              <w:bottom w:val="nil"/>
              <w:right w:val="nil"/>
            </w:tcBorders>
            <w:shd w:val="clear" w:color="auto" w:fill="auto"/>
            <w:vAlign w:val="center"/>
            <w:hideMark/>
          </w:tcPr>
          <w:p w14:paraId="0DB146D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0,67</w:t>
            </w:r>
          </w:p>
        </w:tc>
        <w:tc>
          <w:tcPr>
            <w:tcW w:w="511" w:type="dxa"/>
            <w:tcBorders>
              <w:top w:val="single" w:sz="4" w:space="0" w:color="auto"/>
              <w:left w:val="nil"/>
              <w:bottom w:val="nil"/>
              <w:right w:val="nil"/>
            </w:tcBorders>
            <w:shd w:val="clear" w:color="auto" w:fill="auto"/>
            <w:vAlign w:val="center"/>
            <w:hideMark/>
          </w:tcPr>
          <w:p w14:paraId="64F7AAE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0,81</w:t>
            </w:r>
          </w:p>
        </w:tc>
        <w:tc>
          <w:tcPr>
            <w:tcW w:w="511" w:type="dxa"/>
            <w:tcBorders>
              <w:top w:val="nil"/>
              <w:left w:val="nil"/>
              <w:bottom w:val="nil"/>
              <w:right w:val="nil"/>
            </w:tcBorders>
            <w:shd w:val="clear" w:color="auto" w:fill="auto"/>
            <w:vAlign w:val="center"/>
            <w:hideMark/>
          </w:tcPr>
          <w:p w14:paraId="0C634E7C"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0,83</w:t>
            </w:r>
          </w:p>
        </w:tc>
        <w:tc>
          <w:tcPr>
            <w:tcW w:w="511" w:type="dxa"/>
            <w:tcBorders>
              <w:top w:val="nil"/>
              <w:left w:val="nil"/>
              <w:bottom w:val="nil"/>
              <w:right w:val="nil"/>
            </w:tcBorders>
            <w:shd w:val="clear" w:color="auto" w:fill="auto"/>
            <w:vAlign w:val="center"/>
            <w:hideMark/>
          </w:tcPr>
          <w:p w14:paraId="58C6AF3B"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0,89</w:t>
            </w:r>
          </w:p>
        </w:tc>
        <w:tc>
          <w:tcPr>
            <w:tcW w:w="511" w:type="dxa"/>
            <w:tcBorders>
              <w:top w:val="nil"/>
              <w:left w:val="nil"/>
              <w:bottom w:val="nil"/>
              <w:right w:val="nil"/>
            </w:tcBorders>
            <w:shd w:val="clear" w:color="auto" w:fill="auto"/>
            <w:vAlign w:val="center"/>
            <w:hideMark/>
          </w:tcPr>
          <w:p w14:paraId="593D4F8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1,18</w:t>
            </w:r>
          </w:p>
        </w:tc>
        <w:tc>
          <w:tcPr>
            <w:tcW w:w="511" w:type="dxa"/>
            <w:tcBorders>
              <w:top w:val="nil"/>
              <w:left w:val="nil"/>
              <w:bottom w:val="nil"/>
              <w:right w:val="nil"/>
            </w:tcBorders>
            <w:shd w:val="clear" w:color="auto" w:fill="auto"/>
            <w:vAlign w:val="center"/>
            <w:hideMark/>
          </w:tcPr>
          <w:p w14:paraId="20202FB4"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1,2</w:t>
            </w:r>
          </w:p>
        </w:tc>
      </w:tr>
      <w:tr w:rsidR="002A4439" w:rsidRPr="00181935" w14:paraId="70D5E81E"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6E1F3F61"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HDP)</w:t>
            </w:r>
          </w:p>
        </w:tc>
        <w:tc>
          <w:tcPr>
            <w:tcW w:w="621" w:type="dxa"/>
            <w:tcBorders>
              <w:top w:val="nil"/>
              <w:left w:val="nil"/>
              <w:bottom w:val="nil"/>
              <w:right w:val="nil"/>
            </w:tcBorders>
            <w:shd w:val="clear" w:color="auto" w:fill="auto"/>
            <w:noWrap/>
            <w:vAlign w:val="center"/>
            <w:hideMark/>
          </w:tcPr>
          <w:p w14:paraId="3FCF6732"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511" w:type="dxa"/>
            <w:tcBorders>
              <w:top w:val="nil"/>
              <w:left w:val="nil"/>
              <w:bottom w:val="nil"/>
              <w:right w:val="nil"/>
            </w:tcBorders>
            <w:shd w:val="clear" w:color="auto" w:fill="auto"/>
            <w:vAlign w:val="center"/>
            <w:hideMark/>
          </w:tcPr>
          <w:p w14:paraId="12B6C5DA"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1,85</w:t>
            </w:r>
          </w:p>
        </w:tc>
        <w:tc>
          <w:tcPr>
            <w:tcW w:w="511" w:type="dxa"/>
            <w:tcBorders>
              <w:top w:val="nil"/>
              <w:left w:val="nil"/>
              <w:bottom w:val="nil"/>
              <w:right w:val="nil"/>
            </w:tcBorders>
            <w:shd w:val="clear" w:color="auto" w:fill="auto"/>
            <w:vAlign w:val="center"/>
            <w:hideMark/>
          </w:tcPr>
          <w:p w14:paraId="08D10A20"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1,94</w:t>
            </w:r>
          </w:p>
        </w:tc>
        <w:tc>
          <w:tcPr>
            <w:tcW w:w="511" w:type="dxa"/>
            <w:tcBorders>
              <w:top w:val="nil"/>
              <w:left w:val="nil"/>
              <w:bottom w:val="nil"/>
              <w:right w:val="nil"/>
            </w:tcBorders>
            <w:shd w:val="clear" w:color="auto" w:fill="auto"/>
            <w:vAlign w:val="center"/>
            <w:hideMark/>
          </w:tcPr>
          <w:p w14:paraId="567E1D81"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1,93</w:t>
            </w:r>
          </w:p>
        </w:tc>
        <w:tc>
          <w:tcPr>
            <w:tcW w:w="511" w:type="dxa"/>
            <w:tcBorders>
              <w:top w:val="nil"/>
              <w:left w:val="nil"/>
              <w:bottom w:val="nil"/>
              <w:right w:val="nil"/>
            </w:tcBorders>
            <w:shd w:val="clear" w:color="auto" w:fill="auto"/>
            <w:vAlign w:val="center"/>
            <w:hideMark/>
          </w:tcPr>
          <w:p w14:paraId="3F3EBA53"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1,97</w:t>
            </w:r>
          </w:p>
        </w:tc>
        <w:tc>
          <w:tcPr>
            <w:tcW w:w="511" w:type="dxa"/>
            <w:tcBorders>
              <w:top w:val="nil"/>
              <w:left w:val="nil"/>
              <w:bottom w:val="nil"/>
              <w:right w:val="nil"/>
            </w:tcBorders>
            <w:shd w:val="clear" w:color="auto" w:fill="auto"/>
            <w:vAlign w:val="center"/>
            <w:hideMark/>
          </w:tcPr>
          <w:p w14:paraId="647EE189"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2,01</w:t>
            </w:r>
          </w:p>
        </w:tc>
        <w:tc>
          <w:tcPr>
            <w:tcW w:w="511" w:type="dxa"/>
            <w:tcBorders>
              <w:top w:val="nil"/>
              <w:left w:val="nil"/>
              <w:bottom w:val="single" w:sz="4" w:space="0" w:color="auto"/>
              <w:right w:val="nil"/>
            </w:tcBorders>
            <w:shd w:val="clear" w:color="auto" w:fill="auto"/>
            <w:vAlign w:val="center"/>
            <w:hideMark/>
          </w:tcPr>
          <w:p w14:paraId="729F275F"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2,03</w:t>
            </w:r>
          </w:p>
        </w:tc>
        <w:tc>
          <w:tcPr>
            <w:tcW w:w="511" w:type="dxa"/>
            <w:tcBorders>
              <w:top w:val="nil"/>
              <w:left w:val="nil"/>
              <w:bottom w:val="single" w:sz="4" w:space="0" w:color="auto"/>
              <w:right w:val="nil"/>
            </w:tcBorders>
            <w:shd w:val="clear" w:color="auto" w:fill="auto"/>
            <w:vAlign w:val="center"/>
            <w:hideMark/>
          </w:tcPr>
          <w:p w14:paraId="5EB66936"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2,04</w:t>
            </w:r>
          </w:p>
        </w:tc>
        <w:tc>
          <w:tcPr>
            <w:tcW w:w="511" w:type="dxa"/>
            <w:tcBorders>
              <w:top w:val="nil"/>
              <w:left w:val="nil"/>
              <w:bottom w:val="single" w:sz="4" w:space="0" w:color="auto"/>
              <w:right w:val="nil"/>
            </w:tcBorders>
            <w:shd w:val="clear" w:color="auto" w:fill="auto"/>
            <w:vAlign w:val="center"/>
            <w:hideMark/>
          </w:tcPr>
          <w:p w14:paraId="16EF26A5"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2,03</w:t>
            </w:r>
          </w:p>
        </w:tc>
        <w:tc>
          <w:tcPr>
            <w:tcW w:w="511" w:type="dxa"/>
            <w:tcBorders>
              <w:top w:val="nil"/>
              <w:left w:val="nil"/>
              <w:bottom w:val="single" w:sz="4" w:space="0" w:color="auto"/>
              <w:right w:val="nil"/>
            </w:tcBorders>
            <w:shd w:val="clear" w:color="auto" w:fill="auto"/>
            <w:vAlign w:val="center"/>
            <w:hideMark/>
          </w:tcPr>
          <w:p w14:paraId="6FAA3C3D" w14:textId="77777777" w:rsidR="002A4439" w:rsidRPr="00181935" w:rsidRDefault="002A4439" w:rsidP="00FB625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w:t>
            </w:r>
          </w:p>
        </w:tc>
      </w:tr>
      <w:tr w:rsidR="002A4439" w:rsidRPr="00181935" w14:paraId="6F30A005" w14:textId="77777777" w:rsidTr="002A4439">
        <w:trPr>
          <w:trHeight w:val="285"/>
          <w:jc w:val="center"/>
        </w:trPr>
        <w:tc>
          <w:tcPr>
            <w:tcW w:w="3404" w:type="dxa"/>
            <w:tcBorders>
              <w:top w:val="nil"/>
              <w:left w:val="nil"/>
              <w:bottom w:val="nil"/>
              <w:right w:val="nil"/>
            </w:tcBorders>
            <w:shd w:val="clear" w:color="auto" w:fill="auto"/>
            <w:noWrap/>
            <w:vAlign w:val="center"/>
            <w:hideMark/>
          </w:tcPr>
          <w:p w14:paraId="5936BFC2" w14:textId="77777777" w:rsidR="002A4439" w:rsidRPr="00181935" w:rsidRDefault="002A4439" w:rsidP="00FB625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High-tech export</w:t>
            </w:r>
          </w:p>
        </w:tc>
        <w:tc>
          <w:tcPr>
            <w:tcW w:w="621" w:type="dxa"/>
            <w:tcBorders>
              <w:top w:val="single" w:sz="4" w:space="0" w:color="auto"/>
              <w:left w:val="nil"/>
              <w:bottom w:val="nil"/>
              <w:right w:val="nil"/>
            </w:tcBorders>
            <w:shd w:val="clear" w:color="auto" w:fill="auto"/>
            <w:noWrap/>
            <w:vAlign w:val="center"/>
            <w:hideMark/>
          </w:tcPr>
          <w:p w14:paraId="24674EDE"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511" w:type="dxa"/>
            <w:tcBorders>
              <w:top w:val="single" w:sz="4" w:space="0" w:color="auto"/>
              <w:left w:val="nil"/>
              <w:bottom w:val="nil"/>
              <w:right w:val="nil"/>
            </w:tcBorders>
            <w:shd w:val="clear" w:color="auto" w:fill="auto"/>
            <w:vAlign w:val="center"/>
            <w:hideMark/>
          </w:tcPr>
          <w:p w14:paraId="2A4968E0"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5,2</w:t>
            </w:r>
          </w:p>
        </w:tc>
        <w:tc>
          <w:tcPr>
            <w:tcW w:w="511" w:type="dxa"/>
            <w:tcBorders>
              <w:top w:val="single" w:sz="4" w:space="0" w:color="auto"/>
              <w:left w:val="nil"/>
              <w:bottom w:val="nil"/>
              <w:right w:val="nil"/>
            </w:tcBorders>
            <w:shd w:val="clear" w:color="auto" w:fill="auto"/>
            <w:vAlign w:val="center"/>
            <w:hideMark/>
          </w:tcPr>
          <w:p w14:paraId="5D492520"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5,9</w:t>
            </w:r>
          </w:p>
        </w:tc>
        <w:tc>
          <w:tcPr>
            <w:tcW w:w="511" w:type="dxa"/>
            <w:tcBorders>
              <w:top w:val="single" w:sz="4" w:space="0" w:color="auto"/>
              <w:left w:val="nil"/>
              <w:bottom w:val="nil"/>
              <w:right w:val="nil"/>
            </w:tcBorders>
            <w:shd w:val="clear" w:color="auto" w:fill="auto"/>
            <w:vAlign w:val="center"/>
            <w:hideMark/>
          </w:tcPr>
          <w:p w14:paraId="5A222EF7"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6,6</w:t>
            </w:r>
          </w:p>
        </w:tc>
        <w:tc>
          <w:tcPr>
            <w:tcW w:w="511" w:type="dxa"/>
            <w:tcBorders>
              <w:top w:val="single" w:sz="4" w:space="0" w:color="auto"/>
              <w:left w:val="nil"/>
              <w:bottom w:val="nil"/>
              <w:right w:val="nil"/>
            </w:tcBorders>
            <w:shd w:val="clear" w:color="auto" w:fill="auto"/>
            <w:vAlign w:val="center"/>
            <w:hideMark/>
          </w:tcPr>
          <w:p w14:paraId="6C709A9C"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6,6</w:t>
            </w:r>
          </w:p>
        </w:tc>
        <w:tc>
          <w:tcPr>
            <w:tcW w:w="511" w:type="dxa"/>
            <w:tcBorders>
              <w:top w:val="single" w:sz="4" w:space="0" w:color="auto"/>
              <w:left w:val="nil"/>
              <w:bottom w:val="nil"/>
              <w:right w:val="nil"/>
            </w:tcBorders>
            <w:shd w:val="clear" w:color="auto" w:fill="auto"/>
            <w:vAlign w:val="center"/>
            <w:hideMark/>
          </w:tcPr>
          <w:p w14:paraId="36E84D8E"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8,2</w:t>
            </w:r>
          </w:p>
        </w:tc>
        <w:tc>
          <w:tcPr>
            <w:tcW w:w="511" w:type="dxa"/>
            <w:tcBorders>
              <w:top w:val="nil"/>
              <w:left w:val="nil"/>
              <w:bottom w:val="nil"/>
              <w:right w:val="nil"/>
            </w:tcBorders>
            <w:shd w:val="clear" w:color="auto" w:fill="auto"/>
            <w:vAlign w:val="center"/>
            <w:hideMark/>
          </w:tcPr>
          <w:p w14:paraId="08F4163C"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9,5</w:t>
            </w:r>
          </w:p>
        </w:tc>
        <w:tc>
          <w:tcPr>
            <w:tcW w:w="511" w:type="dxa"/>
            <w:tcBorders>
              <w:top w:val="nil"/>
              <w:left w:val="nil"/>
              <w:bottom w:val="nil"/>
              <w:right w:val="nil"/>
            </w:tcBorders>
            <w:shd w:val="clear" w:color="auto" w:fill="auto"/>
            <w:vAlign w:val="center"/>
            <w:hideMark/>
          </w:tcPr>
          <w:p w14:paraId="1705A084"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9,7</w:t>
            </w:r>
          </w:p>
        </w:tc>
        <w:tc>
          <w:tcPr>
            <w:tcW w:w="511" w:type="dxa"/>
            <w:tcBorders>
              <w:top w:val="nil"/>
              <w:left w:val="nil"/>
              <w:bottom w:val="nil"/>
              <w:right w:val="nil"/>
            </w:tcBorders>
            <w:shd w:val="clear" w:color="auto" w:fill="auto"/>
            <w:vAlign w:val="center"/>
            <w:hideMark/>
          </w:tcPr>
          <w:p w14:paraId="4DEB9B94"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9,8</w:t>
            </w:r>
          </w:p>
        </w:tc>
        <w:tc>
          <w:tcPr>
            <w:tcW w:w="511" w:type="dxa"/>
            <w:tcBorders>
              <w:top w:val="nil"/>
              <w:left w:val="nil"/>
              <w:bottom w:val="nil"/>
              <w:right w:val="nil"/>
            </w:tcBorders>
            <w:shd w:val="clear" w:color="auto" w:fill="auto"/>
            <w:vAlign w:val="center"/>
            <w:hideMark/>
          </w:tcPr>
          <w:p w14:paraId="62BC5C5F"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14</w:t>
            </w:r>
          </w:p>
        </w:tc>
      </w:tr>
      <w:tr w:rsidR="002A4439" w:rsidRPr="00181935" w14:paraId="61CFA614" w14:textId="77777777" w:rsidTr="002A4439">
        <w:trPr>
          <w:trHeight w:val="285"/>
          <w:jc w:val="center"/>
        </w:trPr>
        <w:tc>
          <w:tcPr>
            <w:tcW w:w="3404" w:type="dxa"/>
            <w:tcBorders>
              <w:top w:val="nil"/>
              <w:left w:val="nil"/>
              <w:bottom w:val="single" w:sz="4" w:space="0" w:color="auto"/>
              <w:right w:val="nil"/>
            </w:tcBorders>
            <w:shd w:val="clear" w:color="auto" w:fill="auto"/>
            <w:noWrap/>
            <w:vAlign w:val="center"/>
            <w:hideMark/>
          </w:tcPr>
          <w:p w14:paraId="3777D528" w14:textId="77777777" w:rsidR="002A4439" w:rsidRPr="00181935" w:rsidRDefault="002A4439" w:rsidP="00FB625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na celkovom exporte)</w:t>
            </w:r>
          </w:p>
        </w:tc>
        <w:tc>
          <w:tcPr>
            <w:tcW w:w="621" w:type="dxa"/>
            <w:tcBorders>
              <w:top w:val="nil"/>
              <w:left w:val="nil"/>
              <w:bottom w:val="single" w:sz="4" w:space="0" w:color="auto"/>
              <w:right w:val="nil"/>
            </w:tcBorders>
            <w:shd w:val="clear" w:color="auto" w:fill="auto"/>
            <w:noWrap/>
            <w:vAlign w:val="center"/>
            <w:hideMark/>
          </w:tcPr>
          <w:p w14:paraId="0B392465" w14:textId="77777777" w:rsidR="002A4439" w:rsidRPr="00181935" w:rsidRDefault="002A4439" w:rsidP="00FB625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511" w:type="dxa"/>
            <w:tcBorders>
              <w:top w:val="nil"/>
              <w:left w:val="nil"/>
              <w:bottom w:val="single" w:sz="4" w:space="0" w:color="auto"/>
              <w:right w:val="nil"/>
            </w:tcBorders>
            <w:shd w:val="clear" w:color="auto" w:fill="auto"/>
            <w:vAlign w:val="center"/>
            <w:hideMark/>
          </w:tcPr>
          <w:p w14:paraId="2A35E765"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15,4</w:t>
            </w:r>
          </w:p>
        </w:tc>
        <w:tc>
          <w:tcPr>
            <w:tcW w:w="511" w:type="dxa"/>
            <w:tcBorders>
              <w:top w:val="nil"/>
              <w:left w:val="nil"/>
              <w:bottom w:val="single" w:sz="4" w:space="0" w:color="auto"/>
              <w:right w:val="nil"/>
            </w:tcBorders>
            <w:shd w:val="clear" w:color="auto" w:fill="auto"/>
            <w:vAlign w:val="center"/>
            <w:hideMark/>
          </w:tcPr>
          <w:p w14:paraId="70FAEA13"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17,1</w:t>
            </w:r>
          </w:p>
        </w:tc>
        <w:tc>
          <w:tcPr>
            <w:tcW w:w="511" w:type="dxa"/>
            <w:tcBorders>
              <w:top w:val="nil"/>
              <w:left w:val="nil"/>
              <w:bottom w:val="single" w:sz="4" w:space="0" w:color="auto"/>
              <w:right w:val="nil"/>
            </w:tcBorders>
            <w:shd w:val="clear" w:color="auto" w:fill="auto"/>
            <w:vAlign w:val="center"/>
            <w:hideMark/>
          </w:tcPr>
          <w:p w14:paraId="64F2D9AE"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16,1</w:t>
            </w:r>
          </w:p>
        </w:tc>
        <w:tc>
          <w:tcPr>
            <w:tcW w:w="511" w:type="dxa"/>
            <w:tcBorders>
              <w:top w:val="nil"/>
              <w:left w:val="nil"/>
              <w:bottom w:val="single" w:sz="4" w:space="0" w:color="auto"/>
              <w:right w:val="nil"/>
            </w:tcBorders>
            <w:shd w:val="clear" w:color="auto" w:fill="auto"/>
            <w:vAlign w:val="center"/>
            <w:hideMark/>
          </w:tcPr>
          <w:p w14:paraId="5395CEF0"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15,4</w:t>
            </w:r>
          </w:p>
        </w:tc>
        <w:tc>
          <w:tcPr>
            <w:tcW w:w="511" w:type="dxa"/>
            <w:tcBorders>
              <w:top w:val="nil"/>
              <w:left w:val="nil"/>
              <w:bottom w:val="single" w:sz="4" w:space="0" w:color="auto"/>
              <w:right w:val="nil"/>
            </w:tcBorders>
            <w:shd w:val="clear" w:color="auto" w:fill="auto"/>
            <w:vAlign w:val="center"/>
            <w:hideMark/>
          </w:tcPr>
          <w:p w14:paraId="3530A827"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15,7</w:t>
            </w:r>
          </w:p>
        </w:tc>
        <w:tc>
          <w:tcPr>
            <w:tcW w:w="511" w:type="dxa"/>
            <w:tcBorders>
              <w:top w:val="nil"/>
              <w:left w:val="nil"/>
              <w:bottom w:val="single" w:sz="4" w:space="0" w:color="auto"/>
              <w:right w:val="nil"/>
            </w:tcBorders>
            <w:shd w:val="clear" w:color="auto" w:fill="auto"/>
            <w:vAlign w:val="center"/>
            <w:hideMark/>
          </w:tcPr>
          <w:p w14:paraId="26AFA747"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15,3</w:t>
            </w:r>
          </w:p>
        </w:tc>
        <w:tc>
          <w:tcPr>
            <w:tcW w:w="511" w:type="dxa"/>
            <w:tcBorders>
              <w:top w:val="nil"/>
              <w:left w:val="nil"/>
              <w:bottom w:val="single" w:sz="4" w:space="0" w:color="auto"/>
              <w:right w:val="nil"/>
            </w:tcBorders>
            <w:shd w:val="clear" w:color="auto" w:fill="auto"/>
            <w:vAlign w:val="center"/>
            <w:hideMark/>
          </w:tcPr>
          <w:p w14:paraId="3BB110BB"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15,7</w:t>
            </w:r>
          </w:p>
        </w:tc>
        <w:tc>
          <w:tcPr>
            <w:tcW w:w="511" w:type="dxa"/>
            <w:tcBorders>
              <w:top w:val="nil"/>
              <w:left w:val="nil"/>
              <w:bottom w:val="single" w:sz="4" w:space="0" w:color="auto"/>
              <w:right w:val="nil"/>
            </w:tcBorders>
            <w:shd w:val="clear" w:color="auto" w:fill="auto"/>
            <w:vAlign w:val="center"/>
            <w:hideMark/>
          </w:tcPr>
          <w:p w14:paraId="12DBA9C8" w14:textId="77777777" w:rsidR="002A4439" w:rsidRPr="00181935" w:rsidRDefault="002A4439" w:rsidP="00FB625E">
            <w:pPr>
              <w:spacing w:after="0" w:line="240" w:lineRule="auto"/>
              <w:jc w:val="center"/>
              <w:rPr>
                <w:rFonts w:ascii="Arial Narrow" w:hAnsi="Arial Narrow"/>
                <w:sz w:val="20"/>
                <w:szCs w:val="20"/>
              </w:rPr>
            </w:pPr>
            <w:r>
              <w:rPr>
                <w:rFonts w:ascii="Arial Narrow" w:hAnsi="Arial Narrow"/>
                <w:sz w:val="20"/>
                <w:szCs w:val="20"/>
              </w:rPr>
              <w:t>17</w:t>
            </w:r>
          </w:p>
        </w:tc>
        <w:tc>
          <w:tcPr>
            <w:tcW w:w="511" w:type="dxa"/>
            <w:tcBorders>
              <w:top w:val="nil"/>
              <w:left w:val="nil"/>
              <w:bottom w:val="single" w:sz="4" w:space="0" w:color="auto"/>
              <w:right w:val="nil"/>
            </w:tcBorders>
            <w:shd w:val="clear" w:color="auto" w:fill="auto"/>
            <w:vAlign w:val="center"/>
            <w:hideMark/>
          </w:tcPr>
          <w:p w14:paraId="100D1AF3" w14:textId="77777777" w:rsidR="002A4439" w:rsidRPr="00181935" w:rsidRDefault="002A4439" w:rsidP="00FB625E">
            <w:pPr>
              <w:spacing w:after="0" w:line="240" w:lineRule="auto"/>
              <w:jc w:val="center"/>
              <w:rPr>
                <w:rFonts w:ascii="Arial Narrow" w:hAnsi="Arial Narrow"/>
                <w:sz w:val="20"/>
                <w:szCs w:val="20"/>
              </w:rPr>
            </w:pPr>
            <w:r w:rsidRPr="00181935">
              <w:rPr>
                <w:rFonts w:ascii="Arial Narrow" w:hAnsi="Arial Narrow"/>
                <w:sz w:val="20"/>
                <w:szCs w:val="20"/>
              </w:rPr>
              <w:t>-</w:t>
            </w:r>
          </w:p>
        </w:tc>
      </w:tr>
    </w:tbl>
    <w:p w14:paraId="76234A3E" w14:textId="77777777" w:rsidR="00192B7E" w:rsidRDefault="00192B7E" w:rsidP="00FB625E">
      <w:pPr>
        <w:pStyle w:val="Odsekzoznamu"/>
        <w:spacing w:after="0" w:line="240" w:lineRule="auto"/>
        <w:ind w:left="0"/>
        <w:jc w:val="both"/>
        <w:rPr>
          <w:rFonts w:ascii="Arial Narrow" w:hAnsi="Arial Narrow"/>
        </w:rPr>
      </w:pPr>
    </w:p>
    <w:p w14:paraId="3C8B1677" w14:textId="46077A6E" w:rsidR="00BF0C11" w:rsidRPr="00256D89" w:rsidRDefault="00192B7E" w:rsidP="00FB625E">
      <w:pPr>
        <w:pStyle w:val="Odsekzoznamu"/>
        <w:spacing w:after="0" w:line="240" w:lineRule="auto"/>
        <w:ind w:left="0"/>
        <w:jc w:val="both"/>
        <w:rPr>
          <w:rFonts w:ascii="Arial Narrow" w:hAnsi="Arial Narrow"/>
        </w:rPr>
      </w:pPr>
      <w:r w:rsidRPr="006F50D5">
        <w:rPr>
          <w:rFonts w:ascii="Arial Narrow" w:hAnsi="Arial Narrow"/>
        </w:rPr>
        <w:t>Výdavky na školstvo a výskum sú v porovnaní s vyspelými krajinami podpriemerné, s najväčším rozdielom pri základnom a strednom školstve. Výdavky na vedu a výskum ako podiel na HDP však stabilne rastú a blížia sa k </w:t>
      </w:r>
      <w:r w:rsidRPr="008F744D">
        <w:rPr>
          <w:rFonts w:ascii="Arial Narrow" w:hAnsi="Arial Narrow"/>
        </w:rPr>
        <w:t xml:space="preserve">národnému cieľu </w:t>
      </w:r>
      <w:r w:rsidR="008F744D">
        <w:rPr>
          <w:rFonts w:ascii="Arial Narrow" w:hAnsi="Arial Narrow"/>
        </w:rPr>
        <w:t>stratégie Európa 2020</w:t>
      </w:r>
      <w:r w:rsidRPr="006F50D5">
        <w:rPr>
          <w:rFonts w:ascii="Arial Narrow" w:hAnsi="Arial Narrow"/>
        </w:rPr>
        <w:t xml:space="preserve">. Mzdy pedagógov patria medzi najnižšie v OECD, aj keď rozdiel sa zmiernil zvyšovaním platov učiteľov v posledných rokoch. </w:t>
      </w:r>
      <w:r w:rsidR="0046081B">
        <w:rPr>
          <w:rFonts w:ascii="Arial Narrow" w:hAnsi="Arial Narrow"/>
        </w:rPr>
        <w:t>Po očistení o EÚ</w:t>
      </w:r>
      <w:r w:rsidR="00CE1C99">
        <w:rPr>
          <w:rFonts w:ascii="Arial Narrow" w:hAnsi="Arial Narrow"/>
        </w:rPr>
        <w:t xml:space="preserve"> fondy rástli v roku 2016 zdroje v školstve prevažne z titulu zvyšovania platov učiteľov. </w:t>
      </w:r>
    </w:p>
    <w:tbl>
      <w:tblPr>
        <w:tblpPr w:leftFromText="141" w:rightFromText="141" w:vertAnchor="text" w:horzAnchor="margin" w:tblpXSpec="center" w:tblpY="109"/>
        <w:tblOverlap w:val="never"/>
        <w:tblW w:w="504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3980"/>
        <w:gridCol w:w="236"/>
        <w:gridCol w:w="4418"/>
      </w:tblGrid>
      <w:tr w:rsidR="00192B7E" w:rsidRPr="00256D89" w14:paraId="1DB3A9B2" w14:textId="77777777" w:rsidTr="00027EFA">
        <w:trPr>
          <w:trHeight w:val="944"/>
        </w:trPr>
        <w:tc>
          <w:tcPr>
            <w:tcW w:w="3980" w:type="dxa"/>
            <w:tcBorders>
              <w:top w:val="nil"/>
              <w:left w:val="nil"/>
              <w:bottom w:val="single" w:sz="4" w:space="0" w:color="auto"/>
              <w:right w:val="nil"/>
            </w:tcBorders>
            <w:vAlign w:val="center"/>
          </w:tcPr>
          <w:p w14:paraId="257CE619" w14:textId="18ADA887" w:rsidR="00192B7E" w:rsidRPr="00CD4E34" w:rsidRDefault="00192B7E" w:rsidP="00FB625E">
            <w:pPr>
              <w:pStyle w:val="Popis"/>
              <w:contextualSpacing/>
              <w:rPr>
                <w:rFonts w:cs="Arial"/>
                <w:b w:val="0"/>
              </w:rPr>
            </w:pPr>
            <w:bookmarkStart w:id="25" w:name="_Toc448745630"/>
            <w:bookmarkStart w:id="26" w:name="_Toc478656312"/>
            <w:r w:rsidRPr="00256D89">
              <w:t xml:space="preserve">Graf </w:t>
            </w:r>
            <w:fldSimple w:instr=" SEQ Graf \* ARABIC ">
              <w:r w:rsidR="002E71B2">
                <w:rPr>
                  <w:noProof/>
                </w:rPr>
                <w:t>9</w:t>
              </w:r>
            </w:fldSimple>
            <w:r>
              <w:t>:</w:t>
            </w:r>
            <w:r w:rsidRPr="00256D89">
              <w:rPr>
                <w:rFonts w:cs="Arial"/>
              </w:rPr>
              <w:t xml:space="preserve"> </w:t>
            </w:r>
            <w:r>
              <w:rPr>
                <w:rFonts w:cs="Arial"/>
              </w:rPr>
              <w:t>Verejné v</w:t>
            </w:r>
            <w:r w:rsidRPr="00256D89">
              <w:rPr>
                <w:rFonts w:cs="Arial"/>
              </w:rPr>
              <w:t>ýdavk</w:t>
            </w:r>
            <w:r>
              <w:rPr>
                <w:rFonts w:cs="Arial"/>
              </w:rPr>
              <w:t>y</w:t>
            </w:r>
            <w:r w:rsidRPr="00256D89">
              <w:rPr>
                <w:rFonts w:cs="Arial"/>
              </w:rPr>
              <w:t xml:space="preserve"> na vzdelávanie, 201</w:t>
            </w:r>
            <w:bookmarkEnd w:id="25"/>
            <w:r>
              <w:rPr>
                <w:rFonts w:cs="Arial"/>
              </w:rPr>
              <w:t>3</w:t>
            </w:r>
            <w:bookmarkEnd w:id="26"/>
          </w:p>
        </w:tc>
        <w:tc>
          <w:tcPr>
            <w:tcW w:w="236" w:type="dxa"/>
            <w:tcBorders>
              <w:top w:val="nil"/>
              <w:left w:val="nil"/>
              <w:bottom w:val="nil"/>
              <w:right w:val="nil"/>
            </w:tcBorders>
            <w:vAlign w:val="center"/>
          </w:tcPr>
          <w:p w14:paraId="439412B1" w14:textId="77777777" w:rsidR="00192B7E" w:rsidRPr="00256D89" w:rsidRDefault="00192B7E" w:rsidP="00FB625E">
            <w:pPr>
              <w:spacing w:before="40" w:after="40" w:line="240" w:lineRule="auto"/>
              <w:contextualSpacing/>
              <w:jc w:val="center"/>
              <w:rPr>
                <w:rFonts w:ascii="Arial Narrow" w:hAnsi="Arial Narrow" w:cs="Arial"/>
                <w:b/>
                <w:sz w:val="20"/>
                <w:szCs w:val="20"/>
              </w:rPr>
            </w:pPr>
          </w:p>
        </w:tc>
        <w:tc>
          <w:tcPr>
            <w:tcW w:w="4418" w:type="dxa"/>
            <w:tcBorders>
              <w:top w:val="nil"/>
              <w:left w:val="nil"/>
              <w:bottom w:val="single" w:sz="4" w:space="0" w:color="auto"/>
              <w:right w:val="nil"/>
            </w:tcBorders>
            <w:vAlign w:val="center"/>
          </w:tcPr>
          <w:p w14:paraId="229DE054" w14:textId="5B0AA29C" w:rsidR="00192B7E" w:rsidRDefault="00192B7E" w:rsidP="00FB625E">
            <w:pPr>
              <w:pStyle w:val="Popis"/>
              <w:contextualSpacing/>
              <w:rPr>
                <w:noProof/>
              </w:rPr>
            </w:pPr>
            <w:bookmarkStart w:id="27" w:name="_Toc478656313"/>
            <w:r w:rsidRPr="00CD4E34">
              <w:rPr>
                <w:rFonts w:cs="Arial"/>
              </w:rPr>
              <w:t xml:space="preserve">Graf </w:t>
            </w:r>
            <w:r w:rsidRPr="00CD4E34">
              <w:rPr>
                <w:rFonts w:cs="Arial"/>
              </w:rPr>
              <w:fldChar w:fldCharType="begin"/>
            </w:r>
            <w:r w:rsidRPr="00CD4E34">
              <w:rPr>
                <w:rFonts w:cs="Arial"/>
              </w:rPr>
              <w:instrText xml:space="preserve"> SEQ Graf \* ARABIC </w:instrText>
            </w:r>
            <w:r w:rsidRPr="00CD4E34">
              <w:rPr>
                <w:rFonts w:cs="Arial"/>
              </w:rPr>
              <w:fldChar w:fldCharType="separate"/>
            </w:r>
            <w:r w:rsidR="002E71B2">
              <w:rPr>
                <w:rFonts w:cs="Arial"/>
                <w:noProof/>
              </w:rPr>
              <w:t>10</w:t>
            </w:r>
            <w:r w:rsidRPr="00CD4E34">
              <w:rPr>
                <w:rFonts w:cs="Arial"/>
              </w:rPr>
              <w:fldChar w:fldCharType="end"/>
            </w:r>
            <w:r w:rsidRPr="00CD4E34">
              <w:rPr>
                <w:rFonts w:cs="Arial"/>
              </w:rPr>
              <w:t xml:space="preserve">: </w:t>
            </w:r>
            <w:r>
              <w:rPr>
                <w:rFonts w:cs="Arial"/>
              </w:rPr>
              <w:t>Priemerné platy</w:t>
            </w:r>
            <w:r w:rsidRPr="00CD4E34">
              <w:rPr>
                <w:rFonts w:cs="Arial"/>
              </w:rPr>
              <w:t xml:space="preserve"> pedag</w:t>
            </w:r>
            <w:r>
              <w:rPr>
                <w:rFonts w:cs="Arial"/>
              </w:rPr>
              <w:t>ógov</w:t>
            </w:r>
            <w:r w:rsidRPr="00CD4E34">
              <w:rPr>
                <w:rFonts w:cs="Arial"/>
              </w:rPr>
              <w:t xml:space="preserve"> nižš</w:t>
            </w:r>
            <w:r>
              <w:rPr>
                <w:rFonts w:cs="Arial"/>
              </w:rPr>
              <w:t>ieho sekundárneho vzdelávania v pomere k</w:t>
            </w:r>
            <w:r w:rsidRPr="00CD4E34">
              <w:rPr>
                <w:rFonts w:cs="Arial"/>
              </w:rPr>
              <w:t xml:space="preserve"> </w:t>
            </w:r>
            <w:bookmarkStart w:id="28" w:name="_Toc448745631"/>
            <w:r>
              <w:rPr>
                <w:rFonts w:cs="Arial"/>
              </w:rPr>
              <w:t xml:space="preserve">platom zamestnancov s VŠ </w:t>
            </w:r>
            <w:r w:rsidRPr="00CD4E34">
              <w:rPr>
                <w:rFonts w:cs="Arial"/>
              </w:rPr>
              <w:t>vzdelaním (</w:t>
            </w:r>
            <w:r w:rsidRPr="00BF0187">
              <w:rPr>
                <w:rFonts w:cs="Arial"/>
              </w:rPr>
              <w:t>2014</w:t>
            </w:r>
            <w:r w:rsidRPr="00CD4E34">
              <w:rPr>
                <w:rFonts w:cs="Arial"/>
              </w:rPr>
              <w:t>)</w:t>
            </w:r>
            <w:bookmarkEnd w:id="28"/>
            <w:bookmarkEnd w:id="27"/>
          </w:p>
        </w:tc>
      </w:tr>
      <w:tr w:rsidR="00192B7E" w:rsidRPr="00256D89" w14:paraId="1DA3EB97" w14:textId="77777777" w:rsidTr="00A42ED1">
        <w:trPr>
          <w:trHeight w:val="944"/>
        </w:trPr>
        <w:tc>
          <w:tcPr>
            <w:tcW w:w="3980" w:type="dxa"/>
            <w:tcBorders>
              <w:top w:val="single" w:sz="4" w:space="0" w:color="auto"/>
              <w:left w:val="nil"/>
              <w:bottom w:val="single" w:sz="4" w:space="0" w:color="auto"/>
              <w:right w:val="nil"/>
            </w:tcBorders>
            <w:vAlign w:val="center"/>
          </w:tcPr>
          <w:p w14:paraId="1081C777" w14:textId="62FF8772" w:rsidR="00192B7E" w:rsidRPr="00256D89" w:rsidRDefault="00A42ED1" w:rsidP="00FB625E">
            <w:pPr>
              <w:spacing w:before="40" w:after="40" w:line="240" w:lineRule="auto"/>
              <w:contextualSpacing/>
              <w:jc w:val="center"/>
              <w:rPr>
                <w:rFonts w:ascii="Arial Narrow" w:hAnsi="Arial Narrow" w:cs="Arial"/>
                <w:b/>
                <w:sz w:val="20"/>
                <w:szCs w:val="20"/>
              </w:rPr>
            </w:pPr>
            <w:r>
              <w:rPr>
                <w:noProof/>
                <w:lang w:val="en-US" w:eastAsia="en-US"/>
              </w:rPr>
              <w:drawing>
                <wp:inline distT="0" distB="0" distL="0" distR="0" wp14:anchorId="7FFC13F3" wp14:editId="2DF0C423">
                  <wp:extent cx="2390140" cy="219773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36" w:type="dxa"/>
            <w:tcBorders>
              <w:top w:val="nil"/>
              <w:left w:val="nil"/>
              <w:bottom w:val="nil"/>
              <w:right w:val="nil"/>
            </w:tcBorders>
            <w:vAlign w:val="center"/>
          </w:tcPr>
          <w:p w14:paraId="5DCDE3BD" w14:textId="77777777" w:rsidR="00192B7E" w:rsidRPr="00256D89" w:rsidRDefault="00192B7E" w:rsidP="00FB625E">
            <w:pPr>
              <w:spacing w:before="40" w:after="40" w:line="240" w:lineRule="auto"/>
              <w:contextualSpacing/>
              <w:jc w:val="center"/>
              <w:rPr>
                <w:rFonts w:ascii="Arial Narrow" w:hAnsi="Arial Narrow" w:cs="Arial"/>
                <w:b/>
                <w:sz w:val="20"/>
                <w:szCs w:val="20"/>
              </w:rPr>
            </w:pPr>
          </w:p>
        </w:tc>
        <w:tc>
          <w:tcPr>
            <w:tcW w:w="4418" w:type="dxa"/>
            <w:tcBorders>
              <w:top w:val="single" w:sz="4" w:space="0" w:color="auto"/>
              <w:left w:val="nil"/>
              <w:bottom w:val="single" w:sz="4" w:space="0" w:color="auto"/>
              <w:right w:val="nil"/>
            </w:tcBorders>
            <w:vAlign w:val="center"/>
          </w:tcPr>
          <w:p w14:paraId="3EA6BCC0" w14:textId="5A8C2CC4" w:rsidR="00192B7E" w:rsidRPr="00256D89" w:rsidRDefault="00027EFA" w:rsidP="00FB625E">
            <w:pPr>
              <w:spacing w:before="40" w:after="40" w:line="240" w:lineRule="auto"/>
              <w:contextualSpacing/>
              <w:jc w:val="center"/>
              <w:rPr>
                <w:rFonts w:ascii="Arial Narrow" w:hAnsi="Arial Narrow" w:cs="Arial"/>
                <w:b/>
                <w:sz w:val="20"/>
                <w:szCs w:val="20"/>
              </w:rPr>
            </w:pPr>
            <w:r>
              <w:rPr>
                <w:noProof/>
                <w:lang w:val="en-US" w:eastAsia="en-US"/>
              </w:rPr>
              <w:drawing>
                <wp:inline distT="0" distB="0" distL="0" distR="0" wp14:anchorId="4E9E3258" wp14:editId="38F422C0">
                  <wp:extent cx="2668270" cy="2181225"/>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92B7E" w:rsidRPr="00256D89" w14:paraId="2D5165FA" w14:textId="77777777" w:rsidTr="00027EFA">
        <w:trPr>
          <w:trHeight w:val="120"/>
        </w:trPr>
        <w:tc>
          <w:tcPr>
            <w:tcW w:w="3980" w:type="dxa"/>
            <w:tcBorders>
              <w:top w:val="single" w:sz="4" w:space="0" w:color="auto"/>
              <w:left w:val="nil"/>
              <w:bottom w:val="nil"/>
              <w:right w:val="nil"/>
            </w:tcBorders>
            <w:vAlign w:val="bottom"/>
          </w:tcPr>
          <w:p w14:paraId="3491D187" w14:textId="77777777" w:rsidR="00192B7E" w:rsidRPr="00C83F39" w:rsidRDefault="00192B7E" w:rsidP="00FB625E">
            <w:pPr>
              <w:spacing w:line="240" w:lineRule="auto"/>
              <w:contextualSpacing/>
              <w:jc w:val="right"/>
              <w:rPr>
                <w:rFonts w:ascii="Arial Narrow" w:hAnsi="Arial Narrow" w:cs="Arial"/>
                <w:sz w:val="16"/>
                <w:szCs w:val="14"/>
              </w:rPr>
            </w:pPr>
            <w:r w:rsidRPr="00C83F39">
              <w:rPr>
                <w:rFonts w:ascii="Arial Narrow" w:hAnsi="Arial Narrow"/>
                <w:i/>
                <w:iCs/>
                <w:color w:val="000000"/>
                <w:sz w:val="16"/>
                <w:szCs w:val="16"/>
              </w:rPr>
              <w:t xml:space="preserve">Zdroj: OECD (Education at a Glace 2016) </w:t>
            </w:r>
          </w:p>
        </w:tc>
        <w:tc>
          <w:tcPr>
            <w:tcW w:w="236" w:type="dxa"/>
            <w:tcBorders>
              <w:top w:val="nil"/>
              <w:left w:val="nil"/>
              <w:bottom w:val="nil"/>
              <w:right w:val="nil"/>
            </w:tcBorders>
            <w:vAlign w:val="bottom"/>
          </w:tcPr>
          <w:p w14:paraId="5920016E" w14:textId="77777777" w:rsidR="00192B7E" w:rsidRPr="00C83F39" w:rsidRDefault="00192B7E" w:rsidP="00FB625E">
            <w:pPr>
              <w:spacing w:line="240" w:lineRule="auto"/>
              <w:contextualSpacing/>
              <w:jc w:val="center"/>
              <w:rPr>
                <w:rFonts w:ascii="Arial Narrow" w:hAnsi="Arial Narrow" w:cs="Arial"/>
                <w:sz w:val="16"/>
                <w:szCs w:val="14"/>
              </w:rPr>
            </w:pPr>
          </w:p>
        </w:tc>
        <w:tc>
          <w:tcPr>
            <w:tcW w:w="4418" w:type="dxa"/>
            <w:tcBorders>
              <w:top w:val="single" w:sz="4" w:space="0" w:color="auto"/>
              <w:left w:val="nil"/>
              <w:bottom w:val="nil"/>
              <w:right w:val="nil"/>
            </w:tcBorders>
            <w:vAlign w:val="bottom"/>
          </w:tcPr>
          <w:p w14:paraId="3BE3CD8D" w14:textId="521F204A" w:rsidR="00192B7E" w:rsidRPr="00C83F39" w:rsidRDefault="00192B7E" w:rsidP="00FB625E">
            <w:pPr>
              <w:spacing w:line="240" w:lineRule="auto"/>
              <w:contextualSpacing/>
              <w:jc w:val="right"/>
              <w:rPr>
                <w:rFonts w:ascii="Arial Narrow" w:hAnsi="Arial Narrow" w:cs="Arial"/>
                <w:sz w:val="16"/>
                <w:szCs w:val="14"/>
              </w:rPr>
            </w:pPr>
            <w:r w:rsidRPr="00C83F39">
              <w:rPr>
                <w:rFonts w:ascii="Arial Narrow" w:hAnsi="Arial Narrow"/>
                <w:i/>
                <w:iCs/>
                <w:color w:val="000000"/>
                <w:sz w:val="16"/>
                <w:szCs w:val="16"/>
              </w:rPr>
              <w:t>Zdroj: OECD</w:t>
            </w:r>
            <w:r w:rsidR="00F42963">
              <w:rPr>
                <w:rFonts w:ascii="Arial Narrow" w:hAnsi="Arial Narrow"/>
                <w:i/>
                <w:iCs/>
                <w:color w:val="000000"/>
                <w:sz w:val="16"/>
                <w:szCs w:val="16"/>
              </w:rPr>
              <w:t xml:space="preserve"> </w:t>
            </w:r>
            <w:r w:rsidRPr="00C83F39">
              <w:rPr>
                <w:rFonts w:ascii="Arial Narrow" w:hAnsi="Arial Narrow"/>
                <w:i/>
                <w:iCs/>
                <w:color w:val="000000"/>
                <w:sz w:val="16"/>
                <w:szCs w:val="16"/>
              </w:rPr>
              <w:t>(Education at a Glance 2016)</w:t>
            </w:r>
          </w:p>
        </w:tc>
      </w:tr>
    </w:tbl>
    <w:p w14:paraId="26C1F3CD" w14:textId="4B5313EB" w:rsidR="00192B7E" w:rsidRDefault="00192B7E" w:rsidP="00FB625E">
      <w:pPr>
        <w:spacing w:after="0" w:line="240" w:lineRule="auto"/>
        <w:jc w:val="both"/>
        <w:rPr>
          <w:rFonts w:ascii="Arial Narrow" w:hAnsi="Arial Narrow"/>
        </w:rPr>
      </w:pPr>
      <w:r w:rsidRPr="00B160D7">
        <w:rPr>
          <w:rFonts w:ascii="Arial Narrow" w:hAnsi="Arial Narrow"/>
          <w:b/>
        </w:rPr>
        <w:lastRenderedPageBreak/>
        <w:t>Výsledky Slovenska v testovaní 15 ročných žiakov PISA 2015 sa opäť zhoršili</w:t>
      </w:r>
      <w:r w:rsidRPr="00C41D8A">
        <w:rPr>
          <w:rFonts w:ascii="Arial Narrow" w:hAnsi="Arial Narrow"/>
        </w:rPr>
        <w:t xml:space="preserve">. </w:t>
      </w:r>
      <w:r w:rsidR="009E2F6D">
        <w:rPr>
          <w:rFonts w:ascii="Arial Narrow" w:hAnsi="Arial Narrow"/>
        </w:rPr>
        <w:t xml:space="preserve">Slovensko zaostáva </w:t>
      </w:r>
      <w:r w:rsidRPr="00C41D8A">
        <w:rPr>
          <w:rFonts w:ascii="Arial Narrow" w:hAnsi="Arial Narrow"/>
        </w:rPr>
        <w:t>za krajinami OECD, aj regiónom. Zatiaľ čo v minulosti mali horšie výsledky najmä znevýhodnen</w:t>
      </w:r>
      <w:r w:rsidR="009E2F6D">
        <w:rPr>
          <w:rFonts w:ascii="Arial Narrow" w:hAnsi="Arial Narrow"/>
        </w:rPr>
        <w:t>é</w:t>
      </w:r>
      <w:r w:rsidRPr="00C41D8A">
        <w:rPr>
          <w:rFonts w:ascii="Arial Narrow" w:hAnsi="Arial Narrow"/>
        </w:rPr>
        <w:t xml:space="preserve"> skup</w:t>
      </w:r>
      <w:r w:rsidR="009E2F6D">
        <w:rPr>
          <w:rFonts w:ascii="Arial Narrow" w:hAnsi="Arial Narrow"/>
        </w:rPr>
        <w:t>iny</w:t>
      </w:r>
      <w:r w:rsidRPr="00C41D8A">
        <w:rPr>
          <w:rFonts w:ascii="Arial Narrow" w:hAnsi="Arial Narrow"/>
        </w:rPr>
        <w:t xml:space="preserve"> (aj v porovnaní so zahraničím), v roku 2015 sa zhoršili už všetky deti. Skúsenosti zo zahraničia ukazujú, že kvalitný vzdelávací systém dokáže deťom zo znevýhodneného socio-ekonomického prostredia výrazne pomôcť a zlepšenie nemusí byť na úkor najlepších. Príklad krajín OECD tiež naznačuje, že</w:t>
      </w:r>
      <w:r w:rsidR="00A55D0B">
        <w:rPr>
          <w:rFonts w:ascii="Arial Narrow" w:hAnsi="Arial Narrow"/>
        </w:rPr>
        <w:t xml:space="preserve"> </w:t>
      </w:r>
      <w:r w:rsidR="00A55D0B" w:rsidRPr="00C41D8A">
        <w:rPr>
          <w:rFonts w:ascii="Arial Narrow" w:hAnsi="Arial Narrow"/>
        </w:rPr>
        <w:t>zvyšovan</w:t>
      </w:r>
      <w:r w:rsidR="00A55D0B">
        <w:rPr>
          <w:rFonts w:ascii="Arial Narrow" w:hAnsi="Arial Narrow"/>
        </w:rPr>
        <w:t>ie</w:t>
      </w:r>
      <w:r w:rsidR="00A55D0B" w:rsidRPr="00C41D8A">
        <w:rPr>
          <w:rFonts w:ascii="Arial Narrow" w:hAnsi="Arial Narrow"/>
        </w:rPr>
        <w:t xml:space="preserve"> výdavkov </w:t>
      </w:r>
      <w:r w:rsidRPr="00C41D8A">
        <w:rPr>
          <w:rFonts w:ascii="Arial Narrow" w:hAnsi="Arial Narrow"/>
        </w:rPr>
        <w:t>na študenta nad určitou úrovňou nemusí nutne viesť k lepším výsledkom.</w:t>
      </w:r>
      <w:r>
        <w:rPr>
          <w:rFonts w:ascii="Arial Narrow" w:hAnsi="Arial Narrow"/>
        </w:rPr>
        <w:t xml:space="preserve"> </w:t>
      </w:r>
    </w:p>
    <w:p w14:paraId="79B2B9FD" w14:textId="77777777" w:rsidR="00192B7E" w:rsidRPr="00CE7D7C" w:rsidRDefault="00192B7E" w:rsidP="00FB625E">
      <w:pPr>
        <w:pStyle w:val="Odsekzoznamu"/>
        <w:spacing w:after="0" w:line="240" w:lineRule="auto"/>
        <w:ind w:left="0"/>
        <w:jc w:val="both"/>
        <w:rPr>
          <w:rFonts w:ascii="Arial Narrow" w:hAnsi="Arial Narrow"/>
          <w:highlight w:val="yellow"/>
        </w:rPr>
      </w:pPr>
    </w:p>
    <w:p w14:paraId="2DA45DF4" w14:textId="39C94B1E" w:rsidR="00BF0C11" w:rsidRDefault="00192B7E" w:rsidP="00FB625E">
      <w:pPr>
        <w:pStyle w:val="Odsekzoznamu"/>
        <w:spacing w:after="0" w:line="240" w:lineRule="auto"/>
        <w:ind w:left="0"/>
        <w:jc w:val="both"/>
        <w:rPr>
          <w:rFonts w:ascii="Arial Narrow" w:hAnsi="Arial Narrow"/>
        </w:rPr>
      </w:pPr>
      <w:r w:rsidRPr="000C645C">
        <w:rPr>
          <w:rFonts w:ascii="Arial Narrow" w:hAnsi="Arial Narrow"/>
        </w:rPr>
        <w:t xml:space="preserve">Rastúce výdavky na vedu a výskum sa vo výsledkoch výraznejšie neprejavili. Klesajúci počet výskumníkov produkuje menej publikácií, ich citovanosť sa mierne zvýšila, ale stále je 25 </w:t>
      </w:r>
      <w:r w:rsidRPr="006A19AB">
        <w:rPr>
          <w:rFonts w:ascii="Arial Narrow" w:hAnsi="Arial Narrow"/>
        </w:rPr>
        <w:t>%</w:t>
      </w:r>
      <w:r w:rsidRPr="000C645C">
        <w:rPr>
          <w:rFonts w:ascii="Arial Narrow" w:hAnsi="Arial Narrow"/>
        </w:rPr>
        <w:t xml:space="preserve"> pod priemerom krajín V3. Podiel high-tech exportu sa mierne zvyšuje, avšak je významne nižší ako priemer EÚ a vzdialený od </w:t>
      </w:r>
      <w:r w:rsidRPr="008F744D">
        <w:rPr>
          <w:rFonts w:ascii="Arial Narrow" w:hAnsi="Arial Narrow"/>
        </w:rPr>
        <w:t>národného cieľa</w:t>
      </w:r>
      <w:r w:rsidRPr="000C645C">
        <w:rPr>
          <w:rFonts w:ascii="Arial Narrow" w:hAnsi="Arial Narrow"/>
        </w:rPr>
        <w:t xml:space="preserve"> </w:t>
      </w:r>
      <w:r w:rsidR="008F744D" w:rsidRPr="008F744D">
        <w:rPr>
          <w:rFonts w:ascii="Arial Narrow" w:hAnsi="Arial Narrow"/>
        </w:rPr>
        <w:t xml:space="preserve">stratégie Európa </w:t>
      </w:r>
      <w:r w:rsidRPr="000C645C">
        <w:rPr>
          <w:rFonts w:ascii="Arial Narrow" w:hAnsi="Arial Narrow"/>
        </w:rPr>
        <w:t>2020.</w:t>
      </w:r>
      <w:r w:rsidR="00BF0C11">
        <w:rPr>
          <w:rFonts w:ascii="Arial Narrow" w:hAnsi="Arial Narrow"/>
        </w:rPr>
        <w:t xml:space="preserve"> </w:t>
      </w:r>
      <w:bookmarkStart w:id="29" w:name="_Toc448745632"/>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65"/>
        <w:gridCol w:w="146"/>
        <w:gridCol w:w="4153"/>
      </w:tblGrid>
      <w:tr w:rsidR="00CD5778" w:rsidRPr="00256D89" w14:paraId="11241AFE" w14:textId="77777777" w:rsidTr="00E72FA6">
        <w:trPr>
          <w:trHeight w:val="126"/>
        </w:trPr>
        <w:tc>
          <w:tcPr>
            <w:tcW w:w="4265" w:type="dxa"/>
            <w:tcBorders>
              <w:top w:val="nil"/>
              <w:left w:val="nil"/>
              <w:bottom w:val="single" w:sz="4" w:space="0" w:color="auto"/>
              <w:right w:val="nil"/>
            </w:tcBorders>
            <w:vAlign w:val="bottom"/>
          </w:tcPr>
          <w:p w14:paraId="4D73D711" w14:textId="0D67AB1D" w:rsidR="00BF0C11" w:rsidRDefault="00BF0C11" w:rsidP="00FB625E">
            <w:pPr>
              <w:pStyle w:val="Popis"/>
              <w:rPr>
                <w:noProof/>
              </w:rPr>
            </w:pPr>
            <w:bookmarkStart w:id="30" w:name="_Toc478656314"/>
            <w:r w:rsidRPr="00256D89">
              <w:t xml:space="preserve">Graf </w:t>
            </w:r>
            <w:fldSimple w:instr=" SEQ Graf \* ARABIC ">
              <w:r w:rsidR="002E71B2">
                <w:rPr>
                  <w:noProof/>
                </w:rPr>
                <w:t>11</w:t>
              </w:r>
            </w:fldSimple>
            <w:r w:rsidRPr="00256D89">
              <w:t xml:space="preserve">: </w:t>
            </w:r>
            <w:r w:rsidRPr="00256D89">
              <w:rPr>
                <w:rFonts w:cs="Arial"/>
                <w:szCs w:val="20"/>
              </w:rPr>
              <w:t>Vstupy a výstupy R&amp;D ako % priemeru V3</w:t>
            </w:r>
            <w:bookmarkEnd w:id="30"/>
          </w:p>
        </w:tc>
        <w:tc>
          <w:tcPr>
            <w:tcW w:w="146" w:type="dxa"/>
            <w:tcBorders>
              <w:top w:val="nil"/>
              <w:left w:val="nil"/>
              <w:bottom w:val="nil"/>
              <w:right w:val="nil"/>
            </w:tcBorders>
            <w:vAlign w:val="bottom"/>
          </w:tcPr>
          <w:p w14:paraId="700E9445" w14:textId="77777777" w:rsidR="00BF0C11" w:rsidRPr="00256D89" w:rsidRDefault="00BF0C11" w:rsidP="00FB625E">
            <w:pPr>
              <w:spacing w:before="40" w:after="40" w:line="240" w:lineRule="auto"/>
              <w:rPr>
                <w:rFonts w:ascii="Arial Narrow" w:hAnsi="Arial Narrow" w:cs="Arial"/>
                <w:b/>
                <w:sz w:val="20"/>
                <w:szCs w:val="20"/>
              </w:rPr>
            </w:pPr>
          </w:p>
        </w:tc>
        <w:tc>
          <w:tcPr>
            <w:tcW w:w="4153" w:type="dxa"/>
            <w:tcBorders>
              <w:top w:val="nil"/>
              <w:left w:val="nil"/>
              <w:bottom w:val="single" w:sz="4" w:space="0" w:color="auto"/>
              <w:right w:val="nil"/>
            </w:tcBorders>
            <w:vAlign w:val="bottom"/>
          </w:tcPr>
          <w:p w14:paraId="7A5B06E3" w14:textId="437768CE" w:rsidR="00BF0C11" w:rsidRDefault="00BF0C11" w:rsidP="00FB625E">
            <w:pPr>
              <w:pStyle w:val="Popis"/>
            </w:pPr>
            <w:bookmarkStart w:id="31" w:name="_Toc448745633"/>
            <w:bookmarkStart w:id="32" w:name="_Toc478656315"/>
            <w:r w:rsidRPr="00256D89">
              <w:t xml:space="preserve">Graf </w:t>
            </w:r>
            <w:fldSimple w:instr=" SEQ Graf \* ARABIC ">
              <w:r w:rsidR="002E71B2">
                <w:rPr>
                  <w:noProof/>
                </w:rPr>
                <w:t>12</w:t>
              </w:r>
            </w:fldSimple>
            <w:r w:rsidRPr="00256D89">
              <w:t xml:space="preserve">: </w:t>
            </w:r>
            <w:r w:rsidRPr="00256D89">
              <w:rPr>
                <w:rFonts w:cs="Arial"/>
                <w:szCs w:val="20"/>
              </w:rPr>
              <w:t>Výsledky testovania PISA (priemer bodov)</w:t>
            </w:r>
            <w:bookmarkEnd w:id="31"/>
            <w:bookmarkEnd w:id="32"/>
          </w:p>
        </w:tc>
      </w:tr>
      <w:tr w:rsidR="00CD5778" w:rsidRPr="00256D89" w14:paraId="36E6F0E8" w14:textId="77777777" w:rsidTr="00F27F21">
        <w:trPr>
          <w:trHeight w:val="944"/>
        </w:trPr>
        <w:tc>
          <w:tcPr>
            <w:tcW w:w="4265" w:type="dxa"/>
            <w:tcBorders>
              <w:top w:val="single" w:sz="4" w:space="0" w:color="auto"/>
              <w:left w:val="nil"/>
              <w:bottom w:val="single" w:sz="4" w:space="0" w:color="auto"/>
              <w:right w:val="nil"/>
            </w:tcBorders>
            <w:vAlign w:val="center"/>
          </w:tcPr>
          <w:p w14:paraId="312C44BC" w14:textId="24465304" w:rsidR="00BF0C11" w:rsidRPr="00256D89" w:rsidRDefault="00CD5778" w:rsidP="00FB625E">
            <w:pPr>
              <w:spacing w:before="40" w:after="40" w:line="240" w:lineRule="auto"/>
              <w:jc w:val="center"/>
              <w:rPr>
                <w:rFonts w:ascii="Arial Narrow" w:hAnsi="Arial Narrow" w:cs="Arial"/>
                <w:b/>
                <w:sz w:val="20"/>
                <w:szCs w:val="20"/>
              </w:rPr>
            </w:pPr>
            <w:r>
              <w:rPr>
                <w:noProof/>
                <w:lang w:val="en-US" w:eastAsia="en-US"/>
              </w:rPr>
              <w:drawing>
                <wp:inline distT="0" distB="0" distL="0" distR="0" wp14:anchorId="38EB8EC1" wp14:editId="5F6F0213">
                  <wp:extent cx="2613025" cy="207645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146" w:type="dxa"/>
            <w:tcBorders>
              <w:top w:val="nil"/>
              <w:left w:val="nil"/>
              <w:bottom w:val="nil"/>
              <w:right w:val="nil"/>
            </w:tcBorders>
            <w:vAlign w:val="center"/>
          </w:tcPr>
          <w:p w14:paraId="0A55BE8F" w14:textId="77777777" w:rsidR="00BF0C11" w:rsidRPr="00256D89" w:rsidRDefault="00BF0C11" w:rsidP="00FB625E">
            <w:pPr>
              <w:spacing w:before="40" w:after="40" w:line="240" w:lineRule="auto"/>
              <w:jc w:val="center"/>
              <w:rPr>
                <w:rFonts w:ascii="Arial Narrow" w:hAnsi="Arial Narrow" w:cs="Arial"/>
                <w:b/>
                <w:sz w:val="20"/>
                <w:szCs w:val="20"/>
              </w:rPr>
            </w:pPr>
          </w:p>
        </w:tc>
        <w:tc>
          <w:tcPr>
            <w:tcW w:w="4153" w:type="dxa"/>
            <w:tcBorders>
              <w:top w:val="single" w:sz="4" w:space="0" w:color="auto"/>
              <w:left w:val="nil"/>
              <w:bottom w:val="single" w:sz="4" w:space="0" w:color="auto"/>
              <w:right w:val="nil"/>
            </w:tcBorders>
            <w:vAlign w:val="center"/>
          </w:tcPr>
          <w:p w14:paraId="167C3AC2" w14:textId="4ADF3F30" w:rsidR="00BF0C11" w:rsidRPr="00256D89" w:rsidRDefault="00F27F21" w:rsidP="00FB625E">
            <w:pPr>
              <w:spacing w:before="40" w:after="40" w:line="240" w:lineRule="auto"/>
              <w:jc w:val="center"/>
              <w:rPr>
                <w:rFonts w:ascii="Arial Narrow" w:hAnsi="Arial Narrow" w:cs="Arial"/>
                <w:b/>
                <w:sz w:val="20"/>
                <w:szCs w:val="20"/>
              </w:rPr>
            </w:pPr>
            <w:r>
              <w:rPr>
                <w:noProof/>
                <w:lang w:val="en-US" w:eastAsia="en-US"/>
              </w:rPr>
              <w:drawing>
                <wp:inline distT="0" distB="0" distL="0" distR="0" wp14:anchorId="7187E3C9" wp14:editId="6CA1880F">
                  <wp:extent cx="2501265" cy="203835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CD5778" w:rsidRPr="00C83F39" w14:paraId="4B65EEC7" w14:textId="77777777" w:rsidTr="00E72FA6">
        <w:trPr>
          <w:trHeight w:val="120"/>
        </w:trPr>
        <w:tc>
          <w:tcPr>
            <w:tcW w:w="4265" w:type="dxa"/>
            <w:tcBorders>
              <w:top w:val="single" w:sz="4" w:space="0" w:color="auto"/>
              <w:left w:val="nil"/>
              <w:bottom w:val="nil"/>
              <w:right w:val="nil"/>
            </w:tcBorders>
            <w:vAlign w:val="center"/>
          </w:tcPr>
          <w:p w14:paraId="54B4B23F" w14:textId="77777777" w:rsidR="00BF0C11" w:rsidRPr="00C83F39" w:rsidRDefault="00BF0C11" w:rsidP="00FB625E">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Eurostat, Scimago </w:t>
            </w:r>
          </w:p>
        </w:tc>
        <w:tc>
          <w:tcPr>
            <w:tcW w:w="146" w:type="dxa"/>
            <w:tcBorders>
              <w:top w:val="nil"/>
              <w:left w:val="nil"/>
              <w:bottom w:val="nil"/>
              <w:right w:val="nil"/>
            </w:tcBorders>
            <w:vAlign w:val="center"/>
          </w:tcPr>
          <w:p w14:paraId="3326FD0B" w14:textId="77777777" w:rsidR="00BF0C11" w:rsidRPr="00C83F39" w:rsidRDefault="00BF0C11" w:rsidP="00FB625E">
            <w:pPr>
              <w:spacing w:after="120" w:line="240" w:lineRule="auto"/>
              <w:jc w:val="center"/>
              <w:rPr>
                <w:rFonts w:ascii="Arial Narrow" w:hAnsi="Arial Narrow" w:cs="Arial"/>
                <w:sz w:val="16"/>
                <w:szCs w:val="14"/>
              </w:rPr>
            </w:pPr>
          </w:p>
        </w:tc>
        <w:tc>
          <w:tcPr>
            <w:tcW w:w="4153" w:type="dxa"/>
            <w:tcBorders>
              <w:top w:val="single" w:sz="4" w:space="0" w:color="auto"/>
              <w:left w:val="nil"/>
              <w:bottom w:val="nil"/>
              <w:right w:val="nil"/>
            </w:tcBorders>
            <w:vAlign w:val="center"/>
          </w:tcPr>
          <w:p w14:paraId="79C666E2" w14:textId="77777777" w:rsidR="00BF0C11" w:rsidRPr="00C83F39" w:rsidRDefault="00BF0C11" w:rsidP="00FB625E">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PISA, OECD </w:t>
            </w:r>
          </w:p>
        </w:tc>
      </w:tr>
    </w:tbl>
    <w:p w14:paraId="71C6A017" w14:textId="77777777" w:rsidR="00BF0C11" w:rsidRPr="00C04304" w:rsidRDefault="00BF0C11" w:rsidP="00FB625E">
      <w:pPr>
        <w:pStyle w:val="Default"/>
        <w:jc w:val="both"/>
        <w:rPr>
          <w:rFonts w:ascii="Arial Narrow" w:hAnsi="Arial Narrow"/>
          <w:sz w:val="22"/>
          <w:szCs w:val="22"/>
        </w:rPr>
      </w:pPr>
      <w:r w:rsidRPr="00C04304">
        <w:rPr>
          <w:rFonts w:ascii="Arial Narrow" w:hAnsi="Arial Narrow"/>
          <w:b/>
          <w:i/>
          <w:sz w:val="22"/>
          <w:szCs w:val="22"/>
        </w:rPr>
        <w:t>Národný program rozvoja výchovy a vzdelávania (NPRVV)</w:t>
      </w:r>
      <w:r w:rsidRPr="00C04304">
        <w:rPr>
          <w:rFonts w:ascii="Arial Narrow" w:hAnsi="Arial Narrow"/>
          <w:sz w:val="22"/>
          <w:szCs w:val="22"/>
        </w:rPr>
        <w:t xml:space="preserve"> </w:t>
      </w:r>
    </w:p>
    <w:p w14:paraId="6BF894BA" w14:textId="432694A7" w:rsidR="00BF0C11" w:rsidRPr="00C04304" w:rsidRDefault="003A5D69" w:rsidP="00FB625E">
      <w:pPr>
        <w:pStyle w:val="Default"/>
        <w:jc w:val="both"/>
        <w:rPr>
          <w:rFonts w:ascii="Arial Narrow" w:hAnsi="Arial Narrow"/>
          <w:sz w:val="22"/>
          <w:szCs w:val="22"/>
        </w:rPr>
      </w:pPr>
      <w:r>
        <w:rPr>
          <w:rFonts w:ascii="Arial Narrow" w:hAnsi="Arial Narrow"/>
          <w:sz w:val="22"/>
          <w:szCs w:val="22"/>
        </w:rPr>
        <w:t>Bol zverejnený autorský návrh</w:t>
      </w:r>
      <w:r w:rsidR="00BF0C11" w:rsidRPr="00C04304">
        <w:rPr>
          <w:rFonts w:ascii="Arial Narrow" w:hAnsi="Arial Narrow"/>
          <w:sz w:val="22"/>
          <w:szCs w:val="22"/>
        </w:rPr>
        <w:t xml:space="preserve"> základn</w:t>
      </w:r>
      <w:r>
        <w:rPr>
          <w:rFonts w:ascii="Arial Narrow" w:hAnsi="Arial Narrow"/>
          <w:sz w:val="22"/>
          <w:szCs w:val="22"/>
        </w:rPr>
        <w:t>ého</w:t>
      </w:r>
      <w:r w:rsidR="00BF0C11" w:rsidRPr="00C04304">
        <w:rPr>
          <w:rFonts w:ascii="Arial Narrow" w:hAnsi="Arial Narrow"/>
          <w:sz w:val="22"/>
          <w:szCs w:val="22"/>
        </w:rPr>
        <w:t xml:space="preserve"> reformn</w:t>
      </w:r>
      <w:r>
        <w:rPr>
          <w:rFonts w:ascii="Arial Narrow" w:hAnsi="Arial Narrow"/>
          <w:sz w:val="22"/>
          <w:szCs w:val="22"/>
        </w:rPr>
        <w:t>ého</w:t>
      </w:r>
      <w:r w:rsidR="00BF0C11" w:rsidRPr="00C04304">
        <w:rPr>
          <w:rFonts w:ascii="Arial Narrow" w:hAnsi="Arial Narrow"/>
          <w:sz w:val="22"/>
          <w:szCs w:val="22"/>
        </w:rPr>
        <w:t xml:space="preserve"> dokument</w:t>
      </w:r>
      <w:r>
        <w:rPr>
          <w:rFonts w:ascii="Arial Narrow" w:hAnsi="Arial Narrow"/>
          <w:sz w:val="22"/>
          <w:szCs w:val="22"/>
        </w:rPr>
        <w:t>u</w:t>
      </w:r>
      <w:r w:rsidR="00BF0C11" w:rsidRPr="00C04304">
        <w:rPr>
          <w:rFonts w:ascii="Arial Narrow" w:hAnsi="Arial Narrow"/>
          <w:sz w:val="22"/>
          <w:szCs w:val="22"/>
        </w:rPr>
        <w:t xml:space="preserve"> pre oblasť výchovy a vzdelávania na najbližších 10 rokov. </w:t>
      </w:r>
      <w:r>
        <w:rPr>
          <w:rFonts w:ascii="Arial Narrow" w:hAnsi="Arial Narrow"/>
          <w:sz w:val="22"/>
          <w:szCs w:val="22"/>
        </w:rPr>
        <w:t>F</w:t>
      </w:r>
      <w:r w:rsidR="00BF0C11" w:rsidRPr="00C04304">
        <w:rPr>
          <w:rFonts w:ascii="Arial Narrow" w:hAnsi="Arial Narrow"/>
          <w:sz w:val="22"/>
          <w:szCs w:val="22"/>
        </w:rPr>
        <w:t>ormul</w:t>
      </w:r>
      <w:r>
        <w:rPr>
          <w:rFonts w:ascii="Arial Narrow" w:hAnsi="Arial Narrow"/>
          <w:sz w:val="22"/>
          <w:szCs w:val="22"/>
        </w:rPr>
        <w:t>uje</w:t>
      </w:r>
      <w:r w:rsidR="00BF0C11" w:rsidRPr="00C04304">
        <w:rPr>
          <w:rFonts w:ascii="Arial Narrow" w:hAnsi="Arial Narrow"/>
          <w:sz w:val="22"/>
          <w:szCs w:val="22"/>
        </w:rPr>
        <w:t xml:space="preserve"> zásadné systémové zmeny a ciele, ktoré je potrebné naplniť na zvládnutie výziev slovenského školstva. Po verejnej diskusii bude dokument v prvom polroku 2017 schválený vládou SR. </w:t>
      </w:r>
      <w:r w:rsidRPr="003A5D69">
        <w:rPr>
          <w:rFonts w:ascii="Arial Narrow" w:hAnsi="Arial Narrow"/>
          <w:sz w:val="22"/>
          <w:szCs w:val="22"/>
        </w:rPr>
        <w:t>Na základe dokumentu sa vytvorí akčný plán s opatreniami na nasledujúce 2 roky</w:t>
      </w:r>
      <w:r>
        <w:rPr>
          <w:rFonts w:ascii="Arial Narrow" w:hAnsi="Arial Narrow"/>
          <w:sz w:val="22"/>
          <w:szCs w:val="22"/>
        </w:rPr>
        <w:t xml:space="preserve">. </w:t>
      </w:r>
      <w:r w:rsidR="00BF0C11" w:rsidRPr="00C04304">
        <w:rPr>
          <w:rFonts w:ascii="Arial Narrow" w:hAnsi="Arial Narrow"/>
          <w:sz w:val="22"/>
          <w:szCs w:val="22"/>
        </w:rPr>
        <w:t xml:space="preserve">Každoročne sa bude zostavovať odpočet plnenia akčných plánov. </w:t>
      </w:r>
    </w:p>
    <w:p w14:paraId="3A6EA5DF" w14:textId="77777777" w:rsidR="00BF0C11" w:rsidRDefault="00BF0C11" w:rsidP="00FB625E">
      <w:pPr>
        <w:pStyle w:val="Default"/>
        <w:jc w:val="both"/>
        <w:rPr>
          <w:rFonts w:ascii="Arial Narrow" w:hAnsi="Arial Narrow"/>
          <w:sz w:val="22"/>
          <w:szCs w:val="22"/>
        </w:rPr>
      </w:pPr>
    </w:p>
    <w:p w14:paraId="41DE310E" w14:textId="77777777" w:rsidR="00BF0C11" w:rsidRPr="00C04304" w:rsidRDefault="00BF0C11" w:rsidP="00FB625E">
      <w:pPr>
        <w:pStyle w:val="Default"/>
        <w:jc w:val="both"/>
        <w:rPr>
          <w:rFonts w:ascii="Arial Narrow" w:hAnsi="Arial Narrow"/>
          <w:b/>
          <w:i/>
          <w:sz w:val="22"/>
          <w:szCs w:val="22"/>
        </w:rPr>
      </w:pPr>
      <w:r w:rsidRPr="00C04304">
        <w:rPr>
          <w:rFonts w:ascii="Arial Narrow" w:hAnsi="Arial Narrow"/>
          <w:b/>
          <w:i/>
          <w:sz w:val="22"/>
          <w:szCs w:val="22"/>
        </w:rPr>
        <w:t xml:space="preserve">Revízia výdavkov v rámci projektu Hodnota za peniaze </w:t>
      </w:r>
    </w:p>
    <w:p w14:paraId="040CC626" w14:textId="6A06C2B1" w:rsidR="00BF0C11" w:rsidRPr="0075660C" w:rsidRDefault="00925AB8" w:rsidP="00FB625E">
      <w:pPr>
        <w:pStyle w:val="Default"/>
        <w:jc w:val="both"/>
        <w:rPr>
          <w:rFonts w:ascii="Arial Narrow" w:hAnsi="Arial Narrow"/>
          <w:sz w:val="22"/>
          <w:szCs w:val="22"/>
        </w:rPr>
      </w:pPr>
      <w:r>
        <w:rPr>
          <w:rFonts w:ascii="Arial Narrow" w:hAnsi="Arial Narrow"/>
          <w:sz w:val="22"/>
          <w:szCs w:val="22"/>
        </w:rPr>
        <w:t>V</w:t>
      </w:r>
      <w:r w:rsidR="00BF0C11">
        <w:rPr>
          <w:rFonts w:ascii="Arial Narrow" w:hAnsi="Arial Narrow"/>
          <w:sz w:val="22"/>
          <w:szCs w:val="22"/>
        </w:rPr>
        <w:t xml:space="preserve"> roku 2017 </w:t>
      </w:r>
      <w:r w:rsidR="007764EF">
        <w:rPr>
          <w:rFonts w:ascii="Arial Narrow" w:hAnsi="Arial Narrow"/>
          <w:sz w:val="22"/>
          <w:szCs w:val="22"/>
        </w:rPr>
        <w:t xml:space="preserve">prebieha </w:t>
      </w:r>
      <w:r w:rsidR="00BA0E8B">
        <w:rPr>
          <w:rFonts w:ascii="Arial Narrow" w:hAnsi="Arial Narrow"/>
          <w:sz w:val="22"/>
          <w:szCs w:val="22"/>
        </w:rPr>
        <w:t>revízia</w:t>
      </w:r>
      <w:r w:rsidR="00BF0C11" w:rsidRPr="00C04304">
        <w:rPr>
          <w:rFonts w:ascii="Arial Narrow" w:hAnsi="Arial Narrow"/>
          <w:sz w:val="22"/>
          <w:szCs w:val="22"/>
        </w:rPr>
        <w:t xml:space="preserve"> výdavkov na regionálne a vysoké školstvo s cieľom efektívne alokovať dodatoč</w:t>
      </w:r>
      <w:r w:rsidR="00902F8F">
        <w:rPr>
          <w:rFonts w:ascii="Arial Narrow" w:hAnsi="Arial Narrow"/>
          <w:sz w:val="22"/>
          <w:szCs w:val="22"/>
        </w:rPr>
        <w:t xml:space="preserve">né zdroje plynúce do školstva. MŠVVŠ SR </w:t>
      </w:r>
      <w:r w:rsidR="00BF0C11" w:rsidRPr="00C04304">
        <w:rPr>
          <w:rFonts w:ascii="Arial Narrow" w:hAnsi="Arial Narrow"/>
          <w:sz w:val="22"/>
          <w:szCs w:val="22"/>
        </w:rPr>
        <w:t>v spolupráci s</w:t>
      </w:r>
      <w:r w:rsidR="00902F8F">
        <w:rPr>
          <w:rFonts w:ascii="Arial Narrow" w:hAnsi="Arial Narrow"/>
          <w:sz w:val="22"/>
          <w:szCs w:val="22"/>
        </w:rPr>
        <w:t xml:space="preserve"> MF SR </w:t>
      </w:r>
      <w:r w:rsidR="00BF0C11" w:rsidRPr="00C04304">
        <w:rPr>
          <w:rFonts w:ascii="Arial Narrow" w:hAnsi="Arial Narrow"/>
          <w:sz w:val="22"/>
          <w:szCs w:val="22"/>
        </w:rPr>
        <w:t>vypracuje priebežnú a záverečnú správu, ktorá bude predložená na rokovanie vlády SR. V regionálnom školstve sa revízia zameria</w:t>
      </w:r>
      <w:r w:rsidR="007764EF">
        <w:rPr>
          <w:rFonts w:ascii="Arial Narrow" w:hAnsi="Arial Narrow"/>
          <w:sz w:val="22"/>
          <w:szCs w:val="22"/>
        </w:rPr>
        <w:t>va</w:t>
      </w:r>
      <w:r w:rsidR="00BF0C11" w:rsidRPr="00C04304">
        <w:rPr>
          <w:rFonts w:ascii="Arial Narrow" w:hAnsi="Arial Narrow"/>
          <w:sz w:val="22"/>
          <w:szCs w:val="22"/>
        </w:rPr>
        <w:t xml:space="preserve"> najmä na optimalizáciu siete škôl, zvýšenie atraktivity povolania učiteľa vrátane systému odmeňovania. Vo vysokom školstve </w:t>
      </w:r>
      <w:r w:rsidR="007764EF">
        <w:rPr>
          <w:rFonts w:ascii="Arial Narrow" w:hAnsi="Arial Narrow"/>
          <w:sz w:val="22"/>
          <w:szCs w:val="22"/>
        </w:rPr>
        <w:t xml:space="preserve">sa </w:t>
      </w:r>
      <w:r w:rsidR="00BF0C11" w:rsidRPr="00C04304">
        <w:rPr>
          <w:rFonts w:ascii="Arial Narrow" w:hAnsi="Arial Narrow"/>
          <w:sz w:val="22"/>
          <w:szCs w:val="22"/>
        </w:rPr>
        <w:t>prehodno</w:t>
      </w:r>
      <w:r w:rsidR="007764EF">
        <w:rPr>
          <w:rFonts w:ascii="Arial Narrow" w:hAnsi="Arial Narrow"/>
          <w:sz w:val="22"/>
          <w:szCs w:val="22"/>
        </w:rPr>
        <w:t>cuje</w:t>
      </w:r>
      <w:r w:rsidR="00BF0C11" w:rsidRPr="00C04304">
        <w:rPr>
          <w:rFonts w:ascii="Arial Narrow" w:hAnsi="Arial Narrow"/>
          <w:sz w:val="22"/>
          <w:szCs w:val="22"/>
        </w:rPr>
        <w:t xml:space="preserve"> proces akreditácie a spôsob financovania a hodnotenia výsledkov vysokoškolskej vedy. Taktiež sa skúma systém sledovania uplatnenia absolventov stredných a vysokých škôl na trhu práce.</w:t>
      </w:r>
    </w:p>
    <w:p w14:paraId="02FA140A" w14:textId="77777777" w:rsidR="00BF0C11" w:rsidRDefault="00BF0C11" w:rsidP="00FB625E">
      <w:pPr>
        <w:pStyle w:val="Odsekzoznamu"/>
        <w:spacing w:after="0" w:line="240" w:lineRule="auto"/>
        <w:ind w:left="0"/>
        <w:jc w:val="both"/>
        <w:rPr>
          <w:rFonts w:ascii="Arial Narrow" w:hAnsi="Arial Narrow"/>
        </w:rPr>
      </w:pPr>
    </w:p>
    <w:p w14:paraId="64C39F83" w14:textId="5550E380" w:rsidR="00524BE7" w:rsidRDefault="00827618" w:rsidP="00FB625E">
      <w:pPr>
        <w:pStyle w:val="Nadpis2"/>
        <w:numPr>
          <w:ilvl w:val="2"/>
          <w:numId w:val="1"/>
        </w:numPr>
        <w:spacing w:after="240" w:line="240" w:lineRule="auto"/>
        <w:ind w:left="720"/>
        <w:jc w:val="both"/>
        <w:rPr>
          <w:rFonts w:ascii="Arial Narrow" w:hAnsi="Arial Narrow"/>
          <w:color w:val="2C9ADC"/>
          <w:sz w:val="28"/>
          <w:szCs w:val="28"/>
        </w:rPr>
      </w:pPr>
      <w:bookmarkStart w:id="33" w:name="_Toc477259949"/>
      <w:bookmarkEnd w:id="29"/>
      <w:r w:rsidRPr="00256D89">
        <w:rPr>
          <w:rFonts w:ascii="Arial Narrow" w:hAnsi="Arial Narrow"/>
          <w:color w:val="2C9ADC"/>
          <w:sz w:val="28"/>
          <w:szCs w:val="28"/>
        </w:rPr>
        <w:t>Regionálne školstvo</w:t>
      </w:r>
      <w:bookmarkEnd w:id="33"/>
      <w:r w:rsidRPr="00256D89">
        <w:rPr>
          <w:rFonts w:ascii="Arial Narrow" w:hAnsi="Arial Narrow"/>
          <w:color w:val="2C9ADC"/>
          <w:sz w:val="28"/>
          <w:szCs w:val="28"/>
        </w:rPr>
        <w:t xml:space="preserve"> </w:t>
      </w:r>
    </w:p>
    <w:p w14:paraId="4E429765" w14:textId="78FED5F1" w:rsidR="00192B7E" w:rsidRPr="00256D89" w:rsidRDefault="00192B7E" w:rsidP="00FB625E">
      <w:pPr>
        <w:pStyle w:val="Default"/>
        <w:jc w:val="both"/>
        <w:rPr>
          <w:rFonts w:ascii="Arial Narrow" w:hAnsi="Arial Narrow"/>
          <w:b/>
          <w:i/>
          <w:sz w:val="22"/>
          <w:szCs w:val="22"/>
        </w:rPr>
      </w:pPr>
      <w:r>
        <w:rPr>
          <w:rFonts w:ascii="Arial Narrow" w:hAnsi="Arial Narrow"/>
          <w:b/>
          <w:i/>
          <w:sz w:val="22"/>
          <w:szCs w:val="22"/>
        </w:rPr>
        <w:t>Zvyšovanie kapacít materských škôl</w:t>
      </w:r>
    </w:p>
    <w:p w14:paraId="6BB6EA43" w14:textId="1EC14479" w:rsidR="00192B7E" w:rsidRPr="007F10EF" w:rsidRDefault="00192B7E" w:rsidP="00FB625E">
      <w:pPr>
        <w:pStyle w:val="Default"/>
        <w:jc w:val="both"/>
        <w:rPr>
          <w:rFonts w:ascii="Arial Narrow" w:hAnsi="Arial Narrow"/>
          <w:sz w:val="22"/>
          <w:szCs w:val="22"/>
        </w:rPr>
      </w:pPr>
      <w:r>
        <w:rPr>
          <w:rFonts w:ascii="Arial Narrow" w:hAnsi="Arial Narrow"/>
          <w:sz w:val="22"/>
          <w:szCs w:val="22"/>
        </w:rPr>
        <w:t>R</w:t>
      </w:r>
      <w:r w:rsidRPr="007F10EF">
        <w:rPr>
          <w:rFonts w:ascii="Arial Narrow" w:hAnsi="Arial Narrow"/>
          <w:sz w:val="22"/>
          <w:szCs w:val="22"/>
        </w:rPr>
        <w:t>ozširovani</w:t>
      </w:r>
      <w:r>
        <w:rPr>
          <w:rFonts w:ascii="Arial Narrow" w:hAnsi="Arial Narrow"/>
          <w:sz w:val="22"/>
          <w:szCs w:val="22"/>
        </w:rPr>
        <w:t>e</w:t>
      </w:r>
      <w:r w:rsidRPr="007F10EF">
        <w:rPr>
          <w:rFonts w:ascii="Arial Narrow" w:hAnsi="Arial Narrow"/>
          <w:sz w:val="22"/>
          <w:szCs w:val="22"/>
        </w:rPr>
        <w:t xml:space="preserve"> kapacít materských škôl</w:t>
      </w:r>
      <w:r>
        <w:rPr>
          <w:rFonts w:ascii="Arial Narrow" w:hAnsi="Arial Narrow"/>
          <w:sz w:val="22"/>
          <w:szCs w:val="22"/>
        </w:rPr>
        <w:t xml:space="preserve"> bude pokračovať aj v roku 2017 prostriedkami zo štrukturálnych fondov. </w:t>
      </w:r>
      <w:r w:rsidRPr="00A41D40">
        <w:rPr>
          <w:rFonts w:ascii="Arial Narrow" w:hAnsi="Arial Narrow"/>
          <w:sz w:val="22"/>
          <w:szCs w:val="22"/>
        </w:rPr>
        <w:t>Výstavba nových materských škôl a rozširovanie exi</w:t>
      </w:r>
      <w:r w:rsidR="00F90F02">
        <w:rPr>
          <w:rFonts w:ascii="Arial Narrow" w:hAnsi="Arial Narrow"/>
          <w:sz w:val="22"/>
          <w:szCs w:val="22"/>
        </w:rPr>
        <w:t>stujúcich kapacít bude podporená</w:t>
      </w:r>
      <w:r w:rsidRPr="00A41D40">
        <w:rPr>
          <w:rFonts w:ascii="Arial Narrow" w:hAnsi="Arial Narrow"/>
          <w:sz w:val="22"/>
          <w:szCs w:val="22"/>
        </w:rPr>
        <w:t xml:space="preserve"> sumou </w:t>
      </w:r>
      <w:r>
        <w:rPr>
          <w:rFonts w:ascii="Arial Narrow" w:hAnsi="Arial Narrow"/>
          <w:sz w:val="22"/>
          <w:szCs w:val="22"/>
        </w:rPr>
        <w:t xml:space="preserve">takmer </w:t>
      </w:r>
      <w:r w:rsidRPr="00A41D40">
        <w:rPr>
          <w:rFonts w:ascii="Arial Narrow" w:hAnsi="Arial Narrow"/>
          <w:sz w:val="22"/>
          <w:szCs w:val="22"/>
        </w:rPr>
        <w:t>80 mil. eur z fondov EÚ</w:t>
      </w:r>
      <w:r>
        <w:rPr>
          <w:rFonts w:ascii="Arial Narrow" w:hAnsi="Arial Narrow"/>
          <w:sz w:val="22"/>
          <w:szCs w:val="22"/>
        </w:rPr>
        <w:t>, p</w:t>
      </w:r>
      <w:r w:rsidRPr="00852F8B">
        <w:rPr>
          <w:rFonts w:ascii="Arial Narrow" w:hAnsi="Arial Narrow"/>
          <w:sz w:val="22"/>
          <w:szCs w:val="22"/>
        </w:rPr>
        <w:t>rebehne vyhodnotenie predložených projektových zámerov a bude vypracovaná výzva na predkladanie žiadosti o finančnú podporu</w:t>
      </w:r>
      <w:r w:rsidRPr="00A41D40">
        <w:rPr>
          <w:rFonts w:ascii="Arial Narrow" w:hAnsi="Arial Narrow"/>
          <w:sz w:val="22"/>
          <w:szCs w:val="22"/>
        </w:rPr>
        <w:t>.</w:t>
      </w:r>
      <w:r w:rsidRPr="007F10EF">
        <w:rPr>
          <w:rFonts w:ascii="Arial Narrow" w:hAnsi="Arial Narrow"/>
          <w:sz w:val="22"/>
          <w:szCs w:val="22"/>
        </w:rPr>
        <w:t xml:space="preserve"> </w:t>
      </w:r>
      <w:r w:rsidRPr="00852F8B">
        <w:rPr>
          <w:rFonts w:ascii="Arial Narrow" w:hAnsi="Arial Narrow"/>
          <w:sz w:val="22"/>
          <w:szCs w:val="22"/>
        </w:rPr>
        <w:t>Súčasne prebieha zazmluvňovanie a posudzovanie žiadostí o finančnú podporu na rozširovanie kapacít v materských školách s vyšším zastúpením detí z MRK v objeme 17 mil. eur.</w:t>
      </w:r>
    </w:p>
    <w:p w14:paraId="6345EDBF" w14:textId="77777777" w:rsidR="00192B7E" w:rsidRDefault="00192B7E" w:rsidP="00FB625E">
      <w:pPr>
        <w:pStyle w:val="Default"/>
        <w:jc w:val="both"/>
        <w:rPr>
          <w:rFonts w:ascii="Arial Narrow" w:hAnsi="Arial Narrow"/>
          <w:b/>
          <w:i/>
          <w:sz w:val="22"/>
          <w:szCs w:val="22"/>
        </w:rPr>
      </w:pPr>
    </w:p>
    <w:p w14:paraId="1E2867BA" w14:textId="77777777" w:rsidR="00F90F02" w:rsidRDefault="00F90F02">
      <w:pPr>
        <w:spacing w:after="0" w:line="240" w:lineRule="auto"/>
        <w:rPr>
          <w:rFonts w:ascii="Arial Narrow" w:hAnsi="Arial Narrow"/>
          <w:b/>
          <w:i/>
          <w:color w:val="000000"/>
        </w:rPr>
      </w:pPr>
      <w:r>
        <w:rPr>
          <w:rFonts w:ascii="Arial Narrow" w:hAnsi="Arial Narrow"/>
          <w:b/>
          <w:i/>
        </w:rPr>
        <w:br w:type="page"/>
      </w:r>
    </w:p>
    <w:p w14:paraId="2B974C1F" w14:textId="776CA5FA" w:rsidR="00C01A69" w:rsidRDefault="00C01A69" w:rsidP="00FB625E">
      <w:pPr>
        <w:pStyle w:val="Default"/>
        <w:jc w:val="both"/>
        <w:rPr>
          <w:rFonts w:ascii="Arial Narrow" w:hAnsi="Arial Narrow"/>
          <w:b/>
          <w:i/>
          <w:sz w:val="22"/>
          <w:szCs w:val="22"/>
        </w:rPr>
      </w:pPr>
      <w:r>
        <w:rPr>
          <w:rFonts w:ascii="Arial Narrow" w:hAnsi="Arial Narrow"/>
          <w:b/>
          <w:i/>
          <w:sz w:val="22"/>
          <w:szCs w:val="22"/>
        </w:rPr>
        <w:lastRenderedPageBreak/>
        <w:t>Zmena financovania v regionálnom školstve</w:t>
      </w:r>
    </w:p>
    <w:p w14:paraId="1579B966" w14:textId="668CADAF" w:rsidR="00C01A69" w:rsidRDefault="002A58B7" w:rsidP="00650180">
      <w:pPr>
        <w:spacing w:after="0" w:line="240" w:lineRule="auto"/>
        <w:jc w:val="both"/>
        <w:rPr>
          <w:rStyle w:val="Odkaznakomentr"/>
        </w:rPr>
      </w:pPr>
      <w:r w:rsidRPr="005D1AC1">
        <w:rPr>
          <w:rFonts w:ascii="Arial Narrow" w:hAnsi="Arial Narrow"/>
          <w:bCs/>
          <w:color w:val="000000"/>
          <w:lang w:eastAsia="en-US"/>
        </w:rPr>
        <w:t xml:space="preserve">Financovanie bude presnejšie zohľadňovať náklady škôl na platy učiteľov. Finančný vzorec bude vychádzať z presného počtu rokov pedagogickej praxe každého učiteľa, od ktorej do značnej miery závisí tarifný plat. Prehodnotí sa štruktúra a aktualizácia normatívov materiálno-technického a priestorového zabezpečenia odborov </w:t>
      </w:r>
      <w:r w:rsidR="0046081B">
        <w:rPr>
          <w:rFonts w:ascii="Arial Narrow" w:hAnsi="Arial Narrow"/>
          <w:bCs/>
          <w:color w:val="000000"/>
          <w:lang w:eastAsia="en-US"/>
        </w:rPr>
        <w:t>vzdelávania stredných odborných škôl (</w:t>
      </w:r>
      <w:r w:rsidR="00650180">
        <w:rPr>
          <w:rFonts w:ascii="Arial Narrow" w:hAnsi="Arial Narrow"/>
          <w:bCs/>
          <w:color w:val="000000"/>
          <w:lang w:eastAsia="en-US"/>
        </w:rPr>
        <w:t>SOŠ</w:t>
      </w:r>
      <w:r w:rsidR="0046081B">
        <w:rPr>
          <w:rFonts w:ascii="Arial Narrow" w:hAnsi="Arial Narrow"/>
          <w:bCs/>
          <w:color w:val="000000"/>
          <w:lang w:eastAsia="en-US"/>
        </w:rPr>
        <w:t>)</w:t>
      </w:r>
      <w:r w:rsidR="00650180">
        <w:rPr>
          <w:rFonts w:ascii="Arial Narrow" w:hAnsi="Arial Narrow"/>
          <w:bCs/>
          <w:color w:val="000000"/>
          <w:lang w:eastAsia="en-US"/>
        </w:rPr>
        <w:t xml:space="preserve"> a konzervatórií. </w:t>
      </w:r>
    </w:p>
    <w:p w14:paraId="7D5E05D2" w14:textId="77777777" w:rsidR="00650180" w:rsidRPr="00650180" w:rsidRDefault="00650180" w:rsidP="00650180">
      <w:pPr>
        <w:spacing w:after="0" w:line="240" w:lineRule="auto"/>
        <w:jc w:val="both"/>
        <w:rPr>
          <w:rStyle w:val="Odkaznakomentr"/>
          <w:rFonts w:ascii="Arial Narrow" w:hAnsi="Arial Narrow"/>
          <w:bCs/>
          <w:color w:val="000000"/>
          <w:sz w:val="22"/>
          <w:szCs w:val="22"/>
          <w:lang w:eastAsia="en-US"/>
        </w:rPr>
      </w:pPr>
    </w:p>
    <w:p w14:paraId="083958BC" w14:textId="70FF81C8" w:rsidR="00CA7860" w:rsidRPr="005603BD" w:rsidRDefault="00210418" w:rsidP="005603BD">
      <w:pPr>
        <w:spacing w:after="0" w:line="240" w:lineRule="auto"/>
        <w:jc w:val="both"/>
        <w:rPr>
          <w:rFonts w:ascii="Arial Narrow" w:hAnsi="Arial Narrow"/>
          <w:bCs/>
          <w:color w:val="000000"/>
          <w:lang w:eastAsia="en-US"/>
        </w:rPr>
      </w:pPr>
      <w:r w:rsidRPr="005603BD">
        <w:rPr>
          <w:rFonts w:ascii="Arial Narrow" w:hAnsi="Arial Narrow"/>
          <w:bCs/>
          <w:color w:val="000000"/>
          <w:lang w:eastAsia="en-US"/>
        </w:rPr>
        <w:t xml:space="preserve">V súčasnosti je v dôsledku negatívneho demografického vývoja a poklesu počtu žiakov sieť základných škôl menej efektívna než v minulosti. </w:t>
      </w:r>
      <w:r w:rsidRPr="005603BD">
        <w:rPr>
          <w:rFonts w:ascii="Arial Narrow" w:hAnsi="Arial Narrow"/>
          <w:b/>
          <w:bCs/>
          <w:color w:val="000000"/>
          <w:lang w:eastAsia="en-US"/>
        </w:rPr>
        <w:t>Systém financovania</w:t>
      </w:r>
      <w:r w:rsidRPr="005603BD">
        <w:rPr>
          <w:rFonts w:ascii="Arial Narrow" w:hAnsi="Arial Narrow"/>
          <w:bCs/>
          <w:color w:val="000000"/>
          <w:lang w:eastAsia="en-US"/>
        </w:rPr>
        <w:t xml:space="preserve"> nemotivuje k spájaniu menších škôl v rôznych obciach, ktoré sa nachádzajú blízko seba, a podporuje aj malé školy iných zriaďovateľov vo veľkých mestách</w:t>
      </w:r>
      <w:r w:rsidR="00AE4520">
        <w:rPr>
          <w:rFonts w:ascii="Arial Narrow" w:hAnsi="Arial Narrow"/>
          <w:bCs/>
          <w:color w:val="000000"/>
          <w:lang w:eastAsia="en-US"/>
        </w:rPr>
        <w:t>,</w:t>
      </w:r>
      <w:r w:rsidRPr="005603BD">
        <w:rPr>
          <w:rFonts w:ascii="Arial Narrow" w:hAnsi="Arial Narrow"/>
          <w:bCs/>
          <w:color w:val="000000"/>
          <w:lang w:eastAsia="en-US"/>
        </w:rPr>
        <w:t xml:space="preserve"> či viaceré menšie školy rôznych zriaďovateľov. Dôvodom je aj fragmentácia verejnej správy, teda veľké množstvo obcí ako zriaďovateľov jednej školy. V strednodobom horizonte bude potrebné prijať opatrenia na zosúladenie demografie a siete škôl</w:t>
      </w:r>
      <w:r w:rsidR="005603BD">
        <w:rPr>
          <w:rFonts w:ascii="Arial Narrow" w:hAnsi="Arial Narrow"/>
          <w:bCs/>
          <w:color w:val="000000"/>
          <w:lang w:eastAsia="en-US"/>
        </w:rPr>
        <w:t xml:space="preserve"> v súlade so závermi pilotnej štúdi</w:t>
      </w:r>
      <w:r w:rsidR="00AE4520">
        <w:rPr>
          <w:rFonts w:ascii="Arial Narrow" w:hAnsi="Arial Narrow"/>
          <w:bCs/>
          <w:color w:val="000000"/>
          <w:lang w:eastAsia="en-US"/>
        </w:rPr>
        <w:t>e</w:t>
      </w:r>
      <w:r w:rsidR="005603BD" w:rsidRPr="003764A8">
        <w:t xml:space="preserve"> </w:t>
      </w:r>
      <w:r w:rsidR="005603BD" w:rsidRPr="003764A8">
        <w:rPr>
          <w:rFonts w:ascii="Arial Narrow" w:hAnsi="Arial Narrow"/>
          <w:bCs/>
          <w:color w:val="000000"/>
          <w:lang w:eastAsia="en-US"/>
        </w:rPr>
        <w:t>projektu Hodnoty za peniaze</w:t>
      </w:r>
      <w:r w:rsidR="005603BD">
        <w:rPr>
          <w:rFonts w:ascii="Arial Narrow" w:hAnsi="Arial Narrow"/>
          <w:bCs/>
          <w:color w:val="000000"/>
          <w:lang w:eastAsia="en-US"/>
        </w:rPr>
        <w:t xml:space="preserve">. V praxi to znamená </w:t>
      </w:r>
      <w:r w:rsidRPr="005603BD">
        <w:rPr>
          <w:rFonts w:ascii="Arial Narrow" w:hAnsi="Arial Narrow"/>
          <w:bCs/>
          <w:color w:val="000000"/>
          <w:lang w:eastAsia="en-US"/>
        </w:rPr>
        <w:t>niekde rozširova</w:t>
      </w:r>
      <w:r w:rsidR="00AE4520">
        <w:rPr>
          <w:rFonts w:ascii="Arial Narrow" w:hAnsi="Arial Narrow"/>
          <w:bCs/>
          <w:color w:val="000000"/>
          <w:lang w:eastAsia="en-US"/>
        </w:rPr>
        <w:t xml:space="preserve">nie, resp. nové kapacity škôl, a </w:t>
      </w:r>
      <w:r w:rsidRPr="005603BD">
        <w:rPr>
          <w:rFonts w:ascii="Arial Narrow" w:hAnsi="Arial Narrow"/>
          <w:bCs/>
          <w:color w:val="000000"/>
          <w:lang w:eastAsia="en-US"/>
        </w:rPr>
        <w:t xml:space="preserve">niekde naopak </w:t>
      </w:r>
      <w:r w:rsidR="00840753" w:rsidRPr="005603BD">
        <w:rPr>
          <w:rFonts w:ascii="Arial Narrow" w:hAnsi="Arial Narrow"/>
          <w:bCs/>
          <w:color w:val="000000"/>
          <w:lang w:eastAsia="en-US"/>
        </w:rPr>
        <w:t>prehodnotenie ich fungovania</w:t>
      </w:r>
      <w:r w:rsidRPr="005603BD">
        <w:rPr>
          <w:rFonts w:ascii="Arial Narrow" w:hAnsi="Arial Narrow"/>
          <w:bCs/>
          <w:color w:val="000000"/>
          <w:lang w:eastAsia="en-US"/>
        </w:rPr>
        <w:t xml:space="preserve">. </w:t>
      </w:r>
      <w:r w:rsidR="00136502" w:rsidRPr="005603BD">
        <w:rPr>
          <w:rFonts w:ascii="Arial Narrow" w:hAnsi="Arial Narrow"/>
          <w:bCs/>
          <w:color w:val="000000"/>
          <w:lang w:eastAsia="en-US"/>
        </w:rPr>
        <w:t xml:space="preserve">Pilotný projekt </w:t>
      </w:r>
      <w:r w:rsidR="005D0CF6" w:rsidRPr="005603BD">
        <w:rPr>
          <w:rFonts w:ascii="Arial Narrow" w:hAnsi="Arial Narrow"/>
          <w:bCs/>
          <w:color w:val="000000"/>
          <w:lang w:eastAsia="en-US"/>
        </w:rPr>
        <w:t>školských autobusov v Dobrohošti</w:t>
      </w:r>
      <w:r w:rsidR="00AE4520">
        <w:rPr>
          <w:rFonts w:ascii="Arial Narrow" w:hAnsi="Arial Narrow"/>
          <w:bCs/>
          <w:color w:val="000000"/>
          <w:lang w:eastAsia="en-US"/>
        </w:rPr>
        <w:t xml:space="preserve"> otestuje možnosti </w:t>
      </w:r>
      <w:r w:rsidR="00136502" w:rsidRPr="005603BD">
        <w:rPr>
          <w:rFonts w:ascii="Arial Narrow" w:hAnsi="Arial Narrow"/>
          <w:bCs/>
          <w:color w:val="000000"/>
          <w:lang w:eastAsia="en-US"/>
        </w:rPr>
        <w:t xml:space="preserve">racionalizácie školskej siete. </w:t>
      </w:r>
      <w:r w:rsidR="00AC3E1A" w:rsidRPr="005603BD">
        <w:rPr>
          <w:rFonts w:ascii="Arial Narrow" w:hAnsi="Arial Narrow"/>
          <w:bCs/>
          <w:color w:val="000000"/>
          <w:lang w:eastAsia="en-US"/>
        </w:rPr>
        <w:t xml:space="preserve">V prípade, že projekt sa ukáže ako efektívny, predpokladá sa jeho rozšírenie do ďalších obcí na Slovensku. </w:t>
      </w:r>
    </w:p>
    <w:p w14:paraId="1575DB92" w14:textId="77777777" w:rsidR="00650180" w:rsidRPr="00BF0187" w:rsidRDefault="00650180" w:rsidP="00650180">
      <w:pPr>
        <w:spacing w:after="0" w:line="240" w:lineRule="auto"/>
        <w:jc w:val="both"/>
        <w:rPr>
          <w:rFonts w:ascii="Arial Narrow" w:hAnsi="Arial Narrow"/>
          <w:szCs w:val="16"/>
        </w:rPr>
      </w:pPr>
    </w:p>
    <w:p w14:paraId="0CBE9753" w14:textId="77777777" w:rsidR="00192B7E" w:rsidRDefault="00192B7E" w:rsidP="00FB625E">
      <w:pPr>
        <w:pStyle w:val="Default"/>
        <w:jc w:val="both"/>
        <w:rPr>
          <w:rFonts w:ascii="Arial Narrow" w:hAnsi="Arial Narrow"/>
          <w:b/>
          <w:i/>
          <w:sz w:val="22"/>
          <w:szCs w:val="22"/>
        </w:rPr>
      </w:pPr>
      <w:r w:rsidRPr="004C6FB0">
        <w:rPr>
          <w:rFonts w:ascii="Arial Narrow" w:hAnsi="Arial Narrow"/>
          <w:b/>
          <w:i/>
          <w:sz w:val="22"/>
          <w:szCs w:val="22"/>
        </w:rPr>
        <w:t>Vyššia kvalita a lepšia podpora učiteľov</w:t>
      </w:r>
    </w:p>
    <w:p w14:paraId="7C8DE5C5" w14:textId="6E952D98" w:rsidR="00C61E2A" w:rsidRDefault="00192B7E" w:rsidP="00F71552">
      <w:pPr>
        <w:pStyle w:val="Default"/>
        <w:jc w:val="both"/>
        <w:rPr>
          <w:rFonts w:ascii="Arial Narrow" w:hAnsi="Arial Narrow"/>
          <w:sz w:val="22"/>
        </w:rPr>
      </w:pPr>
      <w:r w:rsidRPr="005307B6">
        <w:rPr>
          <w:rFonts w:ascii="Arial Narrow" w:hAnsi="Arial Narrow"/>
          <w:sz w:val="22"/>
        </w:rPr>
        <w:t xml:space="preserve">Zvýši sa </w:t>
      </w:r>
      <w:r w:rsidRPr="005307B6">
        <w:rPr>
          <w:rFonts w:ascii="Arial Narrow" w:hAnsi="Arial Narrow"/>
          <w:b/>
          <w:sz w:val="22"/>
        </w:rPr>
        <w:t>atraktívnosť povolania učiteľa</w:t>
      </w:r>
      <w:r w:rsidRPr="005307B6">
        <w:rPr>
          <w:rFonts w:ascii="Arial Narrow" w:hAnsi="Arial Narrow"/>
          <w:sz w:val="22"/>
        </w:rPr>
        <w:t xml:space="preserve">. Platy učiteľov sa budú postupne približovať platom vysokoškolsky vzdelaných zamestnancov. Pedagogickým a odborným zamestnancom v regionálnom školstve budú zvýšené platové tarify o 6 % od septembra 2017 </w:t>
      </w:r>
      <w:r w:rsidRPr="00902F8F">
        <w:rPr>
          <w:rFonts w:ascii="Arial Narrow" w:hAnsi="Arial Narrow"/>
          <w:sz w:val="22"/>
        </w:rPr>
        <w:t xml:space="preserve">a následne od </w:t>
      </w:r>
      <w:r w:rsidR="00B130F8" w:rsidRPr="00902F8F">
        <w:rPr>
          <w:rFonts w:ascii="Arial Narrow" w:hAnsi="Arial Narrow"/>
          <w:sz w:val="22"/>
        </w:rPr>
        <w:t xml:space="preserve">roku </w:t>
      </w:r>
      <w:r w:rsidRPr="00902F8F">
        <w:rPr>
          <w:rFonts w:ascii="Arial Narrow" w:hAnsi="Arial Narrow"/>
          <w:sz w:val="22"/>
        </w:rPr>
        <w:t>2018 každoročne v priemere o 6 %.</w:t>
      </w:r>
      <w:r w:rsidRPr="005307B6">
        <w:rPr>
          <w:rFonts w:ascii="Arial Narrow" w:hAnsi="Arial Narrow"/>
          <w:sz w:val="22"/>
        </w:rPr>
        <w:t xml:space="preserve"> V rámci zvyšovania platov bude podporovaný rýchlejší rast v prípade začínajúcich učiteľov, aby sa zvýšila atraktívnosť učiteľskej profesie pre najtalentovanejších mladých ľudí.</w:t>
      </w:r>
    </w:p>
    <w:p w14:paraId="137EE8CB" w14:textId="77777777" w:rsidR="00F71552" w:rsidRDefault="00F71552" w:rsidP="00F71552">
      <w:pPr>
        <w:pStyle w:val="Default"/>
        <w:jc w:val="both"/>
        <w:rPr>
          <w:rFonts w:ascii="Arial Narrow" w:hAnsi="Arial Narrow"/>
          <w:sz w:val="22"/>
        </w:rPr>
      </w:pPr>
    </w:p>
    <w:p w14:paraId="29BD2D0E" w14:textId="085547DD" w:rsidR="001F5F66" w:rsidRDefault="00F91084" w:rsidP="00F71552">
      <w:pPr>
        <w:pStyle w:val="Default"/>
        <w:jc w:val="both"/>
        <w:rPr>
          <w:rFonts w:ascii="Arial Narrow" w:hAnsi="Arial Narrow"/>
          <w:sz w:val="22"/>
        </w:rPr>
      </w:pPr>
      <w:r>
        <w:rPr>
          <w:rFonts w:ascii="Arial Narrow" w:hAnsi="Arial Narrow"/>
          <w:sz w:val="22"/>
        </w:rPr>
        <w:t xml:space="preserve">Nad rámec zvyšovania platov je taktiež </w:t>
      </w:r>
      <w:r w:rsidR="00C61E2A">
        <w:rPr>
          <w:rFonts w:ascii="Arial Narrow" w:hAnsi="Arial Narrow"/>
          <w:sz w:val="22"/>
        </w:rPr>
        <w:t xml:space="preserve">potrebné </w:t>
      </w:r>
      <w:r w:rsidR="00C61E2A" w:rsidRPr="00F71552">
        <w:rPr>
          <w:rFonts w:ascii="Arial Narrow" w:hAnsi="Arial Narrow"/>
          <w:b/>
          <w:sz w:val="22"/>
        </w:rPr>
        <w:t>posilniť väzbu systému odmeňovania na kvalitu</w:t>
      </w:r>
      <w:r w:rsidR="00C61E2A">
        <w:rPr>
          <w:rFonts w:ascii="Arial Narrow" w:hAnsi="Arial Narrow"/>
          <w:sz w:val="22"/>
        </w:rPr>
        <w:t xml:space="preserve">. Dnes systém </w:t>
      </w:r>
      <w:r w:rsidR="00C61E2A" w:rsidRPr="00C61E2A">
        <w:rPr>
          <w:rFonts w:ascii="Arial Narrow" w:hAnsi="Arial Narrow"/>
          <w:sz w:val="22"/>
        </w:rPr>
        <w:t xml:space="preserve">vytvára neželané motivácie, </w:t>
      </w:r>
      <w:r w:rsidR="007C5E93">
        <w:rPr>
          <w:rFonts w:ascii="Arial Narrow" w:hAnsi="Arial Narrow"/>
          <w:sz w:val="22"/>
        </w:rPr>
        <w:t>príplatok za počet</w:t>
      </w:r>
      <w:r w:rsidR="00C61E2A" w:rsidRPr="00C61E2A">
        <w:rPr>
          <w:rFonts w:ascii="Arial Narrow" w:hAnsi="Arial Narrow"/>
          <w:sz w:val="22"/>
        </w:rPr>
        <w:t xml:space="preserve"> kreditov získavaných za absolvovanie akreditovaných programov kontinuálneho vzdelávania bez ohľadu na </w:t>
      </w:r>
      <w:r w:rsidR="00C61E2A">
        <w:rPr>
          <w:rFonts w:ascii="Arial Narrow" w:hAnsi="Arial Narrow"/>
          <w:sz w:val="22"/>
        </w:rPr>
        <w:t xml:space="preserve">jeho </w:t>
      </w:r>
      <w:r w:rsidR="00C61E2A" w:rsidRPr="00C61E2A">
        <w:rPr>
          <w:rFonts w:ascii="Arial Narrow" w:hAnsi="Arial Narrow"/>
          <w:sz w:val="22"/>
        </w:rPr>
        <w:t>obsah devalvuje jeho kvalitu.</w:t>
      </w:r>
      <w:r w:rsidR="00AE008D" w:rsidRPr="00AE008D">
        <w:t xml:space="preserve"> </w:t>
      </w:r>
      <w:r w:rsidR="00AE008D" w:rsidRPr="00AE008D">
        <w:rPr>
          <w:rFonts w:ascii="Arial Narrow" w:hAnsi="Arial Narrow"/>
          <w:sz w:val="22"/>
        </w:rPr>
        <w:t>Atestácie sa neviažu na kompetencie, reálne nediferencujú medzi</w:t>
      </w:r>
      <w:r w:rsidR="00F20442">
        <w:rPr>
          <w:rFonts w:ascii="Arial Narrow" w:hAnsi="Arial Narrow"/>
          <w:sz w:val="22"/>
        </w:rPr>
        <w:t xml:space="preserve"> učiteľmi v závislosti od výkonu.</w:t>
      </w:r>
      <w:r w:rsidR="00296ECE" w:rsidRPr="00296ECE">
        <w:t xml:space="preserve"> </w:t>
      </w:r>
      <w:r w:rsidR="00296ECE">
        <w:rPr>
          <w:rFonts w:ascii="Arial Narrow" w:hAnsi="Arial Narrow"/>
          <w:sz w:val="22"/>
        </w:rPr>
        <w:t>O</w:t>
      </w:r>
      <w:r w:rsidR="00296ECE" w:rsidRPr="00296ECE">
        <w:rPr>
          <w:rFonts w:ascii="Arial Narrow" w:hAnsi="Arial Narrow"/>
          <w:sz w:val="22"/>
        </w:rPr>
        <w:t>sobný príplatok na základe hodnotenia učiteľa</w:t>
      </w:r>
      <w:r w:rsidR="00296ECE">
        <w:rPr>
          <w:rFonts w:ascii="Arial Narrow" w:hAnsi="Arial Narrow"/>
          <w:sz w:val="22"/>
        </w:rPr>
        <w:t xml:space="preserve"> nie je nárokovateľný, závisí od finančných možností školy.</w:t>
      </w:r>
      <w:r w:rsidR="00296ECE" w:rsidRPr="00296ECE">
        <w:t xml:space="preserve"> </w:t>
      </w:r>
      <w:r w:rsidR="00296ECE">
        <w:rPr>
          <w:rFonts w:ascii="Arial Narrow" w:hAnsi="Arial Narrow"/>
          <w:sz w:val="22"/>
        </w:rPr>
        <w:t>Je možné uvažovať nad ú</w:t>
      </w:r>
      <w:r w:rsidR="00296ECE" w:rsidRPr="00296ECE">
        <w:rPr>
          <w:rFonts w:ascii="Arial Narrow" w:hAnsi="Arial Narrow"/>
          <w:sz w:val="22"/>
        </w:rPr>
        <w:t>prav</w:t>
      </w:r>
      <w:r w:rsidR="00296ECE">
        <w:rPr>
          <w:rFonts w:ascii="Arial Narrow" w:hAnsi="Arial Narrow"/>
          <w:sz w:val="22"/>
        </w:rPr>
        <w:t>ou</w:t>
      </w:r>
      <w:r w:rsidR="00296ECE" w:rsidRPr="00296ECE">
        <w:rPr>
          <w:rFonts w:ascii="Arial Narrow" w:hAnsi="Arial Narrow"/>
          <w:sz w:val="22"/>
        </w:rPr>
        <w:t xml:space="preserve"> systém</w:t>
      </w:r>
      <w:r w:rsidR="00296ECE">
        <w:rPr>
          <w:rFonts w:ascii="Arial Narrow" w:hAnsi="Arial Narrow"/>
          <w:sz w:val="22"/>
        </w:rPr>
        <w:t>u</w:t>
      </w:r>
      <w:r w:rsidR="00296ECE" w:rsidRPr="00296ECE">
        <w:rPr>
          <w:rFonts w:ascii="Arial Narrow" w:hAnsi="Arial Narrow"/>
          <w:sz w:val="22"/>
        </w:rPr>
        <w:t xml:space="preserve">, aby bolo možné </w:t>
      </w:r>
      <w:r w:rsidR="00ED4923">
        <w:rPr>
          <w:rFonts w:ascii="Arial Narrow" w:hAnsi="Arial Narrow"/>
          <w:sz w:val="22"/>
        </w:rPr>
        <w:t>zvýšiť odmeňovanie lepších</w:t>
      </w:r>
      <w:r w:rsidR="00296ECE">
        <w:rPr>
          <w:rFonts w:ascii="Arial Narrow" w:hAnsi="Arial Narrow"/>
          <w:sz w:val="22"/>
        </w:rPr>
        <w:t xml:space="preserve"> učiteľov</w:t>
      </w:r>
      <w:r w:rsidR="00296ECE" w:rsidRPr="00296ECE">
        <w:rPr>
          <w:rFonts w:ascii="Arial Narrow" w:hAnsi="Arial Narrow"/>
          <w:sz w:val="22"/>
        </w:rPr>
        <w:t>.</w:t>
      </w:r>
    </w:p>
    <w:p w14:paraId="21F94401" w14:textId="77777777" w:rsidR="005603BD" w:rsidRDefault="005603BD" w:rsidP="00F71552">
      <w:pPr>
        <w:pStyle w:val="Default"/>
        <w:jc w:val="both"/>
        <w:rPr>
          <w:rFonts w:ascii="Arial Narrow" w:hAnsi="Arial Narrow"/>
          <w:sz w:val="22"/>
        </w:rPr>
      </w:pPr>
    </w:p>
    <w:p w14:paraId="1636B486" w14:textId="1FCAB70D" w:rsidR="00192B7E" w:rsidRDefault="00F71552" w:rsidP="00F71552">
      <w:pPr>
        <w:pStyle w:val="Default"/>
        <w:jc w:val="both"/>
        <w:rPr>
          <w:rFonts w:ascii="Arial Narrow" w:hAnsi="Arial Narrow"/>
          <w:sz w:val="22"/>
          <w:szCs w:val="22"/>
        </w:rPr>
      </w:pPr>
      <w:r>
        <w:rPr>
          <w:rFonts w:ascii="Arial Narrow" w:hAnsi="Arial Narrow"/>
          <w:sz w:val="22"/>
          <w:szCs w:val="22"/>
        </w:rPr>
        <w:t xml:space="preserve">Podporí sa </w:t>
      </w:r>
      <w:r w:rsidR="00192B7E" w:rsidRPr="001600D7">
        <w:rPr>
          <w:rFonts w:ascii="Arial Narrow" w:hAnsi="Arial Narrow"/>
          <w:b/>
          <w:sz w:val="22"/>
          <w:szCs w:val="22"/>
        </w:rPr>
        <w:t>znižovan</w:t>
      </w:r>
      <w:r w:rsidR="00192B7E">
        <w:rPr>
          <w:rFonts w:ascii="Arial Narrow" w:hAnsi="Arial Narrow"/>
          <w:b/>
          <w:sz w:val="22"/>
          <w:szCs w:val="22"/>
        </w:rPr>
        <w:t>ie</w:t>
      </w:r>
      <w:r w:rsidR="00192B7E" w:rsidRPr="001600D7">
        <w:rPr>
          <w:rFonts w:ascii="Arial Narrow" w:hAnsi="Arial Narrow"/>
          <w:b/>
          <w:sz w:val="22"/>
          <w:szCs w:val="22"/>
        </w:rPr>
        <w:t xml:space="preserve"> administratívnej záťaže</w:t>
      </w:r>
      <w:r w:rsidR="00192B7E" w:rsidRPr="001600D7">
        <w:rPr>
          <w:rFonts w:ascii="Arial Narrow" w:hAnsi="Arial Narrow"/>
          <w:sz w:val="22"/>
          <w:szCs w:val="22"/>
        </w:rPr>
        <w:t xml:space="preserve"> systémovými zmenami</w:t>
      </w:r>
      <w:r w:rsidR="00AE4520">
        <w:rPr>
          <w:rFonts w:ascii="Arial Narrow" w:hAnsi="Arial Narrow"/>
          <w:sz w:val="22"/>
          <w:szCs w:val="22"/>
        </w:rPr>
        <w:t xml:space="preserve"> </w:t>
      </w:r>
      <w:r w:rsidR="00675C31">
        <w:rPr>
          <w:rFonts w:ascii="Arial Narrow" w:hAnsi="Arial Narrow"/>
          <w:sz w:val="22"/>
          <w:szCs w:val="22"/>
        </w:rPr>
        <w:t>sadou</w:t>
      </w:r>
      <w:r w:rsidR="00675C31" w:rsidRPr="00675C31">
        <w:rPr>
          <w:rFonts w:ascii="Arial Narrow" w:hAnsi="Arial Narrow"/>
          <w:sz w:val="22"/>
          <w:szCs w:val="22"/>
        </w:rPr>
        <w:t xml:space="preserve"> návrhov na redukciu, zjednodušenie a elektronizáciu vykazovania, administratívnych prác a vedenia pedagogickej dokumentácie na všetkých druhoch a stupňoch škôl.</w:t>
      </w:r>
    </w:p>
    <w:p w14:paraId="432B9D1B" w14:textId="77777777" w:rsidR="005603BD" w:rsidRDefault="005603BD" w:rsidP="00F71552">
      <w:pPr>
        <w:pStyle w:val="Default"/>
        <w:jc w:val="both"/>
        <w:rPr>
          <w:rFonts w:ascii="Arial Narrow" w:hAnsi="Arial Narrow"/>
          <w:sz w:val="22"/>
          <w:szCs w:val="22"/>
        </w:rPr>
      </w:pPr>
    </w:p>
    <w:p w14:paraId="4BB83B24" w14:textId="0F3A94D8" w:rsidR="00192B7E" w:rsidRPr="009316E8" w:rsidRDefault="000934D9" w:rsidP="00FB625E">
      <w:pPr>
        <w:pStyle w:val="Default"/>
        <w:jc w:val="both"/>
        <w:rPr>
          <w:rFonts w:ascii="Arial Narrow" w:hAnsi="Arial Narrow"/>
          <w:b/>
          <w:i/>
          <w:sz w:val="22"/>
          <w:szCs w:val="22"/>
        </w:rPr>
      </w:pPr>
      <w:r>
        <w:rPr>
          <w:rFonts w:ascii="Arial Narrow" w:hAnsi="Arial Narrow"/>
          <w:b/>
          <w:i/>
          <w:sz w:val="22"/>
          <w:szCs w:val="22"/>
        </w:rPr>
        <w:t>Transparetné údaje –</w:t>
      </w:r>
      <w:r w:rsidR="00B60DE7">
        <w:rPr>
          <w:rFonts w:ascii="Arial Narrow" w:hAnsi="Arial Narrow"/>
          <w:b/>
          <w:i/>
          <w:sz w:val="22"/>
          <w:szCs w:val="22"/>
        </w:rPr>
        <w:t xml:space="preserve"> výsledky žiakov a identifikácia </w:t>
      </w:r>
      <w:r w:rsidR="00192B7E" w:rsidRPr="009316E8">
        <w:rPr>
          <w:rFonts w:ascii="Arial Narrow" w:hAnsi="Arial Narrow"/>
          <w:b/>
          <w:i/>
          <w:sz w:val="22"/>
          <w:szCs w:val="22"/>
        </w:rPr>
        <w:t>potrieb trhu práce</w:t>
      </w:r>
    </w:p>
    <w:p w14:paraId="51BA7835" w14:textId="77777777" w:rsidR="00AE4520" w:rsidRDefault="000934D9" w:rsidP="00BF0187">
      <w:pPr>
        <w:pStyle w:val="Default"/>
        <w:jc w:val="both"/>
        <w:rPr>
          <w:rFonts w:ascii="Arial Narrow" w:hAnsi="Arial Narrow"/>
          <w:bCs/>
          <w:sz w:val="22"/>
          <w:szCs w:val="22"/>
          <w:lang w:eastAsia="en-US"/>
        </w:rPr>
      </w:pPr>
      <w:r w:rsidRPr="000934D9">
        <w:rPr>
          <w:rFonts w:ascii="Arial Narrow" w:hAnsi="Arial Narrow"/>
          <w:bCs/>
          <w:sz w:val="22"/>
          <w:szCs w:val="22"/>
          <w:lang w:eastAsia="en-US"/>
        </w:rPr>
        <w:t>Slovensko má jeden z najvyšších podielov študentov so stredným odbor</w:t>
      </w:r>
      <w:r w:rsidR="00AE4520">
        <w:rPr>
          <w:rFonts w:ascii="Arial Narrow" w:hAnsi="Arial Narrow"/>
          <w:bCs/>
          <w:sz w:val="22"/>
          <w:szCs w:val="22"/>
          <w:lang w:eastAsia="en-US"/>
        </w:rPr>
        <w:t xml:space="preserve">ným vzdelaním v OECD (takmer                 70 </w:t>
      </w:r>
      <w:r w:rsidRPr="000934D9">
        <w:rPr>
          <w:rFonts w:ascii="Arial Narrow" w:hAnsi="Arial Narrow"/>
          <w:bCs/>
          <w:sz w:val="22"/>
          <w:szCs w:val="22"/>
          <w:lang w:eastAsia="en-US"/>
        </w:rPr>
        <w:t xml:space="preserve">%), avšak stredné odborné vzdelanie je slabo prepojené s praxou a s trhom práce. Nesúlad zručností možno pozorovať aj na úrovni </w:t>
      </w:r>
      <w:r w:rsidRPr="00B2546E">
        <w:rPr>
          <w:rFonts w:ascii="Arial Narrow" w:hAnsi="Arial Narrow"/>
          <w:bCs/>
          <w:sz w:val="22"/>
          <w:szCs w:val="22"/>
          <w:lang w:eastAsia="en-US"/>
        </w:rPr>
        <w:t xml:space="preserve">vysokých škôl v niektorých sektoroch ekonomiky (napr. IT). Súčasný systém nedisponuje dostatočnou štatistickou databázou o uplatnení a zručnostiach absolventov. </w:t>
      </w:r>
    </w:p>
    <w:p w14:paraId="66477B4F" w14:textId="77777777" w:rsidR="00AE4520" w:rsidRDefault="00AE4520" w:rsidP="00BF0187">
      <w:pPr>
        <w:pStyle w:val="Default"/>
        <w:jc w:val="both"/>
        <w:rPr>
          <w:rFonts w:ascii="Arial Narrow" w:hAnsi="Arial Narrow"/>
          <w:bCs/>
          <w:sz w:val="22"/>
          <w:szCs w:val="22"/>
          <w:lang w:eastAsia="en-US"/>
        </w:rPr>
      </w:pPr>
    </w:p>
    <w:p w14:paraId="466B3598" w14:textId="79A2669D" w:rsidR="000934D9" w:rsidRPr="001E7BD9" w:rsidRDefault="000934D9" w:rsidP="00BF0187">
      <w:pPr>
        <w:pStyle w:val="Default"/>
        <w:jc w:val="both"/>
        <w:rPr>
          <w:rFonts w:ascii="Arial Narrow" w:hAnsi="Arial Narrow"/>
          <w:bCs/>
          <w:sz w:val="22"/>
          <w:szCs w:val="22"/>
          <w:lang w:eastAsia="en-US"/>
        </w:rPr>
      </w:pPr>
      <w:r w:rsidRPr="00B2546E">
        <w:rPr>
          <w:rFonts w:ascii="Arial Narrow" w:hAnsi="Arial Narrow"/>
          <w:bCs/>
          <w:sz w:val="22"/>
          <w:szCs w:val="22"/>
          <w:lang w:eastAsia="en-US"/>
        </w:rPr>
        <w:t xml:space="preserve">Slovensko sa zapojí do projektu </w:t>
      </w:r>
      <w:r w:rsidRPr="00B60DE7">
        <w:rPr>
          <w:rFonts w:ascii="Arial Narrow" w:hAnsi="Arial Narrow"/>
          <w:bCs/>
          <w:i/>
          <w:sz w:val="22"/>
          <w:szCs w:val="22"/>
          <w:lang w:eastAsia="en-US"/>
        </w:rPr>
        <w:t>Governance of EU Skills Anticipation and Matching Systems</w:t>
      </w:r>
      <w:r w:rsidRPr="00B2546E">
        <w:rPr>
          <w:rFonts w:ascii="Arial Narrow" w:hAnsi="Arial Narrow"/>
          <w:bCs/>
          <w:sz w:val="22"/>
          <w:szCs w:val="22"/>
          <w:lang w:eastAsia="en-US"/>
        </w:rPr>
        <w:t xml:space="preserve">, ktorý zastrešuje Európske stredisko pre rozvoj odborného vzdelávania (CEDEFOP). </w:t>
      </w:r>
    </w:p>
    <w:p w14:paraId="3ADE1A83" w14:textId="77777777" w:rsidR="000934D9" w:rsidRPr="00863AB3" w:rsidRDefault="000934D9" w:rsidP="00BF0187">
      <w:pPr>
        <w:pStyle w:val="Default"/>
        <w:jc w:val="both"/>
        <w:rPr>
          <w:rFonts w:ascii="Arial Narrow" w:hAnsi="Arial Narrow"/>
          <w:bCs/>
          <w:sz w:val="22"/>
          <w:szCs w:val="22"/>
          <w:lang w:eastAsia="en-US"/>
        </w:rPr>
      </w:pPr>
    </w:p>
    <w:p w14:paraId="3A162F71" w14:textId="19F3D925" w:rsidR="00F150FB" w:rsidRPr="00B60DE7" w:rsidRDefault="000934D9" w:rsidP="00BF0187">
      <w:pPr>
        <w:pStyle w:val="Default"/>
        <w:jc w:val="both"/>
        <w:rPr>
          <w:rFonts w:ascii="Arial Narrow" w:hAnsi="Arial Narrow"/>
          <w:bCs/>
          <w:sz w:val="22"/>
          <w:szCs w:val="22"/>
          <w:lang w:eastAsia="en-US"/>
        </w:rPr>
      </w:pPr>
      <w:r w:rsidRPr="00863AB3">
        <w:rPr>
          <w:rFonts w:ascii="Arial Narrow" w:hAnsi="Arial Narrow"/>
          <w:bCs/>
          <w:sz w:val="22"/>
          <w:szCs w:val="22"/>
          <w:lang w:eastAsia="en-US"/>
        </w:rPr>
        <w:t xml:space="preserve">V rámci projektu sa uskutoční externé zhodnotenie systému anticipácie </w:t>
      </w:r>
      <w:r w:rsidRPr="00863AB3">
        <w:rPr>
          <w:rFonts w:ascii="Arial Narrow" w:hAnsi="Arial Narrow"/>
          <w:b/>
          <w:bCs/>
          <w:sz w:val="22"/>
          <w:szCs w:val="22"/>
          <w:lang w:eastAsia="en-US"/>
        </w:rPr>
        <w:t>zručností potrebných pre trh práce</w:t>
      </w:r>
      <w:r w:rsidRPr="00412361">
        <w:rPr>
          <w:rFonts w:ascii="Arial Narrow" w:hAnsi="Arial Narrow"/>
          <w:bCs/>
          <w:sz w:val="22"/>
          <w:szCs w:val="22"/>
          <w:lang w:eastAsia="en-US"/>
        </w:rPr>
        <w:t xml:space="preserve"> a </w:t>
      </w:r>
      <w:r w:rsidRPr="00412361">
        <w:rPr>
          <w:rFonts w:ascii="Arial Narrow" w:hAnsi="Arial Narrow"/>
          <w:b/>
          <w:bCs/>
          <w:sz w:val="22"/>
          <w:szCs w:val="22"/>
          <w:lang w:eastAsia="en-US"/>
        </w:rPr>
        <w:t>monitorovania uplatnenia absolventov na trhu práce</w:t>
      </w:r>
      <w:r w:rsidRPr="0046081B">
        <w:rPr>
          <w:rFonts w:ascii="Arial Narrow" w:hAnsi="Arial Narrow"/>
          <w:bCs/>
          <w:sz w:val="22"/>
          <w:szCs w:val="22"/>
          <w:lang w:eastAsia="en-US"/>
        </w:rPr>
        <w:t>. Cieľom je vybudovať systém poskytujúci ucelené informácie o zručnostiach a uplatnení absolventov stredoškolského a vy</w:t>
      </w:r>
      <w:r w:rsidRPr="00B60DE7">
        <w:rPr>
          <w:rFonts w:ascii="Arial Narrow" w:hAnsi="Arial Narrow"/>
          <w:bCs/>
          <w:sz w:val="22"/>
          <w:szCs w:val="22"/>
          <w:lang w:eastAsia="en-US"/>
        </w:rPr>
        <w:t>sokoškolského štúdia na trhu práce.</w:t>
      </w:r>
    </w:p>
    <w:p w14:paraId="32FD566B" w14:textId="77777777" w:rsidR="000934D9" w:rsidRPr="006648AB" w:rsidRDefault="000934D9" w:rsidP="00BF0187">
      <w:pPr>
        <w:pStyle w:val="Default"/>
        <w:jc w:val="both"/>
        <w:rPr>
          <w:rFonts w:ascii="Arial Narrow" w:hAnsi="Arial Narrow"/>
          <w:bCs/>
          <w:sz w:val="22"/>
          <w:szCs w:val="22"/>
          <w:lang w:eastAsia="en-US"/>
        </w:rPr>
      </w:pPr>
    </w:p>
    <w:p w14:paraId="0B90D3FE" w14:textId="77777777" w:rsidR="00B60DE7" w:rsidRDefault="000934D9" w:rsidP="00BF0187">
      <w:pPr>
        <w:pStyle w:val="Default"/>
        <w:jc w:val="both"/>
        <w:rPr>
          <w:rFonts w:ascii="Arial Narrow" w:hAnsi="Arial Narrow"/>
          <w:bCs/>
          <w:lang w:eastAsia="en-US"/>
        </w:rPr>
      </w:pPr>
      <w:r w:rsidRPr="000934D9">
        <w:rPr>
          <w:rFonts w:ascii="Arial Narrow" w:hAnsi="Arial Narrow"/>
          <w:bCs/>
          <w:sz w:val="22"/>
          <w:szCs w:val="22"/>
          <w:lang w:eastAsia="en-US"/>
        </w:rPr>
        <w:t xml:space="preserve">V roku 2017 sa plánujú sprístupniť verejnosti anonymizované individualizované dáta z jednotlivých </w:t>
      </w:r>
      <w:r w:rsidRPr="000934D9">
        <w:rPr>
          <w:rFonts w:ascii="Arial Narrow" w:hAnsi="Arial Narrow"/>
          <w:b/>
          <w:bCs/>
          <w:sz w:val="22"/>
          <w:szCs w:val="22"/>
          <w:lang w:eastAsia="en-US"/>
        </w:rPr>
        <w:t>národných testovaní</w:t>
      </w:r>
      <w:r w:rsidRPr="000934D9">
        <w:rPr>
          <w:rFonts w:ascii="Arial Narrow" w:hAnsi="Arial Narrow"/>
          <w:sz w:val="22"/>
          <w:szCs w:val="22"/>
        </w:rPr>
        <w:t xml:space="preserve"> (</w:t>
      </w:r>
      <w:r w:rsidRPr="000934D9">
        <w:rPr>
          <w:rFonts w:ascii="Arial Narrow" w:hAnsi="Arial Narrow"/>
          <w:bCs/>
          <w:sz w:val="22"/>
          <w:szCs w:val="22"/>
          <w:lang w:eastAsia="en-US"/>
        </w:rPr>
        <w:t>testovanie 5, testovanie 9, maturitné skúšky, testovanie PISA, TIMSS, PIRLS a ďalšie), aby mohli byť využívané ako podklad pre sekundárne analýzy.</w:t>
      </w:r>
      <w:r w:rsidRPr="000934D9">
        <w:rPr>
          <w:rFonts w:ascii="Arial Narrow" w:hAnsi="Arial Narrow"/>
          <w:sz w:val="22"/>
          <w:szCs w:val="22"/>
        </w:rPr>
        <w:t xml:space="preserve"> </w:t>
      </w:r>
      <w:r w:rsidRPr="000934D9">
        <w:rPr>
          <w:rFonts w:ascii="Arial Narrow" w:hAnsi="Arial Narrow"/>
          <w:bCs/>
          <w:sz w:val="22"/>
          <w:szCs w:val="22"/>
          <w:lang w:eastAsia="en-US"/>
        </w:rPr>
        <w:t xml:space="preserve">Vypracuje sa návrh dátovej a informačnej koncepcie rezortu </w:t>
      </w:r>
      <w:r>
        <w:rPr>
          <w:rFonts w:ascii="Arial Narrow" w:hAnsi="Arial Narrow"/>
          <w:bCs/>
          <w:sz w:val="22"/>
          <w:szCs w:val="22"/>
          <w:lang w:eastAsia="en-US"/>
        </w:rPr>
        <w:t xml:space="preserve">v zmysle aplikácie princípu </w:t>
      </w:r>
      <w:r w:rsidRPr="000934D9">
        <w:rPr>
          <w:rFonts w:ascii="Arial Narrow" w:hAnsi="Arial Narrow"/>
          <w:bCs/>
          <w:i/>
          <w:sz w:val="22"/>
          <w:szCs w:val="22"/>
          <w:lang w:eastAsia="en-US"/>
        </w:rPr>
        <w:t>jeden krát a dosť</w:t>
      </w:r>
      <w:r w:rsidRPr="000934D9">
        <w:rPr>
          <w:rFonts w:ascii="Arial Narrow" w:hAnsi="Arial Narrow"/>
          <w:bCs/>
          <w:sz w:val="22"/>
          <w:szCs w:val="22"/>
          <w:lang w:eastAsia="en-US"/>
        </w:rPr>
        <w:t xml:space="preserve"> </w:t>
      </w:r>
      <w:r>
        <w:rPr>
          <w:rFonts w:ascii="Arial Narrow" w:hAnsi="Arial Narrow"/>
          <w:bCs/>
          <w:sz w:val="22"/>
          <w:szCs w:val="22"/>
          <w:lang w:eastAsia="en-US"/>
        </w:rPr>
        <w:t xml:space="preserve">a </w:t>
      </w:r>
      <w:r w:rsidRPr="000934D9">
        <w:rPr>
          <w:rFonts w:ascii="Arial Narrow" w:hAnsi="Arial Narrow"/>
          <w:bCs/>
          <w:i/>
          <w:sz w:val="22"/>
          <w:szCs w:val="22"/>
          <w:lang w:eastAsia="en-US"/>
        </w:rPr>
        <w:t>open data</w:t>
      </w:r>
      <w:r w:rsidRPr="000934D9">
        <w:rPr>
          <w:rFonts w:ascii="Arial Narrow" w:hAnsi="Arial Narrow"/>
          <w:bCs/>
          <w:sz w:val="22"/>
          <w:szCs w:val="22"/>
          <w:lang w:eastAsia="en-US"/>
        </w:rPr>
        <w:t xml:space="preserve"> a postup vytvorenia centrálneho úložiska digitálneho edukačného obsahu s licenciami na voľné šírenie obsahu</w:t>
      </w:r>
      <w:r>
        <w:rPr>
          <w:rFonts w:ascii="Arial Narrow" w:hAnsi="Arial Narrow"/>
          <w:bCs/>
          <w:lang w:eastAsia="en-US"/>
        </w:rPr>
        <w:t>.</w:t>
      </w:r>
    </w:p>
    <w:p w14:paraId="03C33AAE" w14:textId="77777777" w:rsidR="00B60DE7" w:rsidRDefault="00B60DE7" w:rsidP="00F150FB">
      <w:pPr>
        <w:spacing w:after="0" w:line="240" w:lineRule="auto"/>
        <w:jc w:val="both"/>
        <w:rPr>
          <w:rFonts w:ascii="Arial Narrow" w:hAnsi="Arial Narrow"/>
          <w:szCs w:val="28"/>
        </w:rPr>
      </w:pPr>
    </w:p>
    <w:p w14:paraId="7B918477" w14:textId="77777777" w:rsidR="00AE4520" w:rsidRDefault="00AE4520">
      <w:pPr>
        <w:spacing w:after="0" w:line="240" w:lineRule="auto"/>
        <w:rPr>
          <w:rFonts w:ascii="Arial Narrow" w:hAnsi="Arial Narrow"/>
          <w:b/>
          <w:i/>
        </w:rPr>
      </w:pPr>
      <w:r>
        <w:rPr>
          <w:rFonts w:ascii="Arial Narrow" w:hAnsi="Arial Narrow"/>
          <w:b/>
          <w:i/>
        </w:rPr>
        <w:br w:type="page"/>
      </w:r>
    </w:p>
    <w:p w14:paraId="24466085" w14:textId="5F5283A7" w:rsidR="00B60DE7" w:rsidRDefault="00B60DE7" w:rsidP="00B60DE7">
      <w:pPr>
        <w:spacing w:after="0" w:line="240" w:lineRule="auto"/>
        <w:jc w:val="both"/>
        <w:rPr>
          <w:rFonts w:ascii="Arial Narrow" w:hAnsi="Arial Narrow"/>
          <w:szCs w:val="28"/>
        </w:rPr>
      </w:pPr>
      <w:r>
        <w:rPr>
          <w:rFonts w:ascii="Arial Narrow" w:hAnsi="Arial Narrow"/>
          <w:b/>
          <w:i/>
        </w:rPr>
        <w:lastRenderedPageBreak/>
        <w:t>P</w:t>
      </w:r>
      <w:r w:rsidRPr="009316E8">
        <w:rPr>
          <w:rFonts w:ascii="Arial Narrow" w:hAnsi="Arial Narrow"/>
          <w:b/>
          <w:i/>
        </w:rPr>
        <w:t>repojenie vzdelávania a potrieb trhu práce</w:t>
      </w:r>
    </w:p>
    <w:p w14:paraId="6BAC6412" w14:textId="0E130937" w:rsidR="00F150FB" w:rsidRDefault="00F150FB" w:rsidP="00F150FB">
      <w:pPr>
        <w:spacing w:after="0" w:line="240" w:lineRule="auto"/>
        <w:jc w:val="both"/>
        <w:rPr>
          <w:rFonts w:ascii="Arial Narrow" w:hAnsi="Arial Narrow"/>
          <w:szCs w:val="28"/>
        </w:rPr>
      </w:pPr>
      <w:r w:rsidRPr="00DE7D72">
        <w:rPr>
          <w:rFonts w:ascii="Arial Narrow" w:hAnsi="Arial Narrow"/>
          <w:szCs w:val="28"/>
        </w:rPr>
        <w:t xml:space="preserve">Do </w:t>
      </w:r>
      <w:r w:rsidRPr="004D639D">
        <w:rPr>
          <w:rFonts w:ascii="Arial Narrow" w:hAnsi="Arial Narrow"/>
          <w:b/>
          <w:szCs w:val="28"/>
        </w:rPr>
        <w:t>duálneho vzdelávania</w:t>
      </w:r>
      <w:r w:rsidRPr="00DE7D72">
        <w:rPr>
          <w:rFonts w:ascii="Arial Narrow" w:hAnsi="Arial Narrow"/>
          <w:szCs w:val="28"/>
        </w:rPr>
        <w:t xml:space="preserve"> je v druhom roku fungovania zapojených </w:t>
      </w:r>
      <w:r w:rsidRPr="00DE7D72">
        <w:rPr>
          <w:rFonts w:ascii="Arial Narrow" w:hAnsi="Arial Narrow"/>
          <w:b/>
          <w:szCs w:val="28"/>
        </w:rPr>
        <w:t>len 1 % žiakov SOŠ</w:t>
      </w:r>
      <w:r w:rsidRPr="00DE7D72">
        <w:rPr>
          <w:rFonts w:ascii="Arial Narrow" w:hAnsi="Arial Narrow"/>
          <w:szCs w:val="28"/>
        </w:rPr>
        <w:t xml:space="preserve">, slabý záujem </w:t>
      </w:r>
      <w:r>
        <w:rPr>
          <w:rFonts w:ascii="Arial Narrow" w:hAnsi="Arial Narrow"/>
          <w:szCs w:val="28"/>
        </w:rPr>
        <w:t xml:space="preserve">škôl </w:t>
      </w:r>
      <w:r w:rsidRPr="00DE7D72">
        <w:rPr>
          <w:rFonts w:ascii="Arial Narrow" w:hAnsi="Arial Narrow"/>
          <w:szCs w:val="28"/>
        </w:rPr>
        <w:t xml:space="preserve">ovplyvňuje aj </w:t>
      </w:r>
      <w:r w:rsidR="00585651">
        <w:rPr>
          <w:rFonts w:ascii="Arial Narrow" w:hAnsi="Arial Narrow"/>
          <w:szCs w:val="28"/>
        </w:rPr>
        <w:t>finančná demotivácia v podobe</w:t>
      </w:r>
      <w:r w:rsidRPr="00DE7D72">
        <w:rPr>
          <w:rFonts w:ascii="Arial Narrow" w:hAnsi="Arial Narrow"/>
          <w:szCs w:val="28"/>
        </w:rPr>
        <w:t xml:space="preserve"> krátenia finančných normatívov. </w:t>
      </w:r>
      <w:r w:rsidRPr="005307B6">
        <w:rPr>
          <w:rFonts w:ascii="Arial Narrow" w:hAnsi="Arial Narrow"/>
          <w:szCs w:val="28"/>
        </w:rPr>
        <w:t>V rámci národného projektu</w:t>
      </w:r>
      <w:r>
        <w:rPr>
          <w:rStyle w:val="Odkaznapoznmkupodiarou"/>
          <w:rFonts w:ascii="Arial Narrow" w:hAnsi="Arial Narrow"/>
          <w:szCs w:val="28"/>
        </w:rPr>
        <w:footnoteReference w:id="26"/>
      </w:r>
      <w:r>
        <w:rPr>
          <w:rFonts w:ascii="Arial Narrow" w:hAnsi="Arial Narrow"/>
          <w:szCs w:val="28"/>
        </w:rPr>
        <w:t xml:space="preserve"> </w:t>
      </w:r>
      <w:r w:rsidRPr="005307B6">
        <w:rPr>
          <w:rFonts w:ascii="Arial Narrow" w:hAnsi="Arial Narrow"/>
          <w:szCs w:val="28"/>
        </w:rPr>
        <w:t xml:space="preserve">s alokáciou 28 mil. eur </w:t>
      </w:r>
      <w:r>
        <w:rPr>
          <w:rFonts w:ascii="Arial Narrow" w:hAnsi="Arial Narrow"/>
          <w:szCs w:val="28"/>
        </w:rPr>
        <w:t>z </w:t>
      </w:r>
      <w:r w:rsidRPr="005307B6">
        <w:rPr>
          <w:rFonts w:ascii="Arial Narrow" w:hAnsi="Arial Narrow"/>
          <w:szCs w:val="28"/>
        </w:rPr>
        <w:t>ESF</w:t>
      </w:r>
      <w:r>
        <w:rPr>
          <w:rFonts w:ascii="Arial Narrow" w:hAnsi="Arial Narrow"/>
          <w:szCs w:val="28"/>
        </w:rPr>
        <w:t xml:space="preserve"> </w:t>
      </w:r>
      <w:r w:rsidRPr="005307B6">
        <w:rPr>
          <w:rFonts w:ascii="Arial Narrow" w:hAnsi="Arial Narrow"/>
          <w:szCs w:val="28"/>
        </w:rPr>
        <w:t>budú realizované aktivity zamerané na podporu duálneho vzdelávania a zvýšenie atraktivity a kvality odborného vzdelávania a prípravy.</w:t>
      </w:r>
    </w:p>
    <w:p w14:paraId="0BDC0103" w14:textId="77777777" w:rsidR="00192B7E" w:rsidRDefault="00192B7E" w:rsidP="00F71552">
      <w:pPr>
        <w:pStyle w:val="Default"/>
        <w:jc w:val="both"/>
        <w:rPr>
          <w:rFonts w:ascii="Arial Narrow" w:hAnsi="Arial Narrow"/>
          <w:bCs/>
          <w:lang w:eastAsia="en-US"/>
        </w:rPr>
      </w:pPr>
    </w:p>
    <w:p w14:paraId="121F9507" w14:textId="77777777" w:rsidR="00192B7E" w:rsidRPr="00A969B4" w:rsidRDefault="00192B7E" w:rsidP="00FB625E">
      <w:pPr>
        <w:pStyle w:val="Default"/>
        <w:jc w:val="both"/>
        <w:rPr>
          <w:rFonts w:ascii="Arial Narrow" w:hAnsi="Arial Narrow"/>
          <w:b/>
          <w:i/>
          <w:sz w:val="22"/>
          <w:szCs w:val="22"/>
        </w:rPr>
      </w:pPr>
      <w:r w:rsidRPr="00A969B4">
        <w:rPr>
          <w:rFonts w:ascii="Arial Narrow" w:hAnsi="Arial Narrow"/>
          <w:b/>
          <w:i/>
          <w:sz w:val="22"/>
          <w:szCs w:val="22"/>
        </w:rPr>
        <w:t>Inkluzívne vzdelávanie</w:t>
      </w:r>
    </w:p>
    <w:p w14:paraId="16643CE5" w14:textId="0F42B2A2" w:rsidR="00AC3E1A" w:rsidRDefault="00F91084" w:rsidP="00BF0187">
      <w:pPr>
        <w:spacing w:after="0" w:line="240" w:lineRule="auto"/>
        <w:jc w:val="both"/>
        <w:rPr>
          <w:rFonts w:ascii="Arial Narrow" w:hAnsi="Arial Narrow"/>
          <w:bCs/>
          <w:color w:val="000000"/>
          <w:lang w:eastAsia="en-US"/>
        </w:rPr>
      </w:pPr>
      <w:r>
        <w:rPr>
          <w:rFonts w:ascii="Arial Narrow" w:hAnsi="Arial Narrow"/>
        </w:rPr>
        <w:t xml:space="preserve">Naďalej ostáva priestor pre zlepšovanie </w:t>
      </w:r>
      <w:r w:rsidRPr="006F6F40">
        <w:rPr>
          <w:rFonts w:ascii="Arial Narrow" w:hAnsi="Arial Narrow"/>
          <w:b/>
        </w:rPr>
        <w:t>inklúzie žiakov z</w:t>
      </w:r>
      <w:r w:rsidR="00585651" w:rsidRPr="006F6F40">
        <w:rPr>
          <w:rFonts w:ascii="Arial Narrow" w:hAnsi="Arial Narrow"/>
          <w:b/>
        </w:rPr>
        <w:t>o</w:t>
      </w:r>
      <w:r w:rsidRPr="006F6F40">
        <w:rPr>
          <w:rFonts w:ascii="Arial Narrow" w:hAnsi="Arial Narrow"/>
          <w:b/>
        </w:rPr>
        <w:t xml:space="preserve"> sociálne znevýhodneného prostredia</w:t>
      </w:r>
      <w:r>
        <w:rPr>
          <w:rFonts w:ascii="Arial Narrow" w:hAnsi="Arial Narrow"/>
        </w:rPr>
        <w:t xml:space="preserve">. </w:t>
      </w:r>
      <w:r w:rsidR="00713F1A">
        <w:rPr>
          <w:rFonts w:ascii="Arial Narrow" w:hAnsi="Arial Narrow"/>
        </w:rPr>
        <w:t>Novelou</w:t>
      </w:r>
      <w:r w:rsidR="00AC3E1A" w:rsidRPr="00713F1A">
        <w:rPr>
          <w:rFonts w:ascii="Arial Narrow" w:hAnsi="Arial Narrow"/>
          <w:bCs/>
          <w:color w:val="000000"/>
          <w:lang w:eastAsia="en-US"/>
        </w:rPr>
        <w:t xml:space="preserve"> školského zákona </w:t>
      </w:r>
      <w:r w:rsidR="00713F1A" w:rsidRPr="00713F1A">
        <w:rPr>
          <w:rFonts w:ascii="Arial Narrow" w:hAnsi="Arial Narrow"/>
          <w:bCs/>
          <w:color w:val="000000"/>
          <w:lang w:eastAsia="en-US"/>
        </w:rPr>
        <w:t>z</w:t>
      </w:r>
      <w:r w:rsidR="00AC3E1A" w:rsidRPr="00713F1A">
        <w:rPr>
          <w:rFonts w:ascii="Arial Narrow" w:hAnsi="Arial Narrow"/>
          <w:bCs/>
          <w:color w:val="000000"/>
          <w:lang w:eastAsia="en-US"/>
        </w:rPr>
        <w:t> roku 2015</w:t>
      </w:r>
      <w:r w:rsidR="00713F1A" w:rsidRPr="00713F1A">
        <w:rPr>
          <w:rFonts w:ascii="Arial Narrow" w:hAnsi="Arial Narrow"/>
        </w:rPr>
        <w:t xml:space="preserve"> </w:t>
      </w:r>
      <w:r w:rsidR="00713F1A">
        <w:rPr>
          <w:rFonts w:ascii="Arial Narrow" w:hAnsi="Arial Narrow"/>
        </w:rPr>
        <w:t xml:space="preserve">sa malo </w:t>
      </w:r>
      <w:r w:rsidR="00713F1A" w:rsidRPr="00713F1A">
        <w:rPr>
          <w:rFonts w:ascii="Arial Narrow" w:hAnsi="Arial Narrow"/>
        </w:rPr>
        <w:t>predchádzať a zabraňovať zamieňaniu žiakov so špeciálnymi výchovno-vzdelávacími potrebami, ktoré výlučne vyplývajú zo sociálne znevýhodneného prostredia, s tými, ktoré vyplývajú zo zdravotného znevýhodnenia.</w:t>
      </w:r>
      <w:r w:rsidR="00394780">
        <w:rPr>
          <w:rFonts w:ascii="Arial Narrow" w:hAnsi="Arial Narrow"/>
          <w:bCs/>
          <w:color w:val="000000"/>
          <w:lang w:eastAsia="en-US"/>
        </w:rPr>
        <w:t xml:space="preserve"> </w:t>
      </w:r>
      <w:r w:rsidR="00AC3E1A">
        <w:rPr>
          <w:rFonts w:ascii="Arial Narrow" w:hAnsi="Arial Narrow"/>
          <w:bCs/>
          <w:color w:val="000000"/>
          <w:lang w:eastAsia="en-US"/>
        </w:rPr>
        <w:t>Výskumná správa</w:t>
      </w:r>
      <w:r w:rsidR="00AC3E1A">
        <w:rPr>
          <w:rStyle w:val="Odkaznapoznmkupodiarou"/>
          <w:rFonts w:ascii="Arial Narrow" w:hAnsi="Arial Narrow"/>
          <w:bCs/>
          <w:color w:val="000000"/>
          <w:lang w:eastAsia="en-US"/>
        </w:rPr>
        <w:footnoteReference w:id="27"/>
      </w:r>
      <w:r w:rsidR="00AC3E1A">
        <w:rPr>
          <w:rFonts w:ascii="Arial Narrow" w:hAnsi="Arial Narrow"/>
          <w:bCs/>
          <w:color w:val="000000"/>
          <w:lang w:eastAsia="en-US"/>
        </w:rPr>
        <w:t xml:space="preserve"> </w:t>
      </w:r>
      <w:r w:rsidR="00AC3E1A" w:rsidRPr="00005493">
        <w:rPr>
          <w:rFonts w:ascii="Arial Narrow" w:hAnsi="Arial Narrow"/>
          <w:bCs/>
          <w:color w:val="000000"/>
          <w:lang w:eastAsia="en-US"/>
        </w:rPr>
        <w:t>Amnesty International a Európske</w:t>
      </w:r>
      <w:r w:rsidR="00AC3E1A">
        <w:rPr>
          <w:rFonts w:ascii="Arial Narrow" w:hAnsi="Arial Narrow"/>
          <w:bCs/>
          <w:color w:val="000000"/>
          <w:lang w:eastAsia="en-US"/>
        </w:rPr>
        <w:t>ho</w:t>
      </w:r>
      <w:r w:rsidR="00AC3E1A" w:rsidRPr="00005493">
        <w:rPr>
          <w:rFonts w:ascii="Arial Narrow" w:hAnsi="Arial Narrow"/>
          <w:bCs/>
          <w:color w:val="000000"/>
          <w:lang w:eastAsia="en-US"/>
        </w:rPr>
        <w:t xml:space="preserve"> centr</w:t>
      </w:r>
      <w:r w:rsidR="00AC3E1A">
        <w:rPr>
          <w:rFonts w:ascii="Arial Narrow" w:hAnsi="Arial Narrow"/>
          <w:bCs/>
          <w:color w:val="000000"/>
          <w:lang w:eastAsia="en-US"/>
        </w:rPr>
        <w:t>a</w:t>
      </w:r>
      <w:r w:rsidR="00AC3E1A" w:rsidRPr="00005493">
        <w:rPr>
          <w:rFonts w:ascii="Arial Narrow" w:hAnsi="Arial Narrow"/>
          <w:bCs/>
          <w:color w:val="000000"/>
          <w:lang w:eastAsia="en-US"/>
        </w:rPr>
        <w:t xml:space="preserve"> pre práva Rómov</w:t>
      </w:r>
      <w:r w:rsidR="00AC3E1A">
        <w:rPr>
          <w:rFonts w:ascii="Arial Narrow" w:hAnsi="Arial Narrow"/>
          <w:bCs/>
          <w:color w:val="000000"/>
          <w:lang w:eastAsia="en-US"/>
        </w:rPr>
        <w:t xml:space="preserve"> (ERRC)</w:t>
      </w:r>
      <w:r w:rsidR="00AC3E1A" w:rsidRPr="00005493">
        <w:rPr>
          <w:rFonts w:ascii="Arial Narrow" w:hAnsi="Arial Narrow"/>
          <w:bCs/>
          <w:color w:val="000000"/>
          <w:lang w:eastAsia="en-US"/>
        </w:rPr>
        <w:t xml:space="preserve"> </w:t>
      </w:r>
      <w:r w:rsidR="00AC3E1A">
        <w:rPr>
          <w:rFonts w:ascii="Arial Narrow" w:hAnsi="Arial Narrow"/>
          <w:bCs/>
          <w:color w:val="000000"/>
          <w:lang w:eastAsia="en-US"/>
        </w:rPr>
        <w:t xml:space="preserve">z marca 2017 však na základe terénneho výskumu konštatuje, že reforma </w:t>
      </w:r>
      <w:r>
        <w:rPr>
          <w:rFonts w:ascii="Arial Narrow" w:hAnsi="Arial Narrow"/>
          <w:bCs/>
          <w:color w:val="000000"/>
          <w:lang w:eastAsia="en-US"/>
        </w:rPr>
        <w:t xml:space="preserve">zatiaľ </w:t>
      </w:r>
      <w:r w:rsidR="00AC3E1A">
        <w:rPr>
          <w:rFonts w:ascii="Arial Narrow" w:hAnsi="Arial Narrow"/>
          <w:bCs/>
          <w:color w:val="000000"/>
          <w:lang w:eastAsia="en-US"/>
        </w:rPr>
        <w:t>neviedla</w:t>
      </w:r>
      <w:r w:rsidR="00AC3E1A" w:rsidRPr="0030178C">
        <w:rPr>
          <w:rFonts w:ascii="Arial Narrow" w:hAnsi="Arial Narrow"/>
          <w:bCs/>
          <w:color w:val="000000"/>
          <w:lang w:eastAsia="en-US"/>
        </w:rPr>
        <w:t xml:space="preserve"> k</w:t>
      </w:r>
      <w:r w:rsidR="00AC3E1A">
        <w:rPr>
          <w:rFonts w:ascii="Arial Narrow" w:hAnsi="Arial Narrow"/>
          <w:bCs/>
          <w:color w:val="000000"/>
          <w:lang w:eastAsia="en-US"/>
        </w:rPr>
        <w:t> </w:t>
      </w:r>
      <w:r w:rsidR="00AC3E1A" w:rsidRPr="0030178C">
        <w:rPr>
          <w:rFonts w:ascii="Arial Narrow" w:hAnsi="Arial Narrow"/>
          <w:bCs/>
          <w:color w:val="000000"/>
          <w:lang w:eastAsia="en-US"/>
        </w:rPr>
        <w:t>zastaveniu</w:t>
      </w:r>
      <w:r w:rsidR="00AC3E1A">
        <w:rPr>
          <w:rFonts w:ascii="Arial Narrow" w:hAnsi="Arial Narrow"/>
          <w:bCs/>
          <w:color w:val="000000"/>
          <w:lang w:eastAsia="en-US"/>
        </w:rPr>
        <w:t xml:space="preserve"> týchto praktík.</w:t>
      </w:r>
    </w:p>
    <w:p w14:paraId="45CE3E6E" w14:textId="77777777" w:rsidR="00BF0187" w:rsidRDefault="00BF0187" w:rsidP="00BF0187">
      <w:pPr>
        <w:spacing w:after="0" w:line="240" w:lineRule="auto"/>
        <w:jc w:val="both"/>
        <w:rPr>
          <w:rFonts w:ascii="Arial Narrow" w:hAnsi="Arial Narrow"/>
          <w:bCs/>
          <w:color w:val="000000"/>
          <w:lang w:eastAsia="en-US"/>
        </w:rPr>
      </w:pPr>
    </w:p>
    <w:p w14:paraId="1E80CAE6" w14:textId="76697A07" w:rsidR="00AC3E1A" w:rsidRDefault="00AC3E1A" w:rsidP="00BF0187">
      <w:pPr>
        <w:spacing w:after="0" w:line="240" w:lineRule="auto"/>
        <w:jc w:val="both"/>
        <w:rPr>
          <w:rFonts w:ascii="Arial Narrow" w:hAnsi="Arial Narrow"/>
          <w:bCs/>
          <w:color w:val="000000"/>
          <w:lang w:eastAsia="en-US"/>
        </w:rPr>
      </w:pPr>
      <w:r>
        <w:rPr>
          <w:rFonts w:ascii="Arial Narrow" w:hAnsi="Arial Narrow"/>
          <w:bCs/>
          <w:color w:val="000000"/>
          <w:lang w:eastAsia="en-US"/>
        </w:rPr>
        <w:t>Novela školského zákona zároveň zaviedla od septembra 2016 nové pravidlo na posudzovanie poskytovania príspevku na žiakov zo sociálne znevýhodneného prostredia</w:t>
      </w:r>
      <w:r>
        <w:rPr>
          <w:rStyle w:val="Odkaznapoznmkupodiarou"/>
          <w:rFonts w:ascii="Arial Narrow" w:hAnsi="Arial Narrow"/>
          <w:bCs/>
          <w:color w:val="000000"/>
          <w:lang w:eastAsia="en-US"/>
        </w:rPr>
        <w:footnoteReference w:id="28"/>
      </w:r>
      <w:r w:rsidR="00585651">
        <w:rPr>
          <w:rFonts w:ascii="Arial Narrow" w:hAnsi="Arial Narrow"/>
          <w:bCs/>
          <w:color w:val="000000"/>
          <w:lang w:eastAsia="en-US"/>
        </w:rPr>
        <w:t>.</w:t>
      </w:r>
      <w:r>
        <w:rPr>
          <w:rFonts w:ascii="Arial Narrow" w:hAnsi="Arial Narrow"/>
          <w:bCs/>
          <w:color w:val="000000"/>
          <w:lang w:eastAsia="en-US"/>
        </w:rPr>
        <w:t xml:space="preserve"> Na základe tejto zmeny sa znížil počet žiakov s týmto príspevkom z 57 tisíc na 22 tisíc</w:t>
      </w:r>
      <w:r>
        <w:rPr>
          <w:rStyle w:val="Odkaznapoznmkupodiarou"/>
          <w:rFonts w:ascii="Arial Narrow" w:hAnsi="Arial Narrow"/>
          <w:bCs/>
          <w:color w:val="000000"/>
          <w:lang w:eastAsia="en-US"/>
        </w:rPr>
        <w:footnoteReference w:id="29"/>
      </w:r>
      <w:r>
        <w:rPr>
          <w:rFonts w:ascii="Arial Narrow" w:hAnsi="Arial Narrow"/>
          <w:bCs/>
          <w:color w:val="000000"/>
          <w:lang w:eastAsia="en-US"/>
        </w:rPr>
        <w:t xml:space="preserve">.  </w:t>
      </w:r>
    </w:p>
    <w:p w14:paraId="0EF14FA8" w14:textId="77777777" w:rsidR="00BF0187" w:rsidRDefault="00BF0187" w:rsidP="00BF0187">
      <w:pPr>
        <w:spacing w:after="0" w:line="240" w:lineRule="auto"/>
        <w:jc w:val="both"/>
        <w:rPr>
          <w:rFonts w:ascii="Arial Narrow" w:hAnsi="Arial Narrow"/>
          <w:bCs/>
          <w:color w:val="000000"/>
          <w:lang w:eastAsia="en-US"/>
        </w:rPr>
      </w:pPr>
    </w:p>
    <w:p w14:paraId="642FBCF9" w14:textId="2034B215" w:rsidR="00F13C0A" w:rsidRDefault="00192B7E" w:rsidP="00FB625E">
      <w:pPr>
        <w:pStyle w:val="Default"/>
        <w:jc w:val="both"/>
        <w:rPr>
          <w:rFonts w:ascii="Arial Narrow" w:hAnsi="Arial Narrow"/>
          <w:bCs/>
          <w:sz w:val="22"/>
          <w:szCs w:val="22"/>
          <w:lang w:eastAsia="en-US"/>
        </w:rPr>
      </w:pPr>
      <w:r w:rsidRPr="00A969B4">
        <w:rPr>
          <w:rFonts w:ascii="Arial Narrow" w:hAnsi="Arial Narrow"/>
          <w:bCs/>
          <w:sz w:val="22"/>
          <w:szCs w:val="22"/>
          <w:lang w:eastAsia="en-US"/>
        </w:rPr>
        <w:t xml:space="preserve">Národný projekt </w:t>
      </w:r>
      <w:r w:rsidR="00902F8F">
        <w:rPr>
          <w:rFonts w:ascii="Arial Narrow" w:hAnsi="Arial Narrow"/>
          <w:bCs/>
          <w:i/>
          <w:sz w:val="22"/>
          <w:szCs w:val="22"/>
          <w:lang w:eastAsia="en-US"/>
        </w:rPr>
        <w:t xml:space="preserve">Škola otvorená všetkým </w:t>
      </w:r>
      <w:r w:rsidRPr="00A969B4">
        <w:rPr>
          <w:rFonts w:ascii="Arial Narrow" w:hAnsi="Arial Narrow"/>
          <w:bCs/>
          <w:sz w:val="22"/>
          <w:szCs w:val="22"/>
          <w:lang w:eastAsia="en-US"/>
        </w:rPr>
        <w:t xml:space="preserve">s alokáciou 25 mil. eur </w:t>
      </w:r>
      <w:r w:rsidR="00876E2C">
        <w:rPr>
          <w:rFonts w:ascii="Arial Narrow" w:hAnsi="Arial Narrow"/>
          <w:bCs/>
          <w:sz w:val="22"/>
          <w:szCs w:val="22"/>
          <w:lang w:eastAsia="en-US"/>
        </w:rPr>
        <w:t xml:space="preserve">z ESF </w:t>
      </w:r>
      <w:r w:rsidRPr="00A969B4">
        <w:rPr>
          <w:rFonts w:ascii="Arial Narrow" w:hAnsi="Arial Narrow"/>
          <w:bCs/>
          <w:sz w:val="22"/>
          <w:szCs w:val="22"/>
          <w:lang w:eastAsia="en-US"/>
        </w:rPr>
        <w:t xml:space="preserve">podporí implementáciu </w:t>
      </w:r>
      <w:r w:rsidRPr="006F6F40">
        <w:rPr>
          <w:rFonts w:ascii="Arial Narrow" w:hAnsi="Arial Narrow"/>
          <w:bCs/>
          <w:sz w:val="22"/>
          <w:szCs w:val="22"/>
          <w:lang w:eastAsia="en-US"/>
        </w:rPr>
        <w:t>inkluzívneho vzdelávania</w:t>
      </w:r>
      <w:r w:rsidRPr="00A969B4">
        <w:rPr>
          <w:rFonts w:ascii="Arial Narrow" w:hAnsi="Arial Narrow"/>
          <w:bCs/>
          <w:sz w:val="22"/>
          <w:szCs w:val="22"/>
          <w:lang w:eastAsia="en-US"/>
        </w:rPr>
        <w:t xml:space="preserve"> v prostredí materských škôl, neformálne vzdelávanie detí z MRK</w:t>
      </w:r>
      <w:r w:rsidRPr="009316E8">
        <w:rPr>
          <w:rFonts w:ascii="Arial Narrow" w:hAnsi="Arial Narrow"/>
          <w:bCs/>
          <w:sz w:val="22"/>
          <w:szCs w:val="22"/>
          <w:lang w:eastAsia="en-US"/>
        </w:rPr>
        <w:t xml:space="preserve"> a</w:t>
      </w:r>
      <w:r w:rsidR="006D0900">
        <w:rPr>
          <w:rFonts w:ascii="Arial Narrow" w:hAnsi="Arial Narrow"/>
          <w:bCs/>
          <w:sz w:val="22"/>
          <w:szCs w:val="22"/>
          <w:lang w:eastAsia="en-US"/>
        </w:rPr>
        <w:t> </w:t>
      </w:r>
      <w:r w:rsidRPr="009316E8">
        <w:rPr>
          <w:rFonts w:ascii="Arial Narrow" w:hAnsi="Arial Narrow"/>
          <w:bCs/>
          <w:sz w:val="22"/>
          <w:szCs w:val="22"/>
          <w:lang w:eastAsia="en-US"/>
        </w:rPr>
        <w:t>detí</w:t>
      </w:r>
      <w:r w:rsidR="006D0900">
        <w:rPr>
          <w:rFonts w:ascii="Arial Narrow" w:hAnsi="Arial Narrow"/>
          <w:bCs/>
          <w:sz w:val="22"/>
          <w:szCs w:val="22"/>
          <w:lang w:eastAsia="en-US"/>
        </w:rPr>
        <w:t>,</w:t>
      </w:r>
      <w:r w:rsidRPr="009316E8">
        <w:rPr>
          <w:rFonts w:ascii="Arial Narrow" w:hAnsi="Arial Narrow"/>
          <w:bCs/>
          <w:sz w:val="22"/>
          <w:szCs w:val="22"/>
          <w:lang w:eastAsia="en-US"/>
        </w:rPr>
        <w:t xml:space="preserve"> ktoré sa nachádzajú mimo školského systému. Vytvorí sa 500 pracovných miest pre asistentov učiteľa v materských a základných školách.</w:t>
      </w:r>
    </w:p>
    <w:p w14:paraId="60A4E537" w14:textId="70C9D1C6" w:rsidR="00192B7E" w:rsidRPr="009316E8" w:rsidRDefault="00192B7E" w:rsidP="00FB625E">
      <w:pPr>
        <w:pStyle w:val="Default"/>
        <w:jc w:val="both"/>
        <w:rPr>
          <w:rFonts w:ascii="Arial Narrow" w:hAnsi="Arial Narrow"/>
          <w:b/>
          <w:i/>
          <w:sz w:val="22"/>
          <w:szCs w:val="22"/>
        </w:rPr>
      </w:pPr>
    </w:p>
    <w:p w14:paraId="30FA473F" w14:textId="2C71C660" w:rsidR="00192B7E" w:rsidRDefault="00192B7E" w:rsidP="00F13C0A">
      <w:pPr>
        <w:spacing w:after="0" w:line="240" w:lineRule="auto"/>
        <w:jc w:val="both"/>
        <w:rPr>
          <w:rFonts w:ascii="Arial Narrow" w:hAnsi="Arial Narrow"/>
          <w:bCs/>
          <w:color w:val="000000"/>
          <w:lang w:eastAsia="en-US"/>
        </w:rPr>
      </w:pPr>
      <w:r w:rsidRPr="009316E8">
        <w:rPr>
          <w:rFonts w:ascii="Arial Narrow" w:hAnsi="Arial Narrow"/>
          <w:bCs/>
          <w:color w:val="000000"/>
          <w:lang w:eastAsia="en-US"/>
        </w:rPr>
        <w:t>V</w:t>
      </w:r>
      <w:r w:rsidR="001D67AE">
        <w:rPr>
          <w:rFonts w:ascii="Arial Narrow" w:hAnsi="Arial Narrow"/>
          <w:bCs/>
          <w:color w:val="000000"/>
          <w:lang w:eastAsia="en-US"/>
        </w:rPr>
        <w:t> </w:t>
      </w:r>
      <w:r w:rsidRPr="009316E8">
        <w:rPr>
          <w:rFonts w:ascii="Arial Narrow" w:hAnsi="Arial Narrow"/>
          <w:bCs/>
          <w:color w:val="000000"/>
          <w:lang w:eastAsia="en-US"/>
        </w:rPr>
        <w:t>rámci</w:t>
      </w:r>
      <w:r w:rsidR="001D67AE">
        <w:rPr>
          <w:rFonts w:ascii="Arial Narrow" w:hAnsi="Arial Narrow"/>
          <w:bCs/>
          <w:color w:val="000000"/>
          <w:lang w:eastAsia="en-US"/>
        </w:rPr>
        <w:t xml:space="preserve"> vyhlásenej</w:t>
      </w:r>
      <w:r w:rsidRPr="009316E8">
        <w:rPr>
          <w:rFonts w:ascii="Arial Narrow" w:hAnsi="Arial Narrow"/>
          <w:bCs/>
          <w:color w:val="000000"/>
          <w:lang w:eastAsia="en-US"/>
        </w:rPr>
        <w:t xml:space="preserve"> dopytovo orientovanej výzvy </w:t>
      </w:r>
      <w:r w:rsidR="00902F8F">
        <w:rPr>
          <w:rFonts w:ascii="Arial Narrow" w:hAnsi="Arial Narrow"/>
          <w:bCs/>
          <w:i/>
          <w:color w:val="000000"/>
          <w:lang w:eastAsia="en-US"/>
        </w:rPr>
        <w:t>V základnej škole úspešnejší</w:t>
      </w:r>
      <w:r w:rsidR="00902F8F">
        <w:rPr>
          <w:rFonts w:ascii="Arial Narrow" w:hAnsi="Arial Narrow"/>
          <w:bCs/>
          <w:color w:val="000000"/>
          <w:lang w:eastAsia="en-US"/>
        </w:rPr>
        <w:t xml:space="preserve"> </w:t>
      </w:r>
      <w:r w:rsidRPr="00A969B4">
        <w:rPr>
          <w:rFonts w:ascii="Arial Narrow" w:hAnsi="Arial Narrow"/>
          <w:bCs/>
          <w:color w:val="000000"/>
          <w:lang w:eastAsia="en-US"/>
        </w:rPr>
        <w:t>s</w:t>
      </w:r>
      <w:r w:rsidR="001D67AE">
        <w:rPr>
          <w:rFonts w:ascii="Arial Narrow" w:hAnsi="Arial Narrow"/>
          <w:bCs/>
          <w:color w:val="000000"/>
          <w:lang w:eastAsia="en-US"/>
        </w:rPr>
        <w:t xml:space="preserve"> </w:t>
      </w:r>
      <w:r w:rsidRPr="00A969B4">
        <w:rPr>
          <w:rFonts w:ascii="Arial Narrow" w:hAnsi="Arial Narrow"/>
          <w:bCs/>
          <w:color w:val="000000"/>
          <w:lang w:eastAsia="en-US"/>
        </w:rPr>
        <w:t>alokáciou</w:t>
      </w:r>
      <w:r w:rsidR="00EB28B5">
        <w:rPr>
          <w:rFonts w:ascii="Arial Narrow" w:hAnsi="Arial Narrow"/>
          <w:bCs/>
          <w:lang w:eastAsia="en-US"/>
        </w:rPr>
        <w:t xml:space="preserve"> 50 mil. eur </w:t>
      </w:r>
      <w:r w:rsidR="0034415F">
        <w:rPr>
          <w:rFonts w:ascii="Arial Narrow" w:hAnsi="Arial Narrow"/>
          <w:bCs/>
          <w:lang w:eastAsia="en-US"/>
        </w:rPr>
        <w:t xml:space="preserve">z ESF </w:t>
      </w:r>
      <w:r w:rsidRPr="00A969B4">
        <w:rPr>
          <w:rFonts w:ascii="Arial Narrow" w:hAnsi="Arial Narrow"/>
          <w:bCs/>
          <w:color w:val="000000"/>
          <w:lang w:eastAsia="en-US"/>
        </w:rPr>
        <w:t>budú môcť základné školy a ich zriaďovatelia žiadať o finančný príspevok na vlastné projekty (zdroje budú využité na mzdy na asiste</w:t>
      </w:r>
      <w:r w:rsidR="00690827">
        <w:rPr>
          <w:rFonts w:ascii="Arial Narrow" w:hAnsi="Arial Narrow"/>
          <w:bCs/>
          <w:color w:val="000000"/>
          <w:lang w:eastAsia="en-US"/>
        </w:rPr>
        <w:t>n</w:t>
      </w:r>
      <w:r w:rsidRPr="00A969B4">
        <w:rPr>
          <w:rFonts w:ascii="Arial Narrow" w:hAnsi="Arial Narrow"/>
          <w:bCs/>
          <w:color w:val="000000"/>
          <w:lang w:eastAsia="en-US"/>
        </w:rPr>
        <w:t>tnov, školských psychológov, špeciálnych pe</w:t>
      </w:r>
      <w:r w:rsidR="00F13C0A">
        <w:rPr>
          <w:rFonts w:ascii="Arial Narrow" w:hAnsi="Arial Narrow"/>
          <w:bCs/>
          <w:color w:val="000000"/>
          <w:lang w:eastAsia="en-US"/>
        </w:rPr>
        <w:t>dagogických zamestnancov</w:t>
      </w:r>
      <w:r w:rsidR="006F6F40">
        <w:rPr>
          <w:rFonts w:ascii="Arial Narrow" w:hAnsi="Arial Narrow"/>
          <w:bCs/>
          <w:color w:val="000000"/>
          <w:lang w:eastAsia="en-US"/>
        </w:rPr>
        <w:t xml:space="preserve"> a iné</w:t>
      </w:r>
      <w:r w:rsidR="00F13C0A">
        <w:rPr>
          <w:rFonts w:ascii="Arial Narrow" w:hAnsi="Arial Narrow"/>
          <w:bCs/>
          <w:color w:val="000000"/>
          <w:lang w:eastAsia="en-US"/>
        </w:rPr>
        <w:t xml:space="preserve">). </w:t>
      </w:r>
      <w:r w:rsidRPr="00A969B4">
        <w:rPr>
          <w:rFonts w:ascii="Arial Narrow" w:hAnsi="Arial Narrow"/>
          <w:bCs/>
          <w:color w:val="000000"/>
          <w:lang w:eastAsia="en-US"/>
        </w:rPr>
        <w:t>Podpor</w:t>
      </w:r>
      <w:r w:rsidR="00984BE5">
        <w:rPr>
          <w:rFonts w:ascii="Arial Narrow" w:hAnsi="Arial Narrow"/>
          <w:bCs/>
          <w:color w:val="000000"/>
          <w:lang w:eastAsia="en-US"/>
        </w:rPr>
        <w:t>a bude zameraná</w:t>
      </w:r>
      <w:r w:rsidRPr="009316E8">
        <w:rPr>
          <w:rFonts w:ascii="Arial Narrow" w:hAnsi="Arial Narrow"/>
          <w:bCs/>
          <w:color w:val="000000"/>
          <w:lang w:eastAsia="en-US"/>
        </w:rPr>
        <w:t xml:space="preserve"> na spoločné vzdelávanie majority a žiakov so </w:t>
      </w:r>
      <w:r w:rsidR="00D17D16" w:rsidRPr="00D17D16">
        <w:rPr>
          <w:rFonts w:ascii="Arial Narrow" w:hAnsi="Arial Narrow"/>
          <w:bCs/>
          <w:color w:val="000000"/>
          <w:lang w:eastAsia="en-US"/>
        </w:rPr>
        <w:t>špeciálnymi</w:t>
      </w:r>
      <w:r w:rsidR="00D17D16">
        <w:rPr>
          <w:rFonts w:ascii="Arial Narrow" w:hAnsi="Arial Narrow"/>
          <w:bCs/>
          <w:color w:val="000000"/>
          <w:lang w:eastAsia="en-US"/>
        </w:rPr>
        <w:t xml:space="preserve"> výchovno-vzdelávacími potrebami </w:t>
      </w:r>
      <w:r w:rsidRPr="009316E8">
        <w:rPr>
          <w:rFonts w:ascii="Arial Narrow" w:hAnsi="Arial Narrow"/>
          <w:bCs/>
          <w:color w:val="000000"/>
          <w:lang w:eastAsia="en-US"/>
        </w:rPr>
        <w:t xml:space="preserve">a pochádzajúcich z MRK, rozvíjanie spolupráce s rodičmi a komunitou, vytváranie interkultúrneho prostredia, skvalitňovanie diagnostiky a rediagnostiky s cieľom predchádzať neodôvodnenému odkladaniu plnenia povinnej školskej dochádzky a zaraďovaniu žiakov do špeciálnych tried a škôl. </w:t>
      </w:r>
    </w:p>
    <w:p w14:paraId="73F4330B" w14:textId="77777777" w:rsidR="00650180" w:rsidRDefault="00650180" w:rsidP="00F13C0A">
      <w:pPr>
        <w:spacing w:after="0" w:line="240" w:lineRule="auto"/>
        <w:jc w:val="both"/>
        <w:rPr>
          <w:rFonts w:ascii="Arial Narrow" w:hAnsi="Arial Narrow"/>
          <w:bCs/>
          <w:color w:val="000000"/>
          <w:lang w:eastAsia="en-US"/>
        </w:rPr>
      </w:pPr>
    </w:p>
    <w:p w14:paraId="49F44921" w14:textId="7F9FFD57" w:rsidR="00E149B0" w:rsidRDefault="00192B7E" w:rsidP="00F13C0A">
      <w:pPr>
        <w:spacing w:after="0" w:line="240" w:lineRule="auto"/>
        <w:jc w:val="both"/>
        <w:rPr>
          <w:rFonts w:ascii="Arial Narrow" w:hAnsi="Arial Narrow"/>
          <w:bCs/>
          <w:color w:val="000000"/>
          <w:lang w:eastAsia="en-US"/>
        </w:rPr>
      </w:pPr>
      <w:r w:rsidRPr="009316E8">
        <w:rPr>
          <w:rFonts w:ascii="Arial Narrow" w:hAnsi="Arial Narrow"/>
          <w:bCs/>
          <w:color w:val="000000"/>
          <w:lang w:eastAsia="en-US"/>
        </w:rPr>
        <w:t xml:space="preserve">Zlepší sa prístup detí zo sociálne slabších rodín k predškolskému vzdelávaniu. Štát bude uhrádzať príspevok  na výchovu a vzdelávanie detí v materských školách pre deti z rodín v hmotnej núdzi, aj keď majú viac ako rok pred plnením povinnej školskej dochádzky.  </w:t>
      </w:r>
    </w:p>
    <w:p w14:paraId="41C1BE18" w14:textId="77777777" w:rsidR="00AA256C" w:rsidRPr="009316E8" w:rsidRDefault="00AA256C" w:rsidP="00FB625E">
      <w:pPr>
        <w:spacing w:after="0" w:line="240" w:lineRule="auto"/>
        <w:jc w:val="both"/>
        <w:rPr>
          <w:rFonts w:ascii="Arial Narrow" w:hAnsi="Arial Narrow"/>
          <w:bCs/>
          <w:color w:val="000000"/>
          <w:lang w:eastAsia="en-US"/>
        </w:rPr>
      </w:pPr>
    </w:p>
    <w:p w14:paraId="56D813F0" w14:textId="3EE40A46" w:rsidR="00C1642C" w:rsidRDefault="00C1642C" w:rsidP="00FB625E">
      <w:pPr>
        <w:pStyle w:val="Nadpis2"/>
        <w:numPr>
          <w:ilvl w:val="2"/>
          <w:numId w:val="1"/>
        </w:numPr>
        <w:spacing w:after="240" w:line="240" w:lineRule="auto"/>
        <w:ind w:left="720"/>
        <w:jc w:val="both"/>
        <w:rPr>
          <w:rFonts w:ascii="Arial Narrow" w:hAnsi="Arial Narrow"/>
          <w:color w:val="2C9ADC"/>
          <w:sz w:val="28"/>
          <w:szCs w:val="28"/>
        </w:rPr>
      </w:pPr>
      <w:bookmarkStart w:id="34" w:name="_Toc477259950"/>
      <w:r w:rsidRPr="00256D89">
        <w:rPr>
          <w:rFonts w:ascii="Arial Narrow" w:hAnsi="Arial Narrow"/>
          <w:color w:val="2C9ADC"/>
          <w:sz w:val="28"/>
          <w:szCs w:val="28"/>
        </w:rPr>
        <w:t xml:space="preserve">Vysoké </w:t>
      </w:r>
      <w:r w:rsidRPr="00B14DD0">
        <w:rPr>
          <w:rFonts w:ascii="Arial Narrow" w:hAnsi="Arial Narrow"/>
          <w:color w:val="2C9ADC"/>
          <w:sz w:val="28"/>
          <w:szCs w:val="28"/>
        </w:rPr>
        <w:t>školstvo</w:t>
      </w:r>
      <w:bookmarkEnd w:id="34"/>
    </w:p>
    <w:p w14:paraId="1AB3B25D" w14:textId="54B7E26F" w:rsidR="00192B7E" w:rsidRPr="00064F06" w:rsidRDefault="00192B7E" w:rsidP="00FB625E">
      <w:pPr>
        <w:spacing w:after="0" w:line="240" w:lineRule="auto"/>
        <w:jc w:val="both"/>
        <w:rPr>
          <w:rFonts w:ascii="Arial Narrow" w:hAnsi="Arial Narrow"/>
          <w:b/>
          <w:bCs/>
          <w:i/>
          <w:color w:val="000000"/>
          <w:lang w:eastAsia="en-US"/>
        </w:rPr>
      </w:pPr>
      <w:r w:rsidRPr="00064F06">
        <w:rPr>
          <w:rFonts w:ascii="Arial Narrow" w:hAnsi="Arial Narrow"/>
          <w:b/>
          <w:bCs/>
          <w:i/>
          <w:color w:val="000000"/>
          <w:lang w:eastAsia="en-US"/>
        </w:rPr>
        <w:t xml:space="preserve">Reforma akreditačnej komisie a procesu akreditácie </w:t>
      </w:r>
    </w:p>
    <w:p w14:paraId="7ACE5340" w14:textId="71418EDC" w:rsidR="00192B7E" w:rsidRDefault="00192B7E" w:rsidP="00FB625E">
      <w:pPr>
        <w:spacing w:after="0" w:line="240" w:lineRule="auto"/>
        <w:jc w:val="both"/>
        <w:rPr>
          <w:rFonts w:ascii="Arial Narrow" w:hAnsi="Arial Narrow"/>
          <w:bCs/>
          <w:color w:val="000000"/>
          <w:lang w:eastAsia="en-US"/>
        </w:rPr>
      </w:pPr>
      <w:r w:rsidRPr="004A0DFA">
        <w:rPr>
          <w:rFonts w:ascii="Arial Narrow" w:hAnsi="Arial Narrow"/>
          <w:bCs/>
          <w:color w:val="000000"/>
          <w:lang w:eastAsia="en-US"/>
        </w:rPr>
        <w:t>Začne sa s </w:t>
      </w:r>
      <w:r>
        <w:rPr>
          <w:rFonts w:ascii="Arial Narrow" w:hAnsi="Arial Narrow"/>
          <w:bCs/>
          <w:color w:val="000000"/>
          <w:lang w:eastAsia="en-US"/>
        </w:rPr>
        <w:t>implementáciou</w:t>
      </w:r>
      <w:r w:rsidRPr="004A0DFA">
        <w:rPr>
          <w:rFonts w:ascii="Arial Narrow" w:hAnsi="Arial Narrow"/>
          <w:bCs/>
          <w:color w:val="000000"/>
          <w:lang w:eastAsia="en-US"/>
        </w:rPr>
        <w:t xml:space="preserve"> </w:t>
      </w:r>
      <w:r w:rsidRPr="009240AA">
        <w:rPr>
          <w:rFonts w:ascii="Arial Narrow" w:hAnsi="Arial Narrow"/>
          <w:b/>
          <w:bCs/>
          <w:color w:val="000000"/>
          <w:lang w:eastAsia="en-US"/>
        </w:rPr>
        <w:t>inštitucionálnej reformy Akreditačnej komisie</w:t>
      </w:r>
      <w:r w:rsidR="005E4E29" w:rsidRPr="00BE1798">
        <w:rPr>
          <w:rStyle w:val="Odkaznapoznmkupodiarou"/>
          <w:rFonts w:ascii="Arial Narrow" w:hAnsi="Arial Narrow"/>
          <w:bCs/>
          <w:color w:val="000000"/>
          <w:lang w:eastAsia="en-US"/>
        </w:rPr>
        <w:footnoteReference w:id="30"/>
      </w:r>
      <w:r w:rsidR="001F5F66">
        <w:rPr>
          <w:rFonts w:ascii="Arial Narrow" w:hAnsi="Arial Narrow"/>
          <w:bCs/>
          <w:color w:val="000000"/>
          <w:lang w:eastAsia="en-US"/>
        </w:rPr>
        <w:t>, ktorá sa do roku 2020</w:t>
      </w:r>
      <w:r w:rsidRPr="006C191A">
        <w:rPr>
          <w:rFonts w:ascii="Arial Narrow" w:hAnsi="Arial Narrow"/>
          <w:bCs/>
          <w:color w:val="000000"/>
          <w:lang w:eastAsia="en-US"/>
        </w:rPr>
        <w:t xml:space="preserve"> </w:t>
      </w:r>
      <w:r w:rsidR="001F5F66">
        <w:rPr>
          <w:rFonts w:ascii="Arial Narrow" w:hAnsi="Arial Narrow"/>
          <w:bCs/>
          <w:color w:val="000000"/>
          <w:lang w:eastAsia="en-US"/>
        </w:rPr>
        <w:t>plánuje</w:t>
      </w:r>
      <w:r w:rsidRPr="006C191A">
        <w:rPr>
          <w:rFonts w:ascii="Arial Narrow" w:hAnsi="Arial Narrow"/>
          <w:bCs/>
          <w:color w:val="000000"/>
          <w:lang w:eastAsia="en-US"/>
        </w:rPr>
        <w:t xml:space="preserve"> stať členom Európskej asociácie pre zabezpečenie kvality vo vysokom školstve (ENQA). Postavenie komisie sa zmení z poradného na rozhodovací akreditačný orgán</w:t>
      </w:r>
      <w:r w:rsidR="001D67AE">
        <w:rPr>
          <w:rFonts w:ascii="Arial Narrow" w:hAnsi="Arial Narrow"/>
          <w:bCs/>
          <w:color w:val="000000"/>
          <w:lang w:eastAsia="en-US"/>
        </w:rPr>
        <w:t>, bude</w:t>
      </w:r>
      <w:r w:rsidRPr="006C191A">
        <w:rPr>
          <w:rFonts w:ascii="Arial Narrow" w:hAnsi="Arial Narrow"/>
          <w:bCs/>
          <w:color w:val="000000"/>
          <w:lang w:eastAsia="en-US"/>
        </w:rPr>
        <w:t xml:space="preserve"> zabezpečená nezávislosť a verejná kontrola nominácie a výberu členov. Nastavia sa procesy p</w:t>
      </w:r>
      <w:r w:rsidR="00190E04">
        <w:rPr>
          <w:rFonts w:ascii="Arial Narrow" w:hAnsi="Arial Narrow"/>
          <w:bCs/>
          <w:color w:val="000000"/>
          <w:lang w:eastAsia="en-US"/>
        </w:rPr>
        <w:t>ravidelného externého auditu. Akreditačn</w:t>
      </w:r>
      <w:r w:rsidR="005D0CF6">
        <w:rPr>
          <w:rFonts w:ascii="Arial Narrow" w:hAnsi="Arial Narrow"/>
          <w:bCs/>
          <w:color w:val="000000"/>
          <w:lang w:eastAsia="en-US"/>
        </w:rPr>
        <w:t>á</w:t>
      </w:r>
      <w:r w:rsidR="00190E04">
        <w:rPr>
          <w:rFonts w:ascii="Arial Narrow" w:hAnsi="Arial Narrow"/>
          <w:bCs/>
          <w:color w:val="000000"/>
          <w:lang w:eastAsia="en-US"/>
        </w:rPr>
        <w:t xml:space="preserve"> komisia</w:t>
      </w:r>
      <w:r w:rsidRPr="006C191A">
        <w:rPr>
          <w:rFonts w:ascii="Arial Narrow" w:hAnsi="Arial Narrow"/>
          <w:bCs/>
          <w:color w:val="000000"/>
          <w:lang w:eastAsia="en-US"/>
        </w:rPr>
        <w:t xml:space="preserve"> bude mať svoj vlastný rozpočet s výhľadom na viac rokov</w:t>
      </w:r>
      <w:r w:rsidR="001D67AE">
        <w:rPr>
          <w:rFonts w:ascii="Arial Narrow" w:hAnsi="Arial Narrow"/>
          <w:bCs/>
          <w:color w:val="000000"/>
          <w:lang w:eastAsia="en-US"/>
        </w:rPr>
        <w:t>.</w:t>
      </w:r>
    </w:p>
    <w:p w14:paraId="01BF80C5" w14:textId="77777777" w:rsidR="006A6284" w:rsidRPr="006C191A" w:rsidRDefault="006A6284" w:rsidP="00FB625E">
      <w:pPr>
        <w:spacing w:after="0" w:line="240" w:lineRule="auto"/>
        <w:jc w:val="both"/>
        <w:rPr>
          <w:rFonts w:ascii="Arial Narrow" w:hAnsi="Arial Narrow"/>
          <w:bCs/>
          <w:color w:val="000000"/>
          <w:lang w:eastAsia="en-US"/>
        </w:rPr>
      </w:pPr>
    </w:p>
    <w:p w14:paraId="585CCAAA" w14:textId="3B5078DE" w:rsidR="00192B7E" w:rsidRDefault="00192B7E" w:rsidP="00FB625E">
      <w:pPr>
        <w:spacing w:after="0" w:line="240" w:lineRule="auto"/>
        <w:jc w:val="both"/>
        <w:rPr>
          <w:rFonts w:ascii="Arial Narrow" w:hAnsi="Arial Narrow"/>
          <w:bCs/>
          <w:color w:val="000000"/>
          <w:lang w:eastAsia="en-US"/>
        </w:rPr>
      </w:pPr>
      <w:r w:rsidRPr="006C191A">
        <w:rPr>
          <w:rFonts w:ascii="Arial Narrow" w:hAnsi="Arial Narrow"/>
          <w:bCs/>
          <w:color w:val="000000"/>
          <w:lang w:eastAsia="en-US"/>
        </w:rPr>
        <w:t>Komplexnú akreditá</w:t>
      </w:r>
      <w:r>
        <w:rPr>
          <w:rFonts w:ascii="Arial Narrow" w:hAnsi="Arial Narrow"/>
          <w:bCs/>
          <w:color w:val="000000"/>
          <w:lang w:eastAsia="en-US"/>
        </w:rPr>
        <w:t xml:space="preserve">ciu nahradí systém založený na </w:t>
      </w:r>
      <w:r w:rsidRPr="006C191A">
        <w:rPr>
          <w:rFonts w:ascii="Arial Narrow" w:hAnsi="Arial Narrow"/>
          <w:bCs/>
          <w:color w:val="000000"/>
          <w:lang w:eastAsia="en-US"/>
        </w:rPr>
        <w:t>prvkoch inštitucionálnej akreditácie</w:t>
      </w:r>
      <w:r w:rsidR="001D67AE">
        <w:rPr>
          <w:rFonts w:ascii="Arial Narrow" w:hAnsi="Arial Narrow"/>
          <w:bCs/>
          <w:color w:val="000000"/>
          <w:lang w:eastAsia="en-US"/>
        </w:rPr>
        <w:t>, zameraný</w:t>
      </w:r>
      <w:r w:rsidRPr="006C191A">
        <w:rPr>
          <w:rFonts w:ascii="Arial Narrow" w:hAnsi="Arial Narrow"/>
          <w:bCs/>
          <w:color w:val="000000"/>
          <w:lang w:eastAsia="en-US"/>
        </w:rPr>
        <w:t xml:space="preserve"> primárne na audit </w:t>
      </w:r>
      <w:r w:rsidR="005D0CF6">
        <w:rPr>
          <w:rFonts w:ascii="Arial Narrow" w:hAnsi="Arial Narrow"/>
          <w:bCs/>
          <w:color w:val="000000"/>
          <w:lang w:eastAsia="en-US"/>
        </w:rPr>
        <w:t>vnútorného</w:t>
      </w:r>
      <w:r w:rsidRPr="006C191A">
        <w:rPr>
          <w:rFonts w:ascii="Arial Narrow" w:hAnsi="Arial Narrow"/>
          <w:bCs/>
          <w:color w:val="000000"/>
          <w:lang w:eastAsia="en-US"/>
        </w:rPr>
        <w:t xml:space="preserve"> systému zabezpečenia kvality vysokej školy. Postupne sa prejde na akreditáciu v </w:t>
      </w:r>
      <w:r w:rsidRPr="006C191A">
        <w:rPr>
          <w:rFonts w:ascii="Arial Narrow" w:hAnsi="Arial Narrow"/>
          <w:bCs/>
          <w:color w:val="000000"/>
          <w:lang w:eastAsia="en-US"/>
        </w:rPr>
        <w:lastRenderedPageBreak/>
        <w:t>študijných odboroch. Namiesto hodnotenia založen</w:t>
      </w:r>
      <w:r w:rsidR="001D67AE">
        <w:rPr>
          <w:rFonts w:ascii="Arial Narrow" w:hAnsi="Arial Narrow"/>
          <w:bCs/>
          <w:color w:val="000000"/>
          <w:lang w:eastAsia="en-US"/>
        </w:rPr>
        <w:t>ého</w:t>
      </w:r>
      <w:r w:rsidRPr="006C191A">
        <w:rPr>
          <w:rFonts w:ascii="Arial Narrow" w:hAnsi="Arial Narrow"/>
          <w:bCs/>
          <w:color w:val="000000"/>
          <w:lang w:eastAsia="en-US"/>
        </w:rPr>
        <w:t xml:space="preserve"> na vedecko-výskumných kritériách sa akreditácia zameria na zabezpečovanie kvalit</w:t>
      </w:r>
      <w:r>
        <w:rPr>
          <w:rFonts w:ascii="Arial Narrow" w:hAnsi="Arial Narrow"/>
          <w:bCs/>
          <w:color w:val="000000"/>
          <w:lang w:eastAsia="en-US"/>
        </w:rPr>
        <w:t>y vysokoškolského vzdelávania.</w:t>
      </w:r>
    </w:p>
    <w:p w14:paraId="42A8E5DF" w14:textId="77777777" w:rsidR="00192B7E" w:rsidRPr="0091000B" w:rsidRDefault="00192B7E" w:rsidP="00FB625E">
      <w:pPr>
        <w:spacing w:after="0" w:line="240" w:lineRule="auto"/>
        <w:jc w:val="both"/>
        <w:rPr>
          <w:rFonts w:ascii="Arial Narrow" w:hAnsi="Arial Narrow"/>
          <w:b/>
          <w:bCs/>
          <w:i/>
          <w:color w:val="000000"/>
          <w:lang w:eastAsia="en-US"/>
        </w:rPr>
      </w:pPr>
    </w:p>
    <w:p w14:paraId="78406FDF" w14:textId="77777777" w:rsidR="005D0CF6" w:rsidRDefault="005D0CF6" w:rsidP="005D0CF6">
      <w:pPr>
        <w:spacing w:after="0" w:line="240" w:lineRule="auto"/>
        <w:jc w:val="both"/>
        <w:rPr>
          <w:rFonts w:ascii="Arial Narrow" w:hAnsi="Arial Narrow"/>
          <w:b/>
          <w:bCs/>
          <w:i/>
          <w:color w:val="000000"/>
          <w:lang w:eastAsia="en-US"/>
        </w:rPr>
      </w:pPr>
      <w:r>
        <w:rPr>
          <w:rFonts w:ascii="Arial Narrow" w:hAnsi="Arial Narrow"/>
          <w:b/>
          <w:bCs/>
          <w:i/>
          <w:color w:val="000000"/>
          <w:lang w:eastAsia="en-US"/>
        </w:rPr>
        <w:t xml:space="preserve">Kvalita a dostupnosť vysokoškolského vzdelávania </w:t>
      </w:r>
    </w:p>
    <w:p w14:paraId="5B10A38A" w14:textId="688ECDBA" w:rsidR="005D0CF6" w:rsidRDefault="005D0CF6" w:rsidP="00BF0187">
      <w:pPr>
        <w:spacing w:after="0" w:line="240" w:lineRule="auto"/>
        <w:jc w:val="both"/>
        <w:rPr>
          <w:rFonts w:ascii="Arial Narrow" w:hAnsi="Arial Narrow"/>
          <w:bCs/>
          <w:color w:val="000000"/>
          <w:lang w:eastAsia="en-US"/>
        </w:rPr>
      </w:pPr>
      <w:r w:rsidRPr="0091000B">
        <w:rPr>
          <w:rFonts w:ascii="Arial Narrow" w:hAnsi="Arial Narrow"/>
          <w:bCs/>
          <w:color w:val="000000"/>
          <w:lang w:eastAsia="en-US"/>
        </w:rPr>
        <w:t>Aj vysokoškolským pedagógom budú zvýšené platové tarify od septembra 2017 a následne od januára 2018 každoročne v priemere o 6 %.</w:t>
      </w:r>
      <w:r>
        <w:rPr>
          <w:rFonts w:ascii="Arial Narrow" w:hAnsi="Arial Narrow"/>
          <w:bCs/>
          <w:color w:val="000000"/>
          <w:lang w:eastAsia="en-US"/>
        </w:rPr>
        <w:t xml:space="preserve"> </w:t>
      </w:r>
      <w:r w:rsidRPr="0091000B">
        <w:rPr>
          <w:rFonts w:ascii="Arial Narrow" w:hAnsi="Arial Narrow"/>
          <w:bCs/>
          <w:color w:val="000000"/>
          <w:lang w:eastAsia="en-US"/>
        </w:rPr>
        <w:t>V rámci systému financovania sa bude pokračovať v zmenách, ktoré umožnia viac zohľadňovať rozdiely v kvalite medzi jednotlivými vysokými školami.</w:t>
      </w:r>
      <w:r>
        <w:rPr>
          <w:rFonts w:ascii="Arial Narrow" w:hAnsi="Arial Narrow"/>
          <w:bCs/>
          <w:color w:val="000000"/>
          <w:lang w:eastAsia="en-US"/>
        </w:rPr>
        <w:t xml:space="preserve"> </w:t>
      </w:r>
      <w:r w:rsidRPr="0091000B">
        <w:rPr>
          <w:rFonts w:ascii="Arial Narrow" w:hAnsi="Arial Narrow"/>
          <w:bCs/>
          <w:color w:val="000000"/>
          <w:lang w:eastAsia="en-US"/>
        </w:rPr>
        <w:t>Finančne sa podporí zvyšovanie obojsmernej mobility študentov a pracovníkov vysokých škôl medzi Slovenskom a zahraničím.</w:t>
      </w:r>
      <w:r>
        <w:rPr>
          <w:rFonts w:ascii="Arial Narrow" w:hAnsi="Arial Narrow"/>
          <w:bCs/>
          <w:color w:val="000000"/>
          <w:lang w:eastAsia="en-US"/>
        </w:rPr>
        <w:t xml:space="preserve"> </w:t>
      </w:r>
    </w:p>
    <w:p w14:paraId="59AEDA39" w14:textId="77777777" w:rsidR="00BF0187" w:rsidRDefault="00BF0187" w:rsidP="00BF0187">
      <w:pPr>
        <w:spacing w:after="0" w:line="240" w:lineRule="auto"/>
        <w:jc w:val="both"/>
        <w:rPr>
          <w:rFonts w:ascii="Arial Narrow" w:hAnsi="Arial Narrow"/>
          <w:bCs/>
          <w:color w:val="000000"/>
          <w:lang w:eastAsia="en-US"/>
        </w:rPr>
      </w:pPr>
    </w:p>
    <w:p w14:paraId="285EC3C5" w14:textId="497746DD" w:rsidR="005D0CF6" w:rsidRPr="00C069EF" w:rsidRDefault="005D0CF6" w:rsidP="005D0CF6">
      <w:pPr>
        <w:spacing w:after="0" w:line="240" w:lineRule="auto"/>
        <w:jc w:val="both"/>
        <w:rPr>
          <w:rFonts w:ascii="Arial Narrow" w:hAnsi="Arial Narrow"/>
          <w:bCs/>
          <w:color w:val="000000"/>
          <w:lang w:eastAsia="en-US"/>
        </w:rPr>
      </w:pPr>
      <w:r>
        <w:rPr>
          <w:rFonts w:ascii="Arial Narrow" w:hAnsi="Arial Narrow"/>
          <w:bCs/>
          <w:color w:val="000000"/>
          <w:lang w:eastAsia="en-US"/>
        </w:rPr>
        <w:t>Podporí sa s</w:t>
      </w:r>
      <w:r w:rsidRPr="00BF60DD">
        <w:rPr>
          <w:rFonts w:ascii="Arial Narrow" w:hAnsi="Arial Narrow"/>
          <w:bCs/>
          <w:color w:val="000000"/>
          <w:lang w:eastAsia="en-US"/>
        </w:rPr>
        <w:t>ebaprofilácia a na nej založená diverzifikácia vysokých škôl</w:t>
      </w:r>
      <w:r>
        <w:rPr>
          <w:rFonts w:ascii="Arial Narrow" w:hAnsi="Arial Narrow"/>
          <w:bCs/>
          <w:color w:val="000000"/>
          <w:lang w:eastAsia="en-US"/>
        </w:rPr>
        <w:t>. Zosúladia sa vstupné požiadavky vysokých škôl a vzdelávacie štandardy stredných škôl. Systematicky sa p</w:t>
      </w:r>
      <w:r w:rsidRPr="0007598D">
        <w:rPr>
          <w:rFonts w:ascii="Arial Narrow" w:hAnsi="Arial Narrow"/>
          <w:bCs/>
          <w:color w:val="000000"/>
          <w:lang w:eastAsia="en-US"/>
        </w:rPr>
        <w:t>odpor</w:t>
      </w:r>
      <w:r>
        <w:rPr>
          <w:rFonts w:ascii="Arial Narrow" w:hAnsi="Arial Narrow"/>
          <w:bCs/>
          <w:color w:val="000000"/>
          <w:lang w:eastAsia="en-US"/>
        </w:rPr>
        <w:t xml:space="preserve">í </w:t>
      </w:r>
      <w:r w:rsidRPr="0007598D">
        <w:rPr>
          <w:rFonts w:ascii="Arial Narrow" w:hAnsi="Arial Narrow"/>
          <w:bCs/>
          <w:color w:val="000000"/>
          <w:lang w:eastAsia="en-US"/>
        </w:rPr>
        <w:t>rozširovanie profesijne orientov</w:t>
      </w:r>
      <w:r>
        <w:rPr>
          <w:rFonts w:ascii="Arial Narrow" w:hAnsi="Arial Narrow"/>
          <w:bCs/>
          <w:color w:val="000000"/>
          <w:lang w:eastAsia="en-US"/>
        </w:rPr>
        <w:t>aných študijných programov</w:t>
      </w:r>
      <w:r w:rsidRPr="0007598D">
        <w:rPr>
          <w:rFonts w:ascii="Arial Narrow" w:hAnsi="Arial Narrow"/>
          <w:bCs/>
          <w:color w:val="000000"/>
          <w:lang w:eastAsia="en-US"/>
        </w:rPr>
        <w:t xml:space="preserve"> predovšetkým na bakalárskom stupni.</w:t>
      </w:r>
      <w:r w:rsidRPr="0007598D">
        <w:t xml:space="preserve"> </w:t>
      </w:r>
      <w:r w:rsidRPr="00C069EF">
        <w:rPr>
          <w:rFonts w:ascii="Arial Narrow" w:hAnsi="Arial Narrow"/>
          <w:bCs/>
          <w:color w:val="000000"/>
          <w:lang w:eastAsia="en-US"/>
        </w:rPr>
        <w:t>Na vybraných vysokých školách sa o</w:t>
      </w:r>
      <w:r>
        <w:rPr>
          <w:rFonts w:ascii="Arial Narrow" w:hAnsi="Arial Narrow"/>
          <w:bCs/>
          <w:color w:val="000000"/>
          <w:lang w:eastAsia="en-US"/>
        </w:rPr>
        <w:t xml:space="preserve">testuje </w:t>
      </w:r>
      <w:r w:rsidRPr="0007598D">
        <w:rPr>
          <w:rFonts w:ascii="Arial Narrow" w:hAnsi="Arial Narrow"/>
          <w:bCs/>
          <w:color w:val="000000"/>
          <w:lang w:eastAsia="en-US"/>
        </w:rPr>
        <w:t>pilotný projekt m</w:t>
      </w:r>
      <w:r>
        <w:rPr>
          <w:rFonts w:ascii="Arial Narrow" w:hAnsi="Arial Narrow"/>
          <w:bCs/>
          <w:color w:val="000000"/>
          <w:lang w:eastAsia="en-US"/>
        </w:rPr>
        <w:t>odelu liberálnych štúdií</w:t>
      </w:r>
      <w:r w:rsidRPr="0007598D">
        <w:rPr>
          <w:rFonts w:ascii="Arial Narrow" w:hAnsi="Arial Narrow"/>
          <w:bCs/>
          <w:color w:val="000000"/>
          <w:lang w:eastAsia="en-US"/>
        </w:rPr>
        <w:t>.</w:t>
      </w:r>
      <w:r w:rsidRPr="002E3204">
        <w:t xml:space="preserve"> </w:t>
      </w:r>
      <w:r w:rsidRPr="002E3204">
        <w:rPr>
          <w:rFonts w:ascii="Arial Narrow" w:hAnsi="Arial Narrow"/>
          <w:bCs/>
          <w:color w:val="000000"/>
          <w:lang w:eastAsia="en-US"/>
        </w:rPr>
        <w:t>Po</w:t>
      </w:r>
      <w:r>
        <w:rPr>
          <w:rFonts w:ascii="Arial Narrow" w:hAnsi="Arial Narrow"/>
          <w:bCs/>
          <w:color w:val="000000"/>
          <w:lang w:eastAsia="en-US"/>
        </w:rPr>
        <w:t>silní sa adresnosť nástrojov na zvýšenie</w:t>
      </w:r>
      <w:r w:rsidRPr="002E3204">
        <w:rPr>
          <w:rFonts w:ascii="Arial Narrow" w:hAnsi="Arial Narrow"/>
          <w:bCs/>
          <w:color w:val="000000"/>
          <w:lang w:eastAsia="en-US"/>
        </w:rPr>
        <w:t xml:space="preserve"> dostupnos</w:t>
      </w:r>
      <w:r>
        <w:rPr>
          <w:rFonts w:ascii="Arial Narrow" w:hAnsi="Arial Narrow"/>
          <w:bCs/>
          <w:color w:val="000000"/>
          <w:lang w:eastAsia="en-US"/>
        </w:rPr>
        <w:t>ti</w:t>
      </w:r>
      <w:r w:rsidRPr="002E3204">
        <w:rPr>
          <w:rFonts w:ascii="Arial Narrow" w:hAnsi="Arial Narrow"/>
          <w:bCs/>
          <w:color w:val="000000"/>
          <w:lang w:eastAsia="en-US"/>
        </w:rPr>
        <w:t xml:space="preserve"> vysokoškolského vzdelávania </w:t>
      </w:r>
      <w:r>
        <w:rPr>
          <w:rFonts w:ascii="Arial Narrow" w:hAnsi="Arial Narrow"/>
          <w:bCs/>
          <w:color w:val="000000"/>
          <w:lang w:eastAsia="en-US"/>
        </w:rPr>
        <w:t>pre skupiny s ekonomickými prekážkami a skupiny so špecifickými potrebami.</w:t>
      </w:r>
    </w:p>
    <w:p w14:paraId="56891FDA" w14:textId="77777777" w:rsidR="005D0CF6" w:rsidRDefault="005D0CF6" w:rsidP="005D0CF6">
      <w:pPr>
        <w:spacing w:after="0" w:line="240" w:lineRule="auto"/>
        <w:jc w:val="both"/>
        <w:rPr>
          <w:rFonts w:ascii="Arial Narrow" w:hAnsi="Arial Narrow"/>
          <w:bCs/>
          <w:color w:val="000000"/>
          <w:lang w:eastAsia="en-US"/>
        </w:rPr>
      </w:pPr>
    </w:p>
    <w:p w14:paraId="6597CC61" w14:textId="77777777" w:rsidR="005D0CF6" w:rsidRDefault="005D0CF6" w:rsidP="005D0CF6">
      <w:pPr>
        <w:pStyle w:val="Nadpis2"/>
        <w:numPr>
          <w:ilvl w:val="2"/>
          <w:numId w:val="1"/>
        </w:numPr>
        <w:spacing w:after="240" w:line="240" w:lineRule="auto"/>
        <w:ind w:left="720"/>
        <w:jc w:val="both"/>
        <w:rPr>
          <w:rFonts w:ascii="Arial Narrow" w:hAnsi="Arial Narrow"/>
          <w:color w:val="2C9ADC"/>
          <w:sz w:val="28"/>
          <w:szCs w:val="28"/>
        </w:rPr>
      </w:pPr>
      <w:r w:rsidRPr="00256D89">
        <w:rPr>
          <w:rFonts w:ascii="Arial Narrow" w:hAnsi="Arial Narrow"/>
          <w:color w:val="2C9ADC"/>
          <w:sz w:val="28"/>
          <w:szCs w:val="28"/>
        </w:rPr>
        <w:t>V</w:t>
      </w:r>
      <w:r>
        <w:rPr>
          <w:rFonts w:ascii="Arial Narrow" w:hAnsi="Arial Narrow"/>
          <w:color w:val="2C9ADC"/>
          <w:sz w:val="28"/>
          <w:szCs w:val="28"/>
        </w:rPr>
        <w:t>eda a výskum</w:t>
      </w:r>
    </w:p>
    <w:p w14:paraId="0B888B72" w14:textId="4DD65C78" w:rsidR="005D0CF6" w:rsidRDefault="005D0CF6" w:rsidP="005D0CF6">
      <w:pPr>
        <w:spacing w:after="0" w:line="240" w:lineRule="auto"/>
        <w:jc w:val="both"/>
        <w:rPr>
          <w:rFonts w:ascii="Arial Narrow" w:hAnsi="Arial Narrow"/>
          <w:b/>
          <w:bCs/>
          <w:i/>
          <w:color w:val="000000"/>
          <w:lang w:eastAsia="en-US"/>
        </w:rPr>
      </w:pPr>
      <w:r>
        <w:rPr>
          <w:rFonts w:ascii="Arial Narrow" w:hAnsi="Arial Narrow"/>
          <w:b/>
          <w:bCs/>
          <w:i/>
          <w:color w:val="000000"/>
          <w:lang w:eastAsia="en-US"/>
        </w:rPr>
        <w:t xml:space="preserve">Transformácia </w:t>
      </w:r>
      <w:r w:rsidRPr="00180A95">
        <w:rPr>
          <w:rFonts w:ascii="Arial Narrow" w:hAnsi="Arial Narrow"/>
          <w:b/>
          <w:bCs/>
          <w:i/>
          <w:color w:val="000000"/>
          <w:lang w:eastAsia="en-US"/>
        </w:rPr>
        <w:t>Slovenskej akadémie vied</w:t>
      </w:r>
    </w:p>
    <w:p w14:paraId="105A3E9A" w14:textId="0A36E29F" w:rsidR="005D0CF6" w:rsidRDefault="00D4706F" w:rsidP="00BF0187">
      <w:pPr>
        <w:spacing w:after="0" w:line="240" w:lineRule="auto"/>
        <w:jc w:val="both"/>
        <w:rPr>
          <w:rFonts w:ascii="Arial Narrow" w:hAnsi="Arial Narrow"/>
          <w:bCs/>
          <w:color w:val="000000"/>
          <w:lang w:eastAsia="en-US"/>
        </w:rPr>
      </w:pPr>
      <w:r>
        <w:rPr>
          <w:rFonts w:ascii="Arial Narrow" w:hAnsi="Arial Narrow"/>
          <w:bCs/>
          <w:color w:val="000000"/>
          <w:lang w:eastAsia="en-US"/>
        </w:rPr>
        <w:t>T</w:t>
      </w:r>
      <w:r w:rsidR="005D0CF6" w:rsidRPr="00235C2F">
        <w:rPr>
          <w:rFonts w:ascii="Arial Narrow" w:hAnsi="Arial Narrow"/>
          <w:bCs/>
          <w:color w:val="000000"/>
          <w:lang w:eastAsia="en-US"/>
        </w:rPr>
        <w:t>ransformácia</w:t>
      </w:r>
      <w:r w:rsidR="005D0CF6" w:rsidRPr="006F162B">
        <w:t xml:space="preserve"> </w:t>
      </w:r>
      <w:r w:rsidR="005D0CF6">
        <w:rPr>
          <w:rFonts w:ascii="Arial Narrow" w:hAnsi="Arial Narrow"/>
          <w:bCs/>
          <w:color w:val="000000"/>
          <w:lang w:eastAsia="en-US"/>
        </w:rPr>
        <w:t>organizácií</w:t>
      </w:r>
      <w:r w:rsidR="005D0CF6" w:rsidRPr="006F162B">
        <w:rPr>
          <w:rFonts w:ascii="Arial Narrow" w:hAnsi="Arial Narrow"/>
          <w:bCs/>
          <w:color w:val="000000"/>
          <w:lang w:eastAsia="en-US"/>
        </w:rPr>
        <w:t xml:space="preserve"> </w:t>
      </w:r>
      <w:r w:rsidR="005D0CF6" w:rsidRPr="00235C2F">
        <w:rPr>
          <w:rFonts w:ascii="Arial Narrow" w:hAnsi="Arial Narrow"/>
          <w:bCs/>
          <w:color w:val="000000"/>
          <w:lang w:eastAsia="en-US"/>
        </w:rPr>
        <w:t>Slovenskej akadémie vied (SAV)</w:t>
      </w:r>
      <w:r w:rsidR="005D0CF6">
        <w:rPr>
          <w:rFonts w:ascii="Arial Narrow" w:hAnsi="Arial Narrow"/>
          <w:bCs/>
          <w:color w:val="000000"/>
          <w:lang w:eastAsia="en-US"/>
        </w:rPr>
        <w:t xml:space="preserve"> na verejnoprávne inštitúcie im umožní</w:t>
      </w:r>
      <w:r w:rsidR="005D0CF6" w:rsidRPr="006F162B">
        <w:rPr>
          <w:rFonts w:ascii="Arial Narrow" w:hAnsi="Arial Narrow"/>
          <w:bCs/>
          <w:color w:val="000000"/>
          <w:lang w:eastAsia="en-US"/>
        </w:rPr>
        <w:t xml:space="preserve"> užšie spolupr</w:t>
      </w:r>
      <w:r w:rsidR="005D0CF6">
        <w:rPr>
          <w:rFonts w:ascii="Arial Narrow" w:hAnsi="Arial Narrow"/>
          <w:bCs/>
          <w:color w:val="000000"/>
          <w:lang w:eastAsia="en-US"/>
        </w:rPr>
        <w:t>acovať s hospodárskou a</w:t>
      </w:r>
      <w:r w:rsidR="005D0CF6" w:rsidRPr="006F162B">
        <w:rPr>
          <w:rFonts w:ascii="Arial Narrow" w:hAnsi="Arial Narrow"/>
          <w:bCs/>
          <w:color w:val="000000"/>
          <w:lang w:eastAsia="en-US"/>
        </w:rPr>
        <w:t xml:space="preserve"> priemyselnou sférou a efektívnejšie využívať finančné prostriedky.</w:t>
      </w:r>
      <w:r w:rsidR="005D0CF6">
        <w:rPr>
          <w:rFonts w:ascii="Arial Narrow" w:hAnsi="Arial Narrow"/>
          <w:bCs/>
          <w:color w:val="000000"/>
          <w:lang w:eastAsia="en-US"/>
        </w:rPr>
        <w:t xml:space="preserve"> SAV v skúšobnom režime zavedie </w:t>
      </w:r>
      <w:r w:rsidR="005D0CF6" w:rsidRPr="00543D01">
        <w:rPr>
          <w:rFonts w:ascii="Arial Narrow" w:hAnsi="Arial Narrow"/>
          <w:bCs/>
          <w:color w:val="000000"/>
          <w:lang w:eastAsia="en-US"/>
        </w:rPr>
        <w:t>výkonnostný model financovania</w:t>
      </w:r>
      <w:r w:rsidR="005D0CF6">
        <w:rPr>
          <w:rFonts w:ascii="Arial Narrow" w:hAnsi="Arial Narrow"/>
          <w:bCs/>
          <w:color w:val="000000"/>
          <w:lang w:eastAsia="en-US"/>
        </w:rPr>
        <w:t xml:space="preserve"> v závislosti od kvality aj na základe čerstvých výsledkov nezávislej akreditácie zahraničnými odborníkmi. </w:t>
      </w:r>
    </w:p>
    <w:p w14:paraId="127E8F46" w14:textId="77777777" w:rsidR="00BF0187" w:rsidRDefault="00BF0187" w:rsidP="00BF0187">
      <w:pPr>
        <w:spacing w:after="0" w:line="240" w:lineRule="auto"/>
        <w:jc w:val="both"/>
        <w:rPr>
          <w:rFonts w:ascii="Arial Narrow" w:hAnsi="Arial Narrow"/>
          <w:bCs/>
          <w:color w:val="000000"/>
          <w:lang w:eastAsia="en-US"/>
        </w:rPr>
      </w:pPr>
    </w:p>
    <w:p w14:paraId="330AC57E" w14:textId="1F7D23EB" w:rsidR="00365887" w:rsidRPr="00187AC8" w:rsidRDefault="00365887" w:rsidP="00BF0187">
      <w:pPr>
        <w:spacing w:after="0" w:line="240" w:lineRule="auto"/>
        <w:jc w:val="both"/>
        <w:rPr>
          <w:rFonts w:ascii="Arial Narrow" w:hAnsi="Arial Narrow"/>
          <w:b/>
          <w:bCs/>
          <w:i/>
          <w:color w:val="000000"/>
          <w:lang w:eastAsia="en-US"/>
        </w:rPr>
      </w:pPr>
      <w:r>
        <w:rPr>
          <w:rFonts w:ascii="Arial Narrow" w:hAnsi="Arial Narrow"/>
          <w:b/>
          <w:bCs/>
          <w:i/>
          <w:color w:val="000000"/>
          <w:lang w:eastAsia="en-US"/>
        </w:rPr>
        <w:t>Hodnotenie a f</w:t>
      </w:r>
      <w:r w:rsidRPr="00187AC8">
        <w:rPr>
          <w:rFonts w:ascii="Arial Narrow" w:hAnsi="Arial Narrow"/>
          <w:b/>
          <w:bCs/>
          <w:i/>
          <w:color w:val="000000"/>
          <w:lang w:eastAsia="en-US"/>
        </w:rPr>
        <w:t>inanco</w:t>
      </w:r>
      <w:r>
        <w:rPr>
          <w:rFonts w:ascii="Arial Narrow" w:hAnsi="Arial Narrow"/>
          <w:b/>
          <w:bCs/>
          <w:i/>
          <w:color w:val="000000"/>
          <w:lang w:eastAsia="en-US"/>
        </w:rPr>
        <w:t>vanie a vedy a výskumu</w:t>
      </w:r>
    </w:p>
    <w:p w14:paraId="71205789" w14:textId="7B127578" w:rsidR="005D0CF6" w:rsidRDefault="005D0CF6" w:rsidP="00BF0187">
      <w:pPr>
        <w:spacing w:after="0" w:line="240" w:lineRule="auto"/>
        <w:jc w:val="both"/>
        <w:rPr>
          <w:rFonts w:ascii="Arial Narrow" w:hAnsi="Arial Narrow"/>
          <w:bCs/>
          <w:color w:val="000000"/>
          <w:lang w:eastAsia="en-US"/>
        </w:rPr>
      </w:pPr>
      <w:r>
        <w:rPr>
          <w:rFonts w:ascii="Arial Narrow" w:hAnsi="Arial Narrow"/>
          <w:bCs/>
          <w:color w:val="000000"/>
          <w:lang w:eastAsia="en-US"/>
        </w:rPr>
        <w:t>Vypracuje sa</w:t>
      </w:r>
      <w:r w:rsidRPr="00A95220">
        <w:rPr>
          <w:rFonts w:ascii="Arial Narrow" w:hAnsi="Arial Narrow"/>
          <w:bCs/>
          <w:color w:val="000000"/>
          <w:lang w:eastAsia="en-US"/>
        </w:rPr>
        <w:t xml:space="preserve"> nový systém </w:t>
      </w:r>
      <w:r w:rsidR="00365887">
        <w:rPr>
          <w:rFonts w:ascii="Arial Narrow" w:hAnsi="Arial Narrow"/>
          <w:bCs/>
          <w:color w:val="000000"/>
          <w:lang w:eastAsia="en-US"/>
        </w:rPr>
        <w:t>hodnotenia</w:t>
      </w:r>
      <w:r w:rsidR="00365887" w:rsidRPr="00A95220">
        <w:rPr>
          <w:rFonts w:ascii="Arial Narrow" w:hAnsi="Arial Narrow"/>
          <w:bCs/>
          <w:color w:val="000000"/>
          <w:lang w:eastAsia="en-US"/>
        </w:rPr>
        <w:t xml:space="preserve"> </w:t>
      </w:r>
      <w:r>
        <w:rPr>
          <w:rFonts w:ascii="Arial Narrow" w:hAnsi="Arial Narrow"/>
          <w:bCs/>
          <w:color w:val="000000"/>
          <w:lang w:eastAsia="en-US"/>
        </w:rPr>
        <w:t>a</w:t>
      </w:r>
      <w:r w:rsidR="005C6BDF">
        <w:rPr>
          <w:rFonts w:ascii="Arial Narrow" w:hAnsi="Arial Narrow"/>
          <w:bCs/>
          <w:color w:val="000000"/>
          <w:lang w:eastAsia="en-US"/>
        </w:rPr>
        <w:t xml:space="preserve"> </w:t>
      </w:r>
      <w:r>
        <w:rPr>
          <w:rFonts w:ascii="Arial Narrow" w:hAnsi="Arial Narrow"/>
          <w:bCs/>
          <w:color w:val="000000"/>
          <w:lang w:eastAsia="en-US"/>
        </w:rPr>
        <w:t xml:space="preserve">inštitucionálneho financovania </w:t>
      </w:r>
      <w:r w:rsidRPr="00A95220">
        <w:rPr>
          <w:rFonts w:ascii="Arial Narrow" w:hAnsi="Arial Narrow"/>
          <w:bCs/>
          <w:color w:val="000000"/>
          <w:lang w:eastAsia="en-US"/>
        </w:rPr>
        <w:t>tvorivých činností</w:t>
      </w:r>
      <w:r>
        <w:rPr>
          <w:rFonts w:ascii="Arial Narrow" w:hAnsi="Arial Narrow"/>
          <w:bCs/>
          <w:color w:val="000000"/>
          <w:lang w:eastAsia="en-US"/>
        </w:rPr>
        <w:t xml:space="preserve"> na vysokých školách, ktorá bude dostatočne zohľadňovať</w:t>
      </w:r>
      <w:r w:rsidRPr="008B67D5">
        <w:rPr>
          <w:rFonts w:ascii="Arial Narrow" w:hAnsi="Arial Narrow"/>
          <w:bCs/>
          <w:color w:val="000000"/>
          <w:lang w:eastAsia="en-US"/>
        </w:rPr>
        <w:t xml:space="preserve"> </w:t>
      </w:r>
      <w:r>
        <w:rPr>
          <w:rFonts w:ascii="Arial Narrow" w:hAnsi="Arial Narrow"/>
          <w:bCs/>
          <w:color w:val="000000"/>
          <w:lang w:eastAsia="en-US"/>
        </w:rPr>
        <w:t xml:space="preserve">ich </w:t>
      </w:r>
      <w:r w:rsidRPr="008B67D5">
        <w:rPr>
          <w:rFonts w:ascii="Arial Narrow" w:hAnsi="Arial Narrow"/>
          <w:bCs/>
          <w:color w:val="000000"/>
          <w:lang w:eastAsia="en-US"/>
        </w:rPr>
        <w:t>diferenciáciu v kvalite a profil</w:t>
      </w:r>
      <w:r>
        <w:rPr>
          <w:rFonts w:ascii="Arial Narrow" w:hAnsi="Arial Narrow"/>
          <w:bCs/>
          <w:color w:val="000000"/>
          <w:lang w:eastAsia="en-US"/>
        </w:rPr>
        <w:t>ácii</w:t>
      </w:r>
      <w:r w:rsidRPr="008B67D5">
        <w:rPr>
          <w:rFonts w:ascii="Arial Narrow" w:hAnsi="Arial Narrow"/>
          <w:bCs/>
          <w:color w:val="000000"/>
          <w:lang w:eastAsia="en-US"/>
        </w:rPr>
        <w:t xml:space="preserve"> </w:t>
      </w:r>
      <w:r>
        <w:rPr>
          <w:rFonts w:ascii="Arial Narrow" w:hAnsi="Arial Narrow"/>
          <w:bCs/>
          <w:color w:val="000000"/>
          <w:lang w:eastAsia="en-US"/>
        </w:rPr>
        <w:t>vysokých škôl s potenciálom v</w:t>
      </w:r>
      <w:r w:rsidRPr="009B4F1F">
        <w:rPr>
          <w:rFonts w:ascii="Arial Narrow" w:hAnsi="Arial Narrow"/>
          <w:bCs/>
          <w:color w:val="000000"/>
          <w:lang w:eastAsia="en-US"/>
        </w:rPr>
        <w:t>ytvor</w:t>
      </w:r>
      <w:r>
        <w:rPr>
          <w:rFonts w:ascii="Arial Narrow" w:hAnsi="Arial Narrow"/>
          <w:bCs/>
          <w:color w:val="000000"/>
          <w:lang w:eastAsia="en-US"/>
        </w:rPr>
        <w:t>iť</w:t>
      </w:r>
      <w:r w:rsidRPr="009B4F1F">
        <w:rPr>
          <w:rFonts w:ascii="Arial Narrow" w:hAnsi="Arial Narrow"/>
          <w:bCs/>
          <w:color w:val="000000"/>
          <w:lang w:eastAsia="en-US"/>
        </w:rPr>
        <w:t xml:space="preserve"> celonárodn</w:t>
      </w:r>
      <w:r>
        <w:rPr>
          <w:rFonts w:ascii="Arial Narrow" w:hAnsi="Arial Narrow"/>
          <w:bCs/>
          <w:color w:val="000000"/>
          <w:lang w:eastAsia="en-US"/>
        </w:rPr>
        <w:t>ý systém</w:t>
      </w:r>
      <w:r w:rsidRPr="009B4F1F">
        <w:rPr>
          <w:rFonts w:ascii="Arial Narrow" w:hAnsi="Arial Narrow"/>
          <w:bCs/>
          <w:color w:val="000000"/>
          <w:lang w:eastAsia="en-US"/>
        </w:rPr>
        <w:t xml:space="preserve"> hodnotenia výskumných inštitúcií</w:t>
      </w:r>
      <w:r w:rsidRPr="009B4F1F">
        <w:t xml:space="preserve"> </w:t>
      </w:r>
      <w:r>
        <w:rPr>
          <w:rFonts w:ascii="Arial Narrow" w:hAnsi="Arial Narrow"/>
          <w:bCs/>
          <w:color w:val="000000"/>
          <w:lang w:eastAsia="en-US"/>
        </w:rPr>
        <w:t>spoločne na vysokých ško</w:t>
      </w:r>
      <w:r w:rsidRPr="009B4F1F">
        <w:rPr>
          <w:rFonts w:ascii="Arial Narrow" w:hAnsi="Arial Narrow"/>
          <w:bCs/>
          <w:color w:val="000000"/>
          <w:lang w:eastAsia="en-US"/>
        </w:rPr>
        <w:t xml:space="preserve">lách aj v nevysokoškolských inštitúciách. </w:t>
      </w:r>
      <w:r>
        <w:rPr>
          <w:rFonts w:ascii="Arial Narrow" w:hAnsi="Arial Narrow"/>
          <w:bCs/>
          <w:color w:val="000000"/>
          <w:lang w:eastAsia="en-US"/>
        </w:rPr>
        <w:t>Zvýši sa</w:t>
      </w:r>
      <w:r w:rsidRPr="0021636F">
        <w:rPr>
          <w:rFonts w:ascii="Arial Narrow" w:hAnsi="Arial Narrow"/>
          <w:bCs/>
          <w:color w:val="000000"/>
          <w:lang w:eastAsia="en-US"/>
        </w:rPr>
        <w:t xml:space="preserve"> transparentnosť rozhodovania o projektoch APVV a</w:t>
      </w:r>
      <w:r>
        <w:rPr>
          <w:rFonts w:ascii="Arial Narrow" w:hAnsi="Arial Narrow"/>
          <w:bCs/>
          <w:color w:val="000000"/>
          <w:lang w:eastAsia="en-US"/>
        </w:rPr>
        <w:t> v rámci štátnej podpory výskumu a vývoja na verejných vysokých školách sa bude postupne zvyšovať podiel účelového financovania cez grantové agentúry. L</w:t>
      </w:r>
      <w:r w:rsidRPr="00A23DB5">
        <w:rPr>
          <w:rFonts w:ascii="Arial Narrow" w:hAnsi="Arial Narrow"/>
          <w:bCs/>
          <w:color w:val="000000"/>
          <w:lang w:eastAsia="en-US"/>
        </w:rPr>
        <w:t>egislatívne</w:t>
      </w:r>
      <w:r>
        <w:rPr>
          <w:rFonts w:ascii="Arial Narrow" w:hAnsi="Arial Narrow"/>
          <w:bCs/>
          <w:color w:val="000000"/>
          <w:lang w:eastAsia="en-US"/>
        </w:rPr>
        <w:t xml:space="preserve"> sa zjednoduší realizácia</w:t>
      </w:r>
      <w:r w:rsidRPr="00A23DB5">
        <w:rPr>
          <w:rFonts w:ascii="Arial Narrow" w:hAnsi="Arial Narrow"/>
          <w:bCs/>
          <w:color w:val="000000"/>
          <w:lang w:eastAsia="en-US"/>
        </w:rPr>
        <w:t xml:space="preserve"> doktorandského</w:t>
      </w:r>
      <w:r>
        <w:rPr>
          <w:rFonts w:ascii="Arial Narrow" w:hAnsi="Arial Narrow"/>
          <w:bCs/>
          <w:color w:val="000000"/>
          <w:lang w:eastAsia="en-US"/>
        </w:rPr>
        <w:t xml:space="preserve"> štúdia na mimouniverzitných vý</w:t>
      </w:r>
      <w:r w:rsidRPr="00A23DB5">
        <w:rPr>
          <w:rFonts w:ascii="Arial Narrow" w:hAnsi="Arial Narrow"/>
          <w:bCs/>
          <w:color w:val="000000"/>
          <w:lang w:eastAsia="en-US"/>
        </w:rPr>
        <w:t>skumných inštitúciách</w:t>
      </w:r>
      <w:r w:rsidR="005C6BDF">
        <w:rPr>
          <w:rFonts w:ascii="Arial Narrow" w:hAnsi="Arial Narrow"/>
          <w:bCs/>
          <w:color w:val="000000"/>
          <w:lang w:eastAsia="en-US"/>
        </w:rPr>
        <w:t xml:space="preserve"> (</w:t>
      </w:r>
      <w:r w:rsidRPr="00A23DB5">
        <w:rPr>
          <w:rFonts w:ascii="Arial Narrow" w:hAnsi="Arial Narrow"/>
          <w:bCs/>
          <w:color w:val="000000"/>
          <w:lang w:eastAsia="en-US"/>
        </w:rPr>
        <w:t>predovšetkým SAV).</w:t>
      </w:r>
    </w:p>
    <w:p w14:paraId="12026081" w14:textId="77777777" w:rsidR="00BF0187" w:rsidRDefault="00BF0187" w:rsidP="00BF0187">
      <w:pPr>
        <w:spacing w:after="0" w:line="240" w:lineRule="auto"/>
        <w:jc w:val="both"/>
        <w:rPr>
          <w:rFonts w:ascii="Arial Narrow" w:hAnsi="Arial Narrow"/>
          <w:bCs/>
          <w:color w:val="000000"/>
          <w:lang w:eastAsia="en-US"/>
        </w:rPr>
      </w:pPr>
    </w:p>
    <w:p w14:paraId="5F8DDB08" w14:textId="7DCC061D" w:rsidR="00365887" w:rsidRPr="00C069EF" w:rsidRDefault="00365887" w:rsidP="00BF0187">
      <w:pPr>
        <w:spacing w:after="0" w:line="240" w:lineRule="auto"/>
        <w:jc w:val="both"/>
        <w:rPr>
          <w:rFonts w:ascii="Arial Narrow" w:hAnsi="Arial Narrow"/>
          <w:bCs/>
          <w:color w:val="000000"/>
          <w:lang w:eastAsia="en-US"/>
        </w:rPr>
      </w:pPr>
      <w:r>
        <w:rPr>
          <w:rFonts w:ascii="Arial Narrow" w:hAnsi="Arial Narrow"/>
          <w:b/>
          <w:bCs/>
          <w:i/>
          <w:color w:val="000000"/>
          <w:lang w:eastAsia="en-US"/>
        </w:rPr>
        <w:t>Vedecké parky a výskumné centrá</w:t>
      </w:r>
    </w:p>
    <w:p w14:paraId="00CB0874" w14:textId="1BBB6DCA" w:rsidR="005D0CF6" w:rsidRDefault="005D0CF6" w:rsidP="00BF0187">
      <w:pPr>
        <w:spacing w:after="0" w:line="240" w:lineRule="auto"/>
        <w:jc w:val="both"/>
        <w:rPr>
          <w:rFonts w:ascii="Arial Narrow" w:hAnsi="Arial Narrow"/>
          <w:bCs/>
          <w:color w:val="000000"/>
          <w:lang w:eastAsia="en-US"/>
        </w:rPr>
      </w:pPr>
      <w:r w:rsidRPr="00C069EF">
        <w:rPr>
          <w:rFonts w:ascii="Arial Narrow" w:hAnsi="Arial Narrow"/>
          <w:bCs/>
          <w:color w:val="000000"/>
          <w:lang w:eastAsia="en-US"/>
        </w:rPr>
        <w:t>Na Slovensku v</w:t>
      </w:r>
      <w:r>
        <w:rPr>
          <w:rFonts w:ascii="Arial Narrow" w:hAnsi="Arial Narrow"/>
          <w:bCs/>
          <w:color w:val="000000"/>
          <w:lang w:eastAsia="en-US"/>
        </w:rPr>
        <w:t>zniklo</w:t>
      </w:r>
      <w:r w:rsidRPr="00C069EF">
        <w:rPr>
          <w:rFonts w:ascii="Arial Narrow" w:hAnsi="Arial Narrow"/>
          <w:bCs/>
          <w:color w:val="000000"/>
          <w:lang w:eastAsia="en-US"/>
        </w:rPr>
        <w:t xml:space="preserve"> vďaka podpore z európskych štrukturálnych fondov 7 vedeckých parkov a 5 výskumných centier</w:t>
      </w:r>
      <w:r>
        <w:rPr>
          <w:rFonts w:ascii="Arial Narrow" w:hAnsi="Arial Narrow"/>
          <w:bCs/>
          <w:color w:val="000000"/>
          <w:lang w:eastAsia="en-US"/>
        </w:rPr>
        <w:t>,</w:t>
      </w:r>
      <w:r w:rsidRPr="00261668">
        <w:t xml:space="preserve"> </w:t>
      </w:r>
      <w:r w:rsidRPr="00261668">
        <w:rPr>
          <w:rFonts w:ascii="Arial Narrow" w:hAnsi="Arial Narrow"/>
          <w:bCs/>
          <w:color w:val="000000"/>
          <w:lang w:eastAsia="en-US"/>
        </w:rPr>
        <w:t xml:space="preserve">ale po skončení </w:t>
      </w:r>
      <w:r w:rsidR="00B27CA5" w:rsidRPr="00261668">
        <w:rPr>
          <w:rFonts w:ascii="Arial Narrow" w:hAnsi="Arial Narrow"/>
          <w:bCs/>
          <w:color w:val="000000"/>
          <w:lang w:eastAsia="en-US"/>
        </w:rPr>
        <w:t>programov</w:t>
      </w:r>
      <w:r w:rsidR="00B27CA5">
        <w:rPr>
          <w:rFonts w:ascii="Arial Narrow" w:hAnsi="Arial Narrow"/>
          <w:bCs/>
          <w:color w:val="000000"/>
          <w:lang w:eastAsia="en-US"/>
        </w:rPr>
        <w:t>ého</w:t>
      </w:r>
      <w:r w:rsidR="00B27CA5" w:rsidRPr="00261668">
        <w:rPr>
          <w:rFonts w:ascii="Arial Narrow" w:hAnsi="Arial Narrow"/>
          <w:bCs/>
          <w:color w:val="000000"/>
          <w:lang w:eastAsia="en-US"/>
        </w:rPr>
        <w:t xml:space="preserve"> </w:t>
      </w:r>
      <w:r w:rsidRPr="00261668">
        <w:rPr>
          <w:rFonts w:ascii="Arial Narrow" w:hAnsi="Arial Narrow"/>
          <w:bCs/>
          <w:color w:val="000000"/>
          <w:lang w:eastAsia="en-US"/>
        </w:rPr>
        <w:t>obdobia 2007 – 2013</w:t>
      </w:r>
      <w:r>
        <w:rPr>
          <w:rStyle w:val="Odkaznapoznmkupodiarou"/>
          <w:rFonts w:ascii="Arial Narrow" w:hAnsi="Arial Narrow"/>
          <w:bCs/>
          <w:color w:val="000000"/>
          <w:lang w:eastAsia="en-US"/>
        </w:rPr>
        <w:footnoteReference w:id="31"/>
      </w:r>
      <w:r>
        <w:rPr>
          <w:rFonts w:ascii="Arial Narrow" w:hAnsi="Arial Narrow"/>
          <w:bCs/>
          <w:color w:val="000000"/>
          <w:lang w:eastAsia="en-US"/>
        </w:rPr>
        <w:t xml:space="preserve"> </w:t>
      </w:r>
      <w:r w:rsidRPr="00261668">
        <w:rPr>
          <w:rFonts w:ascii="Arial Narrow" w:hAnsi="Arial Narrow"/>
          <w:bCs/>
          <w:color w:val="000000"/>
          <w:lang w:eastAsia="en-US"/>
        </w:rPr>
        <w:t>nebol rozpracovaný model ich fungovania a udržateľného financovania.</w:t>
      </w:r>
      <w:r>
        <w:rPr>
          <w:rFonts w:ascii="Arial Narrow" w:hAnsi="Arial Narrow"/>
          <w:bCs/>
          <w:color w:val="000000"/>
          <w:lang w:eastAsia="en-US"/>
        </w:rPr>
        <w:t xml:space="preserve"> </w:t>
      </w:r>
      <w:r w:rsidRPr="0058519B">
        <w:rPr>
          <w:rFonts w:ascii="Arial Narrow" w:hAnsi="Arial Narrow"/>
          <w:bCs/>
          <w:color w:val="000000"/>
          <w:lang w:eastAsia="en-US"/>
        </w:rPr>
        <w:t>Rozp</w:t>
      </w:r>
      <w:r>
        <w:rPr>
          <w:rFonts w:ascii="Arial Narrow" w:hAnsi="Arial Narrow"/>
          <w:bCs/>
          <w:color w:val="000000"/>
          <w:lang w:eastAsia="en-US"/>
        </w:rPr>
        <w:t>očtové zdroje a</w:t>
      </w:r>
      <w:r w:rsidR="00902F8F">
        <w:rPr>
          <w:rFonts w:ascii="Arial Narrow" w:hAnsi="Arial Narrow"/>
          <w:bCs/>
          <w:color w:val="000000"/>
          <w:lang w:eastAsia="en-US"/>
        </w:rPr>
        <w:t xml:space="preserve"> EÚ </w:t>
      </w:r>
      <w:r>
        <w:rPr>
          <w:rFonts w:ascii="Arial Narrow" w:hAnsi="Arial Narrow"/>
          <w:bCs/>
          <w:color w:val="000000"/>
          <w:lang w:eastAsia="en-US"/>
        </w:rPr>
        <w:t>zdroje</w:t>
      </w:r>
      <w:r w:rsidR="00902F8F">
        <w:rPr>
          <w:rFonts w:ascii="Arial Narrow" w:hAnsi="Arial Narrow"/>
          <w:bCs/>
          <w:color w:val="000000"/>
          <w:lang w:eastAsia="en-US"/>
        </w:rPr>
        <w:t xml:space="preserve"> </w:t>
      </w:r>
      <w:r w:rsidRPr="0058519B">
        <w:rPr>
          <w:rFonts w:ascii="Arial Narrow" w:hAnsi="Arial Narrow"/>
          <w:bCs/>
          <w:color w:val="000000"/>
          <w:lang w:eastAsia="en-US"/>
        </w:rPr>
        <w:t>dostupné v programov</w:t>
      </w:r>
      <w:r w:rsidR="00B27CA5">
        <w:rPr>
          <w:rFonts w:ascii="Arial Narrow" w:hAnsi="Arial Narrow"/>
          <w:bCs/>
          <w:color w:val="000000"/>
          <w:lang w:eastAsia="en-US"/>
        </w:rPr>
        <w:t>om</w:t>
      </w:r>
      <w:r w:rsidRPr="0058519B">
        <w:rPr>
          <w:rFonts w:ascii="Arial Narrow" w:hAnsi="Arial Narrow"/>
          <w:bCs/>
          <w:color w:val="000000"/>
          <w:lang w:eastAsia="en-US"/>
        </w:rPr>
        <w:t xml:space="preserve"> období 2014 – 2020 sa</w:t>
      </w:r>
      <w:r>
        <w:rPr>
          <w:rFonts w:ascii="Arial Narrow" w:hAnsi="Arial Narrow"/>
          <w:bCs/>
          <w:color w:val="000000"/>
          <w:lang w:eastAsia="en-US"/>
        </w:rPr>
        <w:t xml:space="preserve"> teda</w:t>
      </w:r>
      <w:r w:rsidRPr="0058519B">
        <w:rPr>
          <w:rFonts w:ascii="Arial Narrow" w:hAnsi="Arial Narrow"/>
          <w:bCs/>
          <w:color w:val="000000"/>
          <w:lang w:eastAsia="en-US"/>
        </w:rPr>
        <w:t xml:space="preserve"> budú cielene orientovať aj na ďalší rozvoj univerzitných vedeckých parkov a centier a na implementáciu projektov v národnom akčnom pláne vedeckej infraštruktúry s dôrazom na vysoké školy. </w:t>
      </w:r>
      <w:r>
        <w:rPr>
          <w:rFonts w:ascii="Arial Narrow" w:hAnsi="Arial Narrow"/>
          <w:bCs/>
          <w:color w:val="000000"/>
          <w:lang w:eastAsia="en-US"/>
        </w:rPr>
        <w:t>P</w:t>
      </w:r>
      <w:r w:rsidRPr="0058519B">
        <w:rPr>
          <w:rFonts w:ascii="Arial Narrow" w:hAnsi="Arial Narrow"/>
          <w:bCs/>
          <w:color w:val="000000"/>
          <w:lang w:eastAsia="en-US"/>
        </w:rPr>
        <w:t>o iniciačnej fáze bude fungovanie parkov a centier stále vo väčšej miere zabezpečované na základe zmluvného výskumu s praxou, resp. na základe projektov získaných v rámci súťažného financovania.</w:t>
      </w:r>
    </w:p>
    <w:p w14:paraId="21CB3E9A" w14:textId="7136C797" w:rsidR="006A19AB" w:rsidRDefault="006A19AB" w:rsidP="00D35938">
      <w:pPr>
        <w:spacing w:after="0" w:line="240" w:lineRule="auto"/>
        <w:jc w:val="both"/>
        <w:rPr>
          <w:rFonts w:ascii="Arial Narrow" w:eastAsiaTheme="majorEastAsia" w:hAnsi="Arial Narrow" w:cstheme="majorBidi"/>
          <w:b/>
          <w:bCs/>
          <w:color w:val="2C9ADC"/>
          <w:sz w:val="32"/>
          <w:szCs w:val="28"/>
        </w:rPr>
      </w:pPr>
      <w:bookmarkStart w:id="35" w:name="_Toc386005370"/>
      <w:r>
        <w:rPr>
          <w:rFonts w:ascii="Arial Narrow" w:hAnsi="Arial Narrow"/>
          <w:color w:val="2C9ADC"/>
          <w:sz w:val="32"/>
          <w:szCs w:val="28"/>
        </w:rPr>
        <w:br w:type="page"/>
      </w:r>
    </w:p>
    <w:p w14:paraId="636D992E" w14:textId="40F9AC4C" w:rsidR="00827618" w:rsidRPr="00256D89" w:rsidRDefault="00827618" w:rsidP="00FB625E">
      <w:pPr>
        <w:pStyle w:val="Nadpis2"/>
        <w:numPr>
          <w:ilvl w:val="1"/>
          <w:numId w:val="1"/>
        </w:numPr>
        <w:spacing w:after="240" w:line="240" w:lineRule="auto"/>
        <w:jc w:val="both"/>
        <w:rPr>
          <w:rFonts w:ascii="Arial Narrow" w:hAnsi="Arial Narrow"/>
          <w:color w:val="2C9ADC"/>
          <w:sz w:val="32"/>
          <w:szCs w:val="28"/>
        </w:rPr>
      </w:pPr>
      <w:bookmarkStart w:id="36" w:name="_Toc477259951"/>
      <w:r w:rsidRPr="00256D89">
        <w:rPr>
          <w:rFonts w:ascii="Arial Narrow" w:hAnsi="Arial Narrow"/>
          <w:color w:val="2C9ADC"/>
          <w:sz w:val="32"/>
          <w:szCs w:val="28"/>
        </w:rPr>
        <w:lastRenderedPageBreak/>
        <w:t>Zamestnanosť</w:t>
      </w:r>
      <w:r w:rsidR="00170162">
        <w:rPr>
          <w:rFonts w:ascii="Arial Narrow" w:hAnsi="Arial Narrow"/>
          <w:color w:val="2C9ADC"/>
          <w:sz w:val="32"/>
          <w:szCs w:val="28"/>
        </w:rPr>
        <w:t xml:space="preserve"> </w:t>
      </w:r>
      <w:r w:rsidRPr="00256D89">
        <w:rPr>
          <w:rFonts w:ascii="Arial Narrow" w:hAnsi="Arial Narrow"/>
          <w:color w:val="2C9ADC"/>
          <w:sz w:val="32"/>
          <w:szCs w:val="28"/>
        </w:rPr>
        <w:t>a sociálna inklúzia</w:t>
      </w:r>
      <w:bookmarkEnd w:id="35"/>
      <w:bookmarkEnd w:id="36"/>
    </w:p>
    <w:p w14:paraId="7E9A6288" w14:textId="571FEAD0" w:rsidR="004A44AA" w:rsidRPr="00256D89" w:rsidRDefault="0051456A" w:rsidP="00FB625E">
      <w:pPr>
        <w:pStyle w:val="Odsekzoznamu"/>
        <w:tabs>
          <w:tab w:val="left" w:pos="426"/>
        </w:tabs>
        <w:spacing w:after="0" w:line="240" w:lineRule="auto"/>
        <w:ind w:left="0"/>
        <w:contextualSpacing w:val="0"/>
        <w:jc w:val="both"/>
        <w:rPr>
          <w:rFonts w:ascii="Arial Narrow" w:hAnsi="Arial Narrow"/>
          <w:i/>
        </w:rPr>
      </w:pPr>
      <w:r>
        <w:rPr>
          <w:rFonts w:ascii="Arial Narrow" w:hAnsi="Arial Narrow"/>
          <w:i/>
        </w:rPr>
        <w:t xml:space="preserve">V roku 2016 sa vytvorilo 54 tisíc </w:t>
      </w:r>
      <w:r w:rsidR="007421DC" w:rsidRPr="007421DC">
        <w:rPr>
          <w:rFonts w:ascii="Arial Narrow" w:hAnsi="Arial Narrow"/>
          <w:i/>
        </w:rPr>
        <w:t>nových pracovných miest, druhý najúspešnejší rok v histórii SR, a miera nezamestnanosti poklesla na najnižšiu úroveň od konca roku 200</w:t>
      </w:r>
      <w:r w:rsidR="00A360AE">
        <w:rPr>
          <w:rFonts w:ascii="Arial Narrow" w:hAnsi="Arial Narrow"/>
          <w:i/>
        </w:rPr>
        <w:t xml:space="preserve">8. Vo </w:t>
      </w:r>
      <w:r w:rsidR="007421DC" w:rsidRPr="007421DC">
        <w:rPr>
          <w:rFonts w:ascii="Arial Narrow" w:hAnsi="Arial Narrow"/>
          <w:i/>
        </w:rPr>
        <w:t>štvrtom kvartáli 2016</w:t>
      </w:r>
      <w:r w:rsidR="00A360AE">
        <w:rPr>
          <w:rFonts w:ascii="Arial Narrow" w:hAnsi="Arial Narrow"/>
          <w:i/>
        </w:rPr>
        <w:t xml:space="preserve"> dosiahla úroveň 9 %. </w:t>
      </w:r>
      <w:r w:rsidR="001B766C">
        <w:rPr>
          <w:rFonts w:ascii="Arial Narrow" w:hAnsi="Arial Narrow"/>
          <w:i/>
        </w:rPr>
        <w:t>V rámci pokračujúcej reformy služieb zamestnanosti sa formou profilácie a individualizovaného poradenstva podporí umiestňovanie prioritnej skupiny dlhodobo nezamestnaných na trhu práce.</w:t>
      </w:r>
      <w:r w:rsidR="008F0F85">
        <w:rPr>
          <w:rFonts w:ascii="Arial Narrow" w:hAnsi="Arial Narrow"/>
          <w:i/>
        </w:rPr>
        <w:t xml:space="preserve"> Zavedú sa tiež nové nástroje APTP na podporu tejto cieľovej skupiny. </w:t>
      </w:r>
      <w:r w:rsidR="001B766C">
        <w:rPr>
          <w:rFonts w:ascii="Arial Narrow" w:hAnsi="Arial Narrow"/>
          <w:i/>
        </w:rPr>
        <w:t>Podporí sa budovanie kapa</w:t>
      </w:r>
      <w:r w:rsidR="00A57ADF">
        <w:rPr>
          <w:rFonts w:ascii="Arial Narrow" w:hAnsi="Arial Narrow"/>
          <w:i/>
        </w:rPr>
        <w:t xml:space="preserve">cít zariadení starostlivosti o deti do troch rokov a </w:t>
      </w:r>
      <w:r w:rsidR="001B766C">
        <w:rPr>
          <w:rFonts w:ascii="Arial Narrow" w:hAnsi="Arial Narrow"/>
          <w:i/>
        </w:rPr>
        <w:t>flexibilné zamestnávanie matiek s deťmi.</w:t>
      </w:r>
      <w:r w:rsidR="00A57ADF">
        <w:rPr>
          <w:rFonts w:ascii="Arial Narrow" w:hAnsi="Arial Narrow"/>
          <w:i/>
        </w:rPr>
        <w:t xml:space="preserve"> </w:t>
      </w:r>
      <w:r w:rsidR="008F0F85">
        <w:rPr>
          <w:rFonts w:ascii="Arial Narrow" w:hAnsi="Arial Narrow"/>
          <w:i/>
        </w:rPr>
        <w:t xml:space="preserve">V priebehu roka sa vyhlásia </w:t>
      </w:r>
      <w:r w:rsidR="001B766C">
        <w:rPr>
          <w:rFonts w:ascii="Arial Narrow" w:hAnsi="Arial Narrow"/>
          <w:i/>
        </w:rPr>
        <w:t>viaceré projektové výzvy na podporu integrácie MRK.</w:t>
      </w:r>
    </w:p>
    <w:p w14:paraId="03C30009" w14:textId="77777777" w:rsidR="00DF6974" w:rsidRPr="00256D89" w:rsidRDefault="00DF6974" w:rsidP="00FB625E">
      <w:pPr>
        <w:pStyle w:val="Odsekzoznamu"/>
        <w:tabs>
          <w:tab w:val="left" w:pos="426"/>
        </w:tabs>
        <w:spacing w:after="0" w:line="240" w:lineRule="auto"/>
        <w:ind w:left="0"/>
        <w:contextualSpacing w:val="0"/>
        <w:jc w:val="both"/>
        <w:rPr>
          <w:rFonts w:ascii="Arial Narrow" w:hAnsi="Arial Narrow"/>
          <w:i/>
        </w:rPr>
      </w:pPr>
    </w:p>
    <w:tbl>
      <w:tblPr>
        <w:tblW w:w="8624" w:type="dxa"/>
        <w:jc w:val="center"/>
        <w:tblCellMar>
          <w:left w:w="70" w:type="dxa"/>
          <w:right w:w="70" w:type="dxa"/>
        </w:tblCellMar>
        <w:tblLook w:val="04A0" w:firstRow="1" w:lastRow="0" w:firstColumn="1" w:lastColumn="0" w:noHBand="0" w:noVBand="1"/>
      </w:tblPr>
      <w:tblGrid>
        <w:gridCol w:w="2816"/>
        <w:gridCol w:w="594"/>
        <w:gridCol w:w="552"/>
        <w:gridCol w:w="506"/>
        <w:gridCol w:w="506"/>
        <w:gridCol w:w="552"/>
        <w:gridCol w:w="506"/>
        <w:gridCol w:w="506"/>
        <w:gridCol w:w="552"/>
        <w:gridCol w:w="515"/>
        <w:gridCol w:w="506"/>
        <w:gridCol w:w="513"/>
      </w:tblGrid>
      <w:tr w:rsidR="003113FD" w:rsidRPr="006F2C23" w14:paraId="3CF5A1C2" w14:textId="77777777" w:rsidTr="00FA6A30">
        <w:trPr>
          <w:trHeight w:val="297"/>
          <w:jc w:val="center"/>
        </w:trPr>
        <w:tc>
          <w:tcPr>
            <w:tcW w:w="8624" w:type="dxa"/>
            <w:gridSpan w:val="12"/>
            <w:tcBorders>
              <w:top w:val="nil"/>
              <w:left w:val="nil"/>
              <w:bottom w:val="single" w:sz="4" w:space="0" w:color="auto"/>
              <w:right w:val="nil"/>
            </w:tcBorders>
            <w:vAlign w:val="center"/>
          </w:tcPr>
          <w:p w14:paraId="18382524" w14:textId="410D5D3E" w:rsidR="003113FD" w:rsidRPr="006F2C23" w:rsidRDefault="003113FD" w:rsidP="00FB625E">
            <w:pPr>
              <w:spacing w:after="0" w:line="240" w:lineRule="auto"/>
              <w:rPr>
                <w:rFonts w:ascii="Arial Narrow" w:hAnsi="Arial Narrow"/>
                <w:b/>
                <w:bCs/>
                <w:color w:val="2C9ADC"/>
                <w:sz w:val="20"/>
                <w:szCs w:val="20"/>
              </w:rPr>
            </w:pPr>
            <w:r w:rsidRPr="006F2C23">
              <w:rPr>
                <w:rFonts w:ascii="Arial Narrow" w:hAnsi="Arial Narrow"/>
                <w:b/>
                <w:bCs/>
                <w:color w:val="2C9ADC"/>
                <w:sz w:val="20"/>
                <w:szCs w:val="20"/>
              </w:rPr>
              <w:t>Výsledkové indikátory pre zamestnanosť a sociálnu inklúziu</w:t>
            </w:r>
          </w:p>
        </w:tc>
      </w:tr>
      <w:tr w:rsidR="003113FD" w:rsidRPr="006F2C23" w14:paraId="4EBB3FBC" w14:textId="77777777" w:rsidTr="00AA256C">
        <w:trPr>
          <w:trHeight w:val="507"/>
          <w:jc w:val="center"/>
        </w:trPr>
        <w:tc>
          <w:tcPr>
            <w:tcW w:w="2816" w:type="dxa"/>
            <w:tcBorders>
              <w:top w:val="nil"/>
              <w:left w:val="nil"/>
              <w:bottom w:val="single" w:sz="4" w:space="0" w:color="auto"/>
              <w:right w:val="nil"/>
            </w:tcBorders>
            <w:shd w:val="clear" w:color="auto" w:fill="auto"/>
            <w:noWrap/>
            <w:vAlign w:val="center"/>
            <w:hideMark/>
          </w:tcPr>
          <w:p w14:paraId="364B547D" w14:textId="77777777" w:rsidR="003113FD" w:rsidRPr="006F2C23" w:rsidRDefault="003113FD" w:rsidP="00FB625E">
            <w:pPr>
              <w:spacing w:after="0" w:line="240" w:lineRule="auto"/>
              <w:rPr>
                <w:rFonts w:ascii="Arial Narrow" w:hAnsi="Arial Narrow"/>
                <w:b/>
                <w:bCs/>
                <w:sz w:val="20"/>
                <w:szCs w:val="20"/>
              </w:rPr>
            </w:pPr>
            <w:r w:rsidRPr="006F2C23">
              <w:rPr>
                <w:rFonts w:ascii="Arial Narrow" w:hAnsi="Arial Narrow"/>
                <w:b/>
                <w:bCs/>
                <w:sz w:val="20"/>
                <w:szCs w:val="20"/>
              </w:rPr>
              <w:t> </w:t>
            </w:r>
          </w:p>
        </w:tc>
        <w:tc>
          <w:tcPr>
            <w:tcW w:w="594" w:type="dxa"/>
            <w:tcBorders>
              <w:top w:val="nil"/>
              <w:left w:val="nil"/>
              <w:bottom w:val="single" w:sz="4" w:space="0" w:color="auto"/>
              <w:right w:val="nil"/>
            </w:tcBorders>
            <w:shd w:val="clear" w:color="auto" w:fill="auto"/>
            <w:noWrap/>
            <w:vAlign w:val="center"/>
            <w:hideMark/>
          </w:tcPr>
          <w:p w14:paraId="02F4FE0E" w14:textId="77777777" w:rsidR="003113FD" w:rsidRPr="006F2C23" w:rsidRDefault="003113FD" w:rsidP="00FB625E">
            <w:pPr>
              <w:spacing w:after="0" w:line="240" w:lineRule="auto"/>
              <w:rPr>
                <w:rFonts w:ascii="Arial Narrow" w:hAnsi="Arial Narrow"/>
                <w:b/>
                <w:bCs/>
                <w:sz w:val="20"/>
                <w:szCs w:val="20"/>
              </w:rPr>
            </w:pPr>
            <w:r w:rsidRPr="006F2C23">
              <w:rPr>
                <w:rFonts w:ascii="Arial Narrow" w:hAnsi="Arial Narrow"/>
                <w:b/>
                <w:bCs/>
                <w:sz w:val="20"/>
                <w:szCs w:val="20"/>
              </w:rPr>
              <w:t> </w:t>
            </w:r>
          </w:p>
        </w:tc>
        <w:tc>
          <w:tcPr>
            <w:tcW w:w="552" w:type="dxa"/>
            <w:tcBorders>
              <w:top w:val="nil"/>
              <w:left w:val="nil"/>
              <w:bottom w:val="single" w:sz="4" w:space="0" w:color="auto"/>
              <w:right w:val="nil"/>
            </w:tcBorders>
            <w:shd w:val="clear" w:color="auto" w:fill="auto"/>
            <w:noWrap/>
            <w:vAlign w:val="center"/>
            <w:hideMark/>
          </w:tcPr>
          <w:p w14:paraId="54D179D1" w14:textId="53D4D039"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2008</w:t>
            </w:r>
          </w:p>
        </w:tc>
        <w:tc>
          <w:tcPr>
            <w:tcW w:w="506" w:type="dxa"/>
            <w:tcBorders>
              <w:top w:val="nil"/>
              <w:left w:val="nil"/>
              <w:bottom w:val="single" w:sz="4" w:space="0" w:color="auto"/>
              <w:right w:val="nil"/>
            </w:tcBorders>
            <w:shd w:val="clear" w:color="auto" w:fill="auto"/>
            <w:vAlign w:val="center"/>
            <w:hideMark/>
          </w:tcPr>
          <w:p w14:paraId="033B173E" w14:textId="40159D22"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2009</w:t>
            </w:r>
          </w:p>
        </w:tc>
        <w:tc>
          <w:tcPr>
            <w:tcW w:w="506" w:type="dxa"/>
            <w:tcBorders>
              <w:top w:val="nil"/>
              <w:left w:val="nil"/>
              <w:bottom w:val="single" w:sz="4" w:space="0" w:color="auto"/>
              <w:right w:val="nil"/>
            </w:tcBorders>
            <w:shd w:val="clear" w:color="auto" w:fill="auto"/>
            <w:vAlign w:val="center"/>
            <w:hideMark/>
          </w:tcPr>
          <w:p w14:paraId="0CF7654A" w14:textId="02AE60C1"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2010</w:t>
            </w:r>
          </w:p>
        </w:tc>
        <w:tc>
          <w:tcPr>
            <w:tcW w:w="552" w:type="dxa"/>
            <w:tcBorders>
              <w:top w:val="nil"/>
              <w:left w:val="nil"/>
              <w:bottom w:val="single" w:sz="4" w:space="0" w:color="auto"/>
              <w:right w:val="nil"/>
            </w:tcBorders>
            <w:shd w:val="clear" w:color="auto" w:fill="auto"/>
            <w:vAlign w:val="center"/>
            <w:hideMark/>
          </w:tcPr>
          <w:p w14:paraId="09F59178" w14:textId="75B41B85" w:rsidR="003113FD" w:rsidRPr="006F2C23" w:rsidRDefault="00AA256C" w:rsidP="00AA256C">
            <w:pPr>
              <w:spacing w:after="0" w:line="240" w:lineRule="auto"/>
              <w:jc w:val="center"/>
              <w:rPr>
                <w:rFonts w:ascii="Arial Narrow" w:hAnsi="Arial Narrow"/>
                <w:b/>
                <w:bCs/>
                <w:sz w:val="20"/>
                <w:szCs w:val="20"/>
              </w:rPr>
            </w:pPr>
            <w:r>
              <w:rPr>
                <w:rFonts w:ascii="Arial Narrow" w:hAnsi="Arial Narrow"/>
                <w:b/>
                <w:bCs/>
                <w:sz w:val="20"/>
                <w:szCs w:val="20"/>
              </w:rPr>
              <w:t>2011</w:t>
            </w:r>
          </w:p>
        </w:tc>
        <w:tc>
          <w:tcPr>
            <w:tcW w:w="506" w:type="dxa"/>
            <w:tcBorders>
              <w:top w:val="nil"/>
              <w:left w:val="nil"/>
              <w:bottom w:val="single" w:sz="4" w:space="0" w:color="auto"/>
              <w:right w:val="nil"/>
            </w:tcBorders>
            <w:shd w:val="clear" w:color="auto" w:fill="auto"/>
            <w:vAlign w:val="center"/>
            <w:hideMark/>
          </w:tcPr>
          <w:p w14:paraId="2CDA5AF0" w14:textId="609B2ADF" w:rsidR="003113FD" w:rsidRPr="006F2C23" w:rsidRDefault="003113FD" w:rsidP="00FB625E">
            <w:pPr>
              <w:spacing w:after="0" w:line="240" w:lineRule="auto"/>
              <w:jc w:val="center"/>
              <w:rPr>
                <w:rFonts w:ascii="Arial Narrow" w:hAnsi="Arial Narrow"/>
                <w:b/>
                <w:bCs/>
                <w:sz w:val="20"/>
                <w:szCs w:val="20"/>
              </w:rPr>
            </w:pPr>
            <w:r w:rsidRPr="006F2C23">
              <w:rPr>
                <w:rFonts w:ascii="Arial Narrow" w:hAnsi="Arial Narrow"/>
                <w:b/>
                <w:bCs/>
                <w:sz w:val="20"/>
                <w:szCs w:val="20"/>
              </w:rPr>
              <w:t>2</w:t>
            </w:r>
            <w:r w:rsidR="00AA256C">
              <w:rPr>
                <w:rFonts w:ascii="Arial Narrow" w:hAnsi="Arial Narrow"/>
                <w:b/>
                <w:bCs/>
                <w:sz w:val="20"/>
                <w:szCs w:val="20"/>
              </w:rPr>
              <w:t>012</w:t>
            </w:r>
          </w:p>
        </w:tc>
        <w:tc>
          <w:tcPr>
            <w:tcW w:w="506" w:type="dxa"/>
            <w:tcBorders>
              <w:top w:val="nil"/>
              <w:left w:val="nil"/>
              <w:bottom w:val="single" w:sz="4" w:space="0" w:color="auto"/>
              <w:right w:val="nil"/>
            </w:tcBorders>
            <w:shd w:val="clear" w:color="auto" w:fill="auto"/>
            <w:vAlign w:val="center"/>
            <w:hideMark/>
          </w:tcPr>
          <w:p w14:paraId="4FDF762B" w14:textId="1AC9DE41"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2013</w:t>
            </w:r>
          </w:p>
        </w:tc>
        <w:tc>
          <w:tcPr>
            <w:tcW w:w="552" w:type="dxa"/>
            <w:tcBorders>
              <w:top w:val="nil"/>
              <w:left w:val="nil"/>
              <w:bottom w:val="single" w:sz="4" w:space="0" w:color="auto"/>
              <w:right w:val="nil"/>
            </w:tcBorders>
            <w:shd w:val="clear" w:color="auto" w:fill="auto"/>
            <w:vAlign w:val="center"/>
            <w:hideMark/>
          </w:tcPr>
          <w:p w14:paraId="4AC51F6B" w14:textId="79F843CF"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2014</w:t>
            </w:r>
          </w:p>
        </w:tc>
        <w:tc>
          <w:tcPr>
            <w:tcW w:w="515" w:type="dxa"/>
            <w:tcBorders>
              <w:top w:val="nil"/>
              <w:left w:val="nil"/>
              <w:bottom w:val="single" w:sz="4" w:space="0" w:color="auto"/>
              <w:right w:val="nil"/>
            </w:tcBorders>
            <w:shd w:val="clear" w:color="auto" w:fill="auto"/>
            <w:vAlign w:val="center"/>
            <w:hideMark/>
          </w:tcPr>
          <w:p w14:paraId="075336DF" w14:textId="0D050F8D" w:rsidR="003113FD" w:rsidRPr="006F2C23" w:rsidRDefault="00AA256C" w:rsidP="00FB625E">
            <w:pPr>
              <w:spacing w:after="0" w:line="240" w:lineRule="auto"/>
              <w:jc w:val="center"/>
              <w:rPr>
                <w:rFonts w:ascii="Arial Narrow" w:hAnsi="Arial Narrow"/>
                <w:b/>
                <w:bCs/>
                <w:sz w:val="20"/>
                <w:szCs w:val="20"/>
              </w:rPr>
            </w:pPr>
            <w:r>
              <w:rPr>
                <w:rFonts w:ascii="Arial Narrow" w:hAnsi="Arial Narrow"/>
                <w:b/>
                <w:bCs/>
                <w:sz w:val="20"/>
                <w:szCs w:val="20"/>
              </w:rPr>
              <w:t>2015</w:t>
            </w:r>
          </w:p>
        </w:tc>
        <w:tc>
          <w:tcPr>
            <w:tcW w:w="506" w:type="dxa"/>
            <w:tcBorders>
              <w:top w:val="nil"/>
              <w:left w:val="nil"/>
              <w:bottom w:val="single" w:sz="4" w:space="0" w:color="auto"/>
              <w:right w:val="nil"/>
            </w:tcBorders>
            <w:vAlign w:val="center"/>
          </w:tcPr>
          <w:p w14:paraId="603B3107" w14:textId="22208DC3" w:rsidR="003113FD" w:rsidRPr="006F2C23" w:rsidRDefault="00AA256C" w:rsidP="00FB625E">
            <w:pPr>
              <w:spacing w:after="0" w:line="240" w:lineRule="auto"/>
              <w:rPr>
                <w:rFonts w:ascii="Arial Narrow" w:hAnsi="Arial Narrow"/>
                <w:b/>
                <w:bCs/>
                <w:sz w:val="20"/>
                <w:szCs w:val="20"/>
              </w:rPr>
            </w:pPr>
            <w:r>
              <w:rPr>
                <w:rFonts w:ascii="Arial Narrow" w:hAnsi="Arial Narrow"/>
                <w:b/>
                <w:bCs/>
                <w:sz w:val="20"/>
                <w:szCs w:val="20"/>
              </w:rPr>
              <w:t>2016</w:t>
            </w:r>
          </w:p>
        </w:tc>
        <w:tc>
          <w:tcPr>
            <w:tcW w:w="513" w:type="dxa"/>
            <w:tcBorders>
              <w:top w:val="nil"/>
              <w:left w:val="nil"/>
              <w:bottom w:val="single" w:sz="4" w:space="0" w:color="auto"/>
              <w:right w:val="nil"/>
            </w:tcBorders>
            <w:shd w:val="clear" w:color="auto" w:fill="auto"/>
            <w:vAlign w:val="center"/>
            <w:hideMark/>
          </w:tcPr>
          <w:p w14:paraId="1E6CCB2D" w14:textId="0DADD118" w:rsidR="003113FD" w:rsidRPr="006F2C23" w:rsidRDefault="003113FD" w:rsidP="00FB625E">
            <w:pPr>
              <w:spacing w:after="0" w:line="240" w:lineRule="auto"/>
              <w:rPr>
                <w:rFonts w:ascii="Arial Narrow" w:hAnsi="Arial Narrow"/>
                <w:b/>
                <w:bCs/>
                <w:sz w:val="20"/>
                <w:szCs w:val="20"/>
              </w:rPr>
            </w:pPr>
            <w:r w:rsidRPr="006F2C23">
              <w:rPr>
                <w:rFonts w:ascii="Arial Narrow" w:hAnsi="Arial Narrow"/>
                <w:b/>
                <w:bCs/>
                <w:sz w:val="20"/>
                <w:szCs w:val="20"/>
              </w:rPr>
              <w:t>Cieľ 2020</w:t>
            </w:r>
          </w:p>
        </w:tc>
      </w:tr>
      <w:tr w:rsidR="00AA256C" w:rsidRPr="006F2C23" w14:paraId="7FA9DD04" w14:textId="77777777" w:rsidTr="00AA256C">
        <w:trPr>
          <w:trHeight w:val="282"/>
          <w:jc w:val="center"/>
        </w:trPr>
        <w:tc>
          <w:tcPr>
            <w:tcW w:w="2816" w:type="dxa"/>
            <w:tcBorders>
              <w:top w:val="nil"/>
              <w:left w:val="nil"/>
              <w:bottom w:val="nil"/>
              <w:right w:val="nil"/>
            </w:tcBorders>
            <w:shd w:val="clear" w:color="auto" w:fill="auto"/>
            <w:noWrap/>
            <w:vAlign w:val="center"/>
            <w:hideMark/>
          </w:tcPr>
          <w:p w14:paraId="0088E698" w14:textId="77777777" w:rsidR="00AA256C" w:rsidRPr="006F2C23" w:rsidRDefault="00AA256C" w:rsidP="00AA256C">
            <w:pPr>
              <w:spacing w:after="0" w:line="240" w:lineRule="auto"/>
              <w:jc w:val="both"/>
              <w:rPr>
                <w:rFonts w:ascii="Arial Narrow" w:hAnsi="Arial Narrow"/>
                <w:b/>
                <w:bCs/>
                <w:color w:val="000000"/>
                <w:sz w:val="20"/>
                <w:szCs w:val="20"/>
              </w:rPr>
            </w:pPr>
            <w:r w:rsidRPr="006F2C23">
              <w:rPr>
                <w:rFonts w:ascii="Arial Narrow" w:hAnsi="Arial Narrow"/>
                <w:b/>
                <w:bCs/>
                <w:color w:val="000000"/>
                <w:sz w:val="20"/>
                <w:szCs w:val="20"/>
              </w:rPr>
              <w:t>Miera dlhodobej nezamestnanosti</w:t>
            </w:r>
          </w:p>
        </w:tc>
        <w:tc>
          <w:tcPr>
            <w:tcW w:w="594" w:type="dxa"/>
            <w:tcBorders>
              <w:top w:val="nil"/>
              <w:left w:val="nil"/>
              <w:bottom w:val="nil"/>
              <w:right w:val="nil"/>
            </w:tcBorders>
            <w:shd w:val="clear" w:color="auto" w:fill="auto"/>
            <w:noWrap/>
            <w:vAlign w:val="center"/>
            <w:hideMark/>
          </w:tcPr>
          <w:p w14:paraId="1F02F9C9" w14:textId="77777777" w:rsidR="00AA256C" w:rsidRPr="006F2C23" w:rsidRDefault="00AA256C" w:rsidP="00AA256C">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SK</w:t>
            </w:r>
          </w:p>
        </w:tc>
        <w:tc>
          <w:tcPr>
            <w:tcW w:w="552" w:type="dxa"/>
            <w:tcBorders>
              <w:top w:val="nil"/>
              <w:left w:val="nil"/>
              <w:bottom w:val="nil"/>
              <w:right w:val="nil"/>
            </w:tcBorders>
            <w:shd w:val="clear" w:color="auto" w:fill="auto"/>
            <w:vAlign w:val="center"/>
          </w:tcPr>
          <w:p w14:paraId="2AB385E5" w14:textId="0DF7A59A"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6,7</w:t>
            </w:r>
          </w:p>
        </w:tc>
        <w:tc>
          <w:tcPr>
            <w:tcW w:w="506" w:type="dxa"/>
            <w:tcBorders>
              <w:top w:val="nil"/>
              <w:left w:val="nil"/>
              <w:bottom w:val="nil"/>
              <w:right w:val="nil"/>
            </w:tcBorders>
            <w:shd w:val="clear" w:color="auto" w:fill="auto"/>
            <w:vAlign w:val="center"/>
            <w:hideMark/>
          </w:tcPr>
          <w:p w14:paraId="44245AD6" w14:textId="2EF04D02" w:rsidR="00AA256C" w:rsidRPr="006F2C23" w:rsidRDefault="00AA256C" w:rsidP="00AA256C">
            <w:pPr>
              <w:spacing w:after="0" w:line="240" w:lineRule="auto"/>
              <w:jc w:val="center"/>
              <w:rPr>
                <w:rFonts w:ascii="Arial Narrow" w:hAnsi="Arial Narrow"/>
                <w:sz w:val="20"/>
                <w:szCs w:val="20"/>
              </w:rPr>
            </w:pPr>
            <w:r>
              <w:rPr>
                <w:rFonts w:ascii="Arial Narrow" w:hAnsi="Arial Narrow"/>
                <w:sz w:val="20"/>
                <w:szCs w:val="20"/>
              </w:rPr>
              <w:t>6,6</w:t>
            </w:r>
          </w:p>
        </w:tc>
        <w:tc>
          <w:tcPr>
            <w:tcW w:w="506" w:type="dxa"/>
            <w:tcBorders>
              <w:top w:val="nil"/>
              <w:left w:val="nil"/>
              <w:bottom w:val="nil"/>
              <w:right w:val="nil"/>
            </w:tcBorders>
            <w:shd w:val="clear" w:color="auto" w:fill="auto"/>
            <w:vAlign w:val="center"/>
            <w:hideMark/>
          </w:tcPr>
          <w:p w14:paraId="41BDA9DF" w14:textId="19B3C81C"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9,3</w:t>
            </w:r>
          </w:p>
        </w:tc>
        <w:tc>
          <w:tcPr>
            <w:tcW w:w="552" w:type="dxa"/>
            <w:tcBorders>
              <w:top w:val="nil"/>
              <w:left w:val="nil"/>
              <w:bottom w:val="nil"/>
              <w:right w:val="nil"/>
            </w:tcBorders>
            <w:shd w:val="clear" w:color="auto" w:fill="auto"/>
            <w:vAlign w:val="center"/>
            <w:hideMark/>
          </w:tcPr>
          <w:p w14:paraId="242A9998" w14:textId="12EEACCA"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9,3</w:t>
            </w:r>
          </w:p>
        </w:tc>
        <w:tc>
          <w:tcPr>
            <w:tcW w:w="506" w:type="dxa"/>
            <w:tcBorders>
              <w:top w:val="nil"/>
              <w:left w:val="nil"/>
              <w:bottom w:val="nil"/>
              <w:right w:val="nil"/>
            </w:tcBorders>
            <w:shd w:val="clear" w:color="auto" w:fill="auto"/>
            <w:vAlign w:val="center"/>
            <w:hideMark/>
          </w:tcPr>
          <w:p w14:paraId="11531DEF" w14:textId="43CF4D01"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9,4</w:t>
            </w:r>
          </w:p>
        </w:tc>
        <w:tc>
          <w:tcPr>
            <w:tcW w:w="506" w:type="dxa"/>
            <w:tcBorders>
              <w:top w:val="nil"/>
              <w:left w:val="nil"/>
              <w:bottom w:val="nil"/>
              <w:right w:val="nil"/>
            </w:tcBorders>
            <w:shd w:val="clear" w:color="auto" w:fill="auto"/>
            <w:vAlign w:val="center"/>
            <w:hideMark/>
          </w:tcPr>
          <w:p w14:paraId="3CB018C4" w14:textId="18F156FF"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10,0</w:t>
            </w:r>
          </w:p>
        </w:tc>
        <w:tc>
          <w:tcPr>
            <w:tcW w:w="552" w:type="dxa"/>
            <w:tcBorders>
              <w:top w:val="nil"/>
              <w:left w:val="nil"/>
              <w:bottom w:val="nil"/>
              <w:right w:val="nil"/>
            </w:tcBorders>
            <w:shd w:val="clear" w:color="auto" w:fill="auto"/>
            <w:vAlign w:val="center"/>
            <w:hideMark/>
          </w:tcPr>
          <w:p w14:paraId="4AB2E0DB" w14:textId="7A26A819"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9,3</w:t>
            </w:r>
          </w:p>
        </w:tc>
        <w:tc>
          <w:tcPr>
            <w:tcW w:w="515" w:type="dxa"/>
            <w:tcBorders>
              <w:top w:val="nil"/>
              <w:left w:val="nil"/>
              <w:bottom w:val="nil"/>
              <w:right w:val="nil"/>
            </w:tcBorders>
            <w:shd w:val="clear" w:color="auto" w:fill="auto"/>
            <w:vAlign w:val="center"/>
            <w:hideMark/>
          </w:tcPr>
          <w:p w14:paraId="4B69209A" w14:textId="385EBC74" w:rsidR="00AA256C" w:rsidRPr="006F2C23" w:rsidRDefault="00AA256C" w:rsidP="00AA256C">
            <w:pPr>
              <w:spacing w:after="0" w:line="240" w:lineRule="auto"/>
              <w:jc w:val="center"/>
              <w:rPr>
                <w:rFonts w:ascii="Arial Narrow" w:hAnsi="Arial Narrow"/>
                <w:sz w:val="20"/>
                <w:szCs w:val="20"/>
              </w:rPr>
            </w:pPr>
            <w:r>
              <w:rPr>
                <w:rFonts w:ascii="Arial Narrow" w:hAnsi="Arial Narrow"/>
                <w:sz w:val="20"/>
                <w:szCs w:val="20"/>
              </w:rPr>
              <w:t>7,6</w:t>
            </w:r>
          </w:p>
        </w:tc>
        <w:tc>
          <w:tcPr>
            <w:tcW w:w="506" w:type="dxa"/>
            <w:tcBorders>
              <w:top w:val="nil"/>
              <w:left w:val="nil"/>
              <w:bottom w:val="nil"/>
              <w:right w:val="nil"/>
            </w:tcBorders>
            <w:vAlign w:val="center"/>
          </w:tcPr>
          <w:p w14:paraId="4FE1490C" w14:textId="3A89CC59" w:rsidR="00AA256C" w:rsidRPr="006F2C23" w:rsidRDefault="00AA256C" w:rsidP="00AA256C">
            <w:pPr>
              <w:spacing w:after="0" w:line="240" w:lineRule="auto"/>
              <w:jc w:val="center"/>
              <w:rPr>
                <w:rFonts w:ascii="Arial Narrow" w:hAnsi="Arial Narrow"/>
                <w:sz w:val="20"/>
                <w:szCs w:val="20"/>
              </w:rPr>
            </w:pPr>
          </w:p>
        </w:tc>
        <w:tc>
          <w:tcPr>
            <w:tcW w:w="513" w:type="dxa"/>
            <w:tcBorders>
              <w:top w:val="nil"/>
              <w:left w:val="nil"/>
              <w:bottom w:val="nil"/>
              <w:right w:val="nil"/>
            </w:tcBorders>
            <w:shd w:val="clear" w:color="auto" w:fill="auto"/>
            <w:vAlign w:val="center"/>
            <w:hideMark/>
          </w:tcPr>
          <w:p w14:paraId="1B149521" w14:textId="59D4B2EE"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3,0</w:t>
            </w:r>
          </w:p>
        </w:tc>
      </w:tr>
      <w:tr w:rsidR="00AA256C" w:rsidRPr="006F2C23" w14:paraId="04FF9AF0" w14:textId="77777777" w:rsidTr="00AA256C">
        <w:trPr>
          <w:trHeight w:val="282"/>
          <w:jc w:val="center"/>
        </w:trPr>
        <w:tc>
          <w:tcPr>
            <w:tcW w:w="2816" w:type="dxa"/>
            <w:tcBorders>
              <w:top w:val="nil"/>
              <w:left w:val="nil"/>
              <w:bottom w:val="single" w:sz="4" w:space="0" w:color="auto"/>
              <w:right w:val="nil"/>
            </w:tcBorders>
            <w:shd w:val="clear" w:color="auto" w:fill="auto"/>
            <w:noWrap/>
            <w:vAlign w:val="center"/>
            <w:hideMark/>
          </w:tcPr>
          <w:p w14:paraId="3290CDFA" w14:textId="77777777" w:rsidR="00AA256C" w:rsidRPr="006F2C23" w:rsidRDefault="00AA256C" w:rsidP="00AA256C">
            <w:pPr>
              <w:spacing w:after="0" w:line="240" w:lineRule="auto"/>
              <w:jc w:val="both"/>
              <w:rPr>
                <w:rFonts w:ascii="Arial Narrow" w:hAnsi="Arial Narrow"/>
                <w:color w:val="000000"/>
                <w:sz w:val="20"/>
                <w:szCs w:val="20"/>
              </w:rPr>
            </w:pPr>
            <w:r w:rsidRPr="006F2C23">
              <w:rPr>
                <w:rFonts w:ascii="Arial Narrow" w:hAnsi="Arial Narrow"/>
                <w:color w:val="000000"/>
                <w:sz w:val="20"/>
                <w:szCs w:val="20"/>
              </w:rPr>
              <w:t>(% aktívneho obyvateľstva nad 15 rokov)</w:t>
            </w:r>
          </w:p>
        </w:tc>
        <w:tc>
          <w:tcPr>
            <w:tcW w:w="594" w:type="dxa"/>
            <w:tcBorders>
              <w:top w:val="nil"/>
              <w:left w:val="nil"/>
              <w:bottom w:val="single" w:sz="4" w:space="0" w:color="auto"/>
              <w:right w:val="nil"/>
            </w:tcBorders>
            <w:shd w:val="clear" w:color="auto" w:fill="auto"/>
            <w:noWrap/>
            <w:vAlign w:val="center"/>
            <w:hideMark/>
          </w:tcPr>
          <w:p w14:paraId="783ABC78" w14:textId="77777777" w:rsidR="00AA256C" w:rsidRPr="006F2C23" w:rsidRDefault="00AA256C" w:rsidP="00AA256C">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EÚ</w:t>
            </w:r>
          </w:p>
        </w:tc>
        <w:tc>
          <w:tcPr>
            <w:tcW w:w="552" w:type="dxa"/>
            <w:tcBorders>
              <w:top w:val="nil"/>
              <w:left w:val="nil"/>
              <w:bottom w:val="single" w:sz="4" w:space="0" w:color="auto"/>
              <w:right w:val="nil"/>
            </w:tcBorders>
            <w:shd w:val="clear" w:color="auto" w:fill="auto"/>
            <w:vAlign w:val="center"/>
          </w:tcPr>
          <w:p w14:paraId="148CDAF6" w14:textId="25708FD9" w:rsidR="00AA256C" w:rsidRPr="00975D00" w:rsidRDefault="00AA256C" w:rsidP="00AA256C">
            <w:pPr>
              <w:spacing w:after="0" w:line="240" w:lineRule="auto"/>
              <w:jc w:val="center"/>
              <w:rPr>
                <w:rFonts w:ascii="Arial Narrow" w:hAnsi="Arial Narrow"/>
                <w:sz w:val="20"/>
                <w:szCs w:val="20"/>
              </w:rPr>
            </w:pPr>
            <w:r w:rsidRPr="00975D00">
              <w:rPr>
                <w:rFonts w:ascii="Arial Narrow" w:hAnsi="Arial Narrow"/>
                <w:sz w:val="20"/>
                <w:szCs w:val="20"/>
              </w:rPr>
              <w:t>2,6</w:t>
            </w:r>
          </w:p>
        </w:tc>
        <w:tc>
          <w:tcPr>
            <w:tcW w:w="506" w:type="dxa"/>
            <w:tcBorders>
              <w:top w:val="nil"/>
              <w:left w:val="nil"/>
              <w:bottom w:val="single" w:sz="4" w:space="0" w:color="auto"/>
              <w:right w:val="nil"/>
            </w:tcBorders>
            <w:shd w:val="clear" w:color="auto" w:fill="auto"/>
            <w:vAlign w:val="center"/>
            <w:hideMark/>
          </w:tcPr>
          <w:p w14:paraId="7AB8CFF4" w14:textId="65BA0E77" w:rsidR="00AA256C" w:rsidRPr="00975D00" w:rsidRDefault="00AA256C" w:rsidP="00AA256C">
            <w:pPr>
              <w:spacing w:after="0" w:line="240" w:lineRule="auto"/>
              <w:jc w:val="center"/>
              <w:rPr>
                <w:rFonts w:ascii="Arial Narrow" w:hAnsi="Arial Narrow"/>
                <w:sz w:val="20"/>
                <w:szCs w:val="20"/>
              </w:rPr>
            </w:pPr>
            <w:r w:rsidRPr="00975D00">
              <w:rPr>
                <w:rFonts w:ascii="Arial Narrow" w:hAnsi="Arial Narrow"/>
                <w:sz w:val="20"/>
                <w:szCs w:val="20"/>
              </w:rPr>
              <w:t>3,0</w:t>
            </w:r>
          </w:p>
        </w:tc>
        <w:tc>
          <w:tcPr>
            <w:tcW w:w="506" w:type="dxa"/>
            <w:tcBorders>
              <w:top w:val="nil"/>
              <w:left w:val="nil"/>
              <w:bottom w:val="single" w:sz="4" w:space="0" w:color="auto"/>
              <w:right w:val="nil"/>
            </w:tcBorders>
            <w:shd w:val="clear" w:color="auto" w:fill="auto"/>
            <w:vAlign w:val="center"/>
            <w:hideMark/>
          </w:tcPr>
          <w:p w14:paraId="1F0EC1E1" w14:textId="34C1A55D" w:rsidR="00AA256C" w:rsidRPr="00975D00" w:rsidRDefault="00AA256C" w:rsidP="00AA256C">
            <w:pPr>
              <w:spacing w:after="0" w:line="240" w:lineRule="auto"/>
              <w:jc w:val="center"/>
              <w:rPr>
                <w:rFonts w:ascii="Arial Narrow" w:hAnsi="Arial Narrow"/>
                <w:sz w:val="20"/>
                <w:szCs w:val="20"/>
              </w:rPr>
            </w:pPr>
            <w:r w:rsidRPr="00975D00">
              <w:rPr>
                <w:rFonts w:ascii="Arial Narrow" w:hAnsi="Arial Narrow"/>
                <w:sz w:val="20"/>
                <w:szCs w:val="20"/>
              </w:rPr>
              <w:t>3,</w:t>
            </w:r>
            <w:r>
              <w:rPr>
                <w:rFonts w:ascii="Arial Narrow" w:hAnsi="Arial Narrow"/>
                <w:sz w:val="20"/>
                <w:szCs w:val="20"/>
              </w:rPr>
              <w:t>8</w:t>
            </w:r>
          </w:p>
        </w:tc>
        <w:tc>
          <w:tcPr>
            <w:tcW w:w="552" w:type="dxa"/>
            <w:tcBorders>
              <w:top w:val="nil"/>
              <w:left w:val="nil"/>
              <w:bottom w:val="single" w:sz="4" w:space="0" w:color="auto"/>
              <w:right w:val="nil"/>
            </w:tcBorders>
            <w:shd w:val="clear" w:color="auto" w:fill="auto"/>
            <w:vAlign w:val="center"/>
            <w:hideMark/>
          </w:tcPr>
          <w:p w14:paraId="1430928F" w14:textId="67360FF9" w:rsidR="00AA256C" w:rsidRPr="00975D00" w:rsidRDefault="00AA256C" w:rsidP="00AA256C">
            <w:pPr>
              <w:spacing w:after="0" w:line="240" w:lineRule="auto"/>
              <w:jc w:val="center"/>
              <w:rPr>
                <w:rFonts w:ascii="Arial Narrow" w:hAnsi="Arial Narrow"/>
                <w:sz w:val="20"/>
                <w:szCs w:val="20"/>
              </w:rPr>
            </w:pPr>
            <w:r w:rsidRPr="00975D00">
              <w:rPr>
                <w:rFonts w:ascii="Arial Narrow" w:hAnsi="Arial Narrow"/>
                <w:sz w:val="20"/>
                <w:szCs w:val="20"/>
              </w:rPr>
              <w:t>4,</w:t>
            </w:r>
            <w:r>
              <w:rPr>
                <w:rFonts w:ascii="Arial Narrow" w:hAnsi="Arial Narrow"/>
                <w:sz w:val="20"/>
                <w:szCs w:val="20"/>
              </w:rPr>
              <w:t>1</w:t>
            </w:r>
          </w:p>
        </w:tc>
        <w:tc>
          <w:tcPr>
            <w:tcW w:w="506" w:type="dxa"/>
            <w:tcBorders>
              <w:top w:val="nil"/>
              <w:left w:val="nil"/>
              <w:bottom w:val="single" w:sz="4" w:space="0" w:color="auto"/>
              <w:right w:val="nil"/>
            </w:tcBorders>
            <w:shd w:val="clear" w:color="auto" w:fill="auto"/>
            <w:vAlign w:val="center"/>
            <w:hideMark/>
          </w:tcPr>
          <w:p w14:paraId="267325CF" w14:textId="15E9520E" w:rsidR="00AA256C" w:rsidRPr="00975D00" w:rsidRDefault="00AA256C" w:rsidP="00AA256C">
            <w:pPr>
              <w:spacing w:after="0" w:line="240" w:lineRule="auto"/>
              <w:jc w:val="center"/>
              <w:rPr>
                <w:rFonts w:ascii="Arial Narrow" w:hAnsi="Arial Narrow"/>
                <w:sz w:val="20"/>
                <w:szCs w:val="20"/>
              </w:rPr>
            </w:pPr>
            <w:r>
              <w:rPr>
                <w:rFonts w:ascii="Arial Narrow" w:hAnsi="Arial Narrow"/>
                <w:sz w:val="20"/>
                <w:szCs w:val="20"/>
              </w:rPr>
              <w:t>4,6</w:t>
            </w:r>
          </w:p>
        </w:tc>
        <w:tc>
          <w:tcPr>
            <w:tcW w:w="506" w:type="dxa"/>
            <w:tcBorders>
              <w:top w:val="nil"/>
              <w:left w:val="nil"/>
              <w:bottom w:val="single" w:sz="4" w:space="0" w:color="auto"/>
              <w:right w:val="nil"/>
            </w:tcBorders>
            <w:shd w:val="clear" w:color="auto" w:fill="auto"/>
            <w:vAlign w:val="center"/>
            <w:hideMark/>
          </w:tcPr>
          <w:p w14:paraId="2A7E2FF8" w14:textId="46F5D36E" w:rsidR="00AA256C" w:rsidRPr="00975D00" w:rsidRDefault="00AA256C" w:rsidP="00AA256C">
            <w:pPr>
              <w:spacing w:after="0" w:line="240" w:lineRule="auto"/>
              <w:jc w:val="center"/>
              <w:rPr>
                <w:rFonts w:ascii="Arial Narrow" w:hAnsi="Arial Narrow"/>
                <w:sz w:val="20"/>
                <w:szCs w:val="20"/>
              </w:rPr>
            </w:pPr>
            <w:r>
              <w:rPr>
                <w:rFonts w:ascii="Arial Narrow" w:hAnsi="Arial Narrow"/>
                <w:sz w:val="20"/>
                <w:szCs w:val="20"/>
              </w:rPr>
              <w:t xml:space="preserve"> </w:t>
            </w:r>
            <w:r w:rsidRPr="00975D00">
              <w:rPr>
                <w:rFonts w:ascii="Arial Narrow" w:hAnsi="Arial Narrow"/>
                <w:sz w:val="20"/>
                <w:szCs w:val="20"/>
              </w:rPr>
              <w:t>5,</w:t>
            </w:r>
            <w:r>
              <w:rPr>
                <w:rFonts w:ascii="Arial Narrow" w:hAnsi="Arial Narrow"/>
                <w:sz w:val="20"/>
                <w:szCs w:val="20"/>
              </w:rPr>
              <w:t>1</w:t>
            </w:r>
          </w:p>
        </w:tc>
        <w:tc>
          <w:tcPr>
            <w:tcW w:w="552" w:type="dxa"/>
            <w:tcBorders>
              <w:top w:val="nil"/>
              <w:left w:val="nil"/>
              <w:bottom w:val="single" w:sz="4" w:space="0" w:color="auto"/>
              <w:right w:val="nil"/>
            </w:tcBorders>
            <w:shd w:val="clear" w:color="auto" w:fill="auto"/>
            <w:vAlign w:val="center"/>
            <w:hideMark/>
          </w:tcPr>
          <w:p w14:paraId="460318A8" w14:textId="7199C65D" w:rsidR="00AA256C" w:rsidRPr="00975D00" w:rsidRDefault="00AA256C" w:rsidP="00AA256C">
            <w:pPr>
              <w:spacing w:after="0" w:line="240" w:lineRule="auto"/>
              <w:jc w:val="center"/>
              <w:rPr>
                <w:rFonts w:ascii="Arial Narrow" w:hAnsi="Arial Narrow"/>
                <w:sz w:val="20"/>
                <w:szCs w:val="20"/>
              </w:rPr>
            </w:pPr>
            <w:r>
              <w:rPr>
                <w:rFonts w:ascii="Arial Narrow" w:hAnsi="Arial Narrow"/>
                <w:sz w:val="20"/>
                <w:szCs w:val="20"/>
              </w:rPr>
              <w:t xml:space="preserve"> 5,0</w:t>
            </w:r>
          </w:p>
        </w:tc>
        <w:tc>
          <w:tcPr>
            <w:tcW w:w="515" w:type="dxa"/>
            <w:tcBorders>
              <w:top w:val="nil"/>
              <w:left w:val="nil"/>
              <w:bottom w:val="single" w:sz="4" w:space="0" w:color="auto"/>
              <w:right w:val="nil"/>
            </w:tcBorders>
            <w:shd w:val="clear" w:color="auto" w:fill="auto"/>
            <w:vAlign w:val="center"/>
            <w:hideMark/>
          </w:tcPr>
          <w:p w14:paraId="7FD5BD85" w14:textId="65B38C6A" w:rsidR="00AA256C" w:rsidRPr="00975D00" w:rsidRDefault="00AA256C" w:rsidP="00AA256C">
            <w:pPr>
              <w:spacing w:after="0" w:line="240" w:lineRule="auto"/>
              <w:jc w:val="center"/>
              <w:rPr>
                <w:rFonts w:ascii="Arial Narrow" w:hAnsi="Arial Narrow"/>
                <w:sz w:val="20"/>
                <w:szCs w:val="20"/>
              </w:rPr>
            </w:pPr>
            <w:r>
              <w:rPr>
                <w:rFonts w:ascii="Arial Narrow" w:hAnsi="Arial Narrow"/>
                <w:sz w:val="20"/>
                <w:szCs w:val="20"/>
              </w:rPr>
              <w:t>4,5</w:t>
            </w:r>
          </w:p>
        </w:tc>
        <w:tc>
          <w:tcPr>
            <w:tcW w:w="506" w:type="dxa"/>
            <w:tcBorders>
              <w:top w:val="nil"/>
              <w:left w:val="nil"/>
              <w:bottom w:val="single" w:sz="4" w:space="0" w:color="auto"/>
              <w:right w:val="nil"/>
            </w:tcBorders>
            <w:vAlign w:val="center"/>
          </w:tcPr>
          <w:p w14:paraId="21756B4D" w14:textId="2135487F" w:rsidR="00AA256C" w:rsidRPr="006F2C23" w:rsidRDefault="00AA256C" w:rsidP="00AA256C">
            <w:pPr>
              <w:spacing w:after="0" w:line="240" w:lineRule="auto"/>
              <w:jc w:val="center"/>
              <w:rPr>
                <w:rFonts w:ascii="Arial Narrow" w:hAnsi="Arial Narrow"/>
                <w:sz w:val="20"/>
                <w:szCs w:val="20"/>
              </w:rPr>
            </w:pPr>
          </w:p>
        </w:tc>
        <w:tc>
          <w:tcPr>
            <w:tcW w:w="513" w:type="dxa"/>
            <w:tcBorders>
              <w:top w:val="nil"/>
              <w:left w:val="nil"/>
              <w:bottom w:val="single" w:sz="4" w:space="0" w:color="auto"/>
              <w:right w:val="nil"/>
            </w:tcBorders>
            <w:shd w:val="clear" w:color="auto" w:fill="auto"/>
            <w:vAlign w:val="center"/>
            <w:hideMark/>
          </w:tcPr>
          <w:p w14:paraId="45D48503" w14:textId="10BC437A"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w:t>
            </w:r>
          </w:p>
        </w:tc>
      </w:tr>
      <w:tr w:rsidR="00AA256C" w:rsidRPr="006F2C23" w14:paraId="1F3102FA" w14:textId="77777777" w:rsidTr="00AA256C">
        <w:trPr>
          <w:trHeight w:val="282"/>
          <w:jc w:val="center"/>
        </w:trPr>
        <w:tc>
          <w:tcPr>
            <w:tcW w:w="2816" w:type="dxa"/>
            <w:tcBorders>
              <w:top w:val="nil"/>
              <w:left w:val="nil"/>
              <w:bottom w:val="nil"/>
              <w:right w:val="nil"/>
            </w:tcBorders>
            <w:shd w:val="clear" w:color="auto" w:fill="auto"/>
            <w:noWrap/>
            <w:vAlign w:val="center"/>
            <w:hideMark/>
          </w:tcPr>
          <w:p w14:paraId="5CE78A4E" w14:textId="77777777" w:rsidR="00AA256C" w:rsidRPr="00BF0187" w:rsidRDefault="00AA256C" w:rsidP="00AA256C">
            <w:pPr>
              <w:spacing w:after="0" w:line="240" w:lineRule="auto"/>
              <w:rPr>
                <w:rFonts w:ascii="Arial Narrow" w:hAnsi="Arial Narrow"/>
                <w:b/>
                <w:bCs/>
                <w:color w:val="000000"/>
                <w:sz w:val="20"/>
                <w:szCs w:val="20"/>
              </w:rPr>
            </w:pPr>
            <w:r w:rsidRPr="00BF0187">
              <w:rPr>
                <w:rFonts w:ascii="Arial Narrow" w:hAnsi="Arial Narrow"/>
                <w:b/>
                <w:bCs/>
                <w:color w:val="000000"/>
                <w:sz w:val="20"/>
                <w:szCs w:val="20"/>
              </w:rPr>
              <w:t>Miera zamestnanosti</w:t>
            </w:r>
          </w:p>
        </w:tc>
        <w:tc>
          <w:tcPr>
            <w:tcW w:w="594" w:type="dxa"/>
            <w:tcBorders>
              <w:top w:val="nil"/>
              <w:left w:val="nil"/>
              <w:bottom w:val="nil"/>
              <w:right w:val="nil"/>
            </w:tcBorders>
            <w:shd w:val="clear" w:color="auto" w:fill="auto"/>
            <w:noWrap/>
            <w:vAlign w:val="center"/>
            <w:hideMark/>
          </w:tcPr>
          <w:p w14:paraId="39B1B71D" w14:textId="77777777" w:rsidR="00AA256C" w:rsidRPr="00BF0187" w:rsidRDefault="00AA256C" w:rsidP="00AA256C">
            <w:pPr>
              <w:spacing w:after="0" w:line="240" w:lineRule="auto"/>
              <w:jc w:val="center"/>
              <w:rPr>
                <w:rFonts w:ascii="Arial Narrow" w:hAnsi="Arial Narrow"/>
                <w:b/>
                <w:bCs/>
                <w:color w:val="000000"/>
                <w:sz w:val="20"/>
                <w:szCs w:val="20"/>
              </w:rPr>
            </w:pPr>
            <w:r w:rsidRPr="00BF0187">
              <w:rPr>
                <w:rFonts w:ascii="Arial Narrow" w:hAnsi="Arial Narrow"/>
                <w:b/>
                <w:bCs/>
                <w:color w:val="000000"/>
                <w:sz w:val="20"/>
                <w:szCs w:val="20"/>
              </w:rPr>
              <w:t>SK</w:t>
            </w:r>
          </w:p>
        </w:tc>
        <w:tc>
          <w:tcPr>
            <w:tcW w:w="552" w:type="dxa"/>
            <w:tcBorders>
              <w:top w:val="nil"/>
              <w:left w:val="nil"/>
              <w:bottom w:val="nil"/>
              <w:right w:val="nil"/>
            </w:tcBorders>
            <w:shd w:val="clear" w:color="auto" w:fill="auto"/>
            <w:vAlign w:val="center"/>
          </w:tcPr>
          <w:p w14:paraId="092D593F" w14:textId="341EAFF3"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68,8</w:t>
            </w:r>
          </w:p>
        </w:tc>
        <w:tc>
          <w:tcPr>
            <w:tcW w:w="506" w:type="dxa"/>
            <w:tcBorders>
              <w:top w:val="nil"/>
              <w:left w:val="nil"/>
              <w:bottom w:val="nil"/>
              <w:right w:val="nil"/>
            </w:tcBorders>
            <w:shd w:val="clear" w:color="auto" w:fill="auto"/>
            <w:vAlign w:val="center"/>
            <w:hideMark/>
          </w:tcPr>
          <w:p w14:paraId="2BC57E29" w14:textId="705F2B4F"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66,4</w:t>
            </w:r>
          </w:p>
        </w:tc>
        <w:tc>
          <w:tcPr>
            <w:tcW w:w="506" w:type="dxa"/>
            <w:tcBorders>
              <w:top w:val="nil"/>
              <w:left w:val="nil"/>
              <w:bottom w:val="nil"/>
              <w:right w:val="nil"/>
            </w:tcBorders>
            <w:shd w:val="clear" w:color="auto" w:fill="auto"/>
            <w:vAlign w:val="center"/>
            <w:hideMark/>
          </w:tcPr>
          <w:p w14:paraId="5285AE2E" w14:textId="34237FAB"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64,6</w:t>
            </w:r>
          </w:p>
        </w:tc>
        <w:tc>
          <w:tcPr>
            <w:tcW w:w="552" w:type="dxa"/>
            <w:tcBorders>
              <w:top w:val="nil"/>
              <w:left w:val="nil"/>
              <w:bottom w:val="nil"/>
              <w:right w:val="nil"/>
            </w:tcBorders>
            <w:shd w:val="clear" w:color="auto" w:fill="auto"/>
            <w:vAlign w:val="center"/>
            <w:hideMark/>
          </w:tcPr>
          <w:p w14:paraId="6D77F8E5" w14:textId="11A4137C"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65,0</w:t>
            </w:r>
          </w:p>
        </w:tc>
        <w:tc>
          <w:tcPr>
            <w:tcW w:w="506" w:type="dxa"/>
            <w:tcBorders>
              <w:top w:val="nil"/>
              <w:left w:val="nil"/>
              <w:bottom w:val="nil"/>
              <w:right w:val="nil"/>
            </w:tcBorders>
            <w:shd w:val="clear" w:color="auto" w:fill="auto"/>
            <w:vAlign w:val="center"/>
            <w:hideMark/>
          </w:tcPr>
          <w:p w14:paraId="2E944F65" w14:textId="44B44615"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65,1</w:t>
            </w:r>
          </w:p>
        </w:tc>
        <w:tc>
          <w:tcPr>
            <w:tcW w:w="506" w:type="dxa"/>
            <w:tcBorders>
              <w:top w:val="nil"/>
              <w:left w:val="nil"/>
              <w:bottom w:val="nil"/>
              <w:right w:val="nil"/>
            </w:tcBorders>
            <w:shd w:val="clear" w:color="auto" w:fill="auto"/>
            <w:vAlign w:val="center"/>
            <w:hideMark/>
          </w:tcPr>
          <w:p w14:paraId="0AB6A63E" w14:textId="12E7876F"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65,0</w:t>
            </w:r>
          </w:p>
        </w:tc>
        <w:tc>
          <w:tcPr>
            <w:tcW w:w="552" w:type="dxa"/>
            <w:tcBorders>
              <w:top w:val="nil"/>
              <w:left w:val="nil"/>
              <w:bottom w:val="nil"/>
              <w:right w:val="nil"/>
            </w:tcBorders>
            <w:shd w:val="clear" w:color="auto" w:fill="auto"/>
            <w:vAlign w:val="center"/>
            <w:hideMark/>
          </w:tcPr>
          <w:p w14:paraId="1C14561E" w14:textId="4EA34D1E"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 xml:space="preserve">65,9 </w:t>
            </w:r>
          </w:p>
        </w:tc>
        <w:tc>
          <w:tcPr>
            <w:tcW w:w="515" w:type="dxa"/>
            <w:tcBorders>
              <w:top w:val="nil"/>
              <w:left w:val="nil"/>
              <w:bottom w:val="nil"/>
              <w:right w:val="nil"/>
            </w:tcBorders>
            <w:shd w:val="clear" w:color="auto" w:fill="auto"/>
            <w:vAlign w:val="center"/>
            <w:hideMark/>
          </w:tcPr>
          <w:p w14:paraId="53387C36" w14:textId="473A12F1"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67,7</w:t>
            </w:r>
          </w:p>
        </w:tc>
        <w:tc>
          <w:tcPr>
            <w:tcW w:w="506" w:type="dxa"/>
            <w:tcBorders>
              <w:top w:val="nil"/>
              <w:left w:val="nil"/>
              <w:bottom w:val="nil"/>
              <w:right w:val="nil"/>
            </w:tcBorders>
            <w:vAlign w:val="center"/>
          </w:tcPr>
          <w:p w14:paraId="57386D4B" w14:textId="6E71FCA7" w:rsidR="00AA256C" w:rsidRPr="00BF0187" w:rsidRDefault="00AA256C" w:rsidP="00AA256C">
            <w:pPr>
              <w:spacing w:after="0" w:line="240" w:lineRule="auto"/>
              <w:jc w:val="center"/>
              <w:rPr>
                <w:rFonts w:ascii="Arial Narrow" w:hAnsi="Arial Narrow"/>
                <w:sz w:val="20"/>
                <w:szCs w:val="20"/>
              </w:rPr>
            </w:pPr>
          </w:p>
        </w:tc>
        <w:tc>
          <w:tcPr>
            <w:tcW w:w="513" w:type="dxa"/>
            <w:tcBorders>
              <w:top w:val="nil"/>
              <w:left w:val="nil"/>
              <w:bottom w:val="nil"/>
              <w:right w:val="nil"/>
            </w:tcBorders>
            <w:shd w:val="clear" w:color="auto" w:fill="auto"/>
            <w:vAlign w:val="center"/>
            <w:hideMark/>
          </w:tcPr>
          <w:p w14:paraId="3902101D" w14:textId="30A2237E"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72,0</w:t>
            </w:r>
          </w:p>
        </w:tc>
      </w:tr>
      <w:tr w:rsidR="00AA256C" w:rsidRPr="006F2C23" w14:paraId="2C5FC5DF" w14:textId="77777777" w:rsidTr="00AA256C">
        <w:trPr>
          <w:trHeight w:val="282"/>
          <w:jc w:val="center"/>
        </w:trPr>
        <w:tc>
          <w:tcPr>
            <w:tcW w:w="2816" w:type="dxa"/>
            <w:tcBorders>
              <w:top w:val="nil"/>
              <w:left w:val="nil"/>
              <w:bottom w:val="single" w:sz="4" w:space="0" w:color="auto"/>
              <w:right w:val="nil"/>
            </w:tcBorders>
            <w:shd w:val="clear" w:color="auto" w:fill="auto"/>
            <w:noWrap/>
            <w:vAlign w:val="center"/>
            <w:hideMark/>
          </w:tcPr>
          <w:p w14:paraId="364BED83" w14:textId="77777777" w:rsidR="00AA256C" w:rsidRPr="00BF0187" w:rsidRDefault="00AA256C" w:rsidP="00AA256C">
            <w:pPr>
              <w:spacing w:after="0" w:line="240" w:lineRule="auto"/>
              <w:jc w:val="both"/>
              <w:rPr>
                <w:rFonts w:ascii="Arial Narrow" w:hAnsi="Arial Narrow"/>
                <w:color w:val="000000"/>
                <w:sz w:val="20"/>
                <w:szCs w:val="20"/>
              </w:rPr>
            </w:pPr>
            <w:r w:rsidRPr="00BF0187">
              <w:rPr>
                <w:rFonts w:ascii="Arial Narrow" w:hAnsi="Arial Narrow"/>
                <w:color w:val="000000"/>
                <w:sz w:val="20"/>
                <w:szCs w:val="20"/>
              </w:rPr>
              <w:t>(% vo vekovej skupine 20 - 64 rokov)</w:t>
            </w:r>
          </w:p>
        </w:tc>
        <w:tc>
          <w:tcPr>
            <w:tcW w:w="594" w:type="dxa"/>
            <w:tcBorders>
              <w:top w:val="nil"/>
              <w:left w:val="nil"/>
              <w:bottom w:val="single" w:sz="4" w:space="0" w:color="auto"/>
              <w:right w:val="nil"/>
            </w:tcBorders>
            <w:shd w:val="clear" w:color="auto" w:fill="auto"/>
            <w:noWrap/>
            <w:vAlign w:val="center"/>
            <w:hideMark/>
          </w:tcPr>
          <w:p w14:paraId="19E39960" w14:textId="77777777" w:rsidR="00AA256C" w:rsidRPr="00BF0187" w:rsidRDefault="00AA256C" w:rsidP="00AA256C">
            <w:pPr>
              <w:spacing w:after="0" w:line="240" w:lineRule="auto"/>
              <w:jc w:val="center"/>
              <w:rPr>
                <w:rFonts w:ascii="Arial Narrow" w:hAnsi="Arial Narrow"/>
                <w:b/>
                <w:bCs/>
                <w:color w:val="000000"/>
                <w:sz w:val="20"/>
                <w:szCs w:val="20"/>
              </w:rPr>
            </w:pPr>
            <w:r w:rsidRPr="00BF0187">
              <w:rPr>
                <w:rFonts w:ascii="Arial Narrow" w:hAnsi="Arial Narrow"/>
                <w:b/>
                <w:bCs/>
                <w:color w:val="000000"/>
                <w:sz w:val="20"/>
                <w:szCs w:val="20"/>
              </w:rPr>
              <w:t>EÚ</w:t>
            </w:r>
          </w:p>
        </w:tc>
        <w:tc>
          <w:tcPr>
            <w:tcW w:w="552" w:type="dxa"/>
            <w:tcBorders>
              <w:top w:val="nil"/>
              <w:left w:val="nil"/>
              <w:bottom w:val="single" w:sz="4" w:space="0" w:color="auto"/>
              <w:right w:val="nil"/>
            </w:tcBorders>
            <w:shd w:val="clear" w:color="auto" w:fill="auto"/>
            <w:vAlign w:val="center"/>
          </w:tcPr>
          <w:p w14:paraId="00529A07" w14:textId="19F57794"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70,3</w:t>
            </w:r>
          </w:p>
        </w:tc>
        <w:tc>
          <w:tcPr>
            <w:tcW w:w="506" w:type="dxa"/>
            <w:tcBorders>
              <w:top w:val="nil"/>
              <w:left w:val="nil"/>
              <w:bottom w:val="single" w:sz="4" w:space="0" w:color="auto"/>
              <w:right w:val="nil"/>
            </w:tcBorders>
            <w:shd w:val="clear" w:color="auto" w:fill="auto"/>
            <w:vAlign w:val="center"/>
            <w:hideMark/>
          </w:tcPr>
          <w:p w14:paraId="7BEBBF21" w14:textId="07B1C8B7"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69</w:t>
            </w:r>
          </w:p>
        </w:tc>
        <w:tc>
          <w:tcPr>
            <w:tcW w:w="506" w:type="dxa"/>
            <w:tcBorders>
              <w:top w:val="nil"/>
              <w:left w:val="nil"/>
              <w:bottom w:val="single" w:sz="4" w:space="0" w:color="auto"/>
              <w:right w:val="nil"/>
            </w:tcBorders>
            <w:shd w:val="clear" w:color="auto" w:fill="auto"/>
            <w:vAlign w:val="center"/>
            <w:hideMark/>
          </w:tcPr>
          <w:p w14:paraId="1E1044DC" w14:textId="7309B7BD"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68,6</w:t>
            </w:r>
          </w:p>
        </w:tc>
        <w:tc>
          <w:tcPr>
            <w:tcW w:w="552" w:type="dxa"/>
            <w:tcBorders>
              <w:top w:val="nil"/>
              <w:left w:val="nil"/>
              <w:bottom w:val="single" w:sz="4" w:space="0" w:color="auto"/>
              <w:right w:val="nil"/>
            </w:tcBorders>
            <w:shd w:val="clear" w:color="auto" w:fill="auto"/>
            <w:vAlign w:val="center"/>
            <w:hideMark/>
          </w:tcPr>
          <w:p w14:paraId="712E7520" w14:textId="21DC3743"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68,6</w:t>
            </w:r>
          </w:p>
        </w:tc>
        <w:tc>
          <w:tcPr>
            <w:tcW w:w="506" w:type="dxa"/>
            <w:tcBorders>
              <w:top w:val="nil"/>
              <w:left w:val="nil"/>
              <w:bottom w:val="single" w:sz="4" w:space="0" w:color="auto"/>
              <w:right w:val="nil"/>
            </w:tcBorders>
            <w:shd w:val="clear" w:color="auto" w:fill="auto"/>
            <w:vAlign w:val="center"/>
            <w:hideMark/>
          </w:tcPr>
          <w:p w14:paraId="1E503839" w14:textId="05EADC82"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68,4</w:t>
            </w:r>
          </w:p>
        </w:tc>
        <w:tc>
          <w:tcPr>
            <w:tcW w:w="506" w:type="dxa"/>
            <w:tcBorders>
              <w:top w:val="nil"/>
              <w:left w:val="nil"/>
              <w:bottom w:val="single" w:sz="4" w:space="0" w:color="auto"/>
              <w:right w:val="nil"/>
            </w:tcBorders>
            <w:shd w:val="clear" w:color="auto" w:fill="auto"/>
            <w:vAlign w:val="center"/>
            <w:hideMark/>
          </w:tcPr>
          <w:p w14:paraId="0689B642" w14:textId="6900EE43"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68,4</w:t>
            </w:r>
          </w:p>
        </w:tc>
        <w:tc>
          <w:tcPr>
            <w:tcW w:w="552" w:type="dxa"/>
            <w:tcBorders>
              <w:top w:val="nil"/>
              <w:left w:val="nil"/>
              <w:bottom w:val="single" w:sz="4" w:space="0" w:color="auto"/>
              <w:right w:val="nil"/>
            </w:tcBorders>
            <w:shd w:val="clear" w:color="auto" w:fill="auto"/>
            <w:vAlign w:val="center"/>
            <w:hideMark/>
          </w:tcPr>
          <w:p w14:paraId="6C21A364" w14:textId="0D42B627"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69,2</w:t>
            </w:r>
          </w:p>
        </w:tc>
        <w:tc>
          <w:tcPr>
            <w:tcW w:w="515" w:type="dxa"/>
            <w:tcBorders>
              <w:top w:val="nil"/>
              <w:left w:val="nil"/>
              <w:bottom w:val="single" w:sz="4" w:space="0" w:color="auto"/>
              <w:right w:val="nil"/>
            </w:tcBorders>
            <w:shd w:val="clear" w:color="auto" w:fill="auto"/>
            <w:vAlign w:val="center"/>
            <w:hideMark/>
          </w:tcPr>
          <w:p w14:paraId="618633FA" w14:textId="245A1B17"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70,1</w:t>
            </w:r>
          </w:p>
        </w:tc>
        <w:tc>
          <w:tcPr>
            <w:tcW w:w="506" w:type="dxa"/>
            <w:tcBorders>
              <w:top w:val="nil"/>
              <w:left w:val="nil"/>
              <w:bottom w:val="single" w:sz="4" w:space="0" w:color="auto"/>
              <w:right w:val="nil"/>
            </w:tcBorders>
            <w:vAlign w:val="center"/>
          </w:tcPr>
          <w:p w14:paraId="7C6014E7" w14:textId="50D1B403" w:rsidR="00AA256C" w:rsidRPr="00BF0187" w:rsidRDefault="00AA256C" w:rsidP="00AA256C">
            <w:pPr>
              <w:spacing w:after="0" w:line="240" w:lineRule="auto"/>
              <w:jc w:val="center"/>
              <w:rPr>
                <w:rFonts w:ascii="Arial Narrow" w:hAnsi="Arial Narrow"/>
                <w:sz w:val="20"/>
                <w:szCs w:val="20"/>
              </w:rPr>
            </w:pPr>
          </w:p>
        </w:tc>
        <w:tc>
          <w:tcPr>
            <w:tcW w:w="513" w:type="dxa"/>
            <w:tcBorders>
              <w:top w:val="nil"/>
              <w:left w:val="nil"/>
              <w:bottom w:val="single" w:sz="4" w:space="0" w:color="auto"/>
              <w:right w:val="nil"/>
            </w:tcBorders>
            <w:shd w:val="clear" w:color="auto" w:fill="auto"/>
            <w:vAlign w:val="center"/>
            <w:hideMark/>
          </w:tcPr>
          <w:p w14:paraId="7484F960" w14:textId="2AC5ABE4" w:rsidR="00AA256C" w:rsidRPr="00BF0187" w:rsidRDefault="00AA256C" w:rsidP="00AA256C">
            <w:pPr>
              <w:spacing w:after="0" w:line="240" w:lineRule="auto"/>
              <w:jc w:val="center"/>
              <w:rPr>
                <w:rFonts w:ascii="Arial Narrow" w:hAnsi="Arial Narrow"/>
                <w:sz w:val="20"/>
                <w:szCs w:val="20"/>
              </w:rPr>
            </w:pPr>
            <w:r w:rsidRPr="00BF0187">
              <w:rPr>
                <w:rFonts w:ascii="Arial Narrow" w:hAnsi="Arial Narrow"/>
                <w:sz w:val="20"/>
                <w:szCs w:val="20"/>
              </w:rPr>
              <w:t>75,0</w:t>
            </w:r>
          </w:p>
        </w:tc>
      </w:tr>
      <w:tr w:rsidR="00AA256C" w:rsidRPr="006F2C23" w14:paraId="6B834AFE" w14:textId="77777777" w:rsidTr="00B03377">
        <w:trPr>
          <w:trHeight w:val="282"/>
          <w:jc w:val="center"/>
        </w:trPr>
        <w:tc>
          <w:tcPr>
            <w:tcW w:w="2816" w:type="dxa"/>
            <w:tcBorders>
              <w:top w:val="nil"/>
              <w:left w:val="nil"/>
              <w:right w:val="nil"/>
            </w:tcBorders>
            <w:shd w:val="clear" w:color="auto" w:fill="auto"/>
            <w:vAlign w:val="center"/>
            <w:hideMark/>
          </w:tcPr>
          <w:p w14:paraId="7136C85C" w14:textId="77777777" w:rsidR="00AA256C" w:rsidRPr="006F2C23" w:rsidRDefault="00AA256C" w:rsidP="00AA256C">
            <w:pPr>
              <w:spacing w:after="0" w:line="240" w:lineRule="auto"/>
              <w:rPr>
                <w:rFonts w:ascii="Arial Narrow" w:hAnsi="Arial Narrow"/>
                <w:b/>
                <w:bCs/>
                <w:color w:val="000000"/>
                <w:sz w:val="20"/>
                <w:szCs w:val="20"/>
              </w:rPr>
            </w:pPr>
            <w:r w:rsidRPr="006F2C23">
              <w:rPr>
                <w:rFonts w:ascii="Arial Narrow" w:hAnsi="Arial Narrow"/>
                <w:b/>
                <w:bCs/>
                <w:color w:val="000000"/>
                <w:sz w:val="20"/>
                <w:szCs w:val="20"/>
              </w:rPr>
              <w:t xml:space="preserve">Populácia ohrozená chudobou a </w:t>
            </w:r>
            <w:r w:rsidRPr="006F2C23">
              <w:rPr>
                <w:rFonts w:ascii="Arial Narrow" w:hAnsi="Arial Narrow"/>
                <w:b/>
                <w:bCs/>
                <w:color w:val="000000"/>
                <w:sz w:val="20"/>
                <w:szCs w:val="20"/>
              </w:rPr>
              <w:br/>
              <w:t>sociálnym vylúčením</w:t>
            </w:r>
          </w:p>
        </w:tc>
        <w:tc>
          <w:tcPr>
            <w:tcW w:w="594" w:type="dxa"/>
            <w:tcBorders>
              <w:top w:val="nil"/>
              <w:left w:val="nil"/>
              <w:right w:val="nil"/>
            </w:tcBorders>
            <w:shd w:val="clear" w:color="auto" w:fill="auto"/>
            <w:noWrap/>
            <w:vAlign w:val="center"/>
            <w:hideMark/>
          </w:tcPr>
          <w:p w14:paraId="5DB17525" w14:textId="77777777" w:rsidR="00AA256C" w:rsidRPr="006F2C23" w:rsidRDefault="00AA256C" w:rsidP="00AA256C">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SK</w:t>
            </w:r>
          </w:p>
        </w:tc>
        <w:tc>
          <w:tcPr>
            <w:tcW w:w="552" w:type="dxa"/>
            <w:tcBorders>
              <w:top w:val="nil"/>
              <w:left w:val="nil"/>
              <w:right w:val="nil"/>
            </w:tcBorders>
            <w:shd w:val="clear" w:color="auto" w:fill="auto"/>
            <w:vAlign w:val="center"/>
          </w:tcPr>
          <w:p w14:paraId="0C5D141B" w14:textId="2FCE0F48"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20,6</w:t>
            </w:r>
          </w:p>
        </w:tc>
        <w:tc>
          <w:tcPr>
            <w:tcW w:w="506" w:type="dxa"/>
            <w:tcBorders>
              <w:top w:val="nil"/>
              <w:left w:val="nil"/>
              <w:right w:val="nil"/>
            </w:tcBorders>
            <w:shd w:val="clear" w:color="auto" w:fill="auto"/>
            <w:vAlign w:val="center"/>
            <w:hideMark/>
          </w:tcPr>
          <w:p w14:paraId="69D9012F" w14:textId="4F4E0C84"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19,6</w:t>
            </w:r>
          </w:p>
        </w:tc>
        <w:tc>
          <w:tcPr>
            <w:tcW w:w="506" w:type="dxa"/>
            <w:tcBorders>
              <w:top w:val="nil"/>
              <w:left w:val="nil"/>
              <w:right w:val="nil"/>
            </w:tcBorders>
            <w:shd w:val="clear" w:color="auto" w:fill="auto"/>
            <w:vAlign w:val="center"/>
            <w:hideMark/>
          </w:tcPr>
          <w:p w14:paraId="450F5CD0" w14:textId="25E3DCDA"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20,6</w:t>
            </w:r>
          </w:p>
        </w:tc>
        <w:tc>
          <w:tcPr>
            <w:tcW w:w="552" w:type="dxa"/>
            <w:tcBorders>
              <w:top w:val="nil"/>
              <w:left w:val="nil"/>
              <w:right w:val="nil"/>
            </w:tcBorders>
            <w:shd w:val="clear" w:color="auto" w:fill="auto"/>
            <w:vAlign w:val="center"/>
            <w:hideMark/>
          </w:tcPr>
          <w:p w14:paraId="79687140" w14:textId="542305F4"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20,6</w:t>
            </w:r>
          </w:p>
        </w:tc>
        <w:tc>
          <w:tcPr>
            <w:tcW w:w="506" w:type="dxa"/>
            <w:tcBorders>
              <w:top w:val="nil"/>
              <w:left w:val="nil"/>
              <w:right w:val="nil"/>
            </w:tcBorders>
            <w:shd w:val="clear" w:color="auto" w:fill="auto"/>
            <w:vAlign w:val="center"/>
            <w:hideMark/>
          </w:tcPr>
          <w:p w14:paraId="36CD8E59" w14:textId="7B1AC005"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20,5</w:t>
            </w:r>
          </w:p>
        </w:tc>
        <w:tc>
          <w:tcPr>
            <w:tcW w:w="506" w:type="dxa"/>
            <w:tcBorders>
              <w:top w:val="nil"/>
              <w:left w:val="nil"/>
              <w:right w:val="nil"/>
            </w:tcBorders>
            <w:shd w:val="clear" w:color="auto" w:fill="auto"/>
            <w:vAlign w:val="center"/>
            <w:hideMark/>
          </w:tcPr>
          <w:p w14:paraId="06DACDF8" w14:textId="1F6A274B"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19,8</w:t>
            </w:r>
          </w:p>
        </w:tc>
        <w:tc>
          <w:tcPr>
            <w:tcW w:w="552" w:type="dxa"/>
            <w:tcBorders>
              <w:top w:val="nil"/>
              <w:left w:val="nil"/>
              <w:right w:val="nil"/>
            </w:tcBorders>
            <w:shd w:val="clear" w:color="auto" w:fill="auto"/>
            <w:vAlign w:val="center"/>
            <w:hideMark/>
          </w:tcPr>
          <w:p w14:paraId="131C4A36" w14:textId="23DD6B87"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18,4</w:t>
            </w:r>
          </w:p>
        </w:tc>
        <w:tc>
          <w:tcPr>
            <w:tcW w:w="515" w:type="dxa"/>
            <w:tcBorders>
              <w:top w:val="nil"/>
              <w:left w:val="nil"/>
              <w:right w:val="nil"/>
            </w:tcBorders>
            <w:shd w:val="clear" w:color="auto" w:fill="auto"/>
            <w:vAlign w:val="center"/>
            <w:hideMark/>
          </w:tcPr>
          <w:p w14:paraId="3F57A60D" w14:textId="4FA214B8" w:rsidR="00AA256C" w:rsidRPr="006F2C23" w:rsidRDefault="00AA256C" w:rsidP="00AA256C">
            <w:pPr>
              <w:spacing w:after="0" w:line="240" w:lineRule="auto"/>
              <w:jc w:val="center"/>
              <w:rPr>
                <w:rFonts w:ascii="Arial Narrow" w:hAnsi="Arial Narrow"/>
                <w:sz w:val="20"/>
                <w:szCs w:val="20"/>
              </w:rPr>
            </w:pPr>
            <w:r>
              <w:rPr>
                <w:rFonts w:ascii="Arial Narrow" w:hAnsi="Arial Narrow"/>
                <w:sz w:val="20"/>
                <w:szCs w:val="20"/>
              </w:rPr>
              <w:t>18,4</w:t>
            </w:r>
          </w:p>
        </w:tc>
        <w:tc>
          <w:tcPr>
            <w:tcW w:w="506" w:type="dxa"/>
            <w:tcBorders>
              <w:top w:val="nil"/>
              <w:left w:val="nil"/>
              <w:right w:val="nil"/>
            </w:tcBorders>
            <w:vAlign w:val="center"/>
          </w:tcPr>
          <w:p w14:paraId="0F0B50C1" w14:textId="1B36B16A" w:rsidR="00AA256C" w:rsidRPr="006F2C23" w:rsidRDefault="00C404CE" w:rsidP="00AA256C">
            <w:pPr>
              <w:spacing w:after="0" w:line="240" w:lineRule="auto"/>
              <w:jc w:val="center"/>
              <w:rPr>
                <w:rFonts w:ascii="Arial Narrow" w:hAnsi="Arial Narrow"/>
                <w:sz w:val="20"/>
                <w:szCs w:val="20"/>
              </w:rPr>
            </w:pPr>
            <w:r>
              <w:rPr>
                <w:rFonts w:ascii="Arial Narrow" w:hAnsi="Arial Narrow"/>
                <w:sz w:val="20"/>
                <w:szCs w:val="20"/>
              </w:rPr>
              <w:t>-</w:t>
            </w:r>
          </w:p>
        </w:tc>
        <w:tc>
          <w:tcPr>
            <w:tcW w:w="513" w:type="dxa"/>
            <w:tcBorders>
              <w:top w:val="nil"/>
              <w:left w:val="nil"/>
              <w:right w:val="nil"/>
            </w:tcBorders>
            <w:shd w:val="clear" w:color="auto" w:fill="auto"/>
            <w:vAlign w:val="center"/>
            <w:hideMark/>
          </w:tcPr>
          <w:p w14:paraId="208A0F8D" w14:textId="0D0EE246"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17,2</w:t>
            </w:r>
          </w:p>
        </w:tc>
      </w:tr>
      <w:tr w:rsidR="00AA256C" w:rsidRPr="006F2C23" w14:paraId="51329984" w14:textId="77777777" w:rsidTr="00C404CE">
        <w:trPr>
          <w:trHeight w:val="152"/>
          <w:jc w:val="center"/>
        </w:trPr>
        <w:tc>
          <w:tcPr>
            <w:tcW w:w="2816" w:type="dxa"/>
            <w:tcBorders>
              <w:top w:val="nil"/>
              <w:left w:val="nil"/>
              <w:bottom w:val="single" w:sz="4" w:space="0" w:color="auto"/>
              <w:right w:val="nil"/>
            </w:tcBorders>
            <w:shd w:val="clear" w:color="auto" w:fill="auto"/>
            <w:noWrap/>
            <w:vAlign w:val="center"/>
            <w:hideMark/>
          </w:tcPr>
          <w:p w14:paraId="26E0EA03" w14:textId="77777777" w:rsidR="00AA256C" w:rsidRPr="006F2C23" w:rsidRDefault="00AA256C" w:rsidP="00AA256C">
            <w:pPr>
              <w:spacing w:after="0" w:line="240" w:lineRule="auto"/>
              <w:jc w:val="both"/>
              <w:rPr>
                <w:rFonts w:ascii="Arial Narrow" w:hAnsi="Arial Narrow"/>
                <w:color w:val="000000"/>
                <w:sz w:val="20"/>
                <w:szCs w:val="20"/>
              </w:rPr>
            </w:pPr>
            <w:r w:rsidRPr="006F2C23">
              <w:rPr>
                <w:rFonts w:ascii="Arial Narrow" w:hAnsi="Arial Narrow"/>
                <w:color w:val="000000"/>
                <w:sz w:val="20"/>
                <w:szCs w:val="20"/>
              </w:rPr>
              <w:t>(% populácie)</w:t>
            </w:r>
          </w:p>
        </w:tc>
        <w:tc>
          <w:tcPr>
            <w:tcW w:w="594" w:type="dxa"/>
            <w:tcBorders>
              <w:top w:val="nil"/>
              <w:left w:val="nil"/>
              <w:bottom w:val="single" w:sz="4" w:space="0" w:color="auto"/>
              <w:right w:val="nil"/>
            </w:tcBorders>
            <w:shd w:val="clear" w:color="auto" w:fill="auto"/>
            <w:noWrap/>
            <w:vAlign w:val="center"/>
            <w:hideMark/>
          </w:tcPr>
          <w:p w14:paraId="1D7E32C2" w14:textId="77777777" w:rsidR="00AA256C" w:rsidRPr="006F2C23" w:rsidRDefault="00AA256C" w:rsidP="00AA256C">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EÚ</w:t>
            </w:r>
          </w:p>
        </w:tc>
        <w:tc>
          <w:tcPr>
            <w:tcW w:w="552" w:type="dxa"/>
            <w:tcBorders>
              <w:top w:val="nil"/>
              <w:left w:val="nil"/>
              <w:bottom w:val="single" w:sz="4" w:space="0" w:color="auto"/>
              <w:right w:val="nil"/>
            </w:tcBorders>
            <w:shd w:val="clear" w:color="auto" w:fill="auto"/>
            <w:vAlign w:val="center"/>
          </w:tcPr>
          <w:p w14:paraId="506CB4DA" w14:textId="1801C1B2"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23,7</w:t>
            </w:r>
          </w:p>
        </w:tc>
        <w:tc>
          <w:tcPr>
            <w:tcW w:w="506" w:type="dxa"/>
            <w:tcBorders>
              <w:top w:val="nil"/>
              <w:left w:val="nil"/>
              <w:bottom w:val="single" w:sz="4" w:space="0" w:color="auto"/>
              <w:right w:val="nil"/>
            </w:tcBorders>
            <w:shd w:val="clear" w:color="auto" w:fill="auto"/>
            <w:vAlign w:val="center"/>
            <w:hideMark/>
          </w:tcPr>
          <w:p w14:paraId="7562EA01" w14:textId="76522AAB"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23,</w:t>
            </w:r>
            <w:r>
              <w:rPr>
                <w:rFonts w:ascii="Arial Narrow" w:hAnsi="Arial Narrow"/>
                <w:sz w:val="20"/>
                <w:szCs w:val="20"/>
              </w:rPr>
              <w:t>3</w:t>
            </w:r>
          </w:p>
        </w:tc>
        <w:tc>
          <w:tcPr>
            <w:tcW w:w="506" w:type="dxa"/>
            <w:tcBorders>
              <w:top w:val="nil"/>
              <w:left w:val="nil"/>
              <w:bottom w:val="single" w:sz="4" w:space="0" w:color="auto"/>
              <w:right w:val="nil"/>
            </w:tcBorders>
            <w:shd w:val="clear" w:color="auto" w:fill="auto"/>
            <w:vAlign w:val="center"/>
            <w:hideMark/>
          </w:tcPr>
          <w:p w14:paraId="6EB82E42" w14:textId="1666DE5B"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23,</w:t>
            </w:r>
            <w:r>
              <w:rPr>
                <w:rFonts w:ascii="Arial Narrow" w:hAnsi="Arial Narrow"/>
                <w:sz w:val="20"/>
                <w:szCs w:val="20"/>
              </w:rPr>
              <w:t>7</w:t>
            </w:r>
          </w:p>
        </w:tc>
        <w:tc>
          <w:tcPr>
            <w:tcW w:w="552" w:type="dxa"/>
            <w:tcBorders>
              <w:top w:val="nil"/>
              <w:left w:val="nil"/>
              <w:bottom w:val="single" w:sz="4" w:space="0" w:color="auto"/>
              <w:right w:val="nil"/>
            </w:tcBorders>
            <w:shd w:val="clear" w:color="auto" w:fill="auto"/>
            <w:vAlign w:val="center"/>
            <w:hideMark/>
          </w:tcPr>
          <w:p w14:paraId="2AD38A98" w14:textId="0AFAD916"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24,3</w:t>
            </w:r>
          </w:p>
        </w:tc>
        <w:tc>
          <w:tcPr>
            <w:tcW w:w="506" w:type="dxa"/>
            <w:tcBorders>
              <w:top w:val="nil"/>
              <w:left w:val="nil"/>
              <w:bottom w:val="single" w:sz="4" w:space="0" w:color="auto"/>
              <w:right w:val="nil"/>
            </w:tcBorders>
            <w:shd w:val="clear" w:color="auto" w:fill="auto"/>
            <w:vAlign w:val="center"/>
            <w:hideMark/>
          </w:tcPr>
          <w:p w14:paraId="1078C35C" w14:textId="08C3A7D4"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24,7</w:t>
            </w:r>
          </w:p>
        </w:tc>
        <w:tc>
          <w:tcPr>
            <w:tcW w:w="506" w:type="dxa"/>
            <w:tcBorders>
              <w:top w:val="nil"/>
              <w:left w:val="nil"/>
              <w:bottom w:val="single" w:sz="4" w:space="0" w:color="auto"/>
              <w:right w:val="nil"/>
            </w:tcBorders>
            <w:shd w:val="clear" w:color="auto" w:fill="auto"/>
            <w:vAlign w:val="center"/>
            <w:hideMark/>
          </w:tcPr>
          <w:p w14:paraId="03EB679C" w14:textId="01D800C0"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24,</w:t>
            </w:r>
            <w:r>
              <w:rPr>
                <w:rFonts w:ascii="Arial Narrow" w:hAnsi="Arial Narrow"/>
                <w:sz w:val="20"/>
                <w:szCs w:val="20"/>
              </w:rPr>
              <w:t>6</w:t>
            </w:r>
          </w:p>
        </w:tc>
        <w:tc>
          <w:tcPr>
            <w:tcW w:w="552" w:type="dxa"/>
            <w:tcBorders>
              <w:top w:val="nil"/>
              <w:left w:val="nil"/>
              <w:bottom w:val="single" w:sz="4" w:space="0" w:color="auto"/>
              <w:right w:val="nil"/>
            </w:tcBorders>
            <w:shd w:val="clear" w:color="auto" w:fill="auto"/>
            <w:vAlign w:val="center"/>
            <w:hideMark/>
          </w:tcPr>
          <w:p w14:paraId="78F26E36" w14:textId="0B4FDC46"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24,4</w:t>
            </w:r>
          </w:p>
        </w:tc>
        <w:tc>
          <w:tcPr>
            <w:tcW w:w="515" w:type="dxa"/>
            <w:tcBorders>
              <w:top w:val="nil"/>
              <w:left w:val="nil"/>
              <w:bottom w:val="single" w:sz="4" w:space="0" w:color="auto"/>
              <w:right w:val="nil"/>
            </w:tcBorders>
            <w:shd w:val="clear" w:color="auto" w:fill="auto"/>
            <w:vAlign w:val="center"/>
            <w:hideMark/>
          </w:tcPr>
          <w:p w14:paraId="077B03B5" w14:textId="60DB6AEE" w:rsidR="00AA256C" w:rsidRPr="006F2C23" w:rsidRDefault="00AA256C" w:rsidP="00AA256C">
            <w:pPr>
              <w:spacing w:after="0" w:line="240" w:lineRule="auto"/>
              <w:jc w:val="center"/>
              <w:rPr>
                <w:rFonts w:ascii="Arial Narrow" w:hAnsi="Arial Narrow"/>
                <w:sz w:val="20"/>
                <w:szCs w:val="20"/>
              </w:rPr>
            </w:pPr>
            <w:r>
              <w:rPr>
                <w:rFonts w:ascii="Arial Narrow" w:hAnsi="Arial Narrow"/>
                <w:sz w:val="20"/>
                <w:szCs w:val="20"/>
              </w:rPr>
              <w:t>23,7</w:t>
            </w:r>
          </w:p>
        </w:tc>
        <w:tc>
          <w:tcPr>
            <w:tcW w:w="506" w:type="dxa"/>
            <w:tcBorders>
              <w:top w:val="nil"/>
              <w:left w:val="nil"/>
              <w:bottom w:val="single" w:sz="4" w:space="0" w:color="auto"/>
              <w:right w:val="nil"/>
            </w:tcBorders>
            <w:vAlign w:val="center"/>
          </w:tcPr>
          <w:p w14:paraId="008BE882" w14:textId="1C40DE6A" w:rsidR="00AA256C" w:rsidRPr="006F2C23" w:rsidRDefault="00C404CE" w:rsidP="00C404CE">
            <w:pPr>
              <w:spacing w:after="0" w:line="240" w:lineRule="auto"/>
              <w:jc w:val="center"/>
              <w:rPr>
                <w:rFonts w:ascii="Arial Narrow" w:hAnsi="Arial Narrow"/>
                <w:sz w:val="20"/>
                <w:szCs w:val="20"/>
              </w:rPr>
            </w:pPr>
            <w:r>
              <w:rPr>
                <w:rFonts w:ascii="Arial Narrow" w:hAnsi="Arial Narrow"/>
                <w:sz w:val="20"/>
                <w:szCs w:val="20"/>
              </w:rPr>
              <w:t>-</w:t>
            </w:r>
          </w:p>
        </w:tc>
        <w:tc>
          <w:tcPr>
            <w:tcW w:w="513" w:type="dxa"/>
            <w:tcBorders>
              <w:top w:val="nil"/>
              <w:left w:val="nil"/>
              <w:bottom w:val="single" w:sz="4" w:space="0" w:color="auto"/>
              <w:right w:val="nil"/>
            </w:tcBorders>
            <w:shd w:val="clear" w:color="auto" w:fill="auto"/>
            <w:vAlign w:val="center"/>
            <w:hideMark/>
          </w:tcPr>
          <w:p w14:paraId="1549F46C" w14:textId="4025ADDE" w:rsidR="00AA256C" w:rsidRPr="006F2C23" w:rsidRDefault="00AA256C" w:rsidP="00AA256C">
            <w:pPr>
              <w:spacing w:after="0" w:line="240" w:lineRule="auto"/>
              <w:jc w:val="center"/>
              <w:rPr>
                <w:rFonts w:ascii="Arial Narrow" w:hAnsi="Arial Narrow"/>
                <w:sz w:val="20"/>
                <w:szCs w:val="20"/>
              </w:rPr>
            </w:pPr>
            <w:r w:rsidRPr="006F2C23">
              <w:rPr>
                <w:rFonts w:ascii="Arial Narrow" w:hAnsi="Arial Narrow"/>
                <w:sz w:val="20"/>
                <w:szCs w:val="20"/>
              </w:rPr>
              <w:t>19,4</w:t>
            </w:r>
          </w:p>
        </w:tc>
      </w:tr>
      <w:tr w:rsidR="00DB4DE2" w:rsidRPr="00B01A86" w14:paraId="1F3607F6" w14:textId="77777777" w:rsidTr="00DB4DE2">
        <w:trPr>
          <w:trHeight w:val="282"/>
          <w:jc w:val="center"/>
        </w:trPr>
        <w:tc>
          <w:tcPr>
            <w:tcW w:w="2816" w:type="dxa"/>
            <w:tcBorders>
              <w:top w:val="single" w:sz="4" w:space="0" w:color="auto"/>
              <w:left w:val="nil"/>
              <w:bottom w:val="nil"/>
              <w:right w:val="nil"/>
            </w:tcBorders>
            <w:shd w:val="clear" w:color="auto" w:fill="auto"/>
            <w:noWrap/>
            <w:vAlign w:val="center"/>
          </w:tcPr>
          <w:p w14:paraId="40F5E2F2" w14:textId="4E3725D6" w:rsidR="00DB4DE2" w:rsidRPr="00B01A86" w:rsidRDefault="00DB4DE2" w:rsidP="00DB4DE2">
            <w:pPr>
              <w:spacing w:after="0" w:line="240" w:lineRule="auto"/>
              <w:jc w:val="both"/>
              <w:rPr>
                <w:rFonts w:ascii="Arial Narrow" w:hAnsi="Arial Narrow"/>
                <w:b/>
                <w:color w:val="000000"/>
                <w:sz w:val="18"/>
                <w:szCs w:val="20"/>
              </w:rPr>
            </w:pPr>
            <w:r>
              <w:rPr>
                <w:rFonts w:ascii="Arial Narrow" w:hAnsi="Arial Narrow"/>
                <w:b/>
                <w:sz w:val="20"/>
              </w:rPr>
              <w:t>Miera náhrady</w:t>
            </w:r>
            <w:r w:rsidRPr="00F91084">
              <w:rPr>
                <w:rFonts w:ascii="Arial Narrow" w:hAnsi="Arial Narrow"/>
                <w:b/>
                <w:sz w:val="20"/>
              </w:rPr>
              <w:t xml:space="preserve"> </w:t>
            </w:r>
            <w:r>
              <w:rPr>
                <w:rFonts w:ascii="Arial Narrow" w:hAnsi="Arial Narrow"/>
                <w:b/>
                <w:sz w:val="20"/>
              </w:rPr>
              <w:t>(</w:t>
            </w:r>
            <w:r w:rsidRPr="00B01A86">
              <w:rPr>
                <w:rFonts w:ascii="Arial Narrow" w:hAnsi="Arial Narrow"/>
                <w:b/>
                <w:sz w:val="20"/>
              </w:rPr>
              <w:t>Benefit ratio</w:t>
            </w:r>
            <w:r>
              <w:rPr>
                <w:rFonts w:ascii="Arial Narrow" w:hAnsi="Arial Narrow"/>
                <w:b/>
                <w:sz w:val="20"/>
              </w:rPr>
              <w:t>)</w:t>
            </w:r>
          </w:p>
        </w:tc>
        <w:tc>
          <w:tcPr>
            <w:tcW w:w="594" w:type="dxa"/>
            <w:tcBorders>
              <w:top w:val="single" w:sz="4" w:space="0" w:color="auto"/>
              <w:left w:val="nil"/>
              <w:bottom w:val="nil"/>
              <w:right w:val="nil"/>
            </w:tcBorders>
            <w:shd w:val="clear" w:color="auto" w:fill="auto"/>
            <w:noWrap/>
            <w:vAlign w:val="center"/>
          </w:tcPr>
          <w:p w14:paraId="34104624" w14:textId="323718F6" w:rsidR="00DB4DE2" w:rsidRPr="00B01A86" w:rsidRDefault="00DB4DE2" w:rsidP="00DB4DE2">
            <w:pPr>
              <w:spacing w:after="0" w:line="240" w:lineRule="auto"/>
              <w:jc w:val="center"/>
              <w:rPr>
                <w:rFonts w:ascii="Arial Narrow" w:hAnsi="Arial Narrow"/>
                <w:b/>
                <w:bCs/>
                <w:color w:val="000000"/>
                <w:sz w:val="18"/>
                <w:szCs w:val="20"/>
              </w:rPr>
            </w:pPr>
            <w:r w:rsidRPr="00B01A86">
              <w:rPr>
                <w:rFonts w:ascii="Arial Narrow" w:hAnsi="Arial Narrow"/>
                <w:b/>
                <w:sz w:val="20"/>
              </w:rPr>
              <w:t>SK</w:t>
            </w:r>
          </w:p>
        </w:tc>
        <w:tc>
          <w:tcPr>
            <w:tcW w:w="552" w:type="dxa"/>
            <w:tcBorders>
              <w:top w:val="single" w:sz="4" w:space="0" w:color="auto"/>
              <w:left w:val="nil"/>
              <w:bottom w:val="nil"/>
              <w:right w:val="nil"/>
            </w:tcBorders>
            <w:shd w:val="clear" w:color="auto" w:fill="auto"/>
            <w:vAlign w:val="center"/>
          </w:tcPr>
          <w:p w14:paraId="6F5F9FF4" w14:textId="26A14008"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single" w:sz="4" w:space="0" w:color="auto"/>
              <w:left w:val="nil"/>
              <w:bottom w:val="nil"/>
              <w:right w:val="nil"/>
            </w:tcBorders>
            <w:shd w:val="clear" w:color="auto" w:fill="auto"/>
            <w:vAlign w:val="center"/>
          </w:tcPr>
          <w:p w14:paraId="42883B6B" w14:textId="13223838"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single" w:sz="4" w:space="0" w:color="auto"/>
              <w:left w:val="nil"/>
              <w:bottom w:val="nil"/>
              <w:right w:val="nil"/>
            </w:tcBorders>
            <w:shd w:val="clear" w:color="auto" w:fill="auto"/>
            <w:vAlign w:val="center"/>
          </w:tcPr>
          <w:p w14:paraId="7F5C415F" w14:textId="1554EBEB" w:rsidR="00DB4DE2" w:rsidRPr="00DB4DE2" w:rsidRDefault="00DB4DE2" w:rsidP="00DB4DE2">
            <w:pPr>
              <w:spacing w:after="0" w:line="240" w:lineRule="auto"/>
              <w:jc w:val="center"/>
              <w:rPr>
                <w:rFonts w:ascii="Arial Narrow" w:hAnsi="Arial Narrow"/>
                <w:sz w:val="20"/>
                <w:szCs w:val="20"/>
              </w:rPr>
            </w:pPr>
            <w:r w:rsidRPr="00DB4DE2">
              <w:rPr>
                <w:rFonts w:ascii="Arial Narrow" w:hAnsi="Arial Narrow"/>
                <w:sz w:val="20"/>
                <w:szCs w:val="20"/>
              </w:rPr>
              <w:t>43,7</w:t>
            </w:r>
          </w:p>
        </w:tc>
        <w:tc>
          <w:tcPr>
            <w:tcW w:w="552" w:type="dxa"/>
            <w:tcBorders>
              <w:top w:val="single" w:sz="4" w:space="0" w:color="auto"/>
              <w:left w:val="nil"/>
              <w:bottom w:val="nil"/>
              <w:right w:val="nil"/>
            </w:tcBorders>
            <w:shd w:val="clear" w:color="auto" w:fill="auto"/>
            <w:vAlign w:val="center"/>
          </w:tcPr>
          <w:p w14:paraId="1144E0FC" w14:textId="22D3707F"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single" w:sz="4" w:space="0" w:color="auto"/>
              <w:left w:val="nil"/>
              <w:bottom w:val="nil"/>
              <w:right w:val="nil"/>
            </w:tcBorders>
            <w:shd w:val="clear" w:color="auto" w:fill="auto"/>
            <w:vAlign w:val="center"/>
          </w:tcPr>
          <w:p w14:paraId="1A77E69C" w14:textId="248F7BCD"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single" w:sz="4" w:space="0" w:color="auto"/>
              <w:left w:val="nil"/>
              <w:bottom w:val="nil"/>
              <w:right w:val="nil"/>
            </w:tcBorders>
            <w:shd w:val="clear" w:color="auto" w:fill="auto"/>
            <w:vAlign w:val="center"/>
          </w:tcPr>
          <w:p w14:paraId="04D6B7F5" w14:textId="4E011104" w:rsidR="00DB4DE2" w:rsidRPr="00DB4DE2" w:rsidRDefault="00DB4DE2" w:rsidP="00DB4DE2">
            <w:pPr>
              <w:spacing w:after="0" w:line="240" w:lineRule="auto"/>
              <w:jc w:val="center"/>
              <w:rPr>
                <w:rFonts w:ascii="Arial Narrow" w:hAnsi="Arial Narrow"/>
                <w:sz w:val="20"/>
                <w:szCs w:val="20"/>
              </w:rPr>
            </w:pPr>
            <w:r w:rsidRPr="00DB4DE2">
              <w:rPr>
                <w:rFonts w:ascii="Arial Narrow" w:hAnsi="Arial Narrow"/>
                <w:sz w:val="20"/>
                <w:szCs w:val="20"/>
              </w:rPr>
              <w:t>45,7</w:t>
            </w:r>
          </w:p>
        </w:tc>
        <w:tc>
          <w:tcPr>
            <w:tcW w:w="552" w:type="dxa"/>
            <w:tcBorders>
              <w:top w:val="single" w:sz="4" w:space="0" w:color="auto"/>
              <w:left w:val="nil"/>
              <w:bottom w:val="nil"/>
              <w:right w:val="nil"/>
            </w:tcBorders>
            <w:shd w:val="clear" w:color="auto" w:fill="auto"/>
            <w:vAlign w:val="center"/>
          </w:tcPr>
          <w:p w14:paraId="3C5BD7D8" w14:textId="2F8D1BC6"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15" w:type="dxa"/>
            <w:tcBorders>
              <w:top w:val="single" w:sz="4" w:space="0" w:color="auto"/>
              <w:left w:val="nil"/>
              <w:bottom w:val="nil"/>
              <w:right w:val="nil"/>
            </w:tcBorders>
            <w:shd w:val="clear" w:color="auto" w:fill="auto"/>
            <w:vAlign w:val="center"/>
          </w:tcPr>
          <w:p w14:paraId="2A7448E5" w14:textId="536F4C87"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single" w:sz="4" w:space="0" w:color="auto"/>
              <w:left w:val="nil"/>
              <w:bottom w:val="nil"/>
              <w:right w:val="nil"/>
            </w:tcBorders>
            <w:vAlign w:val="center"/>
          </w:tcPr>
          <w:p w14:paraId="4A1D4159" w14:textId="6FD7A976"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13" w:type="dxa"/>
            <w:tcBorders>
              <w:top w:val="single" w:sz="4" w:space="0" w:color="auto"/>
              <w:left w:val="nil"/>
              <w:bottom w:val="nil"/>
              <w:right w:val="nil"/>
            </w:tcBorders>
            <w:shd w:val="clear" w:color="auto" w:fill="auto"/>
            <w:vAlign w:val="center"/>
          </w:tcPr>
          <w:p w14:paraId="5F60CA19" w14:textId="3F8D0C94"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r>
      <w:tr w:rsidR="00DB4DE2" w:rsidRPr="00B01A86" w14:paraId="7920D4DA" w14:textId="77777777" w:rsidTr="00DB4DE2">
        <w:trPr>
          <w:trHeight w:val="282"/>
          <w:jc w:val="center"/>
        </w:trPr>
        <w:tc>
          <w:tcPr>
            <w:tcW w:w="2816" w:type="dxa"/>
            <w:tcBorders>
              <w:top w:val="nil"/>
              <w:left w:val="nil"/>
              <w:bottom w:val="single" w:sz="4" w:space="0" w:color="auto"/>
              <w:right w:val="nil"/>
            </w:tcBorders>
            <w:shd w:val="clear" w:color="auto" w:fill="auto"/>
            <w:noWrap/>
            <w:vAlign w:val="center"/>
          </w:tcPr>
          <w:p w14:paraId="2BA49C60" w14:textId="1F82FB1F" w:rsidR="00DB4DE2" w:rsidRPr="00B01A86" w:rsidRDefault="00DB4DE2" w:rsidP="00DB4DE2">
            <w:pPr>
              <w:spacing w:after="0" w:line="240" w:lineRule="auto"/>
              <w:jc w:val="both"/>
              <w:rPr>
                <w:rFonts w:ascii="Arial Narrow" w:hAnsi="Arial Narrow"/>
                <w:sz w:val="20"/>
              </w:rPr>
            </w:pPr>
            <w:r>
              <w:rPr>
                <w:rFonts w:ascii="Arial Narrow" w:hAnsi="Arial Narrow"/>
                <w:sz w:val="20"/>
              </w:rPr>
              <w:t xml:space="preserve">(priemerná dôchodková dávka, % </w:t>
            </w:r>
            <w:r w:rsidRPr="00B01A86">
              <w:rPr>
                <w:rFonts w:ascii="Arial Narrow" w:hAnsi="Arial Narrow"/>
                <w:sz w:val="20"/>
              </w:rPr>
              <w:t>z priemernej mzdy)</w:t>
            </w:r>
          </w:p>
        </w:tc>
        <w:tc>
          <w:tcPr>
            <w:tcW w:w="594" w:type="dxa"/>
            <w:tcBorders>
              <w:top w:val="nil"/>
              <w:left w:val="nil"/>
              <w:bottom w:val="single" w:sz="4" w:space="0" w:color="auto"/>
              <w:right w:val="nil"/>
            </w:tcBorders>
            <w:shd w:val="clear" w:color="auto" w:fill="auto"/>
            <w:noWrap/>
            <w:vAlign w:val="center"/>
          </w:tcPr>
          <w:p w14:paraId="650FD8E7" w14:textId="3C478029" w:rsidR="00DB4DE2" w:rsidRPr="00B01A86" w:rsidRDefault="00DB4DE2" w:rsidP="00DB4DE2">
            <w:pPr>
              <w:spacing w:after="0" w:line="240" w:lineRule="auto"/>
              <w:jc w:val="center"/>
              <w:rPr>
                <w:rFonts w:ascii="Arial Narrow" w:hAnsi="Arial Narrow"/>
                <w:b/>
                <w:bCs/>
                <w:color w:val="000000"/>
                <w:sz w:val="18"/>
                <w:szCs w:val="20"/>
              </w:rPr>
            </w:pPr>
            <w:r w:rsidRPr="00B01A86">
              <w:rPr>
                <w:rFonts w:ascii="Arial Narrow" w:hAnsi="Arial Narrow"/>
                <w:b/>
                <w:sz w:val="20"/>
              </w:rPr>
              <w:t>EÚ</w:t>
            </w:r>
          </w:p>
        </w:tc>
        <w:tc>
          <w:tcPr>
            <w:tcW w:w="552" w:type="dxa"/>
            <w:tcBorders>
              <w:top w:val="nil"/>
              <w:left w:val="nil"/>
              <w:bottom w:val="single" w:sz="4" w:space="0" w:color="auto"/>
              <w:right w:val="nil"/>
            </w:tcBorders>
            <w:shd w:val="clear" w:color="auto" w:fill="auto"/>
            <w:vAlign w:val="center"/>
          </w:tcPr>
          <w:p w14:paraId="2C010171" w14:textId="57384F3B"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nil"/>
              <w:left w:val="nil"/>
              <w:bottom w:val="single" w:sz="4" w:space="0" w:color="auto"/>
              <w:right w:val="nil"/>
            </w:tcBorders>
            <w:shd w:val="clear" w:color="auto" w:fill="auto"/>
            <w:vAlign w:val="center"/>
          </w:tcPr>
          <w:p w14:paraId="3DA118A1" w14:textId="0004E7AC"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nil"/>
              <w:left w:val="nil"/>
              <w:bottom w:val="single" w:sz="4" w:space="0" w:color="auto"/>
              <w:right w:val="nil"/>
            </w:tcBorders>
            <w:shd w:val="clear" w:color="auto" w:fill="auto"/>
            <w:vAlign w:val="center"/>
          </w:tcPr>
          <w:p w14:paraId="683AA463" w14:textId="41462E48" w:rsidR="00DB4DE2" w:rsidRPr="00DB4DE2" w:rsidRDefault="00FF0E73" w:rsidP="00DB4DE2">
            <w:pPr>
              <w:spacing w:after="0" w:line="240" w:lineRule="auto"/>
              <w:jc w:val="center"/>
              <w:rPr>
                <w:rFonts w:ascii="Arial Narrow" w:hAnsi="Arial Narrow"/>
                <w:sz w:val="20"/>
                <w:szCs w:val="20"/>
              </w:rPr>
            </w:pPr>
            <w:r>
              <w:rPr>
                <w:rFonts w:ascii="Arial Narrow" w:hAnsi="Arial Narrow"/>
                <w:sz w:val="20"/>
                <w:szCs w:val="20"/>
              </w:rPr>
              <w:t>41,4</w:t>
            </w:r>
          </w:p>
        </w:tc>
        <w:tc>
          <w:tcPr>
            <w:tcW w:w="552" w:type="dxa"/>
            <w:tcBorders>
              <w:top w:val="nil"/>
              <w:left w:val="nil"/>
              <w:bottom w:val="single" w:sz="4" w:space="0" w:color="auto"/>
              <w:right w:val="nil"/>
            </w:tcBorders>
            <w:shd w:val="clear" w:color="auto" w:fill="auto"/>
            <w:vAlign w:val="center"/>
          </w:tcPr>
          <w:p w14:paraId="2CC16A3E" w14:textId="4C01E6ED"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nil"/>
              <w:left w:val="nil"/>
              <w:bottom w:val="single" w:sz="4" w:space="0" w:color="auto"/>
              <w:right w:val="nil"/>
            </w:tcBorders>
            <w:shd w:val="clear" w:color="auto" w:fill="auto"/>
            <w:vAlign w:val="center"/>
          </w:tcPr>
          <w:p w14:paraId="1315A52B" w14:textId="2DAC7499"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nil"/>
              <w:left w:val="nil"/>
              <w:bottom w:val="single" w:sz="4" w:space="0" w:color="auto"/>
              <w:right w:val="nil"/>
            </w:tcBorders>
            <w:shd w:val="clear" w:color="auto" w:fill="auto"/>
            <w:vAlign w:val="center"/>
          </w:tcPr>
          <w:p w14:paraId="406E1187" w14:textId="09FA96FD" w:rsidR="00DB4DE2" w:rsidRPr="00DB4DE2" w:rsidRDefault="00DB4DE2" w:rsidP="00DB4DE2">
            <w:pPr>
              <w:spacing w:after="0" w:line="240" w:lineRule="auto"/>
              <w:jc w:val="center"/>
              <w:rPr>
                <w:rFonts w:ascii="Arial Narrow" w:hAnsi="Arial Narrow"/>
                <w:sz w:val="20"/>
                <w:szCs w:val="20"/>
              </w:rPr>
            </w:pPr>
            <w:r w:rsidRPr="00DB4DE2">
              <w:rPr>
                <w:rFonts w:ascii="Arial Narrow" w:hAnsi="Arial Narrow"/>
                <w:sz w:val="20"/>
                <w:szCs w:val="20"/>
              </w:rPr>
              <w:t>44</w:t>
            </w:r>
            <w:r w:rsidR="008773AD">
              <w:rPr>
                <w:rFonts w:ascii="Arial Narrow" w:hAnsi="Arial Narrow"/>
                <w:sz w:val="20"/>
                <w:szCs w:val="20"/>
              </w:rPr>
              <w:t>,0</w:t>
            </w:r>
          </w:p>
        </w:tc>
        <w:tc>
          <w:tcPr>
            <w:tcW w:w="552" w:type="dxa"/>
            <w:tcBorders>
              <w:top w:val="nil"/>
              <w:left w:val="nil"/>
              <w:bottom w:val="single" w:sz="4" w:space="0" w:color="auto"/>
              <w:right w:val="nil"/>
            </w:tcBorders>
            <w:shd w:val="clear" w:color="auto" w:fill="auto"/>
            <w:vAlign w:val="center"/>
          </w:tcPr>
          <w:p w14:paraId="59A336A4" w14:textId="7A8DD189"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15" w:type="dxa"/>
            <w:tcBorders>
              <w:top w:val="nil"/>
              <w:left w:val="nil"/>
              <w:bottom w:val="single" w:sz="4" w:space="0" w:color="auto"/>
              <w:right w:val="nil"/>
            </w:tcBorders>
            <w:shd w:val="clear" w:color="auto" w:fill="auto"/>
            <w:vAlign w:val="center"/>
          </w:tcPr>
          <w:p w14:paraId="6574202C" w14:textId="429F7665"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06" w:type="dxa"/>
            <w:tcBorders>
              <w:top w:val="nil"/>
              <w:left w:val="nil"/>
              <w:bottom w:val="single" w:sz="4" w:space="0" w:color="auto"/>
              <w:right w:val="nil"/>
            </w:tcBorders>
            <w:vAlign w:val="center"/>
          </w:tcPr>
          <w:p w14:paraId="330315B9" w14:textId="6D4D1EB2"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c>
          <w:tcPr>
            <w:tcW w:w="513" w:type="dxa"/>
            <w:tcBorders>
              <w:top w:val="nil"/>
              <w:left w:val="nil"/>
              <w:bottom w:val="single" w:sz="4" w:space="0" w:color="auto"/>
              <w:right w:val="nil"/>
            </w:tcBorders>
            <w:shd w:val="clear" w:color="auto" w:fill="auto"/>
            <w:vAlign w:val="center"/>
          </w:tcPr>
          <w:p w14:paraId="1865169A" w14:textId="21285538" w:rsidR="00DB4DE2" w:rsidRPr="00DB4DE2" w:rsidRDefault="00DB4DE2" w:rsidP="00DB4DE2">
            <w:pPr>
              <w:spacing w:after="0" w:line="240" w:lineRule="auto"/>
              <w:jc w:val="center"/>
              <w:rPr>
                <w:rFonts w:ascii="Arial Narrow" w:hAnsi="Arial Narrow"/>
                <w:sz w:val="20"/>
                <w:szCs w:val="20"/>
              </w:rPr>
            </w:pPr>
            <w:r>
              <w:rPr>
                <w:rFonts w:ascii="Arial Narrow" w:hAnsi="Arial Narrow"/>
                <w:sz w:val="20"/>
                <w:szCs w:val="20"/>
              </w:rPr>
              <w:t>-</w:t>
            </w:r>
          </w:p>
        </w:tc>
      </w:tr>
    </w:tbl>
    <w:p w14:paraId="0DA1BD16" w14:textId="77777777" w:rsidR="00A21143" w:rsidRPr="00B01A86" w:rsidRDefault="00A21143" w:rsidP="00FB625E">
      <w:pPr>
        <w:pStyle w:val="Odsekzoznamu"/>
        <w:tabs>
          <w:tab w:val="left" w:pos="426"/>
        </w:tabs>
        <w:spacing w:after="0" w:line="240" w:lineRule="auto"/>
        <w:ind w:left="0"/>
        <w:contextualSpacing w:val="0"/>
        <w:jc w:val="both"/>
        <w:rPr>
          <w:rFonts w:ascii="Arial Narrow" w:hAnsi="Arial Narrow"/>
          <w:sz w:val="20"/>
        </w:rPr>
      </w:pPr>
    </w:p>
    <w:p w14:paraId="646D6AB2" w14:textId="1628B182" w:rsidR="00A75437" w:rsidRDefault="007421DC" w:rsidP="00A75437">
      <w:pPr>
        <w:spacing w:after="0" w:line="240" w:lineRule="auto"/>
        <w:contextualSpacing/>
        <w:jc w:val="both"/>
        <w:rPr>
          <w:rFonts w:ascii="Arial Narrow" w:hAnsi="Arial Narrow"/>
        </w:rPr>
      </w:pPr>
      <w:r>
        <w:rPr>
          <w:rFonts w:ascii="Arial Narrow" w:hAnsi="Arial Narrow"/>
        </w:rPr>
        <w:t>V</w:t>
      </w:r>
      <w:r w:rsidRPr="00B52957">
        <w:rPr>
          <w:rFonts w:ascii="Arial Narrow" w:hAnsi="Arial Narrow"/>
        </w:rPr>
        <w:t xml:space="preserve"> ro</w:t>
      </w:r>
      <w:r w:rsidR="0051456A">
        <w:rPr>
          <w:rFonts w:ascii="Arial Narrow" w:hAnsi="Arial Narrow"/>
        </w:rPr>
        <w:t xml:space="preserve">ku 2016 sa vytvorilo 54 tisíc </w:t>
      </w:r>
      <w:r w:rsidRPr="00B52957">
        <w:rPr>
          <w:rFonts w:ascii="Arial Narrow" w:hAnsi="Arial Narrow"/>
        </w:rPr>
        <w:t>nových pracovných miest</w:t>
      </w:r>
      <w:r w:rsidR="000C091F">
        <w:rPr>
          <w:rStyle w:val="Odkaznapoznmkupodiarou"/>
          <w:rFonts w:ascii="Arial Narrow" w:hAnsi="Arial Narrow"/>
        </w:rPr>
        <w:footnoteReference w:id="32"/>
      </w:r>
      <w:r w:rsidRPr="00B52957">
        <w:rPr>
          <w:rFonts w:ascii="Arial Narrow" w:hAnsi="Arial Narrow"/>
        </w:rPr>
        <w:t>, druhý najúspešnejší rok v histórii SR</w:t>
      </w:r>
      <w:r>
        <w:rPr>
          <w:rFonts w:ascii="Arial Narrow" w:hAnsi="Arial Narrow"/>
        </w:rPr>
        <w:t xml:space="preserve">. </w:t>
      </w:r>
      <w:r w:rsidR="003113FD">
        <w:rPr>
          <w:rFonts w:ascii="Arial Narrow" w:hAnsi="Arial Narrow"/>
        </w:rPr>
        <w:t>T</w:t>
      </w:r>
      <w:r w:rsidR="00F77FA7" w:rsidRPr="00256D89">
        <w:rPr>
          <w:rFonts w:ascii="Arial Narrow" w:hAnsi="Arial Narrow"/>
        </w:rPr>
        <w:t xml:space="preserve">rh práce </w:t>
      </w:r>
      <w:r w:rsidR="00A017E0">
        <w:rPr>
          <w:rFonts w:ascii="Arial Narrow" w:hAnsi="Arial Narrow"/>
        </w:rPr>
        <w:t xml:space="preserve">zostáva </w:t>
      </w:r>
      <w:r w:rsidR="003113FD">
        <w:rPr>
          <w:rFonts w:ascii="Arial Narrow" w:hAnsi="Arial Narrow"/>
        </w:rPr>
        <w:t xml:space="preserve">aj napriek súčasnému pozitívnemu vývoju </w:t>
      </w:r>
      <w:r w:rsidR="00F77FA7" w:rsidRPr="00256D89">
        <w:rPr>
          <w:rFonts w:ascii="Arial Narrow" w:hAnsi="Arial Narrow"/>
        </w:rPr>
        <w:t xml:space="preserve">dlhodobo </w:t>
      </w:r>
      <w:r w:rsidR="00A017E0">
        <w:rPr>
          <w:rFonts w:ascii="Arial Narrow" w:hAnsi="Arial Narrow"/>
        </w:rPr>
        <w:t xml:space="preserve">hlavnou výzvou </w:t>
      </w:r>
      <w:r w:rsidR="00F77FA7" w:rsidRPr="00256D89">
        <w:rPr>
          <w:rFonts w:ascii="Arial Narrow" w:hAnsi="Arial Narrow"/>
        </w:rPr>
        <w:t xml:space="preserve">slovenskej ekonomiky. </w:t>
      </w:r>
      <w:r w:rsidR="0021339F">
        <w:rPr>
          <w:rFonts w:ascii="Arial Narrow" w:hAnsi="Arial Narrow"/>
        </w:rPr>
        <w:t xml:space="preserve">Sezónne očistená </w:t>
      </w:r>
      <w:r w:rsidR="003113FD">
        <w:rPr>
          <w:rFonts w:ascii="Arial Narrow" w:hAnsi="Arial Narrow"/>
        </w:rPr>
        <w:t xml:space="preserve">celková </w:t>
      </w:r>
      <w:r w:rsidR="0021339F">
        <w:rPr>
          <w:rFonts w:ascii="Arial Narrow" w:hAnsi="Arial Narrow"/>
          <w:szCs w:val="36"/>
          <w:lang w:eastAsia="en-US"/>
        </w:rPr>
        <w:t>m</w:t>
      </w:r>
      <w:r w:rsidR="00A017E0">
        <w:rPr>
          <w:rFonts w:ascii="Arial Narrow" w:hAnsi="Arial Narrow"/>
          <w:szCs w:val="36"/>
          <w:lang w:eastAsia="en-US"/>
        </w:rPr>
        <w:t>iera celkovej nezamestnanosti klesla vo štvrtom kvartáli 2016 na úroveň 9 %,</w:t>
      </w:r>
      <w:r w:rsidR="00463996">
        <w:rPr>
          <w:rFonts w:ascii="Arial Narrow" w:hAnsi="Arial Narrow"/>
          <w:szCs w:val="36"/>
          <w:lang w:eastAsia="en-US"/>
        </w:rPr>
        <w:t xml:space="preserve"> čo predstavuje najlepšiu hodnotu od </w:t>
      </w:r>
      <w:r w:rsidR="00065D1E">
        <w:rPr>
          <w:rFonts w:ascii="Arial Narrow" w:hAnsi="Arial Narrow"/>
          <w:szCs w:val="36"/>
          <w:lang w:eastAsia="en-US"/>
        </w:rPr>
        <w:t xml:space="preserve">štvrtého kvartálu </w:t>
      </w:r>
      <w:r w:rsidR="00463996">
        <w:rPr>
          <w:rFonts w:ascii="Arial Narrow" w:hAnsi="Arial Narrow"/>
          <w:szCs w:val="36"/>
          <w:lang w:eastAsia="en-US"/>
        </w:rPr>
        <w:t xml:space="preserve">2008. </w:t>
      </w:r>
      <w:r w:rsidR="00630324">
        <w:rPr>
          <w:rFonts w:ascii="Arial Narrow" w:hAnsi="Arial Narrow"/>
          <w:szCs w:val="36"/>
          <w:lang w:eastAsia="en-US"/>
        </w:rPr>
        <w:t>Stále však zostáva výr</w:t>
      </w:r>
      <w:r w:rsidR="00D35AEF">
        <w:rPr>
          <w:rFonts w:ascii="Arial Narrow" w:hAnsi="Arial Narrow"/>
          <w:szCs w:val="36"/>
          <w:lang w:eastAsia="en-US"/>
        </w:rPr>
        <w:t xml:space="preserve">azne </w:t>
      </w:r>
      <w:r w:rsidR="00630324">
        <w:rPr>
          <w:rFonts w:ascii="Arial Narrow" w:hAnsi="Arial Narrow"/>
          <w:szCs w:val="36"/>
          <w:lang w:eastAsia="en-US"/>
        </w:rPr>
        <w:t>nad priemerom krajín V3.</w:t>
      </w:r>
    </w:p>
    <w:p w14:paraId="34BEA810" w14:textId="77777777" w:rsidR="00170162" w:rsidRDefault="00170162" w:rsidP="00FB625E">
      <w:pPr>
        <w:spacing w:after="0" w:line="240" w:lineRule="auto"/>
        <w:contextualSpacing/>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45"/>
        <w:gridCol w:w="222"/>
        <w:gridCol w:w="4097"/>
      </w:tblGrid>
      <w:tr w:rsidR="00663E34" w:rsidRPr="006C5792" w14:paraId="4A09EC0D" w14:textId="77777777" w:rsidTr="00BF0187">
        <w:trPr>
          <w:trHeight w:val="183"/>
          <w:jc w:val="center"/>
        </w:trPr>
        <w:tc>
          <w:tcPr>
            <w:tcW w:w="2478" w:type="pct"/>
            <w:tcBorders>
              <w:top w:val="nil"/>
              <w:left w:val="nil"/>
              <w:bottom w:val="single" w:sz="4" w:space="0" w:color="auto"/>
              <w:right w:val="nil"/>
            </w:tcBorders>
            <w:vAlign w:val="center"/>
            <w:hideMark/>
          </w:tcPr>
          <w:p w14:paraId="7B8BE969" w14:textId="77777777" w:rsidR="00170162" w:rsidRPr="00170162" w:rsidRDefault="00170162" w:rsidP="00BF0187">
            <w:pPr>
              <w:pStyle w:val="Graf"/>
              <w:spacing w:after="0" w:line="240" w:lineRule="auto"/>
              <w:jc w:val="both"/>
              <w:rPr>
                <w:rFonts w:eastAsia="Times New Roman" w:cs="Times New Roman"/>
                <w:color w:val="2C9ADC"/>
                <w:szCs w:val="18"/>
                <w:lang w:eastAsia="sk-SK"/>
              </w:rPr>
            </w:pPr>
            <w:bookmarkStart w:id="37" w:name="_Toc478656316"/>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13</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sidRPr="006C5792">
              <w:t xml:space="preserve"> </w:t>
            </w:r>
            <w:r w:rsidRPr="00170162">
              <w:rPr>
                <w:rFonts w:eastAsia="Times New Roman" w:cs="Times New Roman"/>
                <w:color w:val="2C9ADC"/>
                <w:szCs w:val="18"/>
                <w:lang w:eastAsia="sk-SK"/>
              </w:rPr>
              <w:t xml:space="preserve"> Kvartálny vývoj miery nezamestnanosti</w:t>
            </w:r>
            <w:bookmarkEnd w:id="37"/>
          </w:p>
          <w:p w14:paraId="3287FF99" w14:textId="4186585B" w:rsidR="00170162" w:rsidRPr="006C5792" w:rsidRDefault="00170162" w:rsidP="00BF0187">
            <w:pPr>
              <w:pStyle w:val="Graf"/>
              <w:spacing w:after="0" w:line="240" w:lineRule="auto"/>
              <w:jc w:val="both"/>
              <w:rPr>
                <w:rFonts w:eastAsiaTheme="minorHAnsi" w:cstheme="minorBidi"/>
                <w:sz w:val="18"/>
              </w:rPr>
            </w:pPr>
            <w:r w:rsidRPr="00170162">
              <w:rPr>
                <w:rFonts w:eastAsia="Times New Roman" w:cs="Times New Roman"/>
                <w:color w:val="2C9ADC"/>
                <w:szCs w:val="18"/>
                <w:lang w:eastAsia="sk-SK"/>
              </w:rPr>
              <w:t>podľa VZPS (v %, sezónne očistené údaje)</w:t>
            </w:r>
          </w:p>
        </w:tc>
        <w:tc>
          <w:tcPr>
            <w:tcW w:w="130" w:type="pct"/>
            <w:tcBorders>
              <w:top w:val="nil"/>
              <w:left w:val="nil"/>
              <w:bottom w:val="nil"/>
              <w:right w:val="nil"/>
            </w:tcBorders>
            <w:vAlign w:val="center"/>
          </w:tcPr>
          <w:p w14:paraId="2665655E" w14:textId="77777777" w:rsidR="00170162" w:rsidRPr="006C5792" w:rsidRDefault="00170162" w:rsidP="00BF0187">
            <w:pPr>
              <w:spacing w:after="0" w:line="240" w:lineRule="auto"/>
              <w:rPr>
                <w:rFonts w:ascii="Arial Narrow" w:hAnsi="Arial Narrow" w:cs="Arial"/>
                <w:b/>
                <w:color w:val="2C9ADC"/>
                <w:sz w:val="20"/>
                <w:szCs w:val="18"/>
              </w:rPr>
            </w:pPr>
          </w:p>
        </w:tc>
        <w:tc>
          <w:tcPr>
            <w:tcW w:w="2392" w:type="pct"/>
            <w:tcBorders>
              <w:top w:val="nil"/>
              <w:left w:val="nil"/>
              <w:bottom w:val="single" w:sz="4" w:space="0" w:color="auto"/>
              <w:right w:val="nil"/>
            </w:tcBorders>
            <w:vAlign w:val="center"/>
            <w:hideMark/>
          </w:tcPr>
          <w:p w14:paraId="1AEE7BA3" w14:textId="42A785FC" w:rsidR="00170162" w:rsidRPr="00170162" w:rsidRDefault="00170162" w:rsidP="00BF0187">
            <w:pPr>
              <w:pStyle w:val="Graf"/>
              <w:spacing w:after="0" w:line="240" w:lineRule="auto"/>
              <w:rPr>
                <w:rFonts w:cs="Arial"/>
                <w:color w:val="2C9ADC"/>
                <w:szCs w:val="18"/>
              </w:rPr>
            </w:pPr>
            <w:bookmarkStart w:id="38" w:name="_Toc478656317"/>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14</w:t>
            </w:r>
            <w:r w:rsidRPr="00310353">
              <w:rPr>
                <w:rFonts w:cs="Arial"/>
                <w:color w:val="2C9ADC"/>
                <w:szCs w:val="18"/>
              </w:rPr>
              <w:fldChar w:fldCharType="end"/>
            </w:r>
            <w:r w:rsidRPr="00310353">
              <w:rPr>
                <w:rFonts w:cs="Arial"/>
                <w:color w:val="2C9ADC"/>
                <w:szCs w:val="18"/>
              </w:rPr>
              <w:t xml:space="preserve">: </w:t>
            </w:r>
            <w:r w:rsidRPr="00170162">
              <w:rPr>
                <w:rFonts w:cs="Arial"/>
                <w:color w:val="2C9ADC"/>
                <w:szCs w:val="18"/>
              </w:rPr>
              <w:t xml:space="preserve">Dlhodobá nezamestnanosť (v %, </w:t>
            </w:r>
            <w:r>
              <w:rPr>
                <w:rFonts w:cs="Arial"/>
                <w:color w:val="2C9ADC"/>
                <w:szCs w:val="18"/>
              </w:rPr>
              <w:t>3Q 2015, 3Q 2016</w:t>
            </w:r>
            <w:r w:rsidRPr="00170162">
              <w:rPr>
                <w:rFonts w:cs="Arial"/>
                <w:color w:val="2C9ADC"/>
                <w:szCs w:val="18"/>
              </w:rPr>
              <w:t>)</w:t>
            </w:r>
            <w:bookmarkEnd w:id="38"/>
          </w:p>
        </w:tc>
      </w:tr>
      <w:tr w:rsidR="00663E34" w:rsidRPr="006C5792" w14:paraId="6F78B74F" w14:textId="77777777" w:rsidTr="00BF0187">
        <w:tblPrEx>
          <w:tblCellMar>
            <w:left w:w="108" w:type="dxa"/>
            <w:right w:w="108" w:type="dxa"/>
          </w:tblCellMar>
        </w:tblPrEx>
        <w:trPr>
          <w:trHeight w:val="2463"/>
          <w:jc w:val="center"/>
        </w:trPr>
        <w:tc>
          <w:tcPr>
            <w:tcW w:w="2478" w:type="pct"/>
            <w:tcBorders>
              <w:top w:val="single" w:sz="4" w:space="0" w:color="auto"/>
              <w:left w:val="nil"/>
              <w:bottom w:val="single" w:sz="4" w:space="0" w:color="auto"/>
              <w:right w:val="nil"/>
            </w:tcBorders>
          </w:tcPr>
          <w:p w14:paraId="79B18A05" w14:textId="73C694BC" w:rsidR="00170162" w:rsidRPr="006C5792" w:rsidRDefault="00BF0187" w:rsidP="00BF0187">
            <w:pPr>
              <w:spacing w:after="0" w:line="240" w:lineRule="auto"/>
              <w:jc w:val="center"/>
              <w:rPr>
                <w:rFonts w:ascii="Arial Narrow" w:hAnsi="Arial Narrow" w:cs="Arial"/>
                <w:b/>
                <w:sz w:val="20"/>
                <w:szCs w:val="20"/>
              </w:rPr>
            </w:pPr>
            <w:r>
              <w:rPr>
                <w:noProof/>
                <w:lang w:val="en-US" w:eastAsia="en-US"/>
              </w:rPr>
              <w:drawing>
                <wp:inline distT="0" distB="0" distL="0" distR="0" wp14:anchorId="2444F765" wp14:editId="63E80F79">
                  <wp:extent cx="2590800" cy="189547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30" w:type="pct"/>
            <w:tcBorders>
              <w:top w:val="nil"/>
              <w:left w:val="nil"/>
              <w:bottom w:val="nil"/>
              <w:right w:val="nil"/>
            </w:tcBorders>
            <w:vAlign w:val="center"/>
          </w:tcPr>
          <w:p w14:paraId="2B08DB80" w14:textId="77777777" w:rsidR="00170162" w:rsidRPr="006C5792" w:rsidRDefault="00170162" w:rsidP="00BF0187">
            <w:pPr>
              <w:spacing w:after="0" w:line="240" w:lineRule="auto"/>
              <w:jc w:val="center"/>
              <w:rPr>
                <w:rFonts w:ascii="Arial Narrow" w:hAnsi="Arial Narrow" w:cs="Arial"/>
                <w:b/>
                <w:sz w:val="20"/>
                <w:szCs w:val="20"/>
              </w:rPr>
            </w:pPr>
          </w:p>
        </w:tc>
        <w:tc>
          <w:tcPr>
            <w:tcW w:w="2392" w:type="pct"/>
            <w:tcBorders>
              <w:top w:val="single" w:sz="4" w:space="0" w:color="auto"/>
              <w:left w:val="nil"/>
              <w:bottom w:val="single" w:sz="4" w:space="0" w:color="auto"/>
              <w:right w:val="nil"/>
            </w:tcBorders>
            <w:hideMark/>
          </w:tcPr>
          <w:p w14:paraId="0DD996BE" w14:textId="09DE9F8C" w:rsidR="00170162" w:rsidRPr="006C5792" w:rsidRDefault="00960871" w:rsidP="00BF0187">
            <w:pPr>
              <w:spacing w:after="0" w:line="240" w:lineRule="auto"/>
              <w:jc w:val="center"/>
              <w:rPr>
                <w:rFonts w:ascii="Arial Narrow" w:hAnsi="Arial Narrow" w:cs="Arial"/>
                <w:b/>
                <w:sz w:val="20"/>
                <w:szCs w:val="20"/>
              </w:rPr>
            </w:pPr>
            <w:r>
              <w:rPr>
                <w:noProof/>
                <w:lang w:val="en-US" w:eastAsia="en-US"/>
              </w:rPr>
              <w:drawing>
                <wp:inline distT="0" distB="0" distL="0" distR="0" wp14:anchorId="3C9B64F9" wp14:editId="3E94B4E8">
                  <wp:extent cx="2495550" cy="1895475"/>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63E34" w:rsidRPr="006C5792" w14:paraId="1A274730" w14:textId="77777777" w:rsidTr="00BF0187">
        <w:trPr>
          <w:trHeight w:val="56"/>
          <w:jc w:val="center"/>
        </w:trPr>
        <w:tc>
          <w:tcPr>
            <w:tcW w:w="2478" w:type="pct"/>
            <w:tcBorders>
              <w:top w:val="single" w:sz="4" w:space="0" w:color="auto"/>
              <w:left w:val="nil"/>
              <w:bottom w:val="nil"/>
              <w:right w:val="nil"/>
            </w:tcBorders>
            <w:vAlign w:val="center"/>
          </w:tcPr>
          <w:p w14:paraId="051D4C10" w14:textId="46A603F1" w:rsidR="00170162" w:rsidRPr="00C83F39" w:rsidRDefault="00170162" w:rsidP="009926C2">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Zdroj: Eurostat</w:t>
            </w:r>
          </w:p>
        </w:tc>
        <w:tc>
          <w:tcPr>
            <w:tcW w:w="130" w:type="pct"/>
            <w:tcBorders>
              <w:top w:val="nil"/>
              <w:left w:val="nil"/>
              <w:bottom w:val="nil"/>
              <w:right w:val="nil"/>
            </w:tcBorders>
            <w:vAlign w:val="center"/>
          </w:tcPr>
          <w:p w14:paraId="4FFBA6C0" w14:textId="77777777" w:rsidR="00170162" w:rsidRPr="00C83F39" w:rsidRDefault="00170162" w:rsidP="009926C2">
            <w:pPr>
              <w:spacing w:after="120" w:line="240" w:lineRule="auto"/>
              <w:jc w:val="center"/>
              <w:rPr>
                <w:rFonts w:ascii="Arial Narrow" w:hAnsi="Arial Narrow" w:cs="Arial"/>
                <w:i/>
                <w:sz w:val="16"/>
                <w:szCs w:val="16"/>
              </w:rPr>
            </w:pPr>
          </w:p>
        </w:tc>
        <w:tc>
          <w:tcPr>
            <w:tcW w:w="2392" w:type="pct"/>
            <w:tcBorders>
              <w:top w:val="single" w:sz="4" w:space="0" w:color="auto"/>
              <w:left w:val="nil"/>
              <w:bottom w:val="nil"/>
              <w:right w:val="nil"/>
            </w:tcBorders>
            <w:vAlign w:val="center"/>
          </w:tcPr>
          <w:p w14:paraId="043902A6" w14:textId="69F216B4" w:rsidR="00170162" w:rsidRPr="00C83F39" w:rsidRDefault="00170162" w:rsidP="009926C2">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Zdroj: Eurostat</w:t>
            </w:r>
          </w:p>
        </w:tc>
      </w:tr>
    </w:tbl>
    <w:p w14:paraId="5D56B6DE" w14:textId="38C67168" w:rsidR="00295E5E" w:rsidRDefault="000124C7" w:rsidP="000124C7">
      <w:pPr>
        <w:spacing w:after="0" w:line="240" w:lineRule="auto"/>
        <w:contextualSpacing/>
        <w:jc w:val="both"/>
        <w:rPr>
          <w:rFonts w:ascii="Arial Narrow" w:hAnsi="Arial Narrow"/>
          <w:color w:val="000000" w:themeColor="text1"/>
        </w:rPr>
      </w:pPr>
      <w:r>
        <w:rPr>
          <w:rFonts w:ascii="Arial Narrow" w:hAnsi="Arial Narrow"/>
        </w:rPr>
        <w:t xml:space="preserve">Podiel dlhodobo nezamestnaných na celkovom počte nezamestnaných poklesol medziročne v treťom kvartáli 2016 zo 67 % na 59 %, stále ale predstavuje jednu z najvyšších hodnôt v rámci krajín EÚ. </w:t>
      </w:r>
      <w:r w:rsidRPr="00F605AA">
        <w:rPr>
          <w:rFonts w:ascii="Arial Narrow" w:hAnsi="Arial Narrow"/>
          <w:color w:val="000000" w:themeColor="text1"/>
        </w:rPr>
        <w:t xml:space="preserve">Dlhodobá nezamestnanosť </w:t>
      </w:r>
      <w:r>
        <w:rPr>
          <w:rFonts w:ascii="Arial Narrow" w:hAnsi="Arial Narrow"/>
          <w:color w:val="000000" w:themeColor="text1"/>
        </w:rPr>
        <w:t xml:space="preserve">tiež </w:t>
      </w:r>
      <w:r w:rsidRPr="00F605AA">
        <w:rPr>
          <w:rFonts w:ascii="Arial Narrow" w:hAnsi="Arial Narrow"/>
          <w:color w:val="000000" w:themeColor="text1"/>
        </w:rPr>
        <w:t>úzko súvisí</w:t>
      </w:r>
      <w:r>
        <w:rPr>
          <w:rFonts w:ascii="Arial Narrow" w:hAnsi="Arial Narrow"/>
          <w:color w:val="000000" w:themeColor="text1"/>
        </w:rPr>
        <w:t xml:space="preserve"> s kvalifikáciou nezamestnaných. Viac ako polovica </w:t>
      </w:r>
      <w:r w:rsidRPr="00F605AA">
        <w:rPr>
          <w:rFonts w:ascii="Arial Narrow" w:hAnsi="Arial Narrow"/>
          <w:color w:val="000000" w:themeColor="text1"/>
        </w:rPr>
        <w:t>UoZ s nízkou kvalifikácio</w:t>
      </w:r>
      <w:r>
        <w:rPr>
          <w:rFonts w:ascii="Arial Narrow" w:hAnsi="Arial Narrow"/>
          <w:color w:val="000000" w:themeColor="text1"/>
        </w:rPr>
        <w:t xml:space="preserve">u si nenájde prácu skôr ako do jedného roka, viac ako tretina ani do dvoch rokov. Nízka </w:t>
      </w:r>
      <w:r>
        <w:rPr>
          <w:rFonts w:ascii="Arial Narrow" w:hAnsi="Arial Narrow"/>
          <w:color w:val="000000" w:themeColor="text1"/>
        </w:rPr>
        <w:lastRenderedPageBreak/>
        <w:t>kvalifikácia predstavuje výrazné bariéry na trhu práce pre rómsku populáciu, keď až 77 % nezamestnaných Rómov predstavuje nekvalifikovanú pracovnú silu</w:t>
      </w:r>
      <w:r>
        <w:rPr>
          <w:rStyle w:val="Odkaznapoznmkupodiarou"/>
          <w:rFonts w:ascii="Arial Narrow" w:hAnsi="Arial Narrow"/>
          <w:color w:val="000000" w:themeColor="text1"/>
        </w:rPr>
        <w:footnoteReference w:id="33"/>
      </w:r>
      <w:r>
        <w:rPr>
          <w:rFonts w:ascii="Arial Narrow" w:hAnsi="Arial Narrow"/>
          <w:color w:val="000000" w:themeColor="text1"/>
        </w:rPr>
        <w:t>.</w:t>
      </w:r>
    </w:p>
    <w:p w14:paraId="678F1BB9" w14:textId="77777777" w:rsidR="00B24227" w:rsidRDefault="00B24227" w:rsidP="00295E5E">
      <w:pPr>
        <w:spacing w:after="0" w:line="240" w:lineRule="auto"/>
        <w:contextualSpacing/>
        <w:jc w:val="both"/>
        <w:rPr>
          <w:rFonts w:ascii="Arial Narrow" w:hAnsi="Arial Narrow"/>
          <w:szCs w:val="36"/>
          <w:highlight w:val="yellow"/>
          <w:lang w:eastAsia="en-US"/>
        </w:rPr>
      </w:pPr>
    </w:p>
    <w:p w14:paraId="337B344C" w14:textId="5794F39F" w:rsidR="007421DC" w:rsidRPr="00A92003" w:rsidRDefault="007421DC" w:rsidP="00AD1029">
      <w:pPr>
        <w:spacing w:after="0" w:line="240" w:lineRule="auto"/>
        <w:jc w:val="both"/>
        <w:rPr>
          <w:rFonts w:ascii="Arial Narrow" w:hAnsi="Arial Narrow"/>
          <w:szCs w:val="36"/>
          <w:lang w:eastAsia="en-US"/>
        </w:rPr>
      </w:pPr>
      <w:r>
        <w:rPr>
          <w:rFonts w:ascii="Arial Narrow" w:hAnsi="Arial Narrow"/>
          <w:szCs w:val="36"/>
          <w:lang w:eastAsia="en-US"/>
        </w:rPr>
        <w:t xml:space="preserve">Novou výzvou na trhu práce vo viacerých okresoch </w:t>
      </w:r>
      <w:r w:rsidR="00F86FA4">
        <w:rPr>
          <w:rFonts w:ascii="Arial Narrow" w:hAnsi="Arial Narrow"/>
          <w:szCs w:val="36"/>
          <w:lang w:eastAsia="en-US"/>
        </w:rPr>
        <w:t xml:space="preserve">a odvetviach </w:t>
      </w:r>
      <w:r>
        <w:rPr>
          <w:rFonts w:ascii="Arial Narrow" w:hAnsi="Arial Narrow"/>
          <w:szCs w:val="36"/>
          <w:lang w:eastAsia="en-US"/>
        </w:rPr>
        <w:t xml:space="preserve">môže byť v blízkej budúcnosti </w:t>
      </w:r>
      <w:r w:rsidRPr="007421DC">
        <w:rPr>
          <w:rFonts w:ascii="Arial Narrow" w:hAnsi="Arial Narrow"/>
          <w:b/>
          <w:szCs w:val="36"/>
          <w:lang w:eastAsia="en-US"/>
        </w:rPr>
        <w:t>nedostatok kvalifikovanej pracovnej sily</w:t>
      </w:r>
      <w:r>
        <w:rPr>
          <w:rFonts w:ascii="Arial Narrow" w:hAnsi="Arial Narrow"/>
          <w:szCs w:val="36"/>
          <w:lang w:eastAsia="en-US"/>
        </w:rPr>
        <w:t xml:space="preserve">. </w:t>
      </w:r>
      <w:r w:rsidR="007F2655" w:rsidRPr="004A09E4">
        <w:rPr>
          <w:rFonts w:ascii="Arial Narrow" w:hAnsi="Arial Narrow"/>
          <w:szCs w:val="36"/>
          <w:lang w:eastAsia="en-US"/>
        </w:rPr>
        <w:t>Pri miere nezamestnanosti blížiacej sa historickým minimám m</w:t>
      </w:r>
      <w:r w:rsidR="00AE4520">
        <w:rPr>
          <w:rFonts w:ascii="Arial Narrow" w:hAnsi="Arial Narrow"/>
          <w:szCs w:val="36"/>
          <w:lang w:eastAsia="en-US"/>
        </w:rPr>
        <w:t xml:space="preserve">ožno </w:t>
      </w:r>
      <w:r w:rsidR="007F2655" w:rsidRPr="004A09E4">
        <w:rPr>
          <w:rFonts w:ascii="Arial Narrow" w:hAnsi="Arial Narrow"/>
          <w:szCs w:val="36"/>
          <w:lang w:eastAsia="en-US"/>
        </w:rPr>
        <w:t xml:space="preserve">v niektorých regiónoch a odvetviach očakávať </w:t>
      </w:r>
      <w:r w:rsidR="00AE4520">
        <w:rPr>
          <w:rFonts w:ascii="Arial Narrow" w:hAnsi="Arial Narrow"/>
          <w:szCs w:val="36"/>
          <w:lang w:eastAsia="en-US"/>
        </w:rPr>
        <w:t xml:space="preserve">problémy firiem pri získavaní </w:t>
      </w:r>
      <w:r w:rsidR="007F2655" w:rsidRPr="004A09E4">
        <w:rPr>
          <w:rFonts w:ascii="Arial Narrow" w:hAnsi="Arial Narrow"/>
          <w:szCs w:val="36"/>
          <w:lang w:eastAsia="en-US"/>
        </w:rPr>
        <w:t xml:space="preserve">kvalifikovanej pracovnej sily a tlak na rýchlejší rast miezd. Počty voľných pracovných miest </w:t>
      </w:r>
      <w:r w:rsidR="00B24227" w:rsidRPr="004A09E4">
        <w:rPr>
          <w:rFonts w:ascii="Arial Narrow" w:hAnsi="Arial Narrow"/>
          <w:szCs w:val="36"/>
          <w:lang w:eastAsia="en-US"/>
        </w:rPr>
        <w:t xml:space="preserve">na úradoch práce </w:t>
      </w:r>
      <w:r w:rsidR="007F2655" w:rsidRPr="004A09E4">
        <w:rPr>
          <w:rFonts w:ascii="Arial Narrow" w:hAnsi="Arial Narrow"/>
          <w:szCs w:val="36"/>
          <w:lang w:eastAsia="en-US"/>
        </w:rPr>
        <w:t>dosahujú historické maximá pri klesajúcej nezamestnanosti.</w:t>
      </w:r>
      <w:r w:rsidR="00B24227" w:rsidRPr="004A09E4">
        <w:rPr>
          <w:rFonts w:ascii="Arial Narrow" w:hAnsi="Arial Narrow"/>
          <w:szCs w:val="36"/>
          <w:lang w:eastAsia="en-US"/>
        </w:rPr>
        <w:t xml:space="preserve"> Najvyššiu mieru voľných pracovných miest evidujú úrady práce práve v okresoch s najnižšou mierou nezamestnanosti. Podľa </w:t>
      </w:r>
      <w:r w:rsidR="00B269DD">
        <w:rPr>
          <w:rFonts w:ascii="Arial Narrow" w:hAnsi="Arial Narrow"/>
          <w:szCs w:val="36"/>
          <w:lang w:eastAsia="en-US"/>
        </w:rPr>
        <w:t xml:space="preserve">konjunkturálneho prieskumu v priemysle </w:t>
      </w:r>
      <w:r w:rsidR="004A09E4" w:rsidRPr="004A09E4">
        <w:rPr>
          <w:rFonts w:ascii="Arial Narrow" w:hAnsi="Arial Narrow"/>
          <w:szCs w:val="36"/>
          <w:lang w:eastAsia="en-US"/>
        </w:rPr>
        <w:t xml:space="preserve">bol </w:t>
      </w:r>
      <w:r w:rsidR="00B24227" w:rsidRPr="004A09E4">
        <w:rPr>
          <w:rFonts w:ascii="Arial Narrow" w:hAnsi="Arial Narrow"/>
          <w:szCs w:val="36"/>
          <w:lang w:eastAsia="en-US"/>
        </w:rPr>
        <w:t>nedostatok zamestnancov ako obmedzujúci faktor výroby</w:t>
      </w:r>
      <w:r w:rsidR="004A09E4" w:rsidRPr="004A09E4">
        <w:rPr>
          <w:rFonts w:ascii="Arial Narrow" w:hAnsi="Arial Narrow"/>
          <w:szCs w:val="36"/>
          <w:lang w:eastAsia="en-US"/>
        </w:rPr>
        <w:t xml:space="preserve"> označený historicky najväčším počtom zamestnávateľov</w:t>
      </w:r>
      <w:r w:rsidR="004A09E4" w:rsidRPr="004A09E4">
        <w:rPr>
          <w:rStyle w:val="Odkaznapoznmkupodiarou"/>
          <w:rFonts w:ascii="Arial Narrow" w:hAnsi="Arial Narrow"/>
          <w:szCs w:val="36"/>
          <w:lang w:eastAsia="en-US"/>
        </w:rPr>
        <w:footnoteReference w:id="34"/>
      </w:r>
      <w:r w:rsidR="00B24227" w:rsidRPr="004A09E4">
        <w:rPr>
          <w:rFonts w:ascii="Arial Narrow" w:hAnsi="Arial Narrow"/>
          <w:szCs w:val="36"/>
          <w:lang w:eastAsia="en-US"/>
        </w:rPr>
        <w:t xml:space="preserve">. </w:t>
      </w:r>
    </w:p>
    <w:p w14:paraId="789BAD28" w14:textId="77777777" w:rsidR="00A92003" w:rsidRDefault="00A92003" w:rsidP="009544D2">
      <w:pPr>
        <w:spacing w:after="0" w:line="240" w:lineRule="auto"/>
        <w:jc w:val="both"/>
        <w:rPr>
          <w:rFonts w:ascii="Arial Narrow" w:hAnsi="Arial Narrow"/>
          <w:color w:val="000000" w:themeColor="text1"/>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99"/>
        <w:gridCol w:w="222"/>
        <w:gridCol w:w="4143"/>
      </w:tblGrid>
      <w:tr w:rsidR="00A92003" w:rsidRPr="006C5792" w14:paraId="511929B7" w14:textId="77777777" w:rsidTr="00E9605F">
        <w:trPr>
          <w:trHeight w:val="227"/>
          <w:jc w:val="center"/>
        </w:trPr>
        <w:tc>
          <w:tcPr>
            <w:tcW w:w="2456" w:type="pct"/>
            <w:tcBorders>
              <w:top w:val="nil"/>
              <w:left w:val="nil"/>
              <w:bottom w:val="single" w:sz="4" w:space="0" w:color="auto"/>
              <w:right w:val="nil"/>
            </w:tcBorders>
            <w:vAlign w:val="center"/>
            <w:hideMark/>
          </w:tcPr>
          <w:p w14:paraId="320487D1" w14:textId="1AB08FA3" w:rsidR="00A92003" w:rsidRPr="001F1B01" w:rsidRDefault="00A92003" w:rsidP="00A92003">
            <w:pPr>
              <w:pStyle w:val="Graf"/>
              <w:spacing w:after="0" w:line="240" w:lineRule="auto"/>
              <w:jc w:val="both"/>
              <w:rPr>
                <w:rFonts w:eastAsia="Times New Roman" w:cs="Times New Roman"/>
                <w:color w:val="2C9ADC"/>
                <w:szCs w:val="18"/>
                <w:lang w:eastAsia="sk-SK"/>
              </w:rPr>
            </w:pPr>
            <w:bookmarkStart w:id="39" w:name="_Toc478656318"/>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15</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Pr>
                <w:rFonts w:cs="Arial"/>
                <w:color w:val="2C9ADC"/>
                <w:szCs w:val="18"/>
              </w:rPr>
              <w:t xml:space="preserve"> Vzťah miery nezamestnanosti a voľných pracovných miest v čase (</w:t>
            </w:r>
            <w:r>
              <w:rPr>
                <w:rFonts w:eastAsia="Times New Roman" w:cs="Times New Roman"/>
                <w:color w:val="2C9ADC"/>
                <w:szCs w:val="18"/>
                <w:lang w:eastAsia="sk-SK"/>
              </w:rPr>
              <w:t>Beveridgova krivka)</w:t>
            </w:r>
            <w:bookmarkEnd w:id="39"/>
          </w:p>
        </w:tc>
        <w:tc>
          <w:tcPr>
            <w:tcW w:w="130" w:type="pct"/>
            <w:tcBorders>
              <w:top w:val="nil"/>
              <w:left w:val="nil"/>
              <w:bottom w:val="nil"/>
              <w:right w:val="nil"/>
            </w:tcBorders>
            <w:vAlign w:val="center"/>
          </w:tcPr>
          <w:p w14:paraId="72DB2049" w14:textId="77777777" w:rsidR="00A92003" w:rsidRPr="006C5792" w:rsidRDefault="00A92003" w:rsidP="00A92003">
            <w:pPr>
              <w:spacing w:before="60" w:after="0" w:line="240" w:lineRule="auto"/>
              <w:rPr>
                <w:rFonts w:ascii="Arial Narrow" w:hAnsi="Arial Narrow" w:cs="Arial"/>
                <w:b/>
                <w:color w:val="2C9ADC"/>
                <w:sz w:val="20"/>
                <w:szCs w:val="18"/>
              </w:rPr>
            </w:pPr>
          </w:p>
        </w:tc>
        <w:tc>
          <w:tcPr>
            <w:tcW w:w="2414" w:type="pct"/>
            <w:tcBorders>
              <w:top w:val="nil"/>
              <w:left w:val="nil"/>
              <w:bottom w:val="single" w:sz="4" w:space="0" w:color="auto"/>
              <w:right w:val="nil"/>
            </w:tcBorders>
            <w:vAlign w:val="center"/>
            <w:hideMark/>
          </w:tcPr>
          <w:p w14:paraId="5B7275AC" w14:textId="7CB37B25" w:rsidR="00A92003" w:rsidRPr="00170162" w:rsidRDefault="00A92003" w:rsidP="00A92003">
            <w:pPr>
              <w:pStyle w:val="Graf"/>
              <w:spacing w:after="0" w:line="240" w:lineRule="auto"/>
              <w:rPr>
                <w:rFonts w:cs="Arial"/>
                <w:color w:val="2C9ADC"/>
                <w:szCs w:val="18"/>
              </w:rPr>
            </w:pPr>
            <w:bookmarkStart w:id="40" w:name="_Toc478656319"/>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16</w:t>
            </w:r>
            <w:r w:rsidRPr="00310353">
              <w:rPr>
                <w:rFonts w:cs="Arial"/>
                <w:color w:val="2C9ADC"/>
                <w:szCs w:val="18"/>
              </w:rPr>
              <w:fldChar w:fldCharType="end"/>
            </w:r>
            <w:r>
              <w:rPr>
                <w:rFonts w:cs="Arial"/>
                <w:color w:val="2C9ADC"/>
                <w:szCs w:val="18"/>
              </w:rPr>
              <w:t>: Vzťah miery nezamestnanosti a voľných pracovných miest v okresoch (december 2016)</w:t>
            </w:r>
            <w:bookmarkEnd w:id="40"/>
          </w:p>
        </w:tc>
      </w:tr>
      <w:tr w:rsidR="00A92003" w:rsidRPr="006C5792" w14:paraId="747F21C9" w14:textId="77777777" w:rsidTr="00E9605F">
        <w:tblPrEx>
          <w:tblCellMar>
            <w:left w:w="108" w:type="dxa"/>
            <w:right w:w="108" w:type="dxa"/>
          </w:tblCellMar>
        </w:tblPrEx>
        <w:trPr>
          <w:trHeight w:val="3042"/>
          <w:jc w:val="center"/>
        </w:trPr>
        <w:tc>
          <w:tcPr>
            <w:tcW w:w="2456" w:type="pct"/>
            <w:tcBorders>
              <w:top w:val="single" w:sz="4" w:space="0" w:color="auto"/>
              <w:left w:val="nil"/>
              <w:bottom w:val="single" w:sz="4" w:space="0" w:color="auto"/>
              <w:right w:val="nil"/>
            </w:tcBorders>
          </w:tcPr>
          <w:p w14:paraId="4D623057" w14:textId="11DE8BE0" w:rsidR="00A92003" w:rsidRPr="006C5792" w:rsidRDefault="00A92003" w:rsidP="00E9605F">
            <w:pPr>
              <w:spacing w:before="40" w:after="0" w:line="240" w:lineRule="auto"/>
              <w:jc w:val="center"/>
              <w:rPr>
                <w:rFonts w:ascii="Arial Narrow" w:hAnsi="Arial Narrow" w:cs="Arial"/>
                <w:b/>
                <w:sz w:val="20"/>
                <w:szCs w:val="20"/>
              </w:rPr>
            </w:pPr>
            <w:r>
              <w:rPr>
                <w:noProof/>
                <w:lang w:val="en-US" w:eastAsia="en-US"/>
              </w:rPr>
              <w:drawing>
                <wp:inline distT="0" distB="0" distL="0" distR="0" wp14:anchorId="21A8DA7B" wp14:editId="18F7020C">
                  <wp:extent cx="2657475" cy="217170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30" w:type="pct"/>
            <w:tcBorders>
              <w:top w:val="nil"/>
              <w:left w:val="nil"/>
              <w:bottom w:val="nil"/>
              <w:right w:val="nil"/>
            </w:tcBorders>
            <w:vAlign w:val="center"/>
          </w:tcPr>
          <w:p w14:paraId="4AE551CC" w14:textId="77777777" w:rsidR="00A92003" w:rsidRPr="006C5792" w:rsidRDefault="00A92003" w:rsidP="00E9605F">
            <w:pPr>
              <w:spacing w:before="40" w:after="0" w:line="240" w:lineRule="auto"/>
              <w:jc w:val="center"/>
              <w:rPr>
                <w:rFonts w:ascii="Arial Narrow" w:hAnsi="Arial Narrow" w:cs="Arial"/>
                <w:b/>
                <w:sz w:val="20"/>
                <w:szCs w:val="20"/>
              </w:rPr>
            </w:pPr>
          </w:p>
        </w:tc>
        <w:tc>
          <w:tcPr>
            <w:tcW w:w="2414" w:type="pct"/>
            <w:tcBorders>
              <w:top w:val="single" w:sz="4" w:space="0" w:color="auto"/>
              <w:left w:val="nil"/>
              <w:bottom w:val="single" w:sz="4" w:space="0" w:color="auto"/>
              <w:right w:val="nil"/>
            </w:tcBorders>
            <w:hideMark/>
          </w:tcPr>
          <w:p w14:paraId="5A7FD0EE" w14:textId="71F9334B" w:rsidR="00A92003" w:rsidRPr="006C5792" w:rsidRDefault="00A92003" w:rsidP="00E9605F">
            <w:pPr>
              <w:spacing w:before="40" w:after="0" w:line="240" w:lineRule="auto"/>
              <w:jc w:val="center"/>
              <w:rPr>
                <w:rFonts w:ascii="Arial Narrow" w:hAnsi="Arial Narrow" w:cs="Arial"/>
                <w:b/>
                <w:sz w:val="20"/>
                <w:szCs w:val="20"/>
              </w:rPr>
            </w:pPr>
            <w:r w:rsidRPr="002D37FD">
              <w:rPr>
                <w:rFonts w:ascii="Arial Narrow" w:hAnsi="Arial Narrow"/>
                <w:noProof/>
                <w:lang w:val="en-US" w:eastAsia="en-US"/>
              </w:rPr>
              <w:drawing>
                <wp:inline distT="0" distB="0" distL="0" distR="0" wp14:anchorId="0031CB45" wp14:editId="68A3CFC3">
                  <wp:extent cx="2619375" cy="21717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92003" w:rsidRPr="006C5792" w14:paraId="4B031EC3" w14:textId="77777777" w:rsidTr="00E9605F">
        <w:trPr>
          <w:trHeight w:val="70"/>
          <w:jc w:val="center"/>
        </w:trPr>
        <w:tc>
          <w:tcPr>
            <w:tcW w:w="2456" w:type="pct"/>
            <w:tcBorders>
              <w:top w:val="single" w:sz="4" w:space="0" w:color="auto"/>
              <w:left w:val="nil"/>
              <w:bottom w:val="nil"/>
              <w:right w:val="nil"/>
            </w:tcBorders>
          </w:tcPr>
          <w:p w14:paraId="4C40085E" w14:textId="5FB9A2C4" w:rsidR="00A92003" w:rsidRPr="00A92003" w:rsidRDefault="00A92003" w:rsidP="00A92003">
            <w:pPr>
              <w:spacing w:after="120" w:line="240" w:lineRule="auto"/>
              <w:jc w:val="right"/>
              <w:rPr>
                <w:rFonts w:ascii="Arial Narrow" w:hAnsi="Arial Narrow" w:cs="Arial"/>
                <w:i/>
                <w:sz w:val="16"/>
                <w:szCs w:val="16"/>
              </w:rPr>
            </w:pPr>
            <w:r w:rsidRPr="00A92003">
              <w:rPr>
                <w:rFonts w:ascii="Arial Narrow" w:hAnsi="Arial Narrow"/>
                <w:i/>
                <w:sz w:val="16"/>
                <w:szCs w:val="16"/>
              </w:rPr>
              <w:t>Zdroj: IFP podľa údajov ÚPSVR</w:t>
            </w:r>
          </w:p>
        </w:tc>
        <w:tc>
          <w:tcPr>
            <w:tcW w:w="130" w:type="pct"/>
            <w:tcBorders>
              <w:top w:val="nil"/>
              <w:left w:val="nil"/>
              <w:bottom w:val="nil"/>
              <w:right w:val="nil"/>
            </w:tcBorders>
          </w:tcPr>
          <w:p w14:paraId="4F8DCACD" w14:textId="77777777" w:rsidR="00A92003" w:rsidRPr="00A92003" w:rsidRDefault="00A92003" w:rsidP="00A92003">
            <w:pPr>
              <w:spacing w:after="120" w:line="240" w:lineRule="auto"/>
              <w:jc w:val="center"/>
              <w:rPr>
                <w:rFonts w:ascii="Arial Narrow" w:hAnsi="Arial Narrow" w:cs="Arial"/>
                <w:i/>
                <w:sz w:val="16"/>
                <w:szCs w:val="16"/>
              </w:rPr>
            </w:pPr>
          </w:p>
        </w:tc>
        <w:tc>
          <w:tcPr>
            <w:tcW w:w="2414" w:type="pct"/>
            <w:tcBorders>
              <w:top w:val="single" w:sz="4" w:space="0" w:color="auto"/>
              <w:left w:val="nil"/>
              <w:bottom w:val="nil"/>
              <w:right w:val="nil"/>
            </w:tcBorders>
          </w:tcPr>
          <w:p w14:paraId="0DA9ED59" w14:textId="54AD96B5" w:rsidR="00A92003" w:rsidRPr="00A92003" w:rsidRDefault="00A92003" w:rsidP="00A92003">
            <w:pPr>
              <w:spacing w:after="120" w:line="240" w:lineRule="auto"/>
              <w:jc w:val="right"/>
              <w:rPr>
                <w:rFonts w:ascii="Arial Narrow" w:hAnsi="Arial Narrow" w:cs="Arial"/>
                <w:i/>
                <w:sz w:val="16"/>
                <w:szCs w:val="16"/>
              </w:rPr>
            </w:pPr>
            <w:r w:rsidRPr="00A92003">
              <w:rPr>
                <w:rFonts w:ascii="Arial Narrow" w:hAnsi="Arial Narrow"/>
                <w:i/>
                <w:sz w:val="16"/>
                <w:szCs w:val="16"/>
              </w:rPr>
              <w:t>Zdroj: IFP podľa údajov ÚPSVR</w:t>
            </w:r>
          </w:p>
        </w:tc>
      </w:tr>
    </w:tbl>
    <w:p w14:paraId="164337FC" w14:textId="74D2F602" w:rsidR="007421DC" w:rsidRDefault="00A75437" w:rsidP="009544D2">
      <w:pPr>
        <w:spacing w:after="0" w:line="240" w:lineRule="auto"/>
        <w:jc w:val="both"/>
        <w:rPr>
          <w:rFonts w:ascii="Arial Narrow" w:hAnsi="Arial Narrow"/>
          <w:color w:val="000000" w:themeColor="text1"/>
        </w:rPr>
      </w:pPr>
      <w:r>
        <w:rPr>
          <w:rFonts w:ascii="Arial Narrow" w:hAnsi="Arial Narrow"/>
          <w:color w:val="000000" w:themeColor="text1"/>
        </w:rPr>
        <w:t>Vzhľadom n</w:t>
      </w:r>
      <w:r w:rsidR="00AD1029" w:rsidRPr="006F3417">
        <w:rPr>
          <w:rFonts w:ascii="Arial Narrow" w:hAnsi="Arial Narrow"/>
          <w:color w:val="000000" w:themeColor="text1"/>
        </w:rPr>
        <w:t xml:space="preserve">a </w:t>
      </w:r>
      <w:r w:rsidR="000124C7">
        <w:rPr>
          <w:rFonts w:ascii="Arial Narrow" w:hAnsi="Arial Narrow"/>
          <w:color w:val="000000" w:themeColor="text1"/>
        </w:rPr>
        <w:t xml:space="preserve">náklady spojené s trvaním nezamestnanosti a </w:t>
      </w:r>
      <w:r w:rsidR="00AD1029" w:rsidRPr="006F3417">
        <w:rPr>
          <w:rFonts w:ascii="Arial Narrow" w:hAnsi="Arial Narrow"/>
          <w:color w:val="000000" w:themeColor="text1"/>
        </w:rPr>
        <w:t>najväčšie zao</w:t>
      </w:r>
      <w:r w:rsidR="000124C7">
        <w:rPr>
          <w:rFonts w:ascii="Arial Narrow" w:hAnsi="Arial Narrow"/>
          <w:color w:val="000000" w:themeColor="text1"/>
        </w:rPr>
        <w:t xml:space="preserve">stávanie za priemerom krajín EÚ </w:t>
      </w:r>
      <w:r w:rsidR="00AD1029" w:rsidRPr="006F3417">
        <w:rPr>
          <w:rFonts w:ascii="Arial Narrow" w:hAnsi="Arial Narrow"/>
          <w:color w:val="000000" w:themeColor="text1"/>
        </w:rPr>
        <w:t>predstavujú</w:t>
      </w:r>
      <w:r w:rsidR="000124C7">
        <w:rPr>
          <w:rFonts w:ascii="Arial Narrow" w:hAnsi="Arial Narrow"/>
          <w:color w:val="000000" w:themeColor="text1"/>
        </w:rPr>
        <w:t xml:space="preserve"> prioritnú skupinu trhu práce </w:t>
      </w:r>
      <w:r w:rsidR="00AD1029" w:rsidRPr="00840A44">
        <w:rPr>
          <w:rFonts w:ascii="Arial Narrow" w:hAnsi="Arial Narrow"/>
          <w:b/>
          <w:color w:val="000000" w:themeColor="text1"/>
        </w:rPr>
        <w:t>dlhodobo nezamestnaní</w:t>
      </w:r>
      <w:r w:rsidR="00AD1029" w:rsidRPr="006F3417">
        <w:rPr>
          <w:rFonts w:ascii="Arial Narrow" w:hAnsi="Arial Narrow"/>
          <w:color w:val="000000" w:themeColor="text1"/>
        </w:rPr>
        <w:t xml:space="preserve"> a</w:t>
      </w:r>
      <w:r w:rsidR="00840A44">
        <w:rPr>
          <w:rFonts w:ascii="Arial Narrow" w:hAnsi="Arial Narrow"/>
          <w:color w:val="000000" w:themeColor="text1"/>
        </w:rPr>
        <w:t xml:space="preserve"> </w:t>
      </w:r>
      <w:r w:rsidR="00AD1029" w:rsidRPr="00840A44">
        <w:rPr>
          <w:rFonts w:ascii="Arial Narrow" w:hAnsi="Arial Narrow"/>
          <w:b/>
          <w:color w:val="000000" w:themeColor="text1"/>
        </w:rPr>
        <w:t>nízkokvalifikovaní UoZ</w:t>
      </w:r>
      <w:r w:rsidR="00AD1029">
        <w:rPr>
          <w:rFonts w:ascii="Arial Narrow" w:hAnsi="Arial Narrow"/>
          <w:color w:val="000000" w:themeColor="text1"/>
        </w:rPr>
        <w:t>.</w:t>
      </w:r>
      <w:r w:rsidR="000124C7">
        <w:rPr>
          <w:rFonts w:ascii="Arial Narrow" w:hAnsi="Arial Narrow"/>
          <w:color w:val="000000" w:themeColor="text1"/>
        </w:rPr>
        <w:t xml:space="preserve"> </w:t>
      </w:r>
      <w:r w:rsidR="004B6F5E" w:rsidRPr="000124C7">
        <w:rPr>
          <w:rFonts w:ascii="Arial Narrow" w:hAnsi="Arial Narrow"/>
          <w:color w:val="000000" w:themeColor="text1"/>
        </w:rPr>
        <w:t xml:space="preserve">Jednotkové náklady štátu na pasívne politiky na skupinu najdlhšie </w:t>
      </w:r>
      <w:r w:rsidRPr="000124C7">
        <w:rPr>
          <w:rFonts w:ascii="Arial Narrow" w:hAnsi="Arial Narrow"/>
          <w:color w:val="000000" w:themeColor="text1"/>
        </w:rPr>
        <w:t xml:space="preserve">nezamestnaných dosahujú zhruba </w:t>
      </w:r>
      <w:r w:rsidR="004B6F5E" w:rsidRPr="000124C7">
        <w:rPr>
          <w:rFonts w:ascii="Arial Narrow" w:hAnsi="Arial Narrow"/>
          <w:color w:val="000000" w:themeColor="text1"/>
        </w:rPr>
        <w:t xml:space="preserve">7 300 eur </w:t>
      </w:r>
      <w:r w:rsidRPr="000124C7">
        <w:rPr>
          <w:rFonts w:ascii="Arial Narrow" w:hAnsi="Arial Narrow"/>
          <w:color w:val="000000" w:themeColor="text1"/>
        </w:rPr>
        <w:t xml:space="preserve">pri </w:t>
      </w:r>
      <w:r w:rsidR="004B6F5E" w:rsidRPr="000124C7">
        <w:rPr>
          <w:rFonts w:ascii="Arial Narrow" w:hAnsi="Arial Narrow"/>
          <w:color w:val="000000" w:themeColor="text1"/>
        </w:rPr>
        <w:t>priemer</w:t>
      </w:r>
      <w:r w:rsidRPr="000124C7">
        <w:rPr>
          <w:rFonts w:ascii="Arial Narrow" w:hAnsi="Arial Narrow"/>
          <w:color w:val="000000" w:themeColor="text1"/>
        </w:rPr>
        <w:t xml:space="preserve">nej dobe trvania nezamestnanosti </w:t>
      </w:r>
      <w:r w:rsidR="004B6F5E" w:rsidRPr="000124C7">
        <w:rPr>
          <w:rFonts w:ascii="Arial Narrow" w:hAnsi="Arial Narrow"/>
          <w:color w:val="000000" w:themeColor="text1"/>
        </w:rPr>
        <w:t>5,2 roka.</w:t>
      </w:r>
      <w:r w:rsidR="000124C7" w:rsidRPr="000124C7">
        <w:rPr>
          <w:rFonts w:ascii="Arial Narrow" w:hAnsi="Arial Narrow"/>
          <w:color w:val="000000" w:themeColor="text1"/>
        </w:rPr>
        <w:t xml:space="preserve"> Priemerná nezamestnanosť predstavuje náklady približne 2 300 eur za 2,6 roka.</w:t>
      </w:r>
      <w:r w:rsidR="009240AA">
        <w:rPr>
          <w:rFonts w:ascii="Arial Narrow" w:hAnsi="Arial Narrow"/>
          <w:color w:val="000000" w:themeColor="text1"/>
        </w:rPr>
        <w:t xml:space="preserve"> Opatrenia zamerané na túto prioritnú skupinu by mohli okrem pozitívnych sociálnych vplyvov priniesť aj významné úspory pre verejné financie (Box 1).</w:t>
      </w:r>
    </w:p>
    <w:p w14:paraId="450FBB17" w14:textId="77777777" w:rsidR="009544D2" w:rsidRDefault="009544D2" w:rsidP="009544D2">
      <w:pPr>
        <w:spacing w:after="0" w:line="240" w:lineRule="auto"/>
        <w:jc w:val="both"/>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07"/>
        <w:gridCol w:w="222"/>
        <w:gridCol w:w="4135"/>
      </w:tblGrid>
      <w:tr w:rsidR="00E93DA2" w:rsidRPr="006C5792" w14:paraId="2ED9B6A0" w14:textId="77777777" w:rsidTr="00BF0187">
        <w:trPr>
          <w:trHeight w:val="227"/>
          <w:jc w:val="center"/>
        </w:trPr>
        <w:tc>
          <w:tcPr>
            <w:tcW w:w="2456" w:type="pct"/>
            <w:tcBorders>
              <w:top w:val="nil"/>
              <w:left w:val="nil"/>
              <w:bottom w:val="single" w:sz="4" w:space="0" w:color="auto"/>
              <w:right w:val="nil"/>
            </w:tcBorders>
            <w:vAlign w:val="center"/>
            <w:hideMark/>
          </w:tcPr>
          <w:p w14:paraId="073276BD" w14:textId="6F25BFFD" w:rsidR="001F1B01" w:rsidRPr="001F1B01" w:rsidRDefault="001F1B01" w:rsidP="00BF0187">
            <w:pPr>
              <w:pStyle w:val="Graf"/>
              <w:spacing w:after="0" w:line="240" w:lineRule="auto"/>
              <w:jc w:val="both"/>
              <w:rPr>
                <w:rFonts w:eastAsia="Times New Roman" w:cs="Times New Roman"/>
                <w:color w:val="2C9ADC"/>
                <w:szCs w:val="18"/>
                <w:lang w:eastAsia="sk-SK"/>
              </w:rPr>
            </w:pPr>
            <w:bookmarkStart w:id="41" w:name="_Toc478656320"/>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17</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sidRPr="006C5792">
              <w:t xml:space="preserve"> </w:t>
            </w:r>
            <w:r w:rsidRPr="00170162">
              <w:rPr>
                <w:rFonts w:eastAsia="Times New Roman" w:cs="Times New Roman"/>
                <w:color w:val="2C9ADC"/>
                <w:szCs w:val="18"/>
                <w:lang w:eastAsia="sk-SK"/>
              </w:rPr>
              <w:t xml:space="preserve"> </w:t>
            </w:r>
            <w:r w:rsidRPr="001F1B01">
              <w:rPr>
                <w:rFonts w:eastAsia="Times New Roman" w:cs="Times New Roman"/>
                <w:color w:val="2C9ADC"/>
                <w:szCs w:val="18"/>
                <w:lang w:eastAsia="sk-SK"/>
              </w:rPr>
              <w:t>Nízkokvalifikovaná pracovná sila na trhu</w:t>
            </w:r>
            <w:bookmarkEnd w:id="41"/>
          </w:p>
          <w:p w14:paraId="59B79CE3" w14:textId="560315F4" w:rsidR="001F1B01" w:rsidRPr="001F1B01" w:rsidRDefault="001F1B01" w:rsidP="00BF0187">
            <w:pPr>
              <w:pStyle w:val="Graf"/>
              <w:spacing w:after="0" w:line="240" w:lineRule="auto"/>
              <w:jc w:val="both"/>
              <w:rPr>
                <w:rFonts w:eastAsia="Times New Roman" w:cs="Times New Roman"/>
                <w:color w:val="2C9ADC"/>
                <w:szCs w:val="18"/>
                <w:lang w:eastAsia="sk-SK"/>
              </w:rPr>
            </w:pPr>
            <w:r>
              <w:rPr>
                <w:rFonts w:eastAsia="Times New Roman" w:cs="Times New Roman"/>
                <w:color w:val="2C9ADC"/>
                <w:szCs w:val="18"/>
                <w:lang w:eastAsia="sk-SK"/>
              </w:rPr>
              <w:t>práce (%, 2015)</w:t>
            </w:r>
          </w:p>
        </w:tc>
        <w:tc>
          <w:tcPr>
            <w:tcW w:w="130" w:type="pct"/>
            <w:tcBorders>
              <w:top w:val="nil"/>
              <w:left w:val="nil"/>
              <w:bottom w:val="nil"/>
              <w:right w:val="nil"/>
            </w:tcBorders>
            <w:vAlign w:val="center"/>
          </w:tcPr>
          <w:p w14:paraId="740AA14E" w14:textId="77777777" w:rsidR="001F1B01" w:rsidRPr="006C5792" w:rsidRDefault="001F1B01" w:rsidP="00BF0187">
            <w:pPr>
              <w:spacing w:before="60" w:after="0" w:line="240" w:lineRule="auto"/>
              <w:rPr>
                <w:rFonts w:ascii="Arial Narrow" w:hAnsi="Arial Narrow" w:cs="Arial"/>
                <w:b/>
                <w:color w:val="2C9ADC"/>
                <w:sz w:val="20"/>
                <w:szCs w:val="18"/>
              </w:rPr>
            </w:pPr>
          </w:p>
        </w:tc>
        <w:tc>
          <w:tcPr>
            <w:tcW w:w="2414" w:type="pct"/>
            <w:tcBorders>
              <w:top w:val="nil"/>
              <w:left w:val="nil"/>
              <w:bottom w:val="single" w:sz="4" w:space="0" w:color="auto"/>
              <w:right w:val="nil"/>
            </w:tcBorders>
            <w:vAlign w:val="center"/>
            <w:hideMark/>
          </w:tcPr>
          <w:p w14:paraId="56DB1C4E" w14:textId="50C92D9E" w:rsidR="001F1B01" w:rsidRPr="00170162" w:rsidRDefault="001F1B01" w:rsidP="00BF0187">
            <w:pPr>
              <w:pStyle w:val="Graf"/>
              <w:spacing w:after="0" w:line="240" w:lineRule="auto"/>
              <w:rPr>
                <w:rFonts w:cs="Arial"/>
                <w:color w:val="2C9ADC"/>
                <w:szCs w:val="18"/>
              </w:rPr>
            </w:pPr>
            <w:bookmarkStart w:id="42" w:name="_Toc478656321"/>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18</w:t>
            </w:r>
            <w:r w:rsidRPr="00310353">
              <w:rPr>
                <w:rFonts w:cs="Arial"/>
                <w:color w:val="2C9ADC"/>
                <w:szCs w:val="18"/>
              </w:rPr>
              <w:fldChar w:fldCharType="end"/>
            </w:r>
            <w:r w:rsidRPr="00310353">
              <w:rPr>
                <w:rFonts w:cs="Arial"/>
                <w:color w:val="2C9ADC"/>
                <w:szCs w:val="18"/>
              </w:rPr>
              <w:t xml:space="preserve">: </w:t>
            </w:r>
            <w:r w:rsidR="00DE1599">
              <w:rPr>
                <w:rFonts w:cs="Arial"/>
                <w:color w:val="2C9ADC"/>
                <w:szCs w:val="18"/>
              </w:rPr>
              <w:t xml:space="preserve"> Miera zamestnanosti žien podľa vekových skupín (%, 2015)</w:t>
            </w:r>
            <w:bookmarkEnd w:id="42"/>
          </w:p>
        </w:tc>
      </w:tr>
      <w:tr w:rsidR="00E93DA2" w:rsidRPr="006C5792" w14:paraId="34461086" w14:textId="77777777" w:rsidTr="00BF0187">
        <w:tblPrEx>
          <w:tblCellMar>
            <w:left w:w="108" w:type="dxa"/>
            <w:right w:w="108" w:type="dxa"/>
          </w:tblCellMar>
        </w:tblPrEx>
        <w:trPr>
          <w:trHeight w:val="3042"/>
          <w:jc w:val="center"/>
        </w:trPr>
        <w:tc>
          <w:tcPr>
            <w:tcW w:w="2456" w:type="pct"/>
            <w:tcBorders>
              <w:top w:val="single" w:sz="4" w:space="0" w:color="auto"/>
              <w:left w:val="nil"/>
              <w:bottom w:val="single" w:sz="4" w:space="0" w:color="auto"/>
              <w:right w:val="nil"/>
            </w:tcBorders>
          </w:tcPr>
          <w:p w14:paraId="713FED3E" w14:textId="70DA9429" w:rsidR="001F1B01" w:rsidRPr="006C5792" w:rsidRDefault="00122DA9" w:rsidP="00BF0187">
            <w:pPr>
              <w:spacing w:before="40" w:after="0" w:line="240" w:lineRule="auto"/>
              <w:jc w:val="center"/>
              <w:rPr>
                <w:rFonts w:ascii="Arial Narrow" w:hAnsi="Arial Narrow" w:cs="Arial"/>
                <w:b/>
                <w:sz w:val="20"/>
                <w:szCs w:val="20"/>
              </w:rPr>
            </w:pPr>
            <w:r>
              <w:rPr>
                <w:noProof/>
                <w:lang w:val="en-US" w:eastAsia="en-US"/>
              </w:rPr>
              <w:drawing>
                <wp:inline distT="0" distB="0" distL="0" distR="0" wp14:anchorId="0C72D325" wp14:editId="038315B8">
                  <wp:extent cx="2628900" cy="2057400"/>
                  <wp:effectExtent l="0" t="0" r="0" b="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130" w:type="pct"/>
            <w:tcBorders>
              <w:top w:val="nil"/>
              <w:left w:val="nil"/>
              <w:bottom w:val="nil"/>
              <w:right w:val="nil"/>
            </w:tcBorders>
            <w:vAlign w:val="center"/>
          </w:tcPr>
          <w:p w14:paraId="3C7D4A8D" w14:textId="77777777" w:rsidR="001F1B01" w:rsidRPr="006C5792" w:rsidRDefault="001F1B01" w:rsidP="00BF0187">
            <w:pPr>
              <w:spacing w:before="40" w:after="0" w:line="240" w:lineRule="auto"/>
              <w:jc w:val="center"/>
              <w:rPr>
                <w:rFonts w:ascii="Arial Narrow" w:hAnsi="Arial Narrow" w:cs="Arial"/>
                <w:b/>
                <w:sz w:val="20"/>
                <w:szCs w:val="20"/>
              </w:rPr>
            </w:pPr>
          </w:p>
        </w:tc>
        <w:tc>
          <w:tcPr>
            <w:tcW w:w="2414" w:type="pct"/>
            <w:tcBorders>
              <w:top w:val="single" w:sz="4" w:space="0" w:color="auto"/>
              <w:left w:val="nil"/>
              <w:bottom w:val="single" w:sz="4" w:space="0" w:color="auto"/>
              <w:right w:val="nil"/>
            </w:tcBorders>
            <w:hideMark/>
          </w:tcPr>
          <w:p w14:paraId="2DA1D3C6" w14:textId="3B8DBBDB" w:rsidR="001F1B01" w:rsidRPr="006C5792" w:rsidRDefault="00DE1599" w:rsidP="00BF0187">
            <w:pPr>
              <w:spacing w:before="40" w:after="0" w:line="240" w:lineRule="auto"/>
              <w:jc w:val="center"/>
              <w:rPr>
                <w:rFonts w:ascii="Arial Narrow" w:hAnsi="Arial Narrow" w:cs="Arial"/>
                <w:b/>
                <w:sz w:val="20"/>
                <w:szCs w:val="20"/>
              </w:rPr>
            </w:pPr>
            <w:r>
              <w:rPr>
                <w:noProof/>
                <w:lang w:val="en-US" w:eastAsia="en-US"/>
              </w:rPr>
              <w:drawing>
                <wp:inline distT="0" distB="0" distL="0" distR="0" wp14:anchorId="476CA783" wp14:editId="4577CE5E">
                  <wp:extent cx="2581275" cy="2057400"/>
                  <wp:effectExtent l="0" t="0" r="0" b="0"/>
                  <wp:docPr id="353" name="Graf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93DA2" w:rsidRPr="006C5792" w14:paraId="39E4F46B" w14:textId="77777777" w:rsidTr="00BF0187">
        <w:trPr>
          <w:trHeight w:val="70"/>
          <w:jc w:val="center"/>
        </w:trPr>
        <w:tc>
          <w:tcPr>
            <w:tcW w:w="2456" w:type="pct"/>
            <w:tcBorders>
              <w:top w:val="single" w:sz="4" w:space="0" w:color="auto"/>
              <w:left w:val="nil"/>
              <w:bottom w:val="nil"/>
              <w:right w:val="nil"/>
            </w:tcBorders>
            <w:vAlign w:val="center"/>
          </w:tcPr>
          <w:p w14:paraId="7EF4A3FE" w14:textId="77777777" w:rsidR="001F1B01" w:rsidRPr="00C83F39" w:rsidRDefault="001F1B01" w:rsidP="00840A44">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Zdroj: Eurostat</w:t>
            </w:r>
          </w:p>
        </w:tc>
        <w:tc>
          <w:tcPr>
            <w:tcW w:w="130" w:type="pct"/>
            <w:tcBorders>
              <w:top w:val="nil"/>
              <w:left w:val="nil"/>
              <w:bottom w:val="nil"/>
              <w:right w:val="nil"/>
            </w:tcBorders>
            <w:vAlign w:val="center"/>
          </w:tcPr>
          <w:p w14:paraId="0A4433C6" w14:textId="77777777" w:rsidR="001F1B01" w:rsidRPr="00C83F39" w:rsidRDefault="001F1B01" w:rsidP="00840A44">
            <w:pPr>
              <w:spacing w:after="120" w:line="240" w:lineRule="auto"/>
              <w:jc w:val="center"/>
              <w:rPr>
                <w:rFonts w:ascii="Arial Narrow" w:hAnsi="Arial Narrow" w:cs="Arial"/>
                <w:i/>
                <w:sz w:val="16"/>
                <w:szCs w:val="16"/>
              </w:rPr>
            </w:pPr>
          </w:p>
        </w:tc>
        <w:tc>
          <w:tcPr>
            <w:tcW w:w="2414" w:type="pct"/>
            <w:tcBorders>
              <w:top w:val="single" w:sz="4" w:space="0" w:color="auto"/>
              <w:left w:val="nil"/>
              <w:bottom w:val="nil"/>
              <w:right w:val="nil"/>
            </w:tcBorders>
            <w:vAlign w:val="center"/>
          </w:tcPr>
          <w:p w14:paraId="7582E700" w14:textId="77777777" w:rsidR="001F1B01" w:rsidRPr="00C83F39" w:rsidRDefault="001F1B01" w:rsidP="00840A44">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Zdroj: Eurostat</w:t>
            </w:r>
          </w:p>
        </w:tc>
      </w:tr>
    </w:tbl>
    <w:p w14:paraId="6DEF1196" w14:textId="70B06CD3" w:rsidR="009544D2" w:rsidRPr="00AE4520" w:rsidRDefault="009544D2" w:rsidP="009544D2">
      <w:pPr>
        <w:spacing w:after="0" w:line="240" w:lineRule="auto"/>
        <w:jc w:val="both"/>
        <w:rPr>
          <w:rFonts w:ascii="Arial Narrow" w:hAnsi="Arial Narrow"/>
        </w:rPr>
      </w:pPr>
      <w:r w:rsidRPr="009544D2">
        <w:rPr>
          <w:rFonts w:ascii="Arial Narrow" w:hAnsi="Arial Narrow"/>
          <w:b/>
        </w:rPr>
        <w:lastRenderedPageBreak/>
        <w:t>Nízka miera zamestnanosti matiek s deťmi</w:t>
      </w:r>
      <w:r w:rsidRPr="00A717E8">
        <w:rPr>
          <w:rFonts w:ascii="Arial Narrow" w:hAnsi="Arial Narrow"/>
        </w:rPr>
        <w:t xml:space="preserve"> </w:t>
      </w:r>
      <w:r>
        <w:rPr>
          <w:rFonts w:ascii="Arial Narrow" w:hAnsi="Arial Narrow"/>
        </w:rPr>
        <w:t xml:space="preserve">z </w:t>
      </w:r>
      <w:r w:rsidRPr="00A717E8">
        <w:rPr>
          <w:rFonts w:ascii="Arial Narrow" w:hAnsi="Arial Narrow"/>
        </w:rPr>
        <w:t>dôvodu</w:t>
      </w:r>
      <w:r>
        <w:rPr>
          <w:rFonts w:ascii="Arial Narrow" w:hAnsi="Arial Narrow"/>
        </w:rPr>
        <w:t xml:space="preserve"> rodičovskej dovolenky sa zaraďuje do skupiny výziev slovenského trhu práce. </w:t>
      </w:r>
      <w:r w:rsidRPr="00824078">
        <w:rPr>
          <w:rFonts w:ascii="Arial Narrow" w:hAnsi="Arial Narrow"/>
        </w:rPr>
        <w:t xml:space="preserve">Najväčšie rozdiely v zamestnávaní žien oproti priemeru EÚ sa týkajú mladých vekových </w:t>
      </w:r>
      <w:r w:rsidR="001C1A32">
        <w:rPr>
          <w:rFonts w:ascii="Arial Narrow" w:hAnsi="Arial Narrow"/>
        </w:rPr>
        <w:t>skupín</w:t>
      </w:r>
      <w:r w:rsidR="001C1A32" w:rsidRPr="00824078">
        <w:rPr>
          <w:rFonts w:ascii="Arial Narrow" w:hAnsi="Arial Narrow"/>
        </w:rPr>
        <w:t xml:space="preserve"> </w:t>
      </w:r>
      <w:r w:rsidRPr="00824078">
        <w:rPr>
          <w:rFonts w:ascii="Arial Narrow" w:hAnsi="Arial Narrow"/>
        </w:rPr>
        <w:t xml:space="preserve">z dôvodu štúdia alebo starostlivosti o deti. Vo zvyšku ženskej populácie dosahuje miera zamestnanosti žien na Slovensku rovnakú alebo dokonca vyššiu mieru zamestnanosti ako v EÚ (s výnimkou vekovej </w:t>
      </w:r>
      <w:r w:rsidR="00B269DD">
        <w:rPr>
          <w:rFonts w:ascii="Arial Narrow" w:hAnsi="Arial Narrow"/>
        </w:rPr>
        <w:t>skupiny</w:t>
      </w:r>
      <w:r w:rsidR="00B269DD" w:rsidRPr="00824078">
        <w:rPr>
          <w:rFonts w:ascii="Arial Narrow" w:hAnsi="Arial Narrow"/>
        </w:rPr>
        <w:t xml:space="preserve"> </w:t>
      </w:r>
      <w:r w:rsidR="00AE4520">
        <w:rPr>
          <w:rFonts w:ascii="Arial Narrow" w:hAnsi="Arial Narrow"/>
        </w:rPr>
        <w:t xml:space="preserve">60 – </w:t>
      </w:r>
      <w:r w:rsidRPr="00824078">
        <w:rPr>
          <w:rFonts w:ascii="Arial Narrow" w:hAnsi="Arial Narrow"/>
        </w:rPr>
        <w:t>64 rokov</w:t>
      </w:r>
      <w:r w:rsidR="00B269DD">
        <w:rPr>
          <w:rFonts w:ascii="Arial Narrow" w:hAnsi="Arial Narrow"/>
        </w:rPr>
        <w:t xml:space="preserve"> z </w:t>
      </w:r>
      <w:r w:rsidR="00B269DD" w:rsidRPr="00A553B9">
        <w:rPr>
          <w:rFonts w:ascii="Arial Narrow" w:hAnsi="Arial Narrow"/>
        </w:rPr>
        <w:t>dôvodu nižšieho dôchodkového veku a početnejších odchodov do dôchodku</w:t>
      </w:r>
      <w:r w:rsidRPr="00824078">
        <w:rPr>
          <w:rFonts w:ascii="Arial Narrow" w:hAnsi="Arial Narrow"/>
        </w:rPr>
        <w:t>).</w:t>
      </w:r>
      <w:r>
        <w:rPr>
          <w:rFonts w:ascii="Arial Narrow" w:hAnsi="Arial Narrow"/>
        </w:rPr>
        <w:t xml:space="preserve"> </w:t>
      </w:r>
    </w:p>
    <w:p w14:paraId="4721921C" w14:textId="77777777" w:rsidR="009544D2" w:rsidRDefault="009544D2" w:rsidP="0018393E">
      <w:pPr>
        <w:spacing w:after="0" w:line="240" w:lineRule="auto"/>
        <w:jc w:val="both"/>
        <w:rPr>
          <w:rFonts w:ascii="Arial Narrow" w:hAnsi="Arial Narrow"/>
          <w:b/>
        </w:rPr>
      </w:pPr>
    </w:p>
    <w:p w14:paraId="48399E6F" w14:textId="3B4BBBFC" w:rsidR="00663E34" w:rsidRDefault="00483C6A" w:rsidP="0018393E">
      <w:pPr>
        <w:spacing w:after="0" w:line="240" w:lineRule="auto"/>
        <w:jc w:val="both"/>
        <w:rPr>
          <w:rFonts w:ascii="Arial Narrow" w:hAnsi="Arial Narrow"/>
        </w:rPr>
      </w:pPr>
      <w:r w:rsidRPr="007421DC">
        <w:rPr>
          <w:rFonts w:ascii="Arial Narrow" w:hAnsi="Arial Narrow"/>
          <w:b/>
        </w:rPr>
        <w:t>Penzijný systém poskytuje adekvátny príjem</w:t>
      </w:r>
      <w:r w:rsidR="007421DC" w:rsidRPr="007421DC">
        <w:rPr>
          <w:rFonts w:ascii="Arial Narrow" w:hAnsi="Arial Narrow"/>
          <w:b/>
        </w:rPr>
        <w:t xml:space="preserve"> v starobe</w:t>
      </w:r>
      <w:r>
        <w:rPr>
          <w:rFonts w:ascii="Arial Narrow" w:hAnsi="Arial Narrow"/>
        </w:rPr>
        <w:t xml:space="preserve">. </w:t>
      </w:r>
      <w:r w:rsidR="007421DC" w:rsidRPr="007421DC">
        <w:rPr>
          <w:rFonts w:ascii="Arial Narrow" w:hAnsi="Arial Narrow"/>
        </w:rPr>
        <w:t xml:space="preserve">Pomer priemernej penzie (súčtu všetkých druhov </w:t>
      </w:r>
      <w:r w:rsidR="002D7AC7">
        <w:rPr>
          <w:rFonts w:ascii="Arial Narrow" w:hAnsi="Arial Narrow"/>
        </w:rPr>
        <w:t xml:space="preserve">verejných </w:t>
      </w:r>
      <w:r w:rsidR="007421DC" w:rsidRPr="007421DC">
        <w:rPr>
          <w:rFonts w:ascii="Arial Narrow" w:hAnsi="Arial Narrow"/>
        </w:rPr>
        <w:t xml:space="preserve">penzií) a priemernej mzdy </w:t>
      </w:r>
      <w:r w:rsidR="007421DC">
        <w:rPr>
          <w:rFonts w:ascii="Arial Narrow" w:hAnsi="Arial Narrow"/>
        </w:rPr>
        <w:t xml:space="preserve">v hospodárstve </w:t>
      </w:r>
      <w:r w:rsidR="00A92003">
        <w:rPr>
          <w:rFonts w:ascii="Arial Narrow" w:hAnsi="Arial Narrow"/>
        </w:rPr>
        <w:t xml:space="preserve">bol </w:t>
      </w:r>
      <w:r>
        <w:rPr>
          <w:rFonts w:ascii="Arial Narrow" w:hAnsi="Arial Narrow"/>
        </w:rPr>
        <w:t>v roku 2013</w:t>
      </w:r>
      <w:r w:rsidR="00A92003">
        <w:rPr>
          <w:rFonts w:ascii="Arial Narrow" w:hAnsi="Arial Narrow"/>
        </w:rPr>
        <w:t xml:space="preserve"> takmer 4</w:t>
      </w:r>
      <w:r w:rsidR="002F43D4">
        <w:rPr>
          <w:rFonts w:ascii="Arial Narrow" w:hAnsi="Arial Narrow"/>
        </w:rPr>
        <w:t>5,7</w:t>
      </w:r>
      <w:r w:rsidR="00A92003">
        <w:rPr>
          <w:rFonts w:ascii="Arial Narrow" w:hAnsi="Arial Narrow"/>
        </w:rPr>
        <w:t xml:space="preserve"> %</w:t>
      </w:r>
      <w:r w:rsidR="00E02B36">
        <w:rPr>
          <w:rFonts w:ascii="Arial Narrow" w:hAnsi="Arial Narrow"/>
        </w:rPr>
        <w:t>, teda</w:t>
      </w:r>
      <w:r w:rsidR="00A92003">
        <w:rPr>
          <w:rFonts w:ascii="Arial Narrow" w:hAnsi="Arial Narrow"/>
        </w:rPr>
        <w:t xml:space="preserve"> mierne nad </w:t>
      </w:r>
      <w:r>
        <w:rPr>
          <w:rFonts w:ascii="Arial Narrow" w:hAnsi="Arial Narrow"/>
        </w:rPr>
        <w:t>priemerom</w:t>
      </w:r>
      <w:r w:rsidR="00A92003">
        <w:rPr>
          <w:rFonts w:ascii="Arial Narrow" w:hAnsi="Arial Narrow"/>
        </w:rPr>
        <w:t xml:space="preserve"> EÚ</w:t>
      </w:r>
      <w:r w:rsidR="002F43D4">
        <w:rPr>
          <w:rStyle w:val="Odkaznapoznmkupodiarou"/>
          <w:rFonts w:ascii="Arial Narrow" w:hAnsi="Arial Narrow"/>
        </w:rPr>
        <w:footnoteReference w:id="35"/>
      </w:r>
      <w:r w:rsidR="00A92003">
        <w:rPr>
          <w:rFonts w:ascii="Arial Narrow" w:hAnsi="Arial Narrow"/>
        </w:rPr>
        <w:t xml:space="preserve"> </w:t>
      </w:r>
      <w:r w:rsidR="007421DC">
        <w:rPr>
          <w:rFonts w:ascii="Arial Narrow" w:hAnsi="Arial Narrow"/>
        </w:rPr>
        <w:t>ako</w:t>
      </w:r>
      <w:r w:rsidR="00E02B36">
        <w:rPr>
          <w:rFonts w:ascii="Arial Narrow" w:hAnsi="Arial Narrow"/>
        </w:rPr>
        <w:t xml:space="preserve"> aj </w:t>
      </w:r>
      <w:r w:rsidR="00AE4520">
        <w:rPr>
          <w:rFonts w:ascii="Arial Narrow" w:hAnsi="Arial Narrow"/>
        </w:rPr>
        <w:t xml:space="preserve">nad </w:t>
      </w:r>
      <w:r w:rsidR="00E02B36">
        <w:rPr>
          <w:rFonts w:ascii="Arial Narrow" w:hAnsi="Arial Narrow"/>
        </w:rPr>
        <w:t>priemerom V3</w:t>
      </w:r>
      <w:r>
        <w:rPr>
          <w:rFonts w:ascii="Arial Narrow" w:hAnsi="Arial Narrow"/>
        </w:rPr>
        <w:t>.</w:t>
      </w:r>
      <w:r w:rsidR="00E02B36">
        <w:rPr>
          <w:rFonts w:ascii="Arial Narrow" w:hAnsi="Arial Narrow"/>
        </w:rPr>
        <w:t xml:space="preserve"> </w:t>
      </w:r>
      <w:r w:rsidR="007421DC">
        <w:rPr>
          <w:rFonts w:ascii="Arial Narrow" w:hAnsi="Arial Narrow"/>
        </w:rPr>
        <w:t>Č</w:t>
      </w:r>
      <w:r w:rsidR="00E02B36">
        <w:rPr>
          <w:rFonts w:ascii="Arial Narrow" w:hAnsi="Arial Narrow"/>
        </w:rPr>
        <w:t xml:space="preserve">istá miera náhrady </w:t>
      </w:r>
      <w:r w:rsidR="007421DC">
        <w:rPr>
          <w:rFonts w:ascii="Arial Narrow" w:hAnsi="Arial Narrow"/>
        </w:rPr>
        <w:t xml:space="preserve">penzií je v SR </w:t>
      </w:r>
      <w:r w:rsidR="00E02B36">
        <w:rPr>
          <w:rFonts w:ascii="Arial Narrow" w:hAnsi="Arial Narrow"/>
        </w:rPr>
        <w:t>ešte výraznejšie nad európskym priemerom</w:t>
      </w:r>
      <w:r w:rsidR="00A92003">
        <w:rPr>
          <w:rFonts w:ascii="Arial Narrow" w:hAnsi="Arial Narrow"/>
        </w:rPr>
        <w:t xml:space="preserve">, </w:t>
      </w:r>
      <w:r w:rsidR="007421DC">
        <w:rPr>
          <w:rFonts w:ascii="Arial Narrow" w:hAnsi="Arial Narrow"/>
        </w:rPr>
        <w:t xml:space="preserve">nakoľko dôchodky v niektorých </w:t>
      </w:r>
      <w:r w:rsidR="0018393E">
        <w:rPr>
          <w:rFonts w:ascii="Arial Narrow" w:hAnsi="Arial Narrow"/>
        </w:rPr>
        <w:t xml:space="preserve">krajinách podliehajú dani z príjmu. </w:t>
      </w:r>
      <w:r>
        <w:rPr>
          <w:rFonts w:ascii="Arial Narrow" w:hAnsi="Arial Narrow"/>
        </w:rPr>
        <w:t xml:space="preserve">Slovensko </w:t>
      </w:r>
      <w:r w:rsidR="00A717E8">
        <w:rPr>
          <w:rFonts w:ascii="Arial Narrow" w:hAnsi="Arial Narrow"/>
        </w:rPr>
        <w:t>podľa OECD</w:t>
      </w:r>
      <w:r w:rsidR="0018393E">
        <w:rPr>
          <w:rStyle w:val="Odkaznapoznmkupodiarou"/>
          <w:rFonts w:ascii="Arial Narrow" w:hAnsi="Arial Narrow"/>
        </w:rPr>
        <w:footnoteReference w:id="36"/>
      </w:r>
      <w:r w:rsidR="00A717E8">
        <w:rPr>
          <w:rFonts w:ascii="Arial Narrow" w:hAnsi="Arial Narrow"/>
        </w:rPr>
        <w:t xml:space="preserve"> </w:t>
      </w:r>
      <w:r>
        <w:rPr>
          <w:rFonts w:ascii="Arial Narrow" w:hAnsi="Arial Narrow"/>
        </w:rPr>
        <w:t xml:space="preserve">patrí medzi krajiny, </w:t>
      </w:r>
      <w:r w:rsidR="00E02B36">
        <w:rPr>
          <w:rFonts w:ascii="Arial Narrow" w:hAnsi="Arial Narrow"/>
        </w:rPr>
        <w:t xml:space="preserve">kde príjmy z práce a kapitálu tvoria </w:t>
      </w:r>
      <w:r w:rsidR="00E02B36" w:rsidRPr="003020D8">
        <w:rPr>
          <w:rFonts w:ascii="Arial Narrow" w:hAnsi="Arial Narrow"/>
        </w:rPr>
        <w:t>menej ako</w:t>
      </w:r>
      <w:r w:rsidR="00570C61" w:rsidRPr="003020D8">
        <w:rPr>
          <w:rFonts w:ascii="Arial Narrow" w:hAnsi="Arial Narrow"/>
        </w:rPr>
        <w:t xml:space="preserve"> 2</w:t>
      </w:r>
      <w:r w:rsidR="00E02B36" w:rsidRPr="003020D8">
        <w:rPr>
          <w:rFonts w:ascii="Arial Narrow" w:hAnsi="Arial Narrow"/>
        </w:rPr>
        <w:t>0 %</w:t>
      </w:r>
      <w:r w:rsidR="00E02B36">
        <w:rPr>
          <w:rFonts w:ascii="Arial Narrow" w:hAnsi="Arial Narrow"/>
        </w:rPr>
        <w:t xml:space="preserve"> príjmu v</w:t>
      </w:r>
      <w:r w:rsidR="00A717E8">
        <w:rPr>
          <w:rFonts w:ascii="Arial Narrow" w:hAnsi="Arial Narrow"/>
        </w:rPr>
        <w:t> </w:t>
      </w:r>
      <w:r w:rsidR="00E02B36">
        <w:rPr>
          <w:rFonts w:ascii="Arial Narrow" w:hAnsi="Arial Narrow"/>
        </w:rPr>
        <w:t>starobe</w:t>
      </w:r>
      <w:r w:rsidR="00A717E8">
        <w:rPr>
          <w:rFonts w:ascii="Arial Narrow" w:hAnsi="Arial Narrow"/>
        </w:rPr>
        <w:t xml:space="preserve">, </w:t>
      </w:r>
      <w:r w:rsidR="00E02B36">
        <w:rPr>
          <w:rFonts w:ascii="Arial Narrow" w:hAnsi="Arial Narrow"/>
        </w:rPr>
        <w:t>čo je menej ako v zahraničí.</w:t>
      </w:r>
    </w:p>
    <w:p w14:paraId="5DB769CD" w14:textId="77777777" w:rsidR="003020D8" w:rsidRDefault="003020D8" w:rsidP="0018393E">
      <w:pPr>
        <w:spacing w:after="0" w:line="240" w:lineRule="auto"/>
        <w:jc w:val="both"/>
        <w:rPr>
          <w:rFonts w:ascii="Arial Narrow" w:hAnsi="Arial Narrow"/>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tblGrid>
      <w:tr w:rsidR="00DA5456" w14:paraId="22CCC3D7" w14:textId="77777777" w:rsidTr="00AD1029">
        <w:trPr>
          <w:jc w:val="center"/>
        </w:trPr>
        <w:tc>
          <w:tcPr>
            <w:tcW w:w="8554" w:type="dxa"/>
            <w:shd w:val="clear" w:color="auto" w:fill="AAD3F2"/>
          </w:tcPr>
          <w:p w14:paraId="02505332" w14:textId="6876661D" w:rsidR="00DA5456" w:rsidRPr="00E16A32" w:rsidRDefault="00CA735C" w:rsidP="00FC5717">
            <w:pPr>
              <w:spacing w:before="120" w:line="240" w:lineRule="auto"/>
              <w:jc w:val="both"/>
              <w:rPr>
                <w:rFonts w:ascii="Arial Narrow" w:hAnsi="Arial Narrow" w:cs="Arial Narrow"/>
                <w:b/>
                <w:bCs/>
              </w:rPr>
            </w:pPr>
            <w:r w:rsidRPr="00E16A32">
              <w:rPr>
                <w:rFonts w:ascii="Arial Narrow" w:hAnsi="Arial Narrow"/>
                <w:b/>
              </w:rPr>
              <w:t>Box 1</w:t>
            </w:r>
            <w:r w:rsidR="00DA5456" w:rsidRPr="00E16A32">
              <w:rPr>
                <w:rFonts w:ascii="Arial Narrow" w:hAnsi="Arial Narrow"/>
                <w:b/>
              </w:rPr>
              <w:t>:</w:t>
            </w:r>
            <w:r w:rsidRPr="00E16A32">
              <w:rPr>
                <w:rFonts w:ascii="Arial Narrow" w:hAnsi="Arial Narrow"/>
                <w:b/>
              </w:rPr>
              <w:t xml:space="preserve"> </w:t>
            </w:r>
            <w:r w:rsidR="00AA239C" w:rsidRPr="00E16A32">
              <w:rPr>
                <w:rFonts w:ascii="Arial Narrow" w:hAnsi="Arial Narrow"/>
                <w:b/>
              </w:rPr>
              <w:t xml:space="preserve">Pilotné hodnotenie </w:t>
            </w:r>
            <w:r w:rsidR="00AA239C" w:rsidRPr="00E16A32">
              <w:rPr>
                <w:rFonts w:ascii="Arial Narrow" w:hAnsi="Arial Narrow" w:cs="Arial"/>
                <w:b/>
              </w:rPr>
              <w:t>efektívnosti a účinnosti služieb zamestnanosti</w:t>
            </w:r>
            <w:r w:rsidR="00AA239C" w:rsidRPr="00E16A32">
              <w:rPr>
                <w:rFonts w:ascii="Arial Narrow" w:hAnsi="Arial Narrow"/>
                <w:b/>
              </w:rPr>
              <w:t xml:space="preserve"> </w:t>
            </w:r>
          </w:p>
          <w:p w14:paraId="092BC5ED" w14:textId="7CBE0FF9" w:rsidR="00E34AE0" w:rsidRPr="00E16A32" w:rsidRDefault="00E34AE0" w:rsidP="00FC5717">
            <w:pPr>
              <w:spacing w:after="120" w:line="240" w:lineRule="auto"/>
              <w:jc w:val="both"/>
              <w:rPr>
                <w:rFonts w:ascii="Arial Narrow" w:hAnsi="Arial Narrow" w:cs="Arial Narrow"/>
                <w:bCs/>
              </w:rPr>
            </w:pPr>
            <w:r w:rsidRPr="00E16A32">
              <w:rPr>
                <w:rFonts w:ascii="Arial Narrow" w:hAnsi="Arial Narrow" w:cs="Arial"/>
                <w:b/>
              </w:rPr>
              <w:t>Pilotná štúdia hodnotenia efektívnosti a účinnosti služieb zamestnanosti</w:t>
            </w:r>
            <w:r w:rsidR="00A717E8" w:rsidRPr="00E16A32">
              <w:rPr>
                <w:rFonts w:ascii="Arial Narrow" w:hAnsi="Arial Narrow" w:cs="Arial"/>
              </w:rPr>
              <w:t xml:space="preserve"> </w:t>
            </w:r>
            <w:r w:rsidR="00C411C7" w:rsidRPr="00E16A32">
              <w:rPr>
                <w:rFonts w:ascii="Arial Narrow" w:hAnsi="Arial Narrow" w:cs="Arial"/>
              </w:rPr>
              <w:t>pripravená MF SR v spolupráci s</w:t>
            </w:r>
            <w:r w:rsidR="00A717E8" w:rsidRPr="00E16A32">
              <w:rPr>
                <w:rFonts w:ascii="Arial Narrow" w:hAnsi="Arial Narrow" w:cs="Arial"/>
              </w:rPr>
              <w:t xml:space="preserve"> </w:t>
            </w:r>
            <w:r w:rsidR="00C411C7" w:rsidRPr="00E16A32">
              <w:rPr>
                <w:rFonts w:ascii="Arial Narrow" w:hAnsi="Arial Narrow" w:cs="Arial"/>
              </w:rPr>
              <w:t xml:space="preserve">MPSVR SR </w:t>
            </w:r>
            <w:r w:rsidRPr="00E16A32">
              <w:rPr>
                <w:rFonts w:ascii="Arial Narrow" w:hAnsi="Arial Narrow" w:cs="Arial"/>
              </w:rPr>
              <w:t>identifik</w:t>
            </w:r>
            <w:r w:rsidR="00FC52EB" w:rsidRPr="00E16A32">
              <w:rPr>
                <w:rFonts w:ascii="Arial Narrow" w:hAnsi="Arial Narrow" w:cs="Arial"/>
              </w:rPr>
              <w:t xml:space="preserve">uje </w:t>
            </w:r>
            <w:r w:rsidRPr="00E16A32">
              <w:rPr>
                <w:rFonts w:ascii="Arial Narrow" w:hAnsi="Arial Narrow" w:cs="Arial"/>
              </w:rPr>
              <w:t>možné zlepšenia výsledkov na trhu práce pri zachovaní zdrojov najmä efektívnejšími úradmi práce a alokáciou relatívne väčšej časti zdrojov na dlhodobo nezamestnaných:</w:t>
            </w:r>
          </w:p>
          <w:p w14:paraId="08E54A5C" w14:textId="542EE67A" w:rsidR="00E34AE0" w:rsidRPr="00E16A32" w:rsidRDefault="00E34AE0" w:rsidP="00F26420">
            <w:pPr>
              <w:pStyle w:val="Odsekzoznamu"/>
              <w:numPr>
                <w:ilvl w:val="0"/>
                <w:numId w:val="30"/>
              </w:numPr>
              <w:spacing w:after="120" w:line="240" w:lineRule="auto"/>
              <w:contextualSpacing w:val="0"/>
              <w:jc w:val="both"/>
              <w:rPr>
                <w:rFonts w:ascii="Arial Narrow" w:hAnsi="Arial Narrow"/>
              </w:rPr>
            </w:pPr>
            <w:r w:rsidRPr="00E16A32">
              <w:rPr>
                <w:rFonts w:ascii="Arial Narrow" w:hAnsi="Arial Narrow"/>
              </w:rPr>
              <w:t>V</w:t>
            </w:r>
            <w:r w:rsidR="00105C1C" w:rsidRPr="00E16A32">
              <w:rPr>
                <w:rFonts w:ascii="Arial Narrow" w:hAnsi="Arial Narrow"/>
              </w:rPr>
              <w:t> </w:t>
            </w:r>
            <w:r w:rsidR="00105C1C" w:rsidRPr="00E16A32">
              <w:rPr>
                <w:rFonts w:ascii="Arial Narrow" w:hAnsi="Arial Narrow"/>
                <w:b/>
              </w:rPr>
              <w:t>úspešnosti služieb zamestnanosti</w:t>
            </w:r>
            <w:r w:rsidR="00105C1C" w:rsidRPr="00E16A32">
              <w:rPr>
                <w:rFonts w:ascii="Arial Narrow" w:hAnsi="Arial Narrow"/>
              </w:rPr>
              <w:t xml:space="preserve"> sa </w:t>
            </w:r>
            <w:r w:rsidR="00A92003" w:rsidRPr="00E16A32">
              <w:rPr>
                <w:rFonts w:ascii="Arial Narrow" w:hAnsi="Arial Narrow"/>
              </w:rPr>
              <w:t xml:space="preserve">medzi jednotlivými úradmi práce </w:t>
            </w:r>
            <w:r w:rsidRPr="00E16A32">
              <w:rPr>
                <w:rFonts w:ascii="Arial Narrow" w:hAnsi="Arial Narrow"/>
              </w:rPr>
              <w:t xml:space="preserve">ukazujú </w:t>
            </w:r>
            <w:r w:rsidRPr="00E16A32">
              <w:rPr>
                <w:rFonts w:ascii="Arial Narrow" w:hAnsi="Arial Narrow"/>
                <w:b/>
              </w:rPr>
              <w:t>podstatné rozdiely aj pri zohľadnení regionálnych podmienok na trhu práce</w:t>
            </w:r>
            <w:r w:rsidRPr="00E16A32">
              <w:rPr>
                <w:rFonts w:ascii="Arial Narrow" w:hAnsi="Arial Narrow"/>
              </w:rPr>
              <w:t xml:space="preserve">. </w:t>
            </w:r>
            <w:r w:rsidR="00105C1C" w:rsidRPr="00E16A32">
              <w:rPr>
                <w:rFonts w:ascii="Arial Narrow" w:hAnsi="Arial Narrow"/>
              </w:rPr>
              <w:t>Výsledky n</w:t>
            </w:r>
            <w:r w:rsidRPr="00E16A32">
              <w:rPr>
                <w:rFonts w:ascii="Arial Narrow" w:hAnsi="Arial Narrow"/>
              </w:rPr>
              <w:t>egatívn</w:t>
            </w:r>
            <w:r w:rsidR="00105C1C" w:rsidRPr="00E16A32">
              <w:rPr>
                <w:rFonts w:ascii="Arial Narrow" w:hAnsi="Arial Narrow"/>
              </w:rPr>
              <w:t>e o</w:t>
            </w:r>
            <w:r w:rsidRPr="00E16A32">
              <w:rPr>
                <w:rFonts w:ascii="Arial Narrow" w:hAnsi="Arial Narrow"/>
              </w:rPr>
              <w:t>vplyv</w:t>
            </w:r>
            <w:r w:rsidR="00105C1C" w:rsidRPr="00E16A32">
              <w:rPr>
                <w:rFonts w:ascii="Arial Narrow" w:hAnsi="Arial Narrow"/>
              </w:rPr>
              <w:t xml:space="preserve">ňuje najmä </w:t>
            </w:r>
            <w:r w:rsidRPr="00E16A32">
              <w:rPr>
                <w:rFonts w:ascii="Arial Narrow" w:hAnsi="Arial Narrow"/>
              </w:rPr>
              <w:t xml:space="preserve">vyššie pracovné zaťaženie zamestnancov úradov </w:t>
            </w:r>
            <w:r w:rsidRPr="00E16A32">
              <w:rPr>
                <w:rFonts w:ascii="Arial Narrow" w:hAnsi="Arial Narrow"/>
                <w:color w:val="000000" w:themeColor="text1"/>
              </w:rPr>
              <w:t>práce</w:t>
            </w:r>
            <w:r w:rsidRPr="00E16A32">
              <w:rPr>
                <w:rFonts w:ascii="Arial Narrow" w:hAnsi="Arial Narrow"/>
              </w:rPr>
              <w:t xml:space="preserve"> a dlhšia doba nezamestnanosti</w:t>
            </w:r>
            <w:r w:rsidR="00105C1C" w:rsidRPr="00E16A32">
              <w:rPr>
                <w:rFonts w:ascii="Arial Narrow" w:hAnsi="Arial Narrow"/>
              </w:rPr>
              <w:t xml:space="preserve"> UoZ</w:t>
            </w:r>
            <w:r w:rsidRPr="00E16A32">
              <w:rPr>
                <w:rFonts w:ascii="Arial Narrow" w:hAnsi="Arial Narrow"/>
              </w:rPr>
              <w:t xml:space="preserve">. </w:t>
            </w:r>
            <w:r w:rsidR="00891CC0" w:rsidRPr="00E16A32">
              <w:rPr>
                <w:rFonts w:ascii="Arial Narrow" w:hAnsi="Arial Narrow"/>
              </w:rPr>
              <w:t>Efektívnejšie služby zamestnanosti by mohli priniesť</w:t>
            </w:r>
            <w:r w:rsidR="00A92003" w:rsidRPr="00E16A32">
              <w:rPr>
                <w:rFonts w:ascii="Arial Narrow" w:hAnsi="Arial Narrow"/>
              </w:rPr>
              <w:t xml:space="preserve"> dodatočné zamestnanie takmer 6 tisíc </w:t>
            </w:r>
            <w:r w:rsidR="00891CC0" w:rsidRPr="00E16A32">
              <w:rPr>
                <w:rFonts w:ascii="Arial Narrow" w:hAnsi="Arial Narrow"/>
              </w:rPr>
              <w:t xml:space="preserve">nezamestnaných a úsporu na výdavkoch štátu vo výške 7 mil. eur ročne. </w:t>
            </w:r>
          </w:p>
          <w:p w14:paraId="2A3EC54C" w14:textId="7BA9E3CC" w:rsidR="00E34AE0" w:rsidRPr="00E16A32" w:rsidRDefault="00E34AE0" w:rsidP="00FC5717">
            <w:pPr>
              <w:pStyle w:val="Odsekzoznamu"/>
              <w:numPr>
                <w:ilvl w:val="0"/>
                <w:numId w:val="30"/>
              </w:numPr>
              <w:spacing w:after="120" w:line="240" w:lineRule="auto"/>
              <w:contextualSpacing w:val="0"/>
              <w:jc w:val="both"/>
              <w:rPr>
                <w:rFonts w:ascii="Arial Narrow" w:hAnsi="Arial Narrow"/>
              </w:rPr>
            </w:pPr>
            <w:r w:rsidRPr="00E16A32">
              <w:rPr>
                <w:rFonts w:ascii="Arial Narrow" w:hAnsi="Arial Narrow"/>
              </w:rPr>
              <w:t xml:space="preserve">Organizačná reforma úradov práce navýšila kapacity pre prácu s nezamestnanými, ale </w:t>
            </w:r>
            <w:r w:rsidRPr="00E16A32">
              <w:rPr>
                <w:rFonts w:ascii="Arial Narrow" w:hAnsi="Arial Narrow"/>
                <w:b/>
              </w:rPr>
              <w:t>záťaž pracovníkov je naďalej vyššia ako v zahraničí</w:t>
            </w:r>
            <w:r w:rsidRPr="00E16A32">
              <w:rPr>
                <w:rFonts w:ascii="Arial Narrow" w:hAnsi="Arial Narrow"/>
              </w:rPr>
              <w:t xml:space="preserve">. Záťaž zostáva vyššia najmä v okresoch Slovenska s vysokou mierou dlhodobej nezamestnanosti. </w:t>
            </w:r>
          </w:p>
          <w:p w14:paraId="262E9F1A" w14:textId="372B5546" w:rsidR="00FC5717" w:rsidRPr="00E16A32" w:rsidRDefault="00E34AE0" w:rsidP="00FC5717">
            <w:pPr>
              <w:pStyle w:val="Odsekzoznamu"/>
              <w:numPr>
                <w:ilvl w:val="0"/>
                <w:numId w:val="30"/>
              </w:numPr>
              <w:spacing w:after="120" w:line="240" w:lineRule="auto"/>
              <w:ind w:left="357" w:hanging="357"/>
              <w:contextualSpacing w:val="0"/>
              <w:jc w:val="both"/>
              <w:rPr>
                <w:rFonts w:ascii="Arial Narrow" w:hAnsi="Arial Narrow"/>
              </w:rPr>
            </w:pPr>
            <w:r w:rsidRPr="00E16A32">
              <w:rPr>
                <w:rFonts w:ascii="Arial Narrow" w:hAnsi="Arial Narrow"/>
                <w:b/>
              </w:rPr>
              <w:t xml:space="preserve">Najviac využívané nástroje </w:t>
            </w:r>
            <w:r w:rsidR="004137E5" w:rsidRPr="00E16A32">
              <w:rPr>
                <w:rFonts w:ascii="Arial Narrow" w:hAnsi="Arial Narrow"/>
                <w:b/>
              </w:rPr>
              <w:t xml:space="preserve">aktivácie nezamestnaných </w:t>
            </w:r>
            <w:r w:rsidRPr="00E16A32">
              <w:rPr>
                <w:rFonts w:ascii="Arial Narrow" w:hAnsi="Arial Narrow"/>
                <w:b/>
              </w:rPr>
              <w:t>sú odlišné ako v</w:t>
            </w:r>
            <w:r w:rsidR="00FC5717" w:rsidRPr="00E16A32">
              <w:rPr>
                <w:rFonts w:ascii="Arial Narrow" w:hAnsi="Arial Narrow"/>
                <w:b/>
              </w:rPr>
              <w:t> </w:t>
            </w:r>
            <w:r w:rsidR="00105C1C" w:rsidRPr="00E16A32">
              <w:rPr>
                <w:rFonts w:ascii="Arial Narrow" w:hAnsi="Arial Narrow"/>
                <w:b/>
              </w:rPr>
              <w:t>zahraničí</w:t>
            </w:r>
            <w:r w:rsidR="00FC5717" w:rsidRPr="00E16A32">
              <w:rPr>
                <w:rFonts w:ascii="Arial Narrow" w:hAnsi="Arial Narrow"/>
              </w:rPr>
              <w:t xml:space="preserve"> </w:t>
            </w:r>
            <w:r w:rsidR="00FC5717" w:rsidRPr="00E16A32">
              <w:rPr>
                <w:rFonts w:ascii="Arial Narrow" w:hAnsi="Arial Narrow"/>
                <w:b/>
              </w:rPr>
              <w:t>a nesmerujú na prioritné skupiny</w:t>
            </w:r>
            <w:r w:rsidR="00FC5717" w:rsidRPr="00E16A32">
              <w:rPr>
                <w:rFonts w:ascii="Arial Narrow" w:hAnsi="Arial Narrow"/>
              </w:rPr>
              <w:t>. Väčšia časť výdavkov APTP smeruje na krátkodobo nezamestnaných (približne 60 %) a na ťažšie zamestnateľné skupiny dlhodobo nezamestnaných ostáva iba zhruba 40 % zdrojov.</w:t>
            </w:r>
          </w:p>
          <w:p w14:paraId="76AA4EC7" w14:textId="1B329B9C" w:rsidR="00E34AE0" w:rsidRPr="00E16A32" w:rsidRDefault="00E34AE0" w:rsidP="00FC5717">
            <w:pPr>
              <w:pStyle w:val="Odsekzoznamu"/>
              <w:numPr>
                <w:ilvl w:val="0"/>
                <w:numId w:val="30"/>
              </w:numPr>
              <w:spacing w:after="120" w:line="240" w:lineRule="auto"/>
              <w:contextualSpacing w:val="0"/>
              <w:jc w:val="both"/>
              <w:rPr>
                <w:rFonts w:ascii="Arial Narrow" w:hAnsi="Arial Narrow"/>
              </w:rPr>
            </w:pPr>
            <w:r w:rsidRPr="00E16A32">
              <w:rPr>
                <w:rFonts w:ascii="Arial Narrow" w:hAnsi="Arial Narrow"/>
                <w:b/>
              </w:rPr>
              <w:t>Podpora verejného zamestnávania</w:t>
            </w:r>
            <w:r w:rsidRPr="00E16A32">
              <w:rPr>
                <w:rFonts w:ascii="Arial Narrow" w:hAnsi="Arial Narrow"/>
              </w:rPr>
              <w:t xml:space="preserve"> (</w:t>
            </w:r>
            <w:r w:rsidR="004137E5" w:rsidRPr="00E16A32">
              <w:rPr>
                <w:rFonts w:ascii="Arial Narrow" w:hAnsi="Arial Narrow"/>
              </w:rPr>
              <w:t>aktivačné práce</w:t>
            </w:r>
            <w:r w:rsidRPr="00E16A32">
              <w:rPr>
                <w:rFonts w:ascii="Arial Narrow" w:hAnsi="Arial Narrow"/>
              </w:rPr>
              <w:t xml:space="preserve">, podpora regionálnej a miestnej zamestnanosti) </w:t>
            </w:r>
            <w:r w:rsidRPr="00E16A32">
              <w:rPr>
                <w:rFonts w:ascii="Arial Narrow" w:hAnsi="Arial Narrow"/>
                <w:b/>
              </w:rPr>
              <w:t>sa</w:t>
            </w:r>
            <w:r w:rsidRPr="00E16A32">
              <w:rPr>
                <w:rFonts w:ascii="Arial Narrow" w:hAnsi="Arial Narrow"/>
              </w:rPr>
              <w:t xml:space="preserve"> na Slovensku </w:t>
            </w:r>
            <w:r w:rsidRPr="00E16A32">
              <w:rPr>
                <w:rFonts w:ascii="Arial Narrow" w:hAnsi="Arial Narrow"/>
                <w:b/>
              </w:rPr>
              <w:t>nejaví úspešná</w:t>
            </w:r>
            <w:r w:rsidRPr="00E16A32">
              <w:rPr>
                <w:rFonts w:ascii="Arial Narrow" w:hAnsi="Arial Narrow"/>
              </w:rPr>
              <w:t xml:space="preserve"> pri zamestnávaní cieľovej skupiny dlhodobo nezamestnaných UoZ. </w:t>
            </w:r>
          </w:p>
          <w:p w14:paraId="3C210E9D" w14:textId="77777777" w:rsidR="00E34AE0" w:rsidRPr="00E16A32" w:rsidRDefault="00E34AE0" w:rsidP="00FC5717">
            <w:pPr>
              <w:pStyle w:val="Odsekzoznamu"/>
              <w:numPr>
                <w:ilvl w:val="0"/>
                <w:numId w:val="30"/>
              </w:numPr>
              <w:spacing w:after="120" w:line="240" w:lineRule="auto"/>
              <w:contextualSpacing w:val="0"/>
              <w:jc w:val="both"/>
              <w:rPr>
                <w:rFonts w:ascii="Arial Narrow" w:hAnsi="Arial Narrow"/>
              </w:rPr>
            </w:pPr>
            <w:r w:rsidRPr="00E16A32">
              <w:rPr>
                <w:rFonts w:ascii="Arial Narrow" w:hAnsi="Arial Narrow"/>
                <w:b/>
              </w:rPr>
              <w:t>Relatívne úspešnejšie programy</w:t>
            </w:r>
            <w:r w:rsidRPr="00E16A32">
              <w:rPr>
                <w:rFonts w:ascii="Arial Narrow" w:hAnsi="Arial Narrow"/>
              </w:rPr>
              <w:t xml:space="preserve"> </w:t>
            </w:r>
            <w:r w:rsidRPr="00E16A32">
              <w:rPr>
                <w:rFonts w:ascii="Arial Narrow" w:hAnsi="Arial Narrow"/>
                <w:b/>
              </w:rPr>
              <w:t>na druhej strane nemajú za cieľ zamestnávanie dlhodobo nezamestnaných</w:t>
            </w:r>
            <w:r w:rsidRPr="00E16A32">
              <w:rPr>
                <w:rFonts w:ascii="Arial Narrow" w:hAnsi="Arial Narrow"/>
              </w:rPr>
              <w:t xml:space="preserve">. Programy dotovania ceny práce mladých do 29 rokov zlepšujú výsledky účastníkov ale ich nákladová efektívnosť je relatívne nízka. Krátkodobé programy absolventskej praxe a dobrovoľníckej činnosti sú z pohľadu nákladovej efektívnosti relatívne úspešné. </w:t>
            </w:r>
          </w:p>
          <w:p w14:paraId="5C6ED420" w14:textId="7405DC4D" w:rsidR="00643802" w:rsidRPr="00643802" w:rsidRDefault="00643802" w:rsidP="00FC5717">
            <w:pPr>
              <w:spacing w:after="120" w:line="240" w:lineRule="auto"/>
              <w:jc w:val="both"/>
              <w:rPr>
                <w:rFonts w:ascii="Arial Narrow" w:hAnsi="Arial Narrow"/>
              </w:rPr>
            </w:pPr>
            <w:r w:rsidRPr="00E16A32">
              <w:rPr>
                <w:rFonts w:ascii="Arial Narrow" w:hAnsi="Arial Narrow"/>
              </w:rPr>
              <w:t xml:space="preserve">Viac v analýze: </w:t>
            </w:r>
            <w:hyperlink r:id="rId30" w:history="1">
              <w:r w:rsidR="005E277C" w:rsidRPr="00E16A32">
                <w:rPr>
                  <w:rStyle w:val="Hypertextovprepojenie"/>
                  <w:rFonts w:ascii="Arial Narrow" w:hAnsi="Arial Narrow"/>
                </w:rPr>
                <w:t>Veľa práce na úradoch práce: Efektivita a účinnosť služieb zamestnanosti</w:t>
              </w:r>
            </w:hyperlink>
          </w:p>
        </w:tc>
      </w:tr>
    </w:tbl>
    <w:p w14:paraId="279F9D17" w14:textId="77777777" w:rsidR="00DA5456" w:rsidRDefault="00DA5456" w:rsidP="00FB625E">
      <w:pPr>
        <w:spacing w:after="0" w:line="240" w:lineRule="auto"/>
        <w:contextualSpacing/>
        <w:jc w:val="both"/>
        <w:rPr>
          <w:rFonts w:ascii="Arial Narrow" w:hAnsi="Arial Narrow"/>
        </w:rPr>
      </w:pPr>
    </w:p>
    <w:p w14:paraId="4B0614A7" w14:textId="4D29519A" w:rsidR="00684952" w:rsidRPr="00AF62F7" w:rsidRDefault="00684952" w:rsidP="00AF62F7">
      <w:pPr>
        <w:pStyle w:val="Nadpis2"/>
        <w:numPr>
          <w:ilvl w:val="2"/>
          <w:numId w:val="1"/>
        </w:numPr>
        <w:spacing w:after="240" w:line="240" w:lineRule="auto"/>
        <w:ind w:left="720"/>
        <w:jc w:val="both"/>
        <w:rPr>
          <w:rFonts w:ascii="Arial Narrow" w:hAnsi="Arial Narrow"/>
          <w:color w:val="2C9ADC"/>
          <w:sz w:val="28"/>
          <w:szCs w:val="28"/>
        </w:rPr>
      </w:pPr>
      <w:bookmarkStart w:id="43" w:name="_Toc448824646"/>
      <w:bookmarkStart w:id="44" w:name="_Toc477259952"/>
      <w:r w:rsidRPr="00256D89">
        <w:rPr>
          <w:rFonts w:ascii="Arial Narrow" w:hAnsi="Arial Narrow"/>
          <w:color w:val="2C9ADC"/>
          <w:sz w:val="28"/>
          <w:szCs w:val="28"/>
        </w:rPr>
        <w:t>Zamestnanosť</w:t>
      </w:r>
      <w:bookmarkEnd w:id="43"/>
      <w:bookmarkEnd w:id="44"/>
    </w:p>
    <w:p w14:paraId="43531ED0" w14:textId="167743BD" w:rsidR="00684952" w:rsidRPr="00256D89" w:rsidRDefault="000726BE" w:rsidP="00684952">
      <w:pPr>
        <w:spacing w:after="0" w:line="240" w:lineRule="auto"/>
        <w:jc w:val="both"/>
        <w:rPr>
          <w:rFonts w:ascii="Arial Narrow" w:hAnsi="Arial Narrow"/>
        </w:rPr>
      </w:pPr>
      <w:r>
        <w:rPr>
          <w:rFonts w:ascii="Arial Narrow" w:hAnsi="Arial Narrow"/>
          <w:b/>
          <w:i/>
        </w:rPr>
        <w:t>Služby zamestnanosti a i</w:t>
      </w:r>
      <w:r w:rsidR="00684952">
        <w:rPr>
          <w:rFonts w:ascii="Arial Narrow" w:hAnsi="Arial Narrow"/>
          <w:b/>
          <w:i/>
        </w:rPr>
        <w:t>ntegrácia dlhodobo nezamestnaných</w:t>
      </w:r>
    </w:p>
    <w:p w14:paraId="74B329D2" w14:textId="2F020FFF" w:rsidR="00DC33F1" w:rsidRDefault="00386AB7" w:rsidP="00684952">
      <w:pPr>
        <w:spacing w:after="0" w:line="240" w:lineRule="auto"/>
        <w:jc w:val="both"/>
        <w:rPr>
          <w:rFonts w:ascii="Arial Narrow" w:hAnsi="Arial Narrow"/>
          <w:color w:val="000000" w:themeColor="text1"/>
        </w:rPr>
      </w:pPr>
      <w:r w:rsidRPr="00407492">
        <w:rPr>
          <w:rFonts w:ascii="Arial Narrow" w:hAnsi="Arial Narrow"/>
          <w:color w:val="000000" w:themeColor="text1"/>
        </w:rPr>
        <w:t>Pilotná štúdia revízie výdavkov úradov práce identifikovala dlhodobo nezamestnaných ako prioritnú s</w:t>
      </w:r>
      <w:r w:rsidR="00407492" w:rsidRPr="00407492">
        <w:rPr>
          <w:rFonts w:ascii="Arial Narrow" w:hAnsi="Arial Narrow"/>
          <w:color w:val="000000" w:themeColor="text1"/>
        </w:rPr>
        <w:t xml:space="preserve">kupinu UoZ pre služby zamestnanosti. </w:t>
      </w:r>
      <w:r w:rsidRPr="00407492">
        <w:rPr>
          <w:rFonts w:ascii="Arial Narrow" w:hAnsi="Arial Narrow"/>
          <w:color w:val="000000" w:themeColor="text1"/>
        </w:rPr>
        <w:t>Integrácia tejto cieľovej skupiny na trh</w:t>
      </w:r>
      <w:r w:rsidR="00451DF3" w:rsidRPr="00407492">
        <w:rPr>
          <w:rFonts w:ascii="Arial Narrow" w:hAnsi="Arial Narrow"/>
          <w:color w:val="000000" w:themeColor="text1"/>
        </w:rPr>
        <w:t>u</w:t>
      </w:r>
      <w:r w:rsidRPr="00407492">
        <w:rPr>
          <w:rFonts w:ascii="Arial Narrow" w:hAnsi="Arial Narrow"/>
          <w:color w:val="000000" w:themeColor="text1"/>
        </w:rPr>
        <w:t xml:space="preserve"> práce </w:t>
      </w:r>
      <w:r w:rsidR="00684952" w:rsidRPr="00407492">
        <w:rPr>
          <w:rFonts w:ascii="Arial Narrow" w:hAnsi="Arial Narrow"/>
          <w:color w:val="000000" w:themeColor="text1"/>
        </w:rPr>
        <w:t xml:space="preserve">bude </w:t>
      </w:r>
      <w:r w:rsidRPr="00407492">
        <w:rPr>
          <w:rFonts w:ascii="Arial Narrow" w:hAnsi="Arial Narrow"/>
          <w:color w:val="000000" w:themeColor="text1"/>
        </w:rPr>
        <w:t xml:space="preserve">od roku 2017 podporená </w:t>
      </w:r>
      <w:r w:rsidR="00902949" w:rsidRPr="00F14CE7">
        <w:rPr>
          <w:rFonts w:ascii="Arial Narrow" w:hAnsi="Arial Narrow"/>
          <w:b/>
          <w:color w:val="000000" w:themeColor="text1"/>
        </w:rPr>
        <w:t>profiláciou</w:t>
      </w:r>
      <w:r w:rsidR="00902949" w:rsidRPr="00407492">
        <w:rPr>
          <w:rFonts w:ascii="Arial Narrow" w:hAnsi="Arial Narrow"/>
          <w:color w:val="000000" w:themeColor="text1"/>
        </w:rPr>
        <w:t xml:space="preserve"> </w:t>
      </w:r>
      <w:r w:rsidR="00F86FA4">
        <w:rPr>
          <w:rFonts w:ascii="Arial Narrow" w:hAnsi="Arial Narrow"/>
          <w:color w:val="000000" w:themeColor="text1"/>
        </w:rPr>
        <w:t xml:space="preserve">UoZ </w:t>
      </w:r>
      <w:r w:rsidR="00902949" w:rsidRPr="00407492">
        <w:rPr>
          <w:rFonts w:ascii="Arial Narrow" w:hAnsi="Arial Narrow"/>
          <w:color w:val="000000" w:themeColor="text1"/>
        </w:rPr>
        <w:t xml:space="preserve">a </w:t>
      </w:r>
      <w:r w:rsidRPr="00F14CE7">
        <w:rPr>
          <w:rFonts w:ascii="Arial Narrow" w:hAnsi="Arial Narrow"/>
          <w:b/>
          <w:color w:val="000000" w:themeColor="text1"/>
        </w:rPr>
        <w:t>individualizovaným poradenstvom</w:t>
      </w:r>
      <w:r w:rsidRPr="00407492">
        <w:rPr>
          <w:rFonts w:ascii="Arial Narrow" w:hAnsi="Arial Narrow"/>
          <w:color w:val="000000" w:themeColor="text1"/>
        </w:rPr>
        <w:t xml:space="preserve"> vrátane </w:t>
      </w:r>
      <w:r w:rsidRPr="00F14CE7">
        <w:rPr>
          <w:rFonts w:ascii="Arial Narrow" w:hAnsi="Arial Narrow"/>
          <w:b/>
          <w:color w:val="000000" w:themeColor="text1"/>
        </w:rPr>
        <w:t>bilancie kompetencií</w:t>
      </w:r>
      <w:r w:rsidRPr="00407492">
        <w:rPr>
          <w:rFonts w:ascii="Arial Narrow" w:hAnsi="Arial Narrow"/>
          <w:color w:val="000000" w:themeColor="text1"/>
        </w:rPr>
        <w:t>.</w:t>
      </w:r>
      <w:r w:rsidR="00902949" w:rsidRPr="00407492">
        <w:rPr>
          <w:rFonts w:ascii="Arial Narrow" w:hAnsi="Arial Narrow"/>
          <w:color w:val="000000" w:themeColor="text1"/>
        </w:rPr>
        <w:t xml:space="preserve"> </w:t>
      </w:r>
      <w:r w:rsidR="000726BE" w:rsidRPr="00407492">
        <w:rPr>
          <w:rFonts w:ascii="Arial Narrow" w:hAnsi="Arial Narrow"/>
          <w:color w:val="000000" w:themeColor="text1"/>
        </w:rPr>
        <w:t xml:space="preserve">Intenzívne odborné </w:t>
      </w:r>
      <w:r w:rsidR="000726BE" w:rsidRPr="00407492">
        <w:rPr>
          <w:rFonts w:ascii="Arial Narrow" w:hAnsi="Arial Narrow"/>
          <w:color w:val="000000" w:themeColor="text1"/>
        </w:rPr>
        <w:lastRenderedPageBreak/>
        <w:t xml:space="preserve">poradenstvo bude poskytované kapacitami z vlastných zdrojov a </w:t>
      </w:r>
      <w:r w:rsidR="000726BE" w:rsidRPr="00F14CE7">
        <w:rPr>
          <w:rFonts w:ascii="Arial Narrow" w:hAnsi="Arial Narrow"/>
          <w:b/>
          <w:color w:val="000000" w:themeColor="text1"/>
        </w:rPr>
        <w:t>zvýšením personálnych kapacít úradov práce</w:t>
      </w:r>
      <w:r w:rsidR="000726BE" w:rsidRPr="00407492">
        <w:rPr>
          <w:rFonts w:ascii="Arial Narrow" w:hAnsi="Arial Narrow"/>
          <w:color w:val="000000" w:themeColor="text1"/>
        </w:rPr>
        <w:t xml:space="preserve"> (odborné poradenstvo). Pre bilanciu kompetencií UoZ sa využijú externé služby. </w:t>
      </w:r>
      <w:r w:rsidR="00902949" w:rsidRPr="00407492">
        <w:rPr>
          <w:rFonts w:ascii="Arial Narrow" w:hAnsi="Arial Narrow"/>
          <w:color w:val="000000" w:themeColor="text1"/>
        </w:rPr>
        <w:t xml:space="preserve">Finančná alokácia </w:t>
      </w:r>
      <w:r w:rsidR="000726BE" w:rsidRPr="00407492">
        <w:rPr>
          <w:rFonts w:ascii="Arial Narrow" w:hAnsi="Arial Narrow"/>
          <w:color w:val="000000" w:themeColor="text1"/>
        </w:rPr>
        <w:t xml:space="preserve">z ESF </w:t>
      </w:r>
      <w:r w:rsidR="00902949" w:rsidRPr="00407492">
        <w:rPr>
          <w:rFonts w:ascii="Arial Narrow" w:hAnsi="Arial Narrow"/>
          <w:color w:val="000000" w:themeColor="text1"/>
        </w:rPr>
        <w:t>na tento zámer</w:t>
      </w:r>
      <w:r w:rsidR="00AF62F7" w:rsidRPr="00407492">
        <w:rPr>
          <w:rFonts w:ascii="Arial Narrow" w:hAnsi="Arial Narrow"/>
          <w:color w:val="000000" w:themeColor="text1"/>
        </w:rPr>
        <w:t xml:space="preserve"> predstavuje 34,9 mil. eur.</w:t>
      </w:r>
    </w:p>
    <w:p w14:paraId="3A9762E7" w14:textId="77777777" w:rsidR="00451DF3" w:rsidRPr="00407492" w:rsidRDefault="00451DF3" w:rsidP="000726BE">
      <w:pPr>
        <w:spacing w:after="0" w:line="240" w:lineRule="auto"/>
        <w:jc w:val="right"/>
        <w:rPr>
          <w:rFonts w:ascii="Arial Narrow" w:hAnsi="Arial Narrow"/>
          <w:color w:val="000000" w:themeColor="text1"/>
        </w:rPr>
      </w:pPr>
    </w:p>
    <w:p w14:paraId="54C44D7C" w14:textId="146EBF0D" w:rsidR="00386AB7" w:rsidRDefault="00386AB7" w:rsidP="00684952">
      <w:pPr>
        <w:spacing w:after="0" w:line="240" w:lineRule="auto"/>
        <w:jc w:val="both"/>
        <w:rPr>
          <w:rFonts w:ascii="Arial Narrow" w:hAnsi="Arial Narrow"/>
          <w:color w:val="000000" w:themeColor="text1"/>
        </w:rPr>
      </w:pPr>
      <w:r w:rsidRPr="00407492">
        <w:rPr>
          <w:rFonts w:ascii="Arial Narrow" w:hAnsi="Arial Narrow"/>
          <w:color w:val="000000" w:themeColor="text1"/>
        </w:rPr>
        <w:t>Umiestňovanie dlhodobo nezamestnaných</w:t>
      </w:r>
      <w:r w:rsidR="00451DF3" w:rsidRPr="00407492">
        <w:rPr>
          <w:rFonts w:ascii="Arial Narrow" w:hAnsi="Arial Narrow"/>
          <w:color w:val="000000" w:themeColor="text1"/>
        </w:rPr>
        <w:t xml:space="preserve"> </w:t>
      </w:r>
      <w:r w:rsidRPr="00407492">
        <w:rPr>
          <w:rFonts w:ascii="Arial Narrow" w:hAnsi="Arial Narrow"/>
          <w:color w:val="000000" w:themeColor="text1"/>
        </w:rPr>
        <w:t xml:space="preserve">sa podporí </w:t>
      </w:r>
      <w:r w:rsidR="00684952" w:rsidRPr="00407492">
        <w:rPr>
          <w:rFonts w:ascii="Arial Narrow" w:hAnsi="Arial Narrow"/>
          <w:color w:val="000000" w:themeColor="text1"/>
        </w:rPr>
        <w:t xml:space="preserve">aj </w:t>
      </w:r>
      <w:r w:rsidRPr="00407492">
        <w:rPr>
          <w:rFonts w:ascii="Arial Narrow" w:hAnsi="Arial Narrow"/>
          <w:color w:val="000000" w:themeColor="text1"/>
        </w:rPr>
        <w:t xml:space="preserve">cez </w:t>
      </w:r>
      <w:r w:rsidRPr="00F14CE7">
        <w:rPr>
          <w:rFonts w:ascii="Arial Narrow" w:hAnsi="Arial Narrow"/>
          <w:b/>
          <w:color w:val="000000" w:themeColor="text1"/>
        </w:rPr>
        <w:t>neštátne služby zamestnanosti</w:t>
      </w:r>
      <w:r w:rsidRPr="00407492">
        <w:rPr>
          <w:rFonts w:ascii="Arial Narrow" w:hAnsi="Arial Narrow"/>
          <w:color w:val="000000" w:themeColor="text1"/>
        </w:rPr>
        <w:t>.</w:t>
      </w:r>
      <w:r w:rsidR="00451DF3" w:rsidRPr="00407492">
        <w:rPr>
          <w:rFonts w:ascii="Arial Narrow" w:hAnsi="Arial Narrow"/>
          <w:color w:val="000000" w:themeColor="text1"/>
        </w:rPr>
        <w:t xml:space="preserve"> Finančnými príspevkami sa podporia agentúry dočasného zamestnávania, ktorých úlohou bude umiestniť na </w:t>
      </w:r>
      <w:r w:rsidR="00902949" w:rsidRPr="00407492">
        <w:rPr>
          <w:rFonts w:ascii="Arial Narrow" w:hAnsi="Arial Narrow"/>
          <w:color w:val="000000" w:themeColor="text1"/>
        </w:rPr>
        <w:t xml:space="preserve">otvorenom </w:t>
      </w:r>
      <w:r w:rsidR="00451DF3" w:rsidRPr="00407492">
        <w:rPr>
          <w:rFonts w:ascii="Arial Narrow" w:hAnsi="Arial Narrow"/>
          <w:color w:val="000000" w:themeColor="text1"/>
        </w:rPr>
        <w:t>trhu práce UoZ vedených v evidencii viac ako 24 mesiacov.</w:t>
      </w:r>
      <w:r w:rsidR="00902949" w:rsidRPr="00407492">
        <w:rPr>
          <w:rFonts w:ascii="Arial Narrow" w:hAnsi="Arial Narrow"/>
          <w:color w:val="000000" w:themeColor="text1"/>
        </w:rPr>
        <w:t xml:space="preserve"> </w:t>
      </w:r>
      <w:r w:rsidR="000726BE" w:rsidRPr="00407492">
        <w:rPr>
          <w:rFonts w:ascii="Arial Narrow" w:hAnsi="Arial Narrow"/>
          <w:color w:val="000000" w:themeColor="text1"/>
        </w:rPr>
        <w:t>V období 2017 až 2020 sa projekt podporí z ESF sumou 10 mil. eur.</w:t>
      </w:r>
    </w:p>
    <w:p w14:paraId="62F99639" w14:textId="77777777" w:rsidR="00125D18" w:rsidRDefault="00125D18" w:rsidP="00684952">
      <w:pPr>
        <w:spacing w:after="0" w:line="240" w:lineRule="auto"/>
        <w:jc w:val="both"/>
        <w:rPr>
          <w:rFonts w:ascii="Arial Narrow" w:hAnsi="Arial Narrow"/>
          <w:color w:val="000000" w:themeColor="text1"/>
        </w:rPr>
      </w:pPr>
    </w:p>
    <w:p w14:paraId="024028DD" w14:textId="03161F84" w:rsidR="00125D18" w:rsidRPr="00A553B9" w:rsidRDefault="00125D18" w:rsidP="00125D18">
      <w:pPr>
        <w:spacing w:after="0" w:line="240" w:lineRule="auto"/>
        <w:jc w:val="both"/>
        <w:rPr>
          <w:rFonts w:ascii="Arial Narrow" w:hAnsi="Arial Narrow"/>
        </w:rPr>
      </w:pPr>
      <w:r>
        <w:rPr>
          <w:rFonts w:ascii="Arial Narrow" w:hAnsi="Arial Narrow"/>
        </w:rPr>
        <w:t xml:space="preserve">K zlepšeniu postavenia dlhodobo nezamestnaných na trhu práce prispejú od roku 2017 </w:t>
      </w:r>
      <w:r w:rsidRPr="005C1A3D">
        <w:rPr>
          <w:rFonts w:ascii="Arial Narrow" w:hAnsi="Arial Narrow"/>
          <w:b/>
        </w:rPr>
        <w:t>programy vzdelávania a rekvalifikácie</w:t>
      </w:r>
      <w:r>
        <w:rPr>
          <w:rFonts w:ascii="Arial Narrow" w:hAnsi="Arial Narrow"/>
        </w:rPr>
        <w:t xml:space="preserve"> (národné projekty </w:t>
      </w:r>
      <w:r w:rsidRPr="00C64591">
        <w:rPr>
          <w:rFonts w:ascii="Arial Narrow" w:hAnsi="Arial Narrow"/>
          <w:i/>
        </w:rPr>
        <w:t xml:space="preserve">Vzdelávanie </w:t>
      </w:r>
      <w:r>
        <w:rPr>
          <w:rFonts w:ascii="Arial Narrow" w:hAnsi="Arial Narrow"/>
          <w:i/>
        </w:rPr>
        <w:t xml:space="preserve">UoZ </w:t>
      </w:r>
      <w:r>
        <w:rPr>
          <w:rFonts w:ascii="Arial Narrow" w:hAnsi="Arial Narrow"/>
        </w:rPr>
        <w:t>a </w:t>
      </w:r>
      <w:r>
        <w:rPr>
          <w:rFonts w:ascii="Arial Narrow" w:hAnsi="Arial Narrow"/>
          <w:i/>
        </w:rPr>
        <w:t xml:space="preserve">Vzdelávanie mladých UoZ </w:t>
      </w:r>
      <w:r>
        <w:rPr>
          <w:rFonts w:ascii="Arial Narrow" w:hAnsi="Arial Narrow"/>
        </w:rPr>
        <w:t xml:space="preserve"> </w:t>
      </w:r>
      <w:r w:rsidRPr="00C64591">
        <w:rPr>
          <w:rFonts w:ascii="Arial Narrow" w:hAnsi="Arial Narrow"/>
        </w:rPr>
        <w:t xml:space="preserve">s finančnou alokáciou </w:t>
      </w:r>
      <w:r w:rsidRPr="005C1A3D">
        <w:rPr>
          <w:rFonts w:ascii="Arial Narrow" w:hAnsi="Arial Narrow"/>
        </w:rPr>
        <w:t>28,9 mil. eur do roku 2022 a 30,9 mil. eur do roku 2019</w:t>
      </w:r>
      <w:r>
        <w:rPr>
          <w:rFonts w:ascii="Arial Narrow" w:hAnsi="Arial Narrow"/>
        </w:rPr>
        <w:t>).</w:t>
      </w:r>
    </w:p>
    <w:p w14:paraId="1C04E133" w14:textId="77777777" w:rsidR="00125D18" w:rsidRPr="00407492" w:rsidRDefault="00125D18" w:rsidP="00684952">
      <w:pPr>
        <w:spacing w:after="0" w:line="240" w:lineRule="auto"/>
        <w:jc w:val="both"/>
        <w:rPr>
          <w:rFonts w:ascii="Arial Narrow" w:hAnsi="Arial Narrow"/>
          <w:color w:val="000000" w:themeColor="text1"/>
        </w:rPr>
      </w:pPr>
    </w:p>
    <w:p w14:paraId="120D812D" w14:textId="2BA3A653" w:rsidR="00990059" w:rsidRPr="00407492" w:rsidRDefault="00990059" w:rsidP="00684952">
      <w:pPr>
        <w:spacing w:after="0" w:line="240" w:lineRule="auto"/>
        <w:jc w:val="both"/>
        <w:rPr>
          <w:rFonts w:ascii="Arial Narrow" w:hAnsi="Arial Narrow"/>
        </w:rPr>
      </w:pPr>
      <w:r w:rsidRPr="00407492">
        <w:rPr>
          <w:rFonts w:ascii="Arial Narrow" w:hAnsi="Arial Narrow"/>
          <w:color w:val="000000" w:themeColor="text1"/>
        </w:rPr>
        <w:t>V roku 2017 sa t</w:t>
      </w:r>
      <w:r w:rsidR="0006233E">
        <w:rPr>
          <w:rFonts w:ascii="Arial Narrow" w:hAnsi="Arial Narrow"/>
          <w:color w:val="000000" w:themeColor="text1"/>
        </w:rPr>
        <w:t>i</w:t>
      </w:r>
      <w:r w:rsidR="00BE2F00" w:rsidRPr="00407492">
        <w:rPr>
          <w:rFonts w:ascii="Arial Narrow" w:hAnsi="Arial Narrow"/>
          <w:color w:val="000000" w:themeColor="text1"/>
        </w:rPr>
        <w:t xml:space="preserve">ež spustia </w:t>
      </w:r>
      <w:r w:rsidR="00684952" w:rsidRPr="00407492">
        <w:rPr>
          <w:rFonts w:ascii="Arial Narrow" w:hAnsi="Arial Narrow"/>
          <w:color w:val="000000" w:themeColor="text1"/>
        </w:rPr>
        <w:t xml:space="preserve">nové projekty zamerané na finančnú </w:t>
      </w:r>
      <w:r w:rsidR="00684952" w:rsidRPr="00F14CE7">
        <w:rPr>
          <w:rFonts w:ascii="Arial Narrow" w:hAnsi="Arial Narrow"/>
          <w:b/>
          <w:color w:val="000000" w:themeColor="text1"/>
        </w:rPr>
        <w:t>podporu vytvárania pracovných miest pre dlhodobo nezamestnaných</w:t>
      </w:r>
      <w:r w:rsidR="00684952" w:rsidRPr="00407492">
        <w:rPr>
          <w:rFonts w:ascii="Arial Narrow" w:hAnsi="Arial Narrow"/>
          <w:color w:val="000000" w:themeColor="text1"/>
        </w:rPr>
        <w:t xml:space="preserve"> (</w:t>
      </w:r>
      <w:r w:rsidR="00684952" w:rsidRPr="00407492">
        <w:rPr>
          <w:rFonts w:ascii="Arial Narrow" w:hAnsi="Arial Narrow"/>
        </w:rPr>
        <w:t xml:space="preserve">národné projekty </w:t>
      </w:r>
      <w:r w:rsidR="00684952" w:rsidRPr="00F14CE7">
        <w:rPr>
          <w:rFonts w:ascii="Arial Narrow" w:hAnsi="Arial Narrow"/>
          <w:i/>
        </w:rPr>
        <w:t>Cesta na trh práce</w:t>
      </w:r>
      <w:r w:rsidR="00684952" w:rsidRPr="00407492">
        <w:rPr>
          <w:rFonts w:ascii="Arial Narrow" w:hAnsi="Arial Narrow"/>
        </w:rPr>
        <w:t xml:space="preserve"> </w:t>
      </w:r>
      <w:r w:rsidR="00BE2F00" w:rsidRPr="00407492">
        <w:rPr>
          <w:rFonts w:ascii="Arial Narrow" w:hAnsi="Arial Narrow"/>
        </w:rPr>
        <w:t>a </w:t>
      </w:r>
      <w:r w:rsidR="00BE2F00" w:rsidRPr="00F14CE7">
        <w:rPr>
          <w:rFonts w:ascii="Arial Narrow" w:hAnsi="Arial Narrow"/>
          <w:i/>
        </w:rPr>
        <w:t>REŠTART</w:t>
      </w:r>
      <w:r w:rsidR="00BE2F00" w:rsidRPr="00407492">
        <w:rPr>
          <w:rFonts w:ascii="Arial Narrow" w:hAnsi="Arial Narrow"/>
        </w:rPr>
        <w:t xml:space="preserve"> s finančnou alokáciou </w:t>
      </w:r>
      <w:r w:rsidR="00684952" w:rsidRPr="00407492">
        <w:rPr>
          <w:rFonts w:ascii="Arial Narrow" w:hAnsi="Arial Narrow"/>
        </w:rPr>
        <w:t xml:space="preserve"> </w:t>
      </w:r>
      <w:r w:rsidR="009C1479" w:rsidRPr="00407492">
        <w:rPr>
          <w:rFonts w:ascii="Arial Narrow" w:hAnsi="Arial Narrow"/>
        </w:rPr>
        <w:t>4</w:t>
      </w:r>
      <w:r w:rsidR="00902949" w:rsidRPr="00407492">
        <w:rPr>
          <w:rFonts w:ascii="Arial Narrow" w:hAnsi="Arial Narrow"/>
        </w:rPr>
        <w:t>9,</w:t>
      </w:r>
      <w:r w:rsidR="009C1479" w:rsidRPr="00407492">
        <w:rPr>
          <w:rFonts w:ascii="Arial Narrow" w:hAnsi="Arial Narrow"/>
        </w:rPr>
        <w:t xml:space="preserve">5 </w:t>
      </w:r>
      <w:r w:rsidR="00684952" w:rsidRPr="00407492">
        <w:rPr>
          <w:rFonts w:ascii="Arial Narrow" w:hAnsi="Arial Narrow"/>
        </w:rPr>
        <w:t>mil.</w:t>
      </w:r>
      <w:r w:rsidR="009C1479" w:rsidRPr="00407492">
        <w:rPr>
          <w:rFonts w:ascii="Arial Narrow" w:hAnsi="Arial Narrow"/>
        </w:rPr>
        <w:t xml:space="preserve"> eur a 15,7 mil. </w:t>
      </w:r>
      <w:r w:rsidR="00684952" w:rsidRPr="00407492">
        <w:rPr>
          <w:rFonts w:ascii="Arial Narrow" w:hAnsi="Arial Narrow"/>
        </w:rPr>
        <w:t>eur</w:t>
      </w:r>
      <w:r w:rsidR="009C1479" w:rsidRPr="00407492">
        <w:rPr>
          <w:rFonts w:ascii="Arial Narrow" w:hAnsi="Arial Narrow"/>
        </w:rPr>
        <w:t xml:space="preserve"> do roku 2021</w:t>
      </w:r>
      <w:r w:rsidR="000726BE" w:rsidRPr="00407492">
        <w:rPr>
          <w:rFonts w:ascii="Arial Narrow" w:hAnsi="Arial Narrow"/>
        </w:rPr>
        <w:t xml:space="preserve"> z ESF</w:t>
      </w:r>
      <w:r w:rsidR="009C1479" w:rsidRPr="00407492">
        <w:rPr>
          <w:rFonts w:ascii="Arial Narrow" w:hAnsi="Arial Narrow"/>
        </w:rPr>
        <w:t xml:space="preserve">). </w:t>
      </w:r>
    </w:p>
    <w:p w14:paraId="37D126B7" w14:textId="77777777" w:rsidR="00990059" w:rsidRDefault="00990059" w:rsidP="00684952">
      <w:pPr>
        <w:spacing w:after="0" w:line="240" w:lineRule="auto"/>
        <w:jc w:val="both"/>
        <w:rPr>
          <w:rFonts w:ascii="Arial Narrow" w:hAnsi="Arial Narrow"/>
        </w:rPr>
      </w:pPr>
    </w:p>
    <w:p w14:paraId="4FD0B2BA" w14:textId="7C0C86BD" w:rsidR="00684952" w:rsidRPr="00B36C9E" w:rsidRDefault="00990059" w:rsidP="00684952">
      <w:pPr>
        <w:spacing w:after="0" w:line="240" w:lineRule="auto"/>
        <w:jc w:val="both"/>
        <w:rPr>
          <w:rFonts w:ascii="Arial Narrow" w:hAnsi="Arial Narrow"/>
          <w:color w:val="000000"/>
        </w:rPr>
      </w:pPr>
      <w:r>
        <w:rPr>
          <w:rFonts w:ascii="Arial Narrow" w:hAnsi="Arial Narrow"/>
        </w:rPr>
        <w:t xml:space="preserve">V roku 2017 sa pripraví </w:t>
      </w:r>
      <w:r w:rsidRPr="00990059">
        <w:rPr>
          <w:rFonts w:ascii="Arial Narrow" w:hAnsi="Arial Narrow"/>
        </w:rPr>
        <w:t xml:space="preserve">zákon </w:t>
      </w:r>
      <w:r w:rsidR="00C404CE">
        <w:rPr>
          <w:rFonts w:ascii="Arial Narrow" w:hAnsi="Arial Narrow"/>
        </w:rPr>
        <w:t>na podporu rozvoja</w:t>
      </w:r>
      <w:r w:rsidRPr="00990059">
        <w:rPr>
          <w:rFonts w:ascii="Arial Narrow" w:hAnsi="Arial Narrow"/>
        </w:rPr>
        <w:t xml:space="preserve"> </w:t>
      </w:r>
      <w:r w:rsidRPr="00F14CE7">
        <w:rPr>
          <w:rFonts w:ascii="Arial Narrow" w:hAnsi="Arial Narrow"/>
          <w:b/>
        </w:rPr>
        <w:t>sociáln</w:t>
      </w:r>
      <w:r w:rsidR="00C404CE">
        <w:rPr>
          <w:rFonts w:ascii="Arial Narrow" w:hAnsi="Arial Narrow"/>
          <w:b/>
        </w:rPr>
        <w:t>ej</w:t>
      </w:r>
      <w:r w:rsidRPr="00F14CE7">
        <w:rPr>
          <w:rFonts w:ascii="Arial Narrow" w:hAnsi="Arial Narrow"/>
          <w:b/>
        </w:rPr>
        <w:t xml:space="preserve"> ekonomik</w:t>
      </w:r>
      <w:r w:rsidR="0006233E" w:rsidRPr="0006233E">
        <w:rPr>
          <w:rFonts w:ascii="Arial Narrow" w:hAnsi="Arial Narrow"/>
          <w:b/>
        </w:rPr>
        <w:t>y</w:t>
      </w:r>
      <w:r w:rsidR="00AE0427" w:rsidRPr="00C404CE">
        <w:rPr>
          <w:rFonts w:ascii="Arial Narrow" w:hAnsi="Arial Narrow"/>
          <w:color w:val="000000"/>
        </w:rPr>
        <w:t>.</w:t>
      </w:r>
      <w:r w:rsidR="00AE0427">
        <w:rPr>
          <w:rFonts w:ascii="Arial Narrow" w:hAnsi="Arial Narrow"/>
          <w:color w:val="000000"/>
        </w:rPr>
        <w:t xml:space="preserve"> </w:t>
      </w:r>
      <w:r w:rsidR="001D5F2B">
        <w:rPr>
          <w:rFonts w:ascii="Arial Narrow" w:hAnsi="Arial Narrow"/>
          <w:color w:val="000000"/>
        </w:rPr>
        <w:t>Finančná alokácia z ESF na podporu sociálnej ekonomiky predst</w:t>
      </w:r>
      <w:r w:rsidR="00AE4520">
        <w:rPr>
          <w:rFonts w:ascii="Arial Narrow" w:hAnsi="Arial Narrow"/>
          <w:color w:val="000000"/>
        </w:rPr>
        <w:t xml:space="preserve">avuje 39 mil. eur (obdobie 2017 až </w:t>
      </w:r>
      <w:r w:rsidR="001D5F2B">
        <w:rPr>
          <w:rFonts w:ascii="Arial Narrow" w:hAnsi="Arial Narrow"/>
          <w:color w:val="000000"/>
        </w:rPr>
        <w:t>2020).</w:t>
      </w:r>
    </w:p>
    <w:p w14:paraId="30A027FC" w14:textId="77777777" w:rsidR="00DF4EA2" w:rsidRDefault="00DF4EA2" w:rsidP="00684952">
      <w:pPr>
        <w:spacing w:after="0" w:line="240" w:lineRule="auto"/>
        <w:jc w:val="both"/>
        <w:rPr>
          <w:rFonts w:ascii="Arial Narrow" w:hAnsi="Arial Narrow"/>
          <w:color w:val="000000" w:themeColor="text1"/>
        </w:rPr>
      </w:pPr>
    </w:p>
    <w:p w14:paraId="0FED9832" w14:textId="5718D866" w:rsidR="00194AB0" w:rsidRDefault="00194AB0" w:rsidP="00684952">
      <w:pPr>
        <w:spacing w:after="0" w:line="240" w:lineRule="auto"/>
        <w:jc w:val="both"/>
        <w:rPr>
          <w:rFonts w:ascii="Arial Narrow" w:hAnsi="Arial Narrow"/>
          <w:b/>
          <w:i/>
          <w:color w:val="000000" w:themeColor="text1"/>
        </w:rPr>
      </w:pPr>
      <w:r>
        <w:rPr>
          <w:rFonts w:ascii="Arial Narrow" w:hAnsi="Arial Narrow"/>
          <w:b/>
          <w:i/>
          <w:color w:val="000000" w:themeColor="text1"/>
        </w:rPr>
        <w:t>Motivácie na trhu práce</w:t>
      </w:r>
    </w:p>
    <w:p w14:paraId="1E00D7E1" w14:textId="0FAD48BD" w:rsidR="00475F4A" w:rsidRPr="00682154" w:rsidRDefault="00194AB0" w:rsidP="00684952">
      <w:pPr>
        <w:spacing w:after="0" w:line="240" w:lineRule="auto"/>
        <w:jc w:val="both"/>
        <w:rPr>
          <w:rFonts w:ascii="Arial Narrow" w:hAnsi="Arial Narrow"/>
          <w:color w:val="000000" w:themeColor="text1"/>
        </w:rPr>
      </w:pPr>
      <w:r w:rsidRPr="00682154">
        <w:rPr>
          <w:rFonts w:ascii="Arial Narrow" w:hAnsi="Arial Narrow"/>
          <w:color w:val="000000" w:themeColor="text1"/>
        </w:rPr>
        <w:t>Od mája 2017 sa zvý</w:t>
      </w:r>
      <w:r w:rsidR="00474775" w:rsidRPr="00682154">
        <w:rPr>
          <w:rFonts w:ascii="Arial Narrow" w:hAnsi="Arial Narrow"/>
          <w:color w:val="000000" w:themeColor="text1"/>
        </w:rPr>
        <w:t>ši</w:t>
      </w:r>
      <w:r w:rsidR="0054662F" w:rsidRPr="00682154">
        <w:rPr>
          <w:rFonts w:ascii="Arial Narrow" w:hAnsi="Arial Narrow"/>
          <w:color w:val="000000" w:themeColor="text1"/>
        </w:rPr>
        <w:t xml:space="preserve">a motivácie najmä dlhodobo nezamestnaných posilnením </w:t>
      </w:r>
      <w:r w:rsidR="00474775" w:rsidRPr="00682154">
        <w:rPr>
          <w:rFonts w:ascii="Arial Narrow" w:hAnsi="Arial Narrow"/>
          <w:color w:val="000000" w:themeColor="text1"/>
        </w:rPr>
        <w:t>podpor</w:t>
      </w:r>
      <w:r w:rsidR="0054662F" w:rsidRPr="00682154">
        <w:rPr>
          <w:rFonts w:ascii="Arial Narrow" w:hAnsi="Arial Narrow"/>
          <w:color w:val="000000" w:themeColor="text1"/>
        </w:rPr>
        <w:t>y</w:t>
      </w:r>
      <w:r w:rsidR="00474775" w:rsidRPr="00682154">
        <w:rPr>
          <w:rFonts w:ascii="Arial Narrow" w:hAnsi="Arial Narrow"/>
          <w:color w:val="000000" w:themeColor="text1"/>
        </w:rPr>
        <w:t xml:space="preserve"> </w:t>
      </w:r>
      <w:r w:rsidRPr="00682154">
        <w:rPr>
          <w:rFonts w:ascii="Arial Narrow" w:hAnsi="Arial Narrow"/>
          <w:b/>
          <w:color w:val="000000" w:themeColor="text1"/>
        </w:rPr>
        <w:t>súbeh</w:t>
      </w:r>
      <w:r w:rsidR="00474775" w:rsidRPr="00682154">
        <w:rPr>
          <w:rFonts w:ascii="Arial Narrow" w:hAnsi="Arial Narrow"/>
          <w:b/>
          <w:color w:val="000000" w:themeColor="text1"/>
        </w:rPr>
        <w:t xml:space="preserve">u dávky v hmotnej núdzi </w:t>
      </w:r>
      <w:r w:rsidR="0054662F" w:rsidRPr="00682154">
        <w:rPr>
          <w:rFonts w:ascii="Arial Narrow" w:hAnsi="Arial Narrow"/>
          <w:color w:val="000000" w:themeColor="text1"/>
        </w:rPr>
        <w:t>pri prechode poberateľa alebo spoluposudzovaného člena domácnosti do zamestnania.</w:t>
      </w:r>
      <w:r w:rsidR="002D7AC7">
        <w:rPr>
          <w:rFonts w:ascii="Arial Narrow" w:hAnsi="Arial Narrow"/>
          <w:color w:val="000000" w:themeColor="text1"/>
        </w:rPr>
        <w:t xml:space="preserve"> </w:t>
      </w:r>
      <w:r w:rsidR="00891219">
        <w:rPr>
          <w:rFonts w:ascii="Arial Narrow" w:hAnsi="Arial Narrow"/>
          <w:color w:val="000000" w:themeColor="text1"/>
        </w:rPr>
        <w:t xml:space="preserve">Vďaka započítavaniu menšej časti </w:t>
      </w:r>
      <w:r w:rsidR="00AF1625">
        <w:rPr>
          <w:rFonts w:ascii="Arial Narrow" w:hAnsi="Arial Narrow"/>
          <w:color w:val="000000" w:themeColor="text1"/>
        </w:rPr>
        <w:t xml:space="preserve">posudzovaného </w:t>
      </w:r>
      <w:r w:rsidR="00891219">
        <w:rPr>
          <w:rFonts w:ascii="Arial Narrow" w:hAnsi="Arial Narrow"/>
          <w:color w:val="000000" w:themeColor="text1"/>
        </w:rPr>
        <w:t xml:space="preserve">pracovného </w:t>
      </w:r>
      <w:r w:rsidR="007666EB">
        <w:rPr>
          <w:rFonts w:ascii="Arial Narrow" w:hAnsi="Arial Narrow"/>
          <w:color w:val="000000" w:themeColor="text1"/>
        </w:rPr>
        <w:t xml:space="preserve">príjmu na výpočet </w:t>
      </w:r>
      <w:r w:rsidR="00AF1625">
        <w:rPr>
          <w:rFonts w:ascii="Arial Narrow" w:hAnsi="Arial Narrow"/>
          <w:color w:val="000000" w:themeColor="text1"/>
        </w:rPr>
        <w:t xml:space="preserve">tejto dávky </w:t>
      </w:r>
      <w:r w:rsidR="00891219">
        <w:rPr>
          <w:rFonts w:ascii="Arial Narrow" w:hAnsi="Arial Narrow"/>
          <w:color w:val="000000" w:themeColor="text1"/>
        </w:rPr>
        <w:t>sa d</w:t>
      </w:r>
      <w:r w:rsidR="002D7AC7">
        <w:rPr>
          <w:rFonts w:ascii="Arial Narrow" w:hAnsi="Arial Narrow"/>
          <w:color w:val="000000" w:themeColor="text1"/>
        </w:rPr>
        <w:t>isponibilný príjem domácnosti rodičov s dvomi deťmi</w:t>
      </w:r>
      <w:r w:rsidR="00891219">
        <w:rPr>
          <w:rFonts w:ascii="Arial Narrow" w:hAnsi="Arial Narrow"/>
          <w:color w:val="000000" w:themeColor="text1"/>
        </w:rPr>
        <w:t xml:space="preserve"> </w:t>
      </w:r>
      <w:r w:rsidR="002D7AC7">
        <w:rPr>
          <w:rFonts w:ascii="Arial Narrow" w:hAnsi="Arial Narrow"/>
          <w:color w:val="000000" w:themeColor="text1"/>
        </w:rPr>
        <w:t>zvýši zhruba</w:t>
      </w:r>
      <w:r w:rsidR="00891219">
        <w:rPr>
          <w:rFonts w:ascii="Arial Narrow" w:hAnsi="Arial Narrow"/>
          <w:color w:val="000000" w:themeColor="text1"/>
        </w:rPr>
        <w:t xml:space="preserve"> </w:t>
      </w:r>
      <w:r w:rsidR="002D7AC7">
        <w:rPr>
          <w:rFonts w:ascii="Arial Narrow" w:hAnsi="Arial Narrow"/>
          <w:color w:val="000000" w:themeColor="text1"/>
        </w:rPr>
        <w:t>o</w:t>
      </w:r>
      <w:r w:rsidR="00891219">
        <w:rPr>
          <w:rFonts w:ascii="Arial Narrow" w:hAnsi="Arial Narrow"/>
          <w:color w:val="000000" w:themeColor="text1"/>
        </w:rPr>
        <w:t xml:space="preserve"> </w:t>
      </w:r>
      <w:r w:rsidR="002D7AC7">
        <w:rPr>
          <w:rFonts w:ascii="Arial Narrow" w:hAnsi="Arial Narrow"/>
          <w:color w:val="000000" w:themeColor="text1"/>
        </w:rPr>
        <w:t>20 %, ak si jeden z rodičov nájde prácu</w:t>
      </w:r>
      <w:r w:rsidR="0058694C">
        <w:rPr>
          <w:rFonts w:ascii="Arial Narrow" w:hAnsi="Arial Narrow"/>
          <w:color w:val="000000" w:themeColor="text1"/>
        </w:rPr>
        <w:t xml:space="preserve"> s príjmom vo výške minimálnej mzdy</w:t>
      </w:r>
      <w:r w:rsidR="002D7AC7">
        <w:rPr>
          <w:rFonts w:ascii="Arial Narrow" w:hAnsi="Arial Narrow"/>
          <w:color w:val="000000" w:themeColor="text1"/>
        </w:rPr>
        <w:t>.</w:t>
      </w:r>
    </w:p>
    <w:p w14:paraId="7645F17E" w14:textId="77777777" w:rsidR="00475F4A" w:rsidRPr="00682154" w:rsidRDefault="00475F4A" w:rsidP="00684952">
      <w:pPr>
        <w:spacing w:after="0" w:line="240" w:lineRule="auto"/>
        <w:jc w:val="both"/>
        <w:rPr>
          <w:rFonts w:ascii="Arial Narrow" w:hAnsi="Arial Narrow"/>
          <w:color w:val="000000" w:themeColor="text1"/>
        </w:rPr>
      </w:pPr>
    </w:p>
    <w:p w14:paraId="46376B36" w14:textId="3CF8DBDC" w:rsidR="00194AB0" w:rsidRPr="00194AB0" w:rsidRDefault="00CD0359" w:rsidP="00684952">
      <w:pPr>
        <w:spacing w:after="0" w:line="240" w:lineRule="auto"/>
        <w:jc w:val="both"/>
        <w:rPr>
          <w:rFonts w:ascii="Arial Narrow" w:hAnsi="Arial Narrow"/>
          <w:color w:val="000000" w:themeColor="text1"/>
        </w:rPr>
      </w:pPr>
      <w:r w:rsidRPr="00682154">
        <w:rPr>
          <w:rFonts w:ascii="Arial Narrow" w:hAnsi="Arial Narrow"/>
          <w:color w:val="000000" w:themeColor="text1"/>
        </w:rPr>
        <w:t xml:space="preserve">Súčasne sa sprísňujú podmienky </w:t>
      </w:r>
      <w:r w:rsidR="00395D24" w:rsidRPr="00682154">
        <w:rPr>
          <w:rFonts w:ascii="Arial Narrow" w:hAnsi="Arial Narrow"/>
          <w:color w:val="000000" w:themeColor="text1"/>
        </w:rPr>
        <w:t>a kontrola evidencie</w:t>
      </w:r>
      <w:r w:rsidRPr="00682154">
        <w:rPr>
          <w:rFonts w:ascii="Arial Narrow" w:hAnsi="Arial Narrow"/>
          <w:color w:val="000000" w:themeColor="text1"/>
        </w:rPr>
        <w:t xml:space="preserve"> UoZ</w:t>
      </w:r>
      <w:r w:rsidR="00395D24" w:rsidRPr="00682154">
        <w:rPr>
          <w:rFonts w:ascii="Arial Narrow" w:hAnsi="Arial Narrow"/>
          <w:color w:val="000000" w:themeColor="text1"/>
        </w:rPr>
        <w:t xml:space="preserve"> </w:t>
      </w:r>
      <w:r w:rsidR="00475F4A" w:rsidRPr="00682154">
        <w:rPr>
          <w:rFonts w:ascii="Arial Narrow" w:hAnsi="Arial Narrow"/>
          <w:color w:val="000000" w:themeColor="text1"/>
        </w:rPr>
        <w:t>na úradoch prác</w:t>
      </w:r>
      <w:r w:rsidR="006D7CD5" w:rsidRPr="00682154">
        <w:rPr>
          <w:rFonts w:ascii="Arial Narrow" w:hAnsi="Arial Narrow"/>
          <w:color w:val="000000" w:themeColor="text1"/>
        </w:rPr>
        <w:t>e</w:t>
      </w:r>
      <w:r w:rsidR="0054662F" w:rsidRPr="00682154">
        <w:rPr>
          <w:rFonts w:ascii="Arial Narrow" w:hAnsi="Arial Narrow"/>
          <w:color w:val="000000" w:themeColor="text1"/>
        </w:rPr>
        <w:t xml:space="preserve">. Doteraz bolo možné vykonávať dohody o pracovnej činnosti ako UoZ časovo neobmedzene do výšky 75 % životného minima. </w:t>
      </w:r>
      <w:r w:rsidR="00475F4A" w:rsidRPr="00682154">
        <w:rPr>
          <w:rFonts w:ascii="Arial Narrow" w:hAnsi="Arial Narrow"/>
          <w:color w:val="000000" w:themeColor="text1"/>
        </w:rPr>
        <w:t xml:space="preserve">Novela zákona </w:t>
      </w:r>
      <w:r w:rsidR="0054662F" w:rsidRPr="00682154">
        <w:rPr>
          <w:rFonts w:ascii="Arial Narrow" w:hAnsi="Arial Narrow"/>
        </w:rPr>
        <w:t xml:space="preserve">obmedzuje zárobkovú činnosť </w:t>
      </w:r>
      <w:r w:rsidR="00475F4A" w:rsidRPr="00682154">
        <w:rPr>
          <w:rFonts w:ascii="Arial Narrow" w:hAnsi="Arial Narrow"/>
        </w:rPr>
        <w:t xml:space="preserve">popri evidencií </w:t>
      </w:r>
      <w:r w:rsidR="00D35938" w:rsidRPr="00682154">
        <w:rPr>
          <w:rFonts w:ascii="Arial Narrow" w:hAnsi="Arial Narrow"/>
        </w:rPr>
        <w:t>na úrade práce</w:t>
      </w:r>
      <w:r w:rsidR="00475F4A" w:rsidRPr="00682154">
        <w:rPr>
          <w:rFonts w:ascii="Arial Narrow" w:hAnsi="Arial Narrow"/>
        </w:rPr>
        <w:t xml:space="preserve"> v úhrne na 40 dní v roku.</w:t>
      </w:r>
      <w:r w:rsidR="00395D24" w:rsidRPr="00682154">
        <w:rPr>
          <w:rFonts w:ascii="Arial Narrow" w:hAnsi="Arial Narrow"/>
        </w:rPr>
        <w:t xml:space="preserve"> </w:t>
      </w:r>
      <w:r w:rsidR="00475F4A" w:rsidRPr="00682154">
        <w:rPr>
          <w:rFonts w:ascii="Arial Narrow" w:hAnsi="Arial Narrow"/>
        </w:rPr>
        <w:t xml:space="preserve">Úrady práce budú môcť vyradiť UoZ </w:t>
      </w:r>
      <w:r w:rsidR="00395D24" w:rsidRPr="00682154">
        <w:rPr>
          <w:rFonts w:ascii="Arial Narrow" w:hAnsi="Arial Narrow"/>
        </w:rPr>
        <w:t xml:space="preserve">na určitý čas </w:t>
      </w:r>
      <w:r w:rsidR="00475F4A" w:rsidRPr="00682154">
        <w:rPr>
          <w:rFonts w:ascii="Arial Narrow" w:hAnsi="Arial Narrow"/>
        </w:rPr>
        <w:t>z evidencie aj pri odmietnutí ponuky na účasť na APTP alebo pri opakovanom skon</w:t>
      </w:r>
      <w:r w:rsidR="00F60846">
        <w:rPr>
          <w:rFonts w:ascii="Arial Narrow" w:hAnsi="Arial Narrow"/>
        </w:rPr>
        <w:t xml:space="preserve">čení zamestnania sprostredkovanom </w:t>
      </w:r>
      <w:r w:rsidR="00475F4A" w:rsidRPr="00682154">
        <w:rPr>
          <w:rFonts w:ascii="Arial Narrow" w:hAnsi="Arial Narrow"/>
        </w:rPr>
        <w:t>úradom práce</w:t>
      </w:r>
      <w:r w:rsidR="00395D24" w:rsidRPr="00682154">
        <w:rPr>
          <w:rFonts w:ascii="Arial Narrow" w:hAnsi="Arial Narrow"/>
        </w:rPr>
        <w:t>.</w:t>
      </w:r>
    </w:p>
    <w:p w14:paraId="28F47BA0" w14:textId="77777777" w:rsidR="00194AB0" w:rsidRDefault="00194AB0" w:rsidP="00684952">
      <w:pPr>
        <w:spacing w:after="0" w:line="240" w:lineRule="auto"/>
        <w:jc w:val="both"/>
        <w:rPr>
          <w:rFonts w:ascii="Arial Narrow" w:hAnsi="Arial Narrow"/>
          <w:b/>
          <w:i/>
          <w:color w:val="000000" w:themeColor="text1"/>
        </w:rPr>
      </w:pPr>
    </w:p>
    <w:p w14:paraId="0B2AAD0A" w14:textId="0EBD0C8B" w:rsidR="00DF4EA2" w:rsidRDefault="00FC4944" w:rsidP="00684952">
      <w:pPr>
        <w:spacing w:after="0" w:line="240" w:lineRule="auto"/>
        <w:jc w:val="both"/>
        <w:rPr>
          <w:rFonts w:ascii="Arial Narrow" w:hAnsi="Arial Narrow"/>
          <w:b/>
          <w:i/>
          <w:color w:val="000000" w:themeColor="text1"/>
        </w:rPr>
      </w:pPr>
      <w:r>
        <w:rPr>
          <w:rFonts w:ascii="Arial Narrow" w:hAnsi="Arial Narrow"/>
          <w:b/>
          <w:i/>
          <w:color w:val="000000" w:themeColor="text1"/>
        </w:rPr>
        <w:t>Podpora zamestnanosti matiek s deťmi</w:t>
      </w:r>
    </w:p>
    <w:p w14:paraId="3352D2FA" w14:textId="47D65444" w:rsidR="00407492" w:rsidRDefault="00407492" w:rsidP="00407492">
      <w:pPr>
        <w:pStyle w:val="Odsekzoznamu"/>
        <w:spacing w:after="0" w:line="240" w:lineRule="auto"/>
        <w:ind w:left="0"/>
        <w:contextualSpacing w:val="0"/>
        <w:jc w:val="both"/>
        <w:rPr>
          <w:rFonts w:ascii="Arial Narrow" w:hAnsi="Arial Narrow" w:cs="Arial Narrow"/>
          <w:color w:val="000000"/>
          <w:szCs w:val="20"/>
        </w:rPr>
      </w:pPr>
      <w:r>
        <w:rPr>
          <w:rFonts w:ascii="Arial Narrow" w:hAnsi="Arial Narrow"/>
        </w:rPr>
        <w:t xml:space="preserve">Nový legislatívy rámec umožní zlepšiť dostupnosť </w:t>
      </w:r>
      <w:r w:rsidRPr="00256D89">
        <w:rPr>
          <w:rFonts w:ascii="Arial Narrow" w:hAnsi="Arial Narrow"/>
        </w:rPr>
        <w:t xml:space="preserve">kvalitných, udržateľných a cenovo </w:t>
      </w:r>
      <w:r w:rsidR="003E7CF9">
        <w:rPr>
          <w:rFonts w:ascii="Arial Narrow" w:hAnsi="Arial Narrow"/>
        </w:rPr>
        <w:t>prístupných</w:t>
      </w:r>
      <w:r w:rsidR="003E7CF9" w:rsidRPr="00256D89">
        <w:rPr>
          <w:rFonts w:ascii="Arial Narrow" w:hAnsi="Arial Narrow"/>
        </w:rPr>
        <w:t xml:space="preserve"> </w:t>
      </w:r>
      <w:r w:rsidRPr="00F14CE7">
        <w:rPr>
          <w:rFonts w:ascii="Arial Narrow" w:hAnsi="Arial Narrow"/>
          <w:b/>
        </w:rPr>
        <w:t>zariadení služieb starostlivosti o deti do 3 rokov</w:t>
      </w:r>
      <w:r>
        <w:rPr>
          <w:rFonts w:ascii="Arial Narrow" w:hAnsi="Arial Narrow"/>
        </w:rPr>
        <w:t xml:space="preserve">. </w:t>
      </w:r>
      <w:r w:rsidR="0058694C">
        <w:rPr>
          <w:rFonts w:ascii="Arial Narrow" w:hAnsi="Arial Narrow" w:cs="Arial Narrow"/>
          <w:color w:val="000000"/>
          <w:szCs w:val="20"/>
        </w:rPr>
        <w:t xml:space="preserve">Z </w:t>
      </w:r>
      <w:r w:rsidRPr="005B48EF">
        <w:rPr>
          <w:rFonts w:ascii="Arial Narrow" w:hAnsi="Arial Narrow" w:cs="Arial Narrow"/>
          <w:color w:val="000000"/>
          <w:szCs w:val="20"/>
        </w:rPr>
        <w:t>IROP a OP ĽZ</w:t>
      </w:r>
      <w:r w:rsidRPr="005B48EF">
        <w:rPr>
          <w:rStyle w:val="Odkaznapoznmkupodiarou"/>
          <w:rFonts w:ascii="Arial Narrow" w:hAnsi="Arial Narrow"/>
          <w:color w:val="000000"/>
          <w:szCs w:val="20"/>
        </w:rPr>
        <w:footnoteReference w:id="37"/>
      </w:r>
      <w:r w:rsidR="00F60846">
        <w:rPr>
          <w:rFonts w:ascii="Arial Narrow" w:hAnsi="Arial Narrow" w:cs="Arial Narrow"/>
          <w:color w:val="000000"/>
          <w:szCs w:val="20"/>
        </w:rPr>
        <w:t xml:space="preserve"> sa v rokoch 2017 až </w:t>
      </w:r>
      <w:r>
        <w:rPr>
          <w:rFonts w:ascii="Arial Narrow" w:hAnsi="Arial Narrow" w:cs="Arial Narrow"/>
          <w:color w:val="000000"/>
          <w:szCs w:val="20"/>
        </w:rPr>
        <w:t>2020 p</w:t>
      </w:r>
      <w:r w:rsidRPr="005B48EF">
        <w:rPr>
          <w:rFonts w:ascii="Arial Narrow" w:hAnsi="Arial Narrow" w:cs="Arial Narrow"/>
          <w:color w:val="000000"/>
          <w:szCs w:val="20"/>
        </w:rPr>
        <w:t>redpokladá vybudovanie 90 zariadení služieb starostlivosti s kapacitou 1 800 detí</w:t>
      </w:r>
      <w:r>
        <w:rPr>
          <w:rFonts w:ascii="Arial Narrow" w:hAnsi="Arial Narrow" w:cs="Arial Narrow"/>
          <w:color w:val="000000"/>
          <w:szCs w:val="20"/>
        </w:rPr>
        <w:t xml:space="preserve"> s finančnou alokáciou 40,2 mil. eur. MPSVR SR taktiež podporí flexibilné</w:t>
      </w:r>
      <w:r>
        <w:t xml:space="preserve"> </w:t>
      </w:r>
      <w:r>
        <w:rPr>
          <w:rFonts w:ascii="Arial Narrow" w:hAnsi="Arial Narrow" w:cs="Arial Narrow"/>
          <w:color w:val="000000"/>
          <w:szCs w:val="20"/>
        </w:rPr>
        <w:t>for</w:t>
      </w:r>
      <w:r w:rsidRPr="00DF4EA2">
        <w:rPr>
          <w:rFonts w:ascii="Arial Narrow" w:hAnsi="Arial Narrow" w:cs="Arial Narrow"/>
          <w:color w:val="000000"/>
          <w:szCs w:val="20"/>
        </w:rPr>
        <w:t>m</w:t>
      </w:r>
      <w:r>
        <w:rPr>
          <w:rFonts w:ascii="Arial Narrow" w:hAnsi="Arial Narrow" w:cs="Arial Narrow"/>
          <w:color w:val="000000"/>
          <w:szCs w:val="20"/>
        </w:rPr>
        <w:t>y</w:t>
      </w:r>
      <w:r w:rsidRPr="00DF4EA2">
        <w:rPr>
          <w:rFonts w:ascii="Arial Narrow" w:hAnsi="Arial Narrow" w:cs="Arial Narrow"/>
          <w:color w:val="000000"/>
          <w:szCs w:val="20"/>
        </w:rPr>
        <w:t xml:space="preserve"> starostlivosti o deti </w:t>
      </w:r>
      <w:r>
        <w:rPr>
          <w:rFonts w:ascii="Arial Narrow" w:hAnsi="Arial Narrow" w:cs="Arial Narrow"/>
          <w:color w:val="000000"/>
          <w:szCs w:val="20"/>
        </w:rPr>
        <w:t>v staršom veku pre pracujúce matky.</w:t>
      </w:r>
    </w:p>
    <w:p w14:paraId="0F70CE0F" w14:textId="77777777" w:rsidR="007F5942" w:rsidRPr="00FC4944" w:rsidRDefault="007F5942" w:rsidP="00407492">
      <w:pPr>
        <w:pStyle w:val="Odsekzoznamu"/>
        <w:spacing w:after="0" w:line="240" w:lineRule="auto"/>
        <w:ind w:left="0"/>
        <w:contextualSpacing w:val="0"/>
        <w:jc w:val="both"/>
        <w:rPr>
          <w:rFonts w:ascii="Arial Narrow" w:hAnsi="Arial Narrow" w:cs="Arial Narrow"/>
          <w:color w:val="000000"/>
          <w:szCs w:val="20"/>
        </w:rPr>
      </w:pPr>
    </w:p>
    <w:p w14:paraId="7E6F27C7" w14:textId="4E985405" w:rsidR="00FC4944" w:rsidRPr="005C1A3D" w:rsidRDefault="001B5428" w:rsidP="004C2758">
      <w:pPr>
        <w:spacing w:after="0" w:line="240" w:lineRule="auto"/>
        <w:jc w:val="both"/>
        <w:rPr>
          <w:rFonts w:ascii="Arial Narrow" w:hAnsi="Arial Narrow"/>
          <w:b/>
        </w:rPr>
      </w:pPr>
      <w:r>
        <w:rPr>
          <w:rFonts w:ascii="Arial Narrow" w:hAnsi="Arial Narrow"/>
        </w:rPr>
        <w:t xml:space="preserve">Cez nástroje APTP sa </w:t>
      </w:r>
      <w:r w:rsidRPr="005C1A3D">
        <w:rPr>
          <w:rFonts w:ascii="Arial Narrow" w:hAnsi="Arial Narrow"/>
          <w:b/>
        </w:rPr>
        <w:t>podporí</w:t>
      </w:r>
      <w:r w:rsidR="005C1A3D">
        <w:rPr>
          <w:rFonts w:ascii="Arial Narrow" w:hAnsi="Arial Narrow"/>
          <w:b/>
        </w:rPr>
        <w:t xml:space="preserve"> </w:t>
      </w:r>
      <w:r w:rsidRPr="005C1A3D">
        <w:rPr>
          <w:rFonts w:ascii="Arial Narrow" w:hAnsi="Arial Narrow"/>
          <w:b/>
        </w:rPr>
        <w:t>z</w:t>
      </w:r>
      <w:r w:rsidR="008B7286" w:rsidRPr="005C1A3D">
        <w:rPr>
          <w:rFonts w:ascii="Arial Narrow" w:hAnsi="Arial Narrow"/>
          <w:b/>
        </w:rPr>
        <w:t>ačleňovanie matiek s deťmi na trh práce po </w:t>
      </w:r>
      <w:r w:rsidR="00F14CE7" w:rsidRPr="005C1A3D">
        <w:rPr>
          <w:rFonts w:ascii="Arial Narrow" w:hAnsi="Arial Narrow"/>
          <w:b/>
        </w:rPr>
        <w:t>návrate z rodičovskej dovolenky</w:t>
      </w:r>
      <w:r w:rsidR="008B7286" w:rsidRPr="008B7286">
        <w:rPr>
          <w:rFonts w:ascii="Arial Narrow" w:hAnsi="Arial Narrow"/>
        </w:rPr>
        <w:t>.</w:t>
      </w:r>
      <w:r w:rsidR="00AA361B">
        <w:rPr>
          <w:rFonts w:ascii="Arial Narrow" w:hAnsi="Arial Narrow"/>
        </w:rPr>
        <w:t xml:space="preserve"> </w:t>
      </w:r>
      <w:r w:rsidR="00AA361B">
        <w:rPr>
          <w:rFonts w:ascii="Arial Narrow" w:hAnsi="Arial Narrow" w:cs="Arial Narrow"/>
          <w:color w:val="000000"/>
        </w:rPr>
        <w:t>V roku 2017 boli vyhlásené výzvy na dotácie zamestnávateľom na flexibilné pracovné miesta</w:t>
      </w:r>
      <w:r>
        <w:rPr>
          <w:rFonts w:ascii="Arial Narrow" w:hAnsi="Arial Narrow" w:cs="Arial Narrow"/>
          <w:color w:val="000000"/>
        </w:rPr>
        <w:t xml:space="preserve"> </w:t>
      </w:r>
      <w:r w:rsidRPr="008B7286">
        <w:rPr>
          <w:rFonts w:ascii="Arial Narrow" w:hAnsi="Arial Narrow"/>
        </w:rPr>
        <w:t>(</w:t>
      </w:r>
      <w:r>
        <w:rPr>
          <w:rFonts w:ascii="Arial Narrow" w:hAnsi="Arial Narrow"/>
        </w:rPr>
        <w:t xml:space="preserve">napr. </w:t>
      </w:r>
      <w:r w:rsidRPr="008B7286">
        <w:rPr>
          <w:rFonts w:ascii="Arial Narrow" w:hAnsi="Arial Narrow"/>
        </w:rPr>
        <w:t>pracovný pomer na kratší pracov</w:t>
      </w:r>
      <w:r>
        <w:rPr>
          <w:rFonts w:ascii="Arial Narrow" w:hAnsi="Arial Narrow"/>
        </w:rPr>
        <w:t xml:space="preserve">ný čas, delené pracovné miesto, práca z domu alebo </w:t>
      </w:r>
      <w:r w:rsidRPr="008B7286">
        <w:rPr>
          <w:rFonts w:ascii="Arial Narrow" w:hAnsi="Arial Narrow"/>
        </w:rPr>
        <w:t>telepráca</w:t>
      </w:r>
      <w:r>
        <w:rPr>
          <w:rFonts w:ascii="Arial Narrow" w:hAnsi="Arial Narrow"/>
        </w:rPr>
        <w:t xml:space="preserve">) </w:t>
      </w:r>
      <w:r>
        <w:rPr>
          <w:rFonts w:ascii="Arial Narrow" w:hAnsi="Arial Narrow" w:cs="Arial Narrow"/>
          <w:color w:val="000000"/>
        </w:rPr>
        <w:t xml:space="preserve">obsadené matkou s </w:t>
      </w:r>
      <w:r w:rsidR="00190C85">
        <w:rPr>
          <w:rFonts w:ascii="Arial Narrow" w:hAnsi="Arial Narrow" w:cs="Arial Narrow"/>
          <w:color w:val="000000"/>
        </w:rPr>
        <w:t xml:space="preserve">malým dieťaťom v predškolskom veku, ako aj </w:t>
      </w:r>
      <w:r w:rsidR="00AA361B">
        <w:rPr>
          <w:rFonts w:ascii="Arial Narrow" w:hAnsi="Arial Narrow" w:cs="Arial Narrow"/>
          <w:color w:val="000000"/>
        </w:rPr>
        <w:t>na vytvorenie alebo rozšírenie zariadení</w:t>
      </w:r>
      <w:r w:rsidR="00190C85">
        <w:rPr>
          <w:rFonts w:ascii="Arial Narrow" w:hAnsi="Arial Narrow" w:cs="Arial Narrow"/>
          <w:color w:val="000000"/>
        </w:rPr>
        <w:t xml:space="preserve"> flexibilnej starostlivosti o deti. </w:t>
      </w:r>
    </w:p>
    <w:p w14:paraId="67932CBD" w14:textId="77777777" w:rsidR="00927DA1" w:rsidRDefault="00927DA1" w:rsidP="00684952">
      <w:pPr>
        <w:spacing w:after="0" w:line="240" w:lineRule="auto"/>
        <w:jc w:val="both"/>
        <w:rPr>
          <w:rFonts w:ascii="Arial Narrow" w:hAnsi="Arial Narrow"/>
        </w:rPr>
      </w:pPr>
    </w:p>
    <w:p w14:paraId="1428444D" w14:textId="2880FD19" w:rsidR="00927DA1" w:rsidRDefault="00927DA1" w:rsidP="00684952">
      <w:pPr>
        <w:spacing w:after="0" w:line="240" w:lineRule="auto"/>
        <w:jc w:val="both"/>
        <w:rPr>
          <w:rFonts w:ascii="Arial Narrow" w:hAnsi="Arial Narrow"/>
          <w:b/>
          <w:i/>
        </w:rPr>
      </w:pPr>
      <w:r>
        <w:rPr>
          <w:rFonts w:ascii="Arial Narrow" w:hAnsi="Arial Narrow"/>
          <w:b/>
          <w:i/>
        </w:rPr>
        <w:t>Podpora nájomného bývania a pracovná mobilita</w:t>
      </w:r>
    </w:p>
    <w:p w14:paraId="3ADBF4BD" w14:textId="6DBCEBF5" w:rsidR="00DB7D3A" w:rsidRDefault="00927DA1" w:rsidP="0083195B">
      <w:pPr>
        <w:spacing w:after="0" w:line="240" w:lineRule="auto"/>
        <w:jc w:val="both"/>
        <w:rPr>
          <w:rFonts w:ascii="Arial Narrow" w:hAnsi="Arial Narrow"/>
        </w:rPr>
      </w:pPr>
      <w:r w:rsidRPr="00E24676">
        <w:rPr>
          <w:rFonts w:ascii="Arial Narrow" w:hAnsi="Arial Narrow"/>
          <w:bCs/>
        </w:rPr>
        <w:t>Na</w:t>
      </w:r>
      <w:r w:rsidR="00ED7F60" w:rsidRPr="00E24676">
        <w:rPr>
          <w:rFonts w:ascii="Arial Narrow" w:hAnsi="Arial Narrow"/>
          <w:bCs/>
        </w:rPr>
        <w:t xml:space="preserve"> zvýšenie </w:t>
      </w:r>
      <w:r w:rsidRPr="00E24676">
        <w:rPr>
          <w:rFonts w:ascii="Arial Narrow" w:hAnsi="Arial Narrow"/>
          <w:bCs/>
        </w:rPr>
        <w:t>pracovnej</w:t>
      </w:r>
      <w:r w:rsidRPr="00E24676">
        <w:rPr>
          <w:rFonts w:ascii="Arial Narrow" w:hAnsi="Arial Narrow"/>
          <w:b/>
          <w:bCs/>
        </w:rPr>
        <w:t xml:space="preserve"> </w:t>
      </w:r>
      <w:r w:rsidRPr="00E24676">
        <w:rPr>
          <w:rFonts w:ascii="Arial Narrow" w:hAnsi="Arial Narrow"/>
          <w:bCs/>
        </w:rPr>
        <w:t>mobility</w:t>
      </w:r>
      <w:r w:rsidRPr="00E24676">
        <w:rPr>
          <w:rFonts w:ascii="Arial Narrow" w:hAnsi="Arial Narrow"/>
          <w:b/>
          <w:bCs/>
        </w:rPr>
        <w:t xml:space="preserve"> </w:t>
      </w:r>
      <w:r w:rsidR="00ED7F60" w:rsidRPr="00E24676">
        <w:rPr>
          <w:rFonts w:ascii="Arial Narrow" w:hAnsi="Arial Narrow"/>
          <w:bCs/>
        </w:rPr>
        <w:t>MDV SR</w:t>
      </w:r>
      <w:r w:rsidR="00ED7F60" w:rsidRPr="00E24676">
        <w:rPr>
          <w:rFonts w:ascii="Arial Narrow" w:hAnsi="Arial Narrow"/>
          <w:b/>
          <w:bCs/>
        </w:rPr>
        <w:t xml:space="preserve"> </w:t>
      </w:r>
      <w:r w:rsidRPr="00E24676">
        <w:rPr>
          <w:rFonts w:ascii="Arial Narrow" w:hAnsi="Arial Narrow"/>
          <w:bCs/>
        </w:rPr>
        <w:t>navrhuje úpravu podmienok</w:t>
      </w:r>
      <w:r w:rsidRPr="00E24676">
        <w:rPr>
          <w:rFonts w:ascii="Arial Narrow" w:hAnsi="Arial Narrow"/>
          <w:b/>
          <w:bCs/>
        </w:rPr>
        <w:t xml:space="preserve"> pre podporu výstavby nájomného bývania</w:t>
      </w:r>
      <w:r w:rsidR="00ED7F60" w:rsidRPr="00E24676">
        <w:rPr>
          <w:rFonts w:ascii="Arial Narrow" w:hAnsi="Arial Narrow"/>
          <w:b/>
          <w:bCs/>
        </w:rPr>
        <w:t>.</w:t>
      </w:r>
      <w:r w:rsidRPr="00E24676">
        <w:rPr>
          <w:rFonts w:ascii="Arial Narrow" w:hAnsi="Arial Narrow"/>
          <w:b/>
          <w:bCs/>
        </w:rPr>
        <w:t xml:space="preserve"> </w:t>
      </w:r>
      <w:r w:rsidR="00ED7F60" w:rsidRPr="00E24676">
        <w:rPr>
          <w:rFonts w:ascii="Arial Narrow" w:hAnsi="Arial Narrow"/>
          <w:bCs/>
        </w:rPr>
        <w:t xml:space="preserve">Zmena </w:t>
      </w:r>
      <w:r w:rsidRPr="00E24676">
        <w:rPr>
          <w:rFonts w:ascii="Arial Narrow" w:hAnsi="Arial Narrow"/>
          <w:bCs/>
        </w:rPr>
        <w:t>zatra</w:t>
      </w:r>
      <w:r w:rsidR="00ED7F60" w:rsidRPr="00E24676">
        <w:rPr>
          <w:rFonts w:ascii="Arial Narrow" w:hAnsi="Arial Narrow"/>
          <w:bCs/>
        </w:rPr>
        <w:t xml:space="preserve">ktívňuje </w:t>
      </w:r>
      <w:r w:rsidRPr="00E24676">
        <w:rPr>
          <w:rFonts w:ascii="Arial Narrow" w:hAnsi="Arial Narrow"/>
          <w:bCs/>
        </w:rPr>
        <w:t>podporu pre podnikateľské subjekty</w:t>
      </w:r>
      <w:r w:rsidR="003E7CF9" w:rsidRPr="00E24676">
        <w:rPr>
          <w:rFonts w:ascii="Arial Narrow" w:hAnsi="Arial Narrow"/>
          <w:bCs/>
        </w:rPr>
        <w:t>, ktoré by sa tak mali viac zapojiť do výstavby nájomných bytov</w:t>
      </w:r>
      <w:r w:rsidRPr="00E24676">
        <w:rPr>
          <w:rFonts w:ascii="Arial Narrow" w:hAnsi="Arial Narrow"/>
          <w:b/>
          <w:bCs/>
        </w:rPr>
        <w:t xml:space="preserve">. </w:t>
      </w:r>
      <w:r w:rsidRPr="00E24676">
        <w:rPr>
          <w:rFonts w:ascii="Arial Narrow" w:hAnsi="Arial Narrow"/>
        </w:rPr>
        <w:t>Návrh uvažuje s rozšírením účelu a výrazným zvýšením možnej výšky dotácie alebo zvýhodneného úveru cez Štátny fond rozvoja bývania. Taktiež by sa zvýšila</w:t>
      </w:r>
      <w:r w:rsidR="00D3430B" w:rsidRPr="00E24676">
        <w:rPr>
          <w:rFonts w:ascii="Arial Narrow" w:hAnsi="Arial Narrow"/>
        </w:rPr>
        <w:t xml:space="preserve"> maximálna</w:t>
      </w:r>
      <w:r w:rsidRPr="00E24676">
        <w:rPr>
          <w:rFonts w:ascii="Arial Narrow" w:hAnsi="Arial Narrow"/>
        </w:rPr>
        <w:t xml:space="preserve"> výška nájom</w:t>
      </w:r>
      <w:r w:rsidR="00ED7F60" w:rsidRPr="00E24676">
        <w:rPr>
          <w:rFonts w:ascii="Arial Narrow" w:hAnsi="Arial Narrow"/>
        </w:rPr>
        <w:t xml:space="preserve">ného v podporenom bývaní oproti stavu v roku 2016 </w:t>
      </w:r>
      <w:r w:rsidRPr="00E24676">
        <w:rPr>
          <w:rFonts w:ascii="Arial Narrow" w:hAnsi="Arial Narrow"/>
        </w:rPr>
        <w:t xml:space="preserve">spolu </w:t>
      </w:r>
      <w:r w:rsidR="00ED7F60" w:rsidRPr="00E24676">
        <w:rPr>
          <w:rFonts w:ascii="Arial Narrow" w:hAnsi="Arial Narrow"/>
        </w:rPr>
        <w:t xml:space="preserve">približne </w:t>
      </w:r>
      <w:r w:rsidRPr="00E24676">
        <w:rPr>
          <w:rFonts w:ascii="Arial Narrow" w:hAnsi="Arial Narrow"/>
        </w:rPr>
        <w:t>o 30 %.</w:t>
      </w:r>
      <w:r w:rsidRPr="00121D57">
        <w:rPr>
          <w:rFonts w:ascii="Arial Narrow" w:hAnsi="Arial Narrow"/>
        </w:rPr>
        <w:t xml:space="preserve">  </w:t>
      </w:r>
    </w:p>
    <w:p w14:paraId="1363578C" w14:textId="77777777" w:rsidR="0083195B" w:rsidRDefault="0083195B" w:rsidP="0083195B">
      <w:pPr>
        <w:spacing w:after="0" w:line="240" w:lineRule="auto"/>
        <w:jc w:val="both"/>
        <w:rPr>
          <w:rFonts w:ascii="Arial Narrow" w:hAnsi="Arial Narrow" w:cs="Arial Narrow"/>
          <w:b/>
          <w:i/>
        </w:rPr>
      </w:pPr>
    </w:p>
    <w:p w14:paraId="391FD633" w14:textId="46014C61" w:rsidR="004360D5" w:rsidRPr="005438EA" w:rsidRDefault="004360D5" w:rsidP="004360D5">
      <w:pPr>
        <w:spacing w:after="0" w:line="240" w:lineRule="auto"/>
        <w:jc w:val="both"/>
        <w:rPr>
          <w:rFonts w:ascii="Arial Narrow" w:hAnsi="Arial Narrow" w:cs="Arial Narrow"/>
          <w:b/>
          <w:i/>
        </w:rPr>
      </w:pPr>
      <w:r>
        <w:rPr>
          <w:rFonts w:ascii="Arial Narrow" w:hAnsi="Arial Narrow" w:cs="Arial Narrow"/>
          <w:b/>
          <w:i/>
        </w:rPr>
        <w:lastRenderedPageBreak/>
        <w:t>Zniž</w:t>
      </w:r>
      <w:r w:rsidRPr="005438EA">
        <w:rPr>
          <w:rFonts w:ascii="Arial Narrow" w:hAnsi="Arial Narrow" w:cs="Arial Narrow"/>
          <w:b/>
          <w:i/>
        </w:rPr>
        <w:t>ovanie regionálnych rozdielov</w:t>
      </w:r>
    </w:p>
    <w:p w14:paraId="296573B8" w14:textId="77777777" w:rsidR="000D2938" w:rsidRDefault="004360D5" w:rsidP="0058694C">
      <w:pPr>
        <w:spacing w:after="0" w:line="240" w:lineRule="auto"/>
        <w:jc w:val="both"/>
        <w:rPr>
          <w:rFonts w:ascii="Arial Narrow" w:hAnsi="Arial Narrow"/>
        </w:rPr>
      </w:pPr>
      <w:r>
        <w:rPr>
          <w:rFonts w:ascii="Arial Narrow" w:hAnsi="Arial Narrow"/>
        </w:rPr>
        <w:t>Na zvýšenie zamestnanosti</w:t>
      </w:r>
      <w:r w:rsidR="00C836BB">
        <w:rPr>
          <w:rFonts w:ascii="Arial Narrow" w:hAnsi="Arial Narrow"/>
        </w:rPr>
        <w:t xml:space="preserve"> sa </w:t>
      </w:r>
      <w:r w:rsidRPr="00934FE1">
        <w:rPr>
          <w:rFonts w:ascii="Arial Narrow" w:hAnsi="Arial Narrow"/>
        </w:rPr>
        <w:t>v krátko</w:t>
      </w:r>
      <w:r>
        <w:rPr>
          <w:rFonts w:ascii="Arial Narrow" w:hAnsi="Arial Narrow"/>
        </w:rPr>
        <w:t>dobom a strednodobom horizonte</w:t>
      </w:r>
      <w:r w:rsidR="00C836BB">
        <w:rPr>
          <w:rFonts w:ascii="Arial Narrow" w:hAnsi="Arial Narrow"/>
        </w:rPr>
        <w:t xml:space="preserve"> </w:t>
      </w:r>
      <w:r>
        <w:rPr>
          <w:rFonts w:ascii="Arial Narrow" w:hAnsi="Arial Narrow"/>
        </w:rPr>
        <w:t>implementujú viacer</w:t>
      </w:r>
      <w:r w:rsidR="00C836BB">
        <w:rPr>
          <w:rFonts w:ascii="Arial Narrow" w:hAnsi="Arial Narrow"/>
        </w:rPr>
        <w:t xml:space="preserve">é </w:t>
      </w:r>
      <w:r>
        <w:rPr>
          <w:rFonts w:ascii="Arial Narrow" w:hAnsi="Arial Narrow"/>
        </w:rPr>
        <w:t>projektové zámery na podporu podnikania, sociálnej ekonomiky, prepojenia potrieb trhu práce s ponukou učebných odborov, ako aj na podporu zatraktívnenia územia. Zníži sa kritérium miery nezamestnanosti</w:t>
      </w:r>
      <w:r w:rsidR="00235002">
        <w:rPr>
          <w:rFonts w:ascii="Arial Narrow" w:hAnsi="Arial Narrow"/>
        </w:rPr>
        <w:t xml:space="preserve"> pre najmenej rozvinuté okresy</w:t>
      </w:r>
      <w:r>
        <w:rPr>
          <w:rFonts w:ascii="Arial Narrow" w:hAnsi="Arial Narrow"/>
        </w:rPr>
        <w:t>,</w:t>
      </w:r>
      <w:r w:rsidR="00235002">
        <w:rPr>
          <w:rFonts w:ascii="Arial Narrow" w:hAnsi="Arial Narrow"/>
        </w:rPr>
        <w:t xml:space="preserve"> </w:t>
      </w:r>
      <w:r>
        <w:rPr>
          <w:rFonts w:ascii="Arial Narrow" w:hAnsi="Arial Narrow"/>
        </w:rPr>
        <w:t>č</w:t>
      </w:r>
      <w:r w:rsidR="00235002">
        <w:rPr>
          <w:rFonts w:ascii="Arial Narrow" w:hAnsi="Arial Narrow"/>
        </w:rPr>
        <w:t>ím sa ich počet môže zvýšiť na 17. Zníži sa tiež byrokratická náročnosť poskytovania regionálneho príspevku (v roku 2016 boli uzavreté zmluvy len na 12 žiadostí z celkového počtu 120).</w:t>
      </w:r>
    </w:p>
    <w:p w14:paraId="4B453AAF" w14:textId="18E75958" w:rsidR="0058694C" w:rsidRDefault="0058694C" w:rsidP="0058694C">
      <w:pPr>
        <w:spacing w:after="0" w:line="240" w:lineRule="auto"/>
        <w:jc w:val="both"/>
        <w:rPr>
          <w:rFonts w:ascii="Arial Narrow" w:hAnsi="Arial Narrow"/>
        </w:rPr>
      </w:pPr>
    </w:p>
    <w:p w14:paraId="49F69EB5" w14:textId="77777777" w:rsidR="00684952" w:rsidRDefault="00684952" w:rsidP="00917FAE">
      <w:pPr>
        <w:pStyle w:val="Nadpis2"/>
        <w:numPr>
          <w:ilvl w:val="2"/>
          <w:numId w:val="1"/>
        </w:numPr>
        <w:spacing w:after="240" w:line="240" w:lineRule="auto"/>
        <w:ind w:left="720"/>
        <w:jc w:val="both"/>
        <w:rPr>
          <w:rFonts w:ascii="Arial Narrow" w:hAnsi="Arial Narrow"/>
          <w:color w:val="2C9ADC"/>
          <w:sz w:val="28"/>
          <w:szCs w:val="28"/>
        </w:rPr>
      </w:pPr>
      <w:bookmarkStart w:id="45" w:name="_Toc448745612"/>
      <w:bookmarkStart w:id="46" w:name="_Toc448745613"/>
      <w:bookmarkStart w:id="47" w:name="_Toc386005372"/>
      <w:bookmarkStart w:id="48" w:name="_Toc448824648"/>
      <w:bookmarkStart w:id="49" w:name="_Toc477259953"/>
      <w:bookmarkEnd w:id="45"/>
      <w:bookmarkEnd w:id="46"/>
      <w:r w:rsidRPr="00256D89">
        <w:rPr>
          <w:rFonts w:ascii="Arial Narrow" w:hAnsi="Arial Narrow"/>
          <w:color w:val="2C9ADC"/>
          <w:sz w:val="28"/>
          <w:szCs w:val="28"/>
        </w:rPr>
        <w:t>Sociálna inklúzia</w:t>
      </w:r>
      <w:bookmarkEnd w:id="47"/>
      <w:bookmarkEnd w:id="48"/>
      <w:bookmarkEnd w:id="49"/>
    </w:p>
    <w:p w14:paraId="6AFEE40E" w14:textId="77777777" w:rsidR="00684952" w:rsidRPr="00256D89" w:rsidRDefault="00684952" w:rsidP="00684952">
      <w:pPr>
        <w:spacing w:after="0" w:line="240" w:lineRule="auto"/>
        <w:rPr>
          <w:rFonts w:ascii="Arial Narrow" w:hAnsi="Arial Narrow"/>
          <w:b/>
          <w:i/>
        </w:rPr>
      </w:pPr>
      <w:r>
        <w:rPr>
          <w:rFonts w:ascii="Arial Narrow" w:hAnsi="Arial Narrow"/>
          <w:b/>
          <w:i/>
        </w:rPr>
        <w:t>S</w:t>
      </w:r>
      <w:r w:rsidRPr="00256D89">
        <w:rPr>
          <w:rFonts w:ascii="Arial Narrow" w:hAnsi="Arial Narrow"/>
          <w:b/>
          <w:i/>
        </w:rPr>
        <w:t xml:space="preserve">ociálne služby </w:t>
      </w:r>
    </w:p>
    <w:p w14:paraId="477A57C0" w14:textId="1A8E1936" w:rsidR="0047742F" w:rsidRDefault="0047742F" w:rsidP="00684952">
      <w:pPr>
        <w:spacing w:after="0" w:line="240" w:lineRule="auto"/>
        <w:jc w:val="both"/>
        <w:rPr>
          <w:rFonts w:ascii="Arial Narrow" w:hAnsi="Arial Narrow"/>
        </w:rPr>
      </w:pPr>
      <w:r>
        <w:rPr>
          <w:rFonts w:ascii="Arial Narrow" w:hAnsi="Arial Narrow"/>
        </w:rPr>
        <w:t xml:space="preserve">Zavedie sa </w:t>
      </w:r>
      <w:r w:rsidRPr="0047742F">
        <w:rPr>
          <w:rFonts w:ascii="Arial Narrow" w:hAnsi="Arial Narrow"/>
        </w:rPr>
        <w:t xml:space="preserve">nový systém </w:t>
      </w:r>
      <w:r w:rsidRPr="00F14CE7">
        <w:rPr>
          <w:rFonts w:ascii="Arial Narrow" w:hAnsi="Arial Narrow"/>
          <w:b/>
        </w:rPr>
        <w:t>spolufinancovania sociálnych služieb</w:t>
      </w:r>
      <w:r w:rsidRPr="0047742F">
        <w:rPr>
          <w:rFonts w:ascii="Arial Narrow" w:hAnsi="Arial Narrow"/>
        </w:rPr>
        <w:t xml:space="preserve"> pre</w:t>
      </w:r>
      <w:r>
        <w:rPr>
          <w:rFonts w:ascii="Arial Narrow" w:hAnsi="Arial Narrow"/>
        </w:rPr>
        <w:t xml:space="preserve"> </w:t>
      </w:r>
      <w:r w:rsidRPr="0047742F">
        <w:rPr>
          <w:rFonts w:ascii="Arial Narrow" w:hAnsi="Arial Narrow"/>
        </w:rPr>
        <w:t xml:space="preserve">osoby, ktoré sú odkázané na pomoc </w:t>
      </w:r>
      <w:r>
        <w:rPr>
          <w:rFonts w:ascii="Arial Narrow" w:hAnsi="Arial Narrow"/>
        </w:rPr>
        <w:t>pri sebaobsluhe</w:t>
      </w:r>
      <w:r w:rsidR="00917FAE">
        <w:rPr>
          <w:rFonts w:ascii="Arial Narrow" w:hAnsi="Arial Narrow"/>
        </w:rPr>
        <w:t xml:space="preserve">. </w:t>
      </w:r>
      <w:r w:rsidR="00917FAE" w:rsidRPr="004C2758">
        <w:rPr>
          <w:rFonts w:ascii="Arial Narrow" w:hAnsi="Arial Narrow"/>
        </w:rPr>
        <w:t xml:space="preserve">Z prostriedkov štátneho rozpočtu sa podporia </w:t>
      </w:r>
      <w:r w:rsidRPr="00BE524F">
        <w:rPr>
          <w:rFonts w:ascii="Arial Narrow" w:hAnsi="Arial Narrow"/>
        </w:rPr>
        <w:t>verejn</w:t>
      </w:r>
      <w:r w:rsidR="00917FAE" w:rsidRPr="00BE524F">
        <w:rPr>
          <w:rFonts w:ascii="Arial Narrow" w:hAnsi="Arial Narrow"/>
        </w:rPr>
        <w:t>í</w:t>
      </w:r>
      <w:r w:rsidRPr="00FC0A44">
        <w:rPr>
          <w:rFonts w:ascii="Arial Narrow" w:hAnsi="Arial Narrow"/>
        </w:rPr>
        <w:t xml:space="preserve"> a neverejn</w:t>
      </w:r>
      <w:r w:rsidR="00917FAE" w:rsidRPr="00C46C0B">
        <w:rPr>
          <w:rFonts w:ascii="Arial Narrow" w:hAnsi="Arial Narrow"/>
        </w:rPr>
        <w:t>í</w:t>
      </w:r>
      <w:r w:rsidRPr="00C46C0B">
        <w:rPr>
          <w:rFonts w:ascii="Arial Narrow" w:hAnsi="Arial Narrow"/>
        </w:rPr>
        <w:t xml:space="preserve"> poskytovate</w:t>
      </w:r>
      <w:r w:rsidR="00917FAE" w:rsidRPr="00CD5A7F">
        <w:rPr>
          <w:rFonts w:ascii="Arial Narrow" w:hAnsi="Arial Narrow"/>
        </w:rPr>
        <w:t>lia</w:t>
      </w:r>
      <w:r w:rsidRPr="00845688">
        <w:rPr>
          <w:rFonts w:ascii="Arial Narrow" w:hAnsi="Arial Narrow"/>
        </w:rPr>
        <w:t xml:space="preserve"> na </w:t>
      </w:r>
      <w:r w:rsidR="00917FAE" w:rsidRPr="005C1A3D">
        <w:rPr>
          <w:rFonts w:ascii="Arial Narrow" w:hAnsi="Arial Narrow"/>
        </w:rPr>
        <w:t xml:space="preserve">lokálnej úrovni, </w:t>
      </w:r>
      <w:r w:rsidR="00AA361B" w:rsidRPr="005C1A3D">
        <w:rPr>
          <w:rFonts w:ascii="Arial Narrow" w:hAnsi="Arial Narrow"/>
        </w:rPr>
        <w:t xml:space="preserve">a </w:t>
      </w:r>
      <w:r w:rsidR="00917FAE" w:rsidRPr="00BE524F">
        <w:rPr>
          <w:rFonts w:ascii="Arial Narrow" w:hAnsi="Arial Narrow"/>
        </w:rPr>
        <w:t>neverejných poskytovateľov</w:t>
      </w:r>
      <w:r w:rsidR="00AA361B" w:rsidRPr="005C1A3D">
        <w:rPr>
          <w:rFonts w:ascii="Arial Narrow" w:hAnsi="Arial Narrow"/>
        </w:rPr>
        <w:t xml:space="preserve"> na regionálnej úrovni</w:t>
      </w:r>
      <w:r w:rsidRPr="00BE524F">
        <w:rPr>
          <w:rFonts w:ascii="Arial Narrow" w:hAnsi="Arial Narrow"/>
        </w:rPr>
        <w:t>.</w:t>
      </w:r>
      <w:r w:rsidR="00917FAE">
        <w:rPr>
          <w:rFonts w:ascii="Arial Narrow" w:hAnsi="Arial Narrow"/>
        </w:rPr>
        <w:t xml:space="preserve"> </w:t>
      </w:r>
      <w:r>
        <w:rPr>
          <w:rFonts w:ascii="Arial Narrow" w:hAnsi="Arial Narrow"/>
        </w:rPr>
        <w:t>S</w:t>
      </w:r>
      <w:r w:rsidRPr="0047742F">
        <w:rPr>
          <w:rFonts w:ascii="Arial Narrow" w:hAnsi="Arial Narrow"/>
        </w:rPr>
        <w:t xml:space="preserve">polufinancovanie </w:t>
      </w:r>
      <w:r>
        <w:rPr>
          <w:rFonts w:ascii="Arial Narrow" w:hAnsi="Arial Narrow"/>
        </w:rPr>
        <w:t>bude založené na štruktúre</w:t>
      </w:r>
      <w:r w:rsidRPr="0047742F">
        <w:rPr>
          <w:rFonts w:ascii="Arial Narrow" w:hAnsi="Arial Narrow"/>
        </w:rPr>
        <w:t xml:space="preserve"> prijímateľov sociálnej služby z hľadiska stupňa ich </w:t>
      </w:r>
      <w:r>
        <w:rPr>
          <w:rFonts w:ascii="Arial Narrow" w:hAnsi="Arial Narrow"/>
        </w:rPr>
        <w:t xml:space="preserve">odkázanosti na pomoc inej osoby </w:t>
      </w:r>
      <w:r w:rsidRPr="0047742F">
        <w:rPr>
          <w:rFonts w:ascii="Arial Narrow" w:hAnsi="Arial Narrow"/>
        </w:rPr>
        <w:t>a formy poskytovanej sociálnej služby, ktoré determinujú nákladovosť poskytovanej sociálnej služby.</w:t>
      </w:r>
      <w:r>
        <w:rPr>
          <w:rFonts w:ascii="Arial Narrow" w:hAnsi="Arial Narrow"/>
        </w:rPr>
        <w:t xml:space="preserve"> </w:t>
      </w:r>
      <w:r w:rsidR="00DF4EA2">
        <w:rPr>
          <w:rFonts w:ascii="Arial Narrow" w:hAnsi="Arial Narrow"/>
        </w:rPr>
        <w:t xml:space="preserve">MPSVR SR </w:t>
      </w:r>
      <w:r w:rsidR="0063148D">
        <w:rPr>
          <w:rFonts w:ascii="Arial Narrow" w:hAnsi="Arial Narrow"/>
        </w:rPr>
        <w:t xml:space="preserve">do septembra 2017 </w:t>
      </w:r>
      <w:r w:rsidR="00DF4EA2">
        <w:rPr>
          <w:rFonts w:ascii="Arial Narrow" w:hAnsi="Arial Narrow"/>
        </w:rPr>
        <w:t xml:space="preserve">pripraví </w:t>
      </w:r>
      <w:r w:rsidR="0063148D">
        <w:rPr>
          <w:rFonts w:ascii="Arial Narrow" w:hAnsi="Arial Narrow"/>
        </w:rPr>
        <w:t xml:space="preserve">pre tento účel </w:t>
      </w:r>
      <w:r w:rsidR="00DF4EA2">
        <w:rPr>
          <w:rFonts w:ascii="Arial Narrow" w:hAnsi="Arial Narrow"/>
        </w:rPr>
        <w:t>legislatívu</w:t>
      </w:r>
      <w:r w:rsidR="0063148D">
        <w:rPr>
          <w:rStyle w:val="Odkaznapoznmkupodiarou"/>
          <w:rFonts w:ascii="Arial Narrow" w:hAnsi="Arial Narrow"/>
        </w:rPr>
        <w:footnoteReference w:id="38"/>
      </w:r>
      <w:r w:rsidR="0063148D">
        <w:rPr>
          <w:rFonts w:ascii="Arial Narrow" w:hAnsi="Arial Narrow"/>
        </w:rPr>
        <w:t>.</w:t>
      </w:r>
    </w:p>
    <w:p w14:paraId="4AA6F977" w14:textId="77777777" w:rsidR="0063148D" w:rsidRDefault="0063148D" w:rsidP="00684952">
      <w:pPr>
        <w:spacing w:after="0" w:line="240" w:lineRule="auto"/>
        <w:jc w:val="both"/>
        <w:rPr>
          <w:rFonts w:ascii="Arial Narrow" w:hAnsi="Arial Narrow"/>
        </w:rPr>
      </w:pPr>
    </w:p>
    <w:p w14:paraId="56F159AE" w14:textId="77777777" w:rsidR="00684952" w:rsidRDefault="00684952" w:rsidP="00684952">
      <w:pPr>
        <w:spacing w:after="0" w:line="240" w:lineRule="auto"/>
        <w:jc w:val="both"/>
        <w:rPr>
          <w:rFonts w:ascii="Arial Narrow" w:hAnsi="Arial Narrow"/>
          <w:b/>
          <w:i/>
        </w:rPr>
      </w:pPr>
      <w:r>
        <w:rPr>
          <w:rFonts w:ascii="Arial Narrow" w:hAnsi="Arial Narrow"/>
          <w:b/>
          <w:i/>
        </w:rPr>
        <w:t>Sociálna pomoc zdravotne ťažko postihnutým</w:t>
      </w:r>
    </w:p>
    <w:p w14:paraId="040A5C6E" w14:textId="07F4E448" w:rsidR="00684952" w:rsidRDefault="00684952" w:rsidP="00684952">
      <w:pPr>
        <w:spacing w:after="0" w:line="240" w:lineRule="auto"/>
        <w:jc w:val="both"/>
        <w:rPr>
          <w:rFonts w:ascii="Arial Narrow" w:hAnsi="Arial Narrow"/>
        </w:rPr>
      </w:pPr>
      <w:r w:rsidRPr="006355BA">
        <w:rPr>
          <w:rFonts w:ascii="Arial Narrow" w:hAnsi="Arial Narrow"/>
        </w:rPr>
        <w:t>Zefektívnia</w:t>
      </w:r>
      <w:r>
        <w:rPr>
          <w:rFonts w:ascii="Arial Narrow" w:hAnsi="Arial Narrow"/>
        </w:rPr>
        <w:t xml:space="preserve"> sa </w:t>
      </w:r>
      <w:r w:rsidRPr="00584C4B">
        <w:rPr>
          <w:rFonts w:ascii="Arial Narrow" w:hAnsi="Arial Narrow"/>
        </w:rPr>
        <w:t>nástroje sociálnej integrácie</w:t>
      </w:r>
      <w:r w:rsidRPr="006355BA">
        <w:rPr>
          <w:rFonts w:ascii="Arial Narrow" w:hAnsi="Arial Narrow"/>
        </w:rPr>
        <w:t xml:space="preserve"> osôb so zdravotným postihnutím</w:t>
      </w:r>
      <w:r>
        <w:rPr>
          <w:rStyle w:val="Odkaznapoznmkupodiarou"/>
          <w:rFonts w:ascii="Arial Narrow" w:hAnsi="Arial Narrow"/>
        </w:rPr>
        <w:footnoteReference w:id="39"/>
      </w:r>
      <w:r w:rsidR="008B7286">
        <w:rPr>
          <w:rFonts w:ascii="Arial Narrow" w:hAnsi="Arial Narrow"/>
        </w:rPr>
        <w:t xml:space="preserve">. Do roku 2020 sa </w:t>
      </w:r>
      <w:r w:rsidR="004B7358">
        <w:rPr>
          <w:rFonts w:ascii="Arial Narrow" w:hAnsi="Arial Narrow"/>
        </w:rPr>
        <w:t>zváži</w:t>
      </w:r>
      <w:r w:rsidR="008B7286">
        <w:rPr>
          <w:rFonts w:ascii="Arial Narrow" w:hAnsi="Arial Narrow"/>
        </w:rPr>
        <w:t xml:space="preserve"> zvýšenie </w:t>
      </w:r>
      <w:r w:rsidR="008B7286" w:rsidRPr="00F14CE7">
        <w:rPr>
          <w:rFonts w:ascii="Arial Narrow" w:hAnsi="Arial Narrow"/>
          <w:b/>
        </w:rPr>
        <w:t>peňažného príspevku na opatrovanie</w:t>
      </w:r>
      <w:r w:rsidR="008B7286">
        <w:rPr>
          <w:rFonts w:ascii="Arial Narrow" w:hAnsi="Arial Narrow"/>
        </w:rPr>
        <w:t xml:space="preserve"> na úroveň čistej minimálnej mzdy</w:t>
      </w:r>
      <w:r w:rsidR="007F5942">
        <w:rPr>
          <w:rFonts w:ascii="Arial Narrow" w:hAnsi="Arial Narrow"/>
        </w:rPr>
        <w:t xml:space="preserve"> najmä pri poberateľoch v produktívnom veku</w:t>
      </w:r>
      <w:r w:rsidR="008B7286">
        <w:rPr>
          <w:rFonts w:ascii="Arial Narrow" w:hAnsi="Arial Narrow"/>
        </w:rPr>
        <w:t>. Ak by opatrenie bolo zavedené už v roku 2017, vplyv na rozpočet VS by predstavoval 65 mil. eur v roku 2017 a 78 mil. eur v roku 2018.</w:t>
      </w:r>
    </w:p>
    <w:p w14:paraId="15945EDB" w14:textId="77777777" w:rsidR="003B0893" w:rsidRDefault="003B0893" w:rsidP="00684952">
      <w:pPr>
        <w:spacing w:after="0" w:line="240" w:lineRule="auto"/>
        <w:jc w:val="both"/>
        <w:rPr>
          <w:rFonts w:ascii="Arial Narrow" w:hAnsi="Arial Narrow"/>
        </w:rPr>
      </w:pPr>
    </w:p>
    <w:p w14:paraId="588CD1B3" w14:textId="35912268" w:rsidR="003B0893" w:rsidRPr="005C1A3D" w:rsidRDefault="003B0893" w:rsidP="003B0893">
      <w:pPr>
        <w:spacing w:after="0" w:line="240" w:lineRule="auto"/>
        <w:jc w:val="both"/>
        <w:rPr>
          <w:rFonts w:ascii="Arial Narrow" w:hAnsi="Arial Narrow"/>
          <w:b/>
          <w:i/>
        </w:rPr>
      </w:pPr>
      <w:r w:rsidRPr="005C1A3D">
        <w:rPr>
          <w:rFonts w:ascii="Arial Narrow" w:hAnsi="Arial Narrow"/>
          <w:b/>
          <w:i/>
        </w:rPr>
        <w:t>Služby pre obete domáceho násilia</w:t>
      </w:r>
    </w:p>
    <w:p w14:paraId="7807A689" w14:textId="3A6F950F" w:rsidR="003B0893" w:rsidRDefault="003B0893" w:rsidP="003B0893">
      <w:pPr>
        <w:spacing w:after="0" w:line="240" w:lineRule="auto"/>
        <w:jc w:val="both"/>
        <w:rPr>
          <w:rFonts w:ascii="Arial Narrow" w:hAnsi="Arial Narrow"/>
        </w:rPr>
      </w:pPr>
      <w:r>
        <w:rPr>
          <w:rFonts w:ascii="Arial Narrow" w:hAnsi="Arial Narrow"/>
        </w:rPr>
        <w:t xml:space="preserve">Naďalej sa bude podporovať rozvoj špecifických </w:t>
      </w:r>
      <w:r w:rsidRPr="005C1A3D">
        <w:rPr>
          <w:rFonts w:ascii="Arial Narrow" w:hAnsi="Arial Narrow"/>
          <w:b/>
        </w:rPr>
        <w:t>služieb pre obete domácho násilia</w:t>
      </w:r>
      <w:r>
        <w:rPr>
          <w:rFonts w:ascii="Arial Narrow" w:hAnsi="Arial Narrow"/>
        </w:rPr>
        <w:t xml:space="preserve">, ktorými sú </w:t>
      </w:r>
      <w:r w:rsidR="00FE5606" w:rsidRPr="004C2758">
        <w:rPr>
          <w:rFonts w:ascii="Arial Narrow" w:hAnsi="Arial Narrow"/>
          <w:b/>
        </w:rPr>
        <w:t>najmä ženy a</w:t>
      </w:r>
      <w:r w:rsidR="00FE5606">
        <w:rPr>
          <w:rFonts w:ascii="Arial Narrow" w:hAnsi="Arial Narrow"/>
          <w:b/>
        </w:rPr>
        <w:t> </w:t>
      </w:r>
      <w:r w:rsidR="00FE5606" w:rsidRPr="004C2758">
        <w:rPr>
          <w:rFonts w:ascii="Arial Narrow" w:hAnsi="Arial Narrow"/>
          <w:b/>
        </w:rPr>
        <w:t xml:space="preserve">ich </w:t>
      </w:r>
      <w:r w:rsidRPr="005C1A3D">
        <w:rPr>
          <w:rFonts w:ascii="Arial Narrow" w:hAnsi="Arial Narrow"/>
          <w:b/>
        </w:rPr>
        <w:t>deti</w:t>
      </w:r>
      <w:r>
        <w:rPr>
          <w:rFonts w:ascii="Arial Narrow" w:hAnsi="Arial Narrow"/>
        </w:rPr>
        <w:t>, s cieľom ich ochrany a následného začlenenia do pracovného života. V roku 2017 sa pripraví návrh systémového riešenia na ukotvenie týchto služieb a ich finančnú stabilizáciu.</w:t>
      </w:r>
    </w:p>
    <w:p w14:paraId="1C8890E0" w14:textId="77777777" w:rsidR="00684952" w:rsidRPr="00256D89" w:rsidRDefault="00684952" w:rsidP="00684952">
      <w:pPr>
        <w:spacing w:after="0" w:line="240" w:lineRule="auto"/>
        <w:jc w:val="both"/>
        <w:rPr>
          <w:rFonts w:ascii="Arial Narrow" w:hAnsi="Arial Narrow"/>
          <w:b/>
          <w:i/>
        </w:rPr>
      </w:pPr>
    </w:p>
    <w:p w14:paraId="3E2A9B98" w14:textId="77777777" w:rsidR="00684952" w:rsidRPr="00AA3FA3" w:rsidRDefault="00684952" w:rsidP="00684952">
      <w:pPr>
        <w:spacing w:after="0" w:line="240" w:lineRule="auto"/>
        <w:rPr>
          <w:rFonts w:ascii="Arial Narrow" w:hAnsi="Arial Narrow"/>
          <w:b/>
          <w:i/>
        </w:rPr>
      </w:pPr>
      <w:r w:rsidRPr="00AA3FA3">
        <w:rPr>
          <w:rFonts w:ascii="Arial Narrow" w:hAnsi="Arial Narrow"/>
          <w:b/>
          <w:i/>
        </w:rPr>
        <w:t>Podpora marginalizovaných rómskych komunít</w:t>
      </w:r>
    </w:p>
    <w:p w14:paraId="7AC3F6CF" w14:textId="607D5060" w:rsidR="008E657F" w:rsidRDefault="00F854A1" w:rsidP="008E657F">
      <w:pPr>
        <w:spacing w:after="0" w:line="240" w:lineRule="auto"/>
        <w:jc w:val="both"/>
        <w:rPr>
          <w:rFonts w:ascii="Arial Narrow" w:hAnsi="Arial Narrow"/>
        </w:rPr>
      </w:pPr>
      <w:r>
        <w:rPr>
          <w:rFonts w:ascii="Arial Narrow" w:hAnsi="Arial Narrow"/>
        </w:rPr>
        <w:t>P</w:t>
      </w:r>
      <w:r w:rsidR="008E657F">
        <w:rPr>
          <w:rFonts w:ascii="Arial Narrow" w:hAnsi="Arial Narrow"/>
        </w:rPr>
        <w:t>omocou návratnej finančnej pomoci</w:t>
      </w:r>
      <w:r w:rsidR="005C1A3D">
        <w:rPr>
          <w:rFonts w:ascii="Arial Narrow" w:hAnsi="Arial Narrow"/>
        </w:rPr>
        <w:t xml:space="preserve"> v sume 11,5 mil. eur zo zdrojov EÚ</w:t>
      </w:r>
      <w:r w:rsidR="005C1A3D">
        <w:rPr>
          <w:rStyle w:val="Odkaznapoznmkupodiarou"/>
          <w:rFonts w:ascii="Arial Narrow" w:hAnsi="Arial Narrow"/>
        </w:rPr>
        <w:footnoteReference w:id="40"/>
      </w:r>
      <w:r w:rsidR="005C1A3D">
        <w:rPr>
          <w:rFonts w:ascii="Arial Narrow" w:hAnsi="Arial Narrow"/>
        </w:rPr>
        <w:t xml:space="preserve"> </w:t>
      </w:r>
      <w:r w:rsidR="00C677DC">
        <w:rPr>
          <w:rFonts w:ascii="Arial Narrow" w:hAnsi="Arial Narrow"/>
        </w:rPr>
        <w:t>s</w:t>
      </w:r>
      <w:r>
        <w:rPr>
          <w:rFonts w:ascii="Arial Narrow" w:hAnsi="Arial Narrow"/>
        </w:rPr>
        <w:t xml:space="preserve">a </w:t>
      </w:r>
      <w:r w:rsidR="008E657F">
        <w:rPr>
          <w:rFonts w:ascii="Arial Narrow" w:hAnsi="Arial Narrow"/>
        </w:rPr>
        <w:t>podpori</w:t>
      </w:r>
      <w:r>
        <w:rPr>
          <w:rFonts w:ascii="Arial Narrow" w:hAnsi="Arial Narrow"/>
        </w:rPr>
        <w:t xml:space="preserve">a </w:t>
      </w:r>
      <w:r w:rsidR="008E657F" w:rsidRPr="00C677DC">
        <w:rPr>
          <w:rFonts w:ascii="Arial Narrow" w:hAnsi="Arial Narrow"/>
          <w:b/>
        </w:rPr>
        <w:t>mikropôžičkové program</w:t>
      </w:r>
      <w:r w:rsidRPr="00C677DC">
        <w:rPr>
          <w:rFonts w:ascii="Arial Narrow" w:hAnsi="Arial Narrow"/>
          <w:b/>
        </w:rPr>
        <w:t xml:space="preserve">y </w:t>
      </w:r>
      <w:r w:rsidR="008E657F">
        <w:rPr>
          <w:rFonts w:ascii="Arial Narrow" w:hAnsi="Arial Narrow"/>
        </w:rPr>
        <w:t xml:space="preserve">zamerané </w:t>
      </w:r>
      <w:r w:rsidR="008E657F" w:rsidRPr="00C677DC">
        <w:rPr>
          <w:rFonts w:ascii="Arial Narrow" w:hAnsi="Arial Narrow"/>
          <w:b/>
        </w:rPr>
        <w:t>na</w:t>
      </w:r>
      <w:r w:rsidRPr="00C677DC">
        <w:rPr>
          <w:rFonts w:ascii="Arial Narrow" w:hAnsi="Arial Narrow"/>
          <w:b/>
        </w:rPr>
        <w:t xml:space="preserve"> </w:t>
      </w:r>
      <w:r w:rsidR="008E657F" w:rsidRPr="00C677DC">
        <w:rPr>
          <w:rFonts w:ascii="Arial Narrow" w:hAnsi="Arial Narrow"/>
          <w:b/>
        </w:rPr>
        <w:t>svojpomocn</w:t>
      </w:r>
      <w:r w:rsidRPr="00C677DC">
        <w:rPr>
          <w:rFonts w:ascii="Arial Narrow" w:hAnsi="Arial Narrow"/>
          <w:b/>
        </w:rPr>
        <w:t>ú</w:t>
      </w:r>
      <w:r w:rsidR="008E657F" w:rsidRPr="00C677DC">
        <w:rPr>
          <w:rFonts w:ascii="Arial Narrow" w:hAnsi="Arial Narrow"/>
          <w:b/>
        </w:rPr>
        <w:t xml:space="preserve"> výstavb</w:t>
      </w:r>
      <w:r w:rsidRPr="00C677DC">
        <w:rPr>
          <w:rFonts w:ascii="Arial Narrow" w:hAnsi="Arial Narrow"/>
          <w:b/>
        </w:rPr>
        <w:t xml:space="preserve">u </w:t>
      </w:r>
      <w:r w:rsidR="008E657F" w:rsidRPr="00C677DC">
        <w:rPr>
          <w:rFonts w:ascii="Arial Narrow" w:hAnsi="Arial Narrow"/>
          <w:b/>
        </w:rPr>
        <w:t>obydlí</w:t>
      </w:r>
      <w:r w:rsidR="008E657F">
        <w:rPr>
          <w:rFonts w:ascii="Arial Narrow" w:hAnsi="Arial Narrow"/>
        </w:rPr>
        <w:t xml:space="preserve"> a</w:t>
      </w:r>
      <w:r w:rsidR="00C677DC">
        <w:rPr>
          <w:rFonts w:ascii="Arial Narrow" w:hAnsi="Arial Narrow"/>
        </w:rPr>
        <w:t xml:space="preserve"> </w:t>
      </w:r>
      <w:r w:rsidR="008E657F" w:rsidRPr="00C677DC">
        <w:rPr>
          <w:rFonts w:ascii="Arial Narrow" w:hAnsi="Arial Narrow"/>
          <w:b/>
        </w:rPr>
        <w:t>zvýš</w:t>
      </w:r>
      <w:r w:rsidRPr="00C677DC">
        <w:rPr>
          <w:rFonts w:ascii="Arial Narrow" w:hAnsi="Arial Narrow"/>
          <w:b/>
        </w:rPr>
        <w:t xml:space="preserve">enie </w:t>
      </w:r>
      <w:r w:rsidR="008E657F" w:rsidRPr="00C677DC">
        <w:rPr>
          <w:rFonts w:ascii="Arial Narrow" w:hAnsi="Arial Narrow"/>
          <w:b/>
        </w:rPr>
        <w:t>mier</w:t>
      </w:r>
      <w:r w:rsidRPr="00C677DC">
        <w:rPr>
          <w:rFonts w:ascii="Arial Narrow" w:hAnsi="Arial Narrow"/>
          <w:b/>
        </w:rPr>
        <w:t xml:space="preserve">y </w:t>
      </w:r>
      <w:r w:rsidR="008E657F" w:rsidRPr="00C677DC">
        <w:rPr>
          <w:rFonts w:ascii="Arial Narrow" w:hAnsi="Arial Narrow"/>
          <w:b/>
        </w:rPr>
        <w:t>zamestnanosti</w:t>
      </w:r>
      <w:r w:rsidR="00597DFC">
        <w:rPr>
          <w:rFonts w:ascii="Arial Narrow" w:hAnsi="Arial Narrow"/>
          <w:b/>
        </w:rPr>
        <w:t xml:space="preserve"> v </w:t>
      </w:r>
      <w:r w:rsidR="008E657F" w:rsidRPr="00C677DC">
        <w:rPr>
          <w:rFonts w:ascii="Arial Narrow" w:hAnsi="Arial Narrow"/>
          <w:b/>
        </w:rPr>
        <w:t>subjektoch sociálnej ekonomiky</w:t>
      </w:r>
      <w:r w:rsidR="008E657F">
        <w:rPr>
          <w:rFonts w:ascii="Arial Narrow" w:hAnsi="Arial Narrow"/>
        </w:rPr>
        <w:t xml:space="preserve"> v územiach s prítomnosťou MRK.</w:t>
      </w:r>
    </w:p>
    <w:p w14:paraId="29142672" w14:textId="77777777" w:rsidR="00EB28B5" w:rsidRDefault="00EB28B5" w:rsidP="00AA3FA3">
      <w:pPr>
        <w:spacing w:after="0" w:line="240" w:lineRule="auto"/>
        <w:jc w:val="both"/>
        <w:rPr>
          <w:rFonts w:ascii="Arial Narrow" w:hAnsi="Arial Narrow"/>
          <w:color w:val="1D1D1D"/>
        </w:rPr>
      </w:pPr>
    </w:p>
    <w:p w14:paraId="5172441A" w14:textId="3D1F9A52" w:rsidR="00FA5992" w:rsidRDefault="00336B15" w:rsidP="00FA5992">
      <w:pPr>
        <w:spacing w:after="0" w:line="240" w:lineRule="auto"/>
        <w:jc w:val="both"/>
        <w:rPr>
          <w:rFonts w:ascii="Arial Narrow" w:hAnsi="Arial Narrow"/>
          <w:color w:val="1D1D1D"/>
        </w:rPr>
      </w:pPr>
      <w:r w:rsidRPr="00AA3FA3">
        <w:rPr>
          <w:rFonts w:ascii="Arial Narrow" w:hAnsi="Arial Narrow"/>
          <w:color w:val="1D1D1D"/>
        </w:rPr>
        <w:t xml:space="preserve">V priebehu </w:t>
      </w:r>
      <w:r w:rsidR="003C291A">
        <w:rPr>
          <w:rFonts w:ascii="Arial Narrow" w:hAnsi="Arial Narrow"/>
          <w:color w:val="1D1D1D"/>
        </w:rPr>
        <w:t>roka</w:t>
      </w:r>
      <w:r w:rsidRPr="00AA3FA3">
        <w:rPr>
          <w:rFonts w:ascii="Arial Narrow" w:hAnsi="Arial Narrow"/>
          <w:color w:val="1D1D1D"/>
        </w:rPr>
        <w:t xml:space="preserve"> 2017 budú vyhlasené výzvy na </w:t>
      </w:r>
      <w:r w:rsidR="00E424F8" w:rsidRPr="00FA5992">
        <w:rPr>
          <w:rFonts w:ascii="Arial Narrow" w:hAnsi="Arial Narrow"/>
          <w:b/>
          <w:color w:val="1D1D1D"/>
        </w:rPr>
        <w:t xml:space="preserve">viaceré </w:t>
      </w:r>
      <w:r w:rsidR="00C677DC">
        <w:rPr>
          <w:rFonts w:ascii="Arial Narrow" w:hAnsi="Arial Narrow"/>
          <w:b/>
          <w:color w:val="1D1D1D"/>
        </w:rPr>
        <w:t xml:space="preserve">ďalšie </w:t>
      </w:r>
      <w:r w:rsidR="00D15F44" w:rsidRPr="00FA5992">
        <w:rPr>
          <w:rFonts w:ascii="Arial Narrow" w:hAnsi="Arial Narrow"/>
          <w:b/>
          <w:color w:val="1D1D1D"/>
        </w:rPr>
        <w:t xml:space="preserve">projekty </w:t>
      </w:r>
      <w:r w:rsidR="00D17D16" w:rsidRPr="00FA5992">
        <w:rPr>
          <w:rFonts w:ascii="Arial Narrow" w:hAnsi="Arial Narrow"/>
          <w:b/>
          <w:color w:val="1D1D1D"/>
        </w:rPr>
        <w:t xml:space="preserve">v obciach s prítomnosťou </w:t>
      </w:r>
      <w:r w:rsidR="00FA5992" w:rsidRPr="00FA5992">
        <w:rPr>
          <w:rFonts w:ascii="Arial Narrow" w:hAnsi="Arial Narrow"/>
          <w:b/>
          <w:color w:val="1D1D1D"/>
        </w:rPr>
        <w:t>MRK</w:t>
      </w:r>
      <w:r w:rsidR="00FA5992">
        <w:rPr>
          <w:rFonts w:ascii="Arial Narrow" w:hAnsi="Arial Narrow"/>
          <w:color w:val="1D1D1D"/>
        </w:rPr>
        <w:t xml:space="preserve">: </w:t>
      </w:r>
    </w:p>
    <w:p w14:paraId="6480182C" w14:textId="27AB81AC" w:rsidR="00FA5992" w:rsidRPr="00FA5992" w:rsidRDefault="00FA5992" w:rsidP="00FA5992">
      <w:pPr>
        <w:pStyle w:val="Odsekzoznamu"/>
        <w:numPr>
          <w:ilvl w:val="0"/>
          <w:numId w:val="38"/>
        </w:numPr>
        <w:spacing w:after="0" w:line="240" w:lineRule="auto"/>
        <w:jc w:val="both"/>
        <w:rPr>
          <w:rFonts w:ascii="Arial Narrow" w:hAnsi="Arial Narrow"/>
          <w:color w:val="1D1D1D"/>
        </w:rPr>
      </w:pPr>
      <w:r w:rsidRPr="00FA5992">
        <w:rPr>
          <w:rFonts w:ascii="Arial Narrow" w:hAnsi="Arial Narrow"/>
          <w:color w:val="1D1D1D"/>
        </w:rPr>
        <w:t xml:space="preserve">Podporí sa účasť detí z MRK na </w:t>
      </w:r>
      <w:r w:rsidRPr="00FA5992">
        <w:rPr>
          <w:rFonts w:ascii="Arial Narrow" w:hAnsi="Arial Narrow"/>
          <w:b/>
          <w:color w:val="1D1D1D"/>
        </w:rPr>
        <w:t>predprimárnom vzdelávaní</w:t>
      </w:r>
      <w:r w:rsidRPr="00FA5992">
        <w:rPr>
          <w:rFonts w:ascii="Arial Narrow" w:hAnsi="Arial Narrow"/>
          <w:color w:val="1D1D1D"/>
        </w:rPr>
        <w:t xml:space="preserve">, ktoré je kľučovým faktorom pre zvládnutie vstupu do primárneho vzdelávania. </w:t>
      </w:r>
    </w:p>
    <w:p w14:paraId="212C2BA0" w14:textId="2349765E" w:rsidR="00FA5992" w:rsidRDefault="00FA5992" w:rsidP="00FA5992">
      <w:pPr>
        <w:pStyle w:val="Odsekzoznamu"/>
        <w:numPr>
          <w:ilvl w:val="0"/>
          <w:numId w:val="37"/>
        </w:numPr>
        <w:spacing w:after="0" w:line="240" w:lineRule="auto"/>
        <w:jc w:val="both"/>
        <w:rPr>
          <w:rFonts w:ascii="Arial Narrow" w:hAnsi="Arial Narrow"/>
          <w:color w:val="1D1D1D"/>
        </w:rPr>
      </w:pPr>
      <w:r w:rsidRPr="00FA5992">
        <w:rPr>
          <w:rFonts w:ascii="Arial Narrow" w:hAnsi="Arial Narrow"/>
          <w:color w:val="1D1D1D"/>
        </w:rPr>
        <w:t xml:space="preserve">S dôrazom na úspešné </w:t>
      </w:r>
      <w:r w:rsidR="000E68CE">
        <w:rPr>
          <w:rFonts w:ascii="Arial Narrow" w:hAnsi="Arial Narrow"/>
          <w:b/>
          <w:color w:val="1D1D1D"/>
        </w:rPr>
        <w:t>ukončenie základnej školy a plynulý prechod na strednú školu</w:t>
      </w:r>
      <w:r w:rsidR="000E68CE">
        <w:rPr>
          <w:rFonts w:ascii="Arial Narrow" w:hAnsi="Arial Narrow"/>
          <w:color w:val="1D1D1D"/>
        </w:rPr>
        <w:t xml:space="preserve"> </w:t>
      </w:r>
      <w:r w:rsidR="00F60846">
        <w:rPr>
          <w:rFonts w:ascii="Arial Narrow" w:hAnsi="Arial Narrow"/>
          <w:color w:val="1D1D1D"/>
        </w:rPr>
        <w:t>sa formou tú</w:t>
      </w:r>
      <w:r w:rsidR="0049098B">
        <w:rPr>
          <w:rFonts w:ascii="Arial Narrow" w:hAnsi="Arial Narrow"/>
          <w:color w:val="1D1D1D"/>
        </w:rPr>
        <w:t>t</w:t>
      </w:r>
      <w:r w:rsidRPr="00FA5992">
        <w:rPr>
          <w:rFonts w:ascii="Arial Narrow" w:hAnsi="Arial Narrow"/>
          <w:color w:val="1D1D1D"/>
        </w:rPr>
        <w:t xml:space="preserve">oringu, mentoringu a štipendií podporia žiaci z MRK. </w:t>
      </w:r>
    </w:p>
    <w:p w14:paraId="721EEBAE" w14:textId="58E664D0" w:rsidR="00FA5992" w:rsidRDefault="00E424F8" w:rsidP="00FA5992">
      <w:pPr>
        <w:pStyle w:val="Odsekzoznamu"/>
        <w:numPr>
          <w:ilvl w:val="0"/>
          <w:numId w:val="37"/>
        </w:numPr>
        <w:spacing w:after="0" w:line="240" w:lineRule="auto"/>
        <w:jc w:val="both"/>
        <w:rPr>
          <w:rFonts w:ascii="Arial Narrow" w:hAnsi="Arial Narrow"/>
          <w:color w:val="1D1D1D"/>
        </w:rPr>
      </w:pPr>
      <w:r w:rsidRPr="00FA5992">
        <w:rPr>
          <w:rFonts w:ascii="Arial Narrow" w:hAnsi="Arial Narrow"/>
          <w:color w:val="1D1D1D"/>
        </w:rPr>
        <w:t xml:space="preserve">K </w:t>
      </w:r>
      <w:r w:rsidRPr="00FA5992">
        <w:rPr>
          <w:rFonts w:ascii="Arial Narrow" w:hAnsi="Arial Narrow"/>
          <w:b/>
          <w:color w:val="1D1D1D"/>
        </w:rPr>
        <w:t xml:space="preserve">zlepšeniu </w:t>
      </w:r>
      <w:r w:rsidR="00D15F44" w:rsidRPr="00FA5992">
        <w:rPr>
          <w:rFonts w:ascii="Arial Narrow" w:hAnsi="Arial Narrow"/>
          <w:b/>
          <w:color w:val="1D1D1D"/>
        </w:rPr>
        <w:t>štandardov bývania a</w:t>
      </w:r>
      <w:r w:rsidRPr="00FA5992">
        <w:rPr>
          <w:rFonts w:ascii="Arial Narrow" w:hAnsi="Arial Narrow"/>
          <w:b/>
          <w:color w:val="1D1D1D"/>
        </w:rPr>
        <w:t xml:space="preserve"> dobudovaniu </w:t>
      </w:r>
      <w:r w:rsidR="00D15F44" w:rsidRPr="00FA5992">
        <w:rPr>
          <w:rFonts w:ascii="Arial Narrow" w:hAnsi="Arial Narrow"/>
          <w:b/>
          <w:color w:val="1D1D1D"/>
        </w:rPr>
        <w:t>základnej infraštruktúrnej</w:t>
      </w:r>
      <w:r w:rsidR="00D15F44" w:rsidRPr="00FA5992">
        <w:rPr>
          <w:rFonts w:ascii="Arial Narrow" w:hAnsi="Arial Narrow"/>
          <w:color w:val="1D1D1D"/>
        </w:rPr>
        <w:t xml:space="preserve"> </w:t>
      </w:r>
      <w:r w:rsidR="00D15F44" w:rsidRPr="00F21A7E">
        <w:rPr>
          <w:rFonts w:ascii="Arial Narrow" w:hAnsi="Arial Narrow"/>
          <w:b/>
          <w:color w:val="1D1D1D"/>
        </w:rPr>
        <w:t>vybavenosti</w:t>
      </w:r>
      <w:r w:rsidR="00F21A7E">
        <w:rPr>
          <w:rFonts w:ascii="Arial Narrow" w:hAnsi="Arial Narrow"/>
          <w:color w:val="1D1D1D"/>
        </w:rPr>
        <w:t xml:space="preserve"> prispejú projekty zamerané na </w:t>
      </w:r>
      <w:r w:rsidRPr="00FA5992">
        <w:rPr>
          <w:rFonts w:ascii="Arial Narrow" w:hAnsi="Arial Narrow"/>
          <w:color w:val="1D1D1D"/>
        </w:rPr>
        <w:t>asistenciu</w:t>
      </w:r>
      <w:r w:rsidR="00D15F44" w:rsidRPr="00FA5992">
        <w:rPr>
          <w:rFonts w:ascii="Arial Narrow" w:hAnsi="Arial Narrow"/>
          <w:color w:val="1D1D1D"/>
        </w:rPr>
        <w:t xml:space="preserve"> pri vysporiadavaní nelegálnych pozemkov</w:t>
      </w:r>
      <w:r w:rsidRPr="00FA5992">
        <w:rPr>
          <w:rFonts w:ascii="Arial Narrow" w:hAnsi="Arial Narrow"/>
          <w:color w:val="1D1D1D"/>
        </w:rPr>
        <w:t>, podporu</w:t>
      </w:r>
      <w:r w:rsidR="00D15F44" w:rsidRPr="00FA5992">
        <w:rPr>
          <w:rFonts w:ascii="Arial Narrow" w:hAnsi="Arial Narrow"/>
          <w:color w:val="1D1D1D"/>
        </w:rPr>
        <w:t xml:space="preserve"> sociálneho bývania </w:t>
      </w:r>
      <w:r w:rsidR="00FE5606">
        <w:rPr>
          <w:rFonts w:ascii="Arial Narrow" w:hAnsi="Arial Narrow"/>
          <w:color w:val="1D1D1D"/>
        </w:rPr>
        <w:t>ni</w:t>
      </w:r>
      <w:r w:rsidR="00597321">
        <w:rPr>
          <w:rFonts w:ascii="Arial Narrow" w:hAnsi="Arial Narrow"/>
          <w:color w:val="1D1D1D"/>
        </w:rPr>
        <w:t>žšieho</w:t>
      </w:r>
      <w:r w:rsidR="00597321" w:rsidRPr="00FA5992">
        <w:rPr>
          <w:rFonts w:ascii="Arial Narrow" w:hAnsi="Arial Narrow"/>
          <w:color w:val="1D1D1D"/>
        </w:rPr>
        <w:t xml:space="preserve"> </w:t>
      </w:r>
      <w:r w:rsidR="00D15F44" w:rsidRPr="00FA5992">
        <w:rPr>
          <w:rFonts w:ascii="Arial Narrow" w:hAnsi="Arial Narrow"/>
          <w:color w:val="1D1D1D"/>
        </w:rPr>
        <w:t>štandardu</w:t>
      </w:r>
      <w:r w:rsidR="00C677DC">
        <w:rPr>
          <w:rFonts w:ascii="Arial Narrow" w:hAnsi="Arial Narrow"/>
          <w:color w:val="1D1D1D"/>
        </w:rPr>
        <w:t xml:space="preserve"> </w:t>
      </w:r>
      <w:r w:rsidRPr="00FA5992">
        <w:rPr>
          <w:rFonts w:ascii="Arial Narrow" w:hAnsi="Arial Narrow"/>
          <w:color w:val="1D1D1D"/>
        </w:rPr>
        <w:t>a nakladanie s komunálnym odpadom</w:t>
      </w:r>
      <w:r w:rsidR="00D15F44" w:rsidRPr="00FA5992">
        <w:rPr>
          <w:rFonts w:ascii="Arial Narrow" w:hAnsi="Arial Narrow"/>
          <w:color w:val="1D1D1D"/>
        </w:rPr>
        <w:t xml:space="preserve">. </w:t>
      </w:r>
    </w:p>
    <w:p w14:paraId="0B084080" w14:textId="20107A87" w:rsidR="00FA5992" w:rsidRPr="00FA5992" w:rsidRDefault="00FA5992" w:rsidP="00FA5992">
      <w:pPr>
        <w:pStyle w:val="Odsekzoznamu"/>
        <w:numPr>
          <w:ilvl w:val="0"/>
          <w:numId w:val="37"/>
        </w:numPr>
        <w:spacing w:after="0" w:line="240" w:lineRule="auto"/>
        <w:jc w:val="both"/>
        <w:rPr>
          <w:rFonts w:ascii="Arial Narrow" w:hAnsi="Arial Narrow"/>
          <w:color w:val="1D1D1D"/>
        </w:rPr>
      </w:pPr>
      <w:r>
        <w:rPr>
          <w:rFonts w:ascii="Arial Narrow" w:hAnsi="Arial Narrow"/>
          <w:color w:val="1D1D1D"/>
        </w:rPr>
        <w:t xml:space="preserve">Podporí sa </w:t>
      </w:r>
      <w:r w:rsidRPr="00FA5992">
        <w:rPr>
          <w:rFonts w:ascii="Arial Narrow" w:hAnsi="Arial Narrow"/>
          <w:b/>
          <w:color w:val="1D1D1D"/>
        </w:rPr>
        <w:t>výstavba a rekonštrukcia komunitných centier</w:t>
      </w:r>
      <w:r w:rsidRPr="00DC7C6C">
        <w:rPr>
          <w:rFonts w:ascii="Arial Narrow" w:hAnsi="Arial Narrow"/>
          <w:color w:val="1D1D1D"/>
        </w:rPr>
        <w:t xml:space="preserve"> a</w:t>
      </w:r>
      <w:r w:rsidR="00B610E3">
        <w:rPr>
          <w:rFonts w:ascii="Arial Narrow" w:hAnsi="Arial Narrow"/>
          <w:b/>
          <w:color w:val="1D1D1D"/>
        </w:rPr>
        <w:t xml:space="preserve"> </w:t>
      </w:r>
      <w:r>
        <w:rPr>
          <w:rFonts w:ascii="Arial Narrow" w:hAnsi="Arial Narrow"/>
          <w:b/>
          <w:color w:val="1D1D1D"/>
        </w:rPr>
        <w:t xml:space="preserve">výkon </w:t>
      </w:r>
      <w:r w:rsidR="00E31875">
        <w:rPr>
          <w:rFonts w:ascii="Arial Narrow" w:hAnsi="Arial Narrow"/>
          <w:b/>
          <w:color w:val="1D1D1D"/>
        </w:rPr>
        <w:t>miestnych občianskych poriadkových služieb</w:t>
      </w:r>
      <w:r w:rsidR="00E31875">
        <w:rPr>
          <w:rFonts w:ascii="Arial Narrow" w:hAnsi="Arial Narrow"/>
          <w:color w:val="1D1D1D"/>
        </w:rPr>
        <w:t xml:space="preserve"> </w:t>
      </w:r>
      <w:r>
        <w:rPr>
          <w:rFonts w:ascii="Arial Narrow" w:hAnsi="Arial Narrow"/>
          <w:color w:val="1D1D1D"/>
        </w:rPr>
        <w:t>v obciach s prítomnosťou MRK</w:t>
      </w:r>
      <w:r w:rsidR="008E657F">
        <w:rPr>
          <w:rFonts w:ascii="Arial Narrow" w:hAnsi="Arial Narrow"/>
          <w:color w:val="1D1D1D"/>
        </w:rPr>
        <w:t>.</w:t>
      </w:r>
    </w:p>
    <w:p w14:paraId="67482381" w14:textId="7BB422D9" w:rsidR="00FA5992" w:rsidRDefault="00B610E3" w:rsidP="00FA5992">
      <w:pPr>
        <w:pStyle w:val="Odsekzoznamu"/>
        <w:numPr>
          <w:ilvl w:val="0"/>
          <w:numId w:val="37"/>
        </w:numPr>
        <w:spacing w:after="0" w:line="240" w:lineRule="auto"/>
        <w:jc w:val="both"/>
        <w:rPr>
          <w:rFonts w:ascii="Arial Narrow" w:hAnsi="Arial Narrow"/>
          <w:color w:val="1D1D1D"/>
        </w:rPr>
      </w:pPr>
      <w:r>
        <w:rPr>
          <w:rFonts w:ascii="Arial Narrow" w:hAnsi="Arial Narrow"/>
          <w:color w:val="1D1D1D"/>
        </w:rPr>
        <w:t>K </w:t>
      </w:r>
      <w:r w:rsidRPr="00B610E3">
        <w:rPr>
          <w:rFonts w:ascii="Arial Narrow" w:hAnsi="Arial Narrow"/>
          <w:b/>
          <w:color w:val="1D1D1D"/>
        </w:rPr>
        <w:t>vyššej kvalite života</w:t>
      </w:r>
      <w:r>
        <w:rPr>
          <w:rFonts w:ascii="Arial Narrow" w:hAnsi="Arial Narrow"/>
          <w:color w:val="1D1D1D"/>
        </w:rPr>
        <w:t xml:space="preserve"> prispeje projekt zameraný</w:t>
      </w:r>
      <w:r w:rsidR="00FA5992" w:rsidRPr="00FA5992">
        <w:rPr>
          <w:rFonts w:ascii="Arial Narrow" w:hAnsi="Arial Narrow"/>
          <w:color w:val="1D1D1D"/>
        </w:rPr>
        <w:t xml:space="preserve"> </w:t>
      </w:r>
      <w:r>
        <w:rPr>
          <w:rFonts w:ascii="Arial Narrow" w:hAnsi="Arial Narrow"/>
          <w:color w:val="1D1D1D"/>
        </w:rPr>
        <w:t xml:space="preserve">na lepšie </w:t>
      </w:r>
      <w:r w:rsidR="00FA5992" w:rsidRPr="00FA5992">
        <w:rPr>
          <w:rFonts w:ascii="Arial Narrow" w:hAnsi="Arial Narrow"/>
          <w:color w:val="1D1D1D"/>
        </w:rPr>
        <w:t>využívanie služieb zdravotnej starostlivosti obyvateľmi z MRK vrátane zberu údajov a prehĺbenia spolupráce s relevantnými inštitútciami.</w:t>
      </w:r>
    </w:p>
    <w:p w14:paraId="2AA24B0D" w14:textId="71D3E1A7" w:rsidR="00486179" w:rsidRDefault="00FA5992" w:rsidP="00FB625E">
      <w:pPr>
        <w:pStyle w:val="Odsekzoznamu"/>
        <w:numPr>
          <w:ilvl w:val="0"/>
          <w:numId w:val="37"/>
        </w:numPr>
        <w:spacing w:after="0" w:line="240" w:lineRule="auto"/>
        <w:jc w:val="both"/>
        <w:rPr>
          <w:rFonts w:ascii="Arial Narrow" w:hAnsi="Arial Narrow"/>
          <w:color w:val="1D1D1D"/>
        </w:rPr>
      </w:pPr>
      <w:r>
        <w:rPr>
          <w:rFonts w:ascii="Arial Narrow" w:hAnsi="Arial Narrow"/>
          <w:color w:val="1D1D1D"/>
        </w:rPr>
        <w:t xml:space="preserve">V rámci samostatného projektu sa zabezpečí </w:t>
      </w:r>
      <w:r w:rsidRPr="00B610E3">
        <w:rPr>
          <w:rFonts w:ascii="Arial Narrow" w:hAnsi="Arial Narrow"/>
          <w:b/>
          <w:color w:val="1D1D1D"/>
        </w:rPr>
        <w:t>komplexné monitorovanie a hodnotenie inkluzívnych politík</w:t>
      </w:r>
      <w:r w:rsidRPr="00FA5992">
        <w:rPr>
          <w:rFonts w:ascii="Arial Narrow" w:hAnsi="Arial Narrow"/>
          <w:color w:val="1D1D1D"/>
        </w:rPr>
        <w:t xml:space="preserve"> a </w:t>
      </w:r>
      <w:r w:rsidRPr="00B610E3">
        <w:rPr>
          <w:rFonts w:ascii="Arial Narrow" w:hAnsi="Arial Narrow"/>
          <w:b/>
          <w:color w:val="1D1D1D"/>
        </w:rPr>
        <w:t>vyhodnotenie ich dopadu na</w:t>
      </w:r>
      <w:r w:rsidR="00B610E3">
        <w:rPr>
          <w:rFonts w:ascii="Arial Narrow" w:hAnsi="Arial Narrow"/>
          <w:b/>
          <w:color w:val="1D1D1D"/>
        </w:rPr>
        <w:t xml:space="preserve"> </w:t>
      </w:r>
      <w:r w:rsidRPr="00B610E3">
        <w:rPr>
          <w:rFonts w:ascii="Arial Narrow" w:hAnsi="Arial Narrow"/>
          <w:b/>
          <w:color w:val="1D1D1D"/>
        </w:rPr>
        <w:t>MRK</w:t>
      </w:r>
      <w:r w:rsidR="00B610E3">
        <w:rPr>
          <w:rFonts w:ascii="Arial Narrow" w:hAnsi="Arial Narrow"/>
          <w:color w:val="1D1D1D"/>
        </w:rPr>
        <w:t>.</w:t>
      </w:r>
    </w:p>
    <w:p w14:paraId="666CAA73" w14:textId="770F230F" w:rsidR="00DB7D3A" w:rsidRPr="005C1A3D" w:rsidRDefault="00486179" w:rsidP="005C1A3D">
      <w:pPr>
        <w:spacing w:after="0" w:line="240" w:lineRule="auto"/>
        <w:rPr>
          <w:rFonts w:ascii="Arial Narrow" w:hAnsi="Arial Narrow"/>
          <w:color w:val="1D1D1D"/>
        </w:rPr>
      </w:pPr>
      <w:r>
        <w:rPr>
          <w:rFonts w:ascii="Arial Narrow" w:hAnsi="Arial Narrow"/>
          <w:color w:val="1D1D1D"/>
        </w:rPr>
        <w:br w:type="page"/>
      </w:r>
    </w:p>
    <w:p w14:paraId="2017617D" w14:textId="0DC51E43" w:rsidR="00C15C0C" w:rsidRPr="00256D89" w:rsidRDefault="00C15C0C" w:rsidP="00FB625E">
      <w:pPr>
        <w:pStyle w:val="Nadpis2"/>
        <w:numPr>
          <w:ilvl w:val="1"/>
          <w:numId w:val="1"/>
        </w:numPr>
        <w:spacing w:after="240" w:line="240" w:lineRule="auto"/>
        <w:jc w:val="both"/>
        <w:rPr>
          <w:rFonts w:ascii="Arial Narrow" w:hAnsi="Arial Narrow"/>
          <w:color w:val="2C9ADC"/>
          <w:sz w:val="32"/>
          <w:szCs w:val="28"/>
        </w:rPr>
      </w:pPr>
      <w:bookmarkStart w:id="50" w:name="_Toc386005374"/>
      <w:bookmarkStart w:id="51" w:name="_Toc477259954"/>
      <w:bookmarkStart w:id="52" w:name="_Toc386005375"/>
      <w:r w:rsidRPr="00256D89">
        <w:rPr>
          <w:rFonts w:ascii="Arial Narrow" w:hAnsi="Arial Narrow"/>
          <w:color w:val="2C9ADC"/>
          <w:sz w:val="32"/>
          <w:szCs w:val="28"/>
        </w:rPr>
        <w:lastRenderedPageBreak/>
        <w:t>Dopravná infraštruktúra</w:t>
      </w:r>
      <w:bookmarkEnd w:id="50"/>
      <w:bookmarkEnd w:id="51"/>
    </w:p>
    <w:p w14:paraId="546597E4" w14:textId="6323CA75" w:rsidR="00D85EBF" w:rsidRPr="001A153E" w:rsidRDefault="00D85EBF" w:rsidP="00D85EBF">
      <w:pPr>
        <w:pStyle w:val="Default"/>
        <w:jc w:val="both"/>
        <w:rPr>
          <w:rFonts w:ascii="Arial Narrow" w:hAnsi="Arial Narrow"/>
          <w:iCs/>
          <w:color w:val="auto"/>
          <w:sz w:val="22"/>
          <w:szCs w:val="22"/>
        </w:rPr>
      </w:pPr>
      <w:r>
        <w:rPr>
          <w:rFonts w:ascii="Arial Narrow" w:hAnsi="Arial Narrow"/>
          <w:i/>
          <w:iCs/>
          <w:color w:val="auto"/>
          <w:sz w:val="22"/>
          <w:szCs w:val="22"/>
        </w:rPr>
        <w:t xml:space="preserve">Revízia výdavkov </w:t>
      </w:r>
      <w:r w:rsidR="00F60846">
        <w:rPr>
          <w:rFonts w:ascii="Arial Narrow" w:hAnsi="Arial Narrow"/>
          <w:i/>
          <w:iCs/>
          <w:color w:val="auto"/>
          <w:sz w:val="22"/>
          <w:szCs w:val="22"/>
        </w:rPr>
        <w:t xml:space="preserve">na dopravu </w:t>
      </w:r>
      <w:r>
        <w:rPr>
          <w:rFonts w:ascii="Arial Narrow" w:hAnsi="Arial Narrow"/>
          <w:i/>
          <w:iCs/>
          <w:color w:val="auto"/>
          <w:sz w:val="22"/>
          <w:szCs w:val="22"/>
        </w:rPr>
        <w:t>identifikovala významný priestor</w:t>
      </w:r>
      <w:r w:rsidRPr="003635AD">
        <w:rPr>
          <w:rFonts w:ascii="Arial Narrow" w:hAnsi="Arial Narrow"/>
          <w:i/>
          <w:iCs/>
          <w:color w:val="auto"/>
          <w:sz w:val="22"/>
          <w:szCs w:val="22"/>
        </w:rPr>
        <w:t xml:space="preserve"> pre zvýšenie efektívnosti výdavkov a lepšie meranie výsledkov </w:t>
      </w:r>
      <w:r>
        <w:rPr>
          <w:rFonts w:ascii="Arial Narrow" w:hAnsi="Arial Narrow"/>
          <w:i/>
          <w:iCs/>
          <w:color w:val="auto"/>
          <w:sz w:val="22"/>
          <w:szCs w:val="22"/>
        </w:rPr>
        <w:t>v oblasti hodnotenia, prioritizácie a prípravy investičných projektov. Poukázala aj na  potrebu znižovania</w:t>
      </w:r>
      <w:r w:rsidRPr="003635AD">
        <w:rPr>
          <w:rFonts w:ascii="Arial Narrow" w:hAnsi="Arial Narrow"/>
          <w:i/>
          <w:iCs/>
          <w:color w:val="auto"/>
          <w:sz w:val="22"/>
          <w:szCs w:val="22"/>
        </w:rPr>
        <w:t xml:space="preserve"> nákladov na prevá</w:t>
      </w:r>
      <w:r>
        <w:rPr>
          <w:rFonts w:ascii="Arial Narrow" w:hAnsi="Arial Narrow"/>
          <w:i/>
          <w:iCs/>
          <w:color w:val="auto"/>
          <w:sz w:val="22"/>
          <w:szCs w:val="22"/>
        </w:rPr>
        <w:t>dzku železničnej infraštruktúry a dofinacovania údržby a opráv ciest I. triedy, kde je potrebné</w:t>
      </w:r>
      <w:r w:rsidRPr="00AB618A">
        <w:rPr>
          <w:rFonts w:ascii="Arial Narrow" w:hAnsi="Arial Narrow"/>
          <w:i/>
          <w:iCs/>
          <w:color w:val="auto"/>
          <w:sz w:val="22"/>
          <w:szCs w:val="22"/>
        </w:rPr>
        <w:t xml:space="preserve"> v rámci už alokovaných zdrojov hľadať ďalšie spôsoby ich navýšenia</w:t>
      </w:r>
      <w:r>
        <w:rPr>
          <w:rFonts w:ascii="Arial Narrow" w:hAnsi="Arial Narrow"/>
          <w:i/>
          <w:iCs/>
          <w:color w:val="auto"/>
          <w:sz w:val="22"/>
          <w:szCs w:val="22"/>
        </w:rPr>
        <w:t xml:space="preserve">. Z hlavných investičných aktivít v doprave pokračuje </w:t>
      </w:r>
      <w:r w:rsidRPr="00B63E29">
        <w:rPr>
          <w:rFonts w:ascii="Arial Narrow" w:hAnsi="Arial Narrow"/>
          <w:i/>
          <w:iCs/>
          <w:color w:val="auto"/>
          <w:sz w:val="22"/>
          <w:szCs w:val="22"/>
        </w:rPr>
        <w:t>výstavba chýbajúcich úsekov diaľnic a rýchlostných ciest</w:t>
      </w:r>
      <w:r>
        <w:rPr>
          <w:rFonts w:ascii="Arial Narrow" w:hAnsi="Arial Narrow"/>
          <w:i/>
          <w:iCs/>
          <w:color w:val="auto"/>
          <w:sz w:val="22"/>
          <w:szCs w:val="22"/>
        </w:rPr>
        <w:t xml:space="preserve">, </w:t>
      </w:r>
      <w:r w:rsidRPr="00B63E29">
        <w:rPr>
          <w:rFonts w:ascii="Arial Narrow" w:hAnsi="Arial Narrow"/>
          <w:i/>
          <w:iCs/>
          <w:color w:val="auto"/>
          <w:sz w:val="22"/>
          <w:szCs w:val="22"/>
        </w:rPr>
        <w:t>výstavba, obnova a údržba ciest I. triedy.</w:t>
      </w:r>
      <w:r>
        <w:rPr>
          <w:rFonts w:ascii="Arial Narrow" w:hAnsi="Arial Narrow"/>
          <w:i/>
          <w:iCs/>
          <w:color w:val="auto"/>
          <w:sz w:val="22"/>
          <w:szCs w:val="22"/>
        </w:rPr>
        <w:t xml:space="preserve"> Vo verejnej doprave je zámerom pokračovať</w:t>
      </w:r>
      <w:r w:rsidRPr="00B63E29">
        <w:rPr>
          <w:rFonts w:ascii="Arial Narrow" w:hAnsi="Arial Narrow"/>
          <w:i/>
          <w:iCs/>
          <w:color w:val="auto"/>
          <w:sz w:val="22"/>
          <w:szCs w:val="22"/>
        </w:rPr>
        <w:t xml:space="preserve"> </w:t>
      </w:r>
      <w:r>
        <w:rPr>
          <w:rFonts w:ascii="Arial Narrow" w:hAnsi="Arial Narrow"/>
          <w:i/>
          <w:iCs/>
          <w:color w:val="auto"/>
          <w:sz w:val="22"/>
          <w:szCs w:val="22"/>
        </w:rPr>
        <w:t xml:space="preserve">v </w:t>
      </w:r>
      <w:r w:rsidRPr="00B63E29">
        <w:rPr>
          <w:rFonts w:ascii="Arial Narrow" w:hAnsi="Arial Narrow"/>
          <w:i/>
          <w:iCs/>
          <w:color w:val="auto"/>
          <w:sz w:val="22"/>
          <w:szCs w:val="22"/>
        </w:rPr>
        <w:t>systematick</w:t>
      </w:r>
      <w:r>
        <w:rPr>
          <w:rFonts w:ascii="Arial Narrow" w:hAnsi="Arial Narrow"/>
          <w:i/>
          <w:iCs/>
          <w:color w:val="auto"/>
          <w:sz w:val="22"/>
          <w:szCs w:val="22"/>
        </w:rPr>
        <w:t>om</w:t>
      </w:r>
      <w:r w:rsidRPr="00B63E29">
        <w:rPr>
          <w:rFonts w:ascii="Arial Narrow" w:hAnsi="Arial Narrow"/>
          <w:i/>
          <w:iCs/>
          <w:color w:val="auto"/>
          <w:sz w:val="22"/>
          <w:szCs w:val="22"/>
        </w:rPr>
        <w:t xml:space="preserve"> zvyšovan</w:t>
      </w:r>
      <w:r>
        <w:rPr>
          <w:rFonts w:ascii="Arial Narrow" w:hAnsi="Arial Narrow"/>
          <w:i/>
          <w:iCs/>
          <w:color w:val="auto"/>
          <w:sz w:val="22"/>
          <w:szCs w:val="22"/>
        </w:rPr>
        <w:t>í</w:t>
      </w:r>
      <w:r w:rsidRPr="00B63E29">
        <w:rPr>
          <w:rFonts w:ascii="Arial Narrow" w:hAnsi="Arial Narrow"/>
          <w:i/>
          <w:iCs/>
          <w:color w:val="auto"/>
          <w:sz w:val="22"/>
          <w:szCs w:val="22"/>
        </w:rPr>
        <w:t xml:space="preserve"> významu železničnej prepravy ako aj </w:t>
      </w:r>
      <w:r>
        <w:rPr>
          <w:rFonts w:ascii="Arial Narrow" w:hAnsi="Arial Narrow"/>
          <w:i/>
          <w:iCs/>
          <w:color w:val="auto"/>
          <w:sz w:val="22"/>
          <w:szCs w:val="22"/>
        </w:rPr>
        <w:t xml:space="preserve">v </w:t>
      </w:r>
      <w:r w:rsidRPr="00B63E29">
        <w:rPr>
          <w:rFonts w:ascii="Arial Narrow" w:hAnsi="Arial Narrow"/>
          <w:i/>
          <w:iCs/>
          <w:color w:val="auto"/>
          <w:sz w:val="22"/>
          <w:szCs w:val="22"/>
        </w:rPr>
        <w:t>zefektív</w:t>
      </w:r>
      <w:r>
        <w:rPr>
          <w:rFonts w:ascii="Arial Narrow" w:hAnsi="Arial Narrow"/>
          <w:i/>
          <w:iCs/>
          <w:color w:val="auto"/>
          <w:sz w:val="22"/>
          <w:szCs w:val="22"/>
        </w:rPr>
        <w:t>ňovaní</w:t>
      </w:r>
      <w:r w:rsidRPr="00B63E29">
        <w:rPr>
          <w:rFonts w:ascii="Arial Narrow" w:hAnsi="Arial Narrow"/>
          <w:i/>
          <w:iCs/>
          <w:color w:val="auto"/>
          <w:sz w:val="22"/>
          <w:szCs w:val="22"/>
        </w:rPr>
        <w:t xml:space="preserve"> verejnej osobnej dopravy.</w:t>
      </w:r>
    </w:p>
    <w:p w14:paraId="1D61146E" w14:textId="77777777" w:rsidR="00BE56D5" w:rsidRDefault="00BE56D5" w:rsidP="00FB625E">
      <w:pPr>
        <w:pStyle w:val="Default"/>
        <w:jc w:val="both"/>
        <w:rPr>
          <w:rFonts w:ascii="Arial Narrow" w:hAnsi="Arial Narrow"/>
          <w:i/>
          <w:iCs/>
          <w:color w:val="auto"/>
          <w:sz w:val="22"/>
          <w:szCs w:val="22"/>
        </w:rPr>
      </w:pPr>
    </w:p>
    <w:p w14:paraId="30597529" w14:textId="7166D014" w:rsidR="00BE56D5" w:rsidRPr="00BE56D5" w:rsidRDefault="00BE56D5" w:rsidP="00FB625E">
      <w:pPr>
        <w:pStyle w:val="Default"/>
        <w:jc w:val="both"/>
        <w:rPr>
          <w:rFonts w:ascii="Arial Narrow" w:hAnsi="Arial Narrow"/>
          <w:color w:val="auto"/>
          <w:sz w:val="20"/>
          <w:szCs w:val="22"/>
        </w:rPr>
      </w:pPr>
      <w:r w:rsidRPr="00BE56D5">
        <w:rPr>
          <w:rFonts w:ascii="Arial Narrow" w:hAnsi="Arial Narrow"/>
          <w:sz w:val="22"/>
        </w:rPr>
        <w:t xml:space="preserve">V roku 2016 prebehla v rámci projektu </w:t>
      </w:r>
      <w:r w:rsidRPr="00F60846">
        <w:rPr>
          <w:rFonts w:ascii="Arial Narrow" w:hAnsi="Arial Narrow"/>
          <w:i/>
          <w:sz w:val="22"/>
        </w:rPr>
        <w:t>Hodnota za peniaze</w:t>
      </w:r>
      <w:r w:rsidRPr="00BE56D5">
        <w:rPr>
          <w:rFonts w:ascii="Arial Narrow" w:hAnsi="Arial Narrow"/>
          <w:sz w:val="22"/>
        </w:rPr>
        <w:t xml:space="preserve"> </w:t>
      </w:r>
      <w:r w:rsidRPr="00F60846">
        <w:rPr>
          <w:rFonts w:ascii="Arial Narrow" w:hAnsi="Arial Narrow"/>
          <w:b/>
          <w:sz w:val="22"/>
        </w:rPr>
        <w:t>revízia výdavkov na dopravu</w:t>
      </w:r>
      <w:r w:rsidR="00F60846">
        <w:rPr>
          <w:rFonts w:ascii="Arial Narrow" w:hAnsi="Arial Narrow"/>
          <w:sz w:val="22"/>
        </w:rPr>
        <w:t xml:space="preserve"> v </w:t>
      </w:r>
      <w:r w:rsidRPr="00BE56D5">
        <w:rPr>
          <w:rFonts w:ascii="Arial Narrow" w:hAnsi="Arial Narrow"/>
          <w:sz w:val="22"/>
        </w:rPr>
        <w:t>kapitole MDV SR, ktorá si dala za cieľ pripraviť opatrenia na zefektívnenie súčasnej investičnej obálky pri zachovaní jej veľkosti a zefektívnenie jednotkových prevádzkových nákladov. Revízia identifikovala opatrenia s významným priestorom pre zvýšenie efektívnosti výdavkov a lepšie meranie výsledkov v</w:t>
      </w:r>
      <w:r>
        <w:rPr>
          <w:rFonts w:ascii="Arial Narrow" w:hAnsi="Arial Narrow"/>
          <w:sz w:val="22"/>
        </w:rPr>
        <w:t> </w:t>
      </w:r>
      <w:r w:rsidRPr="00BE56D5">
        <w:rPr>
          <w:rFonts w:ascii="Arial Narrow" w:hAnsi="Arial Narrow"/>
          <w:sz w:val="22"/>
        </w:rPr>
        <w:t>doprave</w:t>
      </w:r>
      <w:r w:rsidR="00D67447">
        <w:rPr>
          <w:rFonts w:ascii="Arial Narrow" w:hAnsi="Arial Narrow"/>
          <w:sz w:val="22"/>
        </w:rPr>
        <w:t>,</w:t>
      </w:r>
      <w:r w:rsidR="00D67447" w:rsidRPr="00D67447">
        <w:t xml:space="preserve"> </w:t>
      </w:r>
      <w:r w:rsidR="00D67447" w:rsidRPr="00D67447">
        <w:rPr>
          <w:rFonts w:ascii="Arial Narrow" w:hAnsi="Arial Narrow"/>
          <w:sz w:val="22"/>
        </w:rPr>
        <w:t>no tie neboli súčasťou rozpočtu verejnej</w:t>
      </w:r>
      <w:r w:rsidR="00D67447">
        <w:rPr>
          <w:rFonts w:ascii="Arial Narrow" w:hAnsi="Arial Narrow"/>
          <w:sz w:val="22"/>
        </w:rPr>
        <w:t xml:space="preserve"> správy na roky 2017 až 2019</w:t>
      </w:r>
      <w:r>
        <w:rPr>
          <w:rFonts w:ascii="Arial Narrow" w:hAnsi="Arial Narrow"/>
          <w:sz w:val="22"/>
        </w:rPr>
        <w:t>.</w:t>
      </w:r>
    </w:p>
    <w:p w14:paraId="45BF277B" w14:textId="77777777" w:rsidR="00BE56D5" w:rsidRDefault="00BE56D5" w:rsidP="00BE56D5">
      <w:pPr>
        <w:spacing w:after="0" w:line="240" w:lineRule="auto"/>
        <w:jc w:val="both"/>
        <w:rPr>
          <w:rFonts w:ascii="Arial Narrow" w:hAnsi="Arial Narrow"/>
        </w:rPr>
      </w:pPr>
    </w:p>
    <w:p w14:paraId="45E17751" w14:textId="524FAB22" w:rsidR="007241CD" w:rsidRPr="0003220D" w:rsidRDefault="009135D4" w:rsidP="00FB625E">
      <w:pPr>
        <w:spacing w:after="120" w:line="240" w:lineRule="auto"/>
        <w:jc w:val="both"/>
        <w:rPr>
          <w:rFonts w:ascii="Arial Narrow" w:hAnsi="Arial Narrow"/>
          <w:sz w:val="10"/>
        </w:rPr>
      </w:pPr>
      <w:r>
        <w:rPr>
          <w:rFonts w:ascii="Arial Narrow" w:hAnsi="Arial Narrow"/>
          <w:b/>
        </w:rPr>
        <w:t>V</w:t>
      </w:r>
      <w:r w:rsidRPr="006C5792">
        <w:rPr>
          <w:rFonts w:ascii="Arial Narrow" w:hAnsi="Arial Narrow"/>
          <w:b/>
        </w:rPr>
        <w:t>ýdavky</w:t>
      </w:r>
      <w:r>
        <w:rPr>
          <w:rFonts w:ascii="Arial Narrow" w:hAnsi="Arial Narrow"/>
          <w:b/>
        </w:rPr>
        <w:t xml:space="preserve"> MDV SR a ním zriadených organizácií na dopravu dosiahnu</w:t>
      </w:r>
      <w:r w:rsidRPr="006C5792">
        <w:rPr>
          <w:rFonts w:ascii="Arial Narrow" w:hAnsi="Arial Narrow"/>
          <w:b/>
        </w:rPr>
        <w:t xml:space="preserve"> </w:t>
      </w:r>
      <w:r w:rsidRPr="00464DA9">
        <w:rPr>
          <w:rFonts w:ascii="Arial Narrow" w:hAnsi="Arial Narrow"/>
          <w:b/>
        </w:rPr>
        <w:t>2,2 mld. eur</w:t>
      </w:r>
      <w:r w:rsidR="001F7D78" w:rsidRPr="001F7D78">
        <w:rPr>
          <w:rFonts w:ascii="Arial Narrow" w:hAnsi="Arial Narrow"/>
          <w:b/>
        </w:rPr>
        <w:t xml:space="preserve"> </w:t>
      </w:r>
      <w:r w:rsidR="001F7D78" w:rsidRPr="00464DA9">
        <w:rPr>
          <w:rFonts w:ascii="Arial Narrow" w:hAnsi="Arial Narrow"/>
          <w:b/>
        </w:rPr>
        <w:t>v roku 2017</w:t>
      </w:r>
      <w:r w:rsidRPr="00464DA9">
        <w:rPr>
          <w:rFonts w:ascii="Arial Narrow" w:hAnsi="Arial Narrow"/>
          <w:b/>
        </w:rPr>
        <w:t>.</w:t>
      </w:r>
      <w:r w:rsidR="000E68CE">
        <w:rPr>
          <w:rFonts w:ascii="Arial Narrow" w:hAnsi="Arial Narrow"/>
          <w:b/>
        </w:rPr>
        <w:t xml:space="preserve"> </w:t>
      </w:r>
      <w:r w:rsidR="00CF44B0">
        <w:rPr>
          <w:rFonts w:ascii="Arial Narrow" w:hAnsi="Arial Narrow"/>
          <w:noProof/>
        </w:rPr>
        <w:t>P</w:t>
      </w:r>
      <w:r w:rsidR="00CF44B0" w:rsidRPr="006C5792">
        <w:rPr>
          <w:rFonts w:ascii="Arial Narrow" w:hAnsi="Arial Narrow"/>
          <w:noProof/>
        </w:rPr>
        <w:t>o</w:t>
      </w:r>
      <w:r w:rsidR="00CF44B0">
        <w:rPr>
          <w:rFonts w:ascii="Arial Narrow" w:hAnsi="Arial Narrow"/>
          <w:noProof/>
        </w:rPr>
        <w:t xml:space="preserve"> roku 2015</w:t>
      </w:r>
      <w:r w:rsidR="00CF44B0" w:rsidRPr="006C5792">
        <w:rPr>
          <w:rFonts w:ascii="Arial Narrow" w:hAnsi="Arial Narrow"/>
          <w:noProof/>
        </w:rPr>
        <w:t xml:space="preserve">, </w:t>
      </w:r>
      <w:r w:rsidR="00CF44B0">
        <w:rPr>
          <w:rFonts w:ascii="Arial Narrow" w:hAnsi="Arial Narrow"/>
          <w:noProof/>
        </w:rPr>
        <w:t xml:space="preserve">keď investície </w:t>
      </w:r>
      <w:r w:rsidR="00CF44B0" w:rsidRPr="006C5792">
        <w:rPr>
          <w:rFonts w:ascii="Arial Narrow" w:hAnsi="Arial Narrow"/>
          <w:noProof/>
        </w:rPr>
        <w:t xml:space="preserve">výrazne vzrástli hlavne z dôvodu ukončovania </w:t>
      </w:r>
      <w:r w:rsidR="00CF44B0">
        <w:rPr>
          <w:rFonts w:ascii="Arial Narrow" w:hAnsi="Arial Narrow"/>
          <w:noProof/>
        </w:rPr>
        <w:t xml:space="preserve">2. </w:t>
      </w:r>
      <w:r w:rsidR="00CF44B0" w:rsidRPr="006C5792">
        <w:rPr>
          <w:rFonts w:ascii="Arial Narrow" w:hAnsi="Arial Narrow"/>
          <w:noProof/>
        </w:rPr>
        <w:t xml:space="preserve">programového obdobia </w:t>
      </w:r>
      <w:r w:rsidR="00CF44B0">
        <w:rPr>
          <w:rFonts w:ascii="Arial Narrow" w:hAnsi="Arial Narrow"/>
          <w:noProof/>
        </w:rPr>
        <w:t>fondov</w:t>
      </w:r>
      <w:r w:rsidR="00D67447">
        <w:rPr>
          <w:rFonts w:ascii="Arial Narrow" w:hAnsi="Arial Narrow"/>
          <w:noProof/>
        </w:rPr>
        <w:t xml:space="preserve"> EÚ</w:t>
      </w:r>
      <w:r w:rsidR="00CF44B0">
        <w:rPr>
          <w:rFonts w:ascii="Arial Narrow" w:hAnsi="Arial Narrow"/>
          <w:noProof/>
        </w:rPr>
        <w:t xml:space="preserve">, v roku 2016 </w:t>
      </w:r>
      <w:r w:rsidR="0052036B">
        <w:rPr>
          <w:rFonts w:ascii="Arial Narrow" w:hAnsi="Arial Narrow"/>
          <w:noProof/>
        </w:rPr>
        <w:t xml:space="preserve">výdavky </w:t>
      </w:r>
      <w:r w:rsidRPr="006C5792">
        <w:rPr>
          <w:rFonts w:ascii="Arial Narrow" w:hAnsi="Arial Narrow"/>
          <w:noProof/>
        </w:rPr>
        <w:t>na</w:t>
      </w:r>
      <w:r>
        <w:rPr>
          <w:rFonts w:ascii="Arial Narrow" w:hAnsi="Arial Narrow"/>
          <w:noProof/>
        </w:rPr>
        <w:t xml:space="preserve"> výstav</w:t>
      </w:r>
      <w:r w:rsidR="0052036B">
        <w:rPr>
          <w:rFonts w:ascii="Arial Narrow" w:hAnsi="Arial Narrow"/>
          <w:noProof/>
        </w:rPr>
        <w:t>b</w:t>
      </w:r>
      <w:r>
        <w:rPr>
          <w:rFonts w:ascii="Arial Narrow" w:hAnsi="Arial Narrow"/>
          <w:noProof/>
        </w:rPr>
        <w:t>u diaľnic a rýchlostných ciest</w:t>
      </w:r>
      <w:r w:rsidR="00FB325E">
        <w:rPr>
          <w:rFonts w:ascii="Arial Narrow" w:hAnsi="Arial Narrow"/>
          <w:noProof/>
        </w:rPr>
        <w:t xml:space="preserve"> mierne </w:t>
      </w:r>
      <w:r w:rsidR="0052036B">
        <w:rPr>
          <w:rFonts w:ascii="Arial Narrow" w:hAnsi="Arial Narrow"/>
          <w:noProof/>
        </w:rPr>
        <w:t>klesli</w:t>
      </w:r>
      <w:r w:rsidR="00FB325E">
        <w:rPr>
          <w:rFonts w:ascii="Arial Narrow" w:hAnsi="Arial Narrow"/>
          <w:noProof/>
        </w:rPr>
        <w:t xml:space="preserve">, </w:t>
      </w:r>
      <w:r w:rsidR="00BB1774">
        <w:rPr>
          <w:rFonts w:ascii="Arial Narrow" w:hAnsi="Arial Narrow"/>
          <w:noProof/>
        </w:rPr>
        <w:t>pokles nastal aj vo výdavkoch ŽSR na infraštruktúrne projekty.</w:t>
      </w: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58"/>
        <w:gridCol w:w="146"/>
        <w:gridCol w:w="4160"/>
      </w:tblGrid>
      <w:tr w:rsidR="00EA5378" w:rsidRPr="006C5792" w14:paraId="504D48B7" w14:textId="77777777" w:rsidTr="000A1299">
        <w:trPr>
          <w:trHeight w:val="227"/>
        </w:trPr>
        <w:tc>
          <w:tcPr>
            <w:tcW w:w="2509" w:type="pct"/>
            <w:tcBorders>
              <w:top w:val="nil"/>
              <w:left w:val="nil"/>
              <w:bottom w:val="single" w:sz="4" w:space="0" w:color="auto"/>
              <w:right w:val="nil"/>
            </w:tcBorders>
            <w:vAlign w:val="center"/>
            <w:hideMark/>
          </w:tcPr>
          <w:p w14:paraId="34C9BDCA" w14:textId="46D3E947" w:rsidR="009135D4" w:rsidRPr="006C5792" w:rsidRDefault="009135D4" w:rsidP="00FB625E">
            <w:pPr>
              <w:pStyle w:val="Graf"/>
              <w:spacing w:after="0" w:line="240" w:lineRule="auto"/>
              <w:jc w:val="both"/>
              <w:rPr>
                <w:rFonts w:eastAsiaTheme="minorHAnsi" w:cstheme="minorBidi"/>
                <w:sz w:val="18"/>
              </w:rPr>
            </w:pPr>
            <w:bookmarkStart w:id="53" w:name="_Toc463365316"/>
            <w:bookmarkStart w:id="54" w:name="_Toc463861297"/>
            <w:bookmarkStart w:id="55" w:name="_Toc463997389"/>
            <w:bookmarkStart w:id="56" w:name="_Toc478656322"/>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19</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sidRPr="006C5792">
              <w:t xml:space="preserve"> </w:t>
            </w:r>
            <w:r>
              <w:rPr>
                <w:rFonts w:eastAsia="Times New Roman" w:cs="Times New Roman"/>
                <w:color w:val="2C9ADC"/>
                <w:szCs w:val="18"/>
                <w:lang w:eastAsia="sk-SK"/>
              </w:rPr>
              <w:t>Výdavky</w:t>
            </w:r>
            <w:r w:rsidRPr="00686F3A">
              <w:rPr>
                <w:rFonts w:eastAsia="Times New Roman" w:cs="Times New Roman"/>
                <w:color w:val="2C9ADC"/>
                <w:szCs w:val="18"/>
                <w:lang w:eastAsia="sk-SK"/>
              </w:rPr>
              <w:t xml:space="preserve"> kapitoly MDV SR a ním zriadených organizácií na dopravu (v mil. eur</w:t>
            </w:r>
            <w:bookmarkEnd w:id="53"/>
            <w:bookmarkEnd w:id="54"/>
            <w:bookmarkEnd w:id="55"/>
            <w:r w:rsidRPr="00686F3A">
              <w:rPr>
                <w:rFonts w:eastAsia="Times New Roman" w:cs="Times New Roman"/>
                <w:color w:val="2C9ADC"/>
                <w:szCs w:val="18"/>
                <w:lang w:eastAsia="sk-SK"/>
              </w:rPr>
              <w:t>)</w:t>
            </w:r>
            <w:r w:rsidRPr="00310353">
              <w:rPr>
                <w:rFonts w:eastAsia="Times New Roman" w:cs="Times New Roman"/>
                <w:color w:val="2C9ADC"/>
                <w:szCs w:val="18"/>
                <w:vertAlign w:val="superscript"/>
                <w:lang w:eastAsia="sk-SK"/>
              </w:rPr>
              <w:footnoteReference w:id="41"/>
            </w:r>
            <w:bookmarkEnd w:id="56"/>
          </w:p>
        </w:tc>
        <w:tc>
          <w:tcPr>
            <w:tcW w:w="85" w:type="pct"/>
            <w:tcBorders>
              <w:top w:val="nil"/>
              <w:left w:val="nil"/>
              <w:bottom w:val="nil"/>
              <w:right w:val="nil"/>
            </w:tcBorders>
            <w:vAlign w:val="center"/>
          </w:tcPr>
          <w:p w14:paraId="3A82B916" w14:textId="77777777" w:rsidR="009135D4" w:rsidRPr="006C5792" w:rsidRDefault="009135D4" w:rsidP="00FB625E">
            <w:pPr>
              <w:spacing w:before="60" w:after="0" w:line="240" w:lineRule="auto"/>
              <w:rPr>
                <w:rFonts w:ascii="Arial Narrow" w:hAnsi="Arial Narrow" w:cs="Arial"/>
                <w:b/>
                <w:color w:val="2C9ADC"/>
                <w:sz w:val="20"/>
                <w:szCs w:val="18"/>
              </w:rPr>
            </w:pPr>
          </w:p>
        </w:tc>
        <w:tc>
          <w:tcPr>
            <w:tcW w:w="2405" w:type="pct"/>
            <w:tcBorders>
              <w:top w:val="nil"/>
              <w:left w:val="nil"/>
              <w:bottom w:val="single" w:sz="4" w:space="0" w:color="auto"/>
              <w:right w:val="nil"/>
            </w:tcBorders>
            <w:vAlign w:val="center"/>
            <w:hideMark/>
          </w:tcPr>
          <w:p w14:paraId="44035E81" w14:textId="61D2A68B" w:rsidR="009135D4" w:rsidRPr="00310353" w:rsidRDefault="009135D4" w:rsidP="0049510E">
            <w:pPr>
              <w:pStyle w:val="Graf"/>
              <w:spacing w:after="0" w:line="240" w:lineRule="auto"/>
              <w:rPr>
                <w:rFonts w:cstheme="minorBidi"/>
                <w:sz w:val="18"/>
                <w:szCs w:val="18"/>
                <w:vertAlign w:val="superscript"/>
              </w:rPr>
            </w:pPr>
            <w:bookmarkStart w:id="57" w:name="_Toc478656323"/>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20</w:t>
            </w:r>
            <w:r w:rsidRPr="00310353">
              <w:rPr>
                <w:rFonts w:cs="Arial"/>
                <w:color w:val="2C9ADC"/>
                <w:szCs w:val="18"/>
              </w:rPr>
              <w:fldChar w:fldCharType="end"/>
            </w:r>
            <w:r w:rsidRPr="00310353">
              <w:rPr>
                <w:rFonts w:cs="Arial"/>
                <w:color w:val="2C9ADC"/>
                <w:szCs w:val="18"/>
              </w:rPr>
              <w:t xml:space="preserve">: </w:t>
            </w:r>
            <w:r w:rsidR="000A1299">
              <w:rPr>
                <w:rFonts w:cs="Arial"/>
                <w:color w:val="2C9ADC"/>
                <w:szCs w:val="18"/>
              </w:rPr>
              <w:t>Kapitálové výdavky</w:t>
            </w:r>
            <w:r w:rsidRPr="00310353">
              <w:rPr>
                <w:rFonts w:cs="Arial"/>
                <w:color w:val="2C9ADC"/>
                <w:szCs w:val="18"/>
              </w:rPr>
              <w:t xml:space="preserve"> NDS a ŽSR + platba za dostupnosť v PPP projektoch (</w:t>
            </w:r>
            <w:r w:rsidR="00CF44B0">
              <w:rPr>
                <w:rFonts w:cs="Arial"/>
                <w:color w:val="2C9ADC"/>
                <w:szCs w:val="18"/>
              </w:rPr>
              <w:t xml:space="preserve">v </w:t>
            </w:r>
            <w:r w:rsidRPr="00310353">
              <w:rPr>
                <w:rFonts w:cs="Arial"/>
                <w:color w:val="2C9ADC"/>
                <w:szCs w:val="18"/>
              </w:rPr>
              <w:t>mil. eur)</w:t>
            </w:r>
            <w:bookmarkEnd w:id="57"/>
          </w:p>
        </w:tc>
      </w:tr>
      <w:tr w:rsidR="00F27F21" w:rsidRPr="006C5792" w14:paraId="7884469C" w14:textId="77777777" w:rsidTr="002301E5">
        <w:trPr>
          <w:trHeight w:val="3042"/>
        </w:trPr>
        <w:tc>
          <w:tcPr>
            <w:tcW w:w="2509" w:type="pct"/>
            <w:tcBorders>
              <w:top w:val="single" w:sz="4" w:space="0" w:color="auto"/>
              <w:left w:val="nil"/>
              <w:bottom w:val="single" w:sz="4" w:space="0" w:color="auto"/>
              <w:right w:val="nil"/>
            </w:tcBorders>
          </w:tcPr>
          <w:p w14:paraId="3FEB63C1" w14:textId="7A318F8A" w:rsidR="009135D4" w:rsidRPr="006C5792" w:rsidRDefault="000A1299" w:rsidP="00FB625E">
            <w:pPr>
              <w:spacing w:before="40" w:after="0" w:line="240" w:lineRule="auto"/>
              <w:jc w:val="center"/>
              <w:rPr>
                <w:rFonts w:ascii="Arial Narrow" w:hAnsi="Arial Narrow" w:cs="Arial"/>
                <w:b/>
                <w:sz w:val="20"/>
                <w:szCs w:val="20"/>
              </w:rPr>
            </w:pPr>
            <w:r>
              <w:rPr>
                <w:noProof/>
                <w:lang w:val="en-US" w:eastAsia="en-US"/>
              </w:rPr>
              <w:drawing>
                <wp:inline distT="0" distB="0" distL="0" distR="0" wp14:anchorId="6A8AB511" wp14:editId="08FF8CC7">
                  <wp:extent cx="2613660" cy="2432050"/>
                  <wp:effectExtent l="0" t="0" r="0" b="635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85" w:type="pct"/>
            <w:tcBorders>
              <w:top w:val="nil"/>
              <w:left w:val="nil"/>
              <w:bottom w:val="nil"/>
              <w:right w:val="nil"/>
            </w:tcBorders>
            <w:vAlign w:val="center"/>
          </w:tcPr>
          <w:p w14:paraId="445EC3B2" w14:textId="77777777" w:rsidR="009135D4" w:rsidRPr="006C5792" w:rsidRDefault="009135D4" w:rsidP="00FB625E">
            <w:pPr>
              <w:spacing w:before="40" w:after="0" w:line="240" w:lineRule="auto"/>
              <w:jc w:val="center"/>
              <w:rPr>
                <w:rFonts w:ascii="Arial Narrow" w:hAnsi="Arial Narrow" w:cs="Arial"/>
                <w:b/>
                <w:sz w:val="20"/>
                <w:szCs w:val="20"/>
              </w:rPr>
            </w:pPr>
          </w:p>
        </w:tc>
        <w:tc>
          <w:tcPr>
            <w:tcW w:w="2405" w:type="pct"/>
            <w:tcBorders>
              <w:top w:val="single" w:sz="4" w:space="0" w:color="auto"/>
              <w:left w:val="nil"/>
              <w:bottom w:val="single" w:sz="4" w:space="0" w:color="auto"/>
              <w:right w:val="nil"/>
            </w:tcBorders>
            <w:hideMark/>
          </w:tcPr>
          <w:p w14:paraId="028662AD" w14:textId="5BF3572D" w:rsidR="009135D4" w:rsidRPr="006C5792" w:rsidRDefault="002301E5" w:rsidP="00FB625E">
            <w:pPr>
              <w:spacing w:before="40" w:after="0" w:line="240" w:lineRule="auto"/>
              <w:jc w:val="center"/>
              <w:rPr>
                <w:rFonts w:ascii="Arial Narrow" w:hAnsi="Arial Narrow" w:cs="Arial"/>
                <w:b/>
                <w:sz w:val="20"/>
                <w:szCs w:val="20"/>
              </w:rPr>
            </w:pPr>
            <w:r>
              <w:rPr>
                <w:noProof/>
                <w:lang w:val="en-US" w:eastAsia="en-US"/>
              </w:rPr>
              <w:drawing>
                <wp:inline distT="0" distB="0" distL="0" distR="0" wp14:anchorId="69128C5F" wp14:editId="4EC86165">
                  <wp:extent cx="2544445" cy="2432649"/>
                  <wp:effectExtent l="0" t="0" r="8255" b="635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A5378" w:rsidRPr="006C5792" w14:paraId="5F60B04C" w14:textId="77777777" w:rsidTr="000A1299">
        <w:trPr>
          <w:trHeight w:val="88"/>
        </w:trPr>
        <w:tc>
          <w:tcPr>
            <w:tcW w:w="2509" w:type="pct"/>
            <w:tcBorders>
              <w:top w:val="single" w:sz="4" w:space="0" w:color="auto"/>
              <w:left w:val="nil"/>
              <w:bottom w:val="nil"/>
              <w:right w:val="nil"/>
            </w:tcBorders>
            <w:vAlign w:val="center"/>
            <w:hideMark/>
          </w:tcPr>
          <w:p w14:paraId="0595BE9F" w14:textId="68629697" w:rsidR="009135D4" w:rsidRPr="006C5792" w:rsidRDefault="009135D4" w:rsidP="00FB625E">
            <w:pPr>
              <w:spacing w:after="0" w:line="240" w:lineRule="auto"/>
              <w:rPr>
                <w:rFonts w:ascii="Arial Narrow" w:hAnsi="Arial Narrow" w:cs="Arial"/>
                <w:i/>
                <w:sz w:val="16"/>
                <w:szCs w:val="16"/>
              </w:rPr>
            </w:pPr>
            <w:r w:rsidRPr="001702CF">
              <w:rPr>
                <w:rFonts w:ascii="Arial Narrow" w:hAnsi="Arial Narrow" w:cs="Arial"/>
                <w:i/>
                <w:sz w:val="16"/>
                <w:szCs w:val="16"/>
              </w:rPr>
              <w:t>*Zdroje ŠR, EÚ a spolufinancovania, vlastné zdroje (bez výdavkov na splácanie istín úverov – kategória 820)</w:t>
            </w:r>
            <w:r w:rsidR="00F60846">
              <w:rPr>
                <w:rFonts w:ascii="Arial Narrow" w:hAnsi="Arial Narrow" w:cs="Arial"/>
                <w:i/>
                <w:sz w:val="16"/>
                <w:szCs w:val="16"/>
              </w:rPr>
              <w:t xml:space="preserve"> </w:t>
            </w:r>
            <w:r w:rsidR="00F60846" w:rsidRPr="006C5792">
              <w:rPr>
                <w:rFonts w:ascii="Arial Narrow" w:hAnsi="Arial Narrow" w:cs="Arial"/>
                <w:i/>
                <w:sz w:val="16"/>
                <w:szCs w:val="16"/>
              </w:rPr>
              <w:t xml:space="preserve"> </w:t>
            </w:r>
            <w:r w:rsidR="00F60846">
              <w:rPr>
                <w:rFonts w:ascii="Arial Narrow" w:hAnsi="Arial Narrow" w:cs="Arial"/>
                <w:i/>
                <w:sz w:val="16"/>
                <w:szCs w:val="16"/>
              </w:rPr>
              <w:t xml:space="preserve">             </w:t>
            </w:r>
            <w:r w:rsidR="00F60846" w:rsidRPr="006C5792">
              <w:rPr>
                <w:rFonts w:ascii="Arial Narrow" w:hAnsi="Arial Narrow" w:cs="Arial"/>
                <w:i/>
                <w:sz w:val="16"/>
                <w:szCs w:val="16"/>
              </w:rPr>
              <w:t xml:space="preserve">Zdroj: </w:t>
            </w:r>
            <w:r w:rsidR="00F60846">
              <w:rPr>
                <w:rFonts w:ascii="Arial Narrow" w:hAnsi="Arial Narrow" w:cs="Arial"/>
                <w:i/>
                <w:sz w:val="16"/>
                <w:szCs w:val="16"/>
              </w:rPr>
              <w:t>RVS, MDV SR</w:t>
            </w:r>
          </w:p>
        </w:tc>
        <w:tc>
          <w:tcPr>
            <w:tcW w:w="85" w:type="pct"/>
            <w:tcBorders>
              <w:top w:val="nil"/>
              <w:left w:val="nil"/>
              <w:bottom w:val="nil"/>
              <w:right w:val="nil"/>
            </w:tcBorders>
            <w:vAlign w:val="center"/>
          </w:tcPr>
          <w:p w14:paraId="5CBE8C30" w14:textId="77777777" w:rsidR="009135D4" w:rsidRPr="006C5792" w:rsidRDefault="009135D4" w:rsidP="00FB625E">
            <w:pPr>
              <w:spacing w:after="0" w:line="240" w:lineRule="auto"/>
              <w:jc w:val="center"/>
              <w:rPr>
                <w:rFonts w:ascii="Arial Narrow" w:hAnsi="Arial Narrow" w:cs="Arial"/>
                <w:i/>
                <w:sz w:val="16"/>
                <w:szCs w:val="16"/>
              </w:rPr>
            </w:pPr>
          </w:p>
        </w:tc>
        <w:tc>
          <w:tcPr>
            <w:tcW w:w="2405" w:type="pct"/>
            <w:tcBorders>
              <w:top w:val="single" w:sz="4" w:space="0" w:color="auto"/>
              <w:left w:val="nil"/>
              <w:bottom w:val="nil"/>
              <w:right w:val="nil"/>
            </w:tcBorders>
            <w:vAlign w:val="center"/>
            <w:hideMark/>
          </w:tcPr>
          <w:p w14:paraId="1514F0A5" w14:textId="086ABCEC" w:rsidR="009135D4" w:rsidRPr="006C5792" w:rsidRDefault="009135D4" w:rsidP="00FB625E">
            <w:pPr>
              <w:spacing w:after="0" w:line="240" w:lineRule="auto"/>
              <w:jc w:val="right"/>
              <w:rPr>
                <w:rFonts w:ascii="Arial Narrow" w:hAnsi="Arial Narrow" w:cs="Arial"/>
                <w:i/>
                <w:sz w:val="16"/>
                <w:szCs w:val="16"/>
              </w:rPr>
            </w:pPr>
            <w:r w:rsidRPr="006C5792">
              <w:rPr>
                <w:rFonts w:ascii="Arial Narrow" w:hAnsi="Arial Narrow" w:cs="Arial"/>
                <w:i/>
                <w:sz w:val="16"/>
                <w:szCs w:val="16"/>
              </w:rPr>
              <w:t xml:space="preserve">Zdroj: </w:t>
            </w:r>
            <w:r>
              <w:rPr>
                <w:rFonts w:ascii="Arial Narrow" w:hAnsi="Arial Narrow" w:cs="Arial"/>
                <w:i/>
                <w:sz w:val="16"/>
                <w:szCs w:val="16"/>
              </w:rPr>
              <w:t>RVS, MDV SR</w:t>
            </w:r>
          </w:p>
        </w:tc>
      </w:tr>
    </w:tbl>
    <w:p w14:paraId="3285F24B" w14:textId="77777777" w:rsidR="00BE56D5" w:rsidRDefault="00BE56D5" w:rsidP="00FB625E">
      <w:pPr>
        <w:spacing w:after="0" w:line="240" w:lineRule="auto"/>
        <w:jc w:val="both"/>
        <w:rPr>
          <w:rFonts w:ascii="Arial Narrow" w:hAnsi="Arial Narrow"/>
          <w:b/>
          <w:i/>
        </w:rPr>
      </w:pPr>
    </w:p>
    <w:p w14:paraId="4EBEE10A" w14:textId="77777777" w:rsidR="009135D4" w:rsidRDefault="009135D4" w:rsidP="00FB625E">
      <w:pPr>
        <w:spacing w:after="0" w:line="240" w:lineRule="auto"/>
        <w:jc w:val="both"/>
        <w:rPr>
          <w:rFonts w:ascii="Arial Narrow" w:hAnsi="Arial Narrow"/>
        </w:rPr>
      </w:pPr>
      <w:r>
        <w:rPr>
          <w:rFonts w:ascii="Arial Narrow" w:hAnsi="Arial Narrow"/>
          <w:b/>
          <w:i/>
        </w:rPr>
        <w:t>Opatrenia v oblasti investícií vyplývajúce z revízie výdavkov</w:t>
      </w:r>
      <w:r w:rsidRPr="00EB68CB">
        <w:rPr>
          <w:rFonts w:ascii="Arial Narrow" w:hAnsi="Arial Narrow"/>
        </w:rPr>
        <w:t xml:space="preserve"> </w:t>
      </w:r>
    </w:p>
    <w:p w14:paraId="0BCC217D" w14:textId="689C392A" w:rsidR="009135D4" w:rsidRDefault="009135D4" w:rsidP="008423BB">
      <w:pPr>
        <w:spacing w:after="0" w:line="240" w:lineRule="auto"/>
        <w:jc w:val="both"/>
        <w:rPr>
          <w:rFonts w:ascii="Arial Narrow" w:hAnsi="Arial Narrow"/>
        </w:rPr>
      </w:pPr>
      <w:r w:rsidRPr="00EB68CB">
        <w:rPr>
          <w:rFonts w:ascii="Arial Narrow" w:hAnsi="Arial Narrow"/>
        </w:rPr>
        <w:t>Na základe záverov revízie</w:t>
      </w:r>
      <w:r>
        <w:rPr>
          <w:rFonts w:ascii="Arial Narrow" w:hAnsi="Arial Narrow"/>
        </w:rPr>
        <w:t xml:space="preserve"> výdavkov kapitoly MDV SR</w:t>
      </w:r>
      <w:r w:rsidRPr="00EB68CB">
        <w:rPr>
          <w:rFonts w:ascii="Arial Narrow" w:hAnsi="Arial Narrow"/>
        </w:rPr>
        <w:t xml:space="preserve"> počas roka 2017 vykoná </w:t>
      </w:r>
      <w:r>
        <w:rPr>
          <w:rFonts w:ascii="Arial Narrow" w:hAnsi="Arial Narrow"/>
        </w:rPr>
        <w:t xml:space="preserve">MF SR </w:t>
      </w:r>
      <w:r w:rsidRPr="000E68CE">
        <w:rPr>
          <w:rFonts w:ascii="Arial Narrow" w:hAnsi="Arial Narrow"/>
        </w:rPr>
        <w:t>ekonomické zhodnotenie pripravovaných investičných projektov v dopravnom sektore</w:t>
      </w:r>
      <w:r w:rsidRPr="00EB68CB">
        <w:rPr>
          <w:rFonts w:ascii="Arial Narrow" w:hAnsi="Arial Narrow"/>
        </w:rPr>
        <w:t xml:space="preserve"> s celkovými odhadovanými nákladmi </w:t>
      </w:r>
      <w:r w:rsidR="007C516D">
        <w:rPr>
          <w:rFonts w:ascii="Arial Narrow" w:hAnsi="Arial Narrow"/>
        </w:rPr>
        <w:t>7</w:t>
      </w:r>
      <w:r w:rsidRPr="00EB68CB">
        <w:rPr>
          <w:rFonts w:ascii="Arial Narrow" w:hAnsi="Arial Narrow"/>
        </w:rPr>
        <w:t xml:space="preserve">,5 mld. eur, z toho </w:t>
      </w:r>
      <w:r w:rsidR="007C516D">
        <w:rPr>
          <w:rFonts w:ascii="Arial Narrow" w:hAnsi="Arial Narrow"/>
        </w:rPr>
        <w:t>5</w:t>
      </w:r>
      <w:r w:rsidRPr="00EB68CB">
        <w:rPr>
          <w:rFonts w:ascii="Arial Narrow" w:hAnsi="Arial Narrow"/>
        </w:rPr>
        <w:t>,</w:t>
      </w:r>
      <w:r w:rsidR="007C516D">
        <w:rPr>
          <w:rFonts w:ascii="Arial Narrow" w:hAnsi="Arial Narrow"/>
        </w:rPr>
        <w:t>4</w:t>
      </w:r>
      <w:r w:rsidRPr="00EB68CB">
        <w:rPr>
          <w:rFonts w:ascii="Arial Narrow" w:hAnsi="Arial Narrow"/>
        </w:rPr>
        <w:t xml:space="preserve"> mld. eur tvoria projekty výstavby diaľnic a rýchlostných ciest</w:t>
      </w:r>
      <w:r w:rsidR="007C516D">
        <w:rPr>
          <w:rFonts w:ascii="Arial Narrow" w:hAnsi="Arial Narrow"/>
        </w:rPr>
        <w:t>, 1,1</w:t>
      </w:r>
      <w:r w:rsidR="007C516D" w:rsidRPr="007C516D">
        <w:rPr>
          <w:rFonts w:ascii="Arial Narrow" w:hAnsi="Arial Narrow"/>
        </w:rPr>
        <w:t xml:space="preserve"> mld.</w:t>
      </w:r>
      <w:r w:rsidR="007C516D">
        <w:rPr>
          <w:rFonts w:ascii="Arial Narrow" w:hAnsi="Arial Narrow"/>
        </w:rPr>
        <w:t xml:space="preserve"> eur</w:t>
      </w:r>
      <w:r w:rsidR="007C516D" w:rsidRPr="007C516D">
        <w:rPr>
          <w:rFonts w:ascii="Arial Narrow" w:hAnsi="Arial Narrow"/>
        </w:rPr>
        <w:t xml:space="preserve"> tvoria cesty I. triedy </w:t>
      </w:r>
      <w:r w:rsidR="007C516D">
        <w:rPr>
          <w:rFonts w:ascii="Arial Narrow" w:hAnsi="Arial Narrow"/>
        </w:rPr>
        <w:t xml:space="preserve">a približne </w:t>
      </w:r>
      <w:r w:rsidRPr="00EB68CB">
        <w:rPr>
          <w:rFonts w:ascii="Arial Narrow" w:hAnsi="Arial Narrow"/>
        </w:rPr>
        <w:t>1 mld. eur</w:t>
      </w:r>
      <w:r w:rsidR="008E3970">
        <w:rPr>
          <w:rFonts w:ascii="Arial Narrow" w:hAnsi="Arial Narrow"/>
        </w:rPr>
        <w:t xml:space="preserve"> prioritné</w:t>
      </w:r>
      <w:r w:rsidRPr="00EB68CB">
        <w:rPr>
          <w:rFonts w:ascii="Arial Narrow" w:hAnsi="Arial Narrow"/>
        </w:rPr>
        <w:t xml:space="preserve"> železničné investície. Cieľom hodnotenia je vytvoriť nový zoznam dopravných investičných priorít</w:t>
      </w:r>
      <w:r w:rsidR="00B908B0">
        <w:rPr>
          <w:rFonts w:ascii="Arial Narrow" w:hAnsi="Arial Narrow"/>
        </w:rPr>
        <w:t xml:space="preserve"> realizovateľných v rámci aktuálneho fiškálneho rámca</w:t>
      </w:r>
      <w:r w:rsidRPr="00EB68CB">
        <w:rPr>
          <w:rFonts w:ascii="Arial Narrow" w:hAnsi="Arial Narrow"/>
        </w:rPr>
        <w:t xml:space="preserve">. </w:t>
      </w:r>
      <w:r w:rsidR="007C516D" w:rsidRPr="007C516D">
        <w:rPr>
          <w:rFonts w:ascii="Arial Narrow" w:hAnsi="Arial Narrow"/>
        </w:rPr>
        <w:t>Všetky budúce investičné projekty, ktorých predpokladaný investičný náklad je vyšší ako 40 mil. eur, budú vo fáze prípravy štúdie realizovateľnost</w:t>
      </w:r>
      <w:r w:rsidR="00F60846">
        <w:rPr>
          <w:rFonts w:ascii="Arial Narrow" w:hAnsi="Arial Narrow"/>
        </w:rPr>
        <w:t xml:space="preserve">i (ak sa spracováva) podrobené </w:t>
      </w:r>
      <w:r w:rsidR="007C516D" w:rsidRPr="007C516D">
        <w:rPr>
          <w:rFonts w:ascii="Arial Narrow" w:hAnsi="Arial Narrow"/>
        </w:rPr>
        <w:t xml:space="preserve">analýze nákladov a prínosov aj zo strany MF SR. </w:t>
      </w:r>
    </w:p>
    <w:p w14:paraId="312D7E9F" w14:textId="7D8B52AD" w:rsidR="009135D4" w:rsidRPr="001E5334" w:rsidRDefault="009135D4" w:rsidP="008423BB">
      <w:pPr>
        <w:spacing w:after="0" w:line="240" w:lineRule="auto"/>
        <w:jc w:val="both"/>
        <w:rPr>
          <w:rFonts w:ascii="Arial Narrow" w:hAnsi="Arial Narrow"/>
        </w:rPr>
      </w:pPr>
      <w:r w:rsidRPr="001E5334">
        <w:rPr>
          <w:rFonts w:ascii="Arial Narrow" w:hAnsi="Arial Narrow"/>
        </w:rPr>
        <w:lastRenderedPageBreak/>
        <w:t xml:space="preserve">MDV SR </w:t>
      </w:r>
      <w:r w:rsidR="0029450F" w:rsidRPr="001E5334">
        <w:rPr>
          <w:rFonts w:ascii="Arial Narrow" w:hAnsi="Arial Narrow"/>
        </w:rPr>
        <w:t xml:space="preserve">tiež </w:t>
      </w:r>
      <w:r w:rsidRPr="001E5334">
        <w:rPr>
          <w:rFonts w:ascii="Arial Narrow" w:hAnsi="Arial Narrow"/>
          <w:b/>
        </w:rPr>
        <w:t>zlepš</w:t>
      </w:r>
      <w:r w:rsidR="0029450F" w:rsidRPr="001E5334">
        <w:rPr>
          <w:rFonts w:ascii="Arial Narrow" w:hAnsi="Arial Narrow"/>
          <w:b/>
        </w:rPr>
        <w:t>í</w:t>
      </w:r>
      <w:r w:rsidRPr="001E5334">
        <w:rPr>
          <w:rFonts w:ascii="Arial Narrow" w:hAnsi="Arial Narrow"/>
          <w:b/>
        </w:rPr>
        <w:t xml:space="preserve"> postupy pri plánovaní a príprave investičných projektov</w:t>
      </w:r>
      <w:r w:rsidRPr="001E5334">
        <w:rPr>
          <w:rFonts w:ascii="Arial Narrow" w:hAnsi="Arial Narrow"/>
        </w:rPr>
        <w:t>, napr. aktualiz</w:t>
      </w:r>
      <w:r w:rsidR="0029450F" w:rsidRPr="001E5334">
        <w:rPr>
          <w:rFonts w:ascii="Arial Narrow" w:hAnsi="Arial Narrow"/>
        </w:rPr>
        <w:t>uje</w:t>
      </w:r>
      <w:r w:rsidRPr="001E5334">
        <w:rPr>
          <w:rFonts w:ascii="Arial Narrow" w:hAnsi="Arial Narrow"/>
        </w:rPr>
        <w:t xml:space="preserve"> metodiku štúdií realizovateľnosti (CBA) a spôsob výberu odporúčaného riešenia, </w:t>
      </w:r>
      <w:r w:rsidR="00002547" w:rsidRPr="001E5334">
        <w:rPr>
          <w:rFonts w:ascii="Arial Narrow" w:hAnsi="Arial Narrow"/>
        </w:rPr>
        <w:t xml:space="preserve">vytvorí metodiku a minimálne štandardy dopravného modelovania, </w:t>
      </w:r>
      <w:r w:rsidRPr="001E5334">
        <w:rPr>
          <w:rFonts w:ascii="Arial Narrow" w:hAnsi="Arial Narrow"/>
        </w:rPr>
        <w:t>skvalitn</w:t>
      </w:r>
      <w:r w:rsidR="0029450F" w:rsidRPr="001E5334">
        <w:rPr>
          <w:rFonts w:ascii="Arial Narrow" w:hAnsi="Arial Narrow"/>
        </w:rPr>
        <w:t>í</w:t>
      </w:r>
      <w:r w:rsidRPr="001E5334">
        <w:rPr>
          <w:rFonts w:ascii="Arial Narrow" w:hAnsi="Arial Narrow"/>
        </w:rPr>
        <w:t xml:space="preserve"> interné expertné kapacity objednávateľov na MDV SR</w:t>
      </w:r>
      <w:r w:rsidR="0029450F" w:rsidRPr="001E5334">
        <w:rPr>
          <w:rFonts w:ascii="Arial Narrow" w:hAnsi="Arial Narrow"/>
        </w:rPr>
        <w:t xml:space="preserve">, bude </w:t>
      </w:r>
      <w:r w:rsidRPr="001E5334">
        <w:rPr>
          <w:rFonts w:ascii="Arial Narrow" w:hAnsi="Arial Narrow"/>
        </w:rPr>
        <w:t xml:space="preserve">poskytovať verejnosti relevantné podklady o pripravovaných investičných projektoch </w:t>
      </w:r>
      <w:r w:rsidR="001E7F07" w:rsidRPr="001E5334">
        <w:rPr>
          <w:rFonts w:ascii="Arial Narrow" w:hAnsi="Arial Narrow"/>
        </w:rPr>
        <w:t>(ako je to bežné v zahraničí)</w:t>
      </w:r>
      <w:r w:rsidRPr="001E5334">
        <w:rPr>
          <w:rFonts w:ascii="Arial Narrow" w:hAnsi="Arial Narrow"/>
        </w:rPr>
        <w:t xml:space="preserve">, </w:t>
      </w:r>
      <w:r w:rsidR="0029450F" w:rsidRPr="001E5334">
        <w:rPr>
          <w:rFonts w:ascii="Arial Narrow" w:hAnsi="Arial Narrow"/>
        </w:rPr>
        <w:t xml:space="preserve">či </w:t>
      </w:r>
      <w:r w:rsidRPr="001E5334">
        <w:rPr>
          <w:rFonts w:ascii="Arial Narrow" w:hAnsi="Arial Narrow"/>
        </w:rPr>
        <w:t>preskúm</w:t>
      </w:r>
      <w:r w:rsidR="0029450F" w:rsidRPr="001E5334">
        <w:rPr>
          <w:rFonts w:ascii="Arial Narrow" w:hAnsi="Arial Narrow"/>
        </w:rPr>
        <w:t>a</w:t>
      </w:r>
      <w:r w:rsidRPr="001E5334">
        <w:rPr>
          <w:rFonts w:ascii="Arial Narrow" w:hAnsi="Arial Narrow"/>
        </w:rPr>
        <w:t xml:space="preserve"> legislatívne možnosti na minimalizáciu so stavbou nesúvisiacich investícií.</w:t>
      </w:r>
    </w:p>
    <w:p w14:paraId="3B430B79" w14:textId="77777777" w:rsidR="008423BB" w:rsidRPr="001E5334" w:rsidRDefault="008423BB" w:rsidP="008423BB">
      <w:pPr>
        <w:spacing w:after="0" w:line="240" w:lineRule="auto"/>
        <w:jc w:val="both"/>
        <w:rPr>
          <w:rFonts w:ascii="Arial Narrow" w:hAnsi="Arial Narrow"/>
        </w:rPr>
      </w:pPr>
    </w:p>
    <w:p w14:paraId="395F54CE" w14:textId="1614CBFC" w:rsidR="009135D4" w:rsidRPr="001E5334" w:rsidRDefault="009135D4" w:rsidP="00FB625E">
      <w:pPr>
        <w:spacing w:after="0" w:line="240" w:lineRule="auto"/>
        <w:jc w:val="both"/>
        <w:rPr>
          <w:rFonts w:ascii="Arial Narrow" w:eastAsia="Calibri" w:hAnsi="Arial Narrow"/>
          <w:b/>
          <w:i/>
        </w:rPr>
      </w:pPr>
      <w:r w:rsidRPr="001E5334">
        <w:rPr>
          <w:rFonts w:ascii="Arial Narrow" w:hAnsi="Arial Narrow"/>
          <w:b/>
          <w:i/>
        </w:rPr>
        <w:t>Diaľnice a c</w:t>
      </w:r>
      <w:r w:rsidRPr="001E5334">
        <w:rPr>
          <w:rFonts w:ascii="Arial Narrow" w:eastAsia="Calibri" w:hAnsi="Arial Narrow"/>
          <w:b/>
          <w:i/>
        </w:rPr>
        <w:t>esty I. triedy</w:t>
      </w:r>
    </w:p>
    <w:p w14:paraId="6F1F7DCE" w14:textId="1B9AF2BF" w:rsidR="001E68CD" w:rsidRDefault="001E7F07" w:rsidP="008423BB">
      <w:pPr>
        <w:spacing w:after="0" w:line="240" w:lineRule="auto"/>
        <w:jc w:val="both"/>
        <w:rPr>
          <w:rFonts w:ascii="Arial Narrow" w:eastAsia="Calibri" w:hAnsi="Arial Narrow"/>
          <w:color w:val="000000" w:themeColor="text1"/>
        </w:rPr>
      </w:pPr>
      <w:r w:rsidRPr="001E5334">
        <w:rPr>
          <w:rFonts w:ascii="Arial Narrow" w:eastAsia="Calibri" w:hAnsi="Arial Narrow"/>
          <w:color w:val="000000" w:themeColor="text1"/>
        </w:rPr>
        <w:t xml:space="preserve">V roku 2015 boli celkové kapitálové výdavky Slovenska na výstavbu diaľnic a rýchlostných ciest aj v dôsledku končiaceho sa </w:t>
      </w:r>
      <w:r w:rsidR="00F60846">
        <w:rPr>
          <w:rFonts w:ascii="Arial Narrow" w:eastAsia="Calibri" w:hAnsi="Arial Narrow"/>
          <w:color w:val="000000" w:themeColor="text1"/>
        </w:rPr>
        <w:t xml:space="preserve">druhého </w:t>
      </w:r>
      <w:r w:rsidRPr="001E5334">
        <w:rPr>
          <w:rFonts w:ascii="Arial Narrow" w:eastAsia="Calibri" w:hAnsi="Arial Narrow"/>
          <w:color w:val="000000" w:themeColor="text1"/>
        </w:rPr>
        <w:t>programového obdobia EÚ fondov historicky naj</w:t>
      </w:r>
      <w:r w:rsidR="00F60846">
        <w:rPr>
          <w:rFonts w:ascii="Arial Narrow" w:eastAsia="Calibri" w:hAnsi="Arial Narrow"/>
          <w:color w:val="000000" w:themeColor="text1"/>
        </w:rPr>
        <w:t xml:space="preserve">vyššie – takmer 850 mil. eur – </w:t>
      </w:r>
      <w:r w:rsidRPr="001E5334">
        <w:rPr>
          <w:rFonts w:ascii="Arial Narrow" w:eastAsia="Calibri" w:hAnsi="Arial Narrow"/>
          <w:color w:val="000000" w:themeColor="text1"/>
        </w:rPr>
        <w:t>v roku 2016 klesli na 711 mil. eur.</w:t>
      </w:r>
      <w:r w:rsidRPr="001E5334">
        <w:rPr>
          <w:rStyle w:val="Odkaznapoznmkupodiarou"/>
          <w:rFonts w:ascii="Arial Narrow" w:eastAsia="Calibri" w:hAnsi="Arial Narrow"/>
          <w:color w:val="000000" w:themeColor="text1"/>
        </w:rPr>
        <w:footnoteReference w:id="42"/>
      </w:r>
      <w:r w:rsidRPr="001E5334">
        <w:rPr>
          <w:rFonts w:ascii="Arial Narrow" w:eastAsia="Calibri" w:hAnsi="Arial Narrow"/>
          <w:color w:val="000000" w:themeColor="text1"/>
        </w:rPr>
        <w:t xml:space="preserve"> Vysoké tempo kapitálových výdavkov bude pokračovať aj v rokoch 2017 až 2019, kedy je na výstavbu nových úsekov alokovaných 1,7 mld. eur, veľká časť z OP Integrovaná infraštruktúra.</w:t>
      </w:r>
    </w:p>
    <w:p w14:paraId="5CC7E762" w14:textId="77777777" w:rsidR="001E68CD" w:rsidRPr="001E5334" w:rsidRDefault="001E68CD" w:rsidP="008423BB">
      <w:pPr>
        <w:spacing w:after="0" w:line="240" w:lineRule="auto"/>
        <w:jc w:val="both"/>
        <w:rPr>
          <w:rFonts w:ascii="Arial Narrow" w:eastAsia="Calibri" w:hAnsi="Arial Narrow"/>
        </w:rPr>
      </w:pP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3955"/>
        <w:gridCol w:w="146"/>
        <w:gridCol w:w="4463"/>
      </w:tblGrid>
      <w:tr w:rsidR="009135D4" w:rsidRPr="006C5792" w14:paraId="041DA808" w14:textId="77777777" w:rsidTr="0046505C">
        <w:trPr>
          <w:trHeight w:val="283"/>
        </w:trPr>
        <w:tc>
          <w:tcPr>
            <w:tcW w:w="2309" w:type="pct"/>
            <w:tcBorders>
              <w:top w:val="nil"/>
              <w:left w:val="nil"/>
              <w:bottom w:val="single" w:sz="4" w:space="0" w:color="auto"/>
              <w:right w:val="nil"/>
            </w:tcBorders>
            <w:vAlign w:val="center"/>
            <w:hideMark/>
          </w:tcPr>
          <w:p w14:paraId="10F901BB" w14:textId="262A44BF" w:rsidR="009135D4" w:rsidRPr="006C5792" w:rsidRDefault="009135D4" w:rsidP="003E6F91">
            <w:pPr>
              <w:pStyle w:val="Graf"/>
              <w:spacing w:after="0" w:line="240" w:lineRule="auto"/>
              <w:rPr>
                <w:rFonts w:eastAsiaTheme="minorHAnsi" w:cstheme="minorBidi"/>
                <w:sz w:val="18"/>
              </w:rPr>
            </w:pPr>
            <w:bookmarkStart w:id="58" w:name="_Toc478656324"/>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21</w:t>
            </w:r>
            <w:r w:rsidRPr="00310353">
              <w:rPr>
                <w:rFonts w:cs="Arial"/>
                <w:color w:val="2C9ADC"/>
                <w:szCs w:val="18"/>
              </w:rPr>
              <w:fldChar w:fldCharType="end"/>
            </w:r>
            <w:r w:rsidRPr="00310353">
              <w:rPr>
                <w:rFonts w:cs="Arial"/>
                <w:color w:val="2C9ADC"/>
                <w:szCs w:val="18"/>
              </w:rPr>
              <w:t>:</w:t>
            </w:r>
            <w:r w:rsidR="003E6F91" w:rsidRPr="003654F6">
              <w:rPr>
                <w:rFonts w:cs="Arial"/>
                <w:color w:val="2C9ADC"/>
                <w:szCs w:val="18"/>
              </w:rPr>
              <w:t xml:space="preserve"> Výstavba diaľnic a</w:t>
            </w:r>
            <w:r w:rsidR="003E6F91">
              <w:rPr>
                <w:rFonts w:cs="Arial"/>
                <w:color w:val="2C9ADC"/>
                <w:szCs w:val="18"/>
              </w:rPr>
              <w:t> rýchlostných ciest na Slovensku (v km)</w:t>
            </w:r>
            <w:bookmarkEnd w:id="58"/>
          </w:p>
        </w:tc>
        <w:tc>
          <w:tcPr>
            <w:tcW w:w="85" w:type="pct"/>
            <w:tcBorders>
              <w:top w:val="nil"/>
              <w:left w:val="nil"/>
              <w:bottom w:val="nil"/>
              <w:right w:val="nil"/>
            </w:tcBorders>
            <w:vAlign w:val="center"/>
          </w:tcPr>
          <w:p w14:paraId="3BC40A46" w14:textId="77777777" w:rsidR="009135D4" w:rsidRPr="006C5792" w:rsidRDefault="009135D4" w:rsidP="00FB625E">
            <w:pPr>
              <w:spacing w:before="60" w:after="0" w:line="240" w:lineRule="auto"/>
              <w:rPr>
                <w:rFonts w:ascii="Arial Narrow" w:hAnsi="Arial Narrow" w:cs="Arial"/>
                <w:b/>
                <w:color w:val="2C9ADC"/>
                <w:sz w:val="20"/>
                <w:szCs w:val="18"/>
              </w:rPr>
            </w:pPr>
          </w:p>
        </w:tc>
        <w:tc>
          <w:tcPr>
            <w:tcW w:w="2606" w:type="pct"/>
            <w:tcBorders>
              <w:top w:val="nil"/>
              <w:left w:val="nil"/>
              <w:bottom w:val="single" w:sz="4" w:space="0" w:color="auto"/>
              <w:right w:val="nil"/>
            </w:tcBorders>
            <w:vAlign w:val="center"/>
            <w:hideMark/>
          </w:tcPr>
          <w:p w14:paraId="6ACAE0C4" w14:textId="7478A958" w:rsidR="009135D4" w:rsidRPr="006C5792" w:rsidRDefault="009135D4" w:rsidP="00FB625E">
            <w:pPr>
              <w:pStyle w:val="Graf"/>
              <w:spacing w:after="0" w:line="240" w:lineRule="auto"/>
              <w:jc w:val="both"/>
              <w:rPr>
                <w:rFonts w:cstheme="minorBidi"/>
                <w:sz w:val="18"/>
                <w:szCs w:val="18"/>
              </w:rPr>
            </w:pPr>
            <w:bookmarkStart w:id="59" w:name="_Toc478656325"/>
            <w:r w:rsidRPr="00B53236">
              <w:rPr>
                <w:rFonts w:eastAsia="Times New Roman" w:cs="Times New Roman"/>
                <w:color w:val="2C9ADC"/>
                <w:szCs w:val="18"/>
                <w:lang w:eastAsia="sk-SK"/>
              </w:rPr>
              <w:t xml:space="preserve">Graf </w:t>
            </w:r>
            <w:r w:rsidRPr="00B53236">
              <w:rPr>
                <w:rFonts w:eastAsia="Times New Roman" w:cs="Times New Roman"/>
                <w:color w:val="2C9ADC"/>
                <w:szCs w:val="18"/>
                <w:lang w:eastAsia="sk-SK"/>
              </w:rPr>
              <w:fldChar w:fldCharType="begin"/>
            </w:r>
            <w:r w:rsidRPr="00B53236">
              <w:rPr>
                <w:rFonts w:eastAsia="Times New Roman" w:cs="Times New Roman"/>
                <w:color w:val="2C9ADC"/>
                <w:szCs w:val="18"/>
                <w:lang w:eastAsia="sk-SK"/>
              </w:rPr>
              <w:instrText xml:space="preserve"> SEQ GRAF \* ARABIC </w:instrText>
            </w:r>
            <w:r w:rsidRPr="00B53236">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22</w:t>
            </w:r>
            <w:r w:rsidRPr="00B53236">
              <w:rPr>
                <w:rFonts w:eastAsia="Times New Roman" w:cs="Times New Roman"/>
                <w:color w:val="2C9ADC"/>
                <w:szCs w:val="18"/>
                <w:lang w:eastAsia="sk-SK"/>
              </w:rPr>
              <w:fldChar w:fldCharType="end"/>
            </w:r>
            <w:r w:rsidR="00DD4C44">
              <w:rPr>
                <w:rFonts w:eastAsia="Times New Roman" w:cs="Times New Roman"/>
                <w:color w:val="2C9ADC"/>
                <w:szCs w:val="18"/>
                <w:lang w:eastAsia="sk-SK"/>
              </w:rPr>
              <w:t>:</w:t>
            </w:r>
            <w:r w:rsidRPr="00B53236">
              <w:rPr>
                <w:rFonts w:eastAsia="Times New Roman" w:cs="Times New Roman"/>
                <w:color w:val="2C9ADC"/>
                <w:szCs w:val="18"/>
                <w:lang w:eastAsia="sk-SK"/>
              </w:rPr>
              <w:t xml:space="preserve"> Výdavky SSC (mil. eur) a stav ciest I. triedy</w:t>
            </w:r>
            <w:bookmarkEnd w:id="59"/>
          </w:p>
        </w:tc>
      </w:tr>
      <w:tr w:rsidR="009135D4" w:rsidRPr="006C5792" w14:paraId="44E64B4B" w14:textId="77777777" w:rsidTr="0046505C">
        <w:trPr>
          <w:trHeight w:val="871"/>
        </w:trPr>
        <w:tc>
          <w:tcPr>
            <w:tcW w:w="2309" w:type="pct"/>
            <w:tcBorders>
              <w:top w:val="single" w:sz="4" w:space="0" w:color="auto"/>
              <w:left w:val="nil"/>
              <w:bottom w:val="single" w:sz="4" w:space="0" w:color="auto"/>
              <w:right w:val="nil"/>
            </w:tcBorders>
          </w:tcPr>
          <w:p w14:paraId="00C3F2E2" w14:textId="186F8A89" w:rsidR="009135D4" w:rsidRPr="006C5792" w:rsidRDefault="003E6F91" w:rsidP="00FB625E">
            <w:pPr>
              <w:spacing w:before="40" w:after="0" w:line="240" w:lineRule="auto"/>
              <w:jc w:val="center"/>
              <w:rPr>
                <w:rFonts w:ascii="Arial Narrow" w:hAnsi="Arial Narrow" w:cs="Arial"/>
                <w:b/>
                <w:sz w:val="20"/>
                <w:szCs w:val="20"/>
              </w:rPr>
            </w:pPr>
            <w:r>
              <w:rPr>
                <w:noProof/>
                <w:lang w:val="en-US" w:eastAsia="en-US"/>
              </w:rPr>
              <w:drawing>
                <wp:inline distT="0" distB="0" distL="0" distR="0" wp14:anchorId="0A2255D5" wp14:editId="6243785C">
                  <wp:extent cx="2505075" cy="21336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85" w:type="pct"/>
            <w:tcBorders>
              <w:top w:val="nil"/>
              <w:left w:val="nil"/>
              <w:bottom w:val="nil"/>
              <w:right w:val="nil"/>
            </w:tcBorders>
            <w:vAlign w:val="center"/>
          </w:tcPr>
          <w:p w14:paraId="78496F83" w14:textId="77777777" w:rsidR="009135D4" w:rsidRPr="006C5792" w:rsidRDefault="009135D4" w:rsidP="00FB625E">
            <w:pPr>
              <w:spacing w:before="40" w:after="0" w:line="240" w:lineRule="auto"/>
              <w:jc w:val="center"/>
              <w:rPr>
                <w:rFonts w:ascii="Arial Narrow" w:hAnsi="Arial Narrow" w:cs="Arial"/>
                <w:b/>
                <w:sz w:val="20"/>
                <w:szCs w:val="20"/>
              </w:rPr>
            </w:pPr>
          </w:p>
        </w:tc>
        <w:tc>
          <w:tcPr>
            <w:tcW w:w="2606" w:type="pct"/>
            <w:tcBorders>
              <w:top w:val="single" w:sz="4" w:space="0" w:color="auto"/>
              <w:left w:val="nil"/>
              <w:bottom w:val="single" w:sz="4" w:space="0" w:color="auto"/>
              <w:right w:val="nil"/>
            </w:tcBorders>
            <w:vAlign w:val="center"/>
            <w:hideMark/>
          </w:tcPr>
          <w:p w14:paraId="3447E343" w14:textId="24233C56" w:rsidR="009135D4" w:rsidRPr="006C5792" w:rsidRDefault="00351357" w:rsidP="00FB625E">
            <w:pPr>
              <w:spacing w:before="40" w:after="0" w:line="240" w:lineRule="auto"/>
              <w:jc w:val="center"/>
              <w:rPr>
                <w:rFonts w:ascii="Arial Narrow" w:hAnsi="Arial Narrow" w:cs="Arial"/>
                <w:b/>
                <w:sz w:val="20"/>
                <w:szCs w:val="20"/>
              </w:rPr>
            </w:pPr>
            <w:r>
              <w:rPr>
                <w:noProof/>
                <w:lang w:val="en-US" w:eastAsia="en-US"/>
              </w:rPr>
              <w:drawing>
                <wp:inline distT="0" distB="0" distL="0" distR="0" wp14:anchorId="38BB7476" wp14:editId="44F2B019">
                  <wp:extent cx="2838450" cy="2130425"/>
                  <wp:effectExtent l="0" t="0" r="0" b="317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9135D4" w:rsidRPr="006C5792" w14:paraId="5EA1E706" w14:textId="77777777" w:rsidTr="0046505C">
        <w:trPr>
          <w:trHeight w:val="110"/>
        </w:trPr>
        <w:tc>
          <w:tcPr>
            <w:tcW w:w="2309" w:type="pct"/>
            <w:tcBorders>
              <w:top w:val="single" w:sz="4" w:space="0" w:color="auto"/>
              <w:left w:val="nil"/>
              <w:bottom w:val="nil"/>
              <w:right w:val="nil"/>
            </w:tcBorders>
            <w:vAlign w:val="center"/>
            <w:hideMark/>
          </w:tcPr>
          <w:p w14:paraId="51E360CD" w14:textId="22FABDC5" w:rsidR="009135D4" w:rsidRPr="006C5792" w:rsidRDefault="000340EA" w:rsidP="001E68CD">
            <w:pPr>
              <w:spacing w:after="0" w:line="240" w:lineRule="auto"/>
              <w:jc w:val="right"/>
              <w:rPr>
                <w:rFonts w:ascii="Arial Narrow" w:hAnsi="Arial Narrow" w:cs="Arial"/>
                <w:i/>
                <w:sz w:val="16"/>
                <w:szCs w:val="16"/>
              </w:rPr>
            </w:pPr>
            <w:r w:rsidRPr="006C5792">
              <w:rPr>
                <w:rFonts w:ascii="Arial Narrow" w:hAnsi="Arial Narrow" w:cs="Arial"/>
                <w:i/>
                <w:sz w:val="16"/>
                <w:szCs w:val="16"/>
              </w:rPr>
              <w:t xml:space="preserve">Zdroj: </w:t>
            </w:r>
            <w:r w:rsidR="001E68CD">
              <w:rPr>
                <w:rFonts w:ascii="Arial Narrow" w:hAnsi="Arial Narrow" w:cs="Arial"/>
                <w:i/>
                <w:sz w:val="16"/>
                <w:szCs w:val="16"/>
              </w:rPr>
              <w:t>NDS, MDV SR</w:t>
            </w:r>
          </w:p>
        </w:tc>
        <w:tc>
          <w:tcPr>
            <w:tcW w:w="85" w:type="pct"/>
            <w:tcBorders>
              <w:top w:val="nil"/>
              <w:left w:val="nil"/>
              <w:bottom w:val="nil"/>
              <w:right w:val="nil"/>
            </w:tcBorders>
            <w:vAlign w:val="center"/>
          </w:tcPr>
          <w:p w14:paraId="1B05692C" w14:textId="77777777" w:rsidR="009135D4" w:rsidRPr="006C5792" w:rsidRDefault="009135D4" w:rsidP="00FB625E">
            <w:pPr>
              <w:spacing w:after="0" w:line="240" w:lineRule="auto"/>
              <w:jc w:val="center"/>
              <w:rPr>
                <w:rFonts w:ascii="Arial Narrow" w:hAnsi="Arial Narrow" w:cs="Arial"/>
                <w:i/>
                <w:sz w:val="16"/>
                <w:szCs w:val="16"/>
              </w:rPr>
            </w:pPr>
          </w:p>
        </w:tc>
        <w:tc>
          <w:tcPr>
            <w:tcW w:w="2606" w:type="pct"/>
            <w:tcBorders>
              <w:top w:val="single" w:sz="4" w:space="0" w:color="auto"/>
              <w:left w:val="nil"/>
              <w:bottom w:val="nil"/>
              <w:right w:val="nil"/>
            </w:tcBorders>
            <w:hideMark/>
          </w:tcPr>
          <w:p w14:paraId="39A08883" w14:textId="77777777" w:rsidR="009135D4" w:rsidRPr="006C5792" w:rsidRDefault="009135D4" w:rsidP="003E6F91">
            <w:pPr>
              <w:spacing w:after="0" w:line="240" w:lineRule="auto"/>
              <w:jc w:val="right"/>
              <w:rPr>
                <w:rFonts w:ascii="Arial Narrow" w:hAnsi="Arial Narrow" w:cs="Arial"/>
                <w:i/>
                <w:sz w:val="16"/>
                <w:szCs w:val="16"/>
              </w:rPr>
            </w:pPr>
            <w:r>
              <w:rPr>
                <w:rFonts w:ascii="Arial Narrow" w:hAnsi="Arial Narrow" w:cs="Arial"/>
                <w:i/>
                <w:sz w:val="16"/>
                <w:szCs w:val="16"/>
              </w:rPr>
              <w:t>Zdroj: RVS</w:t>
            </w:r>
            <w:r w:rsidRPr="006C5792">
              <w:rPr>
                <w:rFonts w:ascii="Arial Narrow" w:hAnsi="Arial Narrow" w:cs="Arial"/>
                <w:i/>
                <w:sz w:val="16"/>
                <w:szCs w:val="16"/>
              </w:rPr>
              <w:t xml:space="preserve">, </w:t>
            </w:r>
            <w:r>
              <w:rPr>
                <w:rFonts w:ascii="Arial Narrow" w:hAnsi="Arial Narrow" w:cs="Arial"/>
                <w:i/>
                <w:sz w:val="16"/>
                <w:szCs w:val="16"/>
              </w:rPr>
              <w:t>MDV</w:t>
            </w:r>
            <w:r w:rsidRPr="006C5792">
              <w:rPr>
                <w:rFonts w:ascii="Arial Narrow" w:hAnsi="Arial Narrow" w:cs="Arial"/>
                <w:i/>
                <w:sz w:val="16"/>
                <w:szCs w:val="16"/>
              </w:rPr>
              <w:t xml:space="preserve"> SR</w:t>
            </w:r>
          </w:p>
        </w:tc>
      </w:tr>
    </w:tbl>
    <w:p w14:paraId="70C18034" w14:textId="77777777" w:rsidR="0046505C" w:rsidRDefault="0046505C" w:rsidP="0046505C">
      <w:pPr>
        <w:spacing w:after="0" w:line="240" w:lineRule="auto"/>
        <w:jc w:val="both"/>
        <w:rPr>
          <w:rFonts w:ascii="Arial Narrow" w:eastAsia="Calibri" w:hAnsi="Arial Narrow"/>
        </w:rPr>
      </w:pPr>
      <w:r w:rsidRPr="006C5792">
        <w:rPr>
          <w:rFonts w:ascii="Arial Narrow" w:eastAsia="Calibri" w:hAnsi="Arial Narrow"/>
        </w:rPr>
        <w:t xml:space="preserve">Bežné </w:t>
      </w:r>
      <w:r w:rsidRPr="00B85533">
        <w:rPr>
          <w:rFonts w:ascii="Arial Narrow" w:eastAsia="Calibri" w:hAnsi="Arial Narrow"/>
          <w:b/>
        </w:rPr>
        <w:t>výdavky</w:t>
      </w:r>
      <w:r w:rsidRPr="00B85533">
        <w:rPr>
          <w:rFonts w:ascii="Arial Narrow" w:hAnsi="Arial Narrow"/>
          <w:b/>
        </w:rPr>
        <w:t xml:space="preserve"> Slovenskej správy ciest (</w:t>
      </w:r>
      <w:r w:rsidRPr="00B85533">
        <w:rPr>
          <w:rFonts w:ascii="Arial Narrow" w:eastAsia="Calibri" w:hAnsi="Arial Narrow"/>
          <w:b/>
        </w:rPr>
        <w:t>SSC)</w:t>
      </w:r>
      <w:r w:rsidRPr="006C5792">
        <w:rPr>
          <w:rFonts w:ascii="Arial Narrow" w:eastAsia="Calibri" w:hAnsi="Arial Narrow"/>
        </w:rPr>
        <w:t xml:space="preserve"> na údržbu a</w:t>
      </w:r>
      <w:r>
        <w:rPr>
          <w:rFonts w:ascii="Arial Narrow" w:eastAsia="Calibri" w:hAnsi="Arial Narrow"/>
        </w:rPr>
        <w:t xml:space="preserve"> </w:t>
      </w:r>
      <w:r w:rsidRPr="006C5792">
        <w:rPr>
          <w:rFonts w:ascii="Arial Narrow" w:eastAsia="Calibri" w:hAnsi="Arial Narrow"/>
        </w:rPr>
        <w:t>opravy</w:t>
      </w:r>
      <w:r>
        <w:rPr>
          <w:rFonts w:ascii="Arial Narrow" w:eastAsia="Calibri" w:hAnsi="Arial Narrow"/>
        </w:rPr>
        <w:t xml:space="preserve"> 3 </w:t>
      </w:r>
      <w:r w:rsidRPr="006C5792">
        <w:rPr>
          <w:rFonts w:ascii="Arial Narrow" w:eastAsia="Calibri" w:hAnsi="Arial Narrow"/>
        </w:rPr>
        <w:t xml:space="preserve">176 km ciest I. triedy </w:t>
      </w:r>
      <w:r w:rsidRPr="004E4B0A">
        <w:rPr>
          <w:rFonts w:ascii="Arial Narrow" w:eastAsia="Calibri" w:hAnsi="Arial Narrow"/>
          <w:b/>
        </w:rPr>
        <w:t>sú</w:t>
      </w:r>
      <w:r>
        <w:rPr>
          <w:rFonts w:ascii="Arial Narrow" w:eastAsia="Calibri" w:hAnsi="Arial Narrow"/>
        </w:rPr>
        <w:t xml:space="preserve"> </w:t>
      </w:r>
      <w:r w:rsidRPr="00B85533">
        <w:rPr>
          <w:rFonts w:ascii="Arial Narrow" w:eastAsia="Calibri" w:hAnsi="Arial Narrow"/>
          <w:b/>
        </w:rPr>
        <w:t>nedostatočné</w:t>
      </w:r>
      <w:r>
        <w:rPr>
          <w:rFonts w:ascii="Arial Narrow" w:eastAsia="Calibri" w:hAnsi="Arial Narrow"/>
        </w:rPr>
        <w:t>. V roku 2015 bolo až 45 % ciest v nevyhovujúcom a havarijnom stave a aj</w:t>
      </w:r>
      <w:r w:rsidRPr="006C5792">
        <w:rPr>
          <w:rFonts w:ascii="Arial Narrow" w:eastAsia="Calibri" w:hAnsi="Arial Narrow"/>
        </w:rPr>
        <w:t xml:space="preserve"> </w:t>
      </w:r>
      <w:r>
        <w:rPr>
          <w:rFonts w:ascii="Arial Narrow" w:eastAsia="Calibri" w:hAnsi="Arial Narrow"/>
        </w:rPr>
        <w:t xml:space="preserve">dnešné </w:t>
      </w:r>
      <w:r w:rsidRPr="006C5792">
        <w:rPr>
          <w:rFonts w:ascii="Arial Narrow" w:eastAsia="Calibri" w:hAnsi="Arial Narrow"/>
        </w:rPr>
        <w:t xml:space="preserve">cesty v dobrom stave </w:t>
      </w:r>
      <w:r>
        <w:rPr>
          <w:rFonts w:ascii="Arial Narrow" w:eastAsia="Calibri" w:hAnsi="Arial Narrow"/>
        </w:rPr>
        <w:t xml:space="preserve">sa pri súčasnej úrovni financií na údržbu a opravy budú postupne </w:t>
      </w:r>
      <w:r w:rsidRPr="006C5792">
        <w:rPr>
          <w:rFonts w:ascii="Arial Narrow" w:eastAsia="Calibri" w:hAnsi="Arial Narrow"/>
        </w:rPr>
        <w:t>dostáva</w:t>
      </w:r>
      <w:r>
        <w:rPr>
          <w:rFonts w:ascii="Arial Narrow" w:eastAsia="Calibri" w:hAnsi="Arial Narrow"/>
        </w:rPr>
        <w:t>ť</w:t>
      </w:r>
      <w:r w:rsidRPr="006C5792">
        <w:rPr>
          <w:rFonts w:ascii="Arial Narrow" w:eastAsia="Calibri" w:hAnsi="Arial Narrow"/>
        </w:rPr>
        <w:t xml:space="preserve"> do nevyhovujúceho stavu a</w:t>
      </w:r>
      <w:r>
        <w:rPr>
          <w:rFonts w:ascii="Arial Narrow" w:eastAsia="Calibri" w:hAnsi="Arial Narrow"/>
        </w:rPr>
        <w:t> </w:t>
      </w:r>
      <w:r w:rsidRPr="006C5792">
        <w:rPr>
          <w:rFonts w:ascii="Arial Narrow" w:eastAsia="Calibri" w:hAnsi="Arial Narrow"/>
        </w:rPr>
        <w:t>následne</w:t>
      </w:r>
      <w:r>
        <w:rPr>
          <w:rFonts w:ascii="Arial Narrow" w:eastAsia="Calibri" w:hAnsi="Arial Narrow"/>
        </w:rPr>
        <w:t xml:space="preserve"> </w:t>
      </w:r>
      <w:r w:rsidRPr="006C5792">
        <w:rPr>
          <w:rFonts w:ascii="Arial Narrow" w:eastAsia="Calibri" w:hAnsi="Arial Narrow"/>
        </w:rPr>
        <w:t>vyžad</w:t>
      </w:r>
      <w:r>
        <w:rPr>
          <w:rFonts w:ascii="Arial Narrow" w:eastAsia="Calibri" w:hAnsi="Arial Narrow"/>
        </w:rPr>
        <w:t>ovať</w:t>
      </w:r>
      <w:r w:rsidRPr="006C5792">
        <w:rPr>
          <w:rFonts w:ascii="Arial Narrow" w:eastAsia="Calibri" w:hAnsi="Arial Narrow"/>
        </w:rPr>
        <w:t xml:space="preserve"> drahú rekonštrukciu.</w:t>
      </w:r>
      <w:r>
        <w:rPr>
          <w:rFonts w:ascii="Arial Narrow" w:eastAsia="Calibri" w:hAnsi="Arial Narrow"/>
        </w:rPr>
        <w:t xml:space="preserve"> P</w:t>
      </w:r>
      <w:r w:rsidRPr="006C5792">
        <w:rPr>
          <w:rFonts w:ascii="Arial Narrow" w:eastAsia="Calibri" w:hAnsi="Arial Narrow"/>
        </w:rPr>
        <w:t>riemer</w:t>
      </w:r>
      <w:r>
        <w:rPr>
          <w:rFonts w:ascii="Arial Narrow" w:eastAsia="Calibri" w:hAnsi="Arial Narrow"/>
        </w:rPr>
        <w:t xml:space="preserve"> výdavkov na údržbu a opravy</w:t>
      </w:r>
      <w:r w:rsidRPr="006C5792">
        <w:rPr>
          <w:rFonts w:ascii="Arial Narrow" w:eastAsia="Calibri" w:hAnsi="Arial Narrow"/>
        </w:rPr>
        <w:t xml:space="preserve"> v rokoch 2009 </w:t>
      </w:r>
      <w:r>
        <w:rPr>
          <w:rFonts w:ascii="Arial Narrow" w:eastAsia="Calibri" w:hAnsi="Arial Narrow"/>
        </w:rPr>
        <w:t>až</w:t>
      </w:r>
      <w:r w:rsidRPr="006C5792">
        <w:rPr>
          <w:rFonts w:ascii="Arial Narrow" w:eastAsia="Calibri" w:hAnsi="Arial Narrow"/>
        </w:rPr>
        <w:t xml:space="preserve"> 201</w:t>
      </w:r>
      <w:r>
        <w:rPr>
          <w:rFonts w:ascii="Arial Narrow" w:eastAsia="Calibri" w:hAnsi="Arial Narrow"/>
        </w:rPr>
        <w:t>6</w:t>
      </w:r>
      <w:r w:rsidRPr="006C5792">
        <w:rPr>
          <w:rFonts w:ascii="Arial Narrow" w:eastAsia="Calibri" w:hAnsi="Arial Narrow"/>
        </w:rPr>
        <w:t xml:space="preserve"> dosiahol </w:t>
      </w:r>
      <w:r>
        <w:rPr>
          <w:rFonts w:ascii="Arial Narrow" w:eastAsia="Calibri" w:hAnsi="Arial Narrow"/>
        </w:rPr>
        <w:t>45</w:t>
      </w:r>
      <w:r w:rsidRPr="006C5792">
        <w:rPr>
          <w:rFonts w:ascii="Arial Narrow" w:eastAsia="Calibri" w:hAnsi="Arial Narrow"/>
        </w:rPr>
        <w:t> mil. eur ročne</w:t>
      </w:r>
      <w:r>
        <w:rPr>
          <w:rFonts w:ascii="Arial Narrow" w:eastAsia="Calibri" w:hAnsi="Arial Narrow"/>
        </w:rPr>
        <w:t>, r</w:t>
      </w:r>
      <w:r w:rsidRPr="006C5792">
        <w:rPr>
          <w:rFonts w:ascii="Arial Narrow" w:eastAsia="Calibri" w:hAnsi="Arial Narrow"/>
        </w:rPr>
        <w:t>ozpoč</w:t>
      </w:r>
      <w:r>
        <w:rPr>
          <w:rFonts w:ascii="Arial Narrow" w:eastAsia="Calibri" w:hAnsi="Arial Narrow"/>
        </w:rPr>
        <w:t>e</w:t>
      </w:r>
      <w:r w:rsidRPr="006C5792">
        <w:rPr>
          <w:rFonts w:ascii="Arial Narrow" w:eastAsia="Calibri" w:hAnsi="Arial Narrow"/>
        </w:rPr>
        <w:t xml:space="preserve">t na roky 2017 </w:t>
      </w:r>
      <w:r>
        <w:rPr>
          <w:rFonts w:ascii="Arial Narrow" w:eastAsia="Calibri" w:hAnsi="Arial Narrow"/>
        </w:rPr>
        <w:t xml:space="preserve">až </w:t>
      </w:r>
      <w:r w:rsidRPr="006C5792">
        <w:rPr>
          <w:rFonts w:ascii="Arial Narrow" w:eastAsia="Calibri" w:hAnsi="Arial Narrow"/>
        </w:rPr>
        <w:t>2019</w:t>
      </w:r>
      <w:r>
        <w:rPr>
          <w:rFonts w:ascii="Arial Narrow" w:eastAsia="Calibri" w:hAnsi="Arial Narrow"/>
        </w:rPr>
        <w:t xml:space="preserve"> predpokladá úroveň 49 mil. eur ročne, pričom optimálna ročná úroveň je podľa revízie výdavkov 64</w:t>
      </w:r>
      <w:r w:rsidRPr="00102A59">
        <w:rPr>
          <w:rFonts w:ascii="Arial Narrow" w:eastAsia="Calibri" w:hAnsi="Arial Narrow"/>
        </w:rPr>
        <w:t xml:space="preserve"> mil. eur</w:t>
      </w:r>
      <w:r>
        <w:rPr>
          <w:rFonts w:ascii="Arial Narrow" w:eastAsia="Calibri" w:hAnsi="Arial Narrow"/>
        </w:rPr>
        <w:t>.</w:t>
      </w:r>
      <w:r w:rsidRPr="00102A59">
        <w:rPr>
          <w:rFonts w:ascii="Arial Narrow" w:eastAsia="Calibri" w:hAnsi="Arial Narrow"/>
        </w:rPr>
        <w:t xml:space="preserve"> </w:t>
      </w:r>
      <w:r>
        <w:rPr>
          <w:rFonts w:ascii="Arial Narrow" w:eastAsia="Calibri" w:hAnsi="Arial Narrow"/>
        </w:rPr>
        <w:t>MDV SR bude v rámci už alokovaných zdrojov h</w:t>
      </w:r>
      <w:r w:rsidRPr="009E615A">
        <w:rPr>
          <w:rFonts w:ascii="Arial Narrow" w:eastAsia="Calibri" w:hAnsi="Arial Narrow"/>
        </w:rPr>
        <w:t xml:space="preserve">ľadať </w:t>
      </w:r>
      <w:r>
        <w:rPr>
          <w:rFonts w:ascii="Arial Narrow" w:eastAsia="Calibri" w:hAnsi="Arial Narrow"/>
        </w:rPr>
        <w:t>ďalšie spôsoby ich na</w:t>
      </w:r>
      <w:r w:rsidRPr="009E615A">
        <w:rPr>
          <w:rFonts w:ascii="Arial Narrow" w:eastAsia="Calibri" w:hAnsi="Arial Narrow"/>
        </w:rPr>
        <w:t>výšenia</w:t>
      </w:r>
      <w:r>
        <w:rPr>
          <w:rFonts w:ascii="Arial Narrow" w:eastAsia="Calibri" w:hAnsi="Arial Narrow"/>
        </w:rPr>
        <w:t>.</w:t>
      </w:r>
      <w:r w:rsidRPr="006C5792">
        <w:rPr>
          <w:rFonts w:ascii="Arial Narrow" w:eastAsia="Calibri" w:hAnsi="Arial Narrow"/>
        </w:rPr>
        <w:t xml:space="preserve"> </w:t>
      </w:r>
      <w:r>
        <w:rPr>
          <w:rFonts w:ascii="Arial Narrow" w:eastAsia="Calibri" w:hAnsi="Arial Narrow"/>
        </w:rPr>
        <w:t>SSC</w:t>
      </w:r>
      <w:r w:rsidRPr="006C5792">
        <w:rPr>
          <w:rFonts w:ascii="Arial Narrow" w:eastAsia="Calibri" w:hAnsi="Arial Narrow"/>
        </w:rPr>
        <w:t xml:space="preserve"> </w:t>
      </w:r>
      <w:r>
        <w:rPr>
          <w:rFonts w:ascii="Arial Narrow" w:eastAsia="Calibri" w:hAnsi="Arial Narrow"/>
        </w:rPr>
        <w:t>v</w:t>
      </w:r>
      <w:r w:rsidRPr="006C5792">
        <w:rPr>
          <w:rFonts w:ascii="Arial Narrow" w:eastAsia="Calibri" w:hAnsi="Arial Narrow"/>
        </w:rPr>
        <w:t> rokoch 2009 až 201</w:t>
      </w:r>
      <w:r>
        <w:rPr>
          <w:rFonts w:ascii="Arial Narrow" w:eastAsia="Calibri" w:hAnsi="Arial Narrow"/>
        </w:rPr>
        <w:t>5 podľa revízie výdavkov</w:t>
      </w:r>
      <w:r w:rsidRPr="006C5792">
        <w:rPr>
          <w:rFonts w:ascii="Arial Narrow" w:eastAsia="Calibri" w:hAnsi="Arial Narrow"/>
        </w:rPr>
        <w:t xml:space="preserve"> použila 779 mil. eur na výstavbu, modernizáciu a </w:t>
      </w:r>
      <w:r>
        <w:rPr>
          <w:rFonts w:ascii="Arial Narrow" w:eastAsia="Calibri" w:hAnsi="Arial Narrow"/>
        </w:rPr>
        <w:t>rekonštrukciu ciest I. triedy, v</w:t>
      </w:r>
      <w:r w:rsidRPr="006C5792">
        <w:rPr>
          <w:rFonts w:ascii="Arial Narrow" w:eastAsia="Calibri" w:hAnsi="Arial Narrow"/>
        </w:rPr>
        <w:t xml:space="preserve">ďaka </w:t>
      </w:r>
      <w:r>
        <w:rPr>
          <w:rFonts w:ascii="Arial Narrow" w:eastAsia="Calibri" w:hAnsi="Arial Narrow"/>
        </w:rPr>
        <w:t>čomu</w:t>
      </w:r>
      <w:r w:rsidRPr="006C5792">
        <w:rPr>
          <w:rFonts w:ascii="Arial Narrow" w:eastAsia="Calibri" w:hAnsi="Arial Narrow"/>
        </w:rPr>
        <w:t xml:space="preserve"> začal po</w:t>
      </w:r>
      <w:r>
        <w:rPr>
          <w:rFonts w:ascii="Arial Narrow" w:eastAsia="Calibri" w:hAnsi="Arial Narrow"/>
        </w:rPr>
        <w:t>diel ciest v zlom stave klesať.</w:t>
      </w:r>
    </w:p>
    <w:p w14:paraId="7D9EFCB6" w14:textId="77777777" w:rsidR="008423BB" w:rsidRDefault="008423BB" w:rsidP="008423BB">
      <w:pPr>
        <w:spacing w:after="0" w:line="240" w:lineRule="auto"/>
        <w:jc w:val="both"/>
        <w:rPr>
          <w:rFonts w:ascii="Arial Narrow" w:eastAsia="Calibri" w:hAnsi="Arial Narrow"/>
        </w:rPr>
      </w:pPr>
    </w:p>
    <w:p w14:paraId="05ECC500" w14:textId="77777777" w:rsidR="008C25AD" w:rsidRDefault="007241CD" w:rsidP="00650180">
      <w:pPr>
        <w:spacing w:after="0" w:line="240" w:lineRule="auto"/>
        <w:rPr>
          <w:rFonts w:ascii="Arial Narrow" w:eastAsia="Calibri" w:hAnsi="Arial Narrow"/>
        </w:rPr>
      </w:pPr>
      <w:r>
        <w:rPr>
          <w:rFonts w:ascii="Arial Narrow" w:eastAsia="Calibri" w:hAnsi="Arial Narrow"/>
          <w:b/>
          <w:i/>
        </w:rPr>
        <w:t>Železnice</w:t>
      </w:r>
      <w:r>
        <w:rPr>
          <w:rFonts w:ascii="Arial Narrow" w:eastAsia="Calibri" w:hAnsi="Arial Narrow"/>
        </w:rPr>
        <w:t xml:space="preserve"> </w:t>
      </w:r>
    </w:p>
    <w:p w14:paraId="791DBE2B" w14:textId="77777777" w:rsidR="000F23F6" w:rsidRDefault="00C01221" w:rsidP="00F57DD3">
      <w:pPr>
        <w:spacing w:after="0" w:line="240" w:lineRule="auto"/>
        <w:jc w:val="both"/>
        <w:rPr>
          <w:rFonts w:ascii="Arial Narrow" w:hAnsi="Arial Narrow"/>
        </w:rPr>
      </w:pPr>
      <w:r w:rsidRPr="00BF7847">
        <w:rPr>
          <w:rFonts w:ascii="Arial Narrow" w:hAnsi="Arial Narrow"/>
        </w:rPr>
        <w:t>Slovensko vzhľadom ku rozlohe prevádzkuje o 40 % viac koľají ako priemerná krajina EÚ 15.</w:t>
      </w:r>
      <w:r w:rsidRPr="00BF7847">
        <w:rPr>
          <w:rStyle w:val="Odkaznapoznmkupodiarou"/>
          <w:rFonts w:ascii="Arial Narrow" w:hAnsi="Arial Narrow"/>
        </w:rPr>
        <w:t xml:space="preserve"> </w:t>
      </w:r>
      <w:r w:rsidRPr="00BF7847">
        <w:rPr>
          <w:rFonts w:ascii="Arial Narrow" w:hAnsi="Arial Narrow"/>
        </w:rPr>
        <w:t xml:space="preserve">Po 1 km koľají prejde ročne približne 6 tisíc vlakov, čo je výrazne pod priemerom EÚ. </w:t>
      </w:r>
      <w:r w:rsidRPr="00BF7847">
        <w:rPr>
          <w:rFonts w:ascii="Arial Narrow" w:hAnsi="Arial Narrow"/>
          <w:b/>
        </w:rPr>
        <w:t>Prevádzkovanie tratí má vysoké fixné náklady, preto je efektívne zvyšovať objem prepravy osôb a nákla</w:t>
      </w:r>
      <w:r w:rsidRPr="00690827">
        <w:rPr>
          <w:rFonts w:ascii="Arial Narrow" w:hAnsi="Arial Narrow"/>
          <w:b/>
        </w:rPr>
        <w:t xml:space="preserve">du po železnici. </w:t>
      </w:r>
      <w:r w:rsidRPr="00690827">
        <w:rPr>
          <w:rFonts w:ascii="Arial Narrow" w:hAnsi="Arial Narrow"/>
        </w:rPr>
        <w:t>MDV SR</w:t>
      </w:r>
      <w:r w:rsidR="000456C3" w:rsidRPr="00690827">
        <w:rPr>
          <w:rFonts w:ascii="Arial Narrow" w:hAnsi="Arial Narrow"/>
        </w:rPr>
        <w:t xml:space="preserve"> a ŽSR do januára 2018 zanalyzuje </w:t>
      </w:r>
      <w:r w:rsidR="000456C3" w:rsidRPr="00BF7847">
        <w:rPr>
          <w:rFonts w:ascii="Arial Narrow" w:hAnsi="Arial Narrow"/>
        </w:rPr>
        <w:t>dopady prípadnej eliminácie 234 km tratí s nízkym využitím bez osobnej dopravy</w:t>
      </w:r>
      <w:r w:rsidR="000456C3" w:rsidRPr="00BF7847">
        <w:rPr>
          <w:rStyle w:val="Odkaznapoznmkupodiarou"/>
          <w:rFonts w:ascii="Arial Narrow" w:hAnsi="Arial Narrow"/>
        </w:rPr>
        <w:footnoteReference w:id="43"/>
      </w:r>
      <w:r w:rsidR="000456C3" w:rsidRPr="00BF7847">
        <w:rPr>
          <w:rFonts w:ascii="Arial Narrow" w:hAnsi="Arial Narrow"/>
        </w:rPr>
        <w:t xml:space="preserve"> a ďalších 91 km tratí s minimálnou osobnou dopravou.</w:t>
      </w:r>
    </w:p>
    <w:p w14:paraId="5FCD24F7" w14:textId="48D1A7EE" w:rsidR="00121D57" w:rsidRPr="000214C8" w:rsidRDefault="000F23F6" w:rsidP="00650180">
      <w:pPr>
        <w:spacing w:after="0" w:line="240" w:lineRule="auto"/>
        <w:rPr>
          <w:rFonts w:ascii="Arial Narrow" w:hAnsi="Arial Narrow"/>
        </w:rPr>
      </w:pPr>
      <w:r>
        <w:rPr>
          <w:rFonts w:ascii="Arial Narrow" w:hAnsi="Arial Narrow"/>
        </w:rPr>
        <w:br w:type="page"/>
      </w: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093"/>
        <w:gridCol w:w="163"/>
        <w:gridCol w:w="4308"/>
      </w:tblGrid>
      <w:tr w:rsidR="009135D4" w:rsidRPr="006C5792" w14:paraId="6027FD86" w14:textId="77777777" w:rsidTr="001678B1">
        <w:trPr>
          <w:trHeight w:val="361"/>
        </w:trPr>
        <w:tc>
          <w:tcPr>
            <w:tcW w:w="2390" w:type="pct"/>
            <w:tcBorders>
              <w:top w:val="nil"/>
              <w:left w:val="nil"/>
              <w:bottom w:val="single" w:sz="4" w:space="0" w:color="auto"/>
              <w:right w:val="nil"/>
            </w:tcBorders>
            <w:shd w:val="clear" w:color="auto" w:fill="auto"/>
            <w:vAlign w:val="center"/>
          </w:tcPr>
          <w:p w14:paraId="7A5733CF" w14:textId="058887F2" w:rsidR="009135D4" w:rsidRPr="006C5792" w:rsidRDefault="009135D4" w:rsidP="00FB625E">
            <w:pPr>
              <w:pStyle w:val="Graf"/>
              <w:spacing w:after="0" w:line="240" w:lineRule="auto"/>
              <w:jc w:val="both"/>
              <w:rPr>
                <w:rFonts w:eastAsia="Times New Roman" w:cs="Times New Roman"/>
                <w:b w:val="0"/>
                <w:bCs w:val="0"/>
                <w:color w:val="000000" w:themeColor="text1"/>
                <w:szCs w:val="20"/>
                <w:lang w:eastAsia="sk-SK"/>
              </w:rPr>
            </w:pPr>
            <w:bookmarkStart w:id="60" w:name="_Toc456265677"/>
            <w:bookmarkStart w:id="61" w:name="_Toc478656326"/>
            <w:r w:rsidRPr="00827E98">
              <w:rPr>
                <w:rFonts w:eastAsia="Times New Roman" w:cs="Times New Roman"/>
                <w:color w:val="2C9ADC"/>
                <w:szCs w:val="18"/>
                <w:lang w:eastAsia="sk-SK"/>
              </w:rPr>
              <w:lastRenderedPageBreak/>
              <w:t xml:space="preserve">Graf </w:t>
            </w:r>
            <w:r w:rsidRPr="00827E98">
              <w:rPr>
                <w:rFonts w:eastAsia="Times New Roman" w:cs="Times New Roman"/>
                <w:color w:val="2C9ADC"/>
                <w:szCs w:val="18"/>
                <w:lang w:eastAsia="sk-SK"/>
              </w:rPr>
              <w:fldChar w:fldCharType="begin"/>
            </w:r>
            <w:r w:rsidRPr="00827E98">
              <w:rPr>
                <w:rFonts w:eastAsia="Times New Roman" w:cs="Times New Roman"/>
                <w:color w:val="2C9ADC"/>
                <w:szCs w:val="18"/>
                <w:lang w:eastAsia="sk-SK"/>
              </w:rPr>
              <w:instrText xml:space="preserve"> SEQ Graf \* ARABIC </w:instrText>
            </w:r>
            <w:r w:rsidRPr="00827E98">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23</w:t>
            </w:r>
            <w:r w:rsidRPr="00827E98">
              <w:rPr>
                <w:rFonts w:eastAsia="Times New Roman" w:cs="Times New Roman"/>
                <w:color w:val="2C9ADC"/>
                <w:szCs w:val="18"/>
                <w:lang w:eastAsia="sk-SK"/>
              </w:rPr>
              <w:fldChar w:fldCharType="end"/>
            </w:r>
            <w:r w:rsidRPr="00827E98">
              <w:rPr>
                <w:rFonts w:eastAsia="Times New Roman" w:cs="Times New Roman"/>
                <w:color w:val="2C9ADC"/>
                <w:szCs w:val="18"/>
                <w:lang w:eastAsia="sk-SK"/>
              </w:rPr>
              <w:t>: Ročná intenzita využitia železničnej siete</w:t>
            </w:r>
            <w:bookmarkEnd w:id="60"/>
            <w:bookmarkEnd w:id="61"/>
            <w:r w:rsidRPr="006C5792">
              <w:rPr>
                <w:rFonts w:eastAsia="Times New Roman" w:cs="Times New Roman"/>
                <w:b w:val="0"/>
                <w:bCs w:val="0"/>
                <w:color w:val="000000" w:themeColor="text1"/>
                <w:szCs w:val="20"/>
                <w:lang w:eastAsia="sk-SK"/>
              </w:rPr>
              <w:t xml:space="preserve"> </w:t>
            </w:r>
          </w:p>
        </w:tc>
        <w:tc>
          <w:tcPr>
            <w:tcW w:w="95" w:type="pct"/>
            <w:tcBorders>
              <w:top w:val="nil"/>
              <w:left w:val="nil"/>
              <w:bottom w:val="nil"/>
              <w:right w:val="nil"/>
            </w:tcBorders>
            <w:shd w:val="clear" w:color="auto" w:fill="auto"/>
            <w:vAlign w:val="center"/>
          </w:tcPr>
          <w:p w14:paraId="7E6B92C4" w14:textId="77777777" w:rsidR="009135D4" w:rsidRPr="00827E98" w:rsidRDefault="009135D4" w:rsidP="00FB625E">
            <w:pPr>
              <w:pStyle w:val="Graf"/>
              <w:spacing w:after="0" w:line="240" w:lineRule="auto"/>
              <w:jc w:val="both"/>
              <w:rPr>
                <w:rFonts w:eastAsia="Times New Roman" w:cs="Times New Roman"/>
                <w:color w:val="2C9ADC"/>
                <w:szCs w:val="18"/>
                <w:lang w:eastAsia="sk-SK"/>
              </w:rPr>
            </w:pPr>
          </w:p>
        </w:tc>
        <w:tc>
          <w:tcPr>
            <w:tcW w:w="2515" w:type="pct"/>
            <w:tcBorders>
              <w:top w:val="nil"/>
              <w:left w:val="nil"/>
              <w:bottom w:val="single" w:sz="4" w:space="0" w:color="auto"/>
              <w:right w:val="nil"/>
            </w:tcBorders>
            <w:shd w:val="clear" w:color="auto" w:fill="auto"/>
            <w:vAlign w:val="center"/>
          </w:tcPr>
          <w:p w14:paraId="7FEA7218" w14:textId="61D3F74C" w:rsidR="009135D4" w:rsidRPr="00827E98" w:rsidRDefault="009135D4" w:rsidP="00FB625E">
            <w:pPr>
              <w:pStyle w:val="Graf"/>
              <w:spacing w:after="0" w:line="240" w:lineRule="auto"/>
              <w:rPr>
                <w:rFonts w:eastAsia="Times New Roman" w:cs="Times New Roman"/>
                <w:color w:val="2C9ADC"/>
                <w:szCs w:val="18"/>
                <w:lang w:eastAsia="sk-SK"/>
              </w:rPr>
            </w:pPr>
            <w:bookmarkStart w:id="62" w:name="_Toc456265678"/>
            <w:bookmarkStart w:id="63" w:name="_Toc478656327"/>
            <w:r w:rsidRPr="00827E98">
              <w:rPr>
                <w:rFonts w:eastAsia="Times New Roman" w:cs="Times New Roman"/>
                <w:color w:val="2C9ADC"/>
                <w:szCs w:val="18"/>
                <w:lang w:eastAsia="sk-SK"/>
              </w:rPr>
              <w:t xml:space="preserve">Graf </w:t>
            </w:r>
            <w:r w:rsidRPr="00827E98">
              <w:rPr>
                <w:rFonts w:eastAsia="Times New Roman" w:cs="Times New Roman"/>
                <w:color w:val="2C9ADC"/>
                <w:szCs w:val="18"/>
                <w:lang w:eastAsia="sk-SK"/>
              </w:rPr>
              <w:fldChar w:fldCharType="begin"/>
            </w:r>
            <w:r w:rsidRPr="00827E98">
              <w:rPr>
                <w:rFonts w:eastAsia="Times New Roman" w:cs="Times New Roman"/>
                <w:color w:val="2C9ADC"/>
                <w:szCs w:val="18"/>
                <w:lang w:eastAsia="sk-SK"/>
              </w:rPr>
              <w:instrText xml:space="preserve"> SEQ Graf \* ARABIC </w:instrText>
            </w:r>
            <w:r w:rsidRPr="00827E98">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24</w:t>
            </w:r>
            <w:r w:rsidRPr="00827E98">
              <w:rPr>
                <w:rFonts w:eastAsia="Times New Roman" w:cs="Times New Roman"/>
                <w:color w:val="2C9ADC"/>
                <w:szCs w:val="18"/>
                <w:lang w:eastAsia="sk-SK"/>
              </w:rPr>
              <w:fldChar w:fldCharType="end"/>
            </w:r>
            <w:r w:rsidRPr="00827E98">
              <w:rPr>
                <w:rFonts w:eastAsia="Times New Roman" w:cs="Times New Roman"/>
                <w:color w:val="2C9ADC"/>
                <w:szCs w:val="18"/>
                <w:lang w:eastAsia="sk-SK"/>
              </w:rPr>
              <w:t>:</w:t>
            </w:r>
            <w:bookmarkEnd w:id="62"/>
            <w:r>
              <w:rPr>
                <w:rFonts w:eastAsia="Times New Roman" w:cs="Times New Roman"/>
                <w:color w:val="2C9ADC"/>
                <w:szCs w:val="18"/>
                <w:lang w:eastAsia="sk-SK"/>
              </w:rPr>
              <w:t xml:space="preserve"> </w:t>
            </w:r>
            <w:r w:rsidRPr="00226B7C">
              <w:rPr>
                <w:rFonts w:eastAsia="Times New Roman" w:cs="Times New Roman"/>
                <w:color w:val="2C9ADC"/>
                <w:szCs w:val="18"/>
                <w:lang w:eastAsia="sk-SK"/>
              </w:rPr>
              <w:t>Jednotkové náklady železničných dopravcov (priemer 2013 – 2014, eur)</w:t>
            </w:r>
            <w:r w:rsidRPr="00236BA6">
              <w:rPr>
                <w:rFonts w:cs="Arial"/>
                <w:szCs w:val="18"/>
                <w:vertAlign w:val="superscript"/>
              </w:rPr>
              <w:footnoteReference w:id="44"/>
            </w:r>
            <w:bookmarkEnd w:id="63"/>
          </w:p>
        </w:tc>
      </w:tr>
      <w:tr w:rsidR="009135D4" w:rsidRPr="006C5792" w14:paraId="53C122BF" w14:textId="77777777" w:rsidTr="001678B1">
        <w:trPr>
          <w:trHeight w:val="920"/>
        </w:trPr>
        <w:tc>
          <w:tcPr>
            <w:tcW w:w="2390" w:type="pct"/>
            <w:tcBorders>
              <w:top w:val="single" w:sz="4" w:space="0" w:color="auto"/>
              <w:left w:val="nil"/>
              <w:bottom w:val="single" w:sz="4" w:space="0" w:color="auto"/>
              <w:right w:val="nil"/>
            </w:tcBorders>
            <w:vAlign w:val="center"/>
          </w:tcPr>
          <w:p w14:paraId="7935F2CA" w14:textId="17BE39D8" w:rsidR="009135D4" w:rsidRPr="006C5792" w:rsidRDefault="00F27F21" w:rsidP="00FB625E">
            <w:pPr>
              <w:spacing w:before="40" w:after="0" w:line="240" w:lineRule="auto"/>
              <w:jc w:val="center"/>
              <w:rPr>
                <w:rFonts w:ascii="Arial Narrow" w:hAnsi="Arial Narrow" w:cs="Arial"/>
                <w:sz w:val="20"/>
                <w:szCs w:val="20"/>
              </w:rPr>
            </w:pPr>
            <w:r>
              <w:rPr>
                <w:noProof/>
                <w:lang w:val="en-US" w:eastAsia="en-US"/>
              </w:rPr>
              <w:drawing>
                <wp:inline distT="0" distB="0" distL="0" distR="0" wp14:anchorId="77BDE0B7" wp14:editId="2D5A7B6F">
                  <wp:extent cx="2574290" cy="2124710"/>
                  <wp:effectExtent l="0" t="0" r="0" b="889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95" w:type="pct"/>
            <w:tcBorders>
              <w:top w:val="nil"/>
              <w:left w:val="nil"/>
              <w:bottom w:val="nil"/>
              <w:right w:val="nil"/>
            </w:tcBorders>
            <w:vAlign w:val="center"/>
          </w:tcPr>
          <w:p w14:paraId="25B02BEA" w14:textId="77777777" w:rsidR="009135D4" w:rsidRPr="006C5792" w:rsidRDefault="009135D4" w:rsidP="00FB625E">
            <w:pPr>
              <w:spacing w:before="40" w:after="0" w:line="240" w:lineRule="auto"/>
              <w:jc w:val="center"/>
              <w:rPr>
                <w:rFonts w:ascii="Arial Narrow" w:hAnsi="Arial Narrow" w:cs="Arial"/>
                <w:sz w:val="20"/>
                <w:szCs w:val="20"/>
              </w:rPr>
            </w:pPr>
          </w:p>
        </w:tc>
        <w:tc>
          <w:tcPr>
            <w:tcW w:w="2515" w:type="pct"/>
            <w:tcBorders>
              <w:top w:val="single" w:sz="4" w:space="0" w:color="auto"/>
              <w:left w:val="nil"/>
              <w:bottom w:val="single" w:sz="4" w:space="0" w:color="auto"/>
              <w:right w:val="nil"/>
            </w:tcBorders>
            <w:vAlign w:val="center"/>
          </w:tcPr>
          <w:p w14:paraId="729185A6" w14:textId="7012A149" w:rsidR="009135D4" w:rsidRPr="006C5792" w:rsidRDefault="00BE1C3D" w:rsidP="00FB625E">
            <w:pPr>
              <w:spacing w:after="0" w:line="240" w:lineRule="auto"/>
              <w:jc w:val="center"/>
              <w:rPr>
                <w:rFonts w:ascii="Arial Narrow" w:hAnsi="Arial Narrow" w:cs="Arial"/>
                <w:sz w:val="20"/>
                <w:szCs w:val="20"/>
              </w:rPr>
            </w:pPr>
            <w:r>
              <w:rPr>
                <w:noProof/>
                <w:lang w:val="en-US" w:eastAsia="en-US"/>
              </w:rPr>
              <w:drawing>
                <wp:inline distT="0" distB="0" distL="0" distR="0" wp14:anchorId="15C27298" wp14:editId="033E2EB0">
                  <wp:extent cx="2713990" cy="2096135"/>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135D4" w:rsidRPr="006C5792" w14:paraId="467E7486" w14:textId="77777777" w:rsidTr="001678B1">
        <w:trPr>
          <w:trHeight w:val="247"/>
        </w:trPr>
        <w:tc>
          <w:tcPr>
            <w:tcW w:w="2390" w:type="pct"/>
            <w:tcBorders>
              <w:top w:val="single" w:sz="4" w:space="0" w:color="auto"/>
              <w:left w:val="nil"/>
              <w:bottom w:val="nil"/>
              <w:right w:val="nil"/>
            </w:tcBorders>
          </w:tcPr>
          <w:p w14:paraId="335ED387" w14:textId="77777777" w:rsidR="009135D4" w:rsidRPr="008423BB" w:rsidRDefault="009135D4" w:rsidP="00FB625E">
            <w:pPr>
              <w:spacing w:before="40" w:after="0" w:line="240" w:lineRule="auto"/>
              <w:jc w:val="right"/>
              <w:rPr>
                <w:rFonts w:ascii="Arial Narrow" w:hAnsi="Arial Narrow" w:cs="Arial"/>
                <w:i/>
                <w:sz w:val="16"/>
                <w:szCs w:val="14"/>
              </w:rPr>
            </w:pPr>
            <w:r w:rsidRPr="008423BB">
              <w:rPr>
                <w:rFonts w:ascii="Arial Narrow" w:hAnsi="Arial Narrow" w:cs="Arial"/>
                <w:i/>
                <w:sz w:val="16"/>
                <w:szCs w:val="14"/>
              </w:rPr>
              <w:t xml:space="preserve">Zdroj: EC monitoring of rail markets </w:t>
            </w:r>
          </w:p>
        </w:tc>
        <w:tc>
          <w:tcPr>
            <w:tcW w:w="95" w:type="pct"/>
            <w:tcBorders>
              <w:top w:val="nil"/>
              <w:left w:val="nil"/>
              <w:bottom w:val="nil"/>
              <w:right w:val="nil"/>
            </w:tcBorders>
            <w:vAlign w:val="center"/>
          </w:tcPr>
          <w:p w14:paraId="57E5A939" w14:textId="77777777" w:rsidR="009135D4" w:rsidRPr="008423BB" w:rsidRDefault="009135D4" w:rsidP="00FB625E">
            <w:pPr>
              <w:spacing w:after="0" w:line="240" w:lineRule="auto"/>
              <w:jc w:val="center"/>
              <w:rPr>
                <w:rFonts w:ascii="Arial Narrow" w:hAnsi="Arial Narrow" w:cs="Arial"/>
                <w:i/>
                <w:sz w:val="16"/>
                <w:szCs w:val="14"/>
              </w:rPr>
            </w:pPr>
          </w:p>
        </w:tc>
        <w:tc>
          <w:tcPr>
            <w:tcW w:w="2515" w:type="pct"/>
            <w:tcBorders>
              <w:top w:val="single" w:sz="4" w:space="0" w:color="auto"/>
              <w:left w:val="nil"/>
              <w:bottom w:val="nil"/>
              <w:right w:val="nil"/>
            </w:tcBorders>
            <w:vAlign w:val="center"/>
          </w:tcPr>
          <w:p w14:paraId="4A0BEC8B" w14:textId="21F31F70" w:rsidR="009135D4" w:rsidRPr="008423BB" w:rsidRDefault="009135D4" w:rsidP="00FB625E">
            <w:pPr>
              <w:spacing w:before="40" w:after="0" w:line="240" w:lineRule="auto"/>
              <w:jc w:val="right"/>
              <w:rPr>
                <w:rFonts w:cs="Arial"/>
                <w:i/>
                <w:sz w:val="16"/>
                <w:szCs w:val="14"/>
              </w:rPr>
            </w:pPr>
            <w:r w:rsidRPr="008423BB">
              <w:rPr>
                <w:rFonts w:ascii="Arial Narrow" w:hAnsi="Arial Narrow" w:cs="Arial"/>
                <w:i/>
                <w:sz w:val="16"/>
                <w:szCs w:val="14"/>
              </w:rPr>
              <w:t>Zdroj: SŽDC, Výročné správy ČD a ŽSR</w:t>
            </w:r>
          </w:p>
        </w:tc>
      </w:tr>
    </w:tbl>
    <w:p w14:paraId="51009DBC" w14:textId="77777777" w:rsidR="008423BB" w:rsidRDefault="008423BB" w:rsidP="008423BB">
      <w:pPr>
        <w:spacing w:after="0" w:line="240" w:lineRule="auto"/>
        <w:jc w:val="both"/>
        <w:rPr>
          <w:rFonts w:ascii="Arial Narrow" w:hAnsi="Arial Narrow"/>
        </w:rPr>
      </w:pPr>
    </w:p>
    <w:p w14:paraId="67251AEE" w14:textId="3C0292DA" w:rsidR="009135D4" w:rsidRDefault="009135D4" w:rsidP="008423BB">
      <w:pPr>
        <w:spacing w:after="0" w:line="240" w:lineRule="auto"/>
        <w:jc w:val="both"/>
        <w:rPr>
          <w:rFonts w:ascii="Arial Narrow" w:hAnsi="Arial Narrow"/>
        </w:rPr>
      </w:pPr>
      <w:r w:rsidRPr="006C5792">
        <w:rPr>
          <w:rFonts w:ascii="Arial Narrow" w:hAnsi="Arial Narrow"/>
        </w:rPr>
        <w:t>Veľká časť železničných koľají je v </w:t>
      </w:r>
      <w:r w:rsidRPr="00766E2B">
        <w:rPr>
          <w:rFonts w:ascii="Arial Narrow" w:hAnsi="Arial Narrow"/>
          <w:b/>
        </w:rPr>
        <w:t>zhoršenom st</w:t>
      </w:r>
      <w:r w:rsidR="00F60846">
        <w:rPr>
          <w:rFonts w:ascii="Arial Narrow" w:hAnsi="Arial Narrow"/>
          <w:b/>
        </w:rPr>
        <w:t xml:space="preserve">ave, čo sa prejavuje nízkymi priemernými </w:t>
      </w:r>
      <w:r w:rsidRPr="00766E2B">
        <w:rPr>
          <w:rFonts w:ascii="Arial Narrow" w:hAnsi="Arial Narrow"/>
          <w:b/>
        </w:rPr>
        <w:t>traťový</w:t>
      </w:r>
      <w:r w:rsidR="00F60846">
        <w:rPr>
          <w:rFonts w:ascii="Arial Narrow" w:hAnsi="Arial Narrow"/>
          <w:b/>
        </w:rPr>
        <w:t xml:space="preserve">mi rýchlosťami a </w:t>
      </w:r>
      <w:r w:rsidRPr="00766E2B">
        <w:rPr>
          <w:rFonts w:ascii="Arial Narrow" w:hAnsi="Arial Narrow"/>
          <w:b/>
        </w:rPr>
        <w:t>častými rýchlostnými prepadmi</w:t>
      </w:r>
      <w:r w:rsidR="0079468C">
        <w:rPr>
          <w:rFonts w:ascii="Arial Narrow" w:hAnsi="Arial Narrow"/>
        </w:rPr>
        <w:t xml:space="preserve">. </w:t>
      </w:r>
      <w:r w:rsidRPr="00345154">
        <w:rPr>
          <w:rFonts w:ascii="Arial Narrow" w:hAnsi="Arial Narrow"/>
        </w:rPr>
        <w:t xml:space="preserve">Zaostalá </w:t>
      </w:r>
      <w:r>
        <w:rPr>
          <w:rFonts w:ascii="Arial Narrow" w:hAnsi="Arial Narrow"/>
        </w:rPr>
        <w:t xml:space="preserve">železničná </w:t>
      </w:r>
      <w:r w:rsidRPr="00345154">
        <w:rPr>
          <w:rFonts w:ascii="Arial Narrow" w:hAnsi="Arial Narrow"/>
        </w:rPr>
        <w:t>infraštruktúra vyžaduje viac manuálnych</w:t>
      </w:r>
      <w:r>
        <w:rPr>
          <w:rFonts w:ascii="Arial Narrow" w:hAnsi="Arial Narrow"/>
        </w:rPr>
        <w:t xml:space="preserve"> </w:t>
      </w:r>
      <w:r w:rsidRPr="00345154">
        <w:rPr>
          <w:rFonts w:ascii="Arial Narrow" w:hAnsi="Arial Narrow"/>
        </w:rPr>
        <w:t xml:space="preserve">úkonov, </w:t>
      </w:r>
      <w:r>
        <w:rPr>
          <w:rFonts w:ascii="Arial Narrow" w:hAnsi="Arial Narrow"/>
        </w:rPr>
        <w:t>je preto jedným z dôvodov štvrtého najvyššieho počtu zamestnancov na km tratí v EÚ. V</w:t>
      </w:r>
      <w:r w:rsidRPr="006C5792">
        <w:rPr>
          <w:rFonts w:ascii="Arial Narrow" w:hAnsi="Arial Narrow"/>
        </w:rPr>
        <w:t xml:space="preserve"> roku 2015 klesol </w:t>
      </w:r>
      <w:r>
        <w:rPr>
          <w:rFonts w:ascii="Arial Narrow" w:hAnsi="Arial Narrow"/>
        </w:rPr>
        <w:t xml:space="preserve">ich </w:t>
      </w:r>
      <w:r w:rsidRPr="006C5792">
        <w:rPr>
          <w:rFonts w:ascii="Arial Narrow" w:hAnsi="Arial Narrow"/>
        </w:rPr>
        <w:t>priemerný počet o</w:t>
      </w:r>
      <w:r w:rsidR="00F97028">
        <w:rPr>
          <w:rFonts w:ascii="Arial Narrow" w:hAnsi="Arial Narrow"/>
        </w:rPr>
        <w:t> </w:t>
      </w:r>
      <w:r w:rsidRPr="006C5792">
        <w:rPr>
          <w:rFonts w:ascii="Arial Narrow" w:hAnsi="Arial Narrow"/>
        </w:rPr>
        <w:t>1</w:t>
      </w:r>
      <w:r w:rsidR="00F97028">
        <w:rPr>
          <w:rFonts w:ascii="Arial Narrow" w:hAnsi="Arial Narrow"/>
        </w:rPr>
        <w:t xml:space="preserve"> </w:t>
      </w:r>
      <w:r w:rsidRPr="006C5792">
        <w:rPr>
          <w:rFonts w:ascii="Arial Narrow" w:hAnsi="Arial Narrow"/>
        </w:rPr>
        <w:t xml:space="preserve">% </w:t>
      </w:r>
      <w:r w:rsidRPr="00310353">
        <w:rPr>
          <w:rFonts w:ascii="Arial Narrow" w:hAnsi="Arial Narrow"/>
        </w:rPr>
        <w:t>na 14 018</w:t>
      </w:r>
      <w:r>
        <w:rPr>
          <w:rFonts w:ascii="Arial Narrow" w:hAnsi="Arial Narrow"/>
        </w:rPr>
        <w:t>.</w:t>
      </w:r>
      <w:r w:rsidRPr="00B078EC">
        <w:rPr>
          <w:rFonts w:ascii="Arial Narrow" w:hAnsi="Arial Narrow"/>
        </w:rPr>
        <w:t xml:space="preserve"> </w:t>
      </w:r>
      <w:r w:rsidRPr="006C5792">
        <w:rPr>
          <w:rFonts w:ascii="Arial Narrow" w:hAnsi="Arial Narrow"/>
        </w:rPr>
        <w:t>V</w:t>
      </w:r>
      <w:r w:rsidR="008D587E">
        <w:rPr>
          <w:rFonts w:ascii="Arial Narrow" w:hAnsi="Arial Narrow"/>
        </w:rPr>
        <w:t> </w:t>
      </w:r>
      <w:r w:rsidRPr="006C5792">
        <w:rPr>
          <w:rFonts w:ascii="Arial Narrow" w:hAnsi="Arial Narrow"/>
        </w:rPr>
        <w:t>rokoch</w:t>
      </w:r>
      <w:r w:rsidR="008D587E">
        <w:rPr>
          <w:rFonts w:ascii="Arial Narrow" w:hAnsi="Arial Narrow"/>
        </w:rPr>
        <w:t xml:space="preserve"> je</w:t>
      </w:r>
      <w:r w:rsidRPr="006C5792">
        <w:rPr>
          <w:rFonts w:ascii="Arial Narrow" w:hAnsi="Arial Narrow"/>
        </w:rPr>
        <w:t xml:space="preserve"> 2017 </w:t>
      </w:r>
      <w:r w:rsidR="00F97028">
        <w:rPr>
          <w:rFonts w:ascii="Arial Narrow" w:hAnsi="Arial Narrow"/>
        </w:rPr>
        <w:t>až</w:t>
      </w:r>
      <w:r w:rsidR="00F97028" w:rsidRPr="006C5792">
        <w:rPr>
          <w:rFonts w:ascii="Arial Narrow" w:hAnsi="Arial Narrow"/>
        </w:rPr>
        <w:t xml:space="preserve"> </w:t>
      </w:r>
      <w:r w:rsidRPr="006C5792">
        <w:rPr>
          <w:rFonts w:ascii="Arial Narrow" w:hAnsi="Arial Narrow"/>
        </w:rPr>
        <w:t>2019 je mzdová obálk</w:t>
      </w:r>
      <w:r>
        <w:rPr>
          <w:rFonts w:ascii="Arial Narrow" w:hAnsi="Arial Narrow"/>
        </w:rPr>
        <w:t xml:space="preserve">a zmrazená a </w:t>
      </w:r>
      <w:r w:rsidRPr="006C5792">
        <w:rPr>
          <w:rFonts w:ascii="Arial Narrow" w:hAnsi="Arial Narrow"/>
        </w:rPr>
        <w:t>ŽSR bud</w:t>
      </w:r>
      <w:r>
        <w:rPr>
          <w:rFonts w:ascii="Arial Narrow" w:hAnsi="Arial Narrow"/>
        </w:rPr>
        <w:t>e naďalej znižovať zamestnanosť.</w:t>
      </w:r>
    </w:p>
    <w:p w14:paraId="1FB01907" w14:textId="77777777" w:rsidR="008423BB" w:rsidRDefault="008423BB" w:rsidP="008423BB">
      <w:pPr>
        <w:spacing w:after="0" w:line="240" w:lineRule="auto"/>
        <w:jc w:val="both"/>
        <w:rPr>
          <w:rFonts w:ascii="Arial Narrow" w:hAnsi="Arial Narrow"/>
        </w:rPr>
      </w:pPr>
    </w:p>
    <w:p w14:paraId="158702F7" w14:textId="44189738" w:rsidR="009135D4" w:rsidRDefault="009135D4" w:rsidP="008423BB">
      <w:pPr>
        <w:spacing w:after="0" w:line="240" w:lineRule="auto"/>
        <w:jc w:val="both"/>
        <w:rPr>
          <w:rFonts w:ascii="Arial Narrow" w:hAnsi="Arial Narrow"/>
        </w:rPr>
      </w:pPr>
      <w:r w:rsidRPr="00334987">
        <w:rPr>
          <w:rFonts w:ascii="Arial Narrow" w:hAnsi="Arial Narrow"/>
          <w:b/>
        </w:rPr>
        <w:t>Priemerné náklady na vlakový kilometer ZSSK</w:t>
      </w:r>
      <w:r w:rsidRPr="006C5792">
        <w:rPr>
          <w:rFonts w:ascii="Arial Narrow" w:hAnsi="Arial Narrow"/>
        </w:rPr>
        <w:t xml:space="preserve"> </w:t>
      </w:r>
      <w:r w:rsidRPr="00334987">
        <w:rPr>
          <w:rFonts w:ascii="Arial Narrow" w:hAnsi="Arial Narrow"/>
          <w:b/>
        </w:rPr>
        <w:t>sú o 76 %</w:t>
      </w:r>
      <w:r w:rsidRPr="006C5792">
        <w:rPr>
          <w:rFonts w:ascii="Arial Narrow" w:hAnsi="Arial Narrow"/>
        </w:rPr>
        <w:t xml:space="preserve"> (resp. o 53 % bez poplatku za dopravnú cestu) </w:t>
      </w:r>
      <w:r w:rsidRPr="00334987">
        <w:rPr>
          <w:rFonts w:ascii="Arial Narrow" w:hAnsi="Arial Narrow"/>
          <w:b/>
        </w:rPr>
        <w:t>vyššie ako v Česku</w:t>
      </w:r>
      <w:r w:rsidRPr="006C5792">
        <w:rPr>
          <w:rFonts w:ascii="Arial Narrow" w:hAnsi="Arial Narrow"/>
        </w:rPr>
        <w:t xml:space="preserve"> (České dráhy)</w:t>
      </w:r>
      <w:r>
        <w:rPr>
          <w:rFonts w:ascii="Arial Narrow" w:hAnsi="Arial Narrow"/>
        </w:rPr>
        <w:t>.</w:t>
      </w:r>
      <w:r w:rsidRPr="00A24741">
        <w:t xml:space="preserve"> </w:t>
      </w:r>
      <w:r>
        <w:rPr>
          <w:rFonts w:ascii="Arial Narrow" w:hAnsi="Arial Narrow"/>
        </w:rPr>
        <w:t>O</w:t>
      </w:r>
      <w:r w:rsidRPr="00A24741">
        <w:rPr>
          <w:rFonts w:ascii="Arial Narrow" w:hAnsi="Arial Narrow"/>
        </w:rPr>
        <w:t>vplyvňuje</w:t>
      </w:r>
      <w:r>
        <w:rPr>
          <w:rFonts w:ascii="Arial Narrow" w:hAnsi="Arial Narrow"/>
        </w:rPr>
        <w:t xml:space="preserve"> ich napr. </w:t>
      </w:r>
      <w:r w:rsidRPr="00A24741">
        <w:rPr>
          <w:rFonts w:ascii="Arial Narrow" w:hAnsi="Arial Narrow"/>
        </w:rPr>
        <w:t xml:space="preserve">nízke využitie vozidiel, obmedzenie </w:t>
      </w:r>
      <w:r>
        <w:rPr>
          <w:rFonts w:ascii="Arial Narrow" w:hAnsi="Arial Narrow"/>
        </w:rPr>
        <w:t xml:space="preserve">maximálnym počtom </w:t>
      </w:r>
      <w:r w:rsidRPr="00A24741">
        <w:rPr>
          <w:rFonts w:ascii="Arial Narrow" w:hAnsi="Arial Narrow"/>
        </w:rPr>
        <w:t>vlakový</w:t>
      </w:r>
      <w:r w:rsidR="00FE6791">
        <w:rPr>
          <w:rFonts w:ascii="Arial Narrow" w:hAnsi="Arial Narrow"/>
        </w:rPr>
        <w:t>ch kilometrov</w:t>
      </w:r>
      <w:r>
        <w:rPr>
          <w:rStyle w:val="Odkaznapoznmkupodiarou"/>
          <w:rFonts w:ascii="Arial Narrow" w:hAnsi="Arial Narrow"/>
        </w:rPr>
        <w:footnoteReference w:id="45"/>
      </w:r>
      <w:r w:rsidR="00FE6791">
        <w:rPr>
          <w:rFonts w:ascii="Arial Narrow" w:hAnsi="Arial Narrow"/>
        </w:rPr>
        <w:t xml:space="preserve">, </w:t>
      </w:r>
      <w:r>
        <w:rPr>
          <w:rFonts w:ascii="Arial Narrow" w:hAnsi="Arial Narrow"/>
        </w:rPr>
        <w:t>či</w:t>
      </w:r>
      <w:r w:rsidRPr="00A24741">
        <w:rPr>
          <w:rFonts w:ascii="Arial Narrow" w:hAnsi="Arial Narrow"/>
        </w:rPr>
        <w:t xml:space="preserve"> prevádzkovanie dopravy </w:t>
      </w:r>
      <w:r>
        <w:rPr>
          <w:rFonts w:ascii="Arial Narrow" w:hAnsi="Arial Narrow"/>
        </w:rPr>
        <w:t>na tratiach s nízkym dopytom</w:t>
      </w:r>
      <w:r w:rsidRPr="006C5792">
        <w:rPr>
          <w:rFonts w:ascii="Arial Narrow" w:hAnsi="Arial Narrow"/>
        </w:rPr>
        <w:t xml:space="preserve">. </w:t>
      </w:r>
      <w:r>
        <w:rPr>
          <w:rFonts w:ascii="Arial Narrow" w:hAnsi="Arial Narrow"/>
        </w:rPr>
        <w:t>MDV SR bude h</w:t>
      </w:r>
      <w:r w:rsidRPr="00334987">
        <w:rPr>
          <w:rFonts w:ascii="Arial Narrow" w:hAnsi="Arial Narrow"/>
        </w:rPr>
        <w:t>ľadať opatrenia na</w:t>
      </w:r>
      <w:r w:rsidRPr="00334987">
        <w:rPr>
          <w:rFonts w:ascii="Arial Narrow" w:hAnsi="Arial Narrow"/>
          <w:b/>
        </w:rPr>
        <w:t xml:space="preserve"> </w:t>
      </w:r>
      <w:r w:rsidRPr="003905AC">
        <w:rPr>
          <w:rFonts w:ascii="Arial Narrow" w:hAnsi="Arial Narrow"/>
        </w:rPr>
        <w:t>optimalizáciu jednotkových nákladov</w:t>
      </w:r>
      <w:r w:rsidRPr="00334987">
        <w:rPr>
          <w:rFonts w:ascii="Arial Narrow" w:hAnsi="Arial Narrow"/>
        </w:rPr>
        <w:t xml:space="preserve"> a zvyšovanie výnosov, spolu o</w:t>
      </w:r>
      <w:r w:rsidR="000E68CE">
        <w:rPr>
          <w:rFonts w:ascii="Arial Narrow" w:hAnsi="Arial Narrow"/>
        </w:rPr>
        <w:t> </w:t>
      </w:r>
      <w:r w:rsidRPr="00334987">
        <w:rPr>
          <w:rFonts w:ascii="Arial Narrow" w:hAnsi="Arial Narrow"/>
        </w:rPr>
        <w:t>20</w:t>
      </w:r>
      <w:r w:rsidR="000E68CE">
        <w:rPr>
          <w:rFonts w:ascii="Arial Narrow" w:hAnsi="Arial Narrow"/>
        </w:rPr>
        <w:t xml:space="preserve"> </w:t>
      </w:r>
      <w:r w:rsidRPr="00334987">
        <w:rPr>
          <w:rFonts w:ascii="Arial Narrow" w:hAnsi="Arial Narrow"/>
        </w:rPr>
        <w:t>% v dotovanej verejnej osobnej železničnej doprave.</w:t>
      </w:r>
      <w:r>
        <w:rPr>
          <w:rFonts w:ascii="Arial Narrow" w:hAnsi="Arial Narrow"/>
        </w:rPr>
        <w:t xml:space="preserve"> </w:t>
      </w:r>
    </w:p>
    <w:p w14:paraId="43079CF2" w14:textId="77777777" w:rsidR="008423BB" w:rsidRDefault="008423BB" w:rsidP="008423BB">
      <w:pPr>
        <w:spacing w:after="0" w:line="240" w:lineRule="auto"/>
        <w:jc w:val="both"/>
        <w:rPr>
          <w:rFonts w:ascii="Arial Narrow" w:hAnsi="Arial Narrow"/>
        </w:rPr>
      </w:pPr>
    </w:p>
    <w:p w14:paraId="7191AFDA" w14:textId="77777777" w:rsidR="009135D4" w:rsidRDefault="009135D4" w:rsidP="00FB625E">
      <w:pPr>
        <w:spacing w:after="0" w:line="240" w:lineRule="auto"/>
        <w:jc w:val="both"/>
        <w:rPr>
          <w:rFonts w:ascii="Arial Narrow" w:hAnsi="Arial Narrow"/>
        </w:rPr>
      </w:pPr>
      <w:r w:rsidRPr="006B0F1A">
        <w:rPr>
          <w:rFonts w:ascii="Arial Narrow" w:hAnsi="Arial Narrow"/>
          <w:b/>
          <w:i/>
        </w:rPr>
        <w:t>Národný generel dopravy</w:t>
      </w:r>
      <w:r>
        <w:rPr>
          <w:rFonts w:ascii="Arial Narrow" w:hAnsi="Arial Narrow"/>
        </w:rPr>
        <w:t xml:space="preserve"> </w:t>
      </w:r>
    </w:p>
    <w:p w14:paraId="08F04BBE" w14:textId="738825FB" w:rsidR="009135D4" w:rsidRDefault="009135D4" w:rsidP="008423BB">
      <w:pPr>
        <w:spacing w:after="0" w:line="240" w:lineRule="auto"/>
        <w:jc w:val="both"/>
        <w:rPr>
          <w:rFonts w:ascii="Arial Narrow" w:hAnsi="Arial Narrow"/>
        </w:rPr>
      </w:pPr>
      <w:r>
        <w:rPr>
          <w:rFonts w:ascii="Arial Narrow" w:hAnsi="Arial Narrow"/>
        </w:rPr>
        <w:t>Národný generel dopravy</w:t>
      </w:r>
      <w:r w:rsidR="0009197C">
        <w:rPr>
          <w:rFonts w:ascii="Arial Narrow" w:hAnsi="Arial Narrow"/>
        </w:rPr>
        <w:t xml:space="preserve"> </w:t>
      </w:r>
      <w:r w:rsidRPr="00A60936">
        <w:rPr>
          <w:rFonts w:ascii="Arial Narrow" w:hAnsi="Arial Narrow"/>
        </w:rPr>
        <w:t>by mal priniesť komplexný pohľad na riešenie dopravných vzťahov na Slovensku a nastaviť dlhodobé priority v doprave a dopravnej infraštruktúre.</w:t>
      </w:r>
      <w:r>
        <w:rPr>
          <w:rFonts w:ascii="Arial Narrow" w:hAnsi="Arial Narrow"/>
        </w:rPr>
        <w:t xml:space="preserve"> V</w:t>
      </w:r>
      <w:r w:rsidRPr="00A60936">
        <w:rPr>
          <w:rFonts w:ascii="Arial Narrow" w:hAnsi="Arial Narrow"/>
        </w:rPr>
        <w:t xml:space="preserve"> rámci jeho spracovania </w:t>
      </w:r>
      <w:r>
        <w:rPr>
          <w:rFonts w:ascii="Arial Narrow" w:hAnsi="Arial Narrow"/>
        </w:rPr>
        <w:t>má</w:t>
      </w:r>
      <w:r w:rsidRPr="00A60936">
        <w:rPr>
          <w:rFonts w:ascii="Arial Narrow" w:hAnsi="Arial Narrow"/>
        </w:rPr>
        <w:t xml:space="preserve"> byť zostavený cieľový grafikon železničnej dopravy do roku 2020/2030 a komplexný plán dopravnej obslužnosti vlakovej a autobusovej dopravy SR.</w:t>
      </w:r>
    </w:p>
    <w:p w14:paraId="2254663B" w14:textId="77777777" w:rsidR="008423BB" w:rsidRPr="00DF7F9A" w:rsidRDefault="008423BB" w:rsidP="008423BB">
      <w:pPr>
        <w:spacing w:after="0" w:line="240" w:lineRule="auto"/>
        <w:jc w:val="both"/>
        <w:rPr>
          <w:rFonts w:ascii="Arial Narrow" w:hAnsi="Arial Narrow"/>
        </w:rPr>
      </w:pPr>
    </w:p>
    <w:p w14:paraId="05966536" w14:textId="77777777" w:rsidR="009135D4" w:rsidRPr="006B0F1A" w:rsidRDefault="009135D4" w:rsidP="00FB625E">
      <w:pPr>
        <w:spacing w:after="0" w:line="240" w:lineRule="auto"/>
        <w:jc w:val="both"/>
        <w:rPr>
          <w:rFonts w:ascii="Arial Narrow" w:hAnsi="Arial Narrow"/>
          <w:b/>
          <w:i/>
        </w:rPr>
      </w:pPr>
      <w:r>
        <w:rPr>
          <w:rFonts w:ascii="Arial Narrow" w:hAnsi="Arial Narrow"/>
          <w:b/>
          <w:i/>
        </w:rPr>
        <w:t>Koordinácia v</w:t>
      </w:r>
      <w:r w:rsidRPr="006B0F1A">
        <w:rPr>
          <w:rFonts w:ascii="Arial Narrow" w:hAnsi="Arial Narrow"/>
          <w:b/>
          <w:i/>
        </w:rPr>
        <w:t>erejn</w:t>
      </w:r>
      <w:r>
        <w:rPr>
          <w:rFonts w:ascii="Arial Narrow" w:hAnsi="Arial Narrow"/>
          <w:b/>
          <w:i/>
        </w:rPr>
        <w:t>ej</w:t>
      </w:r>
      <w:r w:rsidRPr="006B0F1A">
        <w:rPr>
          <w:rFonts w:ascii="Arial Narrow" w:hAnsi="Arial Narrow"/>
          <w:b/>
          <w:i/>
        </w:rPr>
        <w:t xml:space="preserve"> osobn</w:t>
      </w:r>
      <w:r>
        <w:rPr>
          <w:rFonts w:ascii="Arial Narrow" w:hAnsi="Arial Narrow"/>
          <w:b/>
          <w:i/>
        </w:rPr>
        <w:t>ej</w:t>
      </w:r>
      <w:r w:rsidRPr="006B0F1A">
        <w:rPr>
          <w:rFonts w:ascii="Arial Narrow" w:hAnsi="Arial Narrow"/>
          <w:b/>
          <w:i/>
        </w:rPr>
        <w:t xml:space="preserve"> doprav</w:t>
      </w:r>
      <w:r>
        <w:rPr>
          <w:rFonts w:ascii="Arial Narrow" w:hAnsi="Arial Narrow"/>
          <w:b/>
          <w:i/>
        </w:rPr>
        <w:t>y</w:t>
      </w:r>
    </w:p>
    <w:p w14:paraId="4CBE08B1" w14:textId="77777777" w:rsidR="00473D1B" w:rsidRDefault="00473D1B" w:rsidP="00473D1B">
      <w:pPr>
        <w:spacing w:after="0" w:line="240" w:lineRule="auto"/>
        <w:jc w:val="both"/>
        <w:rPr>
          <w:rFonts w:ascii="Arial Narrow" w:hAnsi="Arial Narrow"/>
        </w:rPr>
      </w:pPr>
      <w:r>
        <w:rPr>
          <w:rFonts w:ascii="Arial Narrow" w:hAnsi="Arial Narrow"/>
        </w:rPr>
        <w:t>Záujem o autobusovú verejnú osobnú dopravu v SR klesá, dopyt po prímestských autobusoch klesol m</w:t>
      </w:r>
      <w:r w:rsidRPr="009B0AD0">
        <w:rPr>
          <w:rFonts w:ascii="Arial Narrow" w:hAnsi="Arial Narrow"/>
        </w:rPr>
        <w:t xml:space="preserve">edzi rokmi </w:t>
      </w:r>
      <w:r>
        <w:rPr>
          <w:rFonts w:ascii="Arial Narrow" w:hAnsi="Arial Narrow"/>
        </w:rPr>
        <w:t>2006 až 2015</w:t>
      </w:r>
      <w:r w:rsidRPr="00B35931">
        <w:rPr>
          <w:rFonts w:ascii="Arial Narrow" w:hAnsi="Arial Narrow"/>
        </w:rPr>
        <w:t xml:space="preserve"> </w:t>
      </w:r>
      <w:r>
        <w:rPr>
          <w:rFonts w:ascii="Arial Narrow" w:hAnsi="Arial Narrow"/>
        </w:rPr>
        <w:t>až</w:t>
      </w:r>
      <w:r w:rsidRPr="009B0AD0">
        <w:rPr>
          <w:rFonts w:ascii="Arial Narrow" w:hAnsi="Arial Narrow"/>
        </w:rPr>
        <w:t xml:space="preserve"> o 4</w:t>
      </w:r>
      <w:r>
        <w:rPr>
          <w:rFonts w:ascii="Arial Narrow" w:hAnsi="Arial Narrow"/>
        </w:rPr>
        <w:t>0</w:t>
      </w:r>
      <w:r w:rsidRPr="009B0AD0">
        <w:rPr>
          <w:rFonts w:ascii="Arial Narrow" w:hAnsi="Arial Narrow"/>
        </w:rPr>
        <w:t xml:space="preserve"> %</w:t>
      </w:r>
      <w:r>
        <w:rPr>
          <w:rFonts w:ascii="Arial Narrow" w:hAnsi="Arial Narrow"/>
        </w:rPr>
        <w:t>, zatiaľ čo ponuka sa znížila iba o o 3</w:t>
      </w:r>
      <w:r w:rsidRPr="009B0AD0">
        <w:rPr>
          <w:rFonts w:ascii="Arial Narrow" w:hAnsi="Arial Narrow"/>
        </w:rPr>
        <w:t xml:space="preserve"> %.</w:t>
      </w:r>
      <w:r>
        <w:rPr>
          <w:rFonts w:ascii="Arial Narrow" w:hAnsi="Arial Narrow"/>
        </w:rPr>
        <w:t xml:space="preserve"> Problémom je n</w:t>
      </w:r>
      <w:r w:rsidRPr="009B0AD0">
        <w:rPr>
          <w:rFonts w:ascii="Arial Narrow" w:hAnsi="Arial Narrow"/>
        </w:rPr>
        <w:t>ízk</w:t>
      </w:r>
      <w:r>
        <w:rPr>
          <w:rFonts w:ascii="Arial Narrow" w:hAnsi="Arial Narrow"/>
        </w:rPr>
        <w:t>a</w:t>
      </w:r>
      <w:r w:rsidRPr="009B0AD0">
        <w:rPr>
          <w:rFonts w:ascii="Arial Narrow" w:hAnsi="Arial Narrow"/>
        </w:rPr>
        <w:t xml:space="preserve"> vyťaženosť niektorých vlakov a</w:t>
      </w:r>
      <w:r>
        <w:rPr>
          <w:rFonts w:ascii="Arial Narrow" w:hAnsi="Arial Narrow"/>
        </w:rPr>
        <w:t> </w:t>
      </w:r>
      <w:r w:rsidRPr="009B0AD0">
        <w:rPr>
          <w:rFonts w:ascii="Arial Narrow" w:hAnsi="Arial Narrow"/>
        </w:rPr>
        <w:t>autobusov</w:t>
      </w:r>
      <w:r>
        <w:rPr>
          <w:rFonts w:ascii="Arial Narrow" w:hAnsi="Arial Narrow"/>
        </w:rPr>
        <w:t xml:space="preserve">, čo môže byť spôsobené aj ich nežiadúcimi súbehmi. MDV SR plánuje preto zriadiť </w:t>
      </w:r>
      <w:r w:rsidRPr="00092E4C">
        <w:rPr>
          <w:rFonts w:ascii="Arial Narrow" w:hAnsi="Arial Narrow"/>
          <w:b/>
        </w:rPr>
        <w:t>dopravn</w:t>
      </w:r>
      <w:r>
        <w:rPr>
          <w:rFonts w:ascii="Arial Narrow" w:hAnsi="Arial Narrow"/>
          <w:b/>
        </w:rPr>
        <w:t>ú</w:t>
      </w:r>
      <w:r w:rsidRPr="00092E4C">
        <w:rPr>
          <w:rFonts w:ascii="Arial Narrow" w:hAnsi="Arial Narrow"/>
          <w:b/>
        </w:rPr>
        <w:t xml:space="preserve"> autorit</w:t>
      </w:r>
      <w:r>
        <w:rPr>
          <w:rFonts w:ascii="Arial Narrow" w:hAnsi="Arial Narrow"/>
          <w:b/>
        </w:rPr>
        <w:t xml:space="preserve">u, </w:t>
      </w:r>
      <w:r>
        <w:rPr>
          <w:rFonts w:ascii="Arial Narrow" w:hAnsi="Arial Narrow"/>
        </w:rPr>
        <w:t>ktorá m</w:t>
      </w:r>
      <w:r w:rsidRPr="00222D14">
        <w:rPr>
          <w:rFonts w:ascii="Arial Narrow" w:hAnsi="Arial Narrow"/>
        </w:rPr>
        <w:t>á zabezpečiť koordináciu osobnej vlakovej, prímestskej autobusovej a prípadne i mestskej hromadnej dopravy</w:t>
      </w:r>
      <w:r>
        <w:rPr>
          <w:rFonts w:ascii="Arial Narrow" w:hAnsi="Arial Narrow"/>
        </w:rPr>
        <w:t>. Jej c</w:t>
      </w:r>
      <w:r w:rsidRPr="00222D14">
        <w:rPr>
          <w:rFonts w:ascii="Arial Narrow" w:hAnsi="Arial Narrow"/>
        </w:rPr>
        <w:t>ieľom je zvýšiť dostupnosť</w:t>
      </w:r>
      <w:r>
        <w:rPr>
          <w:rFonts w:ascii="Arial Narrow" w:hAnsi="Arial Narrow"/>
        </w:rPr>
        <w:t xml:space="preserve">, </w:t>
      </w:r>
      <w:r w:rsidRPr="00222D14">
        <w:rPr>
          <w:rFonts w:ascii="Arial Narrow" w:hAnsi="Arial Narrow"/>
        </w:rPr>
        <w:t>komfort</w:t>
      </w:r>
      <w:r>
        <w:rPr>
          <w:rFonts w:ascii="Arial Narrow" w:hAnsi="Arial Narrow"/>
        </w:rPr>
        <w:t>, a teda atraktivitu</w:t>
      </w:r>
      <w:r w:rsidRPr="00222D14">
        <w:rPr>
          <w:rFonts w:ascii="Arial Narrow" w:hAnsi="Arial Narrow"/>
        </w:rPr>
        <w:t xml:space="preserve"> verejnej osobnej dopravy. Plán dopravnej obslužnosti SR, ktorý má byť spracovaný v rámci </w:t>
      </w:r>
      <w:r>
        <w:rPr>
          <w:rFonts w:ascii="Arial Narrow" w:hAnsi="Arial Narrow"/>
        </w:rPr>
        <w:t>Národného</w:t>
      </w:r>
      <w:r w:rsidRPr="00222D14">
        <w:rPr>
          <w:rFonts w:ascii="Arial Narrow" w:hAnsi="Arial Narrow"/>
        </w:rPr>
        <w:t xml:space="preserve"> generel</w:t>
      </w:r>
      <w:r>
        <w:rPr>
          <w:rFonts w:ascii="Arial Narrow" w:hAnsi="Arial Narrow"/>
        </w:rPr>
        <w:t>u dopravy</w:t>
      </w:r>
      <w:r w:rsidRPr="00222D14">
        <w:rPr>
          <w:rFonts w:ascii="Arial Narrow" w:hAnsi="Arial Narrow"/>
        </w:rPr>
        <w:t>, má byť základným programovým dokumentom fungovania</w:t>
      </w:r>
      <w:r>
        <w:rPr>
          <w:rFonts w:ascii="Arial Narrow" w:hAnsi="Arial Narrow"/>
        </w:rPr>
        <w:t xml:space="preserve"> dopravnej autority.</w:t>
      </w:r>
    </w:p>
    <w:p w14:paraId="2E882191" w14:textId="2CDC24D3" w:rsidR="00E04704" w:rsidRDefault="009525B4" w:rsidP="00FB625E">
      <w:pPr>
        <w:spacing w:after="0" w:line="240" w:lineRule="auto"/>
        <w:jc w:val="both"/>
        <w:rPr>
          <w:rFonts w:ascii="Arial Narrow" w:hAnsi="Arial Narrow"/>
        </w:rPr>
      </w:pPr>
      <w:r>
        <w:rPr>
          <w:rFonts w:ascii="Arial Narrow" w:hAnsi="Arial Narrow"/>
        </w:rPr>
        <w:br w:type="page"/>
      </w:r>
    </w:p>
    <w:p w14:paraId="3E796781" w14:textId="157A4412" w:rsidR="00F67EFE" w:rsidRPr="00493A26" w:rsidRDefault="00827618" w:rsidP="00FB625E">
      <w:pPr>
        <w:pStyle w:val="Nadpis2"/>
        <w:numPr>
          <w:ilvl w:val="1"/>
          <w:numId w:val="1"/>
        </w:numPr>
        <w:spacing w:after="240" w:line="240" w:lineRule="auto"/>
        <w:jc w:val="both"/>
        <w:rPr>
          <w:rFonts w:ascii="Arial Narrow" w:hAnsi="Arial Narrow"/>
          <w:color w:val="2C9ADC"/>
          <w:sz w:val="32"/>
          <w:szCs w:val="28"/>
        </w:rPr>
      </w:pPr>
      <w:bookmarkStart w:id="64" w:name="_Toc477259955"/>
      <w:r w:rsidRPr="00493A26">
        <w:rPr>
          <w:rFonts w:ascii="Arial Narrow" w:hAnsi="Arial Narrow"/>
          <w:color w:val="2C9ADC"/>
          <w:sz w:val="32"/>
          <w:szCs w:val="28"/>
        </w:rPr>
        <w:lastRenderedPageBreak/>
        <w:t>Modernizácia verejnej správy</w:t>
      </w:r>
      <w:bookmarkEnd w:id="52"/>
      <w:r w:rsidR="00A4338B" w:rsidRPr="00493A26">
        <w:rPr>
          <w:rFonts w:ascii="Arial Narrow" w:hAnsi="Arial Narrow"/>
          <w:color w:val="2C9ADC"/>
          <w:sz w:val="32"/>
          <w:szCs w:val="28"/>
        </w:rPr>
        <w:t xml:space="preserve"> a podnikateľské prostredie</w:t>
      </w:r>
      <w:bookmarkEnd w:id="64"/>
    </w:p>
    <w:p w14:paraId="51C37BCF" w14:textId="155809FA" w:rsidR="00FE161C" w:rsidRPr="003D1EF0" w:rsidRDefault="006A0EC8" w:rsidP="007861FA">
      <w:pPr>
        <w:spacing w:after="0" w:line="240" w:lineRule="auto"/>
        <w:jc w:val="both"/>
        <w:rPr>
          <w:rFonts w:ascii="Arial Narrow" w:hAnsi="Arial Narrow" w:cs="Arial Narrow"/>
          <w:i/>
        </w:rPr>
      </w:pPr>
      <w:r>
        <w:rPr>
          <w:rFonts w:ascii="Arial Narrow" w:hAnsi="Arial Narrow" w:cs="Arial Narrow"/>
          <w:i/>
        </w:rPr>
        <w:t xml:space="preserve">Rozširovanie </w:t>
      </w:r>
      <w:r w:rsidR="00F8409C" w:rsidRPr="006A0EC8">
        <w:rPr>
          <w:rFonts w:ascii="Arial Narrow" w:hAnsi="Arial Narrow" w:cs="Arial Narrow"/>
          <w:i/>
        </w:rPr>
        <w:t>podpor</w:t>
      </w:r>
      <w:r>
        <w:rPr>
          <w:rFonts w:ascii="Arial Narrow" w:hAnsi="Arial Narrow" w:cs="Arial Narrow"/>
          <w:i/>
        </w:rPr>
        <w:t>y</w:t>
      </w:r>
      <w:r w:rsidR="00F8409C" w:rsidRPr="006A0EC8">
        <w:rPr>
          <w:rFonts w:ascii="Arial Narrow" w:hAnsi="Arial Narrow" w:cs="Arial Narrow"/>
          <w:i/>
        </w:rPr>
        <w:t xml:space="preserve"> elektronickej a automatizovanej komunikácie</w:t>
      </w:r>
      <w:r w:rsidR="006648AB">
        <w:rPr>
          <w:rFonts w:ascii="Arial Narrow" w:hAnsi="Arial Narrow" w:cs="Arial Narrow"/>
          <w:i/>
        </w:rPr>
        <w:t xml:space="preserve"> s </w:t>
      </w:r>
      <w:r>
        <w:rPr>
          <w:rFonts w:ascii="Arial Narrow" w:hAnsi="Arial Narrow" w:cs="Arial Narrow"/>
          <w:i/>
        </w:rPr>
        <w:t>finančnou správou</w:t>
      </w:r>
      <w:r w:rsidR="003D1EF0" w:rsidRPr="006A0EC8">
        <w:rPr>
          <w:rFonts w:ascii="Arial Narrow" w:hAnsi="Arial Narrow" w:cs="Arial Narrow"/>
          <w:i/>
        </w:rPr>
        <w:t>, zmeny pri zabezpečovaní</w:t>
      </w:r>
      <w:r w:rsidR="003D1EF0" w:rsidRPr="006A0EC8">
        <w:rPr>
          <w:rFonts w:ascii="Arial Narrow" w:hAnsi="Arial Narrow" w:cs="Arial Narrow"/>
          <w:b/>
          <w:i/>
        </w:rPr>
        <w:t xml:space="preserve"> </w:t>
      </w:r>
      <w:r w:rsidR="003D1EF0" w:rsidRPr="006A0EC8">
        <w:rPr>
          <w:rFonts w:ascii="Arial Narrow" w:hAnsi="Arial Narrow" w:cs="Arial Narrow"/>
          <w:i/>
        </w:rPr>
        <w:t xml:space="preserve">pracovnej zdravotnej služby, či ďalšia optimalizácia služieb </w:t>
      </w:r>
      <w:r w:rsidR="0026522A">
        <w:rPr>
          <w:rFonts w:ascii="Arial Narrow" w:hAnsi="Arial Narrow" w:cs="Arial Narrow"/>
          <w:i/>
        </w:rPr>
        <w:t>o</w:t>
      </w:r>
      <w:r w:rsidR="003D1EF0" w:rsidRPr="006A0EC8">
        <w:rPr>
          <w:rFonts w:ascii="Arial Narrow" w:hAnsi="Arial Narrow" w:cs="Arial Narrow"/>
          <w:i/>
        </w:rPr>
        <w:t>bcho</w:t>
      </w:r>
      <w:r w:rsidR="0026522A">
        <w:rPr>
          <w:rFonts w:ascii="Arial Narrow" w:hAnsi="Arial Narrow" w:cs="Arial Narrow"/>
          <w:i/>
        </w:rPr>
        <w:t>d</w:t>
      </w:r>
      <w:r w:rsidR="003D1EF0" w:rsidRPr="006A0EC8">
        <w:rPr>
          <w:rFonts w:ascii="Arial Narrow" w:hAnsi="Arial Narrow" w:cs="Arial Narrow"/>
          <w:i/>
        </w:rPr>
        <w:t>ného a </w:t>
      </w:r>
      <w:r w:rsidR="006648AB">
        <w:rPr>
          <w:rFonts w:ascii="Arial Narrow" w:hAnsi="Arial Narrow" w:cs="Arial Narrow"/>
          <w:i/>
        </w:rPr>
        <w:t>ž</w:t>
      </w:r>
      <w:r w:rsidR="003D1EF0" w:rsidRPr="006A0EC8">
        <w:rPr>
          <w:rFonts w:ascii="Arial Narrow" w:hAnsi="Arial Narrow" w:cs="Arial Narrow"/>
          <w:i/>
        </w:rPr>
        <w:t>ivnostenského registra</w:t>
      </w:r>
      <w:r w:rsidR="0026522A">
        <w:rPr>
          <w:rFonts w:ascii="Arial Narrow" w:hAnsi="Arial Narrow" w:cs="Arial Narrow"/>
          <w:i/>
        </w:rPr>
        <w:t xml:space="preserve"> </w:t>
      </w:r>
      <w:r>
        <w:rPr>
          <w:rFonts w:ascii="Arial Narrow" w:hAnsi="Arial Narrow" w:cs="Arial Narrow"/>
          <w:i/>
        </w:rPr>
        <w:t xml:space="preserve">prispejú k zníženiu </w:t>
      </w:r>
      <w:r w:rsidR="00F8409C" w:rsidRPr="006A0EC8">
        <w:rPr>
          <w:rFonts w:ascii="Arial Narrow" w:hAnsi="Arial Narrow" w:cs="Arial Narrow"/>
          <w:i/>
        </w:rPr>
        <w:t>adminis</w:t>
      </w:r>
      <w:r w:rsidR="0041425D" w:rsidRPr="006A0EC8">
        <w:rPr>
          <w:rFonts w:ascii="Arial Narrow" w:hAnsi="Arial Narrow" w:cs="Arial Narrow"/>
          <w:i/>
        </w:rPr>
        <w:t>tratívn</w:t>
      </w:r>
      <w:r>
        <w:rPr>
          <w:rFonts w:ascii="Arial Narrow" w:hAnsi="Arial Narrow" w:cs="Arial Narrow"/>
          <w:i/>
        </w:rPr>
        <w:t>ej</w:t>
      </w:r>
      <w:r w:rsidR="0041425D" w:rsidRPr="006A0EC8">
        <w:rPr>
          <w:rFonts w:ascii="Arial Narrow" w:hAnsi="Arial Narrow" w:cs="Arial Narrow"/>
          <w:i/>
        </w:rPr>
        <w:t xml:space="preserve"> záťaž</w:t>
      </w:r>
      <w:r>
        <w:rPr>
          <w:rFonts w:ascii="Arial Narrow" w:hAnsi="Arial Narrow" w:cs="Arial Narrow"/>
          <w:i/>
        </w:rPr>
        <w:t>e</w:t>
      </w:r>
      <w:r w:rsidR="0041425D" w:rsidRPr="006A0EC8">
        <w:rPr>
          <w:rFonts w:ascii="Arial Narrow" w:hAnsi="Arial Narrow" w:cs="Arial Narrow"/>
          <w:i/>
        </w:rPr>
        <w:t xml:space="preserve"> pre podnikateľov.</w:t>
      </w:r>
      <w:r w:rsidR="007861FA" w:rsidRPr="00F118CF">
        <w:rPr>
          <w:rFonts w:ascii="Arial Narrow" w:hAnsi="Arial Narrow" w:cs="Arial Narrow"/>
          <w:i/>
        </w:rPr>
        <w:t xml:space="preserve"> </w:t>
      </w:r>
      <w:r w:rsidR="00C243C2" w:rsidRPr="006A0EC8">
        <w:rPr>
          <w:rFonts w:ascii="Arial Narrow" w:hAnsi="Arial Narrow" w:cs="Arial Narrow"/>
          <w:i/>
        </w:rPr>
        <w:t>Zákon o upomínacom konaní by mal zrýchliť a zefektívniť proces vymáhania pohľadávok.</w:t>
      </w:r>
    </w:p>
    <w:p w14:paraId="460F8B0E" w14:textId="77777777" w:rsidR="00FE161C" w:rsidRDefault="00FE161C" w:rsidP="007861FA">
      <w:pPr>
        <w:spacing w:after="0" w:line="240" w:lineRule="auto"/>
        <w:jc w:val="both"/>
        <w:rPr>
          <w:rFonts w:ascii="Arial Narrow" w:hAnsi="Arial Narrow" w:cs="Arial Narrow"/>
          <w:i/>
        </w:rPr>
      </w:pPr>
    </w:p>
    <w:p w14:paraId="0D997987" w14:textId="6C24FE4F" w:rsidR="00C243C2" w:rsidRDefault="00486EAD" w:rsidP="00FB625E">
      <w:pPr>
        <w:spacing w:after="0" w:line="240" w:lineRule="auto"/>
        <w:jc w:val="both"/>
        <w:rPr>
          <w:rFonts w:ascii="Arial Narrow" w:hAnsi="Arial Narrow"/>
          <w:i/>
        </w:rPr>
      </w:pPr>
      <w:r>
        <w:rPr>
          <w:rFonts w:ascii="Arial Narrow" w:hAnsi="Arial Narrow"/>
          <w:i/>
        </w:rPr>
        <w:t xml:space="preserve">Efektívnosť </w:t>
      </w:r>
      <w:r w:rsidR="000D43EF">
        <w:rPr>
          <w:rFonts w:ascii="Arial Narrow" w:hAnsi="Arial Narrow"/>
          <w:i/>
        </w:rPr>
        <w:t xml:space="preserve">a transparentnosť súdnictva posilní </w:t>
      </w:r>
      <w:r w:rsidR="00C243C2">
        <w:rPr>
          <w:rFonts w:ascii="Arial Narrow" w:hAnsi="Arial Narrow"/>
          <w:i/>
        </w:rPr>
        <w:t xml:space="preserve">zavedenie </w:t>
      </w:r>
      <w:r w:rsidR="000D43EF">
        <w:rPr>
          <w:rFonts w:ascii="Arial Narrow" w:hAnsi="Arial Narrow"/>
          <w:i/>
        </w:rPr>
        <w:t>hromadného výberové</w:t>
      </w:r>
      <w:r>
        <w:rPr>
          <w:rFonts w:ascii="Arial Narrow" w:hAnsi="Arial Narrow"/>
          <w:i/>
        </w:rPr>
        <w:t xml:space="preserve">ho </w:t>
      </w:r>
      <w:r w:rsidR="000D43EF">
        <w:rPr>
          <w:rFonts w:ascii="Arial Narrow" w:hAnsi="Arial Narrow"/>
          <w:i/>
        </w:rPr>
        <w:t xml:space="preserve">konania </w:t>
      </w:r>
      <w:r w:rsidR="000D43EF" w:rsidRPr="00F81906">
        <w:rPr>
          <w:rFonts w:ascii="Arial Narrow" w:hAnsi="Arial Narrow"/>
          <w:i/>
        </w:rPr>
        <w:t>pri obsadzovaní voľných miest sudcov na okresných súdoch</w:t>
      </w:r>
      <w:r w:rsidR="000D43EF">
        <w:rPr>
          <w:rFonts w:ascii="Arial Narrow" w:hAnsi="Arial Narrow"/>
          <w:i/>
        </w:rPr>
        <w:t>.</w:t>
      </w:r>
      <w:r w:rsidR="000D43EF" w:rsidRPr="00F81906">
        <w:rPr>
          <w:rFonts w:ascii="Arial Narrow" w:hAnsi="Arial Narrow"/>
          <w:i/>
        </w:rPr>
        <w:t xml:space="preserve"> </w:t>
      </w:r>
      <w:r w:rsidR="007861FA">
        <w:rPr>
          <w:rFonts w:ascii="Arial Narrow" w:hAnsi="Arial Narrow"/>
          <w:i/>
        </w:rPr>
        <w:t xml:space="preserve">V roku 2017 rezort spravodlivosti plánuje vykonať audit výkonu súdnictva. </w:t>
      </w:r>
      <w:r w:rsidR="000D43EF">
        <w:rPr>
          <w:rFonts w:ascii="Arial Narrow" w:hAnsi="Arial Narrow"/>
          <w:i/>
        </w:rPr>
        <w:t xml:space="preserve">Rozšíria a spresnia sa povinnosti verejných obchodných spoločností zverejňovať obchodné zmluvy a vytvorí sa priestor </w:t>
      </w:r>
      <w:r w:rsidR="000D43EF" w:rsidRPr="00647E8F">
        <w:rPr>
          <w:rFonts w:ascii="Arial Narrow" w:hAnsi="Arial Narrow"/>
          <w:i/>
        </w:rPr>
        <w:t>pre zverejňovanie zmlúv samospráv na jednom mieste</w:t>
      </w:r>
      <w:r w:rsidR="000D43EF">
        <w:rPr>
          <w:rFonts w:ascii="Arial Narrow" w:hAnsi="Arial Narrow"/>
          <w:i/>
        </w:rPr>
        <w:t>.</w:t>
      </w:r>
      <w:r w:rsidR="001A5C4E">
        <w:rPr>
          <w:rFonts w:ascii="Arial Narrow" w:hAnsi="Arial Narrow"/>
          <w:i/>
        </w:rPr>
        <w:t xml:space="preserve"> </w:t>
      </w:r>
    </w:p>
    <w:p w14:paraId="1F9310B6" w14:textId="77777777" w:rsidR="00C243C2" w:rsidRDefault="00C243C2" w:rsidP="00FB625E">
      <w:pPr>
        <w:spacing w:after="0" w:line="240" w:lineRule="auto"/>
        <w:jc w:val="both"/>
        <w:rPr>
          <w:rFonts w:ascii="Arial Narrow" w:hAnsi="Arial Narrow"/>
          <w:i/>
        </w:rPr>
      </w:pPr>
    </w:p>
    <w:p w14:paraId="58F5BBEA" w14:textId="785BD0AF" w:rsidR="00FE161C" w:rsidRPr="001A5C4E" w:rsidRDefault="001A5C4E" w:rsidP="00FB625E">
      <w:pPr>
        <w:spacing w:after="0" w:line="240" w:lineRule="auto"/>
        <w:jc w:val="both"/>
        <w:rPr>
          <w:rFonts w:ascii="Arial Narrow" w:hAnsi="Arial Narrow"/>
        </w:rPr>
      </w:pPr>
      <w:r>
        <w:rPr>
          <w:rFonts w:ascii="Arial Narrow" w:hAnsi="Arial Narrow"/>
          <w:i/>
        </w:rPr>
        <w:t>Analytické kapacity štátu sa posilnia na viacerých ministerstvách a iných inštitúciach</w:t>
      </w:r>
      <w:r w:rsidR="006648AB">
        <w:rPr>
          <w:rFonts w:ascii="Arial Narrow" w:hAnsi="Arial Narrow"/>
          <w:i/>
        </w:rPr>
        <w:t>.</w:t>
      </w:r>
    </w:p>
    <w:p w14:paraId="4112DDB8" w14:textId="3191638F" w:rsidR="00451A15" w:rsidRDefault="00451A15" w:rsidP="00FB625E">
      <w:pPr>
        <w:spacing w:after="0" w:line="240" w:lineRule="auto"/>
        <w:jc w:val="both"/>
        <w:rPr>
          <w:sz w:val="20"/>
          <w:szCs w:val="20"/>
        </w:rPr>
      </w:pPr>
    </w:p>
    <w:tbl>
      <w:tblPr>
        <w:tblW w:w="8624" w:type="dxa"/>
        <w:jc w:val="center"/>
        <w:tblCellMar>
          <w:left w:w="70" w:type="dxa"/>
          <w:right w:w="70" w:type="dxa"/>
        </w:tblCellMar>
        <w:tblLook w:val="04A0" w:firstRow="1" w:lastRow="0" w:firstColumn="1" w:lastColumn="0" w:noHBand="0" w:noVBand="1"/>
      </w:tblPr>
      <w:tblGrid>
        <w:gridCol w:w="2702"/>
        <w:gridCol w:w="716"/>
        <w:gridCol w:w="624"/>
        <w:gridCol w:w="508"/>
        <w:gridCol w:w="509"/>
        <w:gridCol w:w="509"/>
        <w:gridCol w:w="509"/>
        <w:gridCol w:w="509"/>
        <w:gridCol w:w="509"/>
        <w:gridCol w:w="509"/>
        <w:gridCol w:w="509"/>
        <w:gridCol w:w="511"/>
      </w:tblGrid>
      <w:tr w:rsidR="00451A15" w:rsidRPr="00451A15" w14:paraId="2AE27B24" w14:textId="77777777" w:rsidTr="00863B23">
        <w:trPr>
          <w:divId w:val="1863594376"/>
          <w:trHeight w:val="260"/>
          <w:jc w:val="center"/>
        </w:trPr>
        <w:tc>
          <w:tcPr>
            <w:tcW w:w="8624" w:type="dxa"/>
            <w:gridSpan w:val="12"/>
            <w:tcBorders>
              <w:top w:val="nil"/>
              <w:left w:val="nil"/>
              <w:bottom w:val="single" w:sz="4" w:space="0" w:color="auto"/>
              <w:right w:val="nil"/>
            </w:tcBorders>
            <w:shd w:val="clear" w:color="auto" w:fill="auto"/>
            <w:noWrap/>
            <w:vAlign w:val="center"/>
            <w:hideMark/>
          </w:tcPr>
          <w:p w14:paraId="525BE80F" w14:textId="183ABA93" w:rsidR="00451A15" w:rsidRPr="00451A15" w:rsidRDefault="00451A15" w:rsidP="00FB625E">
            <w:pPr>
              <w:spacing w:after="0" w:line="240" w:lineRule="auto"/>
              <w:rPr>
                <w:rFonts w:ascii="Arial Narrow" w:hAnsi="Arial Narrow"/>
                <w:b/>
                <w:bCs/>
                <w:color w:val="2C9ADC"/>
                <w:sz w:val="20"/>
                <w:szCs w:val="20"/>
              </w:rPr>
            </w:pPr>
            <w:r w:rsidRPr="00451A15">
              <w:rPr>
                <w:rFonts w:ascii="Arial Narrow" w:hAnsi="Arial Narrow"/>
                <w:b/>
                <w:bCs/>
                <w:color w:val="2C9ADC"/>
                <w:sz w:val="20"/>
                <w:szCs w:val="20"/>
              </w:rPr>
              <w:t>Výsledkový indikátor pre modernizá</w:t>
            </w:r>
            <w:r w:rsidR="009B2B89">
              <w:rPr>
                <w:rFonts w:ascii="Arial Narrow" w:hAnsi="Arial Narrow"/>
                <w:b/>
                <w:bCs/>
                <w:color w:val="2C9ADC"/>
                <w:sz w:val="20"/>
                <w:szCs w:val="20"/>
              </w:rPr>
              <w:t>ciu verejnej správy a podnikateľ</w:t>
            </w:r>
            <w:r w:rsidRPr="00451A15">
              <w:rPr>
                <w:rFonts w:ascii="Arial Narrow" w:hAnsi="Arial Narrow"/>
                <w:b/>
                <w:bCs/>
                <w:color w:val="2C9ADC"/>
                <w:sz w:val="20"/>
                <w:szCs w:val="20"/>
              </w:rPr>
              <w:t>ské prostredie</w:t>
            </w:r>
          </w:p>
        </w:tc>
      </w:tr>
      <w:tr w:rsidR="00451A15" w:rsidRPr="00451A15" w14:paraId="7F6A4967" w14:textId="77777777" w:rsidTr="00863B23">
        <w:trPr>
          <w:divId w:val="1863594376"/>
          <w:trHeight w:val="365"/>
          <w:jc w:val="center"/>
        </w:trPr>
        <w:tc>
          <w:tcPr>
            <w:tcW w:w="2702" w:type="dxa"/>
            <w:tcBorders>
              <w:top w:val="nil"/>
              <w:left w:val="nil"/>
              <w:bottom w:val="single" w:sz="4" w:space="0" w:color="auto"/>
              <w:right w:val="nil"/>
            </w:tcBorders>
            <w:shd w:val="clear" w:color="auto" w:fill="auto"/>
            <w:noWrap/>
            <w:vAlign w:val="center"/>
            <w:hideMark/>
          </w:tcPr>
          <w:p w14:paraId="4D9AD8F0" w14:textId="77777777" w:rsidR="00451A15" w:rsidRPr="00451A15" w:rsidRDefault="00451A15" w:rsidP="00FB625E">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716" w:type="dxa"/>
            <w:tcBorders>
              <w:top w:val="nil"/>
              <w:left w:val="nil"/>
              <w:bottom w:val="single" w:sz="4" w:space="0" w:color="auto"/>
              <w:right w:val="nil"/>
            </w:tcBorders>
            <w:shd w:val="clear" w:color="auto" w:fill="auto"/>
            <w:noWrap/>
            <w:vAlign w:val="center"/>
            <w:hideMark/>
          </w:tcPr>
          <w:p w14:paraId="48814641" w14:textId="77777777" w:rsidR="00451A15" w:rsidRPr="00451A15" w:rsidRDefault="00451A15" w:rsidP="00FB625E">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624" w:type="dxa"/>
            <w:tcBorders>
              <w:top w:val="nil"/>
              <w:left w:val="nil"/>
              <w:bottom w:val="single" w:sz="4" w:space="0" w:color="auto"/>
              <w:right w:val="nil"/>
            </w:tcBorders>
            <w:shd w:val="clear" w:color="auto" w:fill="auto"/>
            <w:vAlign w:val="center"/>
            <w:hideMark/>
          </w:tcPr>
          <w:p w14:paraId="22710801"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2008</w:t>
            </w:r>
          </w:p>
        </w:tc>
        <w:tc>
          <w:tcPr>
            <w:tcW w:w="508" w:type="dxa"/>
            <w:tcBorders>
              <w:top w:val="nil"/>
              <w:left w:val="nil"/>
              <w:bottom w:val="single" w:sz="4" w:space="0" w:color="auto"/>
              <w:right w:val="nil"/>
            </w:tcBorders>
            <w:shd w:val="clear" w:color="auto" w:fill="auto"/>
            <w:vAlign w:val="center"/>
            <w:hideMark/>
          </w:tcPr>
          <w:p w14:paraId="654CC06A"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2009</w:t>
            </w:r>
          </w:p>
        </w:tc>
        <w:tc>
          <w:tcPr>
            <w:tcW w:w="509" w:type="dxa"/>
            <w:tcBorders>
              <w:top w:val="nil"/>
              <w:left w:val="nil"/>
              <w:bottom w:val="single" w:sz="4" w:space="0" w:color="auto"/>
              <w:right w:val="nil"/>
            </w:tcBorders>
            <w:shd w:val="clear" w:color="auto" w:fill="auto"/>
            <w:vAlign w:val="center"/>
            <w:hideMark/>
          </w:tcPr>
          <w:p w14:paraId="4C7E893C"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2010</w:t>
            </w:r>
          </w:p>
        </w:tc>
        <w:tc>
          <w:tcPr>
            <w:tcW w:w="509" w:type="dxa"/>
            <w:tcBorders>
              <w:top w:val="nil"/>
              <w:left w:val="nil"/>
              <w:bottom w:val="single" w:sz="4" w:space="0" w:color="auto"/>
              <w:right w:val="nil"/>
            </w:tcBorders>
            <w:shd w:val="clear" w:color="auto" w:fill="auto"/>
            <w:vAlign w:val="center"/>
            <w:hideMark/>
          </w:tcPr>
          <w:p w14:paraId="2D639DC3"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2011</w:t>
            </w:r>
          </w:p>
        </w:tc>
        <w:tc>
          <w:tcPr>
            <w:tcW w:w="509" w:type="dxa"/>
            <w:tcBorders>
              <w:top w:val="nil"/>
              <w:left w:val="nil"/>
              <w:bottom w:val="single" w:sz="4" w:space="0" w:color="auto"/>
              <w:right w:val="nil"/>
            </w:tcBorders>
            <w:shd w:val="clear" w:color="auto" w:fill="auto"/>
            <w:vAlign w:val="center"/>
            <w:hideMark/>
          </w:tcPr>
          <w:p w14:paraId="61A808F2"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2012</w:t>
            </w:r>
          </w:p>
        </w:tc>
        <w:tc>
          <w:tcPr>
            <w:tcW w:w="509" w:type="dxa"/>
            <w:tcBorders>
              <w:top w:val="nil"/>
              <w:left w:val="nil"/>
              <w:bottom w:val="single" w:sz="4" w:space="0" w:color="auto"/>
              <w:right w:val="nil"/>
            </w:tcBorders>
            <w:shd w:val="clear" w:color="auto" w:fill="auto"/>
            <w:vAlign w:val="center"/>
            <w:hideMark/>
          </w:tcPr>
          <w:p w14:paraId="066C1438"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2013</w:t>
            </w:r>
          </w:p>
        </w:tc>
        <w:tc>
          <w:tcPr>
            <w:tcW w:w="509" w:type="dxa"/>
            <w:tcBorders>
              <w:top w:val="nil"/>
              <w:left w:val="nil"/>
              <w:bottom w:val="single" w:sz="4" w:space="0" w:color="auto"/>
              <w:right w:val="nil"/>
            </w:tcBorders>
            <w:shd w:val="clear" w:color="auto" w:fill="auto"/>
            <w:vAlign w:val="center"/>
            <w:hideMark/>
          </w:tcPr>
          <w:p w14:paraId="7B5055D2"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2014</w:t>
            </w:r>
          </w:p>
        </w:tc>
        <w:tc>
          <w:tcPr>
            <w:tcW w:w="509" w:type="dxa"/>
            <w:tcBorders>
              <w:top w:val="nil"/>
              <w:left w:val="nil"/>
              <w:bottom w:val="single" w:sz="4" w:space="0" w:color="auto"/>
              <w:right w:val="nil"/>
            </w:tcBorders>
            <w:shd w:val="clear" w:color="auto" w:fill="auto"/>
            <w:vAlign w:val="center"/>
            <w:hideMark/>
          </w:tcPr>
          <w:p w14:paraId="53F9634E"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2015</w:t>
            </w:r>
          </w:p>
        </w:tc>
        <w:tc>
          <w:tcPr>
            <w:tcW w:w="509" w:type="dxa"/>
            <w:tcBorders>
              <w:top w:val="nil"/>
              <w:left w:val="nil"/>
              <w:bottom w:val="single" w:sz="4" w:space="0" w:color="auto"/>
              <w:right w:val="nil"/>
            </w:tcBorders>
            <w:shd w:val="clear" w:color="auto" w:fill="auto"/>
            <w:vAlign w:val="center"/>
            <w:hideMark/>
          </w:tcPr>
          <w:p w14:paraId="216397A8"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2016</w:t>
            </w:r>
          </w:p>
        </w:tc>
        <w:tc>
          <w:tcPr>
            <w:tcW w:w="511" w:type="dxa"/>
            <w:tcBorders>
              <w:top w:val="nil"/>
              <w:left w:val="nil"/>
              <w:bottom w:val="single" w:sz="4" w:space="0" w:color="auto"/>
              <w:right w:val="nil"/>
            </w:tcBorders>
            <w:shd w:val="clear" w:color="auto" w:fill="auto"/>
            <w:vAlign w:val="center"/>
            <w:hideMark/>
          </w:tcPr>
          <w:p w14:paraId="04BDC63A" w14:textId="77777777" w:rsidR="00451A15" w:rsidRPr="00451A15" w:rsidRDefault="00451A15" w:rsidP="00FB625E">
            <w:pPr>
              <w:spacing w:after="0" w:line="240" w:lineRule="auto"/>
              <w:jc w:val="center"/>
              <w:rPr>
                <w:rFonts w:ascii="Arial Narrow" w:hAnsi="Arial Narrow"/>
                <w:b/>
                <w:bCs/>
                <w:sz w:val="20"/>
                <w:szCs w:val="20"/>
              </w:rPr>
            </w:pPr>
            <w:r w:rsidRPr="00451A15">
              <w:rPr>
                <w:rFonts w:ascii="Arial Narrow" w:hAnsi="Arial Narrow"/>
                <w:b/>
                <w:bCs/>
                <w:sz w:val="20"/>
                <w:szCs w:val="20"/>
              </w:rPr>
              <w:t>Cieľ 2020</w:t>
            </w:r>
          </w:p>
        </w:tc>
      </w:tr>
      <w:tr w:rsidR="00451A15" w:rsidRPr="00451A15" w14:paraId="379741D1" w14:textId="77777777" w:rsidTr="00863B23">
        <w:trPr>
          <w:divId w:val="1863594376"/>
          <w:trHeight w:val="247"/>
          <w:jc w:val="center"/>
        </w:trPr>
        <w:tc>
          <w:tcPr>
            <w:tcW w:w="2702" w:type="dxa"/>
            <w:tcBorders>
              <w:top w:val="single" w:sz="4" w:space="0" w:color="auto"/>
              <w:left w:val="nil"/>
              <w:bottom w:val="nil"/>
              <w:right w:val="nil"/>
            </w:tcBorders>
            <w:shd w:val="clear" w:color="auto" w:fill="auto"/>
            <w:noWrap/>
            <w:vAlign w:val="center"/>
            <w:hideMark/>
          </w:tcPr>
          <w:p w14:paraId="51931F7B" w14:textId="77777777" w:rsidR="00451A15" w:rsidRPr="00451A15" w:rsidRDefault="00451A15" w:rsidP="00FB625E">
            <w:pPr>
              <w:spacing w:after="0" w:line="240" w:lineRule="auto"/>
              <w:jc w:val="both"/>
              <w:rPr>
                <w:rFonts w:ascii="Arial Narrow" w:hAnsi="Arial Narrow"/>
                <w:b/>
                <w:bCs/>
                <w:color w:val="000000"/>
                <w:sz w:val="20"/>
                <w:szCs w:val="20"/>
              </w:rPr>
            </w:pPr>
            <w:r w:rsidRPr="00451A15">
              <w:rPr>
                <w:rFonts w:ascii="Arial Narrow" w:hAnsi="Arial Narrow"/>
                <w:b/>
                <w:bCs/>
                <w:color w:val="000000"/>
                <w:sz w:val="20"/>
                <w:szCs w:val="20"/>
              </w:rPr>
              <w:t>Doing Business</w:t>
            </w:r>
          </w:p>
        </w:tc>
        <w:tc>
          <w:tcPr>
            <w:tcW w:w="716" w:type="dxa"/>
            <w:tcBorders>
              <w:top w:val="single" w:sz="4" w:space="0" w:color="auto"/>
              <w:left w:val="nil"/>
              <w:bottom w:val="nil"/>
              <w:right w:val="nil"/>
            </w:tcBorders>
            <w:shd w:val="clear" w:color="auto" w:fill="auto"/>
            <w:noWrap/>
            <w:vAlign w:val="center"/>
            <w:hideMark/>
          </w:tcPr>
          <w:p w14:paraId="142B8B13"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624" w:type="dxa"/>
            <w:tcBorders>
              <w:top w:val="single" w:sz="4" w:space="0" w:color="auto"/>
              <w:left w:val="nil"/>
              <w:bottom w:val="nil"/>
              <w:right w:val="nil"/>
            </w:tcBorders>
            <w:shd w:val="clear" w:color="auto" w:fill="auto"/>
            <w:vAlign w:val="center"/>
            <w:hideMark/>
          </w:tcPr>
          <w:p w14:paraId="65832620"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8" w:type="dxa"/>
            <w:tcBorders>
              <w:top w:val="nil"/>
              <w:left w:val="nil"/>
              <w:bottom w:val="nil"/>
              <w:right w:val="nil"/>
            </w:tcBorders>
            <w:shd w:val="clear" w:color="auto" w:fill="auto"/>
            <w:vAlign w:val="center"/>
            <w:hideMark/>
          </w:tcPr>
          <w:p w14:paraId="735A8BBD"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73AFC3FF"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38FF1508"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2CD6B670"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4421BB0F"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5D11F627"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nil"/>
              <w:right w:val="nil"/>
            </w:tcBorders>
            <w:shd w:val="clear" w:color="auto" w:fill="auto"/>
            <w:vAlign w:val="center"/>
            <w:hideMark/>
          </w:tcPr>
          <w:p w14:paraId="151D2FDB"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30</w:t>
            </w:r>
          </w:p>
        </w:tc>
        <w:tc>
          <w:tcPr>
            <w:tcW w:w="509" w:type="dxa"/>
            <w:tcBorders>
              <w:top w:val="nil"/>
              <w:left w:val="nil"/>
              <w:bottom w:val="nil"/>
              <w:right w:val="nil"/>
            </w:tcBorders>
            <w:shd w:val="clear" w:color="auto" w:fill="auto"/>
            <w:vAlign w:val="center"/>
            <w:hideMark/>
          </w:tcPr>
          <w:p w14:paraId="1BC19770"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33</w:t>
            </w:r>
          </w:p>
        </w:tc>
        <w:tc>
          <w:tcPr>
            <w:tcW w:w="511" w:type="dxa"/>
            <w:tcBorders>
              <w:top w:val="nil"/>
              <w:left w:val="nil"/>
              <w:bottom w:val="nil"/>
              <w:right w:val="nil"/>
            </w:tcBorders>
            <w:shd w:val="clear" w:color="auto" w:fill="auto"/>
            <w:vAlign w:val="center"/>
            <w:hideMark/>
          </w:tcPr>
          <w:p w14:paraId="6CDB63F9"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15</w:t>
            </w:r>
          </w:p>
        </w:tc>
      </w:tr>
      <w:tr w:rsidR="00451A15" w:rsidRPr="00451A15" w14:paraId="06A21183" w14:textId="77777777" w:rsidTr="00863B23">
        <w:trPr>
          <w:divId w:val="1863594376"/>
          <w:trHeight w:val="247"/>
          <w:jc w:val="center"/>
        </w:trPr>
        <w:tc>
          <w:tcPr>
            <w:tcW w:w="2702" w:type="dxa"/>
            <w:tcBorders>
              <w:top w:val="nil"/>
              <w:left w:val="nil"/>
              <w:bottom w:val="single" w:sz="4" w:space="0" w:color="auto"/>
              <w:right w:val="nil"/>
            </w:tcBorders>
            <w:shd w:val="clear" w:color="auto" w:fill="auto"/>
            <w:noWrap/>
            <w:vAlign w:val="center"/>
            <w:hideMark/>
          </w:tcPr>
          <w:p w14:paraId="40C4BA3B" w14:textId="77777777" w:rsidR="00451A15" w:rsidRPr="00451A15" w:rsidRDefault="00451A15" w:rsidP="00FB625E">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(poradie v rebríčku Svetovej banky)</w:t>
            </w:r>
          </w:p>
        </w:tc>
        <w:tc>
          <w:tcPr>
            <w:tcW w:w="716" w:type="dxa"/>
            <w:tcBorders>
              <w:top w:val="nil"/>
              <w:left w:val="nil"/>
              <w:bottom w:val="single" w:sz="4" w:space="0" w:color="auto"/>
              <w:right w:val="nil"/>
            </w:tcBorders>
            <w:shd w:val="clear" w:color="auto" w:fill="auto"/>
            <w:noWrap/>
            <w:vAlign w:val="center"/>
            <w:hideMark/>
          </w:tcPr>
          <w:p w14:paraId="562931F7"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624" w:type="dxa"/>
            <w:tcBorders>
              <w:top w:val="nil"/>
              <w:left w:val="nil"/>
              <w:bottom w:val="single" w:sz="4" w:space="0" w:color="auto"/>
              <w:right w:val="nil"/>
            </w:tcBorders>
            <w:shd w:val="clear" w:color="auto" w:fill="auto"/>
            <w:vAlign w:val="center"/>
            <w:hideMark/>
          </w:tcPr>
          <w:p w14:paraId="056EA3FB"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vAlign w:val="center"/>
            <w:hideMark/>
          </w:tcPr>
          <w:p w14:paraId="00958019"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025FDD22"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32B30E9C"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1A4450EC"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49E13B8C"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60B648D4"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hideMark/>
          </w:tcPr>
          <w:p w14:paraId="4C14E2CD" w14:textId="7679EB73" w:rsidR="00451A15" w:rsidRPr="00451A15" w:rsidRDefault="00715255" w:rsidP="00FB625E">
            <w:pPr>
              <w:spacing w:after="0" w:line="240" w:lineRule="auto"/>
              <w:jc w:val="center"/>
              <w:rPr>
                <w:rFonts w:ascii="Arial Narrow" w:hAnsi="Arial Narrow"/>
                <w:color w:val="000000"/>
                <w:sz w:val="20"/>
                <w:szCs w:val="20"/>
              </w:rPr>
            </w:pPr>
            <w:r>
              <w:rPr>
                <w:rFonts w:ascii="Arial Narrow" w:hAnsi="Arial Narrow"/>
                <w:color w:val="000000"/>
                <w:sz w:val="20"/>
                <w:szCs w:val="20"/>
              </w:rPr>
              <w:t xml:space="preserve"> 29</w:t>
            </w:r>
            <w:r w:rsidR="00451A15" w:rsidRPr="00451A15">
              <w:rPr>
                <w:rFonts w:ascii="Arial Narrow" w:hAnsi="Arial Narrow"/>
                <w:color w:val="000000"/>
                <w:sz w:val="20"/>
                <w:szCs w:val="20"/>
              </w:rPr>
              <w:t> </w:t>
            </w:r>
          </w:p>
        </w:tc>
        <w:tc>
          <w:tcPr>
            <w:tcW w:w="509" w:type="dxa"/>
            <w:tcBorders>
              <w:top w:val="nil"/>
              <w:left w:val="nil"/>
              <w:bottom w:val="single" w:sz="4" w:space="0" w:color="auto"/>
              <w:right w:val="nil"/>
            </w:tcBorders>
            <w:shd w:val="clear" w:color="auto" w:fill="auto"/>
            <w:vAlign w:val="center"/>
            <w:hideMark/>
          </w:tcPr>
          <w:p w14:paraId="584DC0FE" w14:textId="72D55D02" w:rsidR="00451A15" w:rsidRPr="00451A15" w:rsidRDefault="00715255" w:rsidP="00FB625E">
            <w:pPr>
              <w:spacing w:after="0" w:line="240" w:lineRule="auto"/>
              <w:jc w:val="center"/>
              <w:rPr>
                <w:rFonts w:ascii="Arial Narrow" w:hAnsi="Arial Narrow"/>
                <w:color w:val="000000"/>
                <w:sz w:val="20"/>
                <w:szCs w:val="20"/>
              </w:rPr>
            </w:pPr>
            <w:r>
              <w:rPr>
                <w:rFonts w:ascii="Arial Narrow" w:hAnsi="Arial Narrow"/>
                <w:color w:val="000000"/>
                <w:sz w:val="20"/>
                <w:szCs w:val="20"/>
              </w:rPr>
              <w:t>30</w:t>
            </w:r>
          </w:p>
        </w:tc>
        <w:tc>
          <w:tcPr>
            <w:tcW w:w="511" w:type="dxa"/>
            <w:tcBorders>
              <w:top w:val="nil"/>
              <w:left w:val="nil"/>
              <w:bottom w:val="single" w:sz="4" w:space="0" w:color="auto"/>
              <w:right w:val="nil"/>
            </w:tcBorders>
            <w:shd w:val="clear" w:color="auto" w:fill="auto"/>
            <w:vAlign w:val="center"/>
            <w:hideMark/>
          </w:tcPr>
          <w:p w14:paraId="39F1A70B"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r>
      <w:tr w:rsidR="00451A15" w:rsidRPr="00451A15" w14:paraId="4A812BEE" w14:textId="77777777" w:rsidTr="00863B23">
        <w:trPr>
          <w:divId w:val="1863594376"/>
          <w:trHeight w:val="247"/>
          <w:jc w:val="center"/>
        </w:trPr>
        <w:tc>
          <w:tcPr>
            <w:tcW w:w="2702" w:type="dxa"/>
            <w:tcBorders>
              <w:top w:val="nil"/>
              <w:left w:val="nil"/>
              <w:right w:val="nil"/>
            </w:tcBorders>
            <w:shd w:val="clear" w:color="auto" w:fill="auto"/>
            <w:noWrap/>
            <w:vAlign w:val="center"/>
            <w:hideMark/>
          </w:tcPr>
          <w:p w14:paraId="12869121" w14:textId="77777777" w:rsidR="00451A15" w:rsidRPr="00451A15" w:rsidRDefault="00451A15" w:rsidP="00FB625E">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Index regulácie trhu produktov</w:t>
            </w:r>
          </w:p>
        </w:tc>
        <w:tc>
          <w:tcPr>
            <w:tcW w:w="716" w:type="dxa"/>
            <w:tcBorders>
              <w:top w:val="nil"/>
              <w:left w:val="nil"/>
              <w:right w:val="nil"/>
            </w:tcBorders>
            <w:shd w:val="clear" w:color="auto" w:fill="auto"/>
            <w:vAlign w:val="center"/>
            <w:hideMark/>
          </w:tcPr>
          <w:p w14:paraId="4F7A5DDA"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624" w:type="dxa"/>
            <w:tcBorders>
              <w:top w:val="nil"/>
              <w:left w:val="nil"/>
              <w:right w:val="nil"/>
            </w:tcBorders>
            <w:shd w:val="clear" w:color="auto" w:fill="auto"/>
            <w:noWrap/>
            <w:vAlign w:val="bottom"/>
            <w:hideMark/>
          </w:tcPr>
          <w:p w14:paraId="246F5D3F"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1,62</w:t>
            </w:r>
          </w:p>
        </w:tc>
        <w:tc>
          <w:tcPr>
            <w:tcW w:w="508" w:type="dxa"/>
            <w:tcBorders>
              <w:top w:val="nil"/>
              <w:left w:val="nil"/>
              <w:right w:val="nil"/>
            </w:tcBorders>
            <w:shd w:val="clear" w:color="auto" w:fill="auto"/>
            <w:noWrap/>
            <w:vAlign w:val="bottom"/>
            <w:hideMark/>
          </w:tcPr>
          <w:p w14:paraId="5F5906B0"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right w:val="nil"/>
            </w:tcBorders>
            <w:shd w:val="clear" w:color="auto" w:fill="auto"/>
            <w:noWrap/>
            <w:vAlign w:val="bottom"/>
            <w:hideMark/>
          </w:tcPr>
          <w:p w14:paraId="75626EBE"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right w:val="nil"/>
            </w:tcBorders>
            <w:shd w:val="clear" w:color="auto" w:fill="auto"/>
            <w:noWrap/>
            <w:vAlign w:val="bottom"/>
            <w:hideMark/>
          </w:tcPr>
          <w:p w14:paraId="5C3F62F0"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right w:val="nil"/>
            </w:tcBorders>
            <w:shd w:val="clear" w:color="auto" w:fill="auto"/>
            <w:noWrap/>
            <w:vAlign w:val="bottom"/>
            <w:hideMark/>
          </w:tcPr>
          <w:p w14:paraId="06C36B08"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right w:val="nil"/>
            </w:tcBorders>
            <w:shd w:val="clear" w:color="auto" w:fill="auto"/>
            <w:noWrap/>
            <w:vAlign w:val="bottom"/>
            <w:hideMark/>
          </w:tcPr>
          <w:p w14:paraId="11EDBD38"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1,29</w:t>
            </w:r>
          </w:p>
        </w:tc>
        <w:tc>
          <w:tcPr>
            <w:tcW w:w="509" w:type="dxa"/>
            <w:tcBorders>
              <w:top w:val="nil"/>
              <w:left w:val="nil"/>
              <w:right w:val="nil"/>
            </w:tcBorders>
            <w:shd w:val="clear" w:color="auto" w:fill="auto"/>
            <w:noWrap/>
            <w:vAlign w:val="bottom"/>
            <w:hideMark/>
          </w:tcPr>
          <w:p w14:paraId="6880C05E"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right w:val="nil"/>
            </w:tcBorders>
            <w:shd w:val="clear" w:color="auto" w:fill="auto"/>
            <w:noWrap/>
            <w:vAlign w:val="bottom"/>
            <w:hideMark/>
          </w:tcPr>
          <w:p w14:paraId="2E60CABD"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right w:val="nil"/>
            </w:tcBorders>
            <w:shd w:val="clear" w:color="auto" w:fill="auto"/>
            <w:noWrap/>
            <w:vAlign w:val="bottom"/>
            <w:hideMark/>
          </w:tcPr>
          <w:p w14:paraId="524E8069"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nil"/>
              <w:left w:val="nil"/>
              <w:right w:val="nil"/>
            </w:tcBorders>
            <w:shd w:val="clear" w:color="auto" w:fill="auto"/>
            <w:noWrap/>
            <w:vAlign w:val="bottom"/>
            <w:hideMark/>
          </w:tcPr>
          <w:p w14:paraId="28A12E7D"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1,2</w:t>
            </w:r>
          </w:p>
        </w:tc>
      </w:tr>
      <w:tr w:rsidR="00451A15" w:rsidRPr="00451A15" w14:paraId="4DB20266" w14:textId="77777777" w:rsidTr="00863B23">
        <w:trPr>
          <w:divId w:val="1863594376"/>
          <w:trHeight w:val="247"/>
          <w:jc w:val="center"/>
        </w:trPr>
        <w:tc>
          <w:tcPr>
            <w:tcW w:w="2702" w:type="dxa"/>
            <w:tcBorders>
              <w:top w:val="nil"/>
              <w:left w:val="nil"/>
              <w:bottom w:val="single" w:sz="4" w:space="0" w:color="auto"/>
              <w:right w:val="nil"/>
            </w:tcBorders>
            <w:shd w:val="clear" w:color="auto" w:fill="auto"/>
            <w:noWrap/>
            <w:vAlign w:val="center"/>
            <w:hideMark/>
          </w:tcPr>
          <w:p w14:paraId="587F1DFB" w14:textId="77777777" w:rsidR="00451A15" w:rsidRPr="00451A15" w:rsidRDefault="00451A15" w:rsidP="00FB625E">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(bodové hodnotenie)</w:t>
            </w:r>
          </w:p>
        </w:tc>
        <w:tc>
          <w:tcPr>
            <w:tcW w:w="716" w:type="dxa"/>
            <w:tcBorders>
              <w:top w:val="nil"/>
              <w:left w:val="nil"/>
              <w:bottom w:val="single" w:sz="4" w:space="0" w:color="auto"/>
              <w:right w:val="nil"/>
            </w:tcBorders>
            <w:shd w:val="clear" w:color="auto" w:fill="auto"/>
            <w:vAlign w:val="center"/>
            <w:hideMark/>
          </w:tcPr>
          <w:p w14:paraId="1FADFBD4"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OECD</w:t>
            </w:r>
          </w:p>
        </w:tc>
        <w:tc>
          <w:tcPr>
            <w:tcW w:w="624" w:type="dxa"/>
            <w:tcBorders>
              <w:top w:val="nil"/>
              <w:left w:val="nil"/>
              <w:bottom w:val="single" w:sz="4" w:space="0" w:color="auto"/>
              <w:right w:val="nil"/>
            </w:tcBorders>
            <w:shd w:val="clear" w:color="auto" w:fill="auto"/>
            <w:noWrap/>
            <w:vAlign w:val="bottom"/>
            <w:hideMark/>
          </w:tcPr>
          <w:p w14:paraId="70A2BF17"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1,53</w:t>
            </w:r>
          </w:p>
        </w:tc>
        <w:tc>
          <w:tcPr>
            <w:tcW w:w="508" w:type="dxa"/>
            <w:tcBorders>
              <w:top w:val="nil"/>
              <w:left w:val="nil"/>
              <w:bottom w:val="single" w:sz="4" w:space="0" w:color="auto"/>
              <w:right w:val="nil"/>
            </w:tcBorders>
            <w:shd w:val="clear" w:color="auto" w:fill="auto"/>
            <w:noWrap/>
            <w:vAlign w:val="bottom"/>
            <w:hideMark/>
          </w:tcPr>
          <w:p w14:paraId="2E89D5B6"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hideMark/>
          </w:tcPr>
          <w:p w14:paraId="78D8606F"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hideMark/>
          </w:tcPr>
          <w:p w14:paraId="1FF880CE"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noWrap/>
            <w:vAlign w:val="bottom"/>
            <w:hideMark/>
          </w:tcPr>
          <w:p w14:paraId="1B7229B1"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noWrap/>
            <w:vAlign w:val="bottom"/>
            <w:hideMark/>
          </w:tcPr>
          <w:p w14:paraId="05B63063"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1,44</w:t>
            </w:r>
          </w:p>
        </w:tc>
        <w:tc>
          <w:tcPr>
            <w:tcW w:w="509" w:type="dxa"/>
            <w:tcBorders>
              <w:top w:val="nil"/>
              <w:left w:val="nil"/>
              <w:bottom w:val="single" w:sz="4" w:space="0" w:color="auto"/>
              <w:right w:val="nil"/>
            </w:tcBorders>
            <w:shd w:val="clear" w:color="auto" w:fill="auto"/>
            <w:noWrap/>
            <w:vAlign w:val="bottom"/>
            <w:hideMark/>
          </w:tcPr>
          <w:p w14:paraId="396B0B93"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noWrap/>
            <w:vAlign w:val="bottom"/>
            <w:hideMark/>
          </w:tcPr>
          <w:p w14:paraId="5AA7D66D"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hideMark/>
          </w:tcPr>
          <w:p w14:paraId="73D9ED22"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nil"/>
              <w:left w:val="nil"/>
              <w:bottom w:val="single" w:sz="4" w:space="0" w:color="auto"/>
              <w:right w:val="nil"/>
            </w:tcBorders>
            <w:shd w:val="clear" w:color="auto" w:fill="auto"/>
            <w:noWrap/>
            <w:vAlign w:val="bottom"/>
            <w:hideMark/>
          </w:tcPr>
          <w:p w14:paraId="0A6B33E1" w14:textId="77777777" w:rsidR="00451A15" w:rsidRPr="00451A15" w:rsidRDefault="00451A15" w:rsidP="00FB625E">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r>
      <w:tr w:rsidR="00863B23" w:rsidRPr="00451A15" w14:paraId="69C260C5" w14:textId="77777777" w:rsidTr="00863B23">
        <w:trPr>
          <w:divId w:val="1863594376"/>
          <w:trHeight w:val="247"/>
          <w:jc w:val="center"/>
        </w:trPr>
        <w:tc>
          <w:tcPr>
            <w:tcW w:w="2702" w:type="dxa"/>
            <w:tcBorders>
              <w:top w:val="single" w:sz="4" w:space="0" w:color="auto"/>
              <w:left w:val="nil"/>
              <w:right w:val="nil"/>
            </w:tcBorders>
            <w:shd w:val="clear" w:color="auto" w:fill="auto"/>
            <w:noWrap/>
          </w:tcPr>
          <w:p w14:paraId="3C80CC33" w14:textId="632D389D" w:rsidR="00863B23" w:rsidRPr="00863B23" w:rsidRDefault="00863B23" w:rsidP="00863B23">
            <w:pPr>
              <w:spacing w:after="0" w:line="240" w:lineRule="auto"/>
              <w:jc w:val="both"/>
              <w:rPr>
                <w:rFonts w:ascii="Arial Narrow" w:hAnsi="Arial Narrow"/>
                <w:b/>
                <w:color w:val="000000"/>
                <w:sz w:val="20"/>
                <w:szCs w:val="20"/>
              </w:rPr>
            </w:pPr>
            <w:r w:rsidRPr="00863B23">
              <w:rPr>
                <w:rFonts w:ascii="Arial Narrow" w:hAnsi="Arial Narrow"/>
                <w:b/>
                <w:sz w:val="20"/>
              </w:rPr>
              <w:t>E-government index</w:t>
            </w:r>
          </w:p>
        </w:tc>
        <w:tc>
          <w:tcPr>
            <w:tcW w:w="716" w:type="dxa"/>
            <w:tcBorders>
              <w:top w:val="single" w:sz="4" w:space="0" w:color="auto"/>
              <w:left w:val="nil"/>
              <w:right w:val="nil"/>
            </w:tcBorders>
            <w:shd w:val="clear" w:color="auto" w:fill="auto"/>
          </w:tcPr>
          <w:p w14:paraId="34268FA7" w14:textId="58E1C696" w:rsidR="00863B23" w:rsidRPr="00863B23" w:rsidRDefault="00863B23" w:rsidP="00863B23">
            <w:pPr>
              <w:spacing w:after="0" w:line="240" w:lineRule="auto"/>
              <w:jc w:val="center"/>
              <w:rPr>
                <w:rFonts w:ascii="Arial Narrow" w:hAnsi="Arial Narrow"/>
                <w:b/>
                <w:bCs/>
                <w:color w:val="000000"/>
                <w:sz w:val="20"/>
                <w:szCs w:val="20"/>
              </w:rPr>
            </w:pPr>
            <w:r w:rsidRPr="00863B23">
              <w:rPr>
                <w:rFonts w:ascii="Arial Narrow" w:hAnsi="Arial Narrow"/>
                <w:sz w:val="20"/>
              </w:rPr>
              <w:t>SK</w:t>
            </w:r>
          </w:p>
        </w:tc>
        <w:tc>
          <w:tcPr>
            <w:tcW w:w="624" w:type="dxa"/>
            <w:tcBorders>
              <w:top w:val="single" w:sz="4" w:space="0" w:color="auto"/>
              <w:left w:val="nil"/>
              <w:right w:val="nil"/>
            </w:tcBorders>
            <w:shd w:val="clear" w:color="auto" w:fill="auto"/>
            <w:noWrap/>
          </w:tcPr>
          <w:p w14:paraId="4661CC50" w14:textId="688C4361"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40</w:t>
            </w:r>
          </w:p>
        </w:tc>
        <w:tc>
          <w:tcPr>
            <w:tcW w:w="508" w:type="dxa"/>
            <w:tcBorders>
              <w:top w:val="single" w:sz="4" w:space="0" w:color="auto"/>
              <w:left w:val="nil"/>
              <w:right w:val="nil"/>
            </w:tcBorders>
            <w:shd w:val="clear" w:color="auto" w:fill="auto"/>
            <w:noWrap/>
          </w:tcPr>
          <w:p w14:paraId="30E80051" w14:textId="6801C6BD"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38</w:t>
            </w:r>
          </w:p>
        </w:tc>
        <w:tc>
          <w:tcPr>
            <w:tcW w:w="509" w:type="dxa"/>
            <w:tcBorders>
              <w:top w:val="single" w:sz="4" w:space="0" w:color="auto"/>
              <w:left w:val="nil"/>
              <w:right w:val="nil"/>
            </w:tcBorders>
            <w:shd w:val="clear" w:color="auto" w:fill="auto"/>
            <w:noWrap/>
          </w:tcPr>
          <w:p w14:paraId="4F60E271" w14:textId="27322D15"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50</w:t>
            </w:r>
          </w:p>
        </w:tc>
        <w:tc>
          <w:tcPr>
            <w:tcW w:w="509" w:type="dxa"/>
            <w:tcBorders>
              <w:top w:val="single" w:sz="4" w:space="0" w:color="auto"/>
              <w:left w:val="nil"/>
              <w:right w:val="nil"/>
            </w:tcBorders>
            <w:shd w:val="clear" w:color="auto" w:fill="auto"/>
            <w:noWrap/>
          </w:tcPr>
          <w:p w14:paraId="52DBD9AC" w14:textId="4AF85219"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09" w:type="dxa"/>
            <w:tcBorders>
              <w:top w:val="single" w:sz="4" w:space="0" w:color="auto"/>
              <w:left w:val="nil"/>
              <w:right w:val="nil"/>
            </w:tcBorders>
            <w:shd w:val="clear" w:color="auto" w:fill="auto"/>
            <w:noWrap/>
          </w:tcPr>
          <w:p w14:paraId="573A8668" w14:textId="33727042"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42</w:t>
            </w:r>
          </w:p>
        </w:tc>
        <w:tc>
          <w:tcPr>
            <w:tcW w:w="509" w:type="dxa"/>
            <w:tcBorders>
              <w:top w:val="single" w:sz="4" w:space="0" w:color="auto"/>
              <w:left w:val="nil"/>
              <w:right w:val="nil"/>
            </w:tcBorders>
            <w:shd w:val="clear" w:color="auto" w:fill="auto"/>
            <w:noWrap/>
          </w:tcPr>
          <w:p w14:paraId="7B432556" w14:textId="48497263"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33</w:t>
            </w:r>
          </w:p>
        </w:tc>
        <w:tc>
          <w:tcPr>
            <w:tcW w:w="509" w:type="dxa"/>
            <w:tcBorders>
              <w:top w:val="single" w:sz="4" w:space="0" w:color="auto"/>
              <w:left w:val="nil"/>
              <w:right w:val="nil"/>
            </w:tcBorders>
            <w:shd w:val="clear" w:color="auto" w:fill="auto"/>
            <w:noWrap/>
          </w:tcPr>
          <w:p w14:paraId="59FC411D" w14:textId="44B614B5"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57</w:t>
            </w:r>
          </w:p>
        </w:tc>
        <w:tc>
          <w:tcPr>
            <w:tcW w:w="509" w:type="dxa"/>
            <w:tcBorders>
              <w:top w:val="single" w:sz="4" w:space="0" w:color="auto"/>
              <w:left w:val="nil"/>
              <w:right w:val="nil"/>
            </w:tcBorders>
            <w:shd w:val="clear" w:color="auto" w:fill="auto"/>
            <w:noWrap/>
          </w:tcPr>
          <w:p w14:paraId="3D5ACC87" w14:textId="18454E4E"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51</w:t>
            </w:r>
          </w:p>
        </w:tc>
        <w:tc>
          <w:tcPr>
            <w:tcW w:w="509" w:type="dxa"/>
            <w:tcBorders>
              <w:top w:val="single" w:sz="4" w:space="0" w:color="auto"/>
              <w:left w:val="nil"/>
              <w:right w:val="nil"/>
            </w:tcBorders>
            <w:shd w:val="clear" w:color="auto" w:fill="auto"/>
            <w:noWrap/>
          </w:tcPr>
          <w:p w14:paraId="5F652C76" w14:textId="35D9C50D"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11" w:type="dxa"/>
            <w:tcBorders>
              <w:top w:val="single" w:sz="4" w:space="0" w:color="auto"/>
              <w:left w:val="nil"/>
              <w:right w:val="nil"/>
            </w:tcBorders>
            <w:shd w:val="clear" w:color="auto" w:fill="auto"/>
            <w:noWrap/>
          </w:tcPr>
          <w:p w14:paraId="47678767" w14:textId="7E695ED5"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71,7</w:t>
            </w:r>
          </w:p>
        </w:tc>
      </w:tr>
      <w:tr w:rsidR="00863B23" w:rsidRPr="00451A15" w14:paraId="559A9B3C" w14:textId="77777777" w:rsidTr="00863B23">
        <w:trPr>
          <w:divId w:val="1863594376"/>
          <w:trHeight w:val="247"/>
          <w:jc w:val="center"/>
        </w:trPr>
        <w:tc>
          <w:tcPr>
            <w:tcW w:w="2702" w:type="dxa"/>
            <w:tcBorders>
              <w:left w:val="nil"/>
              <w:bottom w:val="single" w:sz="4" w:space="0" w:color="auto"/>
              <w:right w:val="nil"/>
            </w:tcBorders>
            <w:shd w:val="clear" w:color="auto" w:fill="auto"/>
            <w:noWrap/>
          </w:tcPr>
          <w:p w14:paraId="5BE01592" w14:textId="2B680CCA" w:rsidR="00863B23" w:rsidRPr="00863B23" w:rsidRDefault="00863B23" w:rsidP="00863B23">
            <w:pPr>
              <w:spacing w:after="0" w:line="240" w:lineRule="auto"/>
              <w:jc w:val="both"/>
              <w:rPr>
                <w:rFonts w:ascii="Arial Narrow" w:hAnsi="Arial Narrow"/>
                <w:color w:val="000000"/>
                <w:sz w:val="20"/>
                <w:szCs w:val="20"/>
              </w:rPr>
            </w:pPr>
            <w:r w:rsidRPr="00863B23">
              <w:rPr>
                <w:rFonts w:ascii="Arial Narrow" w:hAnsi="Arial Narrow"/>
                <w:sz w:val="20"/>
              </w:rPr>
              <w:t>(%)</w:t>
            </w:r>
          </w:p>
        </w:tc>
        <w:tc>
          <w:tcPr>
            <w:tcW w:w="716" w:type="dxa"/>
            <w:tcBorders>
              <w:left w:val="nil"/>
              <w:bottom w:val="single" w:sz="4" w:space="0" w:color="auto"/>
              <w:right w:val="nil"/>
            </w:tcBorders>
            <w:shd w:val="clear" w:color="auto" w:fill="auto"/>
          </w:tcPr>
          <w:p w14:paraId="3EA85BBB" w14:textId="51BF5B27" w:rsidR="00863B23" w:rsidRPr="00863B23" w:rsidRDefault="00863B23" w:rsidP="00863B23">
            <w:pPr>
              <w:spacing w:after="0" w:line="240" w:lineRule="auto"/>
              <w:jc w:val="center"/>
              <w:rPr>
                <w:rFonts w:ascii="Arial Narrow" w:hAnsi="Arial Narrow"/>
                <w:b/>
                <w:bCs/>
                <w:color w:val="000000"/>
                <w:sz w:val="20"/>
                <w:szCs w:val="20"/>
              </w:rPr>
            </w:pPr>
            <w:r w:rsidRPr="00863B23">
              <w:rPr>
                <w:rFonts w:ascii="Arial Narrow" w:hAnsi="Arial Narrow"/>
                <w:sz w:val="20"/>
              </w:rPr>
              <w:t>EÚ</w:t>
            </w:r>
          </w:p>
        </w:tc>
        <w:tc>
          <w:tcPr>
            <w:tcW w:w="624" w:type="dxa"/>
            <w:tcBorders>
              <w:left w:val="nil"/>
              <w:bottom w:val="single" w:sz="4" w:space="0" w:color="auto"/>
              <w:right w:val="nil"/>
            </w:tcBorders>
            <w:shd w:val="clear" w:color="auto" w:fill="auto"/>
            <w:noWrap/>
          </w:tcPr>
          <w:p w14:paraId="5BD3D8AB" w14:textId="3518C2BB"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35</w:t>
            </w:r>
          </w:p>
        </w:tc>
        <w:tc>
          <w:tcPr>
            <w:tcW w:w="508" w:type="dxa"/>
            <w:tcBorders>
              <w:left w:val="nil"/>
              <w:bottom w:val="single" w:sz="4" w:space="0" w:color="auto"/>
              <w:right w:val="nil"/>
            </w:tcBorders>
            <w:shd w:val="clear" w:color="auto" w:fill="auto"/>
            <w:noWrap/>
          </w:tcPr>
          <w:p w14:paraId="692BF9C0" w14:textId="11F3586D"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37</w:t>
            </w:r>
          </w:p>
        </w:tc>
        <w:tc>
          <w:tcPr>
            <w:tcW w:w="509" w:type="dxa"/>
            <w:tcBorders>
              <w:left w:val="nil"/>
              <w:bottom w:val="single" w:sz="4" w:space="0" w:color="auto"/>
              <w:right w:val="nil"/>
            </w:tcBorders>
            <w:shd w:val="clear" w:color="auto" w:fill="auto"/>
            <w:noWrap/>
          </w:tcPr>
          <w:p w14:paraId="57192E97" w14:textId="3F9414EE"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41</w:t>
            </w:r>
          </w:p>
        </w:tc>
        <w:tc>
          <w:tcPr>
            <w:tcW w:w="509" w:type="dxa"/>
            <w:tcBorders>
              <w:left w:val="nil"/>
              <w:bottom w:val="single" w:sz="4" w:space="0" w:color="auto"/>
              <w:right w:val="nil"/>
            </w:tcBorders>
            <w:shd w:val="clear" w:color="auto" w:fill="auto"/>
            <w:noWrap/>
          </w:tcPr>
          <w:p w14:paraId="7C1D29A6" w14:textId="2EF3C54E"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41</w:t>
            </w:r>
          </w:p>
        </w:tc>
        <w:tc>
          <w:tcPr>
            <w:tcW w:w="509" w:type="dxa"/>
            <w:tcBorders>
              <w:left w:val="nil"/>
              <w:bottom w:val="single" w:sz="4" w:space="0" w:color="auto"/>
              <w:right w:val="nil"/>
            </w:tcBorders>
            <w:shd w:val="clear" w:color="auto" w:fill="auto"/>
            <w:noWrap/>
          </w:tcPr>
          <w:p w14:paraId="05D3BA7F" w14:textId="58E508D1"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44</w:t>
            </w:r>
          </w:p>
        </w:tc>
        <w:tc>
          <w:tcPr>
            <w:tcW w:w="509" w:type="dxa"/>
            <w:tcBorders>
              <w:left w:val="nil"/>
              <w:bottom w:val="single" w:sz="4" w:space="0" w:color="auto"/>
              <w:right w:val="nil"/>
            </w:tcBorders>
            <w:shd w:val="clear" w:color="auto" w:fill="auto"/>
            <w:noWrap/>
          </w:tcPr>
          <w:p w14:paraId="26A650E9" w14:textId="65901EB4"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41</w:t>
            </w:r>
          </w:p>
        </w:tc>
        <w:tc>
          <w:tcPr>
            <w:tcW w:w="509" w:type="dxa"/>
            <w:tcBorders>
              <w:left w:val="nil"/>
              <w:bottom w:val="single" w:sz="4" w:space="0" w:color="auto"/>
              <w:right w:val="nil"/>
            </w:tcBorders>
            <w:shd w:val="clear" w:color="auto" w:fill="auto"/>
            <w:noWrap/>
          </w:tcPr>
          <w:p w14:paraId="557ACC04" w14:textId="64F6C4FE"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47</w:t>
            </w:r>
          </w:p>
        </w:tc>
        <w:tc>
          <w:tcPr>
            <w:tcW w:w="509" w:type="dxa"/>
            <w:tcBorders>
              <w:left w:val="nil"/>
              <w:bottom w:val="single" w:sz="4" w:space="0" w:color="auto"/>
              <w:right w:val="nil"/>
            </w:tcBorders>
            <w:shd w:val="clear" w:color="auto" w:fill="auto"/>
            <w:noWrap/>
          </w:tcPr>
          <w:p w14:paraId="62F19955" w14:textId="69F029CD"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46</w:t>
            </w:r>
          </w:p>
        </w:tc>
        <w:tc>
          <w:tcPr>
            <w:tcW w:w="509" w:type="dxa"/>
            <w:tcBorders>
              <w:left w:val="nil"/>
              <w:bottom w:val="single" w:sz="4" w:space="0" w:color="auto"/>
              <w:right w:val="nil"/>
            </w:tcBorders>
            <w:shd w:val="clear" w:color="auto" w:fill="auto"/>
            <w:noWrap/>
          </w:tcPr>
          <w:p w14:paraId="69943096" w14:textId="3D807C08"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11" w:type="dxa"/>
            <w:tcBorders>
              <w:left w:val="nil"/>
              <w:bottom w:val="single" w:sz="4" w:space="0" w:color="auto"/>
              <w:right w:val="nil"/>
            </w:tcBorders>
            <w:shd w:val="clear" w:color="auto" w:fill="auto"/>
            <w:noWrap/>
          </w:tcPr>
          <w:p w14:paraId="7518DB1B" w14:textId="05232197" w:rsidR="00863B23" w:rsidRPr="00863B23" w:rsidRDefault="00863B23" w:rsidP="00863B23">
            <w:pPr>
              <w:spacing w:after="0" w:line="240" w:lineRule="auto"/>
              <w:jc w:val="center"/>
              <w:rPr>
                <w:rFonts w:ascii="Arial Narrow" w:hAnsi="Arial Narrow"/>
                <w:color w:val="000000"/>
                <w:sz w:val="20"/>
                <w:szCs w:val="20"/>
              </w:rPr>
            </w:pPr>
            <w:r w:rsidRPr="00863B23">
              <w:rPr>
                <w:rFonts w:ascii="Arial Narrow" w:hAnsi="Arial Narrow"/>
                <w:sz w:val="20"/>
              </w:rPr>
              <w:t>-</w:t>
            </w:r>
          </w:p>
        </w:tc>
      </w:tr>
      <w:tr w:rsidR="00AC1234" w:rsidRPr="00451A15" w14:paraId="1F1F0CD8" w14:textId="77777777" w:rsidTr="00863B23">
        <w:trPr>
          <w:divId w:val="1863594376"/>
          <w:trHeight w:val="247"/>
          <w:jc w:val="center"/>
        </w:trPr>
        <w:tc>
          <w:tcPr>
            <w:tcW w:w="2702" w:type="dxa"/>
            <w:tcBorders>
              <w:top w:val="single" w:sz="4" w:space="0" w:color="auto"/>
              <w:left w:val="nil"/>
              <w:bottom w:val="nil"/>
              <w:right w:val="nil"/>
            </w:tcBorders>
            <w:shd w:val="clear" w:color="auto" w:fill="auto"/>
            <w:noWrap/>
            <w:vAlign w:val="center"/>
          </w:tcPr>
          <w:p w14:paraId="75301324" w14:textId="2FB34EBF" w:rsidR="00AC1234" w:rsidRPr="00451A15" w:rsidRDefault="00AC1234" w:rsidP="00AC1234">
            <w:pPr>
              <w:spacing w:after="0" w:line="240" w:lineRule="auto"/>
              <w:jc w:val="both"/>
              <w:rPr>
                <w:rFonts w:ascii="Arial Narrow" w:hAnsi="Arial Narrow"/>
                <w:color w:val="000000"/>
                <w:sz w:val="20"/>
                <w:szCs w:val="20"/>
              </w:rPr>
            </w:pPr>
            <w:r w:rsidRPr="00587538">
              <w:rPr>
                <w:rFonts w:ascii="Arial Narrow" w:hAnsi="Arial Narrow"/>
                <w:b/>
                <w:bCs/>
                <w:color w:val="000000"/>
                <w:sz w:val="20"/>
                <w:szCs w:val="20"/>
              </w:rPr>
              <w:t>Vnímanie korupcie</w:t>
            </w:r>
          </w:p>
        </w:tc>
        <w:tc>
          <w:tcPr>
            <w:tcW w:w="716" w:type="dxa"/>
            <w:tcBorders>
              <w:top w:val="single" w:sz="4" w:space="0" w:color="auto"/>
              <w:left w:val="nil"/>
              <w:bottom w:val="nil"/>
              <w:right w:val="nil"/>
            </w:tcBorders>
            <w:shd w:val="clear" w:color="auto" w:fill="auto"/>
            <w:vAlign w:val="center"/>
          </w:tcPr>
          <w:p w14:paraId="505B30DB" w14:textId="0647D447"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SK</w:t>
            </w:r>
          </w:p>
        </w:tc>
        <w:tc>
          <w:tcPr>
            <w:tcW w:w="624" w:type="dxa"/>
            <w:tcBorders>
              <w:top w:val="single" w:sz="4" w:space="0" w:color="auto"/>
              <w:left w:val="nil"/>
              <w:bottom w:val="nil"/>
              <w:right w:val="nil"/>
            </w:tcBorders>
            <w:shd w:val="clear" w:color="auto" w:fill="auto"/>
            <w:noWrap/>
            <w:vAlign w:val="center"/>
          </w:tcPr>
          <w:p w14:paraId="556E273C" w14:textId="01A0C66A"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single" w:sz="4" w:space="0" w:color="auto"/>
              <w:left w:val="nil"/>
              <w:bottom w:val="nil"/>
              <w:right w:val="nil"/>
            </w:tcBorders>
            <w:shd w:val="clear" w:color="auto" w:fill="auto"/>
            <w:noWrap/>
            <w:vAlign w:val="center"/>
          </w:tcPr>
          <w:p w14:paraId="7DE4154A" w14:textId="0FE883C3"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61</w:t>
            </w:r>
          </w:p>
        </w:tc>
        <w:tc>
          <w:tcPr>
            <w:tcW w:w="509" w:type="dxa"/>
            <w:tcBorders>
              <w:top w:val="single" w:sz="4" w:space="0" w:color="auto"/>
              <w:left w:val="nil"/>
              <w:bottom w:val="nil"/>
              <w:right w:val="nil"/>
            </w:tcBorders>
            <w:shd w:val="clear" w:color="auto" w:fill="auto"/>
            <w:noWrap/>
            <w:vAlign w:val="center"/>
          </w:tcPr>
          <w:p w14:paraId="3211B8B0" w14:textId="66138C9B"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6CE6F4B4" w14:textId="17060791"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56</w:t>
            </w:r>
          </w:p>
        </w:tc>
        <w:tc>
          <w:tcPr>
            <w:tcW w:w="509" w:type="dxa"/>
            <w:tcBorders>
              <w:top w:val="single" w:sz="4" w:space="0" w:color="auto"/>
              <w:left w:val="nil"/>
              <w:bottom w:val="nil"/>
              <w:right w:val="nil"/>
            </w:tcBorders>
            <w:shd w:val="clear" w:color="auto" w:fill="auto"/>
            <w:noWrap/>
            <w:vAlign w:val="center"/>
          </w:tcPr>
          <w:p w14:paraId="73468324" w14:textId="5D5CFB06"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7321EFB1" w14:textId="5316FB9B"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62</w:t>
            </w:r>
          </w:p>
        </w:tc>
        <w:tc>
          <w:tcPr>
            <w:tcW w:w="509" w:type="dxa"/>
            <w:tcBorders>
              <w:top w:val="single" w:sz="4" w:space="0" w:color="auto"/>
              <w:left w:val="nil"/>
              <w:bottom w:val="nil"/>
              <w:right w:val="nil"/>
            </w:tcBorders>
            <w:shd w:val="clear" w:color="auto" w:fill="auto"/>
            <w:noWrap/>
            <w:vAlign w:val="center"/>
          </w:tcPr>
          <w:p w14:paraId="77F53DA0" w14:textId="33BF4EC3"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bottom"/>
          </w:tcPr>
          <w:p w14:paraId="164A2BB9" w14:textId="3EEEF620"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bottom"/>
          </w:tcPr>
          <w:p w14:paraId="367C10C7" w14:textId="7065027D"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single" w:sz="4" w:space="0" w:color="auto"/>
              <w:left w:val="nil"/>
              <w:bottom w:val="nil"/>
              <w:right w:val="nil"/>
            </w:tcBorders>
            <w:shd w:val="clear" w:color="auto" w:fill="auto"/>
            <w:noWrap/>
            <w:vAlign w:val="center"/>
          </w:tcPr>
          <w:p w14:paraId="509C8174" w14:textId="43F69255"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68,4</w:t>
            </w:r>
          </w:p>
        </w:tc>
      </w:tr>
      <w:tr w:rsidR="00AC1234" w:rsidRPr="00451A15" w14:paraId="06A14DBE" w14:textId="77777777" w:rsidTr="00863B23">
        <w:trPr>
          <w:divId w:val="1863594376"/>
          <w:trHeight w:val="186"/>
          <w:jc w:val="center"/>
        </w:trPr>
        <w:tc>
          <w:tcPr>
            <w:tcW w:w="2702" w:type="dxa"/>
            <w:tcBorders>
              <w:top w:val="nil"/>
              <w:left w:val="nil"/>
              <w:bottom w:val="single" w:sz="4" w:space="0" w:color="auto"/>
              <w:right w:val="nil"/>
            </w:tcBorders>
            <w:shd w:val="clear" w:color="auto" w:fill="auto"/>
            <w:noWrap/>
            <w:vAlign w:val="center"/>
          </w:tcPr>
          <w:p w14:paraId="67AF766C" w14:textId="0CE0BC59" w:rsidR="00AC1234" w:rsidRPr="00451A15" w:rsidRDefault="00AC1234" w:rsidP="00AC1234">
            <w:pPr>
              <w:spacing w:after="0" w:line="240" w:lineRule="auto"/>
              <w:jc w:val="both"/>
              <w:rPr>
                <w:rFonts w:ascii="Arial Narrow" w:hAnsi="Arial Narrow"/>
                <w:color w:val="000000"/>
                <w:sz w:val="20"/>
                <w:szCs w:val="20"/>
              </w:rPr>
            </w:pPr>
            <w:r w:rsidRPr="00587538">
              <w:rPr>
                <w:rFonts w:ascii="Arial Narrow" w:hAnsi="Arial Narrow"/>
                <w:color w:val="000000"/>
                <w:sz w:val="20"/>
                <w:szCs w:val="20"/>
              </w:rPr>
              <w:t>(%)</w:t>
            </w:r>
          </w:p>
        </w:tc>
        <w:tc>
          <w:tcPr>
            <w:tcW w:w="716" w:type="dxa"/>
            <w:tcBorders>
              <w:top w:val="nil"/>
              <w:left w:val="nil"/>
              <w:bottom w:val="single" w:sz="4" w:space="0" w:color="auto"/>
              <w:right w:val="nil"/>
            </w:tcBorders>
            <w:shd w:val="clear" w:color="auto" w:fill="auto"/>
            <w:vAlign w:val="center"/>
          </w:tcPr>
          <w:p w14:paraId="515EEE44" w14:textId="0CA75B7F"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EÚ</w:t>
            </w:r>
          </w:p>
        </w:tc>
        <w:tc>
          <w:tcPr>
            <w:tcW w:w="624" w:type="dxa"/>
            <w:tcBorders>
              <w:top w:val="nil"/>
              <w:left w:val="nil"/>
              <w:bottom w:val="single" w:sz="4" w:space="0" w:color="auto"/>
              <w:right w:val="nil"/>
            </w:tcBorders>
            <w:shd w:val="clear" w:color="auto" w:fill="auto"/>
            <w:noWrap/>
            <w:vAlign w:val="center"/>
          </w:tcPr>
          <w:p w14:paraId="41E78929" w14:textId="4D3D666E"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 </w:t>
            </w:r>
            <w:r>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noWrap/>
            <w:vAlign w:val="center"/>
          </w:tcPr>
          <w:p w14:paraId="6A85B74B" w14:textId="478F70C3"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80</w:t>
            </w:r>
          </w:p>
        </w:tc>
        <w:tc>
          <w:tcPr>
            <w:tcW w:w="509" w:type="dxa"/>
            <w:tcBorders>
              <w:top w:val="nil"/>
              <w:left w:val="nil"/>
              <w:bottom w:val="single" w:sz="4" w:space="0" w:color="auto"/>
              <w:right w:val="nil"/>
            </w:tcBorders>
            <w:shd w:val="clear" w:color="auto" w:fill="auto"/>
            <w:noWrap/>
            <w:vAlign w:val="center"/>
          </w:tcPr>
          <w:p w14:paraId="26D5AA70" w14:textId="64E5CAC5"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 </w:t>
            </w: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6DF85DA1" w14:textId="5EA0D0EA"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77</w:t>
            </w:r>
          </w:p>
        </w:tc>
        <w:tc>
          <w:tcPr>
            <w:tcW w:w="509" w:type="dxa"/>
            <w:tcBorders>
              <w:top w:val="nil"/>
              <w:left w:val="nil"/>
              <w:bottom w:val="single" w:sz="4" w:space="0" w:color="auto"/>
              <w:right w:val="nil"/>
            </w:tcBorders>
            <w:shd w:val="clear" w:color="auto" w:fill="auto"/>
            <w:noWrap/>
            <w:vAlign w:val="center"/>
          </w:tcPr>
          <w:p w14:paraId="6C2CEC9C" w14:textId="5A7B89AE"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 </w:t>
            </w: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127E1815" w14:textId="505DCEE6"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78</w:t>
            </w:r>
          </w:p>
        </w:tc>
        <w:tc>
          <w:tcPr>
            <w:tcW w:w="509" w:type="dxa"/>
            <w:tcBorders>
              <w:top w:val="nil"/>
              <w:left w:val="nil"/>
              <w:bottom w:val="single" w:sz="4" w:space="0" w:color="auto"/>
              <w:right w:val="nil"/>
            </w:tcBorders>
            <w:shd w:val="clear" w:color="auto" w:fill="auto"/>
            <w:noWrap/>
            <w:vAlign w:val="center"/>
          </w:tcPr>
          <w:p w14:paraId="0A6E9767" w14:textId="39D71C9B"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tcPr>
          <w:p w14:paraId="4FB2FF9E" w14:textId="6E1D5F95"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tcPr>
          <w:p w14:paraId="210528E4" w14:textId="77E8BFCD"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nil"/>
              <w:left w:val="nil"/>
              <w:bottom w:val="single" w:sz="4" w:space="0" w:color="auto"/>
              <w:right w:val="nil"/>
            </w:tcBorders>
            <w:shd w:val="clear" w:color="auto" w:fill="auto"/>
            <w:noWrap/>
            <w:vAlign w:val="center"/>
          </w:tcPr>
          <w:p w14:paraId="5DFE7A29" w14:textId="6558A583"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w:t>
            </w:r>
          </w:p>
        </w:tc>
      </w:tr>
      <w:tr w:rsidR="00AC1234" w:rsidRPr="00451A15" w14:paraId="16F9C818" w14:textId="77777777" w:rsidTr="00863B23">
        <w:trPr>
          <w:divId w:val="1863594376"/>
          <w:trHeight w:val="247"/>
          <w:jc w:val="center"/>
        </w:trPr>
        <w:tc>
          <w:tcPr>
            <w:tcW w:w="2702" w:type="dxa"/>
            <w:tcBorders>
              <w:top w:val="single" w:sz="4" w:space="0" w:color="auto"/>
              <w:left w:val="nil"/>
              <w:bottom w:val="nil"/>
              <w:right w:val="nil"/>
            </w:tcBorders>
            <w:shd w:val="clear" w:color="auto" w:fill="auto"/>
            <w:noWrap/>
            <w:vAlign w:val="center"/>
          </w:tcPr>
          <w:p w14:paraId="367B563B" w14:textId="24A65656" w:rsidR="00AC1234" w:rsidRPr="00451A15" w:rsidRDefault="00AC1234" w:rsidP="00AC1234">
            <w:pPr>
              <w:spacing w:after="0" w:line="240" w:lineRule="auto"/>
              <w:jc w:val="both"/>
              <w:rPr>
                <w:rFonts w:ascii="Arial Narrow" w:hAnsi="Arial Narrow"/>
                <w:color w:val="000000"/>
                <w:sz w:val="20"/>
                <w:szCs w:val="20"/>
              </w:rPr>
            </w:pPr>
            <w:r w:rsidRPr="00587538">
              <w:rPr>
                <w:rFonts w:ascii="Arial Narrow" w:hAnsi="Arial Narrow"/>
                <w:b/>
                <w:color w:val="000000"/>
                <w:sz w:val="20"/>
                <w:szCs w:val="20"/>
              </w:rPr>
              <w:t>Dĺžka súdneho konania</w:t>
            </w:r>
          </w:p>
        </w:tc>
        <w:tc>
          <w:tcPr>
            <w:tcW w:w="716" w:type="dxa"/>
            <w:tcBorders>
              <w:top w:val="single" w:sz="4" w:space="0" w:color="auto"/>
              <w:left w:val="nil"/>
              <w:bottom w:val="nil"/>
              <w:right w:val="nil"/>
            </w:tcBorders>
            <w:shd w:val="clear" w:color="auto" w:fill="auto"/>
            <w:vAlign w:val="center"/>
          </w:tcPr>
          <w:p w14:paraId="34A7E17D" w14:textId="0B6DD75B"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SK</w:t>
            </w:r>
          </w:p>
        </w:tc>
        <w:tc>
          <w:tcPr>
            <w:tcW w:w="624" w:type="dxa"/>
            <w:tcBorders>
              <w:top w:val="single" w:sz="4" w:space="0" w:color="auto"/>
              <w:left w:val="nil"/>
              <w:bottom w:val="nil"/>
              <w:right w:val="nil"/>
            </w:tcBorders>
            <w:shd w:val="clear" w:color="auto" w:fill="auto"/>
            <w:noWrap/>
            <w:vAlign w:val="center"/>
          </w:tcPr>
          <w:p w14:paraId="278239E6" w14:textId="0C7131FD"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single" w:sz="4" w:space="0" w:color="auto"/>
              <w:left w:val="nil"/>
              <w:bottom w:val="nil"/>
              <w:right w:val="nil"/>
            </w:tcBorders>
            <w:shd w:val="clear" w:color="auto" w:fill="auto"/>
            <w:noWrap/>
            <w:vAlign w:val="center"/>
          </w:tcPr>
          <w:p w14:paraId="49F3FCF4" w14:textId="6D977BEB"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303BF2A9" w14:textId="6779CB5F"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367</w:t>
            </w:r>
          </w:p>
        </w:tc>
        <w:tc>
          <w:tcPr>
            <w:tcW w:w="509" w:type="dxa"/>
            <w:tcBorders>
              <w:top w:val="single" w:sz="4" w:space="0" w:color="auto"/>
              <w:left w:val="nil"/>
              <w:bottom w:val="nil"/>
              <w:right w:val="nil"/>
            </w:tcBorders>
            <w:shd w:val="clear" w:color="auto" w:fill="auto"/>
            <w:noWrap/>
            <w:vAlign w:val="center"/>
          </w:tcPr>
          <w:p w14:paraId="06D904F4" w14:textId="467BF605"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4E9FCA06" w14:textId="1C99F6FC"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437</w:t>
            </w:r>
          </w:p>
        </w:tc>
        <w:tc>
          <w:tcPr>
            <w:tcW w:w="509" w:type="dxa"/>
            <w:tcBorders>
              <w:top w:val="single" w:sz="4" w:space="0" w:color="auto"/>
              <w:left w:val="nil"/>
              <w:bottom w:val="nil"/>
              <w:right w:val="nil"/>
            </w:tcBorders>
            <w:shd w:val="clear" w:color="auto" w:fill="auto"/>
            <w:noWrap/>
            <w:vAlign w:val="center"/>
          </w:tcPr>
          <w:p w14:paraId="631629A9" w14:textId="59A4DADE"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64491E4C" w14:textId="246D4EC4"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524</w:t>
            </w:r>
          </w:p>
        </w:tc>
        <w:tc>
          <w:tcPr>
            <w:tcW w:w="509" w:type="dxa"/>
            <w:tcBorders>
              <w:top w:val="single" w:sz="4" w:space="0" w:color="auto"/>
              <w:left w:val="nil"/>
              <w:bottom w:val="nil"/>
              <w:right w:val="nil"/>
            </w:tcBorders>
            <w:shd w:val="clear" w:color="auto" w:fill="auto"/>
            <w:noWrap/>
            <w:vAlign w:val="bottom"/>
          </w:tcPr>
          <w:p w14:paraId="641C24A5" w14:textId="210BCEBD"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bottom"/>
          </w:tcPr>
          <w:p w14:paraId="26B6C262" w14:textId="5D06DE62"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single" w:sz="4" w:space="0" w:color="auto"/>
              <w:left w:val="nil"/>
              <w:bottom w:val="nil"/>
              <w:right w:val="nil"/>
            </w:tcBorders>
            <w:shd w:val="clear" w:color="auto" w:fill="auto"/>
            <w:noWrap/>
            <w:vAlign w:val="center"/>
          </w:tcPr>
          <w:p w14:paraId="4C4BE76B" w14:textId="14D27C3E"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AC1234" w:rsidRPr="00451A15" w14:paraId="718FD8C1" w14:textId="77777777" w:rsidTr="00863B23">
        <w:trPr>
          <w:divId w:val="1863594376"/>
          <w:trHeight w:val="247"/>
          <w:jc w:val="center"/>
        </w:trPr>
        <w:tc>
          <w:tcPr>
            <w:tcW w:w="2702" w:type="dxa"/>
            <w:tcBorders>
              <w:top w:val="nil"/>
              <w:left w:val="nil"/>
              <w:bottom w:val="single" w:sz="4" w:space="0" w:color="auto"/>
              <w:right w:val="nil"/>
            </w:tcBorders>
            <w:shd w:val="clear" w:color="auto" w:fill="auto"/>
            <w:noWrap/>
            <w:vAlign w:val="center"/>
          </w:tcPr>
          <w:p w14:paraId="775D3095" w14:textId="1C4AD6F8" w:rsidR="00AC1234" w:rsidRPr="00451A15" w:rsidRDefault="00AC1234" w:rsidP="00AC1234">
            <w:pPr>
              <w:spacing w:after="0" w:line="240" w:lineRule="auto"/>
              <w:jc w:val="both"/>
              <w:rPr>
                <w:rFonts w:ascii="Arial Narrow" w:hAnsi="Arial Narrow"/>
                <w:color w:val="000000"/>
                <w:sz w:val="20"/>
                <w:szCs w:val="20"/>
              </w:rPr>
            </w:pPr>
            <w:r w:rsidRPr="00587538">
              <w:rPr>
                <w:rFonts w:ascii="Arial Narrow" w:hAnsi="Arial Narrow"/>
                <w:color w:val="000000"/>
                <w:sz w:val="20"/>
                <w:szCs w:val="20"/>
              </w:rPr>
              <w:t>Počet dní</w:t>
            </w:r>
          </w:p>
        </w:tc>
        <w:tc>
          <w:tcPr>
            <w:tcW w:w="716" w:type="dxa"/>
            <w:tcBorders>
              <w:top w:val="nil"/>
              <w:left w:val="nil"/>
              <w:bottom w:val="single" w:sz="4" w:space="0" w:color="auto"/>
              <w:right w:val="nil"/>
            </w:tcBorders>
            <w:shd w:val="clear" w:color="auto" w:fill="auto"/>
            <w:vAlign w:val="center"/>
          </w:tcPr>
          <w:p w14:paraId="4D1DB5CB" w14:textId="0FEB64BA"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CEPEJ</w:t>
            </w:r>
          </w:p>
        </w:tc>
        <w:tc>
          <w:tcPr>
            <w:tcW w:w="624" w:type="dxa"/>
            <w:tcBorders>
              <w:top w:val="nil"/>
              <w:left w:val="nil"/>
              <w:bottom w:val="single" w:sz="4" w:space="0" w:color="auto"/>
              <w:right w:val="nil"/>
            </w:tcBorders>
            <w:shd w:val="clear" w:color="auto" w:fill="auto"/>
            <w:noWrap/>
            <w:vAlign w:val="center"/>
          </w:tcPr>
          <w:p w14:paraId="07D41BB8" w14:textId="1073800F"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noWrap/>
            <w:vAlign w:val="center"/>
          </w:tcPr>
          <w:p w14:paraId="6F3815B1" w14:textId="3A048489"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55A51BD0" w14:textId="5A5D4160"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266</w:t>
            </w:r>
          </w:p>
        </w:tc>
        <w:tc>
          <w:tcPr>
            <w:tcW w:w="509" w:type="dxa"/>
            <w:tcBorders>
              <w:top w:val="nil"/>
              <w:left w:val="nil"/>
              <w:bottom w:val="single" w:sz="4" w:space="0" w:color="auto"/>
              <w:right w:val="nil"/>
            </w:tcBorders>
            <w:shd w:val="clear" w:color="auto" w:fill="auto"/>
            <w:noWrap/>
            <w:vAlign w:val="center"/>
          </w:tcPr>
          <w:p w14:paraId="3A28E5C9" w14:textId="46A1F643"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4E042716" w14:textId="4E7141E1"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243</w:t>
            </w:r>
          </w:p>
        </w:tc>
        <w:tc>
          <w:tcPr>
            <w:tcW w:w="509" w:type="dxa"/>
            <w:tcBorders>
              <w:top w:val="nil"/>
              <w:left w:val="nil"/>
              <w:bottom w:val="single" w:sz="4" w:space="0" w:color="auto"/>
              <w:right w:val="nil"/>
            </w:tcBorders>
            <w:shd w:val="clear" w:color="auto" w:fill="auto"/>
            <w:noWrap/>
            <w:vAlign w:val="center"/>
          </w:tcPr>
          <w:p w14:paraId="105C5362" w14:textId="69F930E6"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40F788A7" w14:textId="17D5D16E"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237</w:t>
            </w:r>
          </w:p>
        </w:tc>
        <w:tc>
          <w:tcPr>
            <w:tcW w:w="509" w:type="dxa"/>
            <w:tcBorders>
              <w:top w:val="nil"/>
              <w:left w:val="nil"/>
              <w:bottom w:val="single" w:sz="4" w:space="0" w:color="auto"/>
              <w:right w:val="nil"/>
            </w:tcBorders>
            <w:shd w:val="clear" w:color="auto" w:fill="auto"/>
            <w:noWrap/>
            <w:vAlign w:val="bottom"/>
          </w:tcPr>
          <w:p w14:paraId="73425564" w14:textId="6B8E3881"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tcPr>
          <w:p w14:paraId="52D2DEA7" w14:textId="4A1AA413"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nil"/>
              <w:left w:val="nil"/>
              <w:bottom w:val="single" w:sz="4" w:space="0" w:color="auto"/>
              <w:right w:val="nil"/>
            </w:tcBorders>
            <w:shd w:val="clear" w:color="auto" w:fill="auto"/>
            <w:noWrap/>
            <w:vAlign w:val="center"/>
          </w:tcPr>
          <w:p w14:paraId="7EB49A49" w14:textId="69F50E58"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AC1234" w:rsidRPr="00451A15" w14:paraId="55C3BF75" w14:textId="77777777" w:rsidTr="00863B23">
        <w:trPr>
          <w:divId w:val="1863594376"/>
          <w:trHeight w:val="247"/>
          <w:jc w:val="center"/>
        </w:trPr>
        <w:tc>
          <w:tcPr>
            <w:tcW w:w="2702" w:type="dxa"/>
            <w:tcBorders>
              <w:top w:val="single" w:sz="4" w:space="0" w:color="auto"/>
              <w:left w:val="nil"/>
              <w:bottom w:val="nil"/>
              <w:right w:val="nil"/>
            </w:tcBorders>
            <w:shd w:val="clear" w:color="auto" w:fill="auto"/>
            <w:noWrap/>
            <w:vAlign w:val="center"/>
          </w:tcPr>
          <w:p w14:paraId="494CFFA3" w14:textId="7E25A4A2" w:rsidR="00AC1234" w:rsidRPr="00451A15" w:rsidRDefault="00AC1234" w:rsidP="00AC1234">
            <w:pPr>
              <w:spacing w:after="0" w:line="240" w:lineRule="auto"/>
              <w:jc w:val="both"/>
              <w:rPr>
                <w:rFonts w:ascii="Arial Narrow" w:hAnsi="Arial Narrow"/>
                <w:color w:val="000000"/>
                <w:sz w:val="20"/>
                <w:szCs w:val="20"/>
              </w:rPr>
            </w:pPr>
            <w:r>
              <w:rPr>
                <w:rFonts w:ascii="Arial Narrow" w:hAnsi="Arial Narrow"/>
                <w:b/>
                <w:color w:val="000000"/>
                <w:sz w:val="20"/>
                <w:szCs w:val="20"/>
              </w:rPr>
              <w:t xml:space="preserve">Miera </w:t>
            </w:r>
            <w:r w:rsidRPr="00587538">
              <w:rPr>
                <w:rFonts w:ascii="Arial Narrow" w:hAnsi="Arial Narrow"/>
                <w:b/>
                <w:color w:val="000000"/>
                <w:sz w:val="20"/>
                <w:szCs w:val="20"/>
              </w:rPr>
              <w:t>vybavenosti konaní</w:t>
            </w:r>
          </w:p>
        </w:tc>
        <w:tc>
          <w:tcPr>
            <w:tcW w:w="716" w:type="dxa"/>
            <w:tcBorders>
              <w:top w:val="single" w:sz="4" w:space="0" w:color="auto"/>
              <w:left w:val="nil"/>
              <w:bottom w:val="nil"/>
              <w:right w:val="nil"/>
            </w:tcBorders>
            <w:shd w:val="clear" w:color="auto" w:fill="auto"/>
            <w:vAlign w:val="center"/>
          </w:tcPr>
          <w:p w14:paraId="29F7DA78" w14:textId="5483DC8E"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SK</w:t>
            </w:r>
          </w:p>
        </w:tc>
        <w:tc>
          <w:tcPr>
            <w:tcW w:w="624" w:type="dxa"/>
            <w:tcBorders>
              <w:top w:val="single" w:sz="4" w:space="0" w:color="auto"/>
              <w:left w:val="nil"/>
              <w:bottom w:val="nil"/>
              <w:right w:val="nil"/>
            </w:tcBorders>
            <w:shd w:val="clear" w:color="auto" w:fill="auto"/>
            <w:noWrap/>
            <w:vAlign w:val="center"/>
          </w:tcPr>
          <w:p w14:paraId="248507A9" w14:textId="00D035B1"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single" w:sz="4" w:space="0" w:color="auto"/>
              <w:left w:val="nil"/>
              <w:bottom w:val="nil"/>
              <w:right w:val="nil"/>
            </w:tcBorders>
            <w:shd w:val="clear" w:color="auto" w:fill="auto"/>
            <w:noWrap/>
            <w:vAlign w:val="center"/>
          </w:tcPr>
          <w:p w14:paraId="1E839E9C" w14:textId="4EA87AC7"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3A6893B3" w14:textId="307AF5F8"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98</w:t>
            </w:r>
          </w:p>
        </w:tc>
        <w:tc>
          <w:tcPr>
            <w:tcW w:w="509" w:type="dxa"/>
            <w:tcBorders>
              <w:top w:val="single" w:sz="4" w:space="0" w:color="auto"/>
              <w:left w:val="nil"/>
              <w:bottom w:val="nil"/>
              <w:right w:val="nil"/>
            </w:tcBorders>
            <w:shd w:val="clear" w:color="auto" w:fill="auto"/>
            <w:noWrap/>
            <w:vAlign w:val="center"/>
          </w:tcPr>
          <w:p w14:paraId="58F70960" w14:textId="783AE995"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182F8F6E" w14:textId="071FE5B4"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82</w:t>
            </w:r>
          </w:p>
        </w:tc>
        <w:tc>
          <w:tcPr>
            <w:tcW w:w="509" w:type="dxa"/>
            <w:tcBorders>
              <w:top w:val="single" w:sz="4" w:space="0" w:color="auto"/>
              <w:left w:val="nil"/>
              <w:bottom w:val="nil"/>
              <w:right w:val="nil"/>
            </w:tcBorders>
            <w:shd w:val="clear" w:color="auto" w:fill="auto"/>
            <w:noWrap/>
            <w:vAlign w:val="center"/>
          </w:tcPr>
          <w:p w14:paraId="739E237C" w14:textId="6DBBE582"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center"/>
          </w:tcPr>
          <w:p w14:paraId="14C4328D" w14:textId="5C609221"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92</w:t>
            </w:r>
          </w:p>
        </w:tc>
        <w:tc>
          <w:tcPr>
            <w:tcW w:w="509" w:type="dxa"/>
            <w:tcBorders>
              <w:top w:val="single" w:sz="4" w:space="0" w:color="auto"/>
              <w:left w:val="nil"/>
              <w:bottom w:val="nil"/>
              <w:right w:val="nil"/>
            </w:tcBorders>
            <w:shd w:val="clear" w:color="auto" w:fill="auto"/>
            <w:noWrap/>
            <w:vAlign w:val="bottom"/>
          </w:tcPr>
          <w:p w14:paraId="45D41148" w14:textId="3598B92A"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single" w:sz="4" w:space="0" w:color="auto"/>
              <w:left w:val="nil"/>
              <w:bottom w:val="nil"/>
              <w:right w:val="nil"/>
            </w:tcBorders>
            <w:shd w:val="clear" w:color="auto" w:fill="auto"/>
            <w:noWrap/>
            <w:vAlign w:val="bottom"/>
          </w:tcPr>
          <w:p w14:paraId="73A7CAA0" w14:textId="3F04566D"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single" w:sz="4" w:space="0" w:color="auto"/>
              <w:left w:val="nil"/>
              <w:bottom w:val="nil"/>
              <w:right w:val="nil"/>
            </w:tcBorders>
            <w:shd w:val="clear" w:color="auto" w:fill="auto"/>
            <w:noWrap/>
            <w:vAlign w:val="center"/>
          </w:tcPr>
          <w:p w14:paraId="0715434E" w14:textId="79342C2B"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r w:rsidR="00AC1234" w:rsidRPr="00451A15" w14:paraId="67191BD1" w14:textId="77777777" w:rsidTr="00863B23">
        <w:trPr>
          <w:divId w:val="1863594376"/>
          <w:trHeight w:val="247"/>
          <w:jc w:val="center"/>
        </w:trPr>
        <w:tc>
          <w:tcPr>
            <w:tcW w:w="2702" w:type="dxa"/>
            <w:tcBorders>
              <w:top w:val="nil"/>
              <w:left w:val="nil"/>
              <w:bottom w:val="single" w:sz="4" w:space="0" w:color="auto"/>
              <w:right w:val="nil"/>
            </w:tcBorders>
            <w:shd w:val="clear" w:color="auto" w:fill="auto"/>
            <w:noWrap/>
            <w:vAlign w:val="center"/>
          </w:tcPr>
          <w:p w14:paraId="128EC053" w14:textId="0529D211" w:rsidR="00AC1234" w:rsidRPr="00451A15" w:rsidRDefault="00AC1234" w:rsidP="00AC1234">
            <w:pPr>
              <w:spacing w:after="0" w:line="240" w:lineRule="auto"/>
              <w:jc w:val="both"/>
              <w:rPr>
                <w:rFonts w:ascii="Arial Narrow" w:hAnsi="Arial Narrow"/>
                <w:color w:val="000000"/>
                <w:sz w:val="20"/>
                <w:szCs w:val="20"/>
              </w:rPr>
            </w:pPr>
            <w:r w:rsidRPr="00587538">
              <w:rPr>
                <w:rFonts w:ascii="Arial Narrow" w:hAnsi="Arial Narrow"/>
                <w:color w:val="000000"/>
                <w:sz w:val="20"/>
                <w:szCs w:val="20"/>
              </w:rPr>
              <w:t>(%)</w:t>
            </w:r>
          </w:p>
        </w:tc>
        <w:tc>
          <w:tcPr>
            <w:tcW w:w="716" w:type="dxa"/>
            <w:tcBorders>
              <w:top w:val="nil"/>
              <w:left w:val="nil"/>
              <w:bottom w:val="single" w:sz="4" w:space="0" w:color="auto"/>
              <w:right w:val="nil"/>
            </w:tcBorders>
            <w:shd w:val="clear" w:color="auto" w:fill="auto"/>
            <w:vAlign w:val="center"/>
          </w:tcPr>
          <w:p w14:paraId="0974ED99" w14:textId="61B11B23" w:rsidR="00AC1234" w:rsidRPr="00451A15" w:rsidRDefault="00AC1234" w:rsidP="00AC1234">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CEPEJ</w:t>
            </w:r>
          </w:p>
        </w:tc>
        <w:tc>
          <w:tcPr>
            <w:tcW w:w="624" w:type="dxa"/>
            <w:tcBorders>
              <w:top w:val="nil"/>
              <w:left w:val="nil"/>
              <w:bottom w:val="single" w:sz="4" w:space="0" w:color="auto"/>
              <w:right w:val="nil"/>
            </w:tcBorders>
            <w:shd w:val="clear" w:color="auto" w:fill="auto"/>
            <w:noWrap/>
            <w:vAlign w:val="center"/>
          </w:tcPr>
          <w:p w14:paraId="65CBB7F5" w14:textId="7FD2D706"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noWrap/>
            <w:vAlign w:val="center"/>
          </w:tcPr>
          <w:p w14:paraId="535D26BE" w14:textId="568FF59E"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37A420B7" w14:textId="6BCE92BA"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98</w:t>
            </w:r>
          </w:p>
        </w:tc>
        <w:tc>
          <w:tcPr>
            <w:tcW w:w="509" w:type="dxa"/>
            <w:tcBorders>
              <w:top w:val="nil"/>
              <w:left w:val="nil"/>
              <w:bottom w:val="single" w:sz="4" w:space="0" w:color="auto"/>
              <w:right w:val="nil"/>
            </w:tcBorders>
            <w:shd w:val="clear" w:color="auto" w:fill="auto"/>
            <w:noWrap/>
            <w:vAlign w:val="center"/>
          </w:tcPr>
          <w:p w14:paraId="2E87D038" w14:textId="6EDFCBB9"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2B4BAF9D" w14:textId="1A97769D"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104</w:t>
            </w:r>
          </w:p>
        </w:tc>
        <w:tc>
          <w:tcPr>
            <w:tcW w:w="509" w:type="dxa"/>
            <w:tcBorders>
              <w:top w:val="nil"/>
              <w:left w:val="nil"/>
              <w:bottom w:val="single" w:sz="4" w:space="0" w:color="auto"/>
              <w:right w:val="nil"/>
            </w:tcBorders>
            <w:shd w:val="clear" w:color="auto" w:fill="auto"/>
            <w:noWrap/>
            <w:vAlign w:val="center"/>
          </w:tcPr>
          <w:p w14:paraId="119CE784" w14:textId="3FAE28FF"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center"/>
          </w:tcPr>
          <w:p w14:paraId="4B6A5F63" w14:textId="17678ED0" w:rsidR="00AC1234" w:rsidRPr="00451A15" w:rsidRDefault="00AC1234" w:rsidP="00AC1234">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100</w:t>
            </w:r>
          </w:p>
        </w:tc>
        <w:tc>
          <w:tcPr>
            <w:tcW w:w="509" w:type="dxa"/>
            <w:tcBorders>
              <w:top w:val="nil"/>
              <w:left w:val="nil"/>
              <w:bottom w:val="single" w:sz="4" w:space="0" w:color="auto"/>
              <w:right w:val="nil"/>
            </w:tcBorders>
            <w:shd w:val="clear" w:color="auto" w:fill="auto"/>
            <w:noWrap/>
            <w:vAlign w:val="bottom"/>
          </w:tcPr>
          <w:p w14:paraId="4ADA27CA" w14:textId="24746918"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noWrap/>
            <w:vAlign w:val="bottom"/>
          </w:tcPr>
          <w:p w14:paraId="2E354D85" w14:textId="20F07ADD" w:rsidR="00AC1234" w:rsidRPr="00451A15" w:rsidRDefault="00AC1234" w:rsidP="00AC1234">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11" w:type="dxa"/>
            <w:tcBorders>
              <w:top w:val="nil"/>
              <w:left w:val="nil"/>
              <w:bottom w:val="single" w:sz="4" w:space="0" w:color="auto"/>
              <w:right w:val="nil"/>
            </w:tcBorders>
            <w:shd w:val="clear" w:color="auto" w:fill="auto"/>
            <w:noWrap/>
            <w:vAlign w:val="center"/>
          </w:tcPr>
          <w:p w14:paraId="4DEBB8B0" w14:textId="618F6488" w:rsidR="00AC1234" w:rsidRPr="00451A15" w:rsidRDefault="00AC1234" w:rsidP="00AC1234">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r>
    </w:tbl>
    <w:p w14:paraId="6B936169" w14:textId="261C951E" w:rsidR="00813B5D" w:rsidRPr="00493A26" w:rsidRDefault="00813B5D" w:rsidP="00FB625E">
      <w:pPr>
        <w:spacing w:after="0" w:line="240" w:lineRule="auto"/>
        <w:jc w:val="both"/>
        <w:rPr>
          <w:rFonts w:ascii="Arial Narrow" w:hAnsi="Arial Narrow" w:cs="Arial Narrow"/>
        </w:rPr>
      </w:pPr>
    </w:p>
    <w:p w14:paraId="52849D13" w14:textId="511B920D" w:rsidR="00F67EFE" w:rsidRDefault="00E55F1F" w:rsidP="004803A1">
      <w:pPr>
        <w:spacing w:after="0" w:line="240" w:lineRule="auto"/>
        <w:jc w:val="both"/>
        <w:rPr>
          <w:rFonts w:ascii="Arial Narrow" w:hAnsi="Arial Narrow" w:cs="Arial Narrow"/>
          <w:lang w:eastAsia="en-US"/>
        </w:rPr>
      </w:pPr>
      <w:r w:rsidRPr="00493A26">
        <w:rPr>
          <w:rFonts w:ascii="Arial Narrow" w:hAnsi="Arial Narrow" w:cs="Arial Narrow"/>
          <w:lang w:eastAsia="en-US"/>
        </w:rPr>
        <w:t>Slovensko sa v </w:t>
      </w:r>
      <w:r w:rsidRPr="00493A26">
        <w:rPr>
          <w:rFonts w:ascii="Arial Narrow" w:hAnsi="Arial Narrow" w:cs="Arial Narrow"/>
          <w:b/>
          <w:lang w:eastAsia="en-US"/>
        </w:rPr>
        <w:t>hodnotení regulačného prostredia</w:t>
      </w:r>
      <w:r w:rsidRPr="00493A26">
        <w:rPr>
          <w:rFonts w:ascii="Arial Narrow" w:hAnsi="Arial Narrow" w:cs="Arial Narrow"/>
          <w:lang w:eastAsia="en-US"/>
        </w:rPr>
        <w:t xml:space="preserve"> </w:t>
      </w:r>
      <w:r w:rsidRPr="00493A26">
        <w:rPr>
          <w:rFonts w:ascii="Arial Narrow" w:hAnsi="Arial Narrow" w:cs="Arial Narrow"/>
          <w:b/>
          <w:lang w:eastAsia="en-US"/>
        </w:rPr>
        <w:t>pre podnikanie</w:t>
      </w:r>
      <w:r w:rsidRPr="00493A26">
        <w:rPr>
          <w:rFonts w:ascii="Arial Narrow" w:hAnsi="Arial Narrow" w:cs="Arial Narrow"/>
          <w:lang w:eastAsia="en-US"/>
        </w:rPr>
        <w:t xml:space="preserve"> podľa Doing Business </w:t>
      </w:r>
      <w:r w:rsidR="00F60846">
        <w:rPr>
          <w:rFonts w:ascii="Arial Narrow" w:hAnsi="Arial Narrow" w:cs="Arial Narrow"/>
          <w:lang w:eastAsia="en-US"/>
        </w:rPr>
        <w:t xml:space="preserve">2016 – </w:t>
      </w:r>
      <w:r w:rsidRPr="00493A26">
        <w:rPr>
          <w:rFonts w:ascii="Arial Narrow" w:hAnsi="Arial Narrow" w:cs="Arial Narrow"/>
          <w:lang w:eastAsia="en-US"/>
        </w:rPr>
        <w:t xml:space="preserve">2017 bodovo mierne zlepšilo a dosiahlo 33. miesto zo 190 hodnotených krajín. </w:t>
      </w:r>
      <w:r w:rsidRPr="00493A26">
        <w:rPr>
          <w:rFonts w:ascii="Arial Narrow" w:hAnsi="Arial Narrow" w:cs="Arial Narrow"/>
          <w:bCs/>
          <w:lang w:eastAsia="en-US"/>
        </w:rPr>
        <w:t xml:space="preserve">V novej metodike to napriek zlepšeniu skóre znamená posun </w:t>
      </w:r>
      <w:r w:rsidRPr="00493A26">
        <w:rPr>
          <w:rFonts w:ascii="Arial Narrow" w:hAnsi="Arial Narrow" w:cs="Arial Narrow"/>
          <w:lang w:eastAsia="en-US"/>
        </w:rPr>
        <w:t>o </w:t>
      </w:r>
      <w:r w:rsidR="0098430E">
        <w:rPr>
          <w:rFonts w:ascii="Arial Narrow" w:hAnsi="Arial Narrow" w:cs="Arial Narrow"/>
          <w:lang w:eastAsia="en-US"/>
        </w:rPr>
        <w:t>tri</w:t>
      </w:r>
      <w:r w:rsidRPr="00493A26">
        <w:rPr>
          <w:rFonts w:ascii="Arial Narrow" w:hAnsi="Arial Narrow" w:cs="Arial Narrow"/>
          <w:lang w:eastAsia="en-US"/>
        </w:rPr>
        <w:t xml:space="preserve"> miesta nadol (z pozície 30 na 33) v porovnaní s predchádzajúcim rokom. Bodové hodnotenie bolo pozitívne ovplyvnené najmä vďaka zníženiu administratívnych procesov spojených s platbami dani z nehnuteľnosti a hodnoteniu procesov, ktoré firmy podstupujú po splnení si daňových povinností (vrátenie DPH, daňové kontroly a odvolania sa pro</w:t>
      </w:r>
      <w:r w:rsidR="004803A1">
        <w:rPr>
          <w:rFonts w:ascii="Arial Narrow" w:hAnsi="Arial Narrow" w:cs="Arial Narrow"/>
          <w:lang w:eastAsia="en-US"/>
        </w:rPr>
        <w:t xml:space="preserve">ti rozhodnutiam správcu dane). </w:t>
      </w:r>
    </w:p>
    <w:p w14:paraId="3B61D720" w14:textId="77777777" w:rsidR="004803A1" w:rsidRPr="004803A1" w:rsidRDefault="004803A1" w:rsidP="004803A1">
      <w:pPr>
        <w:spacing w:after="0" w:line="240" w:lineRule="auto"/>
        <w:jc w:val="both"/>
        <w:rPr>
          <w:rFonts w:ascii="Arial Narrow" w:hAnsi="Arial Narrow" w:cs="Arial Narrow"/>
          <w:lang w:eastAsia="en-US"/>
        </w:rPr>
      </w:pPr>
    </w:p>
    <w:tbl>
      <w:tblPr>
        <w:tblW w:w="8675" w:type="dxa"/>
        <w:jc w:val="center"/>
        <w:tblLayout w:type="fixed"/>
        <w:tblCellMar>
          <w:left w:w="70" w:type="dxa"/>
          <w:right w:w="70" w:type="dxa"/>
        </w:tblCellMar>
        <w:tblLook w:val="0000" w:firstRow="0" w:lastRow="0" w:firstColumn="0" w:lastColumn="0" w:noHBand="0" w:noVBand="0"/>
      </w:tblPr>
      <w:tblGrid>
        <w:gridCol w:w="4068"/>
        <w:gridCol w:w="161"/>
        <w:gridCol w:w="76"/>
        <w:gridCol w:w="4370"/>
      </w:tblGrid>
      <w:tr w:rsidR="00D851C8" w:rsidRPr="00D851C8" w14:paraId="348FEF99" w14:textId="77777777" w:rsidTr="00D851C8">
        <w:trPr>
          <w:trHeight w:val="269"/>
          <w:jc w:val="center"/>
        </w:trPr>
        <w:tc>
          <w:tcPr>
            <w:tcW w:w="4068" w:type="dxa"/>
            <w:tcBorders>
              <w:top w:val="nil"/>
              <w:left w:val="nil"/>
              <w:bottom w:val="single" w:sz="6" w:space="0" w:color="000000"/>
              <w:right w:val="nil"/>
            </w:tcBorders>
            <w:shd w:val="clear" w:color="auto" w:fill="auto"/>
            <w:vAlign w:val="bottom"/>
          </w:tcPr>
          <w:p w14:paraId="7FCD0190" w14:textId="65B52A0D" w:rsidR="00D851C8" w:rsidRPr="00D851C8" w:rsidRDefault="00097191" w:rsidP="00FB625E">
            <w:pPr>
              <w:spacing w:after="0" w:line="240" w:lineRule="auto"/>
              <w:jc w:val="both"/>
              <w:rPr>
                <w:rFonts w:ascii="Arial Narrow" w:eastAsia="Arial Narrow" w:hAnsi="Arial Narrow" w:cs="Arial Narrow"/>
                <w:b/>
                <w:bCs/>
                <w:color w:val="4F81BD" w:themeColor="accent1"/>
                <w:sz w:val="20"/>
                <w:szCs w:val="20"/>
                <w:bdr w:val="nil"/>
              </w:rPr>
            </w:pPr>
            <w:bookmarkStart w:id="65" w:name="_Toc478656328"/>
            <w:r w:rsidRPr="00097191">
              <w:rPr>
                <w:rFonts w:ascii="Arial Narrow" w:eastAsia="Calibri" w:hAnsi="Arial Narrow" w:cs="Arial Narrow"/>
                <w:b/>
                <w:bCs/>
                <w:color w:val="2C9ADC"/>
                <w:sz w:val="20"/>
                <w:szCs w:val="18"/>
                <w:bdr w:val="nil"/>
                <w:lang w:eastAsia="en-US"/>
              </w:rPr>
              <w:t xml:space="preserve">Graf </w:t>
            </w:r>
            <w:r w:rsidRPr="00097191">
              <w:rPr>
                <w:rFonts w:ascii="Arial Narrow" w:eastAsia="Calibri" w:hAnsi="Arial Narrow" w:cs="Arial Narrow"/>
                <w:b/>
                <w:bCs/>
                <w:color w:val="2C9ADC"/>
                <w:sz w:val="20"/>
                <w:szCs w:val="18"/>
                <w:bdr w:val="nil"/>
                <w:lang w:eastAsia="en-US"/>
              </w:rPr>
              <w:fldChar w:fldCharType="begin"/>
            </w:r>
            <w:r w:rsidRPr="00097191">
              <w:rPr>
                <w:rFonts w:ascii="Arial Narrow" w:eastAsia="Calibri" w:hAnsi="Arial Narrow" w:cs="Arial Narrow"/>
                <w:b/>
                <w:bCs/>
                <w:color w:val="2C9ADC"/>
                <w:sz w:val="20"/>
                <w:szCs w:val="18"/>
                <w:bdr w:val="nil"/>
                <w:lang w:eastAsia="en-US"/>
              </w:rPr>
              <w:instrText xml:space="preserve"> SEQ GRAF \* ARABIC </w:instrText>
            </w:r>
            <w:r w:rsidRPr="00097191">
              <w:rPr>
                <w:rFonts w:ascii="Arial Narrow" w:eastAsia="Calibri" w:hAnsi="Arial Narrow" w:cs="Arial Narrow"/>
                <w:b/>
                <w:bCs/>
                <w:color w:val="2C9ADC"/>
                <w:sz w:val="20"/>
                <w:szCs w:val="18"/>
                <w:bdr w:val="nil"/>
                <w:lang w:eastAsia="en-US"/>
              </w:rPr>
              <w:fldChar w:fldCharType="separate"/>
            </w:r>
            <w:r w:rsidR="002E71B2">
              <w:rPr>
                <w:rFonts w:ascii="Arial Narrow" w:eastAsia="Calibri" w:hAnsi="Arial Narrow" w:cs="Arial Narrow"/>
                <w:b/>
                <w:bCs/>
                <w:noProof/>
                <w:color w:val="2C9ADC"/>
                <w:sz w:val="20"/>
                <w:szCs w:val="18"/>
                <w:bdr w:val="nil"/>
                <w:lang w:eastAsia="en-US"/>
              </w:rPr>
              <w:t>25</w:t>
            </w:r>
            <w:r w:rsidRPr="00097191">
              <w:rPr>
                <w:rFonts w:ascii="Arial Narrow" w:eastAsia="Calibri" w:hAnsi="Arial Narrow" w:cs="Arial Narrow"/>
                <w:b/>
                <w:bCs/>
                <w:color w:val="2C9ADC"/>
                <w:sz w:val="20"/>
                <w:szCs w:val="18"/>
                <w:bdr w:val="nil"/>
                <w:lang w:eastAsia="en-US"/>
              </w:rPr>
              <w:fldChar w:fldCharType="end"/>
            </w:r>
            <w:r w:rsidRPr="00097191">
              <w:rPr>
                <w:rFonts w:ascii="Arial Narrow" w:eastAsia="Calibri" w:hAnsi="Arial Narrow" w:cs="Arial Narrow"/>
                <w:b/>
                <w:bCs/>
                <w:color w:val="2C9ADC"/>
                <w:sz w:val="20"/>
                <w:szCs w:val="18"/>
                <w:bdr w:val="nil"/>
                <w:lang w:eastAsia="en-US"/>
              </w:rPr>
              <w:t>:</w:t>
            </w:r>
            <w:r>
              <w:rPr>
                <w:rFonts w:ascii="Arial Narrow" w:eastAsia="Calibri" w:hAnsi="Arial Narrow" w:cs="Arial Narrow"/>
                <w:b/>
                <w:bCs/>
                <w:color w:val="2C9ADC"/>
                <w:sz w:val="20"/>
                <w:szCs w:val="18"/>
                <w:bdr w:val="nil"/>
                <w:lang w:eastAsia="en-US"/>
              </w:rPr>
              <w:t xml:space="preserve"> </w:t>
            </w:r>
            <w:r w:rsidR="00B346F2">
              <w:rPr>
                <w:rFonts w:ascii="Arial Narrow" w:eastAsia="Calibri" w:hAnsi="Arial Narrow" w:cs="Arial Narrow"/>
                <w:b/>
                <w:bCs/>
                <w:color w:val="2C9ADC"/>
                <w:sz w:val="20"/>
                <w:szCs w:val="18"/>
                <w:bdr w:val="nil"/>
                <w:lang w:eastAsia="en-US"/>
              </w:rPr>
              <w:t>Porovnanie jednotlivých oblastí</w:t>
            </w:r>
            <w:r w:rsidR="007D697C">
              <w:rPr>
                <w:rFonts w:ascii="Arial Narrow" w:eastAsia="Calibri" w:hAnsi="Arial Narrow" w:cs="Arial Narrow"/>
                <w:b/>
                <w:bCs/>
                <w:color w:val="2C9ADC"/>
                <w:sz w:val="20"/>
                <w:szCs w:val="18"/>
                <w:bdr w:val="nil"/>
                <w:lang w:eastAsia="en-US"/>
              </w:rPr>
              <w:t xml:space="preserve"> SK</w:t>
            </w:r>
            <w:r w:rsidR="00A85990">
              <w:rPr>
                <w:rFonts w:ascii="Arial Narrow" w:eastAsia="Calibri" w:hAnsi="Arial Narrow" w:cs="Arial Narrow"/>
                <w:b/>
                <w:bCs/>
                <w:color w:val="2C9ADC"/>
                <w:sz w:val="20"/>
                <w:szCs w:val="18"/>
                <w:bdr w:val="nil"/>
                <w:lang w:eastAsia="en-US"/>
              </w:rPr>
              <w:t xml:space="preserve"> v rebríčku </w:t>
            </w:r>
            <w:r w:rsidR="00B346F2">
              <w:rPr>
                <w:rFonts w:ascii="Arial Narrow" w:eastAsia="Calibri" w:hAnsi="Arial Narrow" w:cs="Arial Narrow"/>
                <w:b/>
                <w:bCs/>
                <w:color w:val="2C9ADC"/>
                <w:sz w:val="20"/>
                <w:szCs w:val="18"/>
                <w:bdr w:val="nil"/>
                <w:lang w:eastAsia="en-US"/>
              </w:rPr>
              <w:t xml:space="preserve">DB </w:t>
            </w:r>
            <w:r w:rsidR="00C0479E">
              <w:rPr>
                <w:rFonts w:ascii="Arial Narrow" w:eastAsia="Calibri" w:hAnsi="Arial Narrow" w:cs="Arial Narrow"/>
                <w:b/>
                <w:bCs/>
                <w:color w:val="2C9ADC"/>
                <w:sz w:val="20"/>
                <w:szCs w:val="18"/>
                <w:bdr w:val="nil"/>
                <w:lang w:eastAsia="en-US"/>
              </w:rPr>
              <w:t>(štand.</w:t>
            </w:r>
            <w:r w:rsidR="00A85990" w:rsidRPr="00A85990">
              <w:rPr>
                <w:rFonts w:ascii="Arial Narrow" w:eastAsia="Calibri" w:hAnsi="Arial Narrow" w:cs="Arial Narrow"/>
                <w:b/>
                <w:bCs/>
                <w:color w:val="2C9ADC"/>
                <w:sz w:val="20"/>
                <w:szCs w:val="18"/>
                <w:bdr w:val="nil"/>
                <w:lang w:eastAsia="en-US"/>
              </w:rPr>
              <w:t xml:space="preserve"> odchýlka od priemeru </w:t>
            </w:r>
            <w:r w:rsidR="00C0479E">
              <w:rPr>
                <w:rFonts w:ascii="Arial Narrow" w:eastAsia="Calibri" w:hAnsi="Arial Narrow" w:cs="Arial Narrow"/>
                <w:b/>
                <w:bCs/>
                <w:color w:val="2C9ADC"/>
                <w:sz w:val="20"/>
                <w:szCs w:val="18"/>
                <w:bdr w:val="nil"/>
                <w:lang w:eastAsia="en-US"/>
              </w:rPr>
              <w:t>OECD)</w:t>
            </w:r>
            <w:bookmarkEnd w:id="65"/>
          </w:p>
        </w:tc>
        <w:tc>
          <w:tcPr>
            <w:tcW w:w="161" w:type="dxa"/>
            <w:tcBorders>
              <w:top w:val="nil"/>
              <w:left w:val="nil"/>
              <w:bottom w:val="nil"/>
              <w:right w:val="nil"/>
            </w:tcBorders>
            <w:shd w:val="clear" w:color="auto" w:fill="auto"/>
            <w:vAlign w:val="center"/>
          </w:tcPr>
          <w:p w14:paraId="76C1E3CD" w14:textId="77777777" w:rsidR="00D851C8" w:rsidRPr="00D851C8" w:rsidRDefault="00D851C8" w:rsidP="00FB625E">
            <w:pPr>
              <w:spacing w:after="0" w:line="240" w:lineRule="auto"/>
              <w:rPr>
                <w:rFonts w:ascii="Arial Narrow" w:eastAsia="Arial Narrow" w:hAnsi="Arial Narrow" w:cs="Arial Narrow"/>
                <w:b/>
                <w:bCs/>
                <w:color w:val="4F81BD" w:themeColor="accent1"/>
                <w:sz w:val="20"/>
                <w:szCs w:val="20"/>
                <w:bdr w:val="nil"/>
              </w:rPr>
            </w:pPr>
          </w:p>
        </w:tc>
        <w:tc>
          <w:tcPr>
            <w:tcW w:w="4446" w:type="dxa"/>
            <w:gridSpan w:val="2"/>
            <w:tcBorders>
              <w:top w:val="nil"/>
              <w:left w:val="nil"/>
              <w:bottom w:val="single" w:sz="6" w:space="0" w:color="000000"/>
              <w:right w:val="nil"/>
            </w:tcBorders>
            <w:shd w:val="clear" w:color="auto" w:fill="auto"/>
            <w:vAlign w:val="bottom"/>
          </w:tcPr>
          <w:p w14:paraId="074D1E4C" w14:textId="64088015" w:rsidR="00D851C8" w:rsidRPr="00D851C8" w:rsidRDefault="00097191" w:rsidP="000940CA">
            <w:pPr>
              <w:spacing w:after="0" w:line="240" w:lineRule="auto"/>
              <w:jc w:val="both"/>
              <w:rPr>
                <w:rFonts w:ascii="Arial Narrow" w:eastAsia="Arial Narrow" w:hAnsi="Arial Narrow" w:cs="Arial Narrow"/>
                <w:b/>
                <w:bCs/>
                <w:color w:val="4F81BD" w:themeColor="accent1"/>
                <w:sz w:val="20"/>
                <w:szCs w:val="20"/>
                <w:bdr w:val="nil"/>
              </w:rPr>
            </w:pPr>
            <w:bookmarkStart w:id="66" w:name="_Toc478656329"/>
            <w:r w:rsidRPr="00097191">
              <w:rPr>
                <w:rFonts w:ascii="Arial Narrow" w:eastAsia="Calibri" w:hAnsi="Arial Narrow" w:cs="Arial Narrow"/>
                <w:b/>
                <w:bCs/>
                <w:color w:val="2C9ADC"/>
                <w:sz w:val="20"/>
                <w:szCs w:val="20"/>
                <w:bdr w:val="nil"/>
                <w:lang w:eastAsia="en-US"/>
              </w:rPr>
              <w:t xml:space="preserve">Graf </w:t>
            </w:r>
            <w:r w:rsidRPr="00097191">
              <w:rPr>
                <w:rFonts w:ascii="Arial Narrow" w:eastAsia="Calibri" w:hAnsi="Arial Narrow" w:cs="Arial Narrow"/>
                <w:b/>
                <w:bCs/>
                <w:color w:val="2C9ADC"/>
                <w:sz w:val="20"/>
                <w:szCs w:val="20"/>
                <w:bdr w:val="nil"/>
                <w:lang w:eastAsia="en-US"/>
              </w:rPr>
              <w:fldChar w:fldCharType="begin"/>
            </w:r>
            <w:r w:rsidRPr="00097191">
              <w:rPr>
                <w:rFonts w:ascii="Arial Narrow" w:eastAsia="Calibri" w:hAnsi="Arial Narrow" w:cs="Arial Narrow"/>
                <w:b/>
                <w:bCs/>
                <w:color w:val="2C9ADC"/>
                <w:sz w:val="20"/>
                <w:szCs w:val="20"/>
                <w:bdr w:val="nil"/>
                <w:lang w:eastAsia="en-US"/>
              </w:rPr>
              <w:instrText xml:space="preserve"> SEQ GRAF \* ARABIC </w:instrText>
            </w:r>
            <w:r w:rsidRPr="00097191">
              <w:rPr>
                <w:rFonts w:ascii="Arial Narrow" w:eastAsia="Calibri" w:hAnsi="Arial Narrow" w:cs="Arial Narrow"/>
                <w:b/>
                <w:bCs/>
                <w:color w:val="2C9ADC"/>
                <w:sz w:val="20"/>
                <w:szCs w:val="20"/>
                <w:bdr w:val="nil"/>
                <w:lang w:eastAsia="en-US"/>
              </w:rPr>
              <w:fldChar w:fldCharType="separate"/>
            </w:r>
            <w:r w:rsidR="002E71B2">
              <w:rPr>
                <w:rFonts w:ascii="Arial Narrow" w:eastAsia="Calibri" w:hAnsi="Arial Narrow" w:cs="Arial Narrow"/>
                <w:b/>
                <w:bCs/>
                <w:noProof/>
                <w:color w:val="2C9ADC"/>
                <w:sz w:val="20"/>
                <w:szCs w:val="20"/>
                <w:bdr w:val="nil"/>
                <w:lang w:eastAsia="en-US"/>
              </w:rPr>
              <w:t>26</w:t>
            </w:r>
            <w:r w:rsidRPr="00097191">
              <w:rPr>
                <w:rFonts w:ascii="Arial Narrow" w:eastAsia="Calibri" w:hAnsi="Arial Narrow" w:cs="Arial Narrow"/>
                <w:b/>
                <w:bCs/>
                <w:color w:val="2C9ADC"/>
                <w:sz w:val="20"/>
                <w:szCs w:val="20"/>
                <w:bdr w:val="nil"/>
                <w:lang w:eastAsia="en-US"/>
              </w:rPr>
              <w:fldChar w:fldCharType="end"/>
            </w:r>
            <w:r w:rsidRPr="00097191">
              <w:rPr>
                <w:rFonts w:ascii="Arial Narrow" w:eastAsia="Calibri" w:hAnsi="Arial Narrow" w:cs="Arial Narrow"/>
                <w:b/>
                <w:bCs/>
                <w:color w:val="2C9ADC"/>
                <w:sz w:val="20"/>
                <w:szCs w:val="20"/>
                <w:bdr w:val="nil"/>
                <w:lang w:eastAsia="en-US"/>
              </w:rPr>
              <w:t xml:space="preserve">: </w:t>
            </w:r>
            <w:r w:rsidR="00615972">
              <w:rPr>
                <w:rFonts w:ascii="Arial Narrow" w:eastAsia="Calibri" w:hAnsi="Arial Narrow" w:cs="Arial Narrow"/>
                <w:b/>
                <w:bCs/>
                <w:color w:val="2C9ADC"/>
                <w:sz w:val="20"/>
                <w:szCs w:val="20"/>
                <w:bdr w:val="nil"/>
                <w:lang w:eastAsia="en-US"/>
              </w:rPr>
              <w:t>Po</w:t>
            </w:r>
            <w:r w:rsidR="00BF3C5F">
              <w:rPr>
                <w:rFonts w:ascii="Arial Narrow" w:eastAsia="Calibri" w:hAnsi="Arial Narrow" w:cs="Arial Narrow"/>
                <w:b/>
                <w:color w:val="2C9ADC"/>
                <w:sz w:val="20"/>
                <w:szCs w:val="20"/>
                <w:bdr w:val="nil"/>
                <w:lang w:eastAsia="en-US"/>
              </w:rPr>
              <w:t xml:space="preserve">čet </w:t>
            </w:r>
            <w:r w:rsidR="00615972">
              <w:rPr>
                <w:rFonts w:ascii="Arial Narrow" w:eastAsia="Calibri" w:hAnsi="Arial Narrow" w:cs="Arial Narrow"/>
                <w:b/>
                <w:color w:val="2C9ADC"/>
                <w:sz w:val="20"/>
                <w:szCs w:val="20"/>
                <w:bdr w:val="nil"/>
                <w:lang w:eastAsia="en-US"/>
              </w:rPr>
              <w:t>dní po</w:t>
            </w:r>
            <w:r w:rsidR="00BF3C5F">
              <w:rPr>
                <w:rFonts w:ascii="Arial Narrow" w:eastAsia="Calibri" w:hAnsi="Arial Narrow" w:cs="Arial Narrow"/>
                <w:b/>
                <w:color w:val="2C9ADC"/>
                <w:sz w:val="20"/>
                <w:szCs w:val="20"/>
                <w:bdr w:val="nil"/>
                <w:lang w:eastAsia="en-US"/>
              </w:rPr>
              <w:t>trebných na vy</w:t>
            </w:r>
            <w:r w:rsidR="000940CA">
              <w:rPr>
                <w:rFonts w:ascii="Arial Narrow" w:eastAsia="Calibri" w:hAnsi="Arial Narrow" w:cs="Arial Narrow"/>
                <w:b/>
                <w:color w:val="2C9ADC"/>
                <w:sz w:val="20"/>
                <w:szCs w:val="20"/>
                <w:bdr w:val="nil"/>
                <w:lang w:eastAsia="en-US"/>
              </w:rPr>
              <w:t>máhanie</w:t>
            </w:r>
            <w:r w:rsidR="00BF3C5F">
              <w:rPr>
                <w:rFonts w:ascii="Arial Narrow" w:eastAsia="Calibri" w:hAnsi="Arial Narrow" w:cs="Arial Narrow"/>
                <w:b/>
                <w:color w:val="2C9ADC"/>
                <w:sz w:val="20"/>
                <w:szCs w:val="20"/>
                <w:bdr w:val="nil"/>
                <w:lang w:eastAsia="en-US"/>
              </w:rPr>
              <w:t xml:space="preserve"> záväzkov zo zmlúv </w:t>
            </w:r>
            <w:r w:rsidR="00615972">
              <w:rPr>
                <w:rFonts w:ascii="Arial Narrow" w:eastAsia="Calibri" w:hAnsi="Arial Narrow" w:cs="Arial Narrow"/>
                <w:b/>
                <w:color w:val="2C9ADC"/>
                <w:sz w:val="20"/>
                <w:szCs w:val="20"/>
                <w:bdr w:val="nil"/>
                <w:lang w:eastAsia="en-US"/>
              </w:rPr>
              <w:t>a riešenie insolventnosti</w:t>
            </w:r>
            <w:bookmarkEnd w:id="66"/>
          </w:p>
        </w:tc>
      </w:tr>
      <w:tr w:rsidR="00D851C8" w:rsidRPr="00D851C8" w14:paraId="0D5E593E" w14:textId="77777777" w:rsidTr="003D1EF0">
        <w:trPr>
          <w:trHeight w:val="2641"/>
          <w:jc w:val="center"/>
        </w:trPr>
        <w:tc>
          <w:tcPr>
            <w:tcW w:w="4068" w:type="dxa"/>
            <w:tcBorders>
              <w:top w:val="single" w:sz="6" w:space="0" w:color="000000"/>
              <w:left w:val="nil"/>
              <w:bottom w:val="single" w:sz="8" w:space="0" w:color="000000"/>
              <w:right w:val="nil"/>
            </w:tcBorders>
            <w:shd w:val="clear" w:color="auto" w:fill="auto"/>
          </w:tcPr>
          <w:p w14:paraId="10E79DF2" w14:textId="2E7D15FD" w:rsidR="00D851C8" w:rsidRPr="00D851C8" w:rsidRDefault="00D851C8" w:rsidP="00FB625E">
            <w:pPr>
              <w:spacing w:after="0" w:line="240" w:lineRule="auto"/>
              <w:rPr>
                <w:rFonts w:ascii="Arial Narrow" w:hAnsi="Arial Narrow"/>
              </w:rPr>
            </w:pPr>
            <w:r>
              <w:rPr>
                <w:noProof/>
                <w:lang w:val="en-US" w:eastAsia="en-US"/>
              </w:rPr>
              <w:drawing>
                <wp:inline distT="0" distB="0" distL="0" distR="0" wp14:anchorId="0FC148F4" wp14:editId="0391D5DB">
                  <wp:extent cx="2562225" cy="2170706"/>
                  <wp:effectExtent l="0" t="0" r="0" b="127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237" w:type="dxa"/>
            <w:gridSpan w:val="2"/>
            <w:tcBorders>
              <w:top w:val="nil"/>
              <w:left w:val="nil"/>
              <w:bottom w:val="nil"/>
              <w:right w:val="nil"/>
            </w:tcBorders>
            <w:shd w:val="clear" w:color="auto" w:fill="auto"/>
          </w:tcPr>
          <w:p w14:paraId="20A30CD5" w14:textId="77777777" w:rsidR="00D851C8" w:rsidRPr="00D851C8" w:rsidRDefault="00D851C8" w:rsidP="00FB625E">
            <w:pPr>
              <w:spacing w:after="0" w:line="240" w:lineRule="auto"/>
              <w:rPr>
                <w:rFonts w:ascii="Arial Narrow" w:hAnsi="Arial Narrow"/>
              </w:rPr>
            </w:pPr>
          </w:p>
        </w:tc>
        <w:tc>
          <w:tcPr>
            <w:tcW w:w="4370" w:type="dxa"/>
            <w:tcBorders>
              <w:top w:val="single" w:sz="6" w:space="0" w:color="000000"/>
              <w:left w:val="nil"/>
              <w:bottom w:val="single" w:sz="8" w:space="0" w:color="000000"/>
              <w:right w:val="nil"/>
            </w:tcBorders>
            <w:shd w:val="clear" w:color="auto" w:fill="auto"/>
          </w:tcPr>
          <w:p w14:paraId="2A2FF889" w14:textId="25BCB84A" w:rsidR="00D851C8" w:rsidRPr="00D851C8" w:rsidRDefault="003D1EF0" w:rsidP="00FB625E">
            <w:pPr>
              <w:spacing w:after="0" w:line="240" w:lineRule="auto"/>
              <w:rPr>
                <w:rFonts w:ascii="Arial Narrow" w:hAnsi="Arial Narrow"/>
              </w:rPr>
            </w:pPr>
            <w:r>
              <w:rPr>
                <w:noProof/>
                <w:lang w:val="en-US" w:eastAsia="en-US"/>
              </w:rPr>
              <w:drawing>
                <wp:inline distT="0" distB="0" distL="0" distR="0" wp14:anchorId="53F6BC6F" wp14:editId="0CC5E3B8">
                  <wp:extent cx="2686050" cy="21336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D851C8" w:rsidRPr="00D851C8" w14:paraId="7F7ACB85" w14:textId="77777777" w:rsidTr="00D851C8">
        <w:trPr>
          <w:trHeight w:val="58"/>
          <w:jc w:val="center"/>
        </w:trPr>
        <w:tc>
          <w:tcPr>
            <w:tcW w:w="4068" w:type="dxa"/>
            <w:tcBorders>
              <w:top w:val="single" w:sz="8" w:space="0" w:color="000000"/>
              <w:left w:val="nil"/>
              <w:bottom w:val="nil"/>
              <w:right w:val="nil"/>
            </w:tcBorders>
            <w:shd w:val="clear" w:color="auto" w:fill="auto"/>
            <w:vAlign w:val="center"/>
          </w:tcPr>
          <w:p w14:paraId="77925F36" w14:textId="77777777" w:rsidR="00D851C8" w:rsidRPr="00D851C8" w:rsidRDefault="00D851C8" w:rsidP="00BE56D5">
            <w:pPr>
              <w:spacing w:after="0" w:line="240" w:lineRule="auto"/>
              <w:jc w:val="right"/>
              <w:rPr>
                <w:rFonts w:ascii="Arial Narrow" w:hAnsi="Arial Narrow"/>
              </w:rPr>
            </w:pPr>
            <w:r w:rsidRPr="00D851C8">
              <w:rPr>
                <w:rFonts w:ascii="Arial Narrow" w:eastAsia="Calibri" w:hAnsi="Arial Narrow"/>
                <w:i/>
                <w:iCs/>
                <w:sz w:val="16"/>
                <w:szCs w:val="16"/>
                <w:lang w:eastAsia="en-US"/>
              </w:rPr>
              <w:t>Zdroj: DB 2016-2017</w:t>
            </w:r>
          </w:p>
        </w:tc>
        <w:tc>
          <w:tcPr>
            <w:tcW w:w="161" w:type="dxa"/>
            <w:tcBorders>
              <w:top w:val="nil"/>
              <w:left w:val="nil"/>
              <w:bottom w:val="nil"/>
              <w:right w:val="nil"/>
            </w:tcBorders>
            <w:shd w:val="clear" w:color="auto" w:fill="auto"/>
            <w:vAlign w:val="center"/>
          </w:tcPr>
          <w:p w14:paraId="455B8397" w14:textId="77777777" w:rsidR="00D851C8" w:rsidRPr="00D851C8" w:rsidRDefault="00D851C8" w:rsidP="00BE56D5">
            <w:pPr>
              <w:spacing w:after="0" w:line="240" w:lineRule="auto"/>
              <w:jc w:val="center"/>
              <w:rPr>
                <w:rFonts w:ascii="Arial Narrow" w:hAnsi="Arial Narrow"/>
              </w:rPr>
            </w:pPr>
          </w:p>
        </w:tc>
        <w:tc>
          <w:tcPr>
            <w:tcW w:w="4446" w:type="dxa"/>
            <w:gridSpan w:val="2"/>
            <w:tcBorders>
              <w:top w:val="single" w:sz="8" w:space="0" w:color="000000"/>
              <w:left w:val="nil"/>
              <w:bottom w:val="nil"/>
              <w:right w:val="nil"/>
            </w:tcBorders>
            <w:shd w:val="clear" w:color="auto" w:fill="auto"/>
            <w:vAlign w:val="center"/>
          </w:tcPr>
          <w:p w14:paraId="62D42420" w14:textId="5D2E19C8" w:rsidR="00D851C8" w:rsidRPr="00D851C8" w:rsidRDefault="00D851C8" w:rsidP="00BE56D5">
            <w:pPr>
              <w:spacing w:after="0" w:line="240" w:lineRule="auto"/>
              <w:jc w:val="right"/>
              <w:rPr>
                <w:rFonts w:ascii="Arial Narrow" w:hAnsi="Arial Narrow"/>
              </w:rPr>
            </w:pPr>
            <w:r w:rsidRPr="00D851C8">
              <w:rPr>
                <w:rFonts w:ascii="Arial Narrow" w:hAnsi="Arial Narrow"/>
                <w:i/>
                <w:sz w:val="16"/>
                <w:szCs w:val="16"/>
              </w:rPr>
              <w:t xml:space="preserve">                     </w:t>
            </w:r>
            <w:r w:rsidR="00A85990">
              <w:rPr>
                <w:rFonts w:ascii="Arial Narrow" w:eastAsia="Calibri" w:hAnsi="Arial Narrow"/>
                <w:i/>
                <w:iCs/>
                <w:sz w:val="16"/>
                <w:szCs w:val="16"/>
                <w:lang w:eastAsia="en-US"/>
              </w:rPr>
              <w:t>Zdroj:</w:t>
            </w:r>
            <w:r w:rsidR="006A19AB">
              <w:rPr>
                <w:rFonts w:ascii="Arial Narrow" w:eastAsia="Calibri" w:hAnsi="Arial Narrow"/>
                <w:i/>
                <w:iCs/>
                <w:sz w:val="16"/>
                <w:szCs w:val="16"/>
                <w:lang w:eastAsia="en-US"/>
              </w:rPr>
              <w:t xml:space="preserve"> </w:t>
            </w:r>
            <w:r w:rsidR="001678B1">
              <w:rPr>
                <w:rFonts w:ascii="Arial Narrow" w:eastAsia="Calibri" w:hAnsi="Arial Narrow"/>
                <w:i/>
                <w:iCs/>
                <w:sz w:val="16"/>
                <w:szCs w:val="16"/>
                <w:lang w:eastAsia="en-US"/>
              </w:rPr>
              <w:t xml:space="preserve">DB </w:t>
            </w:r>
            <w:r w:rsidR="00615972" w:rsidRPr="00D851C8">
              <w:rPr>
                <w:rFonts w:ascii="Arial Narrow" w:eastAsia="Calibri" w:hAnsi="Arial Narrow"/>
                <w:i/>
                <w:iCs/>
                <w:sz w:val="16"/>
                <w:szCs w:val="16"/>
                <w:lang w:eastAsia="en-US"/>
              </w:rPr>
              <w:t>2017</w:t>
            </w:r>
          </w:p>
        </w:tc>
      </w:tr>
    </w:tbl>
    <w:p w14:paraId="46EA0B5A" w14:textId="10C4080D" w:rsidR="004803A1" w:rsidRDefault="004803A1" w:rsidP="004803A1">
      <w:pPr>
        <w:spacing w:after="0" w:line="240" w:lineRule="auto"/>
        <w:jc w:val="both"/>
        <w:rPr>
          <w:rFonts w:ascii="Arial Narrow" w:hAnsi="Arial Narrow"/>
        </w:rPr>
      </w:pPr>
      <w:r w:rsidRPr="004803A1">
        <w:rPr>
          <w:rFonts w:ascii="Arial Narrow" w:hAnsi="Arial Narrow"/>
        </w:rPr>
        <w:lastRenderedPageBreak/>
        <w:t>Medzi najzaostávajúcejšie oblasti podľa Doing Business naďalej patria ochrana minoritných investorov, získavanie stavebných povolení a vymožiteľnosť práva.</w:t>
      </w:r>
      <w:r w:rsidRPr="004803A1">
        <w:t xml:space="preserve"> </w:t>
      </w:r>
      <w:r w:rsidR="009A551F">
        <w:rPr>
          <w:rFonts w:ascii="Arial Narrow" w:hAnsi="Arial Narrow"/>
        </w:rPr>
        <w:t>Počet</w:t>
      </w:r>
      <w:r w:rsidRPr="004803A1">
        <w:rPr>
          <w:rFonts w:ascii="Arial Narrow" w:hAnsi="Arial Narrow"/>
        </w:rPr>
        <w:t xml:space="preserve"> kalendárnych dní potrebných na v</w:t>
      </w:r>
      <w:r>
        <w:rPr>
          <w:rFonts w:ascii="Arial Narrow" w:hAnsi="Arial Narrow"/>
        </w:rPr>
        <w:t>ymoženie</w:t>
      </w:r>
      <w:r w:rsidR="00A65ACE">
        <w:rPr>
          <w:rFonts w:ascii="Arial Narrow" w:hAnsi="Arial Narrow"/>
        </w:rPr>
        <w:t xml:space="preserve"> </w:t>
      </w:r>
      <w:r>
        <w:rPr>
          <w:rFonts w:ascii="Arial Narrow" w:hAnsi="Arial Narrow"/>
        </w:rPr>
        <w:t>záväzkov zo zmlúv</w:t>
      </w:r>
      <w:r w:rsidR="00A65ACE">
        <w:rPr>
          <w:rStyle w:val="Odkaznapoznmkupodiarou"/>
          <w:rFonts w:ascii="Arial Narrow" w:hAnsi="Arial Narrow"/>
        </w:rPr>
        <w:footnoteReference w:id="46"/>
      </w:r>
      <w:r>
        <w:rPr>
          <w:rFonts w:ascii="Arial Narrow" w:hAnsi="Arial Narrow"/>
        </w:rPr>
        <w:t xml:space="preserve"> </w:t>
      </w:r>
      <w:r w:rsidRPr="004803A1">
        <w:rPr>
          <w:rFonts w:ascii="Arial Narrow" w:hAnsi="Arial Narrow"/>
        </w:rPr>
        <w:t>a riešenie insolventnosti</w:t>
      </w:r>
      <w:r w:rsidR="00A65ACE">
        <w:rPr>
          <w:rStyle w:val="Odkaznapoznmkupodiarou"/>
          <w:rFonts w:ascii="Arial Narrow" w:hAnsi="Arial Narrow"/>
        </w:rPr>
        <w:footnoteReference w:id="47"/>
      </w:r>
      <w:r w:rsidR="00A65ACE">
        <w:rPr>
          <w:rFonts w:ascii="Arial Narrow" w:hAnsi="Arial Narrow"/>
        </w:rPr>
        <w:t xml:space="preserve"> </w:t>
      </w:r>
      <w:r w:rsidRPr="004803A1">
        <w:rPr>
          <w:rFonts w:ascii="Arial Narrow" w:hAnsi="Arial Narrow"/>
        </w:rPr>
        <w:t>je vyšší nie</w:t>
      </w:r>
      <w:r w:rsidR="00A65ACE">
        <w:rPr>
          <w:rFonts w:ascii="Arial Narrow" w:hAnsi="Arial Narrow"/>
        </w:rPr>
        <w:t xml:space="preserve">len v porovnaní s priemerom EÚ, </w:t>
      </w:r>
      <w:r w:rsidR="00F60846">
        <w:rPr>
          <w:rFonts w:ascii="Arial Narrow" w:hAnsi="Arial Narrow"/>
        </w:rPr>
        <w:t xml:space="preserve">ale aj v rámci </w:t>
      </w:r>
      <w:r w:rsidRPr="004803A1">
        <w:rPr>
          <w:rFonts w:ascii="Arial Narrow" w:hAnsi="Arial Narrow"/>
        </w:rPr>
        <w:t>krajín</w:t>
      </w:r>
      <w:r w:rsidR="00F60846">
        <w:rPr>
          <w:rFonts w:ascii="Arial Narrow" w:hAnsi="Arial Narrow"/>
        </w:rPr>
        <w:t xml:space="preserve"> V4</w:t>
      </w:r>
      <w:r>
        <w:rPr>
          <w:rFonts w:ascii="Arial Narrow" w:hAnsi="Arial Narrow"/>
        </w:rPr>
        <w:t xml:space="preserve">. </w:t>
      </w:r>
      <w:r w:rsidRPr="004803A1">
        <w:rPr>
          <w:rFonts w:ascii="Arial Narrow" w:hAnsi="Arial Narrow"/>
        </w:rPr>
        <w:t>Naopak, Slovensko dosahuje nadpriemerné hodnotenia v cezhraničnom obchode a registrovaní majetku</w:t>
      </w:r>
      <w:r w:rsidR="009A551F">
        <w:rPr>
          <w:rFonts w:ascii="Arial Narrow" w:hAnsi="Arial Narrow"/>
        </w:rPr>
        <w:t xml:space="preserve">. </w:t>
      </w:r>
    </w:p>
    <w:p w14:paraId="15851A0A" w14:textId="77777777" w:rsidR="00E56EAF" w:rsidRDefault="00E56EAF" w:rsidP="004803A1">
      <w:pPr>
        <w:spacing w:after="0" w:line="240" w:lineRule="auto"/>
        <w:jc w:val="both"/>
        <w:rPr>
          <w:rFonts w:ascii="Arial Narrow" w:hAnsi="Arial Narrow"/>
        </w:rPr>
      </w:pPr>
    </w:p>
    <w:p w14:paraId="36DA2314" w14:textId="4F0AB9EF" w:rsidR="00E56EAF" w:rsidRDefault="00E56EAF" w:rsidP="00E56EAF">
      <w:pPr>
        <w:spacing w:after="0" w:line="240" w:lineRule="auto"/>
        <w:jc w:val="both"/>
        <w:rPr>
          <w:rFonts w:ascii="Arial Narrow" w:hAnsi="Arial Narrow"/>
        </w:rPr>
      </w:pPr>
      <w:r>
        <w:rPr>
          <w:rFonts w:ascii="Arial Narrow" w:hAnsi="Arial Narrow"/>
        </w:rPr>
        <w:t>Vymožiteľnosť práva je kľúčový prvok pre dobre fungujúce podnikateľské prostredie. Slovenské s</w:t>
      </w:r>
      <w:r w:rsidRPr="00F81906">
        <w:rPr>
          <w:rFonts w:ascii="Arial Narrow" w:hAnsi="Arial Narrow"/>
        </w:rPr>
        <w:t>údnictv</w:t>
      </w:r>
      <w:r>
        <w:rPr>
          <w:rFonts w:ascii="Arial Narrow" w:hAnsi="Arial Narrow"/>
        </w:rPr>
        <w:t xml:space="preserve">o </w:t>
      </w:r>
      <w:r w:rsidRPr="00F81906">
        <w:rPr>
          <w:rFonts w:ascii="Arial Narrow" w:hAnsi="Arial Narrow"/>
        </w:rPr>
        <w:t>zaostáva hlavne</w:t>
      </w:r>
      <w:r>
        <w:rPr>
          <w:rFonts w:ascii="Arial Narrow" w:hAnsi="Arial Narrow"/>
        </w:rPr>
        <w:t xml:space="preserve"> za najlepšími krajinami v dĺžke súdnych konaní a</w:t>
      </w:r>
      <w:r w:rsidR="00F60846">
        <w:rPr>
          <w:rFonts w:ascii="Arial Narrow" w:hAnsi="Arial Narrow"/>
        </w:rPr>
        <w:t xml:space="preserve"> v </w:t>
      </w:r>
      <w:r w:rsidRPr="00F81906">
        <w:rPr>
          <w:rFonts w:ascii="Arial Narrow" w:hAnsi="Arial Narrow"/>
        </w:rPr>
        <w:t>m</w:t>
      </w:r>
      <w:r>
        <w:rPr>
          <w:rFonts w:ascii="Arial Narrow" w:hAnsi="Arial Narrow"/>
        </w:rPr>
        <w:t xml:space="preserve">iere </w:t>
      </w:r>
      <w:r w:rsidRPr="009A1CFF">
        <w:rPr>
          <w:rFonts w:ascii="Arial Narrow" w:hAnsi="Arial Narrow"/>
        </w:rPr>
        <w:t>vybavenosti</w:t>
      </w:r>
      <w:r>
        <w:rPr>
          <w:rFonts w:ascii="Arial Narrow" w:hAnsi="Arial Narrow"/>
        </w:rPr>
        <w:t xml:space="preserve"> konaní. V občianskej, obchodnej, </w:t>
      </w:r>
      <w:r w:rsidRPr="00F81906">
        <w:rPr>
          <w:rFonts w:ascii="Arial Narrow" w:hAnsi="Arial Narrow"/>
        </w:rPr>
        <w:t xml:space="preserve">správnej a trestnej agende sú dĺžky konaní z medzinárodného hľadiska nadpriemerné. Pri vybavenosti </w:t>
      </w:r>
      <w:r w:rsidR="006C5DC0">
        <w:rPr>
          <w:rFonts w:ascii="Arial Narrow" w:hAnsi="Arial Narrow"/>
        </w:rPr>
        <w:t>je priestor pre zlepšenie</w:t>
      </w:r>
      <w:r>
        <w:rPr>
          <w:rFonts w:ascii="Arial Narrow" w:hAnsi="Arial Narrow"/>
        </w:rPr>
        <w:t xml:space="preserve"> pri občianskych a </w:t>
      </w:r>
      <w:r w:rsidRPr="00F81906">
        <w:rPr>
          <w:rFonts w:ascii="Arial Narrow" w:hAnsi="Arial Narrow"/>
        </w:rPr>
        <w:t>obchodných ve</w:t>
      </w:r>
      <w:r>
        <w:rPr>
          <w:rFonts w:ascii="Arial Narrow" w:hAnsi="Arial Narrow"/>
        </w:rPr>
        <w:t>ciach. V posledných rokoch dochádza</w:t>
      </w:r>
      <w:r w:rsidRPr="00F81906">
        <w:rPr>
          <w:rFonts w:ascii="Arial Narrow" w:hAnsi="Arial Narrow"/>
        </w:rPr>
        <w:t xml:space="preserve"> k zlepšeniu v tejto oblasti, ale stále sa nachádzame pod priemerom </w:t>
      </w:r>
      <w:r>
        <w:rPr>
          <w:rFonts w:ascii="Arial Narrow" w:hAnsi="Arial Narrow"/>
        </w:rPr>
        <w:t>krajín V3</w:t>
      </w:r>
      <w:r w:rsidRPr="00F81906">
        <w:rPr>
          <w:rStyle w:val="Odkaznapoznmkupodiarou"/>
          <w:rFonts w:ascii="Arial Narrow" w:hAnsi="Arial Narrow"/>
        </w:rPr>
        <w:footnoteReference w:id="48"/>
      </w:r>
      <w:r>
        <w:rPr>
          <w:rFonts w:ascii="Arial Narrow" w:hAnsi="Arial Narrow"/>
        </w:rPr>
        <w:t>.</w:t>
      </w:r>
    </w:p>
    <w:p w14:paraId="0FD1E215" w14:textId="77777777" w:rsidR="007861FA" w:rsidRPr="00F81906" w:rsidRDefault="007861FA" w:rsidP="007861FA">
      <w:pPr>
        <w:spacing w:after="0" w:line="240" w:lineRule="auto"/>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35"/>
        <w:gridCol w:w="171"/>
        <w:gridCol w:w="4258"/>
      </w:tblGrid>
      <w:tr w:rsidR="007861FA" w:rsidRPr="00F81906" w14:paraId="319D4C29" w14:textId="77777777" w:rsidTr="00B97726">
        <w:trPr>
          <w:trHeight w:val="495"/>
          <w:jc w:val="center"/>
        </w:trPr>
        <w:tc>
          <w:tcPr>
            <w:tcW w:w="4091" w:type="dxa"/>
            <w:tcBorders>
              <w:top w:val="nil"/>
              <w:left w:val="nil"/>
              <w:bottom w:val="single" w:sz="4" w:space="0" w:color="auto"/>
              <w:right w:val="nil"/>
            </w:tcBorders>
            <w:vAlign w:val="center"/>
          </w:tcPr>
          <w:p w14:paraId="01DAF3DC" w14:textId="77777777" w:rsidR="007861FA" w:rsidRPr="00F81906" w:rsidRDefault="007861FA" w:rsidP="00AC1234">
            <w:pPr>
              <w:pStyle w:val="Popis"/>
              <w:rPr>
                <w:rFonts w:cs="Arial"/>
              </w:rPr>
            </w:pPr>
            <w:bookmarkStart w:id="67" w:name="_Toc478656330"/>
            <w:r w:rsidRPr="00256D89">
              <w:t xml:space="preserve">Graf </w:t>
            </w:r>
            <w:fldSimple w:instr=" SEQ Graf \* ARABIC ">
              <w:r w:rsidR="002E71B2">
                <w:rPr>
                  <w:noProof/>
                </w:rPr>
                <w:t>27</w:t>
              </w:r>
            </w:fldSimple>
            <w:r w:rsidRPr="00F81906">
              <w:rPr>
                <w:noProof/>
              </w:rPr>
              <w:t>:</w:t>
            </w:r>
            <w:r w:rsidRPr="00F81906">
              <w:t xml:space="preserve"> Dĺžka konania v dňoch, občianske a obchodné veci, 2014</w:t>
            </w:r>
            <w:bookmarkEnd w:id="67"/>
          </w:p>
        </w:tc>
        <w:tc>
          <w:tcPr>
            <w:tcW w:w="169" w:type="dxa"/>
            <w:tcBorders>
              <w:top w:val="nil"/>
              <w:left w:val="nil"/>
              <w:bottom w:val="nil"/>
              <w:right w:val="nil"/>
            </w:tcBorders>
            <w:vAlign w:val="center"/>
          </w:tcPr>
          <w:p w14:paraId="47C9E330" w14:textId="77777777" w:rsidR="007861FA" w:rsidRPr="00F81906" w:rsidRDefault="007861FA" w:rsidP="00AC1234">
            <w:pPr>
              <w:spacing w:after="0" w:line="240" w:lineRule="auto"/>
              <w:jc w:val="center"/>
              <w:rPr>
                <w:rFonts w:ascii="Arial Narrow" w:hAnsi="Arial Narrow" w:cs="Arial"/>
                <w:b/>
                <w:sz w:val="20"/>
                <w:szCs w:val="20"/>
                <w:highlight w:val="lightGray"/>
              </w:rPr>
            </w:pPr>
          </w:p>
        </w:tc>
        <w:tc>
          <w:tcPr>
            <w:tcW w:w="4212" w:type="dxa"/>
            <w:tcBorders>
              <w:top w:val="nil"/>
              <w:left w:val="nil"/>
              <w:bottom w:val="single" w:sz="4" w:space="0" w:color="auto"/>
              <w:right w:val="nil"/>
            </w:tcBorders>
            <w:vAlign w:val="center"/>
          </w:tcPr>
          <w:p w14:paraId="271D7EFC" w14:textId="77777777" w:rsidR="007861FA" w:rsidRPr="00F81906" w:rsidRDefault="007861FA" w:rsidP="00AC1234">
            <w:pPr>
              <w:pStyle w:val="Popis"/>
            </w:pPr>
            <w:bookmarkStart w:id="68" w:name="_Toc478656331"/>
            <w:r w:rsidRPr="00256D89">
              <w:t xml:space="preserve">Graf </w:t>
            </w:r>
            <w:fldSimple w:instr=" SEQ Graf \* ARABIC ">
              <w:r w:rsidR="002E71B2">
                <w:rPr>
                  <w:noProof/>
                </w:rPr>
                <w:t>28</w:t>
              </w:r>
            </w:fldSimple>
            <w:r w:rsidRPr="00F81906">
              <w:rPr>
                <w:noProof/>
              </w:rPr>
              <w:t>: Miera vybavenosti</w:t>
            </w:r>
            <w:r>
              <w:rPr>
                <w:noProof/>
              </w:rPr>
              <w:t xml:space="preserve"> konaní V4, občianske a obchodné veci v %, </w:t>
            </w:r>
            <w:r w:rsidRPr="00F81906">
              <w:rPr>
                <w:noProof/>
              </w:rPr>
              <w:t>2010-2014</w:t>
            </w:r>
            <w:r>
              <w:rPr>
                <w:rStyle w:val="Odkaznapoznmkupodiarou"/>
                <w:noProof/>
              </w:rPr>
              <w:footnoteReference w:id="49"/>
            </w:r>
            <w:bookmarkEnd w:id="68"/>
          </w:p>
        </w:tc>
      </w:tr>
      <w:tr w:rsidR="007861FA" w:rsidRPr="00F81906" w14:paraId="53ED5B01" w14:textId="77777777" w:rsidTr="00B97726">
        <w:trPr>
          <w:trHeight w:val="917"/>
          <w:jc w:val="center"/>
        </w:trPr>
        <w:tc>
          <w:tcPr>
            <w:tcW w:w="4091" w:type="dxa"/>
            <w:tcBorders>
              <w:top w:val="single" w:sz="4" w:space="0" w:color="auto"/>
              <w:left w:val="nil"/>
              <w:bottom w:val="single" w:sz="4" w:space="0" w:color="auto"/>
              <w:right w:val="nil"/>
            </w:tcBorders>
            <w:vAlign w:val="center"/>
          </w:tcPr>
          <w:p w14:paraId="7A7F86B9" w14:textId="77777777" w:rsidR="007861FA" w:rsidRPr="00F81906" w:rsidRDefault="007861FA" w:rsidP="00AC1234">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0FED5C7E" wp14:editId="1EBDB3F2">
                  <wp:extent cx="2508885" cy="2076450"/>
                  <wp:effectExtent l="0" t="0" r="5715"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69" w:type="dxa"/>
            <w:tcBorders>
              <w:top w:val="nil"/>
              <w:left w:val="nil"/>
              <w:bottom w:val="nil"/>
              <w:right w:val="nil"/>
            </w:tcBorders>
            <w:vAlign w:val="center"/>
          </w:tcPr>
          <w:p w14:paraId="09607281" w14:textId="77777777" w:rsidR="007861FA" w:rsidRPr="00F81906" w:rsidRDefault="007861FA" w:rsidP="00AC1234">
            <w:pPr>
              <w:spacing w:after="0" w:line="240" w:lineRule="auto"/>
              <w:jc w:val="center"/>
              <w:rPr>
                <w:rFonts w:ascii="Arial Narrow" w:hAnsi="Arial Narrow" w:cs="Arial"/>
                <w:b/>
                <w:sz w:val="20"/>
                <w:szCs w:val="20"/>
                <w:highlight w:val="lightGray"/>
              </w:rPr>
            </w:pPr>
          </w:p>
        </w:tc>
        <w:tc>
          <w:tcPr>
            <w:tcW w:w="4212" w:type="dxa"/>
            <w:tcBorders>
              <w:top w:val="single" w:sz="4" w:space="0" w:color="auto"/>
              <w:left w:val="nil"/>
              <w:bottom w:val="single" w:sz="4" w:space="0" w:color="auto"/>
              <w:right w:val="nil"/>
            </w:tcBorders>
            <w:vAlign w:val="center"/>
          </w:tcPr>
          <w:p w14:paraId="541565C0" w14:textId="77777777" w:rsidR="007861FA" w:rsidRPr="00F81906" w:rsidRDefault="007861FA" w:rsidP="00AC1234">
            <w:pPr>
              <w:spacing w:after="0" w:line="240" w:lineRule="auto"/>
              <w:jc w:val="center"/>
              <w:rPr>
                <w:rFonts w:ascii="Arial Narrow" w:hAnsi="Arial Narrow" w:cs="Arial"/>
                <w:b/>
                <w:sz w:val="20"/>
                <w:szCs w:val="20"/>
                <w:highlight w:val="lightGray"/>
              </w:rPr>
            </w:pPr>
            <w:r w:rsidRPr="00F81906">
              <w:rPr>
                <w:rFonts w:ascii="Arial Narrow" w:hAnsi="Arial Narrow"/>
                <w:noProof/>
                <w:lang w:val="en-US" w:eastAsia="en-US"/>
              </w:rPr>
              <w:drawing>
                <wp:inline distT="0" distB="0" distL="0" distR="0" wp14:anchorId="08080526" wp14:editId="6EAD18A4">
                  <wp:extent cx="2638425" cy="2181225"/>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7861FA" w:rsidRPr="00F81906" w14:paraId="4034CB44" w14:textId="77777777" w:rsidTr="00B97726">
        <w:trPr>
          <w:trHeight w:val="253"/>
          <w:jc w:val="center"/>
        </w:trPr>
        <w:tc>
          <w:tcPr>
            <w:tcW w:w="4091" w:type="dxa"/>
            <w:tcBorders>
              <w:top w:val="single" w:sz="4" w:space="0" w:color="auto"/>
              <w:left w:val="nil"/>
              <w:bottom w:val="nil"/>
              <w:right w:val="nil"/>
            </w:tcBorders>
            <w:vAlign w:val="center"/>
          </w:tcPr>
          <w:p w14:paraId="53C9108D" w14:textId="77777777" w:rsidR="007861FA" w:rsidRPr="00BE56D5" w:rsidRDefault="007861FA" w:rsidP="00AC1234">
            <w:pPr>
              <w:spacing w:after="0" w:line="240" w:lineRule="auto"/>
              <w:jc w:val="right"/>
              <w:rPr>
                <w:rFonts w:ascii="Arial Narrow" w:hAnsi="Arial Narrow" w:cs="Arial"/>
                <w:i/>
                <w:sz w:val="16"/>
                <w:szCs w:val="18"/>
                <w:highlight w:val="lightGray"/>
              </w:rPr>
            </w:pPr>
            <w:r w:rsidRPr="00BE56D5">
              <w:rPr>
                <w:rFonts w:ascii="Arial Narrow" w:hAnsi="Arial Narrow" w:cs="Arial"/>
                <w:i/>
                <w:sz w:val="16"/>
                <w:szCs w:val="18"/>
              </w:rPr>
              <w:t xml:space="preserve">Zdroj: CEPEJ 2016 </w:t>
            </w:r>
          </w:p>
        </w:tc>
        <w:tc>
          <w:tcPr>
            <w:tcW w:w="169" w:type="dxa"/>
            <w:tcBorders>
              <w:top w:val="nil"/>
              <w:left w:val="nil"/>
              <w:bottom w:val="nil"/>
              <w:right w:val="nil"/>
            </w:tcBorders>
            <w:vAlign w:val="center"/>
          </w:tcPr>
          <w:p w14:paraId="638CCD3C" w14:textId="77777777" w:rsidR="007861FA" w:rsidRPr="00BE56D5" w:rsidRDefault="007861FA" w:rsidP="00AC1234">
            <w:pPr>
              <w:spacing w:after="0" w:line="240" w:lineRule="auto"/>
              <w:jc w:val="center"/>
              <w:rPr>
                <w:rFonts w:ascii="Arial Narrow" w:hAnsi="Arial Narrow" w:cs="Arial"/>
                <w:i/>
                <w:sz w:val="16"/>
                <w:szCs w:val="18"/>
                <w:highlight w:val="lightGray"/>
              </w:rPr>
            </w:pPr>
          </w:p>
        </w:tc>
        <w:tc>
          <w:tcPr>
            <w:tcW w:w="4212" w:type="dxa"/>
            <w:tcBorders>
              <w:top w:val="single" w:sz="4" w:space="0" w:color="auto"/>
              <w:left w:val="nil"/>
              <w:bottom w:val="nil"/>
              <w:right w:val="nil"/>
            </w:tcBorders>
            <w:vAlign w:val="center"/>
          </w:tcPr>
          <w:p w14:paraId="2BAA52BC" w14:textId="77777777" w:rsidR="007861FA" w:rsidRPr="00BE56D5" w:rsidRDefault="007861FA" w:rsidP="00AC1234">
            <w:pPr>
              <w:spacing w:after="0" w:line="240" w:lineRule="auto"/>
              <w:jc w:val="right"/>
              <w:rPr>
                <w:rFonts w:ascii="Arial Narrow" w:hAnsi="Arial Narrow" w:cs="Arial"/>
                <w:i/>
                <w:sz w:val="16"/>
                <w:szCs w:val="18"/>
                <w:highlight w:val="lightGray"/>
              </w:rPr>
            </w:pPr>
            <w:r w:rsidRPr="00BE56D5">
              <w:rPr>
                <w:rFonts w:ascii="Arial Narrow" w:hAnsi="Arial Narrow" w:cs="Arial"/>
                <w:i/>
                <w:sz w:val="16"/>
                <w:szCs w:val="18"/>
              </w:rPr>
              <w:t xml:space="preserve">Zdroj: CEPEJ 2016 </w:t>
            </w:r>
          </w:p>
        </w:tc>
      </w:tr>
    </w:tbl>
    <w:p w14:paraId="0758BB55" w14:textId="77777777" w:rsidR="001A5C4E" w:rsidRDefault="001A5C4E" w:rsidP="00107523">
      <w:pPr>
        <w:spacing w:after="0" w:line="240" w:lineRule="auto"/>
        <w:jc w:val="both"/>
        <w:rPr>
          <w:rFonts w:ascii="Arial Narrow" w:hAnsi="Arial Narrow"/>
          <w:b/>
          <w:i/>
        </w:rPr>
      </w:pPr>
    </w:p>
    <w:p w14:paraId="5FACD9C2" w14:textId="347DE089" w:rsidR="00AB7EC0" w:rsidRDefault="00107523" w:rsidP="00107523">
      <w:pPr>
        <w:spacing w:after="0" w:line="240" w:lineRule="auto"/>
        <w:jc w:val="both"/>
        <w:rPr>
          <w:rFonts w:ascii="Arial Narrow" w:hAnsi="Arial Narrow"/>
        </w:rPr>
      </w:pPr>
      <w:r w:rsidRPr="001A5C4E">
        <w:rPr>
          <w:rFonts w:ascii="Arial Narrow" w:hAnsi="Arial Narrow"/>
        </w:rPr>
        <w:t xml:space="preserve">Transparentné a nekorupčné prostredie vplýva pozitívne na hospodársky </w:t>
      </w:r>
      <w:r w:rsidR="001A5C4E" w:rsidRPr="001A5C4E">
        <w:rPr>
          <w:rFonts w:ascii="Arial Narrow" w:hAnsi="Arial Narrow"/>
        </w:rPr>
        <w:t xml:space="preserve">rast </w:t>
      </w:r>
      <w:r w:rsidRPr="001A5C4E">
        <w:rPr>
          <w:rFonts w:ascii="Arial Narrow" w:hAnsi="Arial Narrow"/>
        </w:rPr>
        <w:t>cez k</w:t>
      </w:r>
      <w:r w:rsidR="001A5C4E" w:rsidRPr="001A5C4E">
        <w:rPr>
          <w:rFonts w:ascii="Arial Narrow" w:hAnsi="Arial Narrow"/>
        </w:rPr>
        <w:t xml:space="preserve">ľúčové </w:t>
      </w:r>
      <w:r w:rsidR="00F60846">
        <w:rPr>
          <w:rFonts w:ascii="Arial Narrow" w:hAnsi="Arial Narrow"/>
        </w:rPr>
        <w:t xml:space="preserve">faktory, </w:t>
      </w:r>
      <w:r w:rsidRPr="001A5C4E">
        <w:rPr>
          <w:rFonts w:ascii="Arial Narrow" w:hAnsi="Arial Narrow"/>
        </w:rPr>
        <w:t>akými sú</w:t>
      </w:r>
      <w:r w:rsidR="001A5C4E" w:rsidRPr="001A5C4E">
        <w:rPr>
          <w:rFonts w:ascii="Arial Narrow" w:hAnsi="Arial Narrow"/>
        </w:rPr>
        <w:t xml:space="preserve"> verejné a</w:t>
      </w:r>
      <w:r w:rsidR="00C365F0">
        <w:rPr>
          <w:rFonts w:ascii="Arial Narrow" w:hAnsi="Arial Narrow"/>
        </w:rPr>
        <w:t xml:space="preserve"> </w:t>
      </w:r>
      <w:r w:rsidR="001A5C4E" w:rsidRPr="001A5C4E">
        <w:rPr>
          <w:rFonts w:ascii="Arial Narrow" w:hAnsi="Arial Narrow"/>
        </w:rPr>
        <w:t>súkromné investície, rozvoj ľudské</w:t>
      </w:r>
      <w:r w:rsidR="0098430E">
        <w:rPr>
          <w:rFonts w:ascii="Arial Narrow" w:hAnsi="Arial Narrow"/>
        </w:rPr>
        <w:t xml:space="preserve">ho kapitálu a makroekonomická a </w:t>
      </w:r>
      <w:r w:rsidR="001A5C4E" w:rsidRPr="001A5C4E">
        <w:rPr>
          <w:rFonts w:ascii="Arial Narrow" w:hAnsi="Arial Narrow"/>
        </w:rPr>
        <w:t>finančná stabilita</w:t>
      </w:r>
      <w:r w:rsidRPr="001A5C4E">
        <w:rPr>
          <w:rStyle w:val="Odkaznapoznmkupodiarou"/>
          <w:rFonts w:ascii="Arial Narrow" w:hAnsi="Arial Narrow"/>
        </w:rPr>
        <w:footnoteReference w:id="50"/>
      </w:r>
      <w:r w:rsidR="001A5C4E" w:rsidRPr="001A5C4E">
        <w:rPr>
          <w:rFonts w:ascii="Arial Narrow" w:hAnsi="Arial Narrow"/>
        </w:rPr>
        <w:t xml:space="preserve">. </w:t>
      </w:r>
      <w:r w:rsidR="001A5C4E" w:rsidRPr="00C365F0">
        <w:rPr>
          <w:rFonts w:ascii="Arial Narrow" w:hAnsi="Arial Narrow"/>
        </w:rPr>
        <w:t xml:space="preserve">V  kombinovanom ukazovateli korupcie zaostáva Slovensko za najlepšími krajinami EÚ. </w:t>
      </w:r>
      <w:r w:rsidRPr="00C365F0">
        <w:rPr>
          <w:rFonts w:ascii="Arial Narrow" w:hAnsi="Arial Narrow"/>
        </w:rPr>
        <w:t>Efektívny boj s korupciou si vyžaduje zvýšenie transparentnosti</w:t>
      </w:r>
      <w:r w:rsidR="001A5C4E" w:rsidRPr="00C365F0">
        <w:rPr>
          <w:rFonts w:ascii="Arial Narrow" w:hAnsi="Arial Narrow"/>
        </w:rPr>
        <w:t xml:space="preserve">, kvalitné verejné inštitúcie </w:t>
      </w:r>
      <w:r w:rsidRPr="00C365F0">
        <w:rPr>
          <w:rFonts w:ascii="Arial Narrow" w:hAnsi="Arial Narrow"/>
        </w:rPr>
        <w:t>a zúženie priestoru pre nekalé aktivity pri akomkoľvek nakladaní s majetkom štátu, ve</w:t>
      </w:r>
      <w:r w:rsidR="00C365F0">
        <w:rPr>
          <w:rFonts w:ascii="Arial Narrow" w:hAnsi="Arial Narrow"/>
        </w:rPr>
        <w:t xml:space="preserve">rejných inštitúcií a samospráv. </w:t>
      </w:r>
    </w:p>
    <w:p w14:paraId="5909DB43" w14:textId="77777777" w:rsidR="00AB7EC0" w:rsidRDefault="00AB7EC0" w:rsidP="00107523">
      <w:pPr>
        <w:spacing w:after="0" w:line="240" w:lineRule="auto"/>
        <w:jc w:val="both"/>
        <w:rPr>
          <w:rFonts w:ascii="Arial Narrow" w:hAnsi="Arial Narrow"/>
        </w:rPr>
      </w:pPr>
    </w:p>
    <w:p w14:paraId="06879711" w14:textId="6719EA5F" w:rsidR="001A5C4E" w:rsidRDefault="0098430E" w:rsidP="00107523">
      <w:pPr>
        <w:spacing w:after="0" w:line="240" w:lineRule="auto"/>
        <w:jc w:val="both"/>
        <w:rPr>
          <w:rFonts w:ascii="Arial Narrow" w:hAnsi="Arial Narrow"/>
        </w:rPr>
      </w:pPr>
      <w:r>
        <w:rPr>
          <w:rFonts w:ascii="Arial Narrow" w:hAnsi="Arial Narrow"/>
        </w:rPr>
        <w:t>Ďalšiu</w:t>
      </w:r>
      <w:r w:rsidR="00C365F0">
        <w:rPr>
          <w:rFonts w:ascii="Arial Narrow" w:hAnsi="Arial Narrow"/>
        </w:rPr>
        <w:t xml:space="preserve"> </w:t>
      </w:r>
      <w:r w:rsidR="00AB7EC0">
        <w:rPr>
          <w:rFonts w:ascii="Arial Narrow" w:hAnsi="Arial Narrow"/>
        </w:rPr>
        <w:t xml:space="preserve">oblasť s potenciálom pre zlepšenie hodnoty za peniaze a </w:t>
      </w:r>
      <w:r w:rsidR="008E097F">
        <w:rPr>
          <w:rFonts w:ascii="Arial Narrow" w:hAnsi="Arial Narrow"/>
        </w:rPr>
        <w:t>kvalit</w:t>
      </w:r>
      <w:r w:rsidR="00AB7EC0">
        <w:rPr>
          <w:rFonts w:ascii="Arial Narrow" w:hAnsi="Arial Narrow"/>
        </w:rPr>
        <w:t>y</w:t>
      </w:r>
      <w:r w:rsidR="008E097F">
        <w:rPr>
          <w:rFonts w:ascii="Arial Narrow" w:hAnsi="Arial Narrow"/>
        </w:rPr>
        <w:t xml:space="preserve"> verejných služieb </w:t>
      </w:r>
      <w:r w:rsidR="00C365F0">
        <w:rPr>
          <w:rFonts w:ascii="Arial Narrow" w:hAnsi="Arial Narrow"/>
        </w:rPr>
        <w:t xml:space="preserve">predstavuje neefektívna </w:t>
      </w:r>
      <w:r w:rsidR="006C5DC0">
        <w:rPr>
          <w:rFonts w:ascii="Arial Narrow" w:hAnsi="Arial Narrow"/>
        </w:rPr>
        <w:t>i</w:t>
      </w:r>
      <w:r w:rsidR="00C365F0">
        <w:rPr>
          <w:rFonts w:ascii="Arial Narrow" w:hAnsi="Arial Narrow"/>
        </w:rPr>
        <w:t>nštitucionálna štruktúra</w:t>
      </w:r>
      <w:r w:rsidR="00AB7EC0">
        <w:rPr>
          <w:rFonts w:ascii="Arial Narrow" w:hAnsi="Arial Narrow"/>
        </w:rPr>
        <w:t>. Bariérou pre vyššiu e</w:t>
      </w:r>
      <w:r w:rsidR="00AB7EC0" w:rsidRPr="00AB7EC0">
        <w:rPr>
          <w:rFonts w:ascii="Arial Narrow" w:hAnsi="Arial Narrow"/>
        </w:rPr>
        <w:t>fektívnos</w:t>
      </w:r>
      <w:r w:rsidR="00AB7EC0">
        <w:rPr>
          <w:rFonts w:ascii="Arial Narrow" w:hAnsi="Arial Narrow"/>
        </w:rPr>
        <w:t>ť</w:t>
      </w:r>
      <w:r w:rsidR="00AB7EC0" w:rsidRPr="00AB7EC0">
        <w:rPr>
          <w:rFonts w:ascii="Arial Narrow" w:hAnsi="Arial Narrow"/>
        </w:rPr>
        <w:t xml:space="preserve"> výkonu správy</w:t>
      </w:r>
      <w:r w:rsidR="00AB7EC0">
        <w:rPr>
          <w:rFonts w:ascii="Arial Narrow" w:hAnsi="Arial Narrow"/>
        </w:rPr>
        <w:t xml:space="preserve"> na úrovni miestnej </w:t>
      </w:r>
      <w:r w:rsidR="00C365F0">
        <w:rPr>
          <w:rFonts w:ascii="Arial Narrow" w:hAnsi="Arial Narrow"/>
        </w:rPr>
        <w:t>samospráv</w:t>
      </w:r>
      <w:r w:rsidR="00AB7EC0">
        <w:rPr>
          <w:rFonts w:ascii="Arial Narrow" w:hAnsi="Arial Narrow"/>
        </w:rPr>
        <w:t>y je ich rozdrobenosť</w:t>
      </w:r>
      <w:r w:rsidR="00C365F0">
        <w:rPr>
          <w:rFonts w:ascii="Arial Narrow" w:hAnsi="Arial Narrow"/>
        </w:rPr>
        <w:t xml:space="preserve"> (Box 2).</w:t>
      </w:r>
    </w:p>
    <w:p w14:paraId="37CAAE3B" w14:textId="77777777" w:rsidR="00C365F0" w:rsidRDefault="00C365F0" w:rsidP="00107523">
      <w:pPr>
        <w:spacing w:after="0" w:line="240" w:lineRule="auto"/>
        <w:jc w:val="both"/>
        <w:rPr>
          <w:rFonts w:ascii="Arial Narrow" w:hAnsi="Arial Narrow"/>
        </w:rPr>
      </w:pP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C365F0" w14:paraId="3B733457" w14:textId="77777777" w:rsidTr="00BA64E2">
        <w:trPr>
          <w:jc w:val="center"/>
        </w:trPr>
        <w:tc>
          <w:tcPr>
            <w:tcW w:w="8554" w:type="dxa"/>
            <w:shd w:val="clear" w:color="auto" w:fill="AAD3F2"/>
          </w:tcPr>
          <w:p w14:paraId="4DABC57F" w14:textId="77777777" w:rsidR="00C365F0" w:rsidRDefault="00C365F0" w:rsidP="00C365F0">
            <w:pPr>
              <w:spacing w:before="120" w:line="240" w:lineRule="auto"/>
              <w:jc w:val="both"/>
              <w:rPr>
                <w:rFonts w:ascii="Arial Narrow" w:hAnsi="Arial Narrow"/>
                <w:b/>
              </w:rPr>
            </w:pPr>
            <w:r w:rsidRPr="0017485F">
              <w:rPr>
                <w:rFonts w:ascii="Arial Narrow" w:hAnsi="Arial Narrow"/>
                <w:b/>
              </w:rPr>
              <w:t xml:space="preserve">Box </w:t>
            </w:r>
            <w:r>
              <w:rPr>
                <w:rFonts w:ascii="Arial Narrow" w:hAnsi="Arial Narrow"/>
                <w:b/>
              </w:rPr>
              <w:t>2</w:t>
            </w:r>
            <w:r w:rsidRPr="0017485F">
              <w:rPr>
                <w:rFonts w:ascii="Arial Narrow" w:hAnsi="Arial Narrow"/>
                <w:b/>
              </w:rPr>
              <w:t>: Efektívnosť samospráv</w:t>
            </w:r>
          </w:p>
          <w:p w14:paraId="08823E1F" w14:textId="13F93A38" w:rsidR="00AB7EC0" w:rsidRDefault="00C365F0" w:rsidP="00BA64E2">
            <w:pPr>
              <w:spacing w:after="0" w:line="240" w:lineRule="auto"/>
              <w:jc w:val="both"/>
              <w:rPr>
                <w:rFonts w:ascii="Arial Narrow" w:hAnsi="Arial Narrow"/>
              </w:rPr>
            </w:pPr>
            <w:r w:rsidRPr="00CD013B">
              <w:rPr>
                <w:rFonts w:ascii="Arial Narrow" w:hAnsi="Arial Narrow"/>
              </w:rPr>
              <w:t xml:space="preserve">Súčasná štruktúra miestnej samosprávy je neefektívna. </w:t>
            </w:r>
            <w:r w:rsidR="00F60846">
              <w:rPr>
                <w:rFonts w:ascii="Arial Narrow" w:hAnsi="Arial Narrow"/>
                <w:b/>
              </w:rPr>
              <w:t>Slovensko má viac ako 3,5-</w:t>
            </w:r>
            <w:r w:rsidR="00AB7EC0" w:rsidRPr="00AB7EC0">
              <w:rPr>
                <w:rFonts w:ascii="Arial Narrow" w:hAnsi="Arial Narrow"/>
                <w:b/>
              </w:rPr>
              <w:t>násobne vyš</w:t>
            </w:r>
            <w:r w:rsidR="00F60846">
              <w:rPr>
                <w:rFonts w:ascii="Arial Narrow" w:hAnsi="Arial Narrow"/>
                <w:b/>
              </w:rPr>
              <w:t>ší podiel starostov a viac ako dvoj</w:t>
            </w:r>
            <w:r w:rsidR="00AB7EC0" w:rsidRPr="00AB7EC0">
              <w:rPr>
                <w:rFonts w:ascii="Arial Narrow" w:hAnsi="Arial Narrow"/>
                <w:b/>
              </w:rPr>
              <w:t>násobne vyšší podiel poslancov na 100</w:t>
            </w:r>
            <w:r w:rsidR="00AC76F1">
              <w:rPr>
                <w:rFonts w:ascii="Arial Narrow" w:hAnsi="Arial Narrow"/>
                <w:b/>
              </w:rPr>
              <w:t xml:space="preserve"> tisíc obyvateľov ako priemer EÚ</w:t>
            </w:r>
            <w:r w:rsidR="00AB7EC0" w:rsidRPr="00AB7EC0">
              <w:rPr>
                <w:rFonts w:ascii="Arial Narrow" w:hAnsi="Arial Narrow"/>
                <w:b/>
              </w:rPr>
              <w:t>.</w:t>
            </w:r>
            <w:r w:rsidR="004730EB">
              <w:rPr>
                <w:rFonts w:ascii="Arial Narrow" w:hAnsi="Arial Narrow"/>
                <w:b/>
              </w:rPr>
              <w:t xml:space="preserve"> </w:t>
            </w:r>
            <w:r w:rsidRPr="00CD013B">
              <w:rPr>
                <w:rFonts w:ascii="Arial Narrow" w:hAnsi="Arial Narrow"/>
              </w:rPr>
              <w:t>Príčinou je jej rozdrobenosť</w:t>
            </w:r>
            <w:r w:rsidR="00F015A6">
              <w:rPr>
                <w:rFonts w:ascii="Arial Narrow" w:hAnsi="Arial Narrow"/>
              </w:rPr>
              <w:t xml:space="preserve"> a rurálny charakter krajiny</w:t>
            </w:r>
            <w:r w:rsidRPr="00CD013B">
              <w:rPr>
                <w:rFonts w:ascii="Arial Narrow" w:hAnsi="Arial Narrow"/>
              </w:rPr>
              <w:t>, ktor</w:t>
            </w:r>
            <w:r w:rsidR="00F015A6">
              <w:rPr>
                <w:rFonts w:ascii="Arial Narrow" w:hAnsi="Arial Narrow"/>
              </w:rPr>
              <w:t>é</w:t>
            </w:r>
            <w:r w:rsidR="00F60846">
              <w:rPr>
                <w:rFonts w:ascii="Arial Narrow" w:hAnsi="Arial Narrow"/>
              </w:rPr>
              <w:t xml:space="preserve"> vedú </w:t>
            </w:r>
            <w:r w:rsidRPr="00CD013B">
              <w:rPr>
                <w:rFonts w:ascii="Arial Narrow" w:hAnsi="Arial Narrow"/>
              </w:rPr>
              <w:t xml:space="preserve">k vysokým výdavkom na zabezpečenie správy. Až 92 % obcí má menej ako 3 tisíc obyvateľov. </w:t>
            </w:r>
          </w:p>
          <w:p w14:paraId="67F4D0EF" w14:textId="77777777" w:rsidR="00C243C2" w:rsidRDefault="00C243C2" w:rsidP="00BA64E2">
            <w:pPr>
              <w:spacing w:after="0" w:line="240" w:lineRule="auto"/>
              <w:jc w:val="both"/>
              <w:rPr>
                <w:rFonts w:ascii="Arial Narrow" w:hAnsi="Arial Narrow"/>
              </w:rPr>
            </w:pPr>
          </w:p>
          <w:p w14:paraId="65808C92" w14:textId="19EC37CB" w:rsidR="00C365F0" w:rsidRPr="00CD013B" w:rsidRDefault="00AB7EC0" w:rsidP="00BA64E2">
            <w:pPr>
              <w:spacing w:after="0" w:line="240" w:lineRule="auto"/>
              <w:jc w:val="both"/>
              <w:rPr>
                <w:rFonts w:ascii="Arial Narrow" w:hAnsi="Arial Narrow"/>
              </w:rPr>
            </w:pPr>
            <w:r>
              <w:rPr>
                <w:rFonts w:ascii="Arial Narrow" w:hAnsi="Arial Narrow"/>
              </w:rPr>
              <w:lastRenderedPageBreak/>
              <w:t xml:space="preserve">Rozdrobenosť sa </w:t>
            </w:r>
            <w:r w:rsidR="00C365F0" w:rsidRPr="00CD013B">
              <w:rPr>
                <w:rFonts w:ascii="Arial Narrow" w:hAnsi="Arial Narrow"/>
              </w:rPr>
              <w:t xml:space="preserve">negatívne prejavuje na poskytovaní verejných služieb a zabezpečovaní rozvoja obcí. </w:t>
            </w:r>
            <w:r w:rsidR="00C365F0" w:rsidRPr="00AB7EC0">
              <w:rPr>
                <w:rFonts w:ascii="Arial Narrow" w:hAnsi="Arial Narrow"/>
                <w:b/>
              </w:rPr>
              <w:t xml:space="preserve">Obce do </w:t>
            </w:r>
            <w:r w:rsidR="00056629">
              <w:rPr>
                <w:rFonts w:ascii="Arial Narrow" w:hAnsi="Arial Narrow"/>
                <w:b/>
              </w:rPr>
              <w:t xml:space="preserve">tisíc </w:t>
            </w:r>
            <w:r w:rsidR="00C365F0" w:rsidRPr="00AB7EC0">
              <w:rPr>
                <w:rFonts w:ascii="Arial Narrow" w:hAnsi="Arial Narrow"/>
                <w:b/>
              </w:rPr>
              <w:t>obyvateľov míňajú na výkon správy</w:t>
            </w:r>
            <w:r w:rsidR="00F015A6" w:rsidRPr="00CE1565">
              <w:rPr>
                <w:rStyle w:val="Odkaznapoznmkupodiarou"/>
                <w:rFonts w:ascii="Arial Narrow" w:hAnsi="Arial Narrow"/>
              </w:rPr>
              <w:footnoteReference w:id="51"/>
            </w:r>
            <w:r w:rsidR="00C365F0" w:rsidRPr="00AB7EC0">
              <w:rPr>
                <w:rFonts w:ascii="Arial Narrow" w:hAnsi="Arial Narrow"/>
                <w:b/>
              </w:rPr>
              <w:t xml:space="preserve"> až tretinu všetkých svojich výdavkov</w:t>
            </w:r>
            <w:r w:rsidR="00C365F0" w:rsidRPr="007861FA">
              <w:rPr>
                <w:rFonts w:ascii="Arial Narrow" w:hAnsi="Arial Narrow"/>
              </w:rPr>
              <w:t>. Naopak, obce s počtom obyvateľov od 20 do 50 tisíc dokážu až 90</w:t>
            </w:r>
            <w:r w:rsidR="004730EB">
              <w:rPr>
                <w:rFonts w:ascii="Arial Narrow" w:hAnsi="Arial Narrow"/>
              </w:rPr>
              <w:t xml:space="preserve"> </w:t>
            </w:r>
            <w:r w:rsidR="00F60846">
              <w:rPr>
                <w:rFonts w:ascii="Arial Narrow" w:hAnsi="Arial Narrow"/>
              </w:rPr>
              <w:t>% svojich výdavkov alokovať na rozvoj obce a poskytovanie</w:t>
            </w:r>
            <w:r w:rsidR="00C365F0" w:rsidRPr="007861FA">
              <w:rPr>
                <w:rFonts w:ascii="Arial Narrow" w:hAnsi="Arial Narrow"/>
              </w:rPr>
              <w:t xml:space="preserve"> verejných služieb, mimo výkonu správy. Toto sa stalo impulzom k zakladaniu spoločných obecných úradov. </w:t>
            </w:r>
            <w:r w:rsidR="00C365F0" w:rsidRPr="00CD013B">
              <w:rPr>
                <w:rFonts w:ascii="Arial Narrow" w:hAnsi="Arial Narrow"/>
              </w:rPr>
              <w:t>Väčšina menších obcí už preniesla časť svojich kompetencií na iné</w:t>
            </w:r>
            <w:r w:rsidR="004730EB">
              <w:rPr>
                <w:rFonts w:ascii="Arial Narrow" w:hAnsi="Arial Narrow"/>
              </w:rPr>
              <w:t xml:space="preserve">, </w:t>
            </w:r>
            <w:r w:rsidR="00141203">
              <w:rPr>
                <w:rFonts w:ascii="Arial Narrow" w:hAnsi="Arial Narrow"/>
              </w:rPr>
              <w:t>efektívnejšie</w:t>
            </w:r>
            <w:r w:rsidR="00C365F0" w:rsidRPr="00CD013B">
              <w:rPr>
                <w:rFonts w:ascii="Arial Narrow" w:hAnsi="Arial Narrow"/>
              </w:rPr>
              <w:t xml:space="preserve"> obce. </w:t>
            </w:r>
          </w:p>
          <w:p w14:paraId="0F9DA57E" w14:textId="77777777" w:rsidR="00C365F0" w:rsidRPr="00CD013B" w:rsidRDefault="00C365F0" w:rsidP="00BA64E2">
            <w:pPr>
              <w:spacing w:after="0" w:line="240" w:lineRule="auto"/>
              <w:jc w:val="both"/>
              <w:rPr>
                <w:rFonts w:ascii="Arial Narrow" w:hAnsi="Arial Narrow"/>
              </w:rPr>
            </w:pPr>
          </w:p>
          <w:p w14:paraId="2DE28E31" w14:textId="2ABEEA9D" w:rsidR="00C365F0" w:rsidRPr="00CD013B" w:rsidRDefault="00C365F0" w:rsidP="00BA64E2">
            <w:pPr>
              <w:spacing w:after="0" w:line="240" w:lineRule="auto"/>
              <w:jc w:val="both"/>
              <w:rPr>
                <w:rFonts w:ascii="Arial Narrow" w:hAnsi="Arial Narrow"/>
              </w:rPr>
            </w:pPr>
            <w:r w:rsidRPr="00CD013B">
              <w:rPr>
                <w:rFonts w:ascii="Arial Narrow" w:hAnsi="Arial Narrow"/>
                <w:bCs/>
              </w:rPr>
              <w:t xml:space="preserve">Značné rozdiely v efektívnosti výkonu správy medzi jednotlivými veľkostnými skupinami obcí a vytváranie spoločných obecných úradov naznačuje možnosť uvoľnenia finančných prostriedkov, ak </w:t>
            </w:r>
            <w:r w:rsidR="00F60846">
              <w:rPr>
                <w:rFonts w:ascii="Arial Narrow" w:hAnsi="Arial Narrow"/>
                <w:bCs/>
              </w:rPr>
              <w:t xml:space="preserve">sa menšie obce spoja do väčších, </w:t>
            </w:r>
            <w:r w:rsidR="004730EB">
              <w:rPr>
                <w:rFonts w:ascii="Arial Narrow" w:hAnsi="Arial Narrow"/>
                <w:bCs/>
              </w:rPr>
              <w:t xml:space="preserve">efektívnejšie fungujúcich </w:t>
            </w:r>
            <w:r w:rsidRPr="00CD013B">
              <w:rPr>
                <w:rFonts w:ascii="Arial Narrow" w:hAnsi="Arial Narrow"/>
                <w:bCs/>
              </w:rPr>
              <w:t>samosprávnych celkov.</w:t>
            </w:r>
          </w:p>
          <w:p w14:paraId="6775C936" w14:textId="77777777" w:rsidR="00C365F0" w:rsidRPr="0017485F" w:rsidRDefault="00C365F0" w:rsidP="00BA64E2">
            <w:pPr>
              <w:spacing w:after="0" w:line="240" w:lineRule="auto"/>
              <w:jc w:val="both"/>
              <w:rPr>
                <w:rFonts w:ascii="Arial Narrow" w:hAnsi="Arial Narrow"/>
              </w:rPr>
            </w:pPr>
          </w:p>
          <w:p w14:paraId="2CB50D89" w14:textId="77777777" w:rsidR="00C365F0" w:rsidRPr="00754136" w:rsidRDefault="00C365F0" w:rsidP="00BA64E2">
            <w:pPr>
              <w:spacing w:after="0" w:line="240" w:lineRule="auto"/>
              <w:jc w:val="both"/>
              <w:rPr>
                <w:rFonts w:ascii="Arial Narrow" w:hAnsi="Arial Narrow"/>
                <w:b/>
                <w:bCs/>
                <w:color w:val="2C9ADC"/>
                <w:sz w:val="20"/>
              </w:rPr>
            </w:pPr>
            <w:r w:rsidRPr="00754136">
              <w:rPr>
                <w:rFonts w:ascii="Arial Narrow" w:hAnsi="Arial Narrow"/>
                <w:b/>
                <w:bCs/>
                <w:color w:val="2C9ADC"/>
                <w:sz w:val="20"/>
              </w:rPr>
              <w:t>Efektívnosť samospráv podľa veľkostných skupín</w:t>
            </w:r>
          </w:p>
          <w:tbl>
            <w:tblPr>
              <w:tblW w:w="8348" w:type="dxa"/>
              <w:tblCellMar>
                <w:left w:w="70" w:type="dxa"/>
                <w:right w:w="70" w:type="dxa"/>
              </w:tblCellMar>
              <w:tblLook w:val="04A0" w:firstRow="1" w:lastRow="0" w:firstColumn="1" w:lastColumn="0" w:noHBand="0" w:noVBand="1"/>
            </w:tblPr>
            <w:tblGrid>
              <w:gridCol w:w="2316"/>
              <w:gridCol w:w="1262"/>
              <w:gridCol w:w="2551"/>
              <w:gridCol w:w="2219"/>
            </w:tblGrid>
            <w:tr w:rsidR="00C365F0" w:rsidRPr="00CA7860" w14:paraId="79708A80" w14:textId="77777777" w:rsidTr="004524F2">
              <w:trPr>
                <w:trHeight w:val="328"/>
              </w:trPr>
              <w:tc>
                <w:tcPr>
                  <w:tcW w:w="2316" w:type="dxa"/>
                  <w:tcBorders>
                    <w:top w:val="single" w:sz="4" w:space="0" w:color="auto"/>
                    <w:left w:val="nil"/>
                    <w:bottom w:val="single" w:sz="4" w:space="0" w:color="auto"/>
                    <w:right w:val="nil"/>
                  </w:tcBorders>
                  <w:noWrap/>
                  <w:vAlign w:val="center"/>
                  <w:hideMark/>
                </w:tcPr>
                <w:p w14:paraId="38D51058" w14:textId="77777777"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Veľkostné skupiny obcí</w:t>
                  </w:r>
                </w:p>
              </w:tc>
              <w:tc>
                <w:tcPr>
                  <w:tcW w:w="1262" w:type="dxa"/>
                  <w:tcBorders>
                    <w:top w:val="single" w:sz="4" w:space="0" w:color="auto"/>
                    <w:left w:val="nil"/>
                    <w:bottom w:val="single" w:sz="4" w:space="0" w:color="auto"/>
                    <w:right w:val="nil"/>
                  </w:tcBorders>
                  <w:noWrap/>
                  <w:vAlign w:val="center"/>
                  <w:hideMark/>
                </w:tcPr>
                <w:p w14:paraId="60E0D60F" w14:textId="77777777"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Počet obcí</w:t>
                  </w:r>
                </w:p>
              </w:tc>
              <w:tc>
                <w:tcPr>
                  <w:tcW w:w="2551" w:type="dxa"/>
                  <w:tcBorders>
                    <w:top w:val="single" w:sz="4" w:space="0" w:color="auto"/>
                    <w:left w:val="nil"/>
                    <w:bottom w:val="single" w:sz="4" w:space="0" w:color="auto"/>
                    <w:right w:val="nil"/>
                  </w:tcBorders>
                  <w:noWrap/>
                  <w:vAlign w:val="center"/>
                  <w:hideMark/>
                </w:tcPr>
                <w:p w14:paraId="2C80F257" w14:textId="2294A77B"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Podiel ľudí žijúci v</w:t>
                  </w:r>
                  <w:r w:rsidR="004730EB">
                    <w:rPr>
                      <w:rFonts w:ascii="Arial Narrow" w:hAnsi="Arial Narrow"/>
                      <w:b/>
                      <w:bCs/>
                      <w:color w:val="000000"/>
                      <w:sz w:val="18"/>
                      <w:szCs w:val="18"/>
                      <w:lang w:eastAsia="en-US"/>
                    </w:rPr>
                    <w:t> </w:t>
                  </w:r>
                  <w:r w:rsidRPr="00CA7860">
                    <w:rPr>
                      <w:rFonts w:ascii="Arial Narrow" w:hAnsi="Arial Narrow"/>
                      <w:b/>
                      <w:bCs/>
                      <w:color w:val="000000"/>
                      <w:sz w:val="18"/>
                      <w:szCs w:val="18"/>
                      <w:lang w:eastAsia="en-US"/>
                    </w:rPr>
                    <w:t>obciach</w:t>
                  </w:r>
                  <w:r w:rsidR="004524F2">
                    <w:rPr>
                      <w:rFonts w:ascii="Arial Narrow" w:hAnsi="Arial Narrow"/>
                      <w:b/>
                      <w:bCs/>
                      <w:color w:val="000000"/>
                      <w:sz w:val="18"/>
                      <w:szCs w:val="18"/>
                      <w:lang w:eastAsia="en-US"/>
                    </w:rPr>
                    <w:t xml:space="preserve"> (v </w:t>
                  </w:r>
                  <w:r w:rsidR="004730EB">
                    <w:rPr>
                      <w:rFonts w:ascii="Arial Narrow" w:hAnsi="Arial Narrow"/>
                      <w:b/>
                      <w:bCs/>
                      <w:color w:val="000000"/>
                      <w:sz w:val="18"/>
                      <w:szCs w:val="18"/>
                      <w:lang w:eastAsia="en-US"/>
                    </w:rPr>
                    <w:t>%)</w:t>
                  </w:r>
                </w:p>
              </w:tc>
              <w:tc>
                <w:tcPr>
                  <w:tcW w:w="2219" w:type="dxa"/>
                  <w:tcBorders>
                    <w:top w:val="single" w:sz="4" w:space="0" w:color="auto"/>
                    <w:left w:val="nil"/>
                    <w:bottom w:val="single" w:sz="4" w:space="0" w:color="auto"/>
                    <w:right w:val="nil"/>
                  </w:tcBorders>
                  <w:noWrap/>
                  <w:vAlign w:val="center"/>
                  <w:hideMark/>
                </w:tcPr>
                <w:p w14:paraId="69DDB4DE" w14:textId="1836189B"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Priemerná efektívnosť</w:t>
                  </w:r>
                  <w:r w:rsidR="004524F2">
                    <w:rPr>
                      <w:rFonts w:ascii="Arial Narrow" w:hAnsi="Arial Narrow"/>
                      <w:b/>
                      <w:bCs/>
                      <w:color w:val="000000"/>
                      <w:sz w:val="18"/>
                      <w:szCs w:val="18"/>
                      <w:lang w:eastAsia="en-US"/>
                    </w:rPr>
                    <w:t xml:space="preserve"> (v </w:t>
                  </w:r>
                  <w:r w:rsidR="004730EB">
                    <w:rPr>
                      <w:rFonts w:ascii="Arial Narrow" w:hAnsi="Arial Narrow"/>
                      <w:b/>
                      <w:bCs/>
                      <w:color w:val="000000"/>
                      <w:sz w:val="18"/>
                      <w:szCs w:val="18"/>
                      <w:lang w:eastAsia="en-US"/>
                    </w:rPr>
                    <w:t>%)</w:t>
                  </w:r>
                </w:p>
              </w:tc>
            </w:tr>
            <w:tr w:rsidR="00C365F0" w:rsidRPr="00CA7860" w14:paraId="0C9F3FD0" w14:textId="77777777" w:rsidTr="004524F2">
              <w:trPr>
                <w:trHeight w:val="298"/>
              </w:trPr>
              <w:tc>
                <w:tcPr>
                  <w:tcW w:w="2316" w:type="dxa"/>
                  <w:tcBorders>
                    <w:top w:val="single" w:sz="4" w:space="0" w:color="auto"/>
                  </w:tcBorders>
                  <w:noWrap/>
                  <w:vAlign w:val="center"/>
                  <w:hideMark/>
                </w:tcPr>
                <w:p w14:paraId="6D7E593E"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do 1 000</w:t>
                  </w:r>
                </w:p>
              </w:tc>
              <w:tc>
                <w:tcPr>
                  <w:tcW w:w="1262" w:type="dxa"/>
                  <w:tcBorders>
                    <w:top w:val="single" w:sz="4" w:space="0" w:color="auto"/>
                  </w:tcBorders>
                  <w:noWrap/>
                  <w:vAlign w:val="center"/>
                  <w:hideMark/>
                </w:tcPr>
                <w:p w14:paraId="23328C65"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1 907</w:t>
                  </w:r>
                </w:p>
              </w:tc>
              <w:tc>
                <w:tcPr>
                  <w:tcW w:w="2551" w:type="dxa"/>
                  <w:tcBorders>
                    <w:top w:val="single" w:sz="4" w:space="0" w:color="auto"/>
                  </w:tcBorders>
                  <w:noWrap/>
                  <w:vAlign w:val="center"/>
                  <w:hideMark/>
                </w:tcPr>
                <w:p w14:paraId="6540D5AE" w14:textId="0989E9CC"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15,6</w:t>
                  </w:r>
                </w:p>
              </w:tc>
              <w:tc>
                <w:tcPr>
                  <w:tcW w:w="2219" w:type="dxa"/>
                  <w:tcBorders>
                    <w:top w:val="single" w:sz="4" w:space="0" w:color="auto"/>
                  </w:tcBorders>
                  <w:noWrap/>
                  <w:vAlign w:val="center"/>
                  <w:hideMark/>
                </w:tcPr>
                <w:p w14:paraId="03526FFF" w14:textId="55636A73"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67,6</w:t>
                  </w:r>
                </w:p>
              </w:tc>
            </w:tr>
            <w:tr w:rsidR="00C365F0" w:rsidRPr="00CA7860" w14:paraId="0D8359E0" w14:textId="77777777" w:rsidTr="004524F2">
              <w:trPr>
                <w:trHeight w:val="298"/>
              </w:trPr>
              <w:tc>
                <w:tcPr>
                  <w:tcW w:w="2316" w:type="dxa"/>
                  <w:noWrap/>
                  <w:vAlign w:val="center"/>
                  <w:hideMark/>
                </w:tcPr>
                <w:p w14:paraId="545FCE8D"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1 001-3 000</w:t>
                  </w:r>
                </w:p>
              </w:tc>
              <w:tc>
                <w:tcPr>
                  <w:tcW w:w="1262" w:type="dxa"/>
                  <w:noWrap/>
                  <w:vAlign w:val="center"/>
                  <w:hideMark/>
                </w:tcPr>
                <w:p w14:paraId="7A83ECB3"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761</w:t>
                  </w:r>
                </w:p>
              </w:tc>
              <w:tc>
                <w:tcPr>
                  <w:tcW w:w="2551" w:type="dxa"/>
                  <w:noWrap/>
                  <w:vAlign w:val="center"/>
                  <w:hideMark/>
                </w:tcPr>
                <w:p w14:paraId="321C78C1" w14:textId="0B94579A"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23,1</w:t>
                  </w:r>
                </w:p>
              </w:tc>
              <w:tc>
                <w:tcPr>
                  <w:tcW w:w="2219" w:type="dxa"/>
                  <w:noWrap/>
                  <w:vAlign w:val="center"/>
                  <w:hideMark/>
                </w:tcPr>
                <w:p w14:paraId="095142FB" w14:textId="76406EDF"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80,8</w:t>
                  </w:r>
                </w:p>
              </w:tc>
            </w:tr>
            <w:tr w:rsidR="00C365F0" w:rsidRPr="00CA7860" w14:paraId="5F23B5C4" w14:textId="77777777" w:rsidTr="004524F2">
              <w:trPr>
                <w:trHeight w:val="298"/>
              </w:trPr>
              <w:tc>
                <w:tcPr>
                  <w:tcW w:w="2316" w:type="dxa"/>
                  <w:noWrap/>
                  <w:vAlign w:val="center"/>
                  <w:hideMark/>
                </w:tcPr>
                <w:p w14:paraId="031B8CD1"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3 001-5 000</w:t>
                  </w:r>
                </w:p>
              </w:tc>
              <w:tc>
                <w:tcPr>
                  <w:tcW w:w="1262" w:type="dxa"/>
                  <w:noWrap/>
                  <w:vAlign w:val="center"/>
                  <w:hideMark/>
                </w:tcPr>
                <w:p w14:paraId="52F5E85E"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103</w:t>
                  </w:r>
                </w:p>
              </w:tc>
              <w:tc>
                <w:tcPr>
                  <w:tcW w:w="2551" w:type="dxa"/>
                  <w:noWrap/>
                  <w:vAlign w:val="center"/>
                  <w:hideMark/>
                </w:tcPr>
                <w:p w14:paraId="3EE05211" w14:textId="495881FE"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7,0</w:t>
                  </w:r>
                </w:p>
              </w:tc>
              <w:tc>
                <w:tcPr>
                  <w:tcW w:w="2219" w:type="dxa"/>
                  <w:noWrap/>
                  <w:vAlign w:val="center"/>
                  <w:hideMark/>
                </w:tcPr>
                <w:p w14:paraId="3EB92094" w14:textId="5B41457C"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83,7</w:t>
                  </w:r>
                </w:p>
              </w:tc>
            </w:tr>
            <w:tr w:rsidR="00C365F0" w:rsidRPr="00CA7860" w14:paraId="36DA2C9A" w14:textId="77777777" w:rsidTr="004524F2">
              <w:trPr>
                <w:trHeight w:val="298"/>
              </w:trPr>
              <w:tc>
                <w:tcPr>
                  <w:tcW w:w="2316" w:type="dxa"/>
                  <w:noWrap/>
                  <w:vAlign w:val="center"/>
                  <w:hideMark/>
                </w:tcPr>
                <w:p w14:paraId="7800FE89"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5 001-10 000</w:t>
                  </w:r>
                </w:p>
              </w:tc>
              <w:tc>
                <w:tcPr>
                  <w:tcW w:w="1262" w:type="dxa"/>
                  <w:noWrap/>
                  <w:vAlign w:val="center"/>
                  <w:hideMark/>
                </w:tcPr>
                <w:p w14:paraId="5931C1E8"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67</w:t>
                  </w:r>
                </w:p>
              </w:tc>
              <w:tc>
                <w:tcPr>
                  <w:tcW w:w="2551" w:type="dxa"/>
                  <w:noWrap/>
                  <w:vAlign w:val="center"/>
                  <w:hideMark/>
                </w:tcPr>
                <w:p w14:paraId="64E8D019" w14:textId="36152B95"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7,7</w:t>
                  </w:r>
                </w:p>
              </w:tc>
              <w:tc>
                <w:tcPr>
                  <w:tcW w:w="2219" w:type="dxa"/>
                  <w:noWrap/>
                  <w:vAlign w:val="center"/>
                  <w:hideMark/>
                </w:tcPr>
                <w:p w14:paraId="528441B9" w14:textId="72010EEB"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88,1</w:t>
                  </w:r>
                </w:p>
              </w:tc>
            </w:tr>
            <w:tr w:rsidR="00C365F0" w:rsidRPr="00CA7860" w14:paraId="00B1A476" w14:textId="77777777" w:rsidTr="004524F2">
              <w:trPr>
                <w:trHeight w:val="298"/>
              </w:trPr>
              <w:tc>
                <w:tcPr>
                  <w:tcW w:w="2316" w:type="dxa"/>
                  <w:noWrap/>
                  <w:vAlign w:val="center"/>
                  <w:hideMark/>
                </w:tcPr>
                <w:p w14:paraId="6AEDD3FA"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10 001-20 000</w:t>
                  </w:r>
                </w:p>
              </w:tc>
              <w:tc>
                <w:tcPr>
                  <w:tcW w:w="1262" w:type="dxa"/>
                  <w:noWrap/>
                  <w:vAlign w:val="center"/>
                  <w:hideMark/>
                </w:tcPr>
                <w:p w14:paraId="40EA1B53"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35</w:t>
                  </w:r>
                </w:p>
              </w:tc>
              <w:tc>
                <w:tcPr>
                  <w:tcW w:w="2551" w:type="dxa"/>
                  <w:noWrap/>
                  <w:vAlign w:val="center"/>
                  <w:hideMark/>
                </w:tcPr>
                <w:p w14:paraId="70272294" w14:textId="598F9416"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8,6</w:t>
                  </w:r>
                </w:p>
              </w:tc>
              <w:tc>
                <w:tcPr>
                  <w:tcW w:w="2219" w:type="dxa"/>
                  <w:noWrap/>
                  <w:vAlign w:val="center"/>
                  <w:hideMark/>
                </w:tcPr>
                <w:p w14:paraId="28668965" w14:textId="5D20B2FF"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88,9</w:t>
                  </w:r>
                </w:p>
              </w:tc>
            </w:tr>
            <w:tr w:rsidR="00C365F0" w:rsidRPr="00CA7860" w14:paraId="4B93E17C" w14:textId="77777777" w:rsidTr="004524F2">
              <w:trPr>
                <w:trHeight w:val="298"/>
              </w:trPr>
              <w:tc>
                <w:tcPr>
                  <w:tcW w:w="2316" w:type="dxa"/>
                  <w:noWrap/>
                  <w:vAlign w:val="center"/>
                  <w:hideMark/>
                </w:tcPr>
                <w:p w14:paraId="39FF0242"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20 001-50 000</w:t>
                  </w:r>
                </w:p>
              </w:tc>
              <w:tc>
                <w:tcPr>
                  <w:tcW w:w="1262" w:type="dxa"/>
                  <w:noWrap/>
                  <w:vAlign w:val="center"/>
                  <w:hideMark/>
                </w:tcPr>
                <w:p w14:paraId="07066B15"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43</w:t>
                  </w:r>
                </w:p>
              </w:tc>
              <w:tc>
                <w:tcPr>
                  <w:tcW w:w="2551" w:type="dxa"/>
                  <w:noWrap/>
                  <w:vAlign w:val="center"/>
                  <w:hideMark/>
                </w:tcPr>
                <w:p w14:paraId="1C46C00D" w14:textId="167B600A"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15,5</w:t>
                  </w:r>
                </w:p>
              </w:tc>
              <w:tc>
                <w:tcPr>
                  <w:tcW w:w="2219" w:type="dxa"/>
                  <w:noWrap/>
                  <w:vAlign w:val="center"/>
                  <w:hideMark/>
                </w:tcPr>
                <w:p w14:paraId="614267C5" w14:textId="23BF6DDC"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89,3</w:t>
                  </w:r>
                </w:p>
              </w:tc>
            </w:tr>
            <w:tr w:rsidR="00C365F0" w:rsidRPr="00CA7860" w14:paraId="76FD755E" w14:textId="77777777" w:rsidTr="004524F2">
              <w:trPr>
                <w:trHeight w:val="298"/>
              </w:trPr>
              <w:tc>
                <w:tcPr>
                  <w:tcW w:w="2316" w:type="dxa"/>
                  <w:noWrap/>
                  <w:vAlign w:val="center"/>
                  <w:hideMark/>
                </w:tcPr>
                <w:p w14:paraId="033E21A0"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50 001-100 000</w:t>
                  </w:r>
                </w:p>
              </w:tc>
              <w:tc>
                <w:tcPr>
                  <w:tcW w:w="1262" w:type="dxa"/>
                  <w:noWrap/>
                  <w:vAlign w:val="center"/>
                  <w:hideMark/>
                </w:tcPr>
                <w:p w14:paraId="019CA6DC"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9</w:t>
                  </w:r>
                </w:p>
              </w:tc>
              <w:tc>
                <w:tcPr>
                  <w:tcW w:w="2551" w:type="dxa"/>
                  <w:noWrap/>
                  <w:vAlign w:val="center"/>
                  <w:hideMark/>
                </w:tcPr>
                <w:p w14:paraId="71B9EE15" w14:textId="6BC879F5"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10,3</w:t>
                  </w:r>
                </w:p>
              </w:tc>
              <w:tc>
                <w:tcPr>
                  <w:tcW w:w="2219" w:type="dxa"/>
                  <w:noWrap/>
                  <w:vAlign w:val="center"/>
                  <w:hideMark/>
                </w:tcPr>
                <w:p w14:paraId="04EF9A41" w14:textId="7F5E2F39"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88,4</w:t>
                  </w:r>
                </w:p>
              </w:tc>
            </w:tr>
            <w:tr w:rsidR="00C365F0" w:rsidRPr="00CA7860" w14:paraId="41AE64C5" w14:textId="77777777" w:rsidTr="004524F2">
              <w:trPr>
                <w:trHeight w:val="313"/>
              </w:trPr>
              <w:tc>
                <w:tcPr>
                  <w:tcW w:w="2316" w:type="dxa"/>
                  <w:tcBorders>
                    <w:top w:val="nil"/>
                    <w:left w:val="nil"/>
                    <w:bottom w:val="single" w:sz="4" w:space="0" w:color="auto"/>
                    <w:right w:val="nil"/>
                  </w:tcBorders>
                  <w:noWrap/>
                  <w:vAlign w:val="center"/>
                  <w:hideMark/>
                </w:tcPr>
                <w:p w14:paraId="748C9B78" w14:textId="28E699F1"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nad 10</w:t>
                  </w:r>
                  <w:r w:rsidR="00C365F0" w:rsidRPr="00CA7860">
                    <w:rPr>
                      <w:rFonts w:ascii="Arial Narrow" w:hAnsi="Arial Narrow"/>
                      <w:color w:val="000000"/>
                      <w:sz w:val="18"/>
                      <w:szCs w:val="18"/>
                      <w:lang w:eastAsia="en-US"/>
                    </w:rPr>
                    <w:t>0</w:t>
                  </w:r>
                  <w:r>
                    <w:rPr>
                      <w:rFonts w:ascii="Arial Narrow" w:hAnsi="Arial Narrow"/>
                      <w:color w:val="000000"/>
                      <w:sz w:val="18"/>
                      <w:szCs w:val="18"/>
                      <w:lang w:eastAsia="en-US"/>
                    </w:rPr>
                    <w:t xml:space="preserve"> </w:t>
                  </w:r>
                  <w:r w:rsidR="00C365F0" w:rsidRPr="00CA7860">
                    <w:rPr>
                      <w:rFonts w:ascii="Arial Narrow" w:hAnsi="Arial Narrow"/>
                      <w:color w:val="000000"/>
                      <w:sz w:val="18"/>
                      <w:szCs w:val="18"/>
                      <w:lang w:eastAsia="en-US"/>
                    </w:rPr>
                    <w:t>001</w:t>
                  </w:r>
                </w:p>
              </w:tc>
              <w:tc>
                <w:tcPr>
                  <w:tcW w:w="1262" w:type="dxa"/>
                  <w:tcBorders>
                    <w:top w:val="nil"/>
                    <w:left w:val="nil"/>
                    <w:bottom w:val="single" w:sz="4" w:space="0" w:color="auto"/>
                    <w:right w:val="nil"/>
                  </w:tcBorders>
                  <w:noWrap/>
                  <w:vAlign w:val="center"/>
                  <w:hideMark/>
                </w:tcPr>
                <w:p w14:paraId="51354267" w14:textId="77777777" w:rsidR="00C365F0" w:rsidRPr="00CA7860" w:rsidRDefault="00C365F0" w:rsidP="00BA64E2">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2</w:t>
                  </w:r>
                </w:p>
              </w:tc>
              <w:tc>
                <w:tcPr>
                  <w:tcW w:w="2551" w:type="dxa"/>
                  <w:tcBorders>
                    <w:top w:val="nil"/>
                    <w:left w:val="nil"/>
                    <w:bottom w:val="single" w:sz="4" w:space="0" w:color="auto"/>
                    <w:right w:val="nil"/>
                  </w:tcBorders>
                  <w:noWrap/>
                  <w:vAlign w:val="center"/>
                  <w:hideMark/>
                </w:tcPr>
                <w:p w14:paraId="03415458" w14:textId="427DE7DE"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12,1</w:t>
                  </w:r>
                </w:p>
              </w:tc>
              <w:tc>
                <w:tcPr>
                  <w:tcW w:w="2219" w:type="dxa"/>
                  <w:tcBorders>
                    <w:top w:val="nil"/>
                    <w:left w:val="nil"/>
                    <w:bottom w:val="single" w:sz="4" w:space="0" w:color="auto"/>
                    <w:right w:val="nil"/>
                  </w:tcBorders>
                  <w:noWrap/>
                  <w:vAlign w:val="center"/>
                  <w:hideMark/>
                </w:tcPr>
                <w:p w14:paraId="7C4D6F29" w14:textId="408C2C3B" w:rsidR="00C365F0" w:rsidRPr="00CA7860" w:rsidRDefault="004524F2" w:rsidP="00BA64E2">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79,1</w:t>
                  </w:r>
                </w:p>
              </w:tc>
            </w:tr>
            <w:tr w:rsidR="00C365F0" w:rsidRPr="00CA7860" w14:paraId="41E45892" w14:textId="77777777" w:rsidTr="004524F2">
              <w:trPr>
                <w:trHeight w:val="313"/>
              </w:trPr>
              <w:tc>
                <w:tcPr>
                  <w:tcW w:w="2316" w:type="dxa"/>
                  <w:tcBorders>
                    <w:top w:val="single" w:sz="4" w:space="0" w:color="auto"/>
                    <w:left w:val="nil"/>
                    <w:bottom w:val="single" w:sz="4" w:space="0" w:color="auto"/>
                    <w:right w:val="nil"/>
                  </w:tcBorders>
                  <w:noWrap/>
                  <w:vAlign w:val="center"/>
                  <w:hideMark/>
                </w:tcPr>
                <w:p w14:paraId="5A5CA11F" w14:textId="77777777"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Slovensko</w:t>
                  </w:r>
                </w:p>
              </w:tc>
              <w:tc>
                <w:tcPr>
                  <w:tcW w:w="1262" w:type="dxa"/>
                  <w:tcBorders>
                    <w:top w:val="single" w:sz="4" w:space="0" w:color="auto"/>
                    <w:left w:val="nil"/>
                    <w:bottom w:val="single" w:sz="4" w:space="0" w:color="auto"/>
                    <w:right w:val="nil"/>
                  </w:tcBorders>
                  <w:noWrap/>
                  <w:vAlign w:val="center"/>
                  <w:hideMark/>
                </w:tcPr>
                <w:p w14:paraId="2E9E0E03" w14:textId="77777777" w:rsidR="00C365F0" w:rsidRPr="00CA7860" w:rsidRDefault="00C365F0" w:rsidP="00BA64E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2 927</w:t>
                  </w:r>
                </w:p>
              </w:tc>
              <w:tc>
                <w:tcPr>
                  <w:tcW w:w="2551" w:type="dxa"/>
                  <w:tcBorders>
                    <w:top w:val="single" w:sz="4" w:space="0" w:color="auto"/>
                    <w:left w:val="nil"/>
                    <w:bottom w:val="single" w:sz="4" w:space="0" w:color="auto"/>
                    <w:right w:val="nil"/>
                  </w:tcBorders>
                  <w:noWrap/>
                  <w:vAlign w:val="center"/>
                  <w:hideMark/>
                </w:tcPr>
                <w:p w14:paraId="008C4436" w14:textId="0A830AAC" w:rsidR="00C365F0" w:rsidRPr="00CA7860" w:rsidRDefault="004524F2" w:rsidP="00BA64E2">
                  <w:pPr>
                    <w:spacing w:after="0" w:line="240" w:lineRule="auto"/>
                    <w:jc w:val="center"/>
                    <w:rPr>
                      <w:rFonts w:ascii="Arial Narrow" w:hAnsi="Arial Narrow"/>
                      <w:b/>
                      <w:bCs/>
                      <w:color w:val="000000"/>
                      <w:sz w:val="18"/>
                      <w:szCs w:val="18"/>
                      <w:lang w:eastAsia="en-US"/>
                    </w:rPr>
                  </w:pPr>
                  <w:r>
                    <w:rPr>
                      <w:rFonts w:ascii="Arial Narrow" w:hAnsi="Arial Narrow"/>
                      <w:b/>
                      <w:bCs/>
                      <w:color w:val="000000"/>
                      <w:sz w:val="18"/>
                      <w:szCs w:val="18"/>
                      <w:lang w:eastAsia="en-US"/>
                    </w:rPr>
                    <w:t>100</w:t>
                  </w:r>
                </w:p>
              </w:tc>
              <w:tc>
                <w:tcPr>
                  <w:tcW w:w="2219" w:type="dxa"/>
                  <w:tcBorders>
                    <w:top w:val="single" w:sz="4" w:space="0" w:color="auto"/>
                    <w:left w:val="nil"/>
                    <w:bottom w:val="single" w:sz="4" w:space="0" w:color="auto"/>
                    <w:right w:val="nil"/>
                  </w:tcBorders>
                  <w:noWrap/>
                  <w:vAlign w:val="center"/>
                  <w:hideMark/>
                </w:tcPr>
                <w:p w14:paraId="20218B29" w14:textId="25F1E8D3" w:rsidR="00C365F0" w:rsidRPr="00CA7860" w:rsidRDefault="004524F2" w:rsidP="00BA64E2">
                  <w:pPr>
                    <w:spacing w:after="0" w:line="240" w:lineRule="auto"/>
                    <w:jc w:val="center"/>
                    <w:rPr>
                      <w:rFonts w:ascii="Arial Narrow" w:hAnsi="Arial Narrow"/>
                      <w:b/>
                      <w:bCs/>
                      <w:color w:val="000000"/>
                      <w:sz w:val="18"/>
                      <w:szCs w:val="18"/>
                      <w:lang w:eastAsia="en-US"/>
                    </w:rPr>
                  </w:pPr>
                  <w:r>
                    <w:rPr>
                      <w:rFonts w:ascii="Arial Narrow" w:hAnsi="Arial Narrow"/>
                      <w:b/>
                      <w:bCs/>
                      <w:color w:val="000000"/>
                      <w:sz w:val="18"/>
                      <w:szCs w:val="18"/>
                      <w:lang w:eastAsia="en-US"/>
                    </w:rPr>
                    <w:t>82</w:t>
                  </w:r>
                </w:p>
              </w:tc>
            </w:tr>
          </w:tbl>
          <w:p w14:paraId="4F2E39FB" w14:textId="7EC3AE4F" w:rsidR="00C365F0" w:rsidRPr="00917341" w:rsidRDefault="00C365F0" w:rsidP="00917341">
            <w:pPr>
              <w:spacing w:after="120" w:line="240" w:lineRule="auto"/>
              <w:rPr>
                <w:rFonts w:ascii="Arial Narrow" w:hAnsi="Arial Narrow"/>
                <w:b/>
                <w:sz w:val="18"/>
                <w:szCs w:val="18"/>
              </w:rPr>
            </w:pPr>
            <w:r w:rsidRPr="00CA7860">
              <w:rPr>
                <w:rFonts w:ascii="Arial Narrow" w:hAnsi="Arial Narrow"/>
                <w:i/>
                <w:sz w:val="18"/>
                <w:szCs w:val="18"/>
              </w:rPr>
              <w:t>Poznámka: Efektívnosť predstavuje podiel výdavkov samospráv na účely mimo Triedy funkčnej klasifikácie COFOG – 01.1.1 Výkonné a zákonodarné orgány.</w:t>
            </w:r>
            <w:r w:rsidRPr="00CA7860">
              <w:rPr>
                <w:rFonts w:ascii="Arial Narrow" w:hAnsi="Arial Narrow"/>
                <w:sz w:val="18"/>
                <w:szCs w:val="18"/>
              </w:rPr>
              <w:t xml:space="preserve"> </w:t>
            </w:r>
            <w:r w:rsidR="00917341">
              <w:rPr>
                <w:rFonts w:ascii="Arial Narrow" w:hAnsi="Arial Narrow"/>
                <w:b/>
                <w:sz w:val="18"/>
                <w:szCs w:val="18"/>
              </w:rPr>
              <w:t xml:space="preserve"> </w:t>
            </w:r>
          </w:p>
        </w:tc>
      </w:tr>
    </w:tbl>
    <w:p w14:paraId="17157A4F" w14:textId="77777777" w:rsidR="003535E7" w:rsidRDefault="003535E7" w:rsidP="009A551F">
      <w:pPr>
        <w:spacing w:after="0" w:line="240" w:lineRule="auto"/>
        <w:jc w:val="both"/>
        <w:rPr>
          <w:rFonts w:ascii="Arial Narrow" w:hAnsi="Arial Narrow"/>
        </w:rPr>
      </w:pPr>
    </w:p>
    <w:p w14:paraId="2E01E2B2" w14:textId="77777777" w:rsidR="003535E7" w:rsidRDefault="003535E7" w:rsidP="009A551F">
      <w:pPr>
        <w:spacing w:after="0" w:line="240" w:lineRule="auto"/>
        <w:jc w:val="both"/>
        <w:rPr>
          <w:rFonts w:ascii="Arial Narrow" w:hAnsi="Arial Narrow"/>
        </w:rPr>
      </w:pPr>
    </w:p>
    <w:p w14:paraId="56D15B1C" w14:textId="31EEC708" w:rsidR="00F12DEC" w:rsidRPr="00F12DEC" w:rsidRDefault="00F12DEC" w:rsidP="00F12DEC">
      <w:pPr>
        <w:pStyle w:val="Nadpis2"/>
        <w:numPr>
          <w:ilvl w:val="2"/>
          <w:numId w:val="1"/>
        </w:numPr>
        <w:spacing w:after="240" w:line="240" w:lineRule="auto"/>
        <w:ind w:left="720"/>
        <w:jc w:val="both"/>
        <w:rPr>
          <w:rFonts w:ascii="Arial Narrow" w:hAnsi="Arial Narrow"/>
          <w:color w:val="2C9ADC"/>
          <w:sz w:val="28"/>
          <w:szCs w:val="28"/>
        </w:rPr>
      </w:pPr>
      <w:bookmarkStart w:id="69" w:name="_Toc477259956"/>
      <w:r>
        <w:rPr>
          <w:rFonts w:ascii="Arial Narrow" w:hAnsi="Arial Narrow"/>
          <w:color w:val="2C9ADC"/>
          <w:sz w:val="28"/>
          <w:szCs w:val="28"/>
        </w:rPr>
        <w:t>Modernizácia verejnej správy</w:t>
      </w:r>
      <w:bookmarkEnd w:id="69"/>
    </w:p>
    <w:p w14:paraId="4B822C8C" w14:textId="5B7075D3" w:rsidR="00F12DEC" w:rsidRPr="00F12DEC" w:rsidRDefault="00F12DEC" w:rsidP="00F12DEC">
      <w:pPr>
        <w:spacing w:after="0" w:line="240" w:lineRule="auto"/>
        <w:jc w:val="both"/>
        <w:rPr>
          <w:rFonts w:ascii="Arial Narrow" w:hAnsi="Arial Narrow"/>
          <w:b/>
          <w:i/>
        </w:rPr>
      </w:pPr>
      <w:r w:rsidRPr="00F12DEC">
        <w:rPr>
          <w:rFonts w:ascii="Arial Narrow" w:hAnsi="Arial Narrow"/>
          <w:b/>
          <w:i/>
        </w:rPr>
        <w:t xml:space="preserve">Analytické </w:t>
      </w:r>
      <w:r w:rsidR="00DA30DA">
        <w:rPr>
          <w:rFonts w:ascii="Arial Narrow" w:hAnsi="Arial Narrow"/>
          <w:b/>
          <w:i/>
        </w:rPr>
        <w:t>kapacity</w:t>
      </w:r>
    </w:p>
    <w:p w14:paraId="48D73798" w14:textId="362FF0FC" w:rsidR="003C5824" w:rsidRDefault="00F12DEC" w:rsidP="00386ABC">
      <w:pPr>
        <w:spacing w:after="0" w:line="240" w:lineRule="auto"/>
        <w:jc w:val="both"/>
        <w:rPr>
          <w:rFonts w:ascii="Arial Narrow" w:hAnsi="Arial Narrow"/>
        </w:rPr>
      </w:pPr>
      <w:r w:rsidRPr="00F12DEC">
        <w:rPr>
          <w:rFonts w:ascii="Arial Narrow" w:hAnsi="Arial Narrow"/>
        </w:rPr>
        <w:t xml:space="preserve">Jedným zo zámerov projektu </w:t>
      </w:r>
      <w:r w:rsidRPr="00597425">
        <w:rPr>
          <w:rFonts w:ascii="Arial Narrow" w:hAnsi="Arial Narrow"/>
          <w:i/>
        </w:rPr>
        <w:t>Hodnota za peniaze</w:t>
      </w:r>
      <w:r w:rsidRPr="00F12DEC">
        <w:rPr>
          <w:rFonts w:ascii="Arial Narrow" w:hAnsi="Arial Narrow"/>
        </w:rPr>
        <w:t xml:space="preserve"> je </w:t>
      </w:r>
      <w:r w:rsidRPr="0067098B">
        <w:rPr>
          <w:rFonts w:ascii="Arial Narrow" w:hAnsi="Arial Narrow"/>
          <w:b/>
        </w:rPr>
        <w:t>budovať</w:t>
      </w:r>
      <w:r w:rsidRPr="00F12DEC">
        <w:rPr>
          <w:rFonts w:ascii="Arial Narrow" w:hAnsi="Arial Narrow"/>
        </w:rPr>
        <w:t xml:space="preserve"> </w:t>
      </w:r>
      <w:r w:rsidRPr="00F12DEC">
        <w:rPr>
          <w:rFonts w:ascii="Arial Narrow" w:hAnsi="Arial Narrow"/>
          <w:b/>
        </w:rPr>
        <w:t xml:space="preserve">analytické útvary </w:t>
      </w:r>
      <w:r w:rsidR="003C5824">
        <w:rPr>
          <w:rFonts w:ascii="Arial Narrow" w:hAnsi="Arial Narrow"/>
          <w:b/>
        </w:rPr>
        <w:t xml:space="preserve">vo verejnej správe. </w:t>
      </w:r>
      <w:r w:rsidR="003C5824" w:rsidRPr="003C5824">
        <w:rPr>
          <w:rFonts w:ascii="Arial Narrow" w:hAnsi="Arial Narrow"/>
        </w:rPr>
        <w:t>Tieto by</w:t>
      </w:r>
      <w:r w:rsidR="002A23BA">
        <w:rPr>
          <w:rFonts w:ascii="Arial Narrow" w:hAnsi="Arial Narrow"/>
        </w:rPr>
        <w:t xml:space="preserve"> mali postupne vzni</w:t>
      </w:r>
      <w:r w:rsidR="003C5824" w:rsidRPr="003C5824">
        <w:rPr>
          <w:rFonts w:ascii="Arial Narrow" w:hAnsi="Arial Narrow"/>
        </w:rPr>
        <w:t>kať</w:t>
      </w:r>
      <w:r w:rsidR="003C5824">
        <w:rPr>
          <w:rFonts w:ascii="Arial Narrow" w:hAnsi="Arial Narrow"/>
          <w:b/>
        </w:rPr>
        <w:t xml:space="preserve"> </w:t>
      </w:r>
      <w:r w:rsidR="001A5C4E">
        <w:rPr>
          <w:rFonts w:ascii="Arial Narrow" w:hAnsi="Arial Narrow"/>
        </w:rPr>
        <w:t xml:space="preserve">na všetkých ministerstvách, </w:t>
      </w:r>
      <w:r w:rsidR="002A23BA">
        <w:rPr>
          <w:rFonts w:ascii="Arial Narrow" w:hAnsi="Arial Narrow"/>
        </w:rPr>
        <w:t xml:space="preserve">na </w:t>
      </w:r>
      <w:r w:rsidR="001A5C4E">
        <w:rPr>
          <w:rFonts w:ascii="Arial Narrow" w:hAnsi="Arial Narrow"/>
        </w:rPr>
        <w:t>Ú</w:t>
      </w:r>
      <w:r w:rsidRPr="00F12DEC">
        <w:rPr>
          <w:rFonts w:ascii="Arial Narrow" w:hAnsi="Arial Narrow"/>
        </w:rPr>
        <w:t>rade vlády</w:t>
      </w:r>
      <w:r w:rsidR="001A5C4E">
        <w:rPr>
          <w:rFonts w:ascii="Arial Narrow" w:hAnsi="Arial Narrow"/>
        </w:rPr>
        <w:t xml:space="preserve"> SR a</w:t>
      </w:r>
      <w:r w:rsidR="002A23BA">
        <w:rPr>
          <w:rFonts w:ascii="Arial Narrow" w:hAnsi="Arial Narrow"/>
        </w:rPr>
        <w:t xml:space="preserve"> na </w:t>
      </w:r>
      <w:r w:rsidR="001A5C4E">
        <w:rPr>
          <w:rFonts w:ascii="Arial Narrow" w:hAnsi="Arial Narrow"/>
        </w:rPr>
        <w:t xml:space="preserve">ďalších veľkých inštitúciách, </w:t>
      </w:r>
      <w:r w:rsidRPr="00F12DEC">
        <w:rPr>
          <w:rFonts w:ascii="Arial Narrow" w:hAnsi="Arial Narrow"/>
        </w:rPr>
        <w:t>ako aj na Najvyššom kontrolnom úrade</w:t>
      </w:r>
      <w:r w:rsidR="001A5C4E">
        <w:rPr>
          <w:rFonts w:ascii="Arial Narrow" w:hAnsi="Arial Narrow"/>
        </w:rPr>
        <w:t xml:space="preserve"> SR</w:t>
      </w:r>
      <w:r w:rsidRPr="00F12DEC">
        <w:rPr>
          <w:rFonts w:ascii="Arial Narrow" w:hAnsi="Arial Narrow"/>
        </w:rPr>
        <w:t>.</w:t>
      </w:r>
      <w:r w:rsidR="001A5C4E">
        <w:rPr>
          <w:rFonts w:ascii="Arial Narrow" w:hAnsi="Arial Narrow"/>
        </w:rPr>
        <w:t xml:space="preserve"> </w:t>
      </w:r>
      <w:r w:rsidRPr="00F12DEC">
        <w:rPr>
          <w:rFonts w:ascii="Arial Narrow" w:hAnsi="Arial Narrow"/>
        </w:rPr>
        <w:t>K existujúcim analytickým jednotkám pribudlo od začiatku roku 2016 sedem nových útvarov</w:t>
      </w:r>
      <w:r w:rsidR="00FB645E">
        <w:rPr>
          <w:rFonts w:ascii="Arial Narrow" w:hAnsi="Arial Narrow"/>
        </w:rPr>
        <w:t xml:space="preserve">. </w:t>
      </w:r>
      <w:r w:rsidRPr="00F12DEC">
        <w:rPr>
          <w:rFonts w:ascii="Arial Narrow" w:hAnsi="Arial Narrow"/>
        </w:rPr>
        <w:t>Skvalitňovanie odborných kapacít štátu je vo veľkej miere financované z</w:t>
      </w:r>
      <w:r w:rsidR="002A23BA">
        <w:rPr>
          <w:rFonts w:ascii="Arial Narrow" w:hAnsi="Arial Narrow"/>
        </w:rPr>
        <w:t> EÚ</w:t>
      </w:r>
      <w:r w:rsidRPr="00F12DEC">
        <w:rPr>
          <w:rFonts w:ascii="Arial Narrow" w:hAnsi="Arial Narrow"/>
        </w:rPr>
        <w:t>. Dôraz je pritom kladený na zabezpečenie kvality</w:t>
      </w:r>
      <w:r w:rsidR="002A23BA">
        <w:rPr>
          <w:rFonts w:ascii="Arial Narrow" w:hAnsi="Arial Narrow"/>
        </w:rPr>
        <w:t xml:space="preserve"> pri výbere budúcich analytikov, aj pri výstupoch </w:t>
      </w:r>
      <w:r w:rsidRPr="00F12DEC">
        <w:rPr>
          <w:rFonts w:ascii="Arial Narrow" w:hAnsi="Arial Narrow"/>
        </w:rPr>
        <w:t>analytických útvarov. Na kvalitu bude d</w:t>
      </w:r>
      <w:r w:rsidR="002A23BA">
        <w:rPr>
          <w:rFonts w:ascii="Arial Narrow" w:hAnsi="Arial Narrow"/>
        </w:rPr>
        <w:t xml:space="preserve">ozerať riadiaci výbor, zložený </w:t>
      </w:r>
      <w:r w:rsidRPr="00F12DEC">
        <w:rPr>
          <w:rFonts w:ascii="Arial Narrow" w:hAnsi="Arial Narrow"/>
        </w:rPr>
        <w:t>z vládnych analytikov aj externých členov. Celkovo by malo byť do roku 2020 prijatých 52 nových analytikov. Analytické kapacity štátu budú posilnené aj v procese posudzovania vplyvov (</w:t>
      </w:r>
      <w:r w:rsidRPr="00E93C64">
        <w:rPr>
          <w:rFonts w:ascii="Arial Narrow" w:hAnsi="Arial Narrow"/>
          <w:i/>
        </w:rPr>
        <w:t>RIA</w:t>
      </w:r>
      <w:r w:rsidRPr="00F12DEC">
        <w:rPr>
          <w:rFonts w:ascii="Arial Narrow" w:hAnsi="Arial Narrow"/>
        </w:rPr>
        <w:t xml:space="preserve">) a to v počte 26 zamestnancov. </w:t>
      </w:r>
    </w:p>
    <w:p w14:paraId="5E33E05A" w14:textId="77777777" w:rsidR="003C5824" w:rsidRDefault="003C5824" w:rsidP="00386ABC">
      <w:pPr>
        <w:spacing w:after="0" w:line="240" w:lineRule="auto"/>
        <w:jc w:val="both"/>
        <w:rPr>
          <w:rFonts w:ascii="Arial Narrow" w:hAnsi="Arial Narrow"/>
        </w:rPr>
      </w:pPr>
    </w:p>
    <w:p w14:paraId="7558A1B1" w14:textId="6E90A65A" w:rsidR="003535E7" w:rsidRDefault="003C5824" w:rsidP="00917341">
      <w:pPr>
        <w:spacing w:after="0" w:line="240" w:lineRule="auto"/>
        <w:jc w:val="both"/>
        <w:rPr>
          <w:rFonts w:ascii="Arial Narrow" w:hAnsi="Arial Narrow"/>
          <w:b/>
          <w:i/>
        </w:rPr>
      </w:pPr>
      <w:r>
        <w:rPr>
          <w:rFonts w:ascii="Arial Narrow" w:hAnsi="Arial Narrow"/>
        </w:rPr>
        <w:t xml:space="preserve">Ku </w:t>
      </w:r>
      <w:r w:rsidRPr="0067098B">
        <w:rPr>
          <w:rFonts w:ascii="Arial Narrow" w:hAnsi="Arial Narrow"/>
          <w:b/>
        </w:rPr>
        <w:t>skvalitneniu analytických kapacít</w:t>
      </w:r>
      <w:r w:rsidR="002A23BA">
        <w:rPr>
          <w:rFonts w:ascii="Arial Narrow" w:hAnsi="Arial Narrow"/>
        </w:rPr>
        <w:t xml:space="preserve"> vo verejnej správe </w:t>
      </w:r>
      <w:r>
        <w:rPr>
          <w:rFonts w:ascii="Arial Narrow" w:hAnsi="Arial Narrow"/>
        </w:rPr>
        <w:t>prispieva aj posilnený štipendi</w:t>
      </w:r>
      <w:r w:rsidR="002A23BA">
        <w:rPr>
          <w:rFonts w:ascii="Arial Narrow" w:hAnsi="Arial Narrow"/>
        </w:rPr>
        <w:t xml:space="preserve">jný </w:t>
      </w:r>
      <w:r>
        <w:rPr>
          <w:rFonts w:ascii="Arial Narrow" w:hAnsi="Arial Narrow"/>
        </w:rPr>
        <w:t>program a pokračujúci vzdelávací program</w:t>
      </w:r>
      <w:r w:rsidR="0067098B">
        <w:rPr>
          <w:rFonts w:ascii="Arial Narrow" w:hAnsi="Arial Narrow"/>
        </w:rPr>
        <w:t>.</w:t>
      </w:r>
      <w:r>
        <w:rPr>
          <w:rFonts w:ascii="Arial Narrow" w:hAnsi="Arial Narrow"/>
        </w:rPr>
        <w:t xml:space="preserve"> </w:t>
      </w:r>
      <w:r w:rsidR="0067098B" w:rsidRPr="003C5824">
        <w:rPr>
          <w:rFonts w:ascii="Arial Narrow" w:hAnsi="Arial Narrow"/>
        </w:rPr>
        <w:t xml:space="preserve">Grantový program pre posilnenie analytických kapacít vo verejnej správe sa </w:t>
      </w:r>
      <w:r w:rsidR="0067098B">
        <w:rPr>
          <w:rFonts w:ascii="Arial Narrow" w:hAnsi="Arial Narrow"/>
        </w:rPr>
        <w:t>z</w:t>
      </w:r>
      <w:r w:rsidR="0067098B" w:rsidRPr="003C5824">
        <w:rPr>
          <w:rFonts w:ascii="Arial Narrow" w:hAnsi="Arial Narrow"/>
        </w:rPr>
        <w:t>men</w:t>
      </w:r>
      <w:r w:rsidR="0067098B">
        <w:rPr>
          <w:rFonts w:ascii="Arial Narrow" w:hAnsi="Arial Narrow"/>
        </w:rPr>
        <w:t>il</w:t>
      </w:r>
      <w:r w:rsidR="0067098B" w:rsidRPr="003C5824">
        <w:rPr>
          <w:rFonts w:ascii="Arial Narrow" w:hAnsi="Arial Narrow"/>
        </w:rPr>
        <w:t xml:space="preserve"> na Štipendium Martina Filka</w:t>
      </w:r>
      <w:r w:rsidR="0067098B">
        <w:rPr>
          <w:rFonts w:ascii="Arial Narrow" w:hAnsi="Arial Narrow"/>
        </w:rPr>
        <w:t xml:space="preserve"> a rozpočet programu sa navýšil </w:t>
      </w:r>
      <w:r w:rsidR="00B86898">
        <w:rPr>
          <w:rFonts w:ascii="Arial Narrow" w:hAnsi="Arial Narrow"/>
        </w:rPr>
        <w:t xml:space="preserve">o 100 tis. </w:t>
      </w:r>
      <w:r w:rsidR="0067098B" w:rsidRPr="003C5824">
        <w:rPr>
          <w:rFonts w:ascii="Arial Narrow" w:hAnsi="Arial Narrow"/>
        </w:rPr>
        <w:t xml:space="preserve">eur </w:t>
      </w:r>
      <w:r w:rsidR="0067098B">
        <w:rPr>
          <w:rFonts w:ascii="Arial Narrow" w:hAnsi="Arial Narrow"/>
        </w:rPr>
        <w:t>ročne</w:t>
      </w:r>
      <w:r w:rsidR="0067098B" w:rsidRPr="003C5824">
        <w:rPr>
          <w:rFonts w:ascii="Arial Narrow" w:hAnsi="Arial Narrow"/>
        </w:rPr>
        <w:t>.</w:t>
      </w:r>
      <w:r w:rsidR="0067098B">
        <w:rPr>
          <w:rFonts w:ascii="Arial Narrow" w:hAnsi="Arial Narrow"/>
        </w:rPr>
        <w:t xml:space="preserve"> </w:t>
      </w:r>
      <w:r w:rsidR="0067098B" w:rsidRPr="003C5824">
        <w:rPr>
          <w:rFonts w:ascii="Arial Narrow" w:hAnsi="Arial Narrow"/>
        </w:rPr>
        <w:t>Štipendium Martina Filka je určené na podpor</w:t>
      </w:r>
      <w:r w:rsidR="00890D64">
        <w:rPr>
          <w:rFonts w:ascii="Arial Narrow" w:hAnsi="Arial Narrow"/>
        </w:rPr>
        <w:t xml:space="preserve">u talentovaných študentov v zahraničí, ktorí majú </w:t>
      </w:r>
      <w:r w:rsidR="00AF66B6">
        <w:rPr>
          <w:rFonts w:ascii="Arial Narrow" w:hAnsi="Arial Narrow"/>
        </w:rPr>
        <w:t>záujem ná</w:t>
      </w:r>
      <w:r w:rsidR="00890D64">
        <w:rPr>
          <w:rFonts w:ascii="Arial Narrow" w:hAnsi="Arial Narrow"/>
        </w:rPr>
        <w:t xml:space="preserve">sledne </w:t>
      </w:r>
      <w:r w:rsidR="00DA30DA">
        <w:rPr>
          <w:rFonts w:ascii="Arial Narrow" w:hAnsi="Arial Narrow"/>
        </w:rPr>
        <w:t xml:space="preserve">pôsobiť </w:t>
      </w:r>
      <w:r w:rsidR="00AF66B6">
        <w:rPr>
          <w:rFonts w:ascii="Arial Narrow" w:hAnsi="Arial Narrow"/>
        </w:rPr>
        <w:t>vo verejnej správ</w:t>
      </w:r>
      <w:r w:rsidR="00890D64">
        <w:rPr>
          <w:rFonts w:ascii="Arial Narrow" w:hAnsi="Arial Narrow"/>
        </w:rPr>
        <w:t>e</w:t>
      </w:r>
      <w:r w:rsidR="0067098B" w:rsidRPr="003C5824">
        <w:rPr>
          <w:rFonts w:ascii="Arial Narrow" w:hAnsi="Arial Narrow"/>
        </w:rPr>
        <w:t>.</w:t>
      </w:r>
      <w:r w:rsidR="0067098B">
        <w:rPr>
          <w:rFonts w:ascii="Arial Narrow" w:hAnsi="Arial Narrow"/>
        </w:rPr>
        <w:t xml:space="preserve"> </w:t>
      </w:r>
      <w:r w:rsidR="00F12DEC" w:rsidRPr="00F12DEC">
        <w:rPr>
          <w:rFonts w:ascii="Arial Narrow" w:hAnsi="Arial Narrow"/>
        </w:rPr>
        <w:t xml:space="preserve">Pokračuje prehlbovanie kvalifikácie analytických útvarov prostredníctvom vzdelávacieho projektu, ktorý </w:t>
      </w:r>
      <w:r w:rsidR="001A04B5" w:rsidRPr="00F12DEC">
        <w:rPr>
          <w:rFonts w:ascii="Arial Narrow" w:hAnsi="Arial Narrow"/>
        </w:rPr>
        <w:t>umožn</w:t>
      </w:r>
      <w:r w:rsidR="001A04B5">
        <w:rPr>
          <w:rFonts w:ascii="Arial Narrow" w:hAnsi="Arial Narrow"/>
        </w:rPr>
        <w:t>uje</w:t>
      </w:r>
      <w:r w:rsidR="001A04B5" w:rsidRPr="00F12DEC">
        <w:rPr>
          <w:rFonts w:ascii="Arial Narrow" w:hAnsi="Arial Narrow"/>
        </w:rPr>
        <w:t xml:space="preserve"> </w:t>
      </w:r>
      <w:r w:rsidR="00F12DEC" w:rsidRPr="00F12DEC">
        <w:rPr>
          <w:rFonts w:ascii="Arial Narrow" w:hAnsi="Arial Narrow"/>
        </w:rPr>
        <w:t>ich zamestnancom absolvovať z</w:t>
      </w:r>
      <w:r w:rsidR="00F12DEC">
        <w:rPr>
          <w:rFonts w:ascii="Arial Narrow" w:hAnsi="Arial Narrow"/>
        </w:rPr>
        <w:t>ahraničné odborné kurzy a stáže.</w:t>
      </w:r>
      <w:r>
        <w:rPr>
          <w:rFonts w:ascii="Arial Narrow" w:hAnsi="Arial Narrow"/>
        </w:rPr>
        <w:t xml:space="preserve"> </w:t>
      </w:r>
    </w:p>
    <w:p w14:paraId="4A546E61" w14:textId="77777777" w:rsidR="00917341" w:rsidRPr="00917341" w:rsidRDefault="00917341" w:rsidP="00917341">
      <w:pPr>
        <w:spacing w:after="0" w:line="240" w:lineRule="auto"/>
        <w:jc w:val="both"/>
        <w:rPr>
          <w:rFonts w:ascii="Arial Narrow" w:hAnsi="Arial Narrow"/>
        </w:rPr>
      </w:pPr>
    </w:p>
    <w:p w14:paraId="16F143D8" w14:textId="196290C5" w:rsidR="00597321" w:rsidRDefault="00597321" w:rsidP="00517E3D">
      <w:pPr>
        <w:spacing w:after="0" w:line="240" w:lineRule="auto"/>
        <w:jc w:val="both"/>
        <w:rPr>
          <w:rFonts w:ascii="Arial Narrow" w:hAnsi="Arial Narrow"/>
          <w:b/>
          <w:i/>
        </w:rPr>
      </w:pPr>
      <w:r>
        <w:rPr>
          <w:rFonts w:ascii="Arial Narrow" w:hAnsi="Arial Narrow"/>
          <w:b/>
          <w:i/>
        </w:rPr>
        <w:t>Súdnictvo</w:t>
      </w:r>
    </w:p>
    <w:p w14:paraId="4B764C84" w14:textId="7A9C52CD" w:rsidR="00597321" w:rsidRDefault="00597321" w:rsidP="00FC0A44">
      <w:pPr>
        <w:spacing w:after="0" w:line="240" w:lineRule="auto"/>
        <w:jc w:val="both"/>
        <w:rPr>
          <w:rFonts w:ascii="Arial Narrow" w:hAnsi="Arial Narrow"/>
        </w:rPr>
      </w:pPr>
      <w:r w:rsidRPr="00597321">
        <w:rPr>
          <w:rFonts w:ascii="Arial Narrow" w:hAnsi="Arial Narrow"/>
          <w:b/>
        </w:rPr>
        <w:t>Audit výkonu súdnej moci</w:t>
      </w:r>
      <w:r w:rsidRPr="00597321">
        <w:rPr>
          <w:rFonts w:ascii="Arial Narrow" w:hAnsi="Arial Narrow"/>
        </w:rPr>
        <w:t xml:space="preserve"> bude vykon</w:t>
      </w:r>
      <w:r>
        <w:rPr>
          <w:rFonts w:ascii="Arial Narrow" w:hAnsi="Arial Narrow"/>
        </w:rPr>
        <w:t>aný v spolupráci s partnerom CEPEJ</w:t>
      </w:r>
      <w:r w:rsidR="008E0FF3">
        <w:rPr>
          <w:rStyle w:val="Odkaznapoznmkupodiarou"/>
          <w:rFonts w:ascii="Arial Narrow" w:hAnsi="Arial Narrow"/>
        </w:rPr>
        <w:footnoteReference w:id="52"/>
      </w:r>
      <w:r>
        <w:rPr>
          <w:rFonts w:ascii="Arial Narrow" w:hAnsi="Arial Narrow"/>
        </w:rPr>
        <w:t xml:space="preserve"> </w:t>
      </w:r>
      <w:r w:rsidRPr="00597321">
        <w:rPr>
          <w:rFonts w:ascii="Arial Narrow" w:hAnsi="Arial Narrow"/>
        </w:rPr>
        <w:t>na 12 sú</w:t>
      </w:r>
      <w:r>
        <w:rPr>
          <w:rFonts w:ascii="Arial Narrow" w:hAnsi="Arial Narrow"/>
        </w:rPr>
        <w:t xml:space="preserve">doch. Audit bude zahŕňať najmä </w:t>
      </w:r>
      <w:r w:rsidRPr="00597321">
        <w:rPr>
          <w:rFonts w:ascii="Arial Narrow" w:hAnsi="Arial Narrow"/>
        </w:rPr>
        <w:t xml:space="preserve">mapovanie aktuálneho stavu súdneho manažmentu na jednotlivých súdoch, posúdenie efektívnosti nastavenia personálnych tímov sudcov na vybraných súdoch a posúdenie vhodnosti </w:t>
      </w:r>
      <w:r w:rsidRPr="00597321">
        <w:rPr>
          <w:rFonts w:ascii="Arial Narrow" w:hAnsi="Arial Narrow"/>
        </w:rPr>
        <w:lastRenderedPageBreak/>
        <w:t xml:space="preserve">usporiadania súdov s ohľadom na územie </w:t>
      </w:r>
      <w:r>
        <w:rPr>
          <w:rFonts w:ascii="Arial Narrow" w:hAnsi="Arial Narrow"/>
        </w:rPr>
        <w:t xml:space="preserve">Slovenska. </w:t>
      </w:r>
      <w:r w:rsidR="00171999">
        <w:rPr>
          <w:rFonts w:ascii="Arial Narrow" w:hAnsi="Arial Narrow"/>
        </w:rPr>
        <w:t>Pripraví sa</w:t>
      </w:r>
      <w:r w:rsidRPr="00597321">
        <w:rPr>
          <w:rFonts w:ascii="Arial Narrow" w:hAnsi="Arial Narrow"/>
        </w:rPr>
        <w:t xml:space="preserve"> </w:t>
      </w:r>
      <w:r w:rsidR="00171999">
        <w:rPr>
          <w:rFonts w:ascii="Arial Narrow" w:hAnsi="Arial Narrow"/>
        </w:rPr>
        <w:t xml:space="preserve">aj </w:t>
      </w:r>
      <w:r w:rsidRPr="00597321">
        <w:rPr>
          <w:rFonts w:ascii="Arial Narrow" w:hAnsi="Arial Narrow"/>
        </w:rPr>
        <w:t>analýza štruktúry prípadov a zistenia, ktoré sa podieľajú najvýznamnejšie na prieťahoch v konaní.</w:t>
      </w:r>
    </w:p>
    <w:p w14:paraId="5D45EE7D" w14:textId="77777777" w:rsidR="00597321" w:rsidRDefault="00597321" w:rsidP="00FC0A44">
      <w:pPr>
        <w:spacing w:after="0" w:line="240" w:lineRule="auto"/>
        <w:jc w:val="both"/>
        <w:rPr>
          <w:rFonts w:ascii="Arial Narrow" w:hAnsi="Arial Narrow"/>
        </w:rPr>
      </w:pPr>
    </w:p>
    <w:p w14:paraId="16CFB318" w14:textId="5E894AFF" w:rsidR="00597321" w:rsidRDefault="00597321" w:rsidP="00C46C0B">
      <w:pPr>
        <w:spacing w:after="0" w:line="240" w:lineRule="auto"/>
        <w:jc w:val="both"/>
        <w:rPr>
          <w:rFonts w:ascii="Arial Narrow" w:hAnsi="Arial Narrow"/>
          <w:color w:val="000000" w:themeColor="text1"/>
        </w:rPr>
      </w:pPr>
      <w:r w:rsidRPr="00C46C0B">
        <w:rPr>
          <w:rFonts w:ascii="Arial Narrow" w:hAnsi="Arial Narrow" w:cs="Arial"/>
          <w:color w:val="000000" w:themeColor="text1"/>
        </w:rPr>
        <w:t>Za účelom zavedenia</w:t>
      </w:r>
      <w:r w:rsidRPr="00C46C0B">
        <w:rPr>
          <w:rFonts w:ascii="Arial Narrow" w:hAnsi="Arial Narrow"/>
          <w:color w:val="000000" w:themeColor="text1"/>
        </w:rPr>
        <w:t xml:space="preserve"> </w:t>
      </w:r>
      <w:r w:rsidRPr="00C46C0B">
        <w:rPr>
          <w:rFonts w:ascii="Arial Narrow" w:hAnsi="Arial Narrow"/>
          <w:b/>
          <w:color w:val="000000" w:themeColor="text1"/>
        </w:rPr>
        <w:t>osobnej hmotnej zodpovednosti osôb nakladajúcich s verejnými zdrojmi</w:t>
      </w:r>
      <w:r w:rsidRPr="00C46C0B">
        <w:rPr>
          <w:rFonts w:ascii="Arial Narrow" w:hAnsi="Arial Narrow"/>
          <w:color w:val="000000" w:themeColor="text1"/>
        </w:rPr>
        <w:t xml:space="preserve"> sa schváli nová právna úprava s predpokladanou účinnosťou od januára 2018. Cieľom je dosiahnuť, aby vopred určené kategórie osôb s priamymi rozhodovacími právomocami vo vzťahu k správe majetku štátu boli viazané jednotným štandardom hmotnej zodpovednosti za zverené zdroje. </w:t>
      </w:r>
    </w:p>
    <w:p w14:paraId="514764BB" w14:textId="77777777" w:rsidR="007F149B" w:rsidRDefault="007F149B" w:rsidP="00CD5A7F">
      <w:pPr>
        <w:spacing w:after="0" w:line="240" w:lineRule="auto"/>
        <w:jc w:val="both"/>
        <w:rPr>
          <w:rFonts w:ascii="Arial Narrow" w:hAnsi="Arial Narrow"/>
          <w:color w:val="000000" w:themeColor="text1"/>
        </w:rPr>
      </w:pPr>
    </w:p>
    <w:p w14:paraId="3AF04335" w14:textId="3E4AC5F4" w:rsidR="007F149B" w:rsidRPr="00C46C0B" w:rsidRDefault="007F149B" w:rsidP="00845688">
      <w:pPr>
        <w:spacing w:after="0" w:line="240" w:lineRule="auto"/>
        <w:jc w:val="both"/>
        <w:rPr>
          <w:rFonts w:ascii="Arial Narrow" w:hAnsi="Arial Narrow"/>
          <w:color w:val="000000" w:themeColor="text1"/>
        </w:rPr>
      </w:pPr>
      <w:r w:rsidRPr="00D52716">
        <w:rPr>
          <w:rFonts w:ascii="Arial Narrow" w:hAnsi="Arial Narrow"/>
        </w:rPr>
        <w:t>Pripravuje sa projekt, ktorého c</w:t>
      </w:r>
      <w:r>
        <w:rPr>
          <w:rFonts w:ascii="Arial Narrow" w:hAnsi="Arial Narrow"/>
        </w:rPr>
        <w:t xml:space="preserve">ieľom je </w:t>
      </w:r>
      <w:r w:rsidRPr="00D52716">
        <w:rPr>
          <w:rFonts w:ascii="Arial Narrow" w:hAnsi="Arial Narrow"/>
        </w:rPr>
        <w:t xml:space="preserve">zlepšenie poskytovania a zvyšovanie dostupnosti právnej pomoci prostredníctvom </w:t>
      </w:r>
      <w:r w:rsidRPr="00D52716">
        <w:rPr>
          <w:rFonts w:ascii="Arial Narrow" w:hAnsi="Arial Narrow"/>
          <w:b/>
        </w:rPr>
        <w:t>Centra právnej pomoci</w:t>
      </w:r>
      <w:r w:rsidRPr="00D52716">
        <w:rPr>
          <w:rFonts w:ascii="Arial Narrow" w:hAnsi="Arial Narrow"/>
        </w:rPr>
        <w:t xml:space="preserve"> </w:t>
      </w:r>
      <w:r>
        <w:rPr>
          <w:rFonts w:ascii="Arial Narrow" w:hAnsi="Arial Narrow"/>
        </w:rPr>
        <w:t>pre sociálne a ekonomicky vylúčené</w:t>
      </w:r>
      <w:r w:rsidRPr="00D52716">
        <w:rPr>
          <w:rFonts w:ascii="Arial Narrow" w:hAnsi="Arial Narrow"/>
        </w:rPr>
        <w:t xml:space="preserve"> skupi</w:t>
      </w:r>
      <w:r>
        <w:rPr>
          <w:rFonts w:ascii="Arial Narrow" w:hAnsi="Arial Narrow"/>
        </w:rPr>
        <w:t>ny obyvateľstva. Zmeny sa týkajú vybudovania kontaktných miest a ich infraštruktúry v podobe web stránky, call ce</w:t>
      </w:r>
      <w:r w:rsidR="002A23BA">
        <w:rPr>
          <w:rFonts w:ascii="Arial Narrow" w:hAnsi="Arial Narrow"/>
        </w:rPr>
        <w:t>n</w:t>
      </w:r>
      <w:r>
        <w:rPr>
          <w:rFonts w:ascii="Arial Narrow" w:hAnsi="Arial Narrow"/>
        </w:rPr>
        <w:t>tra a zosieťovania s relevantnými inštitúciami.</w:t>
      </w:r>
    </w:p>
    <w:p w14:paraId="5F0D06B0" w14:textId="77777777" w:rsidR="00D52716" w:rsidRPr="00D52716" w:rsidRDefault="00D52716" w:rsidP="00D52716">
      <w:pPr>
        <w:spacing w:after="0"/>
        <w:jc w:val="both"/>
        <w:rPr>
          <w:rFonts w:ascii="Arial Narrow" w:hAnsi="Arial Narrow"/>
        </w:rPr>
      </w:pPr>
    </w:p>
    <w:p w14:paraId="218F126D" w14:textId="251AE93D" w:rsidR="00517E3D" w:rsidRPr="00517E3D" w:rsidRDefault="00517E3D" w:rsidP="00517E3D">
      <w:pPr>
        <w:spacing w:after="0" w:line="240" w:lineRule="auto"/>
        <w:jc w:val="both"/>
        <w:rPr>
          <w:rFonts w:ascii="Arial Narrow" w:hAnsi="Arial Narrow"/>
          <w:b/>
          <w:i/>
        </w:rPr>
      </w:pPr>
      <w:r w:rsidRPr="00517E3D">
        <w:rPr>
          <w:rFonts w:ascii="Arial Narrow" w:hAnsi="Arial Narrow"/>
          <w:b/>
          <w:i/>
        </w:rPr>
        <w:t>Transparentnos</w:t>
      </w:r>
      <w:r>
        <w:rPr>
          <w:rFonts w:ascii="Arial Narrow" w:hAnsi="Arial Narrow"/>
          <w:b/>
          <w:i/>
        </w:rPr>
        <w:t>ť vo</w:t>
      </w:r>
      <w:r w:rsidRPr="00517E3D">
        <w:rPr>
          <w:rFonts w:ascii="Arial Narrow" w:hAnsi="Arial Narrow"/>
          <w:b/>
          <w:i/>
        </w:rPr>
        <w:t xml:space="preserve"> verejnej správe</w:t>
      </w:r>
    </w:p>
    <w:p w14:paraId="0735E04E" w14:textId="409B4852" w:rsidR="00517E3D" w:rsidRDefault="00517E3D" w:rsidP="00517E3D">
      <w:pPr>
        <w:spacing w:after="0" w:line="240" w:lineRule="auto"/>
        <w:jc w:val="both"/>
        <w:rPr>
          <w:rFonts w:ascii="Arial Narrow" w:hAnsi="Arial Narrow"/>
        </w:rPr>
      </w:pPr>
      <w:r>
        <w:rPr>
          <w:rFonts w:ascii="Arial Narrow" w:hAnsi="Arial Narrow"/>
        </w:rPr>
        <w:t>Dokončia</w:t>
      </w:r>
      <w:r w:rsidR="00810345">
        <w:rPr>
          <w:rFonts w:ascii="Arial Narrow" w:hAnsi="Arial Narrow"/>
        </w:rPr>
        <w:t xml:space="preserve"> sa opatrenia rozšírenia </w:t>
      </w:r>
      <w:r w:rsidRPr="00810345">
        <w:rPr>
          <w:rFonts w:ascii="Arial Narrow" w:hAnsi="Arial Narrow"/>
          <w:b/>
        </w:rPr>
        <w:t>povinne zverejňovaných informácií</w:t>
      </w:r>
      <w:r w:rsidR="002A23BA">
        <w:rPr>
          <w:rFonts w:ascii="Arial Narrow" w:hAnsi="Arial Narrow"/>
        </w:rPr>
        <w:t xml:space="preserve"> – spresnia sa povinnosti </w:t>
      </w:r>
      <w:r w:rsidRPr="00517E3D">
        <w:rPr>
          <w:rFonts w:ascii="Arial Narrow" w:hAnsi="Arial Narrow"/>
        </w:rPr>
        <w:t>verejných obchodných spoločností zverejňovať zmluvy a vytvorí sa priestor pre zverejňovanie zmlúv samospráv na jednom mieste. Zmluvy budú zverejňované o 5 rokov dlhš</w:t>
      </w:r>
      <w:r w:rsidR="00810345">
        <w:rPr>
          <w:rFonts w:ascii="Arial Narrow" w:hAnsi="Arial Narrow"/>
        </w:rPr>
        <w:t xml:space="preserve">ie, t. </w:t>
      </w:r>
      <w:r w:rsidRPr="00517E3D">
        <w:rPr>
          <w:rFonts w:ascii="Arial Narrow" w:hAnsi="Arial Narrow"/>
        </w:rPr>
        <w:t xml:space="preserve">j. 10 rokov. Povinne sa tiež budú zverejňovať životopisy a platy politických nominantov. </w:t>
      </w:r>
    </w:p>
    <w:p w14:paraId="5377A542" w14:textId="77777777" w:rsidR="00517E3D" w:rsidRPr="00517E3D" w:rsidRDefault="00517E3D" w:rsidP="00517E3D">
      <w:pPr>
        <w:spacing w:after="0" w:line="240" w:lineRule="auto"/>
        <w:jc w:val="both"/>
        <w:rPr>
          <w:rFonts w:ascii="Arial Narrow" w:hAnsi="Arial Narrow"/>
        </w:rPr>
      </w:pPr>
    </w:p>
    <w:p w14:paraId="6C246562" w14:textId="6D15796C" w:rsidR="00CD62E9" w:rsidRDefault="00517E3D" w:rsidP="00517E3D">
      <w:pPr>
        <w:spacing w:after="0" w:line="240" w:lineRule="auto"/>
        <w:jc w:val="both"/>
        <w:rPr>
          <w:rFonts w:ascii="Arial Narrow" w:hAnsi="Arial Narrow"/>
        </w:rPr>
      </w:pPr>
      <w:r w:rsidRPr="00517E3D">
        <w:rPr>
          <w:rFonts w:ascii="Arial Narrow" w:hAnsi="Arial Narrow"/>
        </w:rPr>
        <w:t xml:space="preserve">Rozšíri sa </w:t>
      </w:r>
      <w:r w:rsidRPr="00D52716">
        <w:rPr>
          <w:rFonts w:ascii="Arial Narrow" w:hAnsi="Arial Narrow"/>
          <w:b/>
        </w:rPr>
        <w:t>okruh zverejňovaných informácií o samosprávach</w:t>
      </w:r>
      <w:r w:rsidRPr="00517E3D">
        <w:rPr>
          <w:rFonts w:ascii="Arial Narrow" w:hAnsi="Arial Narrow"/>
        </w:rPr>
        <w:t xml:space="preserve"> – povinne zverejňované budú úradné dokumenty obcí a krajov, ako sú zápisnice z rokovaní zastupiteľstva a komisií, vrátane hlasovania poslancov. V oblasti kontroly uplatňovania práva občanov na informácie vláda zváži možnosť rozšírenia pôsobnosti Úradu na ochranu osobných údajov.</w:t>
      </w:r>
    </w:p>
    <w:p w14:paraId="72FCB540" w14:textId="77777777" w:rsidR="00D35F19" w:rsidRDefault="00D35F19" w:rsidP="00517E3D">
      <w:pPr>
        <w:spacing w:after="0" w:line="240" w:lineRule="auto"/>
        <w:jc w:val="both"/>
        <w:rPr>
          <w:rFonts w:ascii="Arial Narrow" w:hAnsi="Arial Narrow"/>
        </w:rPr>
      </w:pPr>
    </w:p>
    <w:p w14:paraId="63C249EA" w14:textId="059742FB" w:rsidR="00D35F19" w:rsidRDefault="00D35F19" w:rsidP="00517E3D">
      <w:pPr>
        <w:spacing w:after="0" w:line="240" w:lineRule="auto"/>
        <w:contextualSpacing/>
        <w:jc w:val="both"/>
        <w:rPr>
          <w:rStyle w:val="Zstupntext"/>
          <w:rFonts w:ascii="Arial Narrow" w:eastAsiaTheme="majorEastAsia" w:hAnsi="Arial Narrow"/>
        </w:rPr>
      </w:pPr>
      <w:r w:rsidRPr="00D35F19">
        <w:rPr>
          <w:rStyle w:val="Zstupntext"/>
          <w:rFonts w:ascii="Arial Narrow" w:eastAsiaTheme="majorEastAsia" w:hAnsi="Arial Narrow"/>
        </w:rPr>
        <w:t xml:space="preserve">V oblasti </w:t>
      </w:r>
      <w:r w:rsidRPr="00D35F19">
        <w:rPr>
          <w:rStyle w:val="Zstupntext"/>
          <w:rFonts w:ascii="Arial Narrow" w:eastAsiaTheme="majorEastAsia" w:hAnsi="Arial Narrow"/>
          <w:b/>
        </w:rPr>
        <w:t>verejného obstarávania</w:t>
      </w:r>
      <w:r w:rsidRPr="00D35F19">
        <w:rPr>
          <w:rStyle w:val="Zstupntext"/>
          <w:rFonts w:ascii="Arial Narrow" w:eastAsiaTheme="majorEastAsia" w:hAnsi="Arial Narrow"/>
        </w:rPr>
        <w:t xml:space="preserve"> sa v roku 2017 pripraví norma pre elektronickú fakt</w:t>
      </w:r>
      <w:r w:rsidR="00597321">
        <w:rPr>
          <w:rStyle w:val="Zstupntext"/>
          <w:rFonts w:ascii="Arial Narrow" w:eastAsiaTheme="majorEastAsia" w:hAnsi="Arial Narrow"/>
        </w:rPr>
        <w:t>u</w:t>
      </w:r>
      <w:r w:rsidRPr="00D35F19">
        <w:rPr>
          <w:rStyle w:val="Zstupntext"/>
          <w:rFonts w:ascii="Arial Narrow" w:eastAsiaTheme="majorEastAsia" w:hAnsi="Arial Narrow"/>
        </w:rPr>
        <w:t>r</w:t>
      </w:r>
      <w:r w:rsidR="00597321">
        <w:rPr>
          <w:rStyle w:val="Zstupntext"/>
          <w:rFonts w:ascii="Arial Narrow" w:eastAsiaTheme="majorEastAsia" w:hAnsi="Arial Narrow"/>
        </w:rPr>
        <w:t>á</w:t>
      </w:r>
      <w:r w:rsidRPr="00D35F19">
        <w:rPr>
          <w:rStyle w:val="Zstupntext"/>
          <w:rFonts w:ascii="Arial Narrow" w:eastAsiaTheme="majorEastAsia" w:hAnsi="Arial Narrow"/>
        </w:rPr>
        <w:t xml:space="preserve">ciu. Platnosť  legislatívy a praktické spustenie tzv. </w:t>
      </w:r>
      <w:r w:rsidRPr="00D35F19">
        <w:rPr>
          <w:rStyle w:val="Zstupntext"/>
          <w:rFonts w:ascii="Arial Narrow" w:eastAsiaTheme="majorEastAsia" w:hAnsi="Arial Narrow"/>
          <w:i/>
        </w:rPr>
        <w:t xml:space="preserve">e-Invoicingu </w:t>
      </w:r>
      <w:r w:rsidRPr="00D35F19">
        <w:rPr>
          <w:rStyle w:val="Zstupntext"/>
          <w:rFonts w:ascii="Arial Narrow" w:eastAsiaTheme="majorEastAsia" w:hAnsi="Arial Narrow"/>
        </w:rPr>
        <w:t>sa predpokladá od novembra 2018 pre obstarávateľov na ústrednej úrovni VS, o rok neskôr pre obstarávateľov na všetkých úrovniach VS.</w:t>
      </w:r>
    </w:p>
    <w:p w14:paraId="4B525A6F" w14:textId="77777777" w:rsidR="00CD62E9" w:rsidRDefault="00CD62E9" w:rsidP="00517E3D">
      <w:pPr>
        <w:spacing w:after="0" w:line="240" w:lineRule="auto"/>
        <w:jc w:val="both"/>
        <w:rPr>
          <w:rFonts w:ascii="Arial Narrow" w:hAnsi="Arial Narrow"/>
        </w:rPr>
      </w:pPr>
    </w:p>
    <w:p w14:paraId="05512572" w14:textId="77777777" w:rsidR="002F203A" w:rsidRPr="00D35F19" w:rsidRDefault="002F203A" w:rsidP="002F203A">
      <w:pPr>
        <w:spacing w:after="0" w:line="240" w:lineRule="auto"/>
        <w:jc w:val="both"/>
        <w:rPr>
          <w:rFonts w:ascii="Arial Narrow" w:hAnsi="Arial Narrow"/>
          <w:b/>
          <w:i/>
        </w:rPr>
      </w:pPr>
      <w:r w:rsidRPr="00D35F19">
        <w:rPr>
          <w:rFonts w:ascii="Arial Narrow" w:hAnsi="Arial Narrow"/>
          <w:b/>
          <w:i/>
        </w:rPr>
        <w:t>Informatizácia verejnej správy</w:t>
      </w:r>
    </w:p>
    <w:p w14:paraId="15164475" w14:textId="5C594044" w:rsidR="002F203A" w:rsidRPr="00D35F19" w:rsidRDefault="002F203A" w:rsidP="002F203A">
      <w:pPr>
        <w:spacing w:after="0" w:line="240" w:lineRule="auto"/>
        <w:jc w:val="both"/>
        <w:rPr>
          <w:rFonts w:ascii="Arial Narrow" w:hAnsi="Arial Narrow"/>
          <w:color w:val="000000"/>
        </w:rPr>
      </w:pPr>
      <w:r w:rsidRPr="00D35F19">
        <w:rPr>
          <w:rFonts w:ascii="Arial Narrow" w:hAnsi="Arial Narrow"/>
        </w:rPr>
        <w:t xml:space="preserve">Všetky </w:t>
      </w:r>
      <w:r w:rsidRPr="00D35F19">
        <w:rPr>
          <w:rFonts w:ascii="Arial Narrow" w:hAnsi="Arial Narrow"/>
          <w:b/>
        </w:rPr>
        <w:t>nové IT projekty</w:t>
      </w:r>
      <w:r w:rsidRPr="00D35F19">
        <w:rPr>
          <w:rFonts w:ascii="Arial Narrow" w:hAnsi="Arial Narrow"/>
        </w:rPr>
        <w:t xml:space="preserve"> nad 10 mil. eur bez ohľadu na zdroj financovania budú v roku 2017 </w:t>
      </w:r>
      <w:r w:rsidR="005B2BB8" w:rsidRPr="00D35F19">
        <w:rPr>
          <w:rFonts w:ascii="Arial Narrow" w:hAnsi="Arial Narrow"/>
        </w:rPr>
        <w:t>pos</w:t>
      </w:r>
      <w:r w:rsidR="005B2BB8">
        <w:rPr>
          <w:rFonts w:ascii="Arial Narrow" w:hAnsi="Arial Narrow"/>
        </w:rPr>
        <w:t xml:space="preserve">udzované </w:t>
      </w:r>
      <w:r w:rsidRPr="00D35F19">
        <w:rPr>
          <w:rFonts w:ascii="Arial Narrow" w:hAnsi="Arial Narrow"/>
        </w:rPr>
        <w:t xml:space="preserve">MF SR z pohľadu hodnoty za peniaze. ÚPVII pripravuje </w:t>
      </w:r>
      <w:r w:rsidRPr="00D35F19">
        <w:rPr>
          <w:rFonts w:ascii="Arial Narrow" w:hAnsi="Arial Narrow"/>
          <w:color w:val="000000"/>
        </w:rPr>
        <w:t xml:space="preserve">detailný Akčný plán informatizácie </w:t>
      </w:r>
      <w:r w:rsidR="007E4A68">
        <w:rPr>
          <w:rFonts w:ascii="Arial Narrow" w:hAnsi="Arial Narrow"/>
          <w:color w:val="000000"/>
        </w:rPr>
        <w:t xml:space="preserve">verejnej správy na obdobie 2016 – </w:t>
      </w:r>
      <w:r w:rsidRPr="00D35F19">
        <w:rPr>
          <w:rFonts w:ascii="Arial Narrow" w:hAnsi="Arial Narrow"/>
          <w:color w:val="000000"/>
        </w:rPr>
        <w:t xml:space="preserve">2020. Na rokovanie vlády SR </w:t>
      </w:r>
      <w:r>
        <w:rPr>
          <w:rFonts w:ascii="Arial Narrow" w:hAnsi="Arial Narrow"/>
          <w:color w:val="000000"/>
        </w:rPr>
        <w:t xml:space="preserve">bude </w:t>
      </w:r>
      <w:r w:rsidRPr="00D35F19">
        <w:rPr>
          <w:rFonts w:ascii="Arial Narrow" w:hAnsi="Arial Narrow"/>
          <w:color w:val="000000"/>
        </w:rPr>
        <w:t xml:space="preserve">predložený </w:t>
      </w:r>
      <w:r w:rsidRPr="002F203A">
        <w:rPr>
          <w:rFonts w:ascii="Arial Narrow" w:hAnsi="Arial Narrow"/>
          <w:b/>
          <w:color w:val="000000"/>
        </w:rPr>
        <w:t xml:space="preserve">návrh zákona o výkone správy v oblasti </w:t>
      </w:r>
      <w:r w:rsidRPr="002F203A">
        <w:rPr>
          <w:rStyle w:val="Zstupntext"/>
          <w:rFonts w:ascii="Arial Narrow" w:hAnsi="Arial Narrow"/>
          <w:b/>
        </w:rPr>
        <w:t>informačných technológií VS</w:t>
      </w:r>
      <w:r w:rsidRPr="00D35F19">
        <w:rPr>
          <w:rStyle w:val="Zstupntext"/>
          <w:rFonts w:ascii="Arial Narrow" w:hAnsi="Arial Narrow"/>
        </w:rPr>
        <w:t xml:space="preserve">, </w:t>
      </w:r>
      <w:r w:rsidR="007E4A68">
        <w:rPr>
          <w:rFonts w:ascii="Arial Narrow" w:hAnsi="Arial Narrow"/>
          <w:color w:val="000000"/>
        </w:rPr>
        <w:t xml:space="preserve">ktorý ustanoví </w:t>
      </w:r>
      <w:r w:rsidRPr="00D35F19">
        <w:rPr>
          <w:rFonts w:ascii="Arial Narrow" w:hAnsi="Arial Narrow"/>
          <w:color w:val="000000"/>
        </w:rPr>
        <w:t xml:space="preserve">jednotné pravidlá </w:t>
      </w:r>
      <w:r w:rsidR="007E4A68">
        <w:rPr>
          <w:rFonts w:ascii="Arial Narrow" w:hAnsi="Arial Narrow"/>
          <w:color w:val="000000"/>
        </w:rPr>
        <w:t xml:space="preserve">v </w:t>
      </w:r>
      <w:r w:rsidRPr="00D35F19">
        <w:rPr>
          <w:rFonts w:ascii="Arial Narrow" w:hAnsi="Arial Narrow"/>
          <w:color w:val="000000"/>
        </w:rPr>
        <w:t>oblasti IT od fázy plánovania a organizácie až po monitoring a hodnotenie.</w:t>
      </w:r>
    </w:p>
    <w:p w14:paraId="124CFF45" w14:textId="77777777" w:rsidR="002F203A" w:rsidRPr="00D35F19" w:rsidRDefault="002F203A" w:rsidP="002F203A">
      <w:pPr>
        <w:spacing w:after="0" w:line="240" w:lineRule="auto"/>
        <w:jc w:val="both"/>
        <w:rPr>
          <w:rFonts w:ascii="Arial Narrow" w:hAnsi="Arial Narrow"/>
        </w:rPr>
      </w:pPr>
    </w:p>
    <w:p w14:paraId="2EE9A779" w14:textId="77777777" w:rsidR="002F203A" w:rsidRDefault="002F203A" w:rsidP="002F203A">
      <w:pPr>
        <w:spacing w:after="0" w:line="240" w:lineRule="auto"/>
        <w:jc w:val="both"/>
        <w:rPr>
          <w:rFonts w:ascii="Arial Narrow" w:hAnsi="Arial Narrow"/>
        </w:rPr>
      </w:pPr>
      <w:r w:rsidRPr="00D35F19">
        <w:rPr>
          <w:rFonts w:ascii="Arial Narrow" w:hAnsi="Arial Narrow"/>
        </w:rPr>
        <w:t xml:space="preserve">V roku 2017 ÚPVII predloží na rokovanie vlády iniciatívny materiál </w:t>
      </w:r>
      <w:r w:rsidRPr="00D35F19">
        <w:rPr>
          <w:rFonts w:ascii="Arial Narrow" w:hAnsi="Arial Narrow"/>
          <w:i/>
        </w:rPr>
        <w:t>Akčný plán pre jednotný digitálny trh – Príležitosť pre Slovensko na roky 2017 – 2020</w:t>
      </w:r>
      <w:r w:rsidRPr="00D35F19">
        <w:rPr>
          <w:rFonts w:ascii="Arial Narrow" w:hAnsi="Arial Narrow"/>
        </w:rPr>
        <w:t>, ktorým chce reagovať na iniciatívu EÚ v oblasti budovania digitálneho trhu. K prioritným témam akčného plánu patrí budovanie dátového hospodárstva pre lepšie využívanie dát, digitalizácia verejných služieb a cloud computing pre inkluzívnu informačnú spoločnosť, online platformy pre podporu kolaboratívnej ekonomiky a Smart Industry – moderné nástroje pre rozvoj digitálneho kreatívneho priemyslu, digitálne zručnosti pre modernú dobu.</w:t>
      </w:r>
    </w:p>
    <w:p w14:paraId="4E0C9FF3" w14:textId="77777777" w:rsidR="00E16B44" w:rsidRPr="007B307E" w:rsidRDefault="00E16B44" w:rsidP="00E16B44">
      <w:pPr>
        <w:spacing w:after="0" w:line="240" w:lineRule="auto"/>
        <w:jc w:val="both"/>
        <w:rPr>
          <w:rFonts w:ascii="Arial Narrow" w:hAnsi="Arial Narrow"/>
        </w:rPr>
      </w:pPr>
    </w:p>
    <w:p w14:paraId="2446A453" w14:textId="77777777" w:rsidR="00E56EAF" w:rsidRPr="00F12DEC" w:rsidRDefault="00E56EAF" w:rsidP="00E56EAF">
      <w:pPr>
        <w:pStyle w:val="Nadpis2"/>
        <w:numPr>
          <w:ilvl w:val="2"/>
          <w:numId w:val="1"/>
        </w:numPr>
        <w:spacing w:after="240" w:line="240" w:lineRule="auto"/>
        <w:ind w:left="720"/>
        <w:jc w:val="both"/>
        <w:rPr>
          <w:rFonts w:ascii="Arial Narrow" w:hAnsi="Arial Narrow"/>
          <w:color w:val="2C9ADC"/>
          <w:sz w:val="28"/>
          <w:szCs w:val="28"/>
        </w:rPr>
      </w:pPr>
      <w:bookmarkStart w:id="70" w:name="_Toc477259957"/>
      <w:r>
        <w:rPr>
          <w:rFonts w:ascii="Arial Narrow" w:hAnsi="Arial Narrow"/>
          <w:color w:val="2C9ADC"/>
          <w:sz w:val="28"/>
          <w:szCs w:val="28"/>
        </w:rPr>
        <w:t>Podnikateľské prostredie</w:t>
      </w:r>
      <w:bookmarkEnd w:id="70"/>
    </w:p>
    <w:p w14:paraId="451ADB4B" w14:textId="35475BBF" w:rsidR="00E56EAF" w:rsidRPr="009A551F" w:rsidRDefault="00E56EAF" w:rsidP="00E56EAF">
      <w:pPr>
        <w:spacing w:after="0" w:line="240" w:lineRule="auto"/>
        <w:jc w:val="both"/>
        <w:rPr>
          <w:rFonts w:ascii="Arial Narrow" w:hAnsi="Arial Narrow"/>
          <w:b/>
          <w:i/>
        </w:rPr>
      </w:pPr>
      <w:r w:rsidRPr="009A551F">
        <w:rPr>
          <w:rFonts w:ascii="Arial Narrow" w:hAnsi="Arial Narrow"/>
          <w:b/>
          <w:i/>
        </w:rPr>
        <w:t>Zni</w:t>
      </w:r>
      <w:r w:rsidR="007E4A68">
        <w:rPr>
          <w:rFonts w:ascii="Arial Narrow" w:hAnsi="Arial Narrow"/>
          <w:b/>
          <w:i/>
        </w:rPr>
        <w:t xml:space="preserve">žovanie administratívnej záťaže </w:t>
      </w:r>
      <w:r w:rsidRPr="009A551F">
        <w:rPr>
          <w:rFonts w:ascii="Arial Narrow" w:hAnsi="Arial Narrow"/>
          <w:b/>
          <w:i/>
        </w:rPr>
        <w:t>podnikateľov a lepšia regulácia</w:t>
      </w:r>
    </w:p>
    <w:p w14:paraId="0F7899AA" w14:textId="60F26D3B" w:rsidR="005727CE" w:rsidRDefault="00E56EAF" w:rsidP="00E56EAF">
      <w:pPr>
        <w:spacing w:after="0" w:line="240" w:lineRule="auto"/>
        <w:jc w:val="both"/>
        <w:rPr>
          <w:rFonts w:ascii="Arial Narrow" w:hAnsi="Arial Narrow"/>
        </w:rPr>
      </w:pPr>
      <w:r w:rsidRPr="009A551F">
        <w:rPr>
          <w:rFonts w:ascii="Arial Narrow" w:hAnsi="Arial Narrow"/>
        </w:rPr>
        <w:t>Finančná správa bude pokračovať v znižovaní administratívnej záťaže podnikateľov rozšírením možností</w:t>
      </w:r>
      <w:r w:rsidRPr="009A551F">
        <w:rPr>
          <w:rFonts w:ascii="Arial Narrow" w:hAnsi="Arial Narrow"/>
          <w:b/>
        </w:rPr>
        <w:t xml:space="preserve"> obojsmernej elektronickej komunikácie s podnika</w:t>
      </w:r>
      <w:r>
        <w:rPr>
          <w:rFonts w:ascii="Arial Narrow" w:hAnsi="Arial Narrow"/>
          <w:b/>
        </w:rPr>
        <w:t>t</w:t>
      </w:r>
      <w:r w:rsidRPr="009A551F">
        <w:rPr>
          <w:rFonts w:ascii="Arial Narrow" w:hAnsi="Arial Narrow"/>
          <w:b/>
        </w:rPr>
        <w:t>eľmi</w:t>
      </w:r>
      <w:r w:rsidRPr="009A551F">
        <w:rPr>
          <w:rFonts w:ascii="Arial Narrow" w:hAnsi="Arial Narrow"/>
        </w:rPr>
        <w:t xml:space="preserve"> </w:t>
      </w:r>
      <w:r w:rsidR="003020D8">
        <w:rPr>
          <w:rFonts w:ascii="Arial Narrow" w:hAnsi="Arial Narrow"/>
        </w:rPr>
        <w:t>v daňovej agende</w:t>
      </w:r>
      <w:r w:rsidR="00121D57">
        <w:rPr>
          <w:rFonts w:ascii="Arial Narrow" w:hAnsi="Arial Narrow"/>
        </w:rPr>
        <w:t xml:space="preserve">, najmä DPH, </w:t>
      </w:r>
      <w:r w:rsidRPr="009A551F">
        <w:rPr>
          <w:rFonts w:ascii="Arial Narrow" w:hAnsi="Arial Narrow"/>
        </w:rPr>
        <w:t xml:space="preserve">a zasielaním predvyplnených vybraných typov daňových priznaní. Zároveň sa plánujú zaviesť upozorňujúce správy </w:t>
      </w:r>
      <w:r w:rsidR="00403D5A" w:rsidRPr="003020D8">
        <w:rPr>
          <w:rFonts w:ascii="Arial Narrow" w:hAnsi="Arial Narrow"/>
          <w:b/>
          <w:i/>
        </w:rPr>
        <w:t>soft warning</w:t>
      </w:r>
      <w:r w:rsidRPr="009A551F">
        <w:rPr>
          <w:rFonts w:ascii="Arial Narrow" w:hAnsi="Arial Narrow"/>
        </w:rPr>
        <w:t>, ktoré daňové subjekty upozornia na podozrenie zo zapojenia do podvodu, na ich nedoplatky a na možnosť podania dodatočného daňového priznania.</w:t>
      </w:r>
      <w:r w:rsidRPr="00240B08">
        <w:rPr>
          <w:rFonts w:ascii="Arial Narrow" w:hAnsi="Arial Narrow"/>
          <w:color w:val="000000"/>
        </w:rPr>
        <w:t xml:space="preserve"> </w:t>
      </w:r>
      <w:r w:rsidRPr="00240B08">
        <w:rPr>
          <w:rFonts w:ascii="Arial Narrow" w:hAnsi="Arial Narrow"/>
        </w:rPr>
        <w:t xml:space="preserve">Upravuje sa tiež </w:t>
      </w:r>
      <w:r w:rsidR="003020D8" w:rsidRPr="003020D8">
        <w:rPr>
          <w:rFonts w:ascii="Arial Narrow" w:hAnsi="Arial Narrow"/>
          <w:b/>
          <w:i/>
        </w:rPr>
        <w:t>i</w:t>
      </w:r>
      <w:r w:rsidRPr="003020D8">
        <w:rPr>
          <w:rFonts w:ascii="Arial Narrow" w:hAnsi="Arial Narrow"/>
          <w:b/>
          <w:i/>
        </w:rPr>
        <w:t>nštitút povoľ</w:t>
      </w:r>
      <w:r w:rsidR="0006233E">
        <w:rPr>
          <w:rFonts w:ascii="Arial Narrow" w:hAnsi="Arial Narrow"/>
          <w:b/>
          <w:i/>
        </w:rPr>
        <w:t>ov</w:t>
      </w:r>
      <w:r w:rsidRPr="003020D8">
        <w:rPr>
          <w:rFonts w:ascii="Arial Narrow" w:hAnsi="Arial Narrow"/>
          <w:b/>
          <w:i/>
        </w:rPr>
        <w:t>ania odkladov a splátok dane</w:t>
      </w:r>
      <w:r w:rsidRPr="00240B08">
        <w:rPr>
          <w:rFonts w:ascii="Arial Narrow" w:hAnsi="Arial Narrow"/>
        </w:rPr>
        <w:t xml:space="preserve"> </w:t>
      </w:r>
      <w:r w:rsidR="0051456A">
        <w:rPr>
          <w:rFonts w:ascii="Arial Narrow" w:hAnsi="Arial Narrow"/>
        </w:rPr>
        <w:t>tak, aby sa pri sumách do 3</w:t>
      </w:r>
      <w:r w:rsidR="00F2655C">
        <w:rPr>
          <w:rFonts w:ascii="Arial Narrow" w:hAnsi="Arial Narrow"/>
        </w:rPr>
        <w:t xml:space="preserve"> 000 </w:t>
      </w:r>
      <w:r w:rsidRPr="00240B08">
        <w:rPr>
          <w:rFonts w:ascii="Arial Narrow" w:hAnsi="Arial Narrow"/>
        </w:rPr>
        <w:t>eur nevyžadovalo zabezpečenie dlžnej sumy záložným právom pre podnikateľský sektor.</w:t>
      </w:r>
      <w:r w:rsidR="00A83E23">
        <w:rPr>
          <w:rFonts w:ascii="Arial Narrow" w:hAnsi="Arial Narrow"/>
        </w:rPr>
        <w:t xml:space="preserve"> Od roku 2017 sa </w:t>
      </w:r>
      <w:r w:rsidR="00A83E23" w:rsidRPr="00DE24F7">
        <w:rPr>
          <w:rFonts w:ascii="Arial Narrow" w:hAnsi="Arial Narrow"/>
        </w:rPr>
        <w:t xml:space="preserve">zaviedlo </w:t>
      </w:r>
      <w:r w:rsidR="00A83E23" w:rsidRPr="00123313">
        <w:rPr>
          <w:rFonts w:ascii="Arial Narrow" w:hAnsi="Arial Narrow"/>
          <w:b/>
        </w:rPr>
        <w:t>vyplácanie finančnej náhrady zo zadržiavaného nadmerného</w:t>
      </w:r>
      <w:r w:rsidR="00A83E23" w:rsidRPr="00DE24F7">
        <w:rPr>
          <w:rFonts w:ascii="Arial Narrow" w:hAnsi="Arial Narrow"/>
        </w:rPr>
        <w:t xml:space="preserve"> </w:t>
      </w:r>
      <w:r w:rsidR="00A83E23" w:rsidRPr="00123313">
        <w:rPr>
          <w:rFonts w:ascii="Arial Narrow" w:hAnsi="Arial Narrow"/>
          <w:b/>
        </w:rPr>
        <w:t>odpočtu</w:t>
      </w:r>
      <w:r w:rsidR="00A83E23" w:rsidRPr="00DE24F7">
        <w:rPr>
          <w:rFonts w:ascii="Arial Narrow" w:hAnsi="Arial Narrow"/>
        </w:rPr>
        <w:t xml:space="preserve"> počas daňovej kontroly. Nárok na finančnú kompenzáciu sa priznáva </w:t>
      </w:r>
      <w:r w:rsidR="00A83E23" w:rsidRPr="00DE24F7">
        <w:rPr>
          <w:rFonts w:ascii="Arial Narrow" w:hAnsi="Arial Narrow"/>
        </w:rPr>
        <w:lastRenderedPageBreak/>
        <w:t>platiteľovi dane v prípade, ak daňový úrad vráti nadmerný odpočet po uplynutí šiestich mesiacov odo dňa, kedy mal byť nadmerný odpočet vrátený.</w:t>
      </w:r>
      <w:r w:rsidR="00A83E23">
        <w:rPr>
          <w:rFonts w:ascii="Arial Narrow" w:hAnsi="Arial Narrow"/>
        </w:rPr>
        <w:t xml:space="preserve"> </w:t>
      </w:r>
      <w:r w:rsidRPr="009A551F">
        <w:rPr>
          <w:rFonts w:ascii="Arial Narrow" w:hAnsi="Arial Narrow"/>
        </w:rPr>
        <w:t xml:space="preserve">V roku 2017 bude taktiež dokončená realizácia druhej etapy automatizácie colného dohľadu nad dovozom tovaru prostredníctvom systému </w:t>
      </w:r>
      <w:r w:rsidRPr="00AC76F1">
        <w:rPr>
          <w:rFonts w:ascii="Arial Narrow" w:hAnsi="Arial Narrow"/>
          <w:i/>
        </w:rPr>
        <w:t>e-DOVOZ</w:t>
      </w:r>
      <w:r w:rsidRPr="009A551F">
        <w:rPr>
          <w:rFonts w:ascii="Arial Narrow" w:hAnsi="Arial Narrow"/>
        </w:rPr>
        <w:t>.</w:t>
      </w:r>
    </w:p>
    <w:p w14:paraId="77DFCE1F" w14:textId="77777777" w:rsidR="005727CE" w:rsidRDefault="005727CE" w:rsidP="00E56EAF">
      <w:pPr>
        <w:spacing w:after="0" w:line="240" w:lineRule="auto"/>
        <w:jc w:val="both"/>
        <w:rPr>
          <w:rFonts w:ascii="Arial Narrow" w:hAnsi="Arial Narrow"/>
        </w:rPr>
      </w:pPr>
    </w:p>
    <w:p w14:paraId="7EDED485" w14:textId="3DB1BF43" w:rsidR="00A83E23" w:rsidRDefault="00A83E23" w:rsidP="00A83E23">
      <w:pPr>
        <w:spacing w:after="0" w:line="240" w:lineRule="auto"/>
        <w:jc w:val="both"/>
        <w:rPr>
          <w:rFonts w:ascii="Arial Narrow" w:hAnsi="Arial Narrow"/>
        </w:rPr>
      </w:pPr>
      <w:r>
        <w:rPr>
          <w:rFonts w:ascii="Arial Narrow" w:hAnsi="Arial Narrow"/>
        </w:rPr>
        <w:t xml:space="preserve">Na skvalitnenie poskytovaných služieb klientom finančnej správy sa v súvislosti s dovozmi vytvorí </w:t>
      </w:r>
      <w:r w:rsidRPr="00A83E23">
        <w:rPr>
          <w:rFonts w:ascii="Arial Narrow" w:hAnsi="Arial Narrow"/>
          <w:b/>
        </w:rPr>
        <w:t>úrad pre hospodárske subjekty</w:t>
      </w:r>
      <w:r>
        <w:rPr>
          <w:rFonts w:ascii="Arial Narrow" w:hAnsi="Arial Narrow"/>
        </w:rPr>
        <w:t xml:space="preserve"> transformáciou daňového úradu pre vybrané daňové subjekty. Okrem uľahčenia veľkého objemu dovozov najväčším importérom prispeje úrad k prevencii a dodržiavaniu daňových a colných predpisov zo strany hospodárskych subjektov. Predpokladá sa tiež prínos v podobe udržania kľúčových a získania nových platcov cla na Slovensku.</w:t>
      </w:r>
    </w:p>
    <w:p w14:paraId="55DC48B9" w14:textId="77777777" w:rsidR="00A83E23" w:rsidRDefault="00A83E23" w:rsidP="00E56EAF">
      <w:pPr>
        <w:spacing w:after="0" w:line="240" w:lineRule="auto"/>
        <w:jc w:val="both"/>
        <w:rPr>
          <w:rFonts w:ascii="Arial Narrow" w:hAnsi="Arial Narrow"/>
        </w:rPr>
      </w:pPr>
    </w:p>
    <w:p w14:paraId="16C0BA44" w14:textId="0BB7416A" w:rsidR="00E56EAF" w:rsidRDefault="00E56EAF" w:rsidP="00E56EAF">
      <w:pPr>
        <w:spacing w:after="0" w:line="240" w:lineRule="auto"/>
        <w:jc w:val="both"/>
        <w:rPr>
          <w:rFonts w:ascii="Arial Narrow" w:hAnsi="Arial Narrow"/>
        </w:rPr>
      </w:pPr>
      <w:r w:rsidRPr="00F81906">
        <w:rPr>
          <w:rFonts w:ascii="Arial Narrow" w:hAnsi="Arial Narrow"/>
        </w:rPr>
        <w:t>Zákon o upomínacom konaní má za cieľ zrýchliť a zefektívn</w:t>
      </w:r>
      <w:r>
        <w:rPr>
          <w:rFonts w:ascii="Arial Narrow" w:hAnsi="Arial Narrow"/>
        </w:rPr>
        <w:t xml:space="preserve">iť proces vymoženia pohľadávok a </w:t>
      </w:r>
      <w:r w:rsidRPr="00F81906">
        <w:rPr>
          <w:rFonts w:ascii="Arial Narrow" w:hAnsi="Arial Narrow"/>
        </w:rPr>
        <w:t>výra</w:t>
      </w:r>
      <w:r>
        <w:rPr>
          <w:rFonts w:ascii="Arial Narrow" w:hAnsi="Arial Narrow"/>
        </w:rPr>
        <w:t xml:space="preserve">zne tak skrátiť lehotu, v ktorej podnikateľ dostane </w:t>
      </w:r>
      <w:r w:rsidRPr="00F81906">
        <w:rPr>
          <w:rFonts w:ascii="Arial Narrow" w:hAnsi="Arial Narrow"/>
        </w:rPr>
        <w:t xml:space="preserve">svoje peniaze. </w:t>
      </w:r>
      <w:r>
        <w:rPr>
          <w:rFonts w:ascii="Arial Narrow" w:hAnsi="Arial Narrow"/>
        </w:rPr>
        <w:t>P</w:t>
      </w:r>
      <w:r w:rsidRPr="00F81906">
        <w:rPr>
          <w:rFonts w:ascii="Arial Narrow" w:hAnsi="Arial Narrow"/>
        </w:rPr>
        <w:t xml:space="preserve">rávna úprava </w:t>
      </w:r>
      <w:r w:rsidRPr="00F81906">
        <w:rPr>
          <w:rFonts w:ascii="Arial Narrow" w:hAnsi="Arial Narrow"/>
          <w:b/>
        </w:rPr>
        <w:t>zavádza do praxe plnohodnotnú elektronickú alternatívu k existujúcemu režimu platobného rozkazu</w:t>
      </w:r>
      <w:r>
        <w:rPr>
          <w:rFonts w:ascii="Arial Narrow" w:hAnsi="Arial Narrow"/>
          <w:b/>
        </w:rPr>
        <w:t>.</w:t>
      </w:r>
      <w:r w:rsidRPr="00F81906">
        <w:rPr>
          <w:rFonts w:ascii="Arial Narrow" w:hAnsi="Arial Narrow"/>
        </w:rPr>
        <w:t xml:space="preserve"> </w:t>
      </w:r>
      <w:r>
        <w:rPr>
          <w:rFonts w:ascii="Arial Narrow" w:hAnsi="Arial Narrow"/>
        </w:rPr>
        <w:t xml:space="preserve">Táto úprava </w:t>
      </w:r>
      <w:r w:rsidRPr="00F81906">
        <w:rPr>
          <w:rFonts w:ascii="Arial Narrow" w:hAnsi="Arial Narrow"/>
        </w:rPr>
        <w:t xml:space="preserve">si vyžaduje zaviesť  elektronizáciu celého procesu podávania návrhov na vydanie platobných rozkazov formou štandardizovaných elektronických formulárov.  </w:t>
      </w:r>
    </w:p>
    <w:p w14:paraId="7AB673C8" w14:textId="77777777" w:rsidR="00E56EAF" w:rsidRDefault="00E56EAF" w:rsidP="00E56EAF">
      <w:pPr>
        <w:spacing w:after="0" w:line="240" w:lineRule="auto"/>
        <w:jc w:val="both"/>
        <w:rPr>
          <w:rFonts w:ascii="Arial Narrow" w:hAnsi="Arial Narrow"/>
        </w:rPr>
      </w:pPr>
    </w:p>
    <w:p w14:paraId="4484AF86" w14:textId="26882F95" w:rsidR="00E56EAF" w:rsidRPr="009A551F" w:rsidRDefault="00E56EAF" w:rsidP="00E56EAF">
      <w:pPr>
        <w:spacing w:after="0" w:line="240" w:lineRule="auto"/>
        <w:jc w:val="both"/>
        <w:rPr>
          <w:rFonts w:ascii="Arial Narrow" w:hAnsi="Arial Narrow"/>
        </w:rPr>
      </w:pPr>
      <w:r w:rsidRPr="009A551F">
        <w:rPr>
          <w:rFonts w:ascii="Arial Narrow" w:hAnsi="Arial Narrow"/>
        </w:rPr>
        <w:t xml:space="preserve">Zmena zákona o ochrane, podpore a rozvoji verejného zdravia prinesie zníženie nepriamych a administratívnych </w:t>
      </w:r>
      <w:r w:rsidR="003B493E">
        <w:rPr>
          <w:rFonts w:ascii="Arial Narrow" w:hAnsi="Arial Narrow"/>
        </w:rPr>
        <w:t xml:space="preserve">nákladov </w:t>
      </w:r>
      <w:r w:rsidRPr="009A551F">
        <w:rPr>
          <w:rFonts w:ascii="Arial Narrow" w:hAnsi="Arial Narrow"/>
        </w:rPr>
        <w:t>pre podnikateľov pri zabezpečovaní zdravotného dohľadu prostredníctvom</w:t>
      </w:r>
      <w:r w:rsidRPr="009A551F">
        <w:rPr>
          <w:rFonts w:ascii="Arial Narrow" w:hAnsi="Arial Narrow"/>
          <w:b/>
        </w:rPr>
        <w:t xml:space="preserve"> pracovnej zdravotnej služby</w:t>
      </w:r>
      <w:r w:rsidRPr="009A551F">
        <w:rPr>
          <w:rFonts w:ascii="Arial Narrow" w:hAnsi="Arial Narrow"/>
        </w:rPr>
        <w:t xml:space="preserve">. Zamestnávatelia už nebudú musieť zabezpečiť pre svojich zamestnancov pracovnú zdravotnú službu trvalým zmluvným vzťahom. Súčasne sa vypúšťa povinnosť zamestnávateľov hodnotiť zdravotné riziko raz ročne. </w:t>
      </w:r>
    </w:p>
    <w:p w14:paraId="314E88DD" w14:textId="77777777" w:rsidR="00E56EAF" w:rsidRPr="009A551F" w:rsidRDefault="00E56EAF" w:rsidP="00E56EAF">
      <w:pPr>
        <w:spacing w:after="0" w:line="240" w:lineRule="auto"/>
        <w:jc w:val="both"/>
        <w:rPr>
          <w:rFonts w:ascii="Arial Narrow" w:hAnsi="Arial Narrow"/>
        </w:rPr>
      </w:pPr>
    </w:p>
    <w:p w14:paraId="4FAE9DF8" w14:textId="0D977340" w:rsidR="00403D5A" w:rsidRDefault="00C03FC8" w:rsidP="00E56EAF">
      <w:pPr>
        <w:spacing w:after="0" w:line="240" w:lineRule="auto"/>
        <w:jc w:val="both"/>
        <w:rPr>
          <w:rFonts w:ascii="Arial Narrow" w:hAnsi="Arial Narrow"/>
        </w:rPr>
      </w:pPr>
      <w:r w:rsidRPr="0077463A">
        <w:rPr>
          <w:rFonts w:ascii="Arial Narrow" w:hAnsi="Arial Narrow"/>
        </w:rPr>
        <w:t xml:space="preserve">Zmeny týkajúce sa </w:t>
      </w:r>
      <w:r w:rsidR="00E56EAF" w:rsidRPr="0077463A">
        <w:rPr>
          <w:rFonts w:ascii="Arial Narrow" w:hAnsi="Arial Narrow"/>
          <w:b/>
        </w:rPr>
        <w:t>obchodného registra</w:t>
      </w:r>
      <w:r w:rsidR="00E56EAF" w:rsidRPr="0077463A">
        <w:rPr>
          <w:rFonts w:ascii="Arial Narrow" w:hAnsi="Arial Narrow"/>
        </w:rPr>
        <w:t xml:space="preserve"> </w:t>
      </w:r>
      <w:r w:rsidR="0077463A" w:rsidRPr="0077463A">
        <w:rPr>
          <w:rFonts w:ascii="Arial Narrow" w:hAnsi="Arial Narrow"/>
        </w:rPr>
        <w:t>znížia administratívnu záťaž podnikateľov</w:t>
      </w:r>
      <w:r w:rsidR="00C46C0B" w:rsidRPr="0077463A">
        <w:rPr>
          <w:rFonts w:ascii="Arial Narrow" w:hAnsi="Arial Narrow"/>
        </w:rPr>
        <w:t xml:space="preserve"> a</w:t>
      </w:r>
      <w:r w:rsidR="0077463A" w:rsidRPr="0077463A">
        <w:rPr>
          <w:rFonts w:ascii="Arial Narrow" w:hAnsi="Arial Narrow"/>
        </w:rPr>
        <w:t xml:space="preserve"> </w:t>
      </w:r>
      <w:r w:rsidR="00C46C0B" w:rsidRPr="0077463A">
        <w:rPr>
          <w:rFonts w:ascii="Arial Narrow" w:hAnsi="Arial Narrow"/>
        </w:rPr>
        <w:t>súdov</w:t>
      </w:r>
      <w:r w:rsidR="0077463A" w:rsidRPr="0077463A">
        <w:rPr>
          <w:rFonts w:ascii="Arial Narrow" w:hAnsi="Arial Narrow"/>
        </w:rPr>
        <w:t xml:space="preserve"> pri registrácii obchodných spoločností</w:t>
      </w:r>
      <w:r w:rsidRPr="0077463A">
        <w:rPr>
          <w:rFonts w:ascii="Arial Narrow" w:hAnsi="Arial Narrow"/>
        </w:rPr>
        <w:t>.</w:t>
      </w:r>
      <w:r w:rsidR="0077463A" w:rsidRPr="0077463A">
        <w:rPr>
          <w:rFonts w:ascii="Arial Narrow" w:hAnsi="Arial Narrow"/>
        </w:rPr>
        <w:t xml:space="preserve"> </w:t>
      </w:r>
      <w:r w:rsidR="00C46C0B" w:rsidRPr="0077463A">
        <w:rPr>
          <w:rFonts w:ascii="Arial Narrow" w:hAnsi="Arial Narrow"/>
        </w:rPr>
        <w:t>Z</w:t>
      </w:r>
      <w:r w:rsidR="00E56EAF" w:rsidRPr="0077463A">
        <w:rPr>
          <w:rFonts w:ascii="Arial Narrow" w:hAnsi="Arial Narrow"/>
        </w:rPr>
        <w:t xml:space="preserve">nížia </w:t>
      </w:r>
      <w:r w:rsidR="00C46C0B" w:rsidRPr="0077463A">
        <w:rPr>
          <w:rFonts w:ascii="Arial Narrow" w:hAnsi="Arial Narrow"/>
        </w:rPr>
        <w:t xml:space="preserve">sa </w:t>
      </w:r>
      <w:r w:rsidR="00E56EAF" w:rsidRPr="0077463A">
        <w:rPr>
          <w:rFonts w:ascii="Arial Narrow" w:hAnsi="Arial Narrow"/>
        </w:rPr>
        <w:t>poplatky a</w:t>
      </w:r>
      <w:r w:rsidR="00C46C0B" w:rsidRPr="0077463A">
        <w:rPr>
          <w:rFonts w:ascii="Arial Narrow" w:hAnsi="Arial Narrow"/>
        </w:rPr>
        <w:t> </w:t>
      </w:r>
      <w:r w:rsidR="00E56EAF" w:rsidRPr="0077463A">
        <w:rPr>
          <w:rFonts w:ascii="Arial Narrow" w:hAnsi="Arial Narrow"/>
        </w:rPr>
        <w:t>zlepšia</w:t>
      </w:r>
      <w:r w:rsidR="00C46C0B" w:rsidRPr="0077463A">
        <w:rPr>
          <w:rFonts w:ascii="Arial Narrow" w:hAnsi="Arial Narrow"/>
        </w:rPr>
        <w:t xml:space="preserve"> sa</w:t>
      </w:r>
      <w:r w:rsidR="007E4A68">
        <w:rPr>
          <w:rFonts w:ascii="Arial Narrow" w:hAnsi="Arial Narrow"/>
        </w:rPr>
        <w:t xml:space="preserve"> </w:t>
      </w:r>
      <w:r w:rsidR="00E56EAF" w:rsidRPr="0077463A">
        <w:rPr>
          <w:rFonts w:ascii="Arial Narrow" w:hAnsi="Arial Narrow"/>
        </w:rPr>
        <w:t>elektronické služby pre podnikateľov</w:t>
      </w:r>
      <w:r w:rsidR="0077463A" w:rsidRPr="0077463A">
        <w:rPr>
          <w:rFonts w:ascii="Arial Narrow" w:hAnsi="Arial Narrow"/>
        </w:rPr>
        <w:t xml:space="preserve"> </w:t>
      </w:r>
      <w:r w:rsidR="00E56EAF" w:rsidRPr="0077463A">
        <w:rPr>
          <w:rFonts w:ascii="Arial Narrow" w:hAnsi="Arial Narrow"/>
        </w:rPr>
        <w:t>(</w:t>
      </w:r>
      <w:r w:rsidR="00E56EAF" w:rsidRPr="009A551F">
        <w:rPr>
          <w:rFonts w:ascii="Arial Narrow" w:hAnsi="Arial Narrow"/>
        </w:rPr>
        <w:t>zjednotenie dokumentácie pri zápise zmien, štandardizované formuláre pre malé a stredné podniky)</w:t>
      </w:r>
      <w:r w:rsidR="0077463A">
        <w:rPr>
          <w:rFonts w:ascii="Arial Narrow" w:hAnsi="Arial Narrow"/>
        </w:rPr>
        <w:t xml:space="preserve">. </w:t>
      </w:r>
      <w:r w:rsidR="00C46C0B">
        <w:rPr>
          <w:rFonts w:ascii="Arial Narrow" w:hAnsi="Arial Narrow"/>
        </w:rPr>
        <w:t xml:space="preserve">Rozšíri sa </w:t>
      </w:r>
      <w:r w:rsidR="0077463A">
        <w:rPr>
          <w:rFonts w:ascii="Arial Narrow" w:hAnsi="Arial Narrow"/>
        </w:rPr>
        <w:t>dostupnosť služieb rozšírením poč</w:t>
      </w:r>
      <w:r w:rsidR="00C46C0B">
        <w:rPr>
          <w:rFonts w:ascii="Arial Narrow" w:hAnsi="Arial Narrow"/>
        </w:rPr>
        <w:t>t</w:t>
      </w:r>
      <w:r w:rsidR="0077463A">
        <w:rPr>
          <w:rFonts w:ascii="Arial Narrow" w:hAnsi="Arial Narrow"/>
        </w:rPr>
        <w:t xml:space="preserve">u </w:t>
      </w:r>
      <w:r w:rsidR="00C46C0B">
        <w:rPr>
          <w:rFonts w:ascii="Arial Narrow" w:hAnsi="Arial Narrow"/>
        </w:rPr>
        <w:t xml:space="preserve">externých registrátorov, ktorý budú môcť </w:t>
      </w:r>
      <w:r w:rsidR="0077463A">
        <w:rPr>
          <w:rFonts w:ascii="Arial Narrow" w:hAnsi="Arial Narrow"/>
        </w:rPr>
        <w:t xml:space="preserve">zapísať subjekt do obchodného registra. </w:t>
      </w:r>
      <w:r w:rsidR="00E56EAF" w:rsidRPr="009A551F">
        <w:rPr>
          <w:rFonts w:ascii="Arial Narrow" w:hAnsi="Arial Narrow"/>
        </w:rPr>
        <w:t>Zruší sa povinnosť preukázania spôsobilosti pre vykonávanie konkrétnej živnosti, ak ju podnikateľ preukazoval už v minulosti pri získavaní oprávnenia ako zodpovedný zástupca.</w:t>
      </w:r>
      <w:r>
        <w:rPr>
          <w:rFonts w:ascii="Arial Narrow" w:hAnsi="Arial Narrow" w:cs="Arial"/>
          <w:sz w:val="20"/>
          <w:szCs w:val="20"/>
        </w:rPr>
        <w:t xml:space="preserve"> </w:t>
      </w:r>
      <w:r w:rsidR="00E56EAF" w:rsidRPr="009A551F">
        <w:rPr>
          <w:rFonts w:ascii="Arial Narrow" w:hAnsi="Arial Narrow"/>
        </w:rPr>
        <w:t xml:space="preserve">Získanie </w:t>
      </w:r>
      <w:r w:rsidR="00E56EAF" w:rsidRPr="009A551F">
        <w:rPr>
          <w:rFonts w:ascii="Arial Narrow" w:hAnsi="Arial Narrow"/>
          <w:b/>
        </w:rPr>
        <w:t>výpisu zo živnostenského registra</w:t>
      </w:r>
      <w:r w:rsidR="00E56EAF" w:rsidRPr="009A551F">
        <w:rPr>
          <w:rFonts w:ascii="Arial Narrow" w:hAnsi="Arial Narrow"/>
        </w:rPr>
        <w:t xml:space="preserve"> by po novom bolo možné aj na pobočkách Slovenskej pošty. Plánuje sa tiež zníženie poplatkov za žiadosti o prechodný pobyt cudzincov za účelom podnikania. </w:t>
      </w:r>
    </w:p>
    <w:p w14:paraId="0659F84B" w14:textId="77777777" w:rsidR="00403D5A" w:rsidRDefault="00403D5A" w:rsidP="00E56EAF">
      <w:pPr>
        <w:spacing w:after="0" w:line="240" w:lineRule="auto"/>
        <w:jc w:val="both"/>
        <w:rPr>
          <w:rFonts w:ascii="Arial Narrow" w:hAnsi="Arial Narrow"/>
        </w:rPr>
      </w:pPr>
    </w:p>
    <w:p w14:paraId="3A68E6F7" w14:textId="052E4CBC" w:rsidR="00403D5A" w:rsidRPr="00403D5A" w:rsidRDefault="00403D5A" w:rsidP="00403D5A">
      <w:pPr>
        <w:spacing w:after="0" w:line="240" w:lineRule="auto"/>
        <w:jc w:val="both"/>
      </w:pPr>
      <w:r w:rsidRPr="00403D5A">
        <w:rPr>
          <w:rFonts w:ascii="Arial Narrow" w:hAnsi="Arial Narrow"/>
        </w:rPr>
        <w:t xml:space="preserve">K zjednodušeniu a urýchleniu </w:t>
      </w:r>
      <w:r w:rsidRPr="00403D5A">
        <w:rPr>
          <w:rFonts w:ascii="Arial Narrow" w:hAnsi="Arial Narrow"/>
          <w:b/>
        </w:rPr>
        <w:t>stavebných konaní</w:t>
      </w:r>
      <w:r w:rsidRPr="00403D5A">
        <w:rPr>
          <w:rFonts w:ascii="Arial Narrow" w:hAnsi="Arial Narrow"/>
        </w:rPr>
        <w:t xml:space="preserve"> prispeje elektronizácia procesov</w:t>
      </w:r>
      <w:r w:rsidR="00507CDC">
        <w:rPr>
          <w:rFonts w:ascii="Arial Narrow" w:hAnsi="Arial Narrow"/>
        </w:rPr>
        <w:t xml:space="preserve">. Elektronizácia sa dotkne </w:t>
      </w:r>
      <w:r w:rsidRPr="00403D5A">
        <w:rPr>
          <w:rFonts w:ascii="Arial Narrow" w:hAnsi="Arial Narrow"/>
        </w:rPr>
        <w:t>stavebného poriadku, územného plánov</w:t>
      </w:r>
      <w:r w:rsidR="00E93C64">
        <w:rPr>
          <w:rFonts w:ascii="Arial Narrow" w:hAnsi="Arial Narrow"/>
        </w:rPr>
        <w:t xml:space="preserve">ania a </w:t>
      </w:r>
      <w:r w:rsidRPr="00403D5A">
        <w:rPr>
          <w:rFonts w:ascii="Arial Narrow" w:hAnsi="Arial Narrow"/>
        </w:rPr>
        <w:t xml:space="preserve">programov hospodárskeho a sociálneho rozvoja v rámci projektu </w:t>
      </w:r>
      <w:r w:rsidRPr="00403D5A">
        <w:rPr>
          <w:rFonts w:ascii="Arial Narrow" w:hAnsi="Arial Narrow"/>
          <w:i/>
        </w:rPr>
        <w:t>Informačný systém výstavby</w:t>
      </w:r>
      <w:r w:rsidR="00507CDC">
        <w:rPr>
          <w:rFonts w:ascii="Arial Narrow" w:hAnsi="Arial Narrow"/>
          <w:i/>
        </w:rPr>
        <w:t xml:space="preserve">. </w:t>
      </w:r>
      <w:r w:rsidR="00507CDC">
        <w:rPr>
          <w:rFonts w:ascii="Arial Narrow" w:hAnsi="Arial Narrow"/>
        </w:rPr>
        <w:t>O</w:t>
      </w:r>
      <w:r w:rsidR="003D4D6C">
        <w:rPr>
          <w:rFonts w:ascii="Arial Narrow" w:hAnsi="Arial Narrow"/>
        </w:rPr>
        <w:t>str</w:t>
      </w:r>
      <w:r w:rsidR="00507CDC">
        <w:rPr>
          <w:rFonts w:ascii="Arial Narrow" w:hAnsi="Arial Narrow"/>
        </w:rPr>
        <w:t>á</w:t>
      </w:r>
      <w:r w:rsidR="003D4D6C">
        <w:rPr>
          <w:rFonts w:ascii="Arial Narrow" w:hAnsi="Arial Narrow"/>
        </w:rPr>
        <w:t xml:space="preserve"> prevádzk</w:t>
      </w:r>
      <w:r w:rsidR="00507CDC">
        <w:rPr>
          <w:rFonts w:ascii="Arial Narrow" w:hAnsi="Arial Narrow"/>
        </w:rPr>
        <w:t xml:space="preserve">a by mala byť spustená </w:t>
      </w:r>
      <w:r w:rsidRPr="00403D5A">
        <w:rPr>
          <w:rFonts w:ascii="Arial Narrow" w:hAnsi="Arial Narrow"/>
        </w:rPr>
        <w:t>najneskôr do roku 2021</w:t>
      </w:r>
      <w:r w:rsidRPr="00403D5A">
        <w:t xml:space="preserve">. </w:t>
      </w:r>
      <w:r w:rsidRPr="00403D5A">
        <w:rPr>
          <w:rFonts w:ascii="Arial Narrow" w:hAnsi="Arial Narrow"/>
        </w:rPr>
        <w:t>Časové lehoty na získanie st</w:t>
      </w:r>
      <w:r w:rsidR="007E4A68">
        <w:rPr>
          <w:rFonts w:ascii="Arial Narrow" w:hAnsi="Arial Narrow"/>
        </w:rPr>
        <w:t xml:space="preserve">avebných povolení sa prehodnotia </w:t>
      </w:r>
      <w:r w:rsidRPr="00403D5A">
        <w:rPr>
          <w:rFonts w:ascii="Arial Narrow" w:hAnsi="Arial Narrow"/>
        </w:rPr>
        <w:t xml:space="preserve">aj s kompetentnými </w:t>
      </w:r>
      <w:r w:rsidR="003D4D6C">
        <w:rPr>
          <w:rFonts w:ascii="Arial Narrow" w:hAnsi="Arial Narrow"/>
        </w:rPr>
        <w:t>subjektmi (vodárne, samosprávy).</w:t>
      </w:r>
    </w:p>
    <w:p w14:paraId="0C51D519" w14:textId="77777777" w:rsidR="00403D5A" w:rsidRDefault="00403D5A" w:rsidP="00E56EAF">
      <w:pPr>
        <w:spacing w:after="0" w:line="240" w:lineRule="auto"/>
        <w:jc w:val="both"/>
        <w:rPr>
          <w:rFonts w:ascii="Arial Narrow" w:hAnsi="Arial Narrow"/>
        </w:rPr>
      </w:pPr>
    </w:p>
    <w:p w14:paraId="1A573365" w14:textId="680A1E01" w:rsidR="00854422" w:rsidRPr="00854422" w:rsidRDefault="00E56EAF" w:rsidP="0067098B">
      <w:pPr>
        <w:spacing w:after="0" w:line="240" w:lineRule="auto"/>
        <w:jc w:val="both"/>
        <w:rPr>
          <w:rFonts w:ascii="Arial Narrow" w:hAnsi="Arial Narrow"/>
          <w:i/>
          <w:sz w:val="16"/>
          <w:szCs w:val="16"/>
        </w:rPr>
      </w:pPr>
      <w:r w:rsidRPr="009A551F">
        <w:rPr>
          <w:rFonts w:ascii="Arial Narrow" w:hAnsi="Arial Narrow"/>
        </w:rPr>
        <w:t xml:space="preserve">Do konca roka 2017 plánuje MH SR pripraviť </w:t>
      </w:r>
      <w:r w:rsidRPr="009A551F">
        <w:rPr>
          <w:rFonts w:ascii="Arial Narrow" w:hAnsi="Arial Narrow"/>
          <w:b/>
        </w:rPr>
        <w:t>strateg</w:t>
      </w:r>
      <w:r w:rsidR="00403D5A">
        <w:rPr>
          <w:rFonts w:ascii="Arial Narrow" w:hAnsi="Arial Narrow"/>
          <w:b/>
        </w:rPr>
        <w:t xml:space="preserve">ický dokument lepšej regulácie </w:t>
      </w:r>
      <w:r w:rsidR="00403D5A" w:rsidRPr="00403D5A">
        <w:rPr>
          <w:rFonts w:ascii="Arial Narrow" w:hAnsi="Arial Narrow"/>
          <w:b/>
          <w:i/>
        </w:rPr>
        <w:t>RIA 2020</w:t>
      </w:r>
      <w:r w:rsidRPr="009A551F">
        <w:rPr>
          <w:rFonts w:ascii="Arial Narrow" w:hAnsi="Arial Narrow"/>
        </w:rPr>
        <w:t xml:space="preserve"> a zvážiť zavedenie tzv. </w:t>
      </w:r>
      <w:r w:rsidRPr="009A551F">
        <w:rPr>
          <w:rFonts w:ascii="Arial Narrow" w:hAnsi="Arial Narrow"/>
          <w:b/>
          <w:i/>
        </w:rPr>
        <w:t>sunset clause</w:t>
      </w:r>
      <w:r w:rsidRPr="009A551F">
        <w:rPr>
          <w:rFonts w:ascii="Arial Narrow" w:hAnsi="Arial Narrow"/>
          <w:b/>
        </w:rPr>
        <w:t xml:space="preserve">, </w:t>
      </w:r>
      <w:r w:rsidRPr="009A551F">
        <w:rPr>
          <w:rFonts w:ascii="Arial Narrow" w:hAnsi="Arial Narrow"/>
        </w:rPr>
        <w:t>pri ktorom</w:t>
      </w:r>
      <w:r w:rsidRPr="009A551F">
        <w:rPr>
          <w:rFonts w:ascii="Arial Narrow" w:hAnsi="Arial Narrow"/>
          <w:b/>
        </w:rPr>
        <w:t xml:space="preserve"> </w:t>
      </w:r>
      <w:r w:rsidRPr="009A551F">
        <w:rPr>
          <w:rFonts w:ascii="Arial Narrow" w:hAnsi="Arial Narrow"/>
        </w:rPr>
        <w:t xml:space="preserve">každá nová regulácia s </w:t>
      </w:r>
      <w:r w:rsidR="00187AC8" w:rsidRPr="00187AC8">
        <w:rPr>
          <w:rFonts w:ascii="Arial Narrow" w:hAnsi="Arial Narrow"/>
        </w:rPr>
        <w:t>vyznačenými vplyvmi v niektorej z vyb</w:t>
      </w:r>
      <w:r w:rsidR="00187AC8">
        <w:rPr>
          <w:rFonts w:ascii="Arial Narrow" w:hAnsi="Arial Narrow"/>
        </w:rPr>
        <w:t xml:space="preserve">raných oblastí bude automaticky </w:t>
      </w:r>
      <w:r w:rsidR="00187AC8" w:rsidRPr="00187AC8">
        <w:rPr>
          <w:rFonts w:ascii="Arial Narrow" w:hAnsi="Arial Narrow"/>
        </w:rPr>
        <w:t>prehodnocovaná po určitej dobe od zavedenia (napr. po 3 rokoch).</w:t>
      </w:r>
      <w:r w:rsidR="009525B4">
        <w:br w:type="page"/>
      </w:r>
    </w:p>
    <w:p w14:paraId="3D392531" w14:textId="4A1C9658" w:rsidR="00827618" w:rsidRDefault="00827618" w:rsidP="00FB625E">
      <w:pPr>
        <w:pStyle w:val="Nadpis2"/>
        <w:numPr>
          <w:ilvl w:val="1"/>
          <w:numId w:val="1"/>
        </w:numPr>
        <w:spacing w:after="240" w:line="240" w:lineRule="auto"/>
        <w:jc w:val="both"/>
        <w:rPr>
          <w:rFonts w:ascii="Arial Narrow" w:hAnsi="Arial Narrow"/>
          <w:color w:val="2C9ADC"/>
          <w:sz w:val="32"/>
          <w:szCs w:val="28"/>
        </w:rPr>
      </w:pPr>
      <w:bookmarkStart w:id="71" w:name="_Toc386005377"/>
      <w:bookmarkStart w:id="72" w:name="_Toc477259958"/>
      <w:r w:rsidRPr="00256D89">
        <w:rPr>
          <w:rFonts w:ascii="Arial Narrow" w:hAnsi="Arial Narrow"/>
          <w:color w:val="2C9ADC"/>
          <w:sz w:val="32"/>
          <w:szCs w:val="28"/>
        </w:rPr>
        <w:lastRenderedPageBreak/>
        <w:t>Zdravie</w:t>
      </w:r>
      <w:bookmarkEnd w:id="71"/>
      <w:bookmarkEnd w:id="72"/>
    </w:p>
    <w:p w14:paraId="33A364A9" w14:textId="24EDCE5B" w:rsidR="004060CF" w:rsidRPr="00754136" w:rsidRDefault="000B05C2" w:rsidP="00FB625E">
      <w:pPr>
        <w:tabs>
          <w:tab w:val="left" w:pos="426"/>
        </w:tabs>
        <w:spacing w:after="0" w:line="240" w:lineRule="auto"/>
        <w:jc w:val="both"/>
        <w:rPr>
          <w:rFonts w:ascii="Arial Narrow" w:hAnsi="Arial Narrow"/>
          <w:i/>
        </w:rPr>
      </w:pPr>
      <w:r>
        <w:rPr>
          <w:rFonts w:ascii="Arial Narrow" w:hAnsi="Arial Narrow"/>
          <w:i/>
        </w:rPr>
        <w:t xml:space="preserve">Implementácia </w:t>
      </w:r>
      <w:r w:rsidR="00D47358">
        <w:rPr>
          <w:rFonts w:ascii="Arial Narrow" w:hAnsi="Arial Narrow"/>
          <w:i/>
        </w:rPr>
        <w:t xml:space="preserve">záverov </w:t>
      </w:r>
      <w:r>
        <w:rPr>
          <w:rFonts w:ascii="Arial Narrow" w:hAnsi="Arial Narrow"/>
          <w:i/>
        </w:rPr>
        <w:t xml:space="preserve">revízie výdavkov </w:t>
      </w:r>
      <w:r w:rsidR="00DD6E5F">
        <w:rPr>
          <w:rFonts w:ascii="Arial Narrow" w:hAnsi="Arial Narrow"/>
          <w:i/>
        </w:rPr>
        <w:t>z</w:t>
      </w:r>
      <w:r w:rsidR="00B47D05">
        <w:rPr>
          <w:rFonts w:ascii="Arial Narrow" w:hAnsi="Arial Narrow"/>
          <w:i/>
        </w:rPr>
        <w:t xml:space="preserve"> </w:t>
      </w:r>
      <w:r w:rsidR="00DD6E5F">
        <w:rPr>
          <w:rFonts w:ascii="Arial Narrow" w:hAnsi="Arial Narrow"/>
          <w:i/>
        </w:rPr>
        <w:t xml:space="preserve">roku 2016 </w:t>
      </w:r>
      <w:r>
        <w:rPr>
          <w:rFonts w:ascii="Arial Narrow" w:hAnsi="Arial Narrow"/>
          <w:i/>
        </w:rPr>
        <w:t xml:space="preserve">zvýši </w:t>
      </w:r>
      <w:r w:rsidR="00DD6E5F">
        <w:rPr>
          <w:rFonts w:ascii="Arial Narrow" w:hAnsi="Arial Narrow"/>
          <w:i/>
        </w:rPr>
        <w:t>efektívnosť výdavkov na zdravotníctvo.</w:t>
      </w:r>
      <w:r w:rsidR="00DD6E5F" w:rsidRPr="00DD6E5F">
        <w:rPr>
          <w:rFonts w:ascii="Arial Narrow" w:hAnsi="Arial Narrow"/>
          <w:i/>
        </w:rPr>
        <w:t xml:space="preserve"> </w:t>
      </w:r>
      <w:r w:rsidR="004B5FDB">
        <w:rPr>
          <w:rFonts w:ascii="Arial Narrow" w:hAnsi="Arial Narrow"/>
          <w:i/>
        </w:rPr>
        <w:t>Postupuje implementácia eHealth</w:t>
      </w:r>
      <w:r w:rsidR="00DD6E5F" w:rsidRPr="00754136">
        <w:rPr>
          <w:rFonts w:ascii="Arial Narrow" w:hAnsi="Arial Narrow"/>
          <w:i/>
        </w:rPr>
        <w:t xml:space="preserve">, </w:t>
      </w:r>
      <w:r w:rsidR="00BC1038">
        <w:rPr>
          <w:rFonts w:ascii="Arial Narrow" w:hAnsi="Arial Narrow"/>
          <w:i/>
        </w:rPr>
        <w:t xml:space="preserve">do </w:t>
      </w:r>
      <w:r w:rsidR="00DD6E5F" w:rsidRPr="00754136">
        <w:rPr>
          <w:rFonts w:ascii="Arial Narrow" w:hAnsi="Arial Narrow"/>
          <w:i/>
        </w:rPr>
        <w:t xml:space="preserve">ktorého </w:t>
      </w:r>
      <w:r w:rsidR="00BC1038">
        <w:rPr>
          <w:rFonts w:ascii="Arial Narrow" w:hAnsi="Arial Narrow"/>
          <w:i/>
        </w:rPr>
        <w:t>by mali byť od roku 2018 pripojení všetci poskytovatelia zdravotnej starostlivosti</w:t>
      </w:r>
      <w:r w:rsidR="00394780">
        <w:rPr>
          <w:rFonts w:ascii="Arial Narrow" w:hAnsi="Arial Narrow"/>
          <w:i/>
        </w:rPr>
        <w:t xml:space="preserve">. </w:t>
      </w:r>
      <w:r w:rsidR="004060CF" w:rsidRPr="00754136">
        <w:rPr>
          <w:rFonts w:ascii="Arial Narrow" w:hAnsi="Arial Narrow"/>
          <w:i/>
        </w:rPr>
        <w:t>Zavádza sa</w:t>
      </w:r>
      <w:r w:rsidR="0054440A" w:rsidRPr="00754136">
        <w:rPr>
          <w:rFonts w:ascii="Arial Narrow" w:hAnsi="Arial Narrow"/>
          <w:i/>
        </w:rPr>
        <w:t xml:space="preserve"> systém úhrad za diagnostickú skupinu (DRG). V roku 2017 bude mať DRG individuálne sadzby pre jednotlivé nemocnice, ktoré do roku 2022 </w:t>
      </w:r>
      <w:r w:rsidR="001A04B5">
        <w:rPr>
          <w:rFonts w:ascii="Arial Narrow" w:hAnsi="Arial Narrow"/>
          <w:i/>
        </w:rPr>
        <w:t>s</w:t>
      </w:r>
      <w:r w:rsidR="0054440A" w:rsidRPr="00754136">
        <w:rPr>
          <w:rFonts w:ascii="Arial Narrow" w:hAnsi="Arial Narrow"/>
          <w:i/>
        </w:rPr>
        <w:t xml:space="preserve">konvergujú k jednej celonárodnej sadzbe. </w:t>
      </w:r>
      <w:r w:rsidR="00633830">
        <w:rPr>
          <w:rFonts w:ascii="Arial Narrow" w:hAnsi="Arial Narrow"/>
          <w:i/>
        </w:rPr>
        <w:t>D</w:t>
      </w:r>
      <w:r w:rsidR="0054440A" w:rsidRPr="00754136">
        <w:rPr>
          <w:rFonts w:ascii="Arial Narrow" w:hAnsi="Arial Narrow"/>
          <w:i/>
        </w:rPr>
        <w:t>obuduje sa sieť centrálnych príjmov. Bude reorganizovaný systém pohotovostí a model kompetencií. Posilní sa transparentnosť a zavedú sa maximálne čakacie doby na ďalšie výkony aj v rámci ambulantnej starostlivosti.</w:t>
      </w:r>
    </w:p>
    <w:p w14:paraId="5F806C7C" w14:textId="77777777" w:rsidR="0054440A" w:rsidRPr="0054440A" w:rsidRDefault="0054440A" w:rsidP="00FB625E">
      <w:pPr>
        <w:tabs>
          <w:tab w:val="left" w:pos="426"/>
        </w:tabs>
        <w:spacing w:after="0" w:line="240" w:lineRule="auto"/>
        <w:jc w:val="both"/>
        <w:rPr>
          <w:rFonts w:ascii="Arial Narrow" w:hAnsi="Arial Narrow"/>
          <w:i/>
        </w:rPr>
      </w:pPr>
    </w:p>
    <w:tbl>
      <w:tblPr>
        <w:tblW w:w="8624" w:type="dxa"/>
        <w:jc w:val="center"/>
        <w:tblCellMar>
          <w:left w:w="70" w:type="dxa"/>
          <w:right w:w="70" w:type="dxa"/>
        </w:tblCellMar>
        <w:tblLook w:val="04A0" w:firstRow="1" w:lastRow="0" w:firstColumn="1" w:lastColumn="0" w:noHBand="0" w:noVBand="1"/>
      </w:tblPr>
      <w:tblGrid>
        <w:gridCol w:w="2642"/>
        <w:gridCol w:w="437"/>
        <w:gridCol w:w="599"/>
        <w:gridCol w:w="598"/>
        <w:gridCol w:w="598"/>
        <w:gridCol w:w="598"/>
        <w:gridCol w:w="598"/>
        <w:gridCol w:w="598"/>
        <w:gridCol w:w="598"/>
        <w:gridCol w:w="679"/>
        <w:gridCol w:w="679"/>
      </w:tblGrid>
      <w:tr w:rsidR="00BF2174" w:rsidRPr="0060773C" w14:paraId="54815181" w14:textId="77777777" w:rsidTr="00BF2174">
        <w:trPr>
          <w:trHeight w:val="373"/>
          <w:jc w:val="center"/>
        </w:trPr>
        <w:tc>
          <w:tcPr>
            <w:tcW w:w="7278" w:type="dxa"/>
            <w:gridSpan w:val="11"/>
            <w:tcBorders>
              <w:top w:val="nil"/>
              <w:left w:val="nil"/>
              <w:bottom w:val="nil"/>
              <w:right w:val="nil"/>
            </w:tcBorders>
            <w:vAlign w:val="center"/>
          </w:tcPr>
          <w:p w14:paraId="090D0B90" w14:textId="23A79B8F" w:rsidR="00BF2174" w:rsidRPr="000E039C" w:rsidRDefault="00BF2174" w:rsidP="00FB625E">
            <w:pPr>
              <w:spacing w:after="0" w:line="240" w:lineRule="auto"/>
              <w:rPr>
                <w:rFonts w:ascii="Arial Narrow" w:hAnsi="Arial Narrow"/>
                <w:b/>
                <w:bCs/>
                <w:color w:val="2C9ADC"/>
                <w:sz w:val="20"/>
                <w:szCs w:val="20"/>
              </w:rPr>
            </w:pPr>
            <w:r w:rsidRPr="000E039C">
              <w:rPr>
                <w:rFonts w:ascii="Arial Narrow" w:hAnsi="Arial Narrow"/>
                <w:b/>
                <w:bCs/>
                <w:color w:val="2C9ADC"/>
                <w:sz w:val="20"/>
                <w:szCs w:val="20"/>
              </w:rPr>
              <w:t>Výsledkový indikátor pre zdravie</w:t>
            </w:r>
          </w:p>
        </w:tc>
      </w:tr>
      <w:tr w:rsidR="00BF2174" w:rsidRPr="0060773C" w14:paraId="33994405" w14:textId="77777777" w:rsidTr="00BF2174">
        <w:trPr>
          <w:trHeight w:val="436"/>
          <w:jc w:val="center"/>
        </w:trPr>
        <w:tc>
          <w:tcPr>
            <w:tcW w:w="2229" w:type="dxa"/>
            <w:tcBorders>
              <w:top w:val="single" w:sz="4" w:space="0" w:color="auto"/>
              <w:left w:val="nil"/>
              <w:bottom w:val="single" w:sz="4" w:space="0" w:color="auto"/>
              <w:right w:val="nil"/>
            </w:tcBorders>
            <w:shd w:val="clear" w:color="auto" w:fill="auto"/>
            <w:vAlign w:val="center"/>
            <w:hideMark/>
          </w:tcPr>
          <w:p w14:paraId="00209291"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 </w:t>
            </w:r>
          </w:p>
        </w:tc>
        <w:tc>
          <w:tcPr>
            <w:tcW w:w="368" w:type="dxa"/>
            <w:tcBorders>
              <w:top w:val="single" w:sz="4" w:space="0" w:color="auto"/>
              <w:left w:val="nil"/>
              <w:bottom w:val="single" w:sz="4" w:space="0" w:color="auto"/>
              <w:right w:val="nil"/>
            </w:tcBorders>
            <w:shd w:val="clear" w:color="auto" w:fill="auto"/>
            <w:noWrap/>
            <w:vAlign w:val="center"/>
            <w:hideMark/>
          </w:tcPr>
          <w:p w14:paraId="7CA369D6"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 </w:t>
            </w:r>
          </w:p>
        </w:tc>
        <w:tc>
          <w:tcPr>
            <w:tcW w:w="505" w:type="dxa"/>
            <w:tcBorders>
              <w:top w:val="single" w:sz="4" w:space="0" w:color="auto"/>
              <w:left w:val="nil"/>
              <w:bottom w:val="single" w:sz="4" w:space="0" w:color="auto"/>
              <w:right w:val="nil"/>
            </w:tcBorders>
            <w:shd w:val="clear" w:color="auto" w:fill="auto"/>
            <w:noWrap/>
            <w:vAlign w:val="center"/>
          </w:tcPr>
          <w:p w14:paraId="18963CF6"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2008</w:t>
            </w:r>
          </w:p>
        </w:tc>
        <w:tc>
          <w:tcPr>
            <w:tcW w:w="505" w:type="dxa"/>
            <w:tcBorders>
              <w:top w:val="single" w:sz="4" w:space="0" w:color="auto"/>
              <w:left w:val="nil"/>
              <w:bottom w:val="single" w:sz="4" w:space="0" w:color="auto"/>
              <w:right w:val="nil"/>
            </w:tcBorders>
            <w:shd w:val="clear" w:color="auto" w:fill="auto"/>
            <w:vAlign w:val="center"/>
            <w:hideMark/>
          </w:tcPr>
          <w:p w14:paraId="56AD611D"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2009</w:t>
            </w:r>
          </w:p>
        </w:tc>
        <w:tc>
          <w:tcPr>
            <w:tcW w:w="505" w:type="dxa"/>
            <w:tcBorders>
              <w:top w:val="single" w:sz="4" w:space="0" w:color="auto"/>
              <w:left w:val="nil"/>
              <w:bottom w:val="single" w:sz="4" w:space="0" w:color="auto"/>
              <w:right w:val="nil"/>
            </w:tcBorders>
            <w:shd w:val="clear" w:color="auto" w:fill="auto"/>
            <w:vAlign w:val="center"/>
            <w:hideMark/>
          </w:tcPr>
          <w:p w14:paraId="547374C5"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2010</w:t>
            </w:r>
          </w:p>
        </w:tc>
        <w:tc>
          <w:tcPr>
            <w:tcW w:w="505" w:type="dxa"/>
            <w:tcBorders>
              <w:top w:val="single" w:sz="4" w:space="0" w:color="auto"/>
              <w:left w:val="nil"/>
              <w:bottom w:val="single" w:sz="4" w:space="0" w:color="auto"/>
              <w:right w:val="nil"/>
            </w:tcBorders>
            <w:shd w:val="clear" w:color="auto" w:fill="auto"/>
            <w:vAlign w:val="center"/>
            <w:hideMark/>
          </w:tcPr>
          <w:p w14:paraId="6C537E3C"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2011</w:t>
            </w:r>
          </w:p>
        </w:tc>
        <w:tc>
          <w:tcPr>
            <w:tcW w:w="505" w:type="dxa"/>
            <w:tcBorders>
              <w:top w:val="single" w:sz="4" w:space="0" w:color="auto"/>
              <w:left w:val="nil"/>
              <w:bottom w:val="single" w:sz="4" w:space="0" w:color="auto"/>
              <w:right w:val="nil"/>
            </w:tcBorders>
            <w:shd w:val="clear" w:color="auto" w:fill="auto"/>
            <w:vAlign w:val="center"/>
            <w:hideMark/>
          </w:tcPr>
          <w:p w14:paraId="5A1EA760"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2012</w:t>
            </w:r>
          </w:p>
        </w:tc>
        <w:tc>
          <w:tcPr>
            <w:tcW w:w="505" w:type="dxa"/>
            <w:tcBorders>
              <w:top w:val="single" w:sz="4" w:space="0" w:color="auto"/>
              <w:left w:val="nil"/>
              <w:bottom w:val="single" w:sz="4" w:space="0" w:color="auto"/>
              <w:right w:val="nil"/>
            </w:tcBorders>
            <w:shd w:val="clear" w:color="auto" w:fill="auto"/>
            <w:vAlign w:val="center"/>
            <w:hideMark/>
          </w:tcPr>
          <w:p w14:paraId="6507F726"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2013</w:t>
            </w:r>
          </w:p>
        </w:tc>
        <w:tc>
          <w:tcPr>
            <w:tcW w:w="505" w:type="dxa"/>
            <w:tcBorders>
              <w:top w:val="single" w:sz="4" w:space="0" w:color="auto"/>
              <w:left w:val="nil"/>
              <w:bottom w:val="single" w:sz="4" w:space="0" w:color="auto"/>
              <w:right w:val="nil"/>
            </w:tcBorders>
            <w:shd w:val="clear" w:color="auto" w:fill="auto"/>
            <w:vAlign w:val="center"/>
            <w:hideMark/>
          </w:tcPr>
          <w:p w14:paraId="7DA14E82"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2014</w:t>
            </w:r>
          </w:p>
        </w:tc>
        <w:tc>
          <w:tcPr>
            <w:tcW w:w="573" w:type="dxa"/>
            <w:tcBorders>
              <w:top w:val="single" w:sz="4" w:space="0" w:color="auto"/>
              <w:left w:val="nil"/>
              <w:bottom w:val="single" w:sz="4" w:space="0" w:color="auto"/>
              <w:right w:val="nil"/>
            </w:tcBorders>
            <w:vAlign w:val="center"/>
          </w:tcPr>
          <w:p w14:paraId="6B47584C" w14:textId="4B25A85B" w:rsidR="00BF2174" w:rsidRPr="0034152A" w:rsidRDefault="00BF2174" w:rsidP="00FB625E">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2015</w:t>
            </w:r>
          </w:p>
        </w:tc>
        <w:tc>
          <w:tcPr>
            <w:tcW w:w="573" w:type="dxa"/>
            <w:tcBorders>
              <w:top w:val="single" w:sz="4" w:space="0" w:color="auto"/>
              <w:left w:val="nil"/>
              <w:bottom w:val="single" w:sz="4" w:space="0" w:color="auto"/>
              <w:right w:val="nil"/>
            </w:tcBorders>
            <w:shd w:val="clear" w:color="auto" w:fill="auto"/>
            <w:vAlign w:val="center"/>
            <w:hideMark/>
          </w:tcPr>
          <w:p w14:paraId="304DCC09" w14:textId="69CCA79E"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Cieľ 2020</w:t>
            </w:r>
          </w:p>
        </w:tc>
      </w:tr>
      <w:tr w:rsidR="00BF2174" w:rsidRPr="0060773C" w14:paraId="5095A4C4" w14:textId="77777777" w:rsidTr="00BF2174">
        <w:trPr>
          <w:trHeight w:val="373"/>
          <w:jc w:val="center"/>
        </w:trPr>
        <w:tc>
          <w:tcPr>
            <w:tcW w:w="2229" w:type="dxa"/>
            <w:tcBorders>
              <w:top w:val="nil"/>
              <w:left w:val="nil"/>
              <w:bottom w:val="nil"/>
              <w:right w:val="nil"/>
            </w:tcBorders>
            <w:shd w:val="clear" w:color="auto" w:fill="auto"/>
            <w:noWrap/>
            <w:vAlign w:val="center"/>
            <w:hideMark/>
          </w:tcPr>
          <w:p w14:paraId="19D349FD" w14:textId="77777777" w:rsidR="00BF2174" w:rsidRPr="0034152A" w:rsidRDefault="00BF2174" w:rsidP="00FB625E">
            <w:pPr>
              <w:spacing w:after="0" w:line="240" w:lineRule="auto"/>
              <w:rPr>
                <w:rFonts w:ascii="Arial Narrow" w:hAnsi="Arial Narrow"/>
                <w:b/>
                <w:bCs/>
                <w:color w:val="000000"/>
                <w:sz w:val="20"/>
                <w:szCs w:val="20"/>
              </w:rPr>
            </w:pPr>
            <w:r w:rsidRPr="0034152A">
              <w:rPr>
                <w:rFonts w:ascii="Arial Narrow" w:hAnsi="Arial Narrow"/>
                <w:b/>
                <w:bCs/>
                <w:color w:val="000000"/>
                <w:sz w:val="20"/>
                <w:szCs w:val="20"/>
              </w:rPr>
              <w:t>Roky zdravého života</w:t>
            </w:r>
          </w:p>
        </w:tc>
        <w:tc>
          <w:tcPr>
            <w:tcW w:w="368" w:type="dxa"/>
            <w:tcBorders>
              <w:top w:val="nil"/>
              <w:left w:val="nil"/>
              <w:bottom w:val="nil"/>
              <w:right w:val="nil"/>
            </w:tcBorders>
            <w:shd w:val="clear" w:color="auto" w:fill="auto"/>
            <w:noWrap/>
            <w:vAlign w:val="center"/>
            <w:hideMark/>
          </w:tcPr>
          <w:p w14:paraId="59CA1E0A"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SK</w:t>
            </w:r>
          </w:p>
        </w:tc>
        <w:tc>
          <w:tcPr>
            <w:tcW w:w="505" w:type="dxa"/>
            <w:tcBorders>
              <w:top w:val="nil"/>
              <w:left w:val="nil"/>
              <w:bottom w:val="nil"/>
              <w:right w:val="nil"/>
            </w:tcBorders>
            <w:shd w:val="clear" w:color="auto" w:fill="auto"/>
            <w:vAlign w:val="center"/>
          </w:tcPr>
          <w:p w14:paraId="079F6B20" w14:textId="6AFA6AE2"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52,3</w:t>
            </w:r>
          </w:p>
        </w:tc>
        <w:tc>
          <w:tcPr>
            <w:tcW w:w="505" w:type="dxa"/>
            <w:tcBorders>
              <w:top w:val="nil"/>
              <w:left w:val="nil"/>
              <w:bottom w:val="nil"/>
              <w:right w:val="nil"/>
            </w:tcBorders>
            <w:shd w:val="clear" w:color="auto" w:fill="auto"/>
            <w:vAlign w:val="center"/>
            <w:hideMark/>
          </w:tcPr>
          <w:p w14:paraId="09DD5616" w14:textId="6490A67A"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52,5</w:t>
            </w:r>
          </w:p>
        </w:tc>
        <w:tc>
          <w:tcPr>
            <w:tcW w:w="505" w:type="dxa"/>
            <w:tcBorders>
              <w:top w:val="nil"/>
              <w:left w:val="nil"/>
              <w:bottom w:val="nil"/>
              <w:right w:val="nil"/>
            </w:tcBorders>
            <w:shd w:val="clear" w:color="auto" w:fill="auto"/>
            <w:vAlign w:val="center"/>
            <w:hideMark/>
          </w:tcPr>
          <w:p w14:paraId="0B3C4AF5" w14:textId="3348D01F"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52,2</w:t>
            </w:r>
          </w:p>
        </w:tc>
        <w:tc>
          <w:tcPr>
            <w:tcW w:w="505" w:type="dxa"/>
            <w:tcBorders>
              <w:top w:val="nil"/>
              <w:left w:val="nil"/>
              <w:bottom w:val="nil"/>
              <w:right w:val="nil"/>
            </w:tcBorders>
            <w:shd w:val="clear" w:color="auto" w:fill="auto"/>
            <w:vAlign w:val="center"/>
            <w:hideMark/>
          </w:tcPr>
          <w:p w14:paraId="23145EFD" w14:textId="3DA559C4"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52,2</w:t>
            </w:r>
          </w:p>
        </w:tc>
        <w:tc>
          <w:tcPr>
            <w:tcW w:w="505" w:type="dxa"/>
            <w:tcBorders>
              <w:top w:val="nil"/>
              <w:left w:val="nil"/>
              <w:bottom w:val="nil"/>
              <w:right w:val="nil"/>
            </w:tcBorders>
            <w:shd w:val="clear" w:color="auto" w:fill="auto"/>
            <w:vAlign w:val="center"/>
            <w:hideMark/>
          </w:tcPr>
          <w:p w14:paraId="5F8CDC69" w14:textId="1E4EEE93"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53,3</w:t>
            </w:r>
          </w:p>
        </w:tc>
        <w:tc>
          <w:tcPr>
            <w:tcW w:w="505" w:type="dxa"/>
            <w:tcBorders>
              <w:top w:val="nil"/>
              <w:left w:val="nil"/>
              <w:bottom w:val="nil"/>
              <w:right w:val="nil"/>
            </w:tcBorders>
            <w:shd w:val="clear" w:color="auto" w:fill="auto"/>
            <w:vAlign w:val="center"/>
            <w:hideMark/>
          </w:tcPr>
          <w:p w14:paraId="39F09371" w14:textId="46586865"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54,4</w:t>
            </w:r>
          </w:p>
        </w:tc>
        <w:tc>
          <w:tcPr>
            <w:tcW w:w="505" w:type="dxa"/>
            <w:tcBorders>
              <w:top w:val="nil"/>
              <w:left w:val="nil"/>
              <w:bottom w:val="nil"/>
              <w:right w:val="nil"/>
            </w:tcBorders>
            <w:shd w:val="clear" w:color="auto" w:fill="auto"/>
            <w:vAlign w:val="center"/>
            <w:hideMark/>
          </w:tcPr>
          <w:p w14:paraId="5D553416" w14:textId="357AB4D8"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55,1</w:t>
            </w:r>
          </w:p>
        </w:tc>
        <w:tc>
          <w:tcPr>
            <w:tcW w:w="573" w:type="dxa"/>
            <w:tcBorders>
              <w:top w:val="nil"/>
              <w:left w:val="nil"/>
              <w:bottom w:val="nil"/>
              <w:right w:val="nil"/>
            </w:tcBorders>
            <w:vAlign w:val="center"/>
          </w:tcPr>
          <w:p w14:paraId="210F2861" w14:textId="7EB87D67" w:rsidR="00BF2174" w:rsidRPr="0034152A" w:rsidRDefault="00BF2174" w:rsidP="00FB625E">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73" w:type="dxa"/>
            <w:tcBorders>
              <w:top w:val="nil"/>
              <w:left w:val="nil"/>
              <w:bottom w:val="nil"/>
              <w:right w:val="nil"/>
            </w:tcBorders>
            <w:shd w:val="clear" w:color="auto" w:fill="auto"/>
            <w:vAlign w:val="center"/>
            <w:hideMark/>
          </w:tcPr>
          <w:p w14:paraId="28BC0842" w14:textId="2B135E23"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60,0</w:t>
            </w:r>
          </w:p>
        </w:tc>
      </w:tr>
      <w:tr w:rsidR="00BF2174" w:rsidRPr="0060773C" w14:paraId="189CA176" w14:textId="77777777" w:rsidTr="00BF2174">
        <w:trPr>
          <w:trHeight w:val="373"/>
          <w:jc w:val="center"/>
        </w:trPr>
        <w:tc>
          <w:tcPr>
            <w:tcW w:w="2229" w:type="dxa"/>
            <w:tcBorders>
              <w:top w:val="nil"/>
              <w:left w:val="nil"/>
              <w:bottom w:val="single" w:sz="4" w:space="0" w:color="auto"/>
              <w:right w:val="nil"/>
            </w:tcBorders>
            <w:shd w:val="clear" w:color="auto" w:fill="auto"/>
            <w:noWrap/>
            <w:vAlign w:val="center"/>
            <w:hideMark/>
          </w:tcPr>
          <w:p w14:paraId="17DED669" w14:textId="77777777" w:rsidR="00BF2174" w:rsidRPr="0034152A" w:rsidRDefault="00BF2174" w:rsidP="00FB625E">
            <w:pPr>
              <w:spacing w:after="0" w:line="240" w:lineRule="auto"/>
              <w:jc w:val="both"/>
              <w:rPr>
                <w:rFonts w:ascii="Arial Narrow" w:hAnsi="Arial Narrow"/>
                <w:color w:val="000000"/>
                <w:sz w:val="20"/>
                <w:szCs w:val="20"/>
              </w:rPr>
            </w:pPr>
            <w:r w:rsidRPr="0034152A">
              <w:rPr>
                <w:rFonts w:ascii="Arial Narrow" w:hAnsi="Arial Narrow"/>
                <w:color w:val="000000"/>
                <w:sz w:val="20"/>
                <w:szCs w:val="20"/>
              </w:rPr>
              <w:t>(očakávaný počet rokov pri narodení)</w:t>
            </w:r>
          </w:p>
        </w:tc>
        <w:tc>
          <w:tcPr>
            <w:tcW w:w="368" w:type="dxa"/>
            <w:tcBorders>
              <w:top w:val="nil"/>
              <w:left w:val="nil"/>
              <w:bottom w:val="single" w:sz="4" w:space="0" w:color="auto"/>
              <w:right w:val="nil"/>
            </w:tcBorders>
            <w:shd w:val="clear" w:color="auto" w:fill="auto"/>
            <w:noWrap/>
            <w:vAlign w:val="center"/>
            <w:hideMark/>
          </w:tcPr>
          <w:p w14:paraId="5AD44080" w14:textId="77777777" w:rsidR="00BF2174" w:rsidRPr="0034152A" w:rsidRDefault="00BF2174" w:rsidP="00FB625E">
            <w:pPr>
              <w:spacing w:after="0" w:line="240" w:lineRule="auto"/>
              <w:jc w:val="center"/>
              <w:rPr>
                <w:rFonts w:ascii="Arial Narrow" w:hAnsi="Arial Narrow"/>
                <w:b/>
                <w:bCs/>
                <w:color w:val="000000"/>
                <w:sz w:val="20"/>
                <w:szCs w:val="20"/>
              </w:rPr>
            </w:pPr>
            <w:r w:rsidRPr="0034152A">
              <w:rPr>
                <w:rFonts w:ascii="Arial Narrow" w:hAnsi="Arial Narrow"/>
                <w:b/>
                <w:bCs/>
                <w:color w:val="000000"/>
                <w:sz w:val="20"/>
                <w:szCs w:val="20"/>
              </w:rPr>
              <w:t>EÚ</w:t>
            </w:r>
          </w:p>
        </w:tc>
        <w:tc>
          <w:tcPr>
            <w:tcW w:w="505" w:type="dxa"/>
            <w:tcBorders>
              <w:top w:val="nil"/>
              <w:left w:val="nil"/>
              <w:bottom w:val="single" w:sz="4" w:space="0" w:color="auto"/>
              <w:right w:val="nil"/>
            </w:tcBorders>
            <w:shd w:val="clear" w:color="auto" w:fill="auto"/>
            <w:vAlign w:val="center"/>
          </w:tcPr>
          <w:p w14:paraId="179C877F" w14:textId="48E9C00E"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61,7</w:t>
            </w:r>
          </w:p>
        </w:tc>
        <w:tc>
          <w:tcPr>
            <w:tcW w:w="505" w:type="dxa"/>
            <w:tcBorders>
              <w:top w:val="nil"/>
              <w:left w:val="nil"/>
              <w:bottom w:val="single" w:sz="4" w:space="0" w:color="auto"/>
              <w:right w:val="nil"/>
            </w:tcBorders>
            <w:shd w:val="clear" w:color="auto" w:fill="auto"/>
            <w:vAlign w:val="center"/>
            <w:hideMark/>
          </w:tcPr>
          <w:p w14:paraId="6B06D1A0" w14:textId="386D8FCF"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61,7</w:t>
            </w:r>
          </w:p>
        </w:tc>
        <w:tc>
          <w:tcPr>
            <w:tcW w:w="505" w:type="dxa"/>
            <w:tcBorders>
              <w:top w:val="nil"/>
              <w:left w:val="nil"/>
              <w:bottom w:val="single" w:sz="4" w:space="0" w:color="auto"/>
              <w:right w:val="nil"/>
            </w:tcBorders>
            <w:shd w:val="clear" w:color="auto" w:fill="auto"/>
            <w:vAlign w:val="center"/>
            <w:hideMark/>
          </w:tcPr>
          <w:p w14:paraId="7FA4D3B1" w14:textId="5AB70916"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62,2</w:t>
            </w:r>
          </w:p>
        </w:tc>
        <w:tc>
          <w:tcPr>
            <w:tcW w:w="505" w:type="dxa"/>
            <w:tcBorders>
              <w:top w:val="nil"/>
              <w:left w:val="nil"/>
              <w:bottom w:val="single" w:sz="4" w:space="0" w:color="auto"/>
              <w:right w:val="nil"/>
            </w:tcBorders>
            <w:shd w:val="clear" w:color="auto" w:fill="auto"/>
            <w:vAlign w:val="center"/>
            <w:hideMark/>
          </w:tcPr>
          <w:p w14:paraId="715A3525" w14:textId="67FA3E04"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61,9</w:t>
            </w:r>
          </w:p>
        </w:tc>
        <w:tc>
          <w:tcPr>
            <w:tcW w:w="505" w:type="dxa"/>
            <w:tcBorders>
              <w:top w:val="nil"/>
              <w:left w:val="nil"/>
              <w:bottom w:val="single" w:sz="4" w:space="0" w:color="auto"/>
              <w:right w:val="nil"/>
            </w:tcBorders>
            <w:shd w:val="clear" w:color="auto" w:fill="auto"/>
            <w:vAlign w:val="center"/>
            <w:hideMark/>
          </w:tcPr>
          <w:p w14:paraId="2CB5B26C" w14:textId="140B3B63"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61,8</w:t>
            </w:r>
          </w:p>
        </w:tc>
        <w:tc>
          <w:tcPr>
            <w:tcW w:w="505" w:type="dxa"/>
            <w:tcBorders>
              <w:top w:val="nil"/>
              <w:left w:val="nil"/>
              <w:bottom w:val="single" w:sz="4" w:space="0" w:color="auto"/>
              <w:right w:val="nil"/>
            </w:tcBorders>
            <w:shd w:val="clear" w:color="auto" w:fill="auto"/>
            <w:vAlign w:val="center"/>
            <w:hideMark/>
          </w:tcPr>
          <w:p w14:paraId="518A94F4" w14:textId="163F5F73"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61,5</w:t>
            </w:r>
          </w:p>
        </w:tc>
        <w:tc>
          <w:tcPr>
            <w:tcW w:w="505" w:type="dxa"/>
            <w:tcBorders>
              <w:top w:val="nil"/>
              <w:left w:val="nil"/>
              <w:bottom w:val="single" w:sz="4" w:space="0" w:color="auto"/>
              <w:right w:val="nil"/>
            </w:tcBorders>
            <w:shd w:val="clear" w:color="auto" w:fill="auto"/>
            <w:vAlign w:val="center"/>
            <w:hideMark/>
          </w:tcPr>
          <w:p w14:paraId="4C812590" w14:textId="0BA21344"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61,7</w:t>
            </w:r>
          </w:p>
        </w:tc>
        <w:tc>
          <w:tcPr>
            <w:tcW w:w="573" w:type="dxa"/>
            <w:tcBorders>
              <w:top w:val="nil"/>
              <w:left w:val="nil"/>
              <w:bottom w:val="single" w:sz="4" w:space="0" w:color="auto"/>
              <w:right w:val="nil"/>
            </w:tcBorders>
            <w:vAlign w:val="center"/>
          </w:tcPr>
          <w:p w14:paraId="7C8310BA" w14:textId="06AFCA2A" w:rsidR="00BF2174" w:rsidRPr="0034152A" w:rsidRDefault="00BF2174" w:rsidP="00FB625E">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73" w:type="dxa"/>
            <w:tcBorders>
              <w:top w:val="nil"/>
              <w:left w:val="nil"/>
              <w:bottom w:val="single" w:sz="4" w:space="0" w:color="auto"/>
              <w:right w:val="nil"/>
            </w:tcBorders>
            <w:shd w:val="clear" w:color="auto" w:fill="auto"/>
            <w:vAlign w:val="center"/>
            <w:hideMark/>
          </w:tcPr>
          <w:p w14:paraId="118AE5C0" w14:textId="5D8CC589" w:rsidR="00BF2174" w:rsidRPr="0034152A" w:rsidRDefault="00BF2174" w:rsidP="00FB625E">
            <w:pPr>
              <w:spacing w:after="0" w:line="240" w:lineRule="auto"/>
              <w:jc w:val="center"/>
              <w:rPr>
                <w:rFonts w:ascii="Arial Narrow" w:hAnsi="Arial Narrow"/>
                <w:color w:val="000000"/>
                <w:sz w:val="20"/>
                <w:szCs w:val="20"/>
              </w:rPr>
            </w:pPr>
            <w:r w:rsidRPr="0034152A">
              <w:rPr>
                <w:rFonts w:ascii="Arial Narrow" w:hAnsi="Arial Narrow"/>
                <w:color w:val="000000"/>
                <w:sz w:val="20"/>
                <w:szCs w:val="20"/>
              </w:rPr>
              <w:t xml:space="preserve"> - </w:t>
            </w:r>
          </w:p>
        </w:tc>
      </w:tr>
    </w:tbl>
    <w:p w14:paraId="4BEAF3DF" w14:textId="77777777" w:rsidR="000E039C" w:rsidRDefault="000E039C" w:rsidP="00FB625E">
      <w:pPr>
        <w:pStyle w:val="Odsekzoznamu"/>
        <w:tabs>
          <w:tab w:val="left" w:pos="426"/>
        </w:tabs>
        <w:spacing w:after="0" w:line="240" w:lineRule="auto"/>
        <w:ind w:left="0"/>
        <w:jc w:val="both"/>
        <w:rPr>
          <w:rFonts w:ascii="Arial Narrow" w:hAnsi="Arial Narrow"/>
          <w:i/>
        </w:rPr>
      </w:pPr>
    </w:p>
    <w:p w14:paraId="0F9AA135" w14:textId="7DBE4AA8" w:rsidR="000E039C" w:rsidRDefault="000E039C" w:rsidP="00FB625E">
      <w:pPr>
        <w:spacing w:after="0" w:line="240" w:lineRule="auto"/>
        <w:jc w:val="both"/>
        <w:rPr>
          <w:rFonts w:ascii="Arial Narrow" w:hAnsi="Arial Narrow"/>
        </w:rPr>
      </w:pPr>
      <w:r>
        <w:rPr>
          <w:rFonts w:ascii="Arial Narrow" w:hAnsi="Arial Narrow"/>
        </w:rPr>
        <w:t xml:space="preserve">Zdravie obyvateľov ovplyvňuje nielen individuálnu kvalitu života ale aj ekonomický a sociálny rozvoj. </w:t>
      </w:r>
      <w:r w:rsidRPr="004426E5">
        <w:rPr>
          <w:rFonts w:ascii="Arial Narrow" w:hAnsi="Arial Narrow"/>
        </w:rPr>
        <w:t>F</w:t>
      </w:r>
      <w:r>
        <w:rPr>
          <w:rFonts w:ascii="Arial Narrow" w:hAnsi="Arial Narrow"/>
        </w:rPr>
        <w:t>ungujúce zdravotníctvo patrí medzí priority hospodársky vyspelých krajín a predstavuje jednu z najväčších výdavkových položiek. V kontexte starnutia populácie sa očakáva ďalší nárast výdavkov, preto je veľmi dôležité ich efektívne vynaklada</w:t>
      </w:r>
      <w:r w:rsidR="007E4A68">
        <w:rPr>
          <w:rFonts w:ascii="Arial Narrow" w:hAnsi="Arial Narrow"/>
        </w:rPr>
        <w:t xml:space="preserve">nie. Od roku 2010 si Slovensko </w:t>
      </w:r>
      <w:r>
        <w:rPr>
          <w:rFonts w:ascii="Arial Narrow" w:hAnsi="Arial Narrow"/>
        </w:rPr>
        <w:t>udržiava stabilnú úroveň verejných výdavkov na zdravotníctvo, 5,6 % HDP. Podiel výdavkov na HDP je nižší ako priemer OECD (o 1 p.</w:t>
      </w:r>
      <w:r w:rsidR="0053290F">
        <w:rPr>
          <w:rFonts w:ascii="Arial Narrow" w:hAnsi="Arial Narrow"/>
        </w:rPr>
        <w:t xml:space="preserve"> </w:t>
      </w:r>
      <w:r>
        <w:rPr>
          <w:rFonts w:ascii="Arial Narrow" w:hAnsi="Arial Narrow"/>
        </w:rPr>
        <w:t xml:space="preserve">b., 2015), dlhodobo ale prekračuje priemer krajín V3 (o 0,4 p.b., 2015). </w:t>
      </w:r>
    </w:p>
    <w:p w14:paraId="3A273703" w14:textId="77777777" w:rsidR="000E039C" w:rsidRDefault="000E039C" w:rsidP="00FB625E">
      <w:pPr>
        <w:spacing w:after="0" w:line="240" w:lineRule="auto"/>
        <w:jc w:val="both"/>
        <w:rPr>
          <w:rFonts w:ascii="Arial Narrow" w:hAnsi="Arial Narrow"/>
        </w:rPr>
      </w:pPr>
    </w:p>
    <w:tbl>
      <w:tblPr>
        <w:tblW w:w="4946"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091"/>
        <w:gridCol w:w="169"/>
        <w:gridCol w:w="4212"/>
      </w:tblGrid>
      <w:tr w:rsidR="000E039C" w:rsidRPr="00C307B8" w14:paraId="50280229" w14:textId="77777777" w:rsidTr="00866CF9">
        <w:trPr>
          <w:trHeight w:val="495"/>
          <w:jc w:val="center"/>
        </w:trPr>
        <w:tc>
          <w:tcPr>
            <w:tcW w:w="4091" w:type="dxa"/>
            <w:tcBorders>
              <w:top w:val="nil"/>
              <w:left w:val="nil"/>
              <w:bottom w:val="single" w:sz="4" w:space="0" w:color="auto"/>
              <w:right w:val="nil"/>
            </w:tcBorders>
            <w:vAlign w:val="center"/>
          </w:tcPr>
          <w:p w14:paraId="0D762FE1" w14:textId="5A2F82EE" w:rsidR="000E039C" w:rsidRPr="00A9370D" w:rsidRDefault="004D15CC" w:rsidP="00FB625E">
            <w:pPr>
              <w:pStyle w:val="Popis"/>
              <w:rPr>
                <w:rFonts w:cs="Arial"/>
              </w:rPr>
            </w:pPr>
            <w:bookmarkStart w:id="73" w:name="_Toc478656332"/>
            <w:r w:rsidRPr="00256D89">
              <w:t xml:space="preserve">Graf </w:t>
            </w:r>
            <w:fldSimple w:instr=" SEQ Graf \* ARABIC ">
              <w:r w:rsidR="002E71B2">
                <w:rPr>
                  <w:noProof/>
                </w:rPr>
                <w:t>29</w:t>
              </w:r>
            </w:fldSimple>
            <w:r w:rsidRPr="00256D89">
              <w:t xml:space="preserve">: </w:t>
            </w:r>
            <w:r w:rsidR="000E039C" w:rsidRPr="004852D5">
              <w:rPr>
                <w:rFonts w:cs="Arial"/>
              </w:rPr>
              <w:t>V</w:t>
            </w:r>
            <w:r w:rsidR="000E039C">
              <w:rPr>
                <w:rFonts w:cs="Arial"/>
              </w:rPr>
              <w:t xml:space="preserve">erejné výdavky na zdravotníctvo, 2015 </w:t>
            </w:r>
            <w:r w:rsidR="000E039C" w:rsidRPr="004852D5">
              <w:rPr>
                <w:rFonts w:cs="Arial"/>
              </w:rPr>
              <w:t>(podiel na HDP)</w:t>
            </w:r>
            <w:bookmarkEnd w:id="73"/>
          </w:p>
        </w:tc>
        <w:tc>
          <w:tcPr>
            <w:tcW w:w="169" w:type="dxa"/>
            <w:tcBorders>
              <w:top w:val="nil"/>
              <w:left w:val="nil"/>
              <w:bottom w:val="nil"/>
              <w:right w:val="nil"/>
            </w:tcBorders>
            <w:vAlign w:val="center"/>
          </w:tcPr>
          <w:p w14:paraId="0A1790A6" w14:textId="77777777" w:rsidR="000E039C" w:rsidRPr="00D02296" w:rsidRDefault="000E039C" w:rsidP="00FB625E">
            <w:pPr>
              <w:spacing w:after="0" w:line="240" w:lineRule="auto"/>
              <w:jc w:val="center"/>
              <w:rPr>
                <w:rFonts w:ascii="Arial Narrow" w:hAnsi="Arial Narrow" w:cs="Arial"/>
                <w:b/>
                <w:sz w:val="20"/>
                <w:szCs w:val="20"/>
                <w:highlight w:val="lightGray"/>
              </w:rPr>
            </w:pPr>
          </w:p>
        </w:tc>
        <w:tc>
          <w:tcPr>
            <w:tcW w:w="4212" w:type="dxa"/>
            <w:tcBorders>
              <w:top w:val="nil"/>
              <w:left w:val="nil"/>
              <w:bottom w:val="single" w:sz="4" w:space="0" w:color="auto"/>
              <w:right w:val="nil"/>
            </w:tcBorders>
            <w:vAlign w:val="center"/>
          </w:tcPr>
          <w:p w14:paraId="4514F5D7" w14:textId="48BDCBDB" w:rsidR="000E039C" w:rsidRPr="00635F68" w:rsidRDefault="004D15CC" w:rsidP="00DD6E5F">
            <w:pPr>
              <w:pStyle w:val="Popis"/>
            </w:pPr>
            <w:bookmarkStart w:id="74" w:name="_Toc478656333"/>
            <w:r w:rsidRPr="00256D89">
              <w:t xml:space="preserve">Graf </w:t>
            </w:r>
            <w:fldSimple w:instr=" SEQ Graf \* ARABIC ">
              <w:r w:rsidR="002E71B2">
                <w:rPr>
                  <w:noProof/>
                </w:rPr>
                <w:t>30</w:t>
              </w:r>
            </w:fldSimple>
            <w:r w:rsidRPr="00256D89">
              <w:t>:</w:t>
            </w:r>
            <w:r w:rsidR="000E039C">
              <w:t xml:space="preserve"> </w:t>
            </w:r>
            <w:r w:rsidR="00DD6E5F">
              <w:t>Liečiteľná</w:t>
            </w:r>
            <w:r w:rsidR="00DD6E5F" w:rsidRPr="004852D5">
              <w:t xml:space="preserve"> </w:t>
            </w:r>
            <w:r w:rsidR="000E039C" w:rsidRPr="004852D5">
              <w:t>úmrtnosť</w:t>
            </w:r>
            <w:r w:rsidR="000E039C">
              <w:t>, 2013</w:t>
            </w:r>
            <w:r w:rsidR="000E039C" w:rsidRPr="004852D5">
              <w:t xml:space="preserve"> (štandardizovaná na 100 tis. obyvateľov)</w:t>
            </w:r>
            <w:bookmarkEnd w:id="74"/>
          </w:p>
        </w:tc>
      </w:tr>
      <w:tr w:rsidR="000E039C" w:rsidRPr="00C307B8" w14:paraId="6B2EB19C" w14:textId="77777777" w:rsidTr="00866CF9">
        <w:trPr>
          <w:trHeight w:val="917"/>
          <w:jc w:val="center"/>
        </w:trPr>
        <w:tc>
          <w:tcPr>
            <w:tcW w:w="4091" w:type="dxa"/>
            <w:tcBorders>
              <w:top w:val="single" w:sz="4" w:space="0" w:color="auto"/>
              <w:left w:val="nil"/>
              <w:bottom w:val="single" w:sz="4" w:space="0" w:color="auto"/>
              <w:right w:val="nil"/>
            </w:tcBorders>
            <w:vAlign w:val="center"/>
          </w:tcPr>
          <w:p w14:paraId="29E7BC8E" w14:textId="2642AD85" w:rsidR="000E039C" w:rsidRPr="00D02296" w:rsidRDefault="00866CF9" w:rsidP="00FB625E">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67078D4C" wp14:editId="01973AB3">
                  <wp:extent cx="2508885" cy="1905000"/>
                  <wp:effectExtent l="0" t="0" r="571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69" w:type="dxa"/>
            <w:tcBorders>
              <w:top w:val="nil"/>
              <w:left w:val="nil"/>
              <w:bottom w:val="nil"/>
              <w:right w:val="nil"/>
            </w:tcBorders>
            <w:vAlign w:val="center"/>
          </w:tcPr>
          <w:p w14:paraId="3A396F60" w14:textId="77777777" w:rsidR="000E039C" w:rsidRPr="00D02296" w:rsidRDefault="000E039C" w:rsidP="00FB625E">
            <w:pPr>
              <w:spacing w:after="0" w:line="240" w:lineRule="auto"/>
              <w:jc w:val="center"/>
              <w:rPr>
                <w:rFonts w:ascii="Arial Narrow" w:hAnsi="Arial Narrow" w:cs="Arial"/>
                <w:b/>
                <w:sz w:val="20"/>
                <w:szCs w:val="20"/>
                <w:highlight w:val="lightGray"/>
              </w:rPr>
            </w:pPr>
          </w:p>
        </w:tc>
        <w:tc>
          <w:tcPr>
            <w:tcW w:w="4212" w:type="dxa"/>
            <w:tcBorders>
              <w:top w:val="single" w:sz="4" w:space="0" w:color="auto"/>
              <w:left w:val="nil"/>
              <w:bottom w:val="single" w:sz="4" w:space="0" w:color="auto"/>
              <w:right w:val="nil"/>
            </w:tcBorders>
            <w:vAlign w:val="center"/>
          </w:tcPr>
          <w:p w14:paraId="48727CE8" w14:textId="65D3B2BC" w:rsidR="000E039C" w:rsidRPr="00A14ADA" w:rsidRDefault="00866CF9" w:rsidP="00FB625E">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057CC1AC" wp14:editId="21B3A6E4">
                  <wp:extent cx="2585720" cy="1847850"/>
                  <wp:effectExtent l="0" t="0" r="508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E039C" w:rsidRPr="00C307B8" w14:paraId="16A37F90" w14:textId="77777777" w:rsidTr="00866CF9">
        <w:trPr>
          <w:trHeight w:val="253"/>
          <w:jc w:val="center"/>
        </w:trPr>
        <w:tc>
          <w:tcPr>
            <w:tcW w:w="4091" w:type="dxa"/>
            <w:tcBorders>
              <w:top w:val="single" w:sz="4" w:space="0" w:color="auto"/>
              <w:left w:val="nil"/>
              <w:bottom w:val="nil"/>
              <w:right w:val="nil"/>
            </w:tcBorders>
            <w:vAlign w:val="center"/>
          </w:tcPr>
          <w:p w14:paraId="7960ABFF" w14:textId="77777777" w:rsidR="000E039C" w:rsidRPr="00C83F39" w:rsidRDefault="000E039C" w:rsidP="00FB625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OECD </w:t>
            </w:r>
          </w:p>
        </w:tc>
        <w:tc>
          <w:tcPr>
            <w:tcW w:w="169" w:type="dxa"/>
            <w:tcBorders>
              <w:top w:val="nil"/>
              <w:left w:val="nil"/>
              <w:bottom w:val="nil"/>
              <w:right w:val="nil"/>
            </w:tcBorders>
            <w:vAlign w:val="center"/>
          </w:tcPr>
          <w:p w14:paraId="0CB35F6F" w14:textId="77777777" w:rsidR="000E039C" w:rsidRPr="00C83F39" w:rsidRDefault="000E039C" w:rsidP="00FB625E">
            <w:pPr>
              <w:spacing w:after="0" w:line="240" w:lineRule="auto"/>
              <w:jc w:val="center"/>
              <w:rPr>
                <w:rFonts w:ascii="Arial Narrow" w:hAnsi="Arial Narrow" w:cs="Arial"/>
                <w:i/>
                <w:sz w:val="16"/>
                <w:szCs w:val="18"/>
                <w:highlight w:val="lightGray"/>
              </w:rPr>
            </w:pPr>
          </w:p>
        </w:tc>
        <w:tc>
          <w:tcPr>
            <w:tcW w:w="4212" w:type="dxa"/>
            <w:tcBorders>
              <w:top w:val="single" w:sz="4" w:space="0" w:color="auto"/>
              <w:left w:val="nil"/>
              <w:bottom w:val="nil"/>
              <w:right w:val="nil"/>
            </w:tcBorders>
            <w:vAlign w:val="center"/>
          </w:tcPr>
          <w:p w14:paraId="5860DA4C" w14:textId="77777777" w:rsidR="000E039C" w:rsidRPr="00C83F39" w:rsidRDefault="000E039C" w:rsidP="00FB625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OECD </w:t>
            </w:r>
          </w:p>
        </w:tc>
      </w:tr>
    </w:tbl>
    <w:p w14:paraId="196164A6" w14:textId="77777777" w:rsidR="000E039C" w:rsidRDefault="000E039C" w:rsidP="00FB625E">
      <w:pPr>
        <w:spacing w:after="0" w:line="240" w:lineRule="auto"/>
        <w:jc w:val="both"/>
        <w:rPr>
          <w:rFonts w:ascii="Arial Narrow" w:hAnsi="Arial Narrow"/>
        </w:rPr>
      </w:pPr>
    </w:p>
    <w:p w14:paraId="7B509C70" w14:textId="11D70983" w:rsidR="00C2325A" w:rsidRDefault="000E039C" w:rsidP="00FB625E">
      <w:pPr>
        <w:spacing w:after="0" w:line="240" w:lineRule="auto"/>
        <w:jc w:val="both"/>
        <w:rPr>
          <w:rFonts w:ascii="Arial Narrow" w:hAnsi="Arial Narrow"/>
        </w:rPr>
      </w:pPr>
      <w:r>
        <w:rPr>
          <w:rFonts w:ascii="Arial Narrow" w:hAnsi="Arial Narrow"/>
        </w:rPr>
        <w:t>Slovensko zaostáva vo výsledkových ukazovateľoch. Horšie výsledky máme nielen oproti priemeru OECD</w:t>
      </w:r>
      <w:r w:rsidR="007E4A68">
        <w:rPr>
          <w:rFonts w:ascii="Arial Narrow" w:hAnsi="Arial Narrow"/>
        </w:rPr>
        <w:t xml:space="preserve">, </w:t>
      </w:r>
      <w:r>
        <w:rPr>
          <w:rFonts w:ascii="Arial Narrow" w:hAnsi="Arial Narrow"/>
        </w:rPr>
        <w:t xml:space="preserve"> ale aj </w:t>
      </w:r>
      <w:r w:rsidR="007E4A68">
        <w:rPr>
          <w:rFonts w:ascii="Arial Narrow" w:hAnsi="Arial Narrow"/>
        </w:rPr>
        <w:t xml:space="preserve">oproti </w:t>
      </w:r>
      <w:r>
        <w:rPr>
          <w:rFonts w:ascii="Arial Narrow" w:hAnsi="Arial Narrow"/>
        </w:rPr>
        <w:t>krajinám V3, hoci vynakladáme na zdravotníctvo vyšší podiel HDP. Dosahujeme menej rokov zdravého života (o 6,7 roka) a </w:t>
      </w:r>
      <w:r w:rsidR="00DD6E5F">
        <w:rPr>
          <w:rFonts w:ascii="Arial Narrow" w:hAnsi="Arial Narrow"/>
        </w:rPr>
        <w:t>liečiteľná</w:t>
      </w:r>
      <w:r w:rsidR="000B05C2">
        <w:rPr>
          <w:rFonts w:ascii="Arial Narrow" w:hAnsi="Arial Narrow"/>
        </w:rPr>
        <w:t xml:space="preserve"> </w:t>
      </w:r>
      <w:r>
        <w:rPr>
          <w:rFonts w:ascii="Arial Narrow" w:hAnsi="Arial Narrow"/>
        </w:rPr>
        <w:t>úmrtnosť</w:t>
      </w:r>
      <w:r w:rsidR="00DD6E5F">
        <w:rPr>
          <w:rStyle w:val="Odkaznapoznmkupodiarou"/>
          <w:rFonts w:ascii="Arial Narrow" w:hAnsi="Arial Narrow"/>
        </w:rPr>
        <w:footnoteReference w:id="53"/>
      </w:r>
      <w:r>
        <w:rPr>
          <w:rFonts w:ascii="Arial Narrow" w:hAnsi="Arial Narrow"/>
        </w:rPr>
        <w:t xml:space="preserve"> je u nás o 17 % vyššia. Efektívnosť slovenského zdravotníctva je dlhodobo horšia ako v Česku a Poľsku. Predbiehajú nás aj ďalšie krajiny bývalého východného bloku ako napríklad Estónsko, ktoré pred rokom 2005 dosahovalo horšie výsledky ako Slovensko. Zvýšenie efektívnosti slovenského zdravotníctva je dôsledok stabilizácie výdavkov v posledných rokoch napríklad vďaka opatreniam v liekovej politike (referencovanie cien liekov). Priestor pre zefektívnenie výdavkov v zdravotníctve potvrdila aj revízia výdavkov, potenciálne úspory v horizonte troch rokov dosahujú </w:t>
      </w:r>
      <w:r w:rsidR="00DE0EAB">
        <w:rPr>
          <w:rFonts w:ascii="Arial Narrow" w:hAnsi="Arial Narrow"/>
        </w:rPr>
        <w:t xml:space="preserve">až </w:t>
      </w:r>
      <w:r>
        <w:rPr>
          <w:rFonts w:ascii="Arial Narrow" w:hAnsi="Arial Narrow"/>
        </w:rPr>
        <w:t>363 mil. eur.</w:t>
      </w:r>
    </w:p>
    <w:p w14:paraId="70C9B9A0" w14:textId="09371238" w:rsidR="008863AE" w:rsidRDefault="00C2325A" w:rsidP="00C2325A">
      <w:pPr>
        <w:spacing w:after="0" w:line="240" w:lineRule="auto"/>
        <w:rPr>
          <w:rFonts w:ascii="Arial Narrow" w:hAnsi="Arial Narrow"/>
        </w:rPr>
      </w:pPr>
      <w:r>
        <w:rPr>
          <w:rFonts w:ascii="Arial Narrow" w:hAnsi="Arial Narrow"/>
        </w:rPr>
        <w:br w:type="page"/>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38"/>
        <w:gridCol w:w="169"/>
        <w:gridCol w:w="4257"/>
      </w:tblGrid>
      <w:tr w:rsidR="000E039C" w:rsidRPr="00C307B8" w14:paraId="2FF3DD17" w14:textId="77777777" w:rsidTr="00E7270B">
        <w:trPr>
          <w:trHeight w:val="363"/>
          <w:jc w:val="center"/>
        </w:trPr>
        <w:tc>
          <w:tcPr>
            <w:tcW w:w="4116" w:type="dxa"/>
            <w:tcBorders>
              <w:top w:val="nil"/>
              <w:left w:val="nil"/>
              <w:bottom w:val="single" w:sz="4" w:space="0" w:color="auto"/>
              <w:right w:val="nil"/>
            </w:tcBorders>
            <w:vAlign w:val="center"/>
          </w:tcPr>
          <w:p w14:paraId="5E8E70EB" w14:textId="3095C989" w:rsidR="000E039C" w:rsidRPr="00A9370D" w:rsidRDefault="00D47DD5" w:rsidP="00FB625E">
            <w:pPr>
              <w:pStyle w:val="Popis"/>
              <w:rPr>
                <w:rFonts w:cs="Arial"/>
              </w:rPr>
            </w:pPr>
            <w:bookmarkStart w:id="75" w:name="_Toc478656334"/>
            <w:r w:rsidRPr="00256D89">
              <w:lastRenderedPageBreak/>
              <w:t xml:space="preserve">Graf </w:t>
            </w:r>
            <w:fldSimple w:instr=" SEQ Graf \* ARABIC ">
              <w:r w:rsidR="002E71B2">
                <w:rPr>
                  <w:noProof/>
                </w:rPr>
                <w:t>31</w:t>
              </w:r>
            </w:fldSimple>
            <w:r>
              <w:rPr>
                <w:noProof/>
              </w:rPr>
              <w:t>:</w:t>
            </w:r>
            <w:r w:rsidR="000E039C">
              <w:rPr>
                <w:rFonts w:cs="Arial"/>
              </w:rPr>
              <w:t xml:space="preserve"> Efektívnosť zdravotníctva krajín OECD</w:t>
            </w:r>
            <w:bookmarkEnd w:id="75"/>
          </w:p>
        </w:tc>
        <w:tc>
          <w:tcPr>
            <w:tcW w:w="168" w:type="dxa"/>
            <w:tcBorders>
              <w:top w:val="nil"/>
              <w:left w:val="nil"/>
              <w:bottom w:val="nil"/>
              <w:right w:val="nil"/>
            </w:tcBorders>
            <w:vAlign w:val="center"/>
          </w:tcPr>
          <w:p w14:paraId="198EC782" w14:textId="77777777" w:rsidR="000E039C" w:rsidRPr="00D02296" w:rsidRDefault="000E039C" w:rsidP="00FB625E">
            <w:pPr>
              <w:spacing w:after="0" w:line="240" w:lineRule="auto"/>
              <w:jc w:val="center"/>
              <w:rPr>
                <w:rFonts w:ascii="Arial Narrow" w:hAnsi="Arial Narrow" w:cs="Arial"/>
                <w:b/>
                <w:sz w:val="20"/>
                <w:szCs w:val="20"/>
                <w:highlight w:val="lightGray"/>
              </w:rPr>
            </w:pPr>
          </w:p>
        </w:tc>
        <w:tc>
          <w:tcPr>
            <w:tcW w:w="4234" w:type="dxa"/>
            <w:tcBorders>
              <w:top w:val="nil"/>
              <w:left w:val="nil"/>
              <w:bottom w:val="single" w:sz="4" w:space="0" w:color="auto"/>
              <w:right w:val="nil"/>
            </w:tcBorders>
            <w:vAlign w:val="center"/>
          </w:tcPr>
          <w:p w14:paraId="15887B6E" w14:textId="1AD706D0" w:rsidR="000E039C" w:rsidRPr="00635F68" w:rsidRDefault="00D47DD5" w:rsidP="00FB625E">
            <w:pPr>
              <w:pStyle w:val="Popis"/>
            </w:pPr>
            <w:bookmarkStart w:id="76" w:name="_Toc478656335"/>
            <w:r w:rsidRPr="00256D89">
              <w:t xml:space="preserve">Graf </w:t>
            </w:r>
            <w:fldSimple w:instr=" SEQ Graf \* ARABIC ">
              <w:r w:rsidR="002E71B2">
                <w:rPr>
                  <w:noProof/>
                </w:rPr>
                <w:t>32</w:t>
              </w:r>
            </w:fldSimple>
            <w:r>
              <w:rPr>
                <w:noProof/>
              </w:rPr>
              <w:t xml:space="preserve">: </w:t>
            </w:r>
            <w:r w:rsidR="000E039C" w:rsidRPr="00462047">
              <w:t>Záväzky 13 fakultných a</w:t>
            </w:r>
            <w:r w:rsidR="0034432F">
              <w:t> </w:t>
            </w:r>
            <w:r w:rsidR="000E039C" w:rsidRPr="00462047">
              <w:t>univerzitných</w:t>
            </w:r>
            <w:r w:rsidR="0034432F">
              <w:t xml:space="preserve"> nemocníc</w:t>
            </w:r>
            <w:r w:rsidR="000E039C" w:rsidRPr="00462047">
              <w:t xml:space="preserve"> rezortu zdravotníctva (mil. eur)</w:t>
            </w:r>
            <w:bookmarkEnd w:id="76"/>
          </w:p>
        </w:tc>
      </w:tr>
      <w:tr w:rsidR="000E039C" w:rsidRPr="00C307B8" w14:paraId="739CD3A4" w14:textId="77777777" w:rsidTr="00E7270B">
        <w:trPr>
          <w:trHeight w:val="2148"/>
          <w:jc w:val="center"/>
        </w:trPr>
        <w:tc>
          <w:tcPr>
            <w:tcW w:w="4116" w:type="dxa"/>
            <w:tcBorders>
              <w:top w:val="single" w:sz="4" w:space="0" w:color="auto"/>
              <w:left w:val="nil"/>
              <w:bottom w:val="single" w:sz="4" w:space="0" w:color="auto"/>
              <w:right w:val="nil"/>
            </w:tcBorders>
            <w:vAlign w:val="center"/>
          </w:tcPr>
          <w:p w14:paraId="397582B0" w14:textId="4571EBAC" w:rsidR="000E039C" w:rsidRPr="00D02296" w:rsidRDefault="00866CF9" w:rsidP="00FB625E">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3E6B0265" wp14:editId="033DB7A9">
                  <wp:extent cx="2522855" cy="19050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168" w:type="dxa"/>
            <w:tcBorders>
              <w:top w:val="nil"/>
              <w:left w:val="nil"/>
              <w:bottom w:val="nil"/>
              <w:right w:val="nil"/>
            </w:tcBorders>
            <w:vAlign w:val="center"/>
          </w:tcPr>
          <w:p w14:paraId="6C2370C7" w14:textId="77777777" w:rsidR="000E039C" w:rsidRPr="00D02296" w:rsidRDefault="000E039C" w:rsidP="00FB625E">
            <w:pPr>
              <w:spacing w:after="0" w:line="240" w:lineRule="auto"/>
              <w:jc w:val="center"/>
              <w:rPr>
                <w:rFonts w:ascii="Arial Narrow" w:hAnsi="Arial Narrow" w:cs="Arial"/>
                <w:b/>
                <w:sz w:val="20"/>
                <w:szCs w:val="20"/>
                <w:highlight w:val="lightGray"/>
              </w:rPr>
            </w:pPr>
          </w:p>
        </w:tc>
        <w:tc>
          <w:tcPr>
            <w:tcW w:w="4234" w:type="dxa"/>
            <w:tcBorders>
              <w:top w:val="single" w:sz="4" w:space="0" w:color="auto"/>
              <w:left w:val="nil"/>
              <w:bottom w:val="single" w:sz="4" w:space="0" w:color="auto"/>
              <w:right w:val="nil"/>
            </w:tcBorders>
            <w:vAlign w:val="center"/>
          </w:tcPr>
          <w:p w14:paraId="26AA7024" w14:textId="2585D5B1" w:rsidR="000E039C" w:rsidRPr="00462047" w:rsidRDefault="00D9152C" w:rsidP="00FB625E">
            <w:pPr>
              <w:spacing w:after="0" w:line="240" w:lineRule="auto"/>
              <w:jc w:val="center"/>
              <w:rPr>
                <w:rFonts w:ascii="Arial Narrow" w:hAnsi="Arial Narrow" w:cs="Arial"/>
                <w:b/>
                <w:sz w:val="16"/>
                <w:szCs w:val="16"/>
                <w:highlight w:val="lightGray"/>
              </w:rPr>
            </w:pPr>
            <w:r>
              <w:rPr>
                <w:noProof/>
                <w:lang w:val="en-US" w:eastAsia="en-US"/>
              </w:rPr>
              <w:drawing>
                <wp:inline distT="0" distB="0" distL="0" distR="0" wp14:anchorId="1A63AB1D" wp14:editId="5787EEFF">
                  <wp:extent cx="2614295" cy="181927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E039C" w:rsidRPr="00C307B8" w14:paraId="724E8304" w14:textId="77777777" w:rsidTr="00E7270B">
        <w:trPr>
          <w:trHeight w:val="112"/>
          <w:jc w:val="center"/>
        </w:trPr>
        <w:tc>
          <w:tcPr>
            <w:tcW w:w="4116" w:type="dxa"/>
            <w:tcBorders>
              <w:top w:val="single" w:sz="4" w:space="0" w:color="auto"/>
              <w:left w:val="nil"/>
              <w:bottom w:val="nil"/>
              <w:right w:val="nil"/>
            </w:tcBorders>
            <w:vAlign w:val="center"/>
          </w:tcPr>
          <w:p w14:paraId="62702E1E" w14:textId="77777777" w:rsidR="000E039C" w:rsidRPr="00C83F39" w:rsidRDefault="000E039C" w:rsidP="00FB625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OECD </w:t>
            </w:r>
          </w:p>
        </w:tc>
        <w:tc>
          <w:tcPr>
            <w:tcW w:w="168" w:type="dxa"/>
            <w:tcBorders>
              <w:top w:val="nil"/>
              <w:left w:val="nil"/>
              <w:bottom w:val="nil"/>
              <w:right w:val="nil"/>
            </w:tcBorders>
            <w:vAlign w:val="center"/>
          </w:tcPr>
          <w:p w14:paraId="04A61257" w14:textId="77777777" w:rsidR="000E039C" w:rsidRPr="00C83F39" w:rsidRDefault="000E039C" w:rsidP="00FB625E">
            <w:pPr>
              <w:spacing w:after="0" w:line="240" w:lineRule="auto"/>
              <w:jc w:val="center"/>
              <w:rPr>
                <w:rFonts w:ascii="Arial Narrow" w:hAnsi="Arial Narrow" w:cs="Arial"/>
                <w:i/>
                <w:sz w:val="16"/>
                <w:szCs w:val="18"/>
                <w:highlight w:val="lightGray"/>
              </w:rPr>
            </w:pPr>
          </w:p>
        </w:tc>
        <w:tc>
          <w:tcPr>
            <w:tcW w:w="4234" w:type="dxa"/>
            <w:tcBorders>
              <w:top w:val="single" w:sz="4" w:space="0" w:color="auto"/>
              <w:left w:val="nil"/>
              <w:bottom w:val="nil"/>
              <w:right w:val="nil"/>
            </w:tcBorders>
            <w:vAlign w:val="center"/>
          </w:tcPr>
          <w:p w14:paraId="721A341F" w14:textId="720A98D5" w:rsidR="000E039C" w:rsidRPr="00C83F39" w:rsidRDefault="007E4A68" w:rsidP="00FB625E">
            <w:pPr>
              <w:spacing w:after="0" w:line="240" w:lineRule="auto"/>
              <w:jc w:val="right"/>
              <w:rPr>
                <w:rFonts w:ascii="Arial Narrow" w:hAnsi="Arial Narrow" w:cs="Arial"/>
                <w:i/>
                <w:sz w:val="16"/>
                <w:szCs w:val="18"/>
                <w:highlight w:val="lightGray"/>
              </w:rPr>
            </w:pPr>
            <w:r>
              <w:rPr>
                <w:rFonts w:ascii="Arial Narrow" w:hAnsi="Arial Narrow" w:cs="Arial"/>
                <w:i/>
                <w:sz w:val="16"/>
                <w:szCs w:val="18"/>
              </w:rPr>
              <w:t xml:space="preserve">Poznámka: LP </w:t>
            </w:r>
            <w:r w:rsidRPr="00C83F39">
              <w:rPr>
                <w:rFonts w:ascii="Arial Narrow" w:hAnsi="Arial Narrow" w:cs="Arial"/>
                <w:i/>
                <w:sz w:val="16"/>
                <w:szCs w:val="18"/>
              </w:rPr>
              <w:t xml:space="preserve">– lineárna projekcia </w:t>
            </w:r>
            <w:r>
              <w:rPr>
                <w:rFonts w:ascii="Arial Narrow" w:hAnsi="Arial Narrow" w:cs="Arial"/>
                <w:i/>
                <w:sz w:val="16"/>
                <w:szCs w:val="18"/>
              </w:rPr>
              <w:t xml:space="preserve">                                   </w:t>
            </w:r>
            <w:r w:rsidR="000E039C" w:rsidRPr="00C83F39">
              <w:rPr>
                <w:rFonts w:ascii="Arial Narrow" w:hAnsi="Arial Narrow" w:cs="Arial"/>
                <w:i/>
                <w:sz w:val="16"/>
                <w:szCs w:val="18"/>
              </w:rPr>
              <w:t xml:space="preserve">Zdroj: OECD </w:t>
            </w:r>
          </w:p>
        </w:tc>
      </w:tr>
    </w:tbl>
    <w:p w14:paraId="43C4E38E" w14:textId="77777777" w:rsidR="00E7270B" w:rsidRDefault="00E7270B" w:rsidP="001E70C6">
      <w:pPr>
        <w:spacing w:after="0" w:line="240" w:lineRule="auto"/>
        <w:jc w:val="both"/>
        <w:rPr>
          <w:rFonts w:ascii="Arial Narrow" w:hAnsi="Arial Narrow"/>
        </w:rPr>
      </w:pPr>
    </w:p>
    <w:p w14:paraId="2BB0355F" w14:textId="3BA8C86C" w:rsidR="00D37C8E" w:rsidRDefault="0054440A" w:rsidP="001E70C6">
      <w:pPr>
        <w:spacing w:after="0" w:line="240" w:lineRule="auto"/>
        <w:jc w:val="both"/>
        <w:rPr>
          <w:rFonts w:ascii="Arial Narrow" w:hAnsi="Arial Narrow"/>
        </w:rPr>
      </w:pPr>
      <w:r w:rsidRPr="0054440A">
        <w:rPr>
          <w:rFonts w:ascii="Arial Narrow" w:hAnsi="Arial Narrow"/>
        </w:rPr>
        <w:t>Fakultné a univerzitné nemocnice sa zadlžujú naďalej</w:t>
      </w:r>
      <w:r w:rsidR="00B4518F">
        <w:rPr>
          <w:rFonts w:ascii="Arial Narrow" w:hAnsi="Arial Narrow"/>
        </w:rPr>
        <w:t xml:space="preserve"> a v roku 2016  dosiahli ich záväzky 639 mil. eur</w:t>
      </w:r>
      <w:r w:rsidRPr="0054440A">
        <w:rPr>
          <w:rFonts w:ascii="Arial Narrow" w:hAnsi="Arial Narrow"/>
        </w:rPr>
        <w:t xml:space="preserve">. Záväzky po lehote splatnosti </w:t>
      </w:r>
      <w:r w:rsidR="00462047">
        <w:rPr>
          <w:rFonts w:ascii="Arial Narrow" w:hAnsi="Arial Narrow"/>
        </w:rPr>
        <w:t>rástli oproti minulému roku pomalšie</w:t>
      </w:r>
      <w:r w:rsidRPr="0054440A">
        <w:rPr>
          <w:rFonts w:ascii="Arial Narrow" w:hAnsi="Arial Narrow"/>
        </w:rPr>
        <w:t xml:space="preserve">, </w:t>
      </w:r>
      <w:r w:rsidR="00462047">
        <w:rPr>
          <w:rFonts w:ascii="Arial Narrow" w:hAnsi="Arial Narrow"/>
        </w:rPr>
        <w:t xml:space="preserve">medziročne sa zvýšili </w:t>
      </w:r>
      <w:r w:rsidRPr="0054440A">
        <w:rPr>
          <w:rFonts w:ascii="Arial Narrow" w:hAnsi="Arial Narrow"/>
        </w:rPr>
        <w:t>o 10</w:t>
      </w:r>
      <w:r w:rsidR="00462047">
        <w:rPr>
          <w:rFonts w:ascii="Arial Narrow" w:hAnsi="Arial Narrow"/>
        </w:rPr>
        <w:t>1</w:t>
      </w:r>
      <w:r w:rsidRPr="0054440A">
        <w:rPr>
          <w:rFonts w:ascii="Arial Narrow" w:hAnsi="Arial Narrow"/>
        </w:rPr>
        <w:t xml:space="preserve"> mil. eur</w:t>
      </w:r>
      <w:r w:rsidRPr="007D1ED3">
        <w:rPr>
          <w:rFonts w:ascii="Arial Narrow" w:hAnsi="Arial Narrow"/>
        </w:rPr>
        <w:t xml:space="preserve">. </w:t>
      </w:r>
      <w:r w:rsidRPr="0054440A">
        <w:rPr>
          <w:rFonts w:ascii="Arial Narrow" w:hAnsi="Arial Narrow"/>
        </w:rPr>
        <w:t>Z 13 fakultných nemocníc spadajúcich pod MZ SR sa podarilo znížiť stav záväzkov po splatnosti iba Detskej fakultnej nemocnici v Banskej Bystrici o</w:t>
      </w:r>
      <w:r w:rsidR="00462047">
        <w:rPr>
          <w:rFonts w:ascii="Arial Narrow" w:hAnsi="Arial Narrow"/>
        </w:rPr>
        <w:t> 5,1</w:t>
      </w:r>
      <w:r w:rsidRPr="0054440A">
        <w:rPr>
          <w:rFonts w:ascii="Arial Narrow" w:hAnsi="Arial Narrow"/>
        </w:rPr>
        <w:t xml:space="preserve"> % (</w:t>
      </w:r>
      <w:r w:rsidR="00462047">
        <w:rPr>
          <w:rFonts w:ascii="Arial Narrow" w:hAnsi="Arial Narrow"/>
        </w:rPr>
        <w:t xml:space="preserve">31 </w:t>
      </w:r>
      <w:r w:rsidRPr="0054440A">
        <w:rPr>
          <w:rFonts w:ascii="Arial Narrow" w:hAnsi="Arial Narrow"/>
        </w:rPr>
        <w:t>tis. eur). Ide o najmenšiu a zároveň najmenej zadlženú nemocnicu zo sledovaný</w:t>
      </w:r>
      <w:r w:rsidR="00E7270B">
        <w:rPr>
          <w:rFonts w:ascii="Arial Narrow" w:hAnsi="Arial Narrow"/>
        </w:rPr>
        <w:t xml:space="preserve">ch 13 nemocníc (celkové záväzky </w:t>
      </w:r>
      <w:r w:rsidR="00462047">
        <w:rPr>
          <w:rFonts w:ascii="Arial Narrow" w:hAnsi="Arial Narrow"/>
        </w:rPr>
        <w:t xml:space="preserve">na konci roka </w:t>
      </w:r>
      <w:r w:rsidRPr="0054440A">
        <w:rPr>
          <w:rFonts w:ascii="Arial Narrow" w:hAnsi="Arial Narrow"/>
        </w:rPr>
        <w:t xml:space="preserve">2016 </w:t>
      </w:r>
      <w:r w:rsidR="00462047">
        <w:rPr>
          <w:rFonts w:ascii="Arial Narrow" w:hAnsi="Arial Narrow"/>
        </w:rPr>
        <w:t>boli</w:t>
      </w:r>
      <w:r w:rsidR="00462047" w:rsidRPr="0054440A">
        <w:rPr>
          <w:rFonts w:ascii="Arial Narrow" w:hAnsi="Arial Narrow"/>
        </w:rPr>
        <w:t xml:space="preserve"> </w:t>
      </w:r>
      <w:r w:rsidR="00462047">
        <w:rPr>
          <w:rFonts w:ascii="Arial Narrow" w:hAnsi="Arial Narrow"/>
        </w:rPr>
        <w:t>2</w:t>
      </w:r>
      <w:r w:rsidRPr="0054440A">
        <w:rPr>
          <w:rFonts w:ascii="Arial Narrow" w:hAnsi="Arial Narrow"/>
        </w:rPr>
        <w:t xml:space="preserve"> mil. eur).</w:t>
      </w:r>
    </w:p>
    <w:p w14:paraId="0CE38A51" w14:textId="77777777" w:rsidR="001E70C6" w:rsidRPr="001E70C6" w:rsidRDefault="001E70C6" w:rsidP="001E70C6">
      <w:pPr>
        <w:spacing w:after="0" w:line="240" w:lineRule="auto"/>
        <w:jc w:val="both"/>
        <w:rPr>
          <w:rFonts w:ascii="Arial Narrow" w:hAnsi="Arial Narrow"/>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C2325A" w14:paraId="6D2B3F1F" w14:textId="77777777" w:rsidTr="00AD1029">
        <w:trPr>
          <w:jc w:val="center"/>
        </w:trPr>
        <w:tc>
          <w:tcPr>
            <w:tcW w:w="8554" w:type="dxa"/>
            <w:shd w:val="clear" w:color="auto" w:fill="AAD3F2"/>
          </w:tcPr>
          <w:p w14:paraId="5D17FA49" w14:textId="6CDBA588" w:rsidR="00C2325A" w:rsidRPr="001E70C6" w:rsidRDefault="00C2325A" w:rsidP="001E70C6">
            <w:pPr>
              <w:spacing w:before="120" w:line="240" w:lineRule="auto"/>
              <w:jc w:val="both"/>
              <w:rPr>
                <w:rFonts w:ascii="Arial Narrow" w:hAnsi="Arial Narrow"/>
                <w:b/>
                <w:color w:val="222222"/>
              </w:rPr>
            </w:pPr>
            <w:r w:rsidRPr="001E70C6">
              <w:rPr>
                <w:rFonts w:ascii="Arial Narrow" w:hAnsi="Arial Narrow"/>
                <w:b/>
                <w:color w:val="222222"/>
              </w:rPr>
              <w:t>B</w:t>
            </w:r>
            <w:r w:rsidR="00CA735C">
              <w:rPr>
                <w:rFonts w:ascii="Arial Narrow" w:hAnsi="Arial Narrow"/>
                <w:b/>
                <w:color w:val="222222"/>
              </w:rPr>
              <w:t xml:space="preserve">ox </w:t>
            </w:r>
            <w:r w:rsidR="00CA7860">
              <w:rPr>
                <w:rFonts w:ascii="Arial Narrow" w:hAnsi="Arial Narrow"/>
                <w:b/>
                <w:color w:val="222222"/>
              </w:rPr>
              <w:t>3</w:t>
            </w:r>
            <w:r w:rsidR="001E70C6">
              <w:rPr>
                <w:rFonts w:ascii="Arial Narrow" w:hAnsi="Arial Narrow"/>
                <w:b/>
                <w:color w:val="222222"/>
              </w:rPr>
              <w:t xml:space="preserve">: </w:t>
            </w:r>
            <w:r w:rsidRPr="001E70C6">
              <w:rPr>
                <w:rFonts w:ascii="Arial Narrow" w:hAnsi="Arial Narrow"/>
                <w:b/>
                <w:color w:val="222222"/>
              </w:rPr>
              <w:t>Revízia výdavkov na zdravotníctvo</w:t>
            </w:r>
          </w:p>
          <w:p w14:paraId="7BE9B3BC" w14:textId="2610BDC6" w:rsidR="00C2325A" w:rsidRPr="00F7453F" w:rsidRDefault="00C2325A" w:rsidP="00C2325A">
            <w:pPr>
              <w:spacing w:after="0" w:line="240" w:lineRule="auto"/>
              <w:jc w:val="both"/>
              <w:rPr>
                <w:rFonts w:ascii="Arial Narrow" w:hAnsi="Arial Narrow"/>
              </w:rPr>
            </w:pPr>
            <w:r w:rsidRPr="00F7453F">
              <w:rPr>
                <w:rFonts w:ascii="Arial Narrow" w:hAnsi="Arial Narrow"/>
              </w:rPr>
              <w:t xml:space="preserve">Revízia identifikovala opatrenia v celkovom objeme 174 </w:t>
            </w:r>
            <w:r w:rsidR="00F7453F" w:rsidRPr="00F7453F">
              <w:rPr>
                <w:rFonts w:ascii="Arial Narrow" w:hAnsi="Arial Narrow"/>
              </w:rPr>
              <w:t xml:space="preserve">až </w:t>
            </w:r>
            <w:r w:rsidR="000B05C2" w:rsidRPr="00F7453F">
              <w:rPr>
                <w:rFonts w:ascii="Arial Narrow" w:hAnsi="Arial Narrow"/>
              </w:rPr>
              <w:t xml:space="preserve">363 </w:t>
            </w:r>
            <w:r w:rsidRPr="00F7453F">
              <w:rPr>
                <w:rFonts w:ascii="Arial Narrow" w:hAnsi="Arial Narrow"/>
              </w:rPr>
              <w:t>mil. eur v roku 2017.</w:t>
            </w:r>
            <w:r w:rsidR="00F7453F">
              <w:rPr>
                <w:rFonts w:ascii="Arial Narrow" w:hAnsi="Arial Narrow"/>
              </w:rPr>
              <w:t xml:space="preserve"> </w:t>
            </w:r>
            <w:r w:rsidRPr="00F7453F">
              <w:rPr>
                <w:rFonts w:ascii="Arial Narrow" w:hAnsi="Arial Narrow"/>
              </w:rPr>
              <w:t xml:space="preserve">Z celkovej sumy pripadá 143 mil. eur na výdavky verejného zdravotného poistenia. Na základe identifikovaných opatrení dôjde k internej reštrukturalizácii výdavkov na </w:t>
            </w:r>
            <w:r w:rsidR="00175435">
              <w:rPr>
                <w:rFonts w:ascii="Arial Narrow" w:hAnsi="Arial Narrow"/>
              </w:rPr>
              <w:t xml:space="preserve">verejné zdravotné poistenie </w:t>
            </w:r>
            <w:r w:rsidRPr="00F7453F">
              <w:rPr>
                <w:rFonts w:ascii="Arial Narrow" w:hAnsi="Arial Narrow"/>
              </w:rPr>
              <w:t>bez šetrenia výdavkov na zdravotnú starostlivosť. Významná časť opatrení sa týka najmä</w:t>
            </w:r>
            <w:r w:rsidR="00E7270B">
              <w:rPr>
                <w:rFonts w:ascii="Arial Narrow" w:hAnsi="Arial Narrow"/>
              </w:rPr>
              <w:t xml:space="preserve"> liekov, zdravotníckych pomôcok, </w:t>
            </w:r>
            <w:r w:rsidRPr="00F7453F">
              <w:rPr>
                <w:rFonts w:ascii="Arial Narrow" w:hAnsi="Arial Narrow"/>
              </w:rPr>
              <w:t>ako aj špeciálnych zdravotníckych pomôcok.</w:t>
            </w:r>
          </w:p>
          <w:p w14:paraId="4FA11EBE" w14:textId="77777777" w:rsidR="00C2325A" w:rsidRPr="00F7453F" w:rsidRDefault="00C2325A" w:rsidP="00643802">
            <w:pPr>
              <w:spacing w:after="0" w:line="240" w:lineRule="auto"/>
              <w:rPr>
                <w:rFonts w:ascii="Arial Narrow" w:hAnsi="Arial Narrow"/>
              </w:rPr>
            </w:pPr>
          </w:p>
          <w:p w14:paraId="4162F9E6" w14:textId="257F52D1" w:rsidR="00F7453F" w:rsidRDefault="00C2325A" w:rsidP="00C2325A">
            <w:pPr>
              <w:spacing w:after="0" w:line="240" w:lineRule="auto"/>
              <w:jc w:val="both"/>
              <w:rPr>
                <w:rFonts w:ascii="Arial Narrow" w:hAnsi="Arial Narrow"/>
              </w:rPr>
            </w:pPr>
            <w:r w:rsidRPr="00F7453F">
              <w:rPr>
                <w:rFonts w:ascii="Arial Narrow" w:hAnsi="Arial Narrow"/>
              </w:rPr>
              <w:t>Efektívna prevádzka a hospodárne obstarávanie nemocníc podriaden</w:t>
            </w:r>
            <w:r w:rsidR="00E7270B">
              <w:rPr>
                <w:rFonts w:ascii="Arial Narrow" w:hAnsi="Arial Narrow"/>
              </w:rPr>
              <w:t xml:space="preserve">ých MZ SR uvoľní dodatočných            31 mil. </w:t>
            </w:r>
            <w:r w:rsidRPr="00F7453F">
              <w:rPr>
                <w:rFonts w:ascii="Arial Narrow" w:hAnsi="Arial Narrow"/>
              </w:rPr>
              <w:t>eur. Zefektívnenie prevádzky a obstarávania pomôže zastaviť zadlžovanie nemocníc a vytvorí priestor pre kapitálové investície do rekonštrukcie a prístrojového vybavenia.</w:t>
            </w:r>
          </w:p>
          <w:p w14:paraId="02DC8A01" w14:textId="77777777" w:rsidR="00F7453F" w:rsidRDefault="00F7453F" w:rsidP="00C2325A">
            <w:pPr>
              <w:spacing w:after="0" w:line="240" w:lineRule="auto"/>
              <w:jc w:val="both"/>
              <w:rPr>
                <w:rFonts w:ascii="Arial Narrow" w:hAnsi="Arial Narrow"/>
              </w:rPr>
            </w:pPr>
          </w:p>
          <w:tbl>
            <w:tblPr>
              <w:tblW w:w="8390" w:type="dxa"/>
              <w:tblCellMar>
                <w:left w:w="70" w:type="dxa"/>
                <w:right w:w="70" w:type="dxa"/>
              </w:tblCellMar>
              <w:tblLook w:val="04A0" w:firstRow="1" w:lastRow="0" w:firstColumn="1" w:lastColumn="0" w:noHBand="0" w:noVBand="1"/>
            </w:tblPr>
            <w:tblGrid>
              <w:gridCol w:w="4971"/>
              <w:gridCol w:w="799"/>
              <w:gridCol w:w="798"/>
              <w:gridCol w:w="798"/>
              <w:gridCol w:w="982"/>
            </w:tblGrid>
            <w:tr w:rsidR="00FB43F1" w:rsidRPr="00E1122A" w14:paraId="48495F12" w14:textId="77777777" w:rsidTr="00F26420">
              <w:trPr>
                <w:trHeight w:val="217"/>
              </w:trPr>
              <w:tc>
                <w:tcPr>
                  <w:tcW w:w="4997" w:type="dxa"/>
                  <w:tcBorders>
                    <w:top w:val="nil"/>
                    <w:left w:val="nil"/>
                    <w:bottom w:val="single" w:sz="4" w:space="0" w:color="auto"/>
                    <w:right w:val="nil"/>
                  </w:tcBorders>
                  <w:shd w:val="clear" w:color="auto" w:fill="auto"/>
                  <w:noWrap/>
                  <w:vAlign w:val="center"/>
                </w:tcPr>
                <w:p w14:paraId="3C4B2284" w14:textId="77777777" w:rsidR="00FB43F1" w:rsidRPr="00E1122A" w:rsidRDefault="00FB43F1" w:rsidP="00FB43F1">
                  <w:pPr>
                    <w:pStyle w:val="Popis"/>
                    <w:rPr>
                      <w:rFonts w:cs="Arial"/>
                      <w:color w:val="000000"/>
                      <w:szCs w:val="20"/>
                    </w:rPr>
                  </w:pPr>
                  <w:r w:rsidRPr="00E1122A">
                    <w:t>Úsporné opatrenia</w:t>
                  </w:r>
                </w:p>
              </w:tc>
              <w:tc>
                <w:tcPr>
                  <w:tcW w:w="802" w:type="dxa"/>
                  <w:tcBorders>
                    <w:top w:val="nil"/>
                    <w:left w:val="nil"/>
                    <w:bottom w:val="single" w:sz="4" w:space="0" w:color="auto"/>
                    <w:right w:val="nil"/>
                  </w:tcBorders>
                  <w:shd w:val="clear" w:color="auto" w:fill="auto"/>
                  <w:vAlign w:val="center"/>
                </w:tcPr>
                <w:p w14:paraId="2977EF22" w14:textId="77777777" w:rsidR="00FB43F1" w:rsidRPr="00E1122A" w:rsidRDefault="00FB43F1" w:rsidP="00FB43F1">
                  <w:pPr>
                    <w:spacing w:after="0" w:line="240" w:lineRule="auto"/>
                    <w:jc w:val="right"/>
                    <w:rPr>
                      <w:rFonts w:ascii="Arial Narrow" w:hAnsi="Arial Narrow" w:cs="Arial"/>
                      <w:b/>
                      <w:bCs/>
                      <w:color w:val="000000"/>
                      <w:sz w:val="20"/>
                      <w:szCs w:val="20"/>
                    </w:rPr>
                  </w:pPr>
                </w:p>
              </w:tc>
              <w:tc>
                <w:tcPr>
                  <w:tcW w:w="802" w:type="dxa"/>
                  <w:tcBorders>
                    <w:top w:val="nil"/>
                    <w:left w:val="nil"/>
                    <w:bottom w:val="single" w:sz="4" w:space="0" w:color="auto"/>
                    <w:right w:val="nil"/>
                  </w:tcBorders>
                  <w:shd w:val="clear" w:color="auto" w:fill="auto"/>
                  <w:vAlign w:val="center"/>
                </w:tcPr>
                <w:p w14:paraId="791DA245" w14:textId="77777777" w:rsidR="00FB43F1" w:rsidRPr="00E1122A" w:rsidRDefault="00FB43F1" w:rsidP="00FB43F1">
                  <w:pPr>
                    <w:spacing w:after="0" w:line="240" w:lineRule="auto"/>
                    <w:jc w:val="right"/>
                    <w:rPr>
                      <w:rFonts w:ascii="Arial Narrow" w:hAnsi="Arial Narrow" w:cs="Arial"/>
                      <w:b/>
                      <w:bCs/>
                      <w:color w:val="000000"/>
                      <w:sz w:val="20"/>
                      <w:szCs w:val="20"/>
                    </w:rPr>
                  </w:pPr>
                </w:p>
              </w:tc>
              <w:tc>
                <w:tcPr>
                  <w:tcW w:w="802" w:type="dxa"/>
                  <w:tcBorders>
                    <w:top w:val="nil"/>
                    <w:left w:val="nil"/>
                    <w:bottom w:val="single" w:sz="4" w:space="0" w:color="auto"/>
                    <w:right w:val="nil"/>
                  </w:tcBorders>
                  <w:shd w:val="clear" w:color="auto" w:fill="auto"/>
                  <w:vAlign w:val="center"/>
                </w:tcPr>
                <w:p w14:paraId="00E736BE" w14:textId="77777777" w:rsidR="00FB43F1" w:rsidRPr="00E1122A" w:rsidRDefault="00FB43F1" w:rsidP="00FB43F1">
                  <w:pPr>
                    <w:spacing w:after="0" w:line="240" w:lineRule="auto"/>
                    <w:jc w:val="right"/>
                    <w:rPr>
                      <w:rFonts w:ascii="Arial Narrow" w:hAnsi="Arial Narrow" w:cs="Arial"/>
                      <w:b/>
                      <w:bCs/>
                      <w:color w:val="000000"/>
                      <w:sz w:val="20"/>
                      <w:szCs w:val="20"/>
                    </w:rPr>
                  </w:pPr>
                </w:p>
              </w:tc>
              <w:tc>
                <w:tcPr>
                  <w:tcW w:w="987" w:type="dxa"/>
                  <w:tcBorders>
                    <w:top w:val="nil"/>
                    <w:left w:val="nil"/>
                    <w:bottom w:val="single" w:sz="4" w:space="0" w:color="auto"/>
                    <w:right w:val="nil"/>
                  </w:tcBorders>
                  <w:shd w:val="clear" w:color="auto" w:fill="auto"/>
                  <w:vAlign w:val="center"/>
                </w:tcPr>
                <w:p w14:paraId="412BCC4C" w14:textId="77777777" w:rsidR="00FB43F1" w:rsidRPr="00E1122A" w:rsidRDefault="00FB43F1" w:rsidP="00FB43F1">
                  <w:pPr>
                    <w:spacing w:after="0" w:line="240" w:lineRule="auto"/>
                    <w:jc w:val="center"/>
                    <w:rPr>
                      <w:rFonts w:ascii="Arial Narrow" w:hAnsi="Arial Narrow" w:cs="Arial"/>
                      <w:b/>
                      <w:bCs/>
                      <w:i/>
                      <w:iCs/>
                      <w:color w:val="000000"/>
                      <w:sz w:val="20"/>
                      <w:szCs w:val="20"/>
                    </w:rPr>
                  </w:pPr>
                </w:p>
              </w:tc>
            </w:tr>
            <w:tr w:rsidR="00FB43F1" w:rsidRPr="00E1122A" w14:paraId="449B7CBF" w14:textId="77777777" w:rsidTr="00F26420">
              <w:trPr>
                <w:trHeight w:val="292"/>
              </w:trPr>
              <w:tc>
                <w:tcPr>
                  <w:tcW w:w="4997" w:type="dxa"/>
                  <w:tcBorders>
                    <w:top w:val="nil"/>
                    <w:left w:val="nil"/>
                    <w:bottom w:val="single" w:sz="4" w:space="0" w:color="auto"/>
                    <w:right w:val="nil"/>
                  </w:tcBorders>
                  <w:shd w:val="clear" w:color="auto" w:fill="auto"/>
                  <w:noWrap/>
                  <w:vAlign w:val="center"/>
                  <w:hideMark/>
                </w:tcPr>
                <w:p w14:paraId="41D10437" w14:textId="77777777" w:rsidR="00FB43F1" w:rsidRPr="00BA64E2" w:rsidRDefault="00FB43F1" w:rsidP="00FB43F1">
                  <w:pPr>
                    <w:spacing w:after="0" w:line="240" w:lineRule="auto"/>
                    <w:rPr>
                      <w:rFonts w:ascii="Arial Narrow" w:hAnsi="Arial Narrow" w:cs="Arial"/>
                      <w:b/>
                      <w:color w:val="000000"/>
                      <w:sz w:val="18"/>
                      <w:szCs w:val="18"/>
                    </w:rPr>
                  </w:pPr>
                  <w:r w:rsidRPr="00BA64E2">
                    <w:rPr>
                      <w:rFonts w:ascii="Arial Narrow" w:hAnsi="Arial Narrow" w:cs="Arial"/>
                      <w:b/>
                      <w:color w:val="000000"/>
                      <w:sz w:val="18"/>
                      <w:szCs w:val="18"/>
                    </w:rPr>
                    <w:t>v mil. eur</w:t>
                  </w:r>
                </w:p>
              </w:tc>
              <w:tc>
                <w:tcPr>
                  <w:tcW w:w="802" w:type="dxa"/>
                  <w:tcBorders>
                    <w:top w:val="nil"/>
                    <w:left w:val="nil"/>
                    <w:bottom w:val="single" w:sz="4" w:space="0" w:color="auto"/>
                    <w:right w:val="nil"/>
                  </w:tcBorders>
                  <w:shd w:val="clear" w:color="auto" w:fill="auto"/>
                  <w:vAlign w:val="center"/>
                  <w:hideMark/>
                </w:tcPr>
                <w:p w14:paraId="0A9B812F" w14:textId="77777777" w:rsidR="00FB43F1" w:rsidRPr="00E1122A" w:rsidRDefault="00FB43F1" w:rsidP="00FB43F1">
                  <w:pPr>
                    <w:spacing w:after="0" w:line="240" w:lineRule="auto"/>
                    <w:jc w:val="right"/>
                    <w:rPr>
                      <w:rFonts w:ascii="Arial Narrow" w:hAnsi="Arial Narrow" w:cs="Arial"/>
                      <w:b/>
                      <w:bCs/>
                      <w:color w:val="000000"/>
                      <w:sz w:val="18"/>
                      <w:szCs w:val="18"/>
                    </w:rPr>
                  </w:pPr>
                  <w:r>
                    <w:rPr>
                      <w:rFonts w:ascii="Arial Narrow" w:hAnsi="Arial Narrow" w:cs="Arial"/>
                      <w:b/>
                      <w:bCs/>
                      <w:color w:val="000000"/>
                      <w:sz w:val="18"/>
                      <w:szCs w:val="18"/>
                    </w:rPr>
                    <w:t>2</w:t>
                  </w:r>
                  <w:r w:rsidRPr="00E1122A">
                    <w:rPr>
                      <w:rFonts w:ascii="Arial Narrow" w:hAnsi="Arial Narrow" w:cs="Arial"/>
                      <w:b/>
                      <w:bCs/>
                      <w:color w:val="000000"/>
                      <w:sz w:val="18"/>
                      <w:szCs w:val="18"/>
                    </w:rPr>
                    <w:t>017</w:t>
                  </w:r>
                </w:p>
              </w:tc>
              <w:tc>
                <w:tcPr>
                  <w:tcW w:w="802" w:type="dxa"/>
                  <w:tcBorders>
                    <w:top w:val="nil"/>
                    <w:left w:val="nil"/>
                    <w:bottom w:val="single" w:sz="4" w:space="0" w:color="auto"/>
                    <w:right w:val="nil"/>
                  </w:tcBorders>
                  <w:shd w:val="clear" w:color="auto" w:fill="auto"/>
                  <w:vAlign w:val="center"/>
                  <w:hideMark/>
                </w:tcPr>
                <w:p w14:paraId="0AB79B54" w14:textId="77777777" w:rsidR="00FB43F1" w:rsidRPr="00E1122A" w:rsidRDefault="00FB43F1" w:rsidP="00FB43F1">
                  <w:pPr>
                    <w:spacing w:after="0" w:line="240" w:lineRule="auto"/>
                    <w:jc w:val="right"/>
                    <w:rPr>
                      <w:rFonts w:ascii="Arial Narrow" w:hAnsi="Arial Narrow" w:cs="Arial"/>
                      <w:b/>
                      <w:bCs/>
                      <w:color w:val="000000"/>
                      <w:sz w:val="18"/>
                      <w:szCs w:val="18"/>
                    </w:rPr>
                  </w:pPr>
                  <w:r>
                    <w:rPr>
                      <w:rFonts w:ascii="Arial Narrow" w:hAnsi="Arial Narrow" w:cs="Arial"/>
                      <w:b/>
                      <w:bCs/>
                      <w:color w:val="000000"/>
                      <w:sz w:val="18"/>
                      <w:szCs w:val="18"/>
                    </w:rPr>
                    <w:t>2</w:t>
                  </w:r>
                  <w:r w:rsidRPr="00E1122A">
                    <w:rPr>
                      <w:rFonts w:ascii="Arial Narrow" w:hAnsi="Arial Narrow" w:cs="Arial"/>
                      <w:b/>
                      <w:bCs/>
                      <w:color w:val="000000"/>
                      <w:sz w:val="18"/>
                      <w:szCs w:val="18"/>
                    </w:rPr>
                    <w:t>018</w:t>
                  </w:r>
                </w:p>
              </w:tc>
              <w:tc>
                <w:tcPr>
                  <w:tcW w:w="802" w:type="dxa"/>
                  <w:tcBorders>
                    <w:top w:val="nil"/>
                    <w:left w:val="nil"/>
                    <w:bottom w:val="single" w:sz="4" w:space="0" w:color="auto"/>
                    <w:right w:val="nil"/>
                  </w:tcBorders>
                  <w:shd w:val="clear" w:color="auto" w:fill="auto"/>
                  <w:vAlign w:val="center"/>
                  <w:hideMark/>
                </w:tcPr>
                <w:p w14:paraId="40CEA248" w14:textId="77777777" w:rsidR="00FB43F1" w:rsidRPr="00E1122A" w:rsidRDefault="00FB43F1" w:rsidP="00FB43F1">
                  <w:pPr>
                    <w:spacing w:after="0" w:line="240" w:lineRule="auto"/>
                    <w:jc w:val="right"/>
                    <w:rPr>
                      <w:rFonts w:ascii="Arial Narrow" w:hAnsi="Arial Narrow" w:cs="Arial"/>
                      <w:b/>
                      <w:bCs/>
                      <w:color w:val="000000"/>
                      <w:sz w:val="18"/>
                      <w:szCs w:val="18"/>
                    </w:rPr>
                  </w:pPr>
                  <w:r>
                    <w:rPr>
                      <w:rFonts w:ascii="Arial Narrow" w:hAnsi="Arial Narrow" w:cs="Arial"/>
                      <w:b/>
                      <w:bCs/>
                      <w:color w:val="000000"/>
                      <w:sz w:val="18"/>
                      <w:szCs w:val="18"/>
                    </w:rPr>
                    <w:t>2</w:t>
                  </w:r>
                  <w:r w:rsidRPr="00E1122A">
                    <w:rPr>
                      <w:rFonts w:ascii="Arial Narrow" w:hAnsi="Arial Narrow" w:cs="Arial"/>
                      <w:b/>
                      <w:bCs/>
                      <w:color w:val="000000"/>
                      <w:sz w:val="18"/>
                      <w:szCs w:val="18"/>
                    </w:rPr>
                    <w:t>019</w:t>
                  </w:r>
                </w:p>
              </w:tc>
              <w:tc>
                <w:tcPr>
                  <w:tcW w:w="987" w:type="dxa"/>
                  <w:tcBorders>
                    <w:top w:val="nil"/>
                    <w:left w:val="nil"/>
                    <w:bottom w:val="single" w:sz="4" w:space="0" w:color="auto"/>
                    <w:right w:val="nil"/>
                  </w:tcBorders>
                  <w:shd w:val="clear" w:color="auto" w:fill="auto"/>
                  <w:vAlign w:val="center"/>
                  <w:hideMark/>
                </w:tcPr>
                <w:p w14:paraId="523489E8" w14:textId="77777777" w:rsidR="00FB43F1" w:rsidRPr="00BA64E2" w:rsidRDefault="00FB43F1" w:rsidP="00FB43F1">
                  <w:pPr>
                    <w:spacing w:after="0" w:line="240" w:lineRule="auto"/>
                    <w:jc w:val="center"/>
                    <w:rPr>
                      <w:rFonts w:ascii="Arial Narrow" w:hAnsi="Arial Narrow" w:cs="Arial"/>
                      <w:b/>
                      <w:bCs/>
                      <w:iCs/>
                      <w:color w:val="000000"/>
                      <w:sz w:val="18"/>
                      <w:szCs w:val="18"/>
                    </w:rPr>
                  </w:pPr>
                  <w:r w:rsidRPr="00BA64E2">
                    <w:rPr>
                      <w:rFonts w:ascii="Arial Narrow" w:hAnsi="Arial Narrow" w:cs="Arial"/>
                      <w:b/>
                      <w:bCs/>
                      <w:iCs/>
                      <w:color w:val="000000"/>
                      <w:sz w:val="18"/>
                      <w:szCs w:val="18"/>
                    </w:rPr>
                    <w:t>potenciálna úspora</w:t>
                  </w:r>
                </w:p>
              </w:tc>
            </w:tr>
            <w:tr w:rsidR="00FB43F1" w:rsidRPr="00E1122A" w14:paraId="405C9B19" w14:textId="77777777" w:rsidTr="00F26420">
              <w:trPr>
                <w:trHeight w:val="235"/>
              </w:trPr>
              <w:tc>
                <w:tcPr>
                  <w:tcW w:w="4997" w:type="dxa"/>
                  <w:tcBorders>
                    <w:top w:val="nil"/>
                    <w:left w:val="nil"/>
                    <w:bottom w:val="nil"/>
                    <w:right w:val="nil"/>
                  </w:tcBorders>
                  <w:shd w:val="clear" w:color="auto" w:fill="auto"/>
                  <w:noWrap/>
                  <w:vAlign w:val="center"/>
                  <w:hideMark/>
                </w:tcPr>
                <w:p w14:paraId="1C0D81B5" w14:textId="51AF0007" w:rsidR="00FB43F1" w:rsidRPr="00E1122A" w:rsidRDefault="00FB43F1" w:rsidP="00953159">
                  <w:pPr>
                    <w:spacing w:after="0" w:line="240" w:lineRule="auto"/>
                    <w:rPr>
                      <w:rFonts w:ascii="Arial Narrow" w:hAnsi="Arial Narrow" w:cs="Arial"/>
                      <w:b/>
                      <w:bCs/>
                      <w:color w:val="000000"/>
                      <w:sz w:val="18"/>
                      <w:szCs w:val="18"/>
                    </w:rPr>
                  </w:pPr>
                  <w:r w:rsidRPr="00E1122A">
                    <w:rPr>
                      <w:rFonts w:ascii="Arial Narrow" w:hAnsi="Arial Narrow" w:cs="Arial"/>
                      <w:b/>
                      <w:bCs/>
                      <w:color w:val="000000"/>
                      <w:sz w:val="18"/>
                      <w:szCs w:val="18"/>
                    </w:rPr>
                    <w:t xml:space="preserve">Opatrenia znižujúce výdavky </w:t>
                  </w:r>
                  <w:r w:rsidR="00953159">
                    <w:rPr>
                      <w:rFonts w:ascii="Arial Narrow" w:hAnsi="Arial Narrow" w:cs="Arial"/>
                      <w:b/>
                      <w:bCs/>
                      <w:color w:val="000000"/>
                      <w:sz w:val="18"/>
                      <w:szCs w:val="18"/>
                    </w:rPr>
                    <w:t>verejného zdravotného poistenia</w:t>
                  </w:r>
                </w:p>
              </w:tc>
              <w:tc>
                <w:tcPr>
                  <w:tcW w:w="802" w:type="dxa"/>
                  <w:tcBorders>
                    <w:top w:val="nil"/>
                    <w:left w:val="nil"/>
                    <w:bottom w:val="nil"/>
                    <w:right w:val="nil"/>
                  </w:tcBorders>
                  <w:shd w:val="clear" w:color="auto" w:fill="auto"/>
                  <w:noWrap/>
                  <w:vAlign w:val="center"/>
                  <w:hideMark/>
                </w:tcPr>
                <w:p w14:paraId="4D35B9D2"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143</w:t>
                  </w:r>
                </w:p>
              </w:tc>
              <w:tc>
                <w:tcPr>
                  <w:tcW w:w="802" w:type="dxa"/>
                  <w:tcBorders>
                    <w:top w:val="nil"/>
                    <w:left w:val="nil"/>
                    <w:bottom w:val="nil"/>
                    <w:right w:val="nil"/>
                  </w:tcBorders>
                  <w:shd w:val="clear" w:color="auto" w:fill="auto"/>
                  <w:noWrap/>
                  <w:vAlign w:val="center"/>
                  <w:hideMark/>
                </w:tcPr>
                <w:p w14:paraId="2126888E"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159</w:t>
                  </w:r>
                </w:p>
              </w:tc>
              <w:tc>
                <w:tcPr>
                  <w:tcW w:w="802" w:type="dxa"/>
                  <w:tcBorders>
                    <w:top w:val="nil"/>
                    <w:left w:val="nil"/>
                    <w:bottom w:val="nil"/>
                    <w:right w:val="nil"/>
                  </w:tcBorders>
                  <w:shd w:val="clear" w:color="auto" w:fill="auto"/>
                  <w:noWrap/>
                  <w:vAlign w:val="center"/>
                  <w:hideMark/>
                </w:tcPr>
                <w:p w14:paraId="5E516C34"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165</w:t>
                  </w:r>
                </w:p>
              </w:tc>
              <w:tc>
                <w:tcPr>
                  <w:tcW w:w="987" w:type="dxa"/>
                  <w:tcBorders>
                    <w:top w:val="nil"/>
                    <w:left w:val="nil"/>
                    <w:bottom w:val="nil"/>
                    <w:right w:val="nil"/>
                  </w:tcBorders>
                  <w:shd w:val="clear" w:color="auto" w:fill="auto"/>
                  <w:noWrap/>
                  <w:vAlign w:val="center"/>
                  <w:hideMark/>
                </w:tcPr>
                <w:p w14:paraId="74B0DEB4"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268</w:t>
                  </w:r>
                </w:p>
              </w:tc>
            </w:tr>
            <w:tr w:rsidR="00FB43F1" w:rsidRPr="00E1122A" w14:paraId="1E51C19F" w14:textId="77777777" w:rsidTr="00F26420">
              <w:trPr>
                <w:trHeight w:val="235"/>
              </w:trPr>
              <w:tc>
                <w:tcPr>
                  <w:tcW w:w="4997" w:type="dxa"/>
                  <w:tcBorders>
                    <w:top w:val="nil"/>
                    <w:left w:val="nil"/>
                    <w:bottom w:val="nil"/>
                    <w:right w:val="nil"/>
                  </w:tcBorders>
                  <w:shd w:val="clear" w:color="auto" w:fill="auto"/>
                  <w:vAlign w:val="center"/>
                  <w:hideMark/>
                </w:tcPr>
                <w:p w14:paraId="3BB6E3BA"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 xml:space="preserve">Nadspotreba liekov  - </w:t>
                  </w:r>
                  <w:r w:rsidRPr="00E1122A">
                    <w:rPr>
                      <w:rFonts w:ascii="Arial Narrow" w:hAnsi="Arial Narrow"/>
                      <w:color w:val="000000"/>
                      <w:sz w:val="18"/>
                      <w:szCs w:val="18"/>
                    </w:rPr>
                    <w:t>zavedenie predpisových limitov pre ambulantných poskytovateľov</w:t>
                  </w:r>
                </w:p>
              </w:tc>
              <w:tc>
                <w:tcPr>
                  <w:tcW w:w="802" w:type="dxa"/>
                  <w:tcBorders>
                    <w:top w:val="nil"/>
                    <w:left w:val="nil"/>
                    <w:bottom w:val="nil"/>
                    <w:right w:val="nil"/>
                  </w:tcBorders>
                  <w:shd w:val="clear" w:color="auto" w:fill="auto"/>
                  <w:noWrap/>
                  <w:vAlign w:val="center"/>
                  <w:hideMark/>
                </w:tcPr>
                <w:p w14:paraId="724B21A5"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20</w:t>
                  </w:r>
                </w:p>
              </w:tc>
              <w:tc>
                <w:tcPr>
                  <w:tcW w:w="802" w:type="dxa"/>
                  <w:tcBorders>
                    <w:top w:val="nil"/>
                    <w:left w:val="nil"/>
                    <w:bottom w:val="nil"/>
                    <w:right w:val="nil"/>
                  </w:tcBorders>
                  <w:shd w:val="clear" w:color="auto" w:fill="auto"/>
                  <w:noWrap/>
                  <w:vAlign w:val="center"/>
                  <w:hideMark/>
                </w:tcPr>
                <w:p w14:paraId="4756B74B"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20</w:t>
                  </w:r>
                </w:p>
              </w:tc>
              <w:tc>
                <w:tcPr>
                  <w:tcW w:w="802" w:type="dxa"/>
                  <w:tcBorders>
                    <w:top w:val="nil"/>
                    <w:left w:val="nil"/>
                    <w:bottom w:val="nil"/>
                    <w:right w:val="nil"/>
                  </w:tcBorders>
                  <w:shd w:val="clear" w:color="auto" w:fill="auto"/>
                  <w:noWrap/>
                  <w:vAlign w:val="center"/>
                  <w:hideMark/>
                </w:tcPr>
                <w:p w14:paraId="64C297ED"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20</w:t>
                  </w:r>
                </w:p>
              </w:tc>
              <w:tc>
                <w:tcPr>
                  <w:tcW w:w="987" w:type="dxa"/>
                  <w:tcBorders>
                    <w:top w:val="nil"/>
                    <w:left w:val="nil"/>
                    <w:bottom w:val="nil"/>
                    <w:right w:val="nil"/>
                  </w:tcBorders>
                  <w:shd w:val="clear" w:color="auto" w:fill="auto"/>
                  <w:noWrap/>
                  <w:vAlign w:val="center"/>
                  <w:hideMark/>
                </w:tcPr>
                <w:p w14:paraId="184B5D94"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59</w:t>
                  </w:r>
                </w:p>
              </w:tc>
            </w:tr>
            <w:tr w:rsidR="00FB43F1" w:rsidRPr="00E1122A" w14:paraId="57A2185C" w14:textId="77777777" w:rsidTr="00F26420">
              <w:trPr>
                <w:trHeight w:val="235"/>
              </w:trPr>
              <w:tc>
                <w:tcPr>
                  <w:tcW w:w="4997" w:type="dxa"/>
                  <w:tcBorders>
                    <w:top w:val="nil"/>
                    <w:left w:val="nil"/>
                    <w:bottom w:val="nil"/>
                    <w:right w:val="nil"/>
                  </w:tcBorders>
                  <w:shd w:val="clear" w:color="auto" w:fill="auto"/>
                  <w:vAlign w:val="center"/>
                  <w:hideMark/>
                </w:tcPr>
                <w:p w14:paraId="417DB5D9"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Výnimky na lieky - zavedenie pravidiel pre preplácanie výnimiek</w:t>
                  </w:r>
                </w:p>
              </w:tc>
              <w:tc>
                <w:tcPr>
                  <w:tcW w:w="802" w:type="dxa"/>
                  <w:tcBorders>
                    <w:top w:val="nil"/>
                    <w:left w:val="nil"/>
                    <w:bottom w:val="nil"/>
                    <w:right w:val="nil"/>
                  </w:tcBorders>
                  <w:shd w:val="clear" w:color="auto" w:fill="auto"/>
                  <w:noWrap/>
                  <w:vAlign w:val="center"/>
                  <w:hideMark/>
                </w:tcPr>
                <w:p w14:paraId="0EB60B7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c>
                <w:tcPr>
                  <w:tcW w:w="802" w:type="dxa"/>
                  <w:tcBorders>
                    <w:top w:val="nil"/>
                    <w:left w:val="nil"/>
                    <w:bottom w:val="nil"/>
                    <w:right w:val="nil"/>
                  </w:tcBorders>
                  <w:shd w:val="clear" w:color="auto" w:fill="auto"/>
                  <w:noWrap/>
                  <w:vAlign w:val="center"/>
                  <w:hideMark/>
                </w:tcPr>
                <w:p w14:paraId="78E1BE1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c>
                <w:tcPr>
                  <w:tcW w:w="802" w:type="dxa"/>
                  <w:tcBorders>
                    <w:top w:val="nil"/>
                    <w:left w:val="nil"/>
                    <w:bottom w:val="nil"/>
                    <w:right w:val="nil"/>
                  </w:tcBorders>
                  <w:shd w:val="clear" w:color="auto" w:fill="auto"/>
                  <w:noWrap/>
                  <w:vAlign w:val="center"/>
                  <w:hideMark/>
                </w:tcPr>
                <w:p w14:paraId="0745B87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c>
                <w:tcPr>
                  <w:tcW w:w="987" w:type="dxa"/>
                  <w:tcBorders>
                    <w:top w:val="nil"/>
                    <w:left w:val="nil"/>
                    <w:bottom w:val="nil"/>
                    <w:right w:val="nil"/>
                  </w:tcBorders>
                  <w:shd w:val="clear" w:color="auto" w:fill="auto"/>
                  <w:noWrap/>
                  <w:vAlign w:val="center"/>
                  <w:hideMark/>
                </w:tcPr>
                <w:p w14:paraId="18C1A34A"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r>
            <w:tr w:rsidR="00FB43F1" w:rsidRPr="00E1122A" w14:paraId="6283AE62" w14:textId="77777777" w:rsidTr="00F26420">
              <w:trPr>
                <w:trHeight w:val="235"/>
              </w:trPr>
              <w:tc>
                <w:tcPr>
                  <w:tcW w:w="4997" w:type="dxa"/>
                  <w:tcBorders>
                    <w:top w:val="nil"/>
                    <w:left w:val="nil"/>
                    <w:bottom w:val="nil"/>
                    <w:right w:val="nil"/>
                  </w:tcBorders>
                  <w:shd w:val="clear" w:color="auto" w:fill="auto"/>
                  <w:vAlign w:val="center"/>
                  <w:hideMark/>
                </w:tcPr>
                <w:p w14:paraId="008D7065"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 xml:space="preserve">Nákladovo neefektívne lieky - centrálny nákup liekov ZP </w:t>
                  </w:r>
                </w:p>
              </w:tc>
              <w:tc>
                <w:tcPr>
                  <w:tcW w:w="802" w:type="dxa"/>
                  <w:tcBorders>
                    <w:top w:val="nil"/>
                    <w:left w:val="nil"/>
                    <w:bottom w:val="nil"/>
                    <w:right w:val="nil"/>
                  </w:tcBorders>
                  <w:shd w:val="clear" w:color="auto" w:fill="auto"/>
                  <w:noWrap/>
                  <w:vAlign w:val="center"/>
                  <w:hideMark/>
                </w:tcPr>
                <w:p w14:paraId="4D1D868B"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802" w:type="dxa"/>
                  <w:tcBorders>
                    <w:top w:val="nil"/>
                    <w:left w:val="nil"/>
                    <w:bottom w:val="nil"/>
                    <w:right w:val="nil"/>
                  </w:tcBorders>
                  <w:shd w:val="clear" w:color="auto" w:fill="auto"/>
                  <w:noWrap/>
                  <w:vAlign w:val="center"/>
                  <w:hideMark/>
                </w:tcPr>
                <w:p w14:paraId="00BF50A7"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802" w:type="dxa"/>
                  <w:tcBorders>
                    <w:top w:val="nil"/>
                    <w:left w:val="nil"/>
                    <w:bottom w:val="nil"/>
                    <w:right w:val="nil"/>
                  </w:tcBorders>
                  <w:shd w:val="clear" w:color="auto" w:fill="auto"/>
                  <w:noWrap/>
                  <w:vAlign w:val="center"/>
                  <w:hideMark/>
                </w:tcPr>
                <w:p w14:paraId="4685C08E"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987" w:type="dxa"/>
                  <w:tcBorders>
                    <w:top w:val="nil"/>
                    <w:left w:val="nil"/>
                    <w:bottom w:val="nil"/>
                    <w:right w:val="nil"/>
                  </w:tcBorders>
                  <w:shd w:val="clear" w:color="auto" w:fill="auto"/>
                  <w:noWrap/>
                  <w:vAlign w:val="center"/>
                  <w:hideMark/>
                </w:tcPr>
                <w:p w14:paraId="1438CFAC"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42</w:t>
                  </w:r>
                </w:p>
              </w:tc>
            </w:tr>
            <w:tr w:rsidR="00FB43F1" w:rsidRPr="00E1122A" w14:paraId="3BD858F7" w14:textId="77777777" w:rsidTr="00F26420">
              <w:trPr>
                <w:trHeight w:val="235"/>
              </w:trPr>
              <w:tc>
                <w:tcPr>
                  <w:tcW w:w="4997" w:type="dxa"/>
                  <w:tcBorders>
                    <w:top w:val="nil"/>
                    <w:left w:val="nil"/>
                    <w:bottom w:val="nil"/>
                    <w:right w:val="nil"/>
                  </w:tcBorders>
                  <w:shd w:val="clear" w:color="auto" w:fill="auto"/>
                  <w:vAlign w:val="center"/>
                  <w:hideMark/>
                </w:tcPr>
                <w:p w14:paraId="70C5C894"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Špeciálny zdravotnícky materiál - zníženie cien (referencovanie)</w:t>
                  </w:r>
                </w:p>
              </w:tc>
              <w:tc>
                <w:tcPr>
                  <w:tcW w:w="802" w:type="dxa"/>
                  <w:tcBorders>
                    <w:top w:val="nil"/>
                    <w:left w:val="nil"/>
                    <w:bottom w:val="nil"/>
                    <w:right w:val="nil"/>
                  </w:tcBorders>
                  <w:shd w:val="clear" w:color="auto" w:fill="auto"/>
                  <w:noWrap/>
                  <w:vAlign w:val="center"/>
                  <w:hideMark/>
                </w:tcPr>
                <w:p w14:paraId="6EACD3F1"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35</w:t>
                  </w:r>
                </w:p>
              </w:tc>
              <w:tc>
                <w:tcPr>
                  <w:tcW w:w="802" w:type="dxa"/>
                  <w:tcBorders>
                    <w:top w:val="nil"/>
                    <w:left w:val="nil"/>
                    <w:bottom w:val="nil"/>
                    <w:right w:val="nil"/>
                  </w:tcBorders>
                  <w:shd w:val="clear" w:color="auto" w:fill="auto"/>
                  <w:noWrap/>
                  <w:vAlign w:val="center"/>
                  <w:hideMark/>
                </w:tcPr>
                <w:p w14:paraId="774BC041"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45</w:t>
                  </w:r>
                </w:p>
              </w:tc>
              <w:tc>
                <w:tcPr>
                  <w:tcW w:w="802" w:type="dxa"/>
                  <w:tcBorders>
                    <w:top w:val="nil"/>
                    <w:left w:val="nil"/>
                    <w:bottom w:val="nil"/>
                    <w:right w:val="nil"/>
                  </w:tcBorders>
                  <w:shd w:val="clear" w:color="auto" w:fill="auto"/>
                  <w:noWrap/>
                  <w:vAlign w:val="center"/>
                  <w:hideMark/>
                </w:tcPr>
                <w:p w14:paraId="301B799F"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45</w:t>
                  </w:r>
                </w:p>
              </w:tc>
              <w:tc>
                <w:tcPr>
                  <w:tcW w:w="987" w:type="dxa"/>
                  <w:tcBorders>
                    <w:top w:val="nil"/>
                    <w:left w:val="nil"/>
                    <w:bottom w:val="nil"/>
                    <w:right w:val="nil"/>
                  </w:tcBorders>
                  <w:shd w:val="clear" w:color="auto" w:fill="auto"/>
                  <w:noWrap/>
                  <w:vAlign w:val="center"/>
                  <w:hideMark/>
                </w:tcPr>
                <w:p w14:paraId="291593EB"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55</w:t>
                  </w:r>
                </w:p>
              </w:tc>
            </w:tr>
            <w:tr w:rsidR="00FB43F1" w:rsidRPr="00E1122A" w14:paraId="64E3A52F" w14:textId="77777777" w:rsidTr="00F26420">
              <w:trPr>
                <w:trHeight w:val="235"/>
              </w:trPr>
              <w:tc>
                <w:tcPr>
                  <w:tcW w:w="4997" w:type="dxa"/>
                  <w:tcBorders>
                    <w:top w:val="nil"/>
                    <w:left w:val="nil"/>
                    <w:bottom w:val="nil"/>
                    <w:right w:val="nil"/>
                  </w:tcBorders>
                  <w:shd w:val="clear" w:color="auto" w:fill="auto"/>
                  <w:vAlign w:val="center"/>
                  <w:hideMark/>
                </w:tcPr>
                <w:p w14:paraId="75D9D737"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Zdravotnícke pomôcky - referencovanie a revízne činnosti</w:t>
                  </w:r>
                </w:p>
              </w:tc>
              <w:tc>
                <w:tcPr>
                  <w:tcW w:w="802" w:type="dxa"/>
                  <w:tcBorders>
                    <w:top w:val="nil"/>
                    <w:left w:val="nil"/>
                    <w:bottom w:val="nil"/>
                    <w:right w:val="nil"/>
                  </w:tcBorders>
                  <w:shd w:val="clear" w:color="auto" w:fill="auto"/>
                  <w:noWrap/>
                  <w:vAlign w:val="center"/>
                  <w:hideMark/>
                </w:tcPr>
                <w:p w14:paraId="412250DE"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802" w:type="dxa"/>
                  <w:tcBorders>
                    <w:top w:val="nil"/>
                    <w:left w:val="nil"/>
                    <w:bottom w:val="nil"/>
                    <w:right w:val="nil"/>
                  </w:tcBorders>
                  <w:shd w:val="clear" w:color="auto" w:fill="auto"/>
                  <w:noWrap/>
                  <w:vAlign w:val="center"/>
                  <w:hideMark/>
                </w:tcPr>
                <w:p w14:paraId="5C85201A"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802" w:type="dxa"/>
                  <w:tcBorders>
                    <w:top w:val="nil"/>
                    <w:left w:val="nil"/>
                    <w:bottom w:val="nil"/>
                    <w:right w:val="nil"/>
                  </w:tcBorders>
                  <w:shd w:val="clear" w:color="auto" w:fill="auto"/>
                  <w:noWrap/>
                  <w:vAlign w:val="center"/>
                  <w:hideMark/>
                </w:tcPr>
                <w:p w14:paraId="7A2D5BE9"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987" w:type="dxa"/>
                  <w:tcBorders>
                    <w:top w:val="nil"/>
                    <w:left w:val="nil"/>
                    <w:bottom w:val="nil"/>
                    <w:right w:val="nil"/>
                  </w:tcBorders>
                  <w:shd w:val="clear" w:color="auto" w:fill="auto"/>
                  <w:noWrap/>
                  <w:vAlign w:val="center"/>
                  <w:hideMark/>
                </w:tcPr>
                <w:p w14:paraId="392BEB03"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r>
            <w:tr w:rsidR="00FB43F1" w:rsidRPr="00E1122A" w14:paraId="371AA496" w14:textId="77777777" w:rsidTr="00F26420">
              <w:trPr>
                <w:trHeight w:val="249"/>
              </w:trPr>
              <w:tc>
                <w:tcPr>
                  <w:tcW w:w="4997" w:type="dxa"/>
                  <w:tcBorders>
                    <w:top w:val="nil"/>
                    <w:left w:val="nil"/>
                    <w:bottom w:val="nil"/>
                    <w:right w:val="nil"/>
                  </w:tcBorders>
                  <w:shd w:val="clear" w:color="auto" w:fill="auto"/>
                  <w:vAlign w:val="center"/>
                  <w:hideMark/>
                </w:tcPr>
                <w:p w14:paraId="0C44E6C7"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olor w:val="000000"/>
                      <w:sz w:val="18"/>
                      <w:szCs w:val="18"/>
                    </w:rPr>
                    <w:t>SVLZ  - zníženie jednotkových cien a limitov CT a MR vyšetrení</w:t>
                  </w:r>
                </w:p>
              </w:tc>
              <w:tc>
                <w:tcPr>
                  <w:tcW w:w="802" w:type="dxa"/>
                  <w:tcBorders>
                    <w:top w:val="nil"/>
                    <w:left w:val="nil"/>
                    <w:bottom w:val="nil"/>
                    <w:right w:val="nil"/>
                  </w:tcBorders>
                  <w:shd w:val="clear" w:color="auto" w:fill="auto"/>
                  <w:noWrap/>
                  <w:vAlign w:val="center"/>
                  <w:hideMark/>
                </w:tcPr>
                <w:p w14:paraId="4A560695"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c>
                <w:tcPr>
                  <w:tcW w:w="802" w:type="dxa"/>
                  <w:tcBorders>
                    <w:top w:val="nil"/>
                    <w:left w:val="nil"/>
                    <w:bottom w:val="nil"/>
                    <w:right w:val="nil"/>
                  </w:tcBorders>
                  <w:shd w:val="clear" w:color="auto" w:fill="auto"/>
                  <w:noWrap/>
                  <w:vAlign w:val="center"/>
                  <w:hideMark/>
                </w:tcPr>
                <w:p w14:paraId="614754FF"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16</w:t>
                  </w:r>
                </w:p>
              </w:tc>
              <w:tc>
                <w:tcPr>
                  <w:tcW w:w="802" w:type="dxa"/>
                  <w:tcBorders>
                    <w:top w:val="nil"/>
                    <w:left w:val="nil"/>
                    <w:bottom w:val="nil"/>
                    <w:right w:val="nil"/>
                  </w:tcBorders>
                  <w:shd w:val="clear" w:color="auto" w:fill="auto"/>
                  <w:noWrap/>
                  <w:vAlign w:val="center"/>
                  <w:hideMark/>
                </w:tcPr>
                <w:p w14:paraId="0894B6CC"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22</w:t>
                  </w:r>
                </w:p>
              </w:tc>
              <w:tc>
                <w:tcPr>
                  <w:tcW w:w="987" w:type="dxa"/>
                  <w:tcBorders>
                    <w:top w:val="nil"/>
                    <w:left w:val="nil"/>
                    <w:bottom w:val="nil"/>
                    <w:right w:val="nil"/>
                  </w:tcBorders>
                  <w:shd w:val="clear" w:color="auto" w:fill="auto"/>
                  <w:noWrap/>
                  <w:vAlign w:val="center"/>
                  <w:hideMark/>
                </w:tcPr>
                <w:p w14:paraId="4C3562C3"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r>
            <w:tr w:rsidR="00FB43F1" w:rsidRPr="00E1122A" w14:paraId="2D1800C5" w14:textId="77777777" w:rsidTr="00F26420">
              <w:trPr>
                <w:trHeight w:val="235"/>
              </w:trPr>
              <w:tc>
                <w:tcPr>
                  <w:tcW w:w="4997" w:type="dxa"/>
                  <w:tcBorders>
                    <w:top w:val="nil"/>
                    <w:left w:val="nil"/>
                    <w:bottom w:val="nil"/>
                    <w:right w:val="nil"/>
                  </w:tcBorders>
                  <w:shd w:val="clear" w:color="auto" w:fill="auto"/>
                  <w:vAlign w:val="center"/>
                  <w:hideMark/>
                </w:tcPr>
                <w:p w14:paraId="1428EEDA"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 xml:space="preserve">SVLZ - zavedenie limitov </w:t>
                  </w:r>
                  <w:r w:rsidRPr="00E1122A">
                    <w:rPr>
                      <w:rFonts w:ascii="Arial Narrow" w:hAnsi="Arial Narrow"/>
                      <w:color w:val="000000"/>
                      <w:sz w:val="18"/>
                      <w:szCs w:val="18"/>
                    </w:rPr>
                    <w:t>pre ambulantných poskytovateľov</w:t>
                  </w:r>
                </w:p>
              </w:tc>
              <w:tc>
                <w:tcPr>
                  <w:tcW w:w="802" w:type="dxa"/>
                  <w:tcBorders>
                    <w:top w:val="nil"/>
                    <w:left w:val="nil"/>
                    <w:bottom w:val="nil"/>
                    <w:right w:val="nil"/>
                  </w:tcBorders>
                  <w:shd w:val="clear" w:color="auto" w:fill="auto"/>
                  <w:noWrap/>
                  <w:vAlign w:val="center"/>
                  <w:hideMark/>
                </w:tcPr>
                <w:p w14:paraId="015FEB4E"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802" w:type="dxa"/>
                  <w:tcBorders>
                    <w:top w:val="nil"/>
                    <w:left w:val="nil"/>
                    <w:bottom w:val="nil"/>
                    <w:right w:val="nil"/>
                  </w:tcBorders>
                  <w:shd w:val="clear" w:color="auto" w:fill="auto"/>
                  <w:noWrap/>
                  <w:vAlign w:val="center"/>
                  <w:hideMark/>
                </w:tcPr>
                <w:p w14:paraId="57D2B519"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802" w:type="dxa"/>
                  <w:tcBorders>
                    <w:top w:val="nil"/>
                    <w:left w:val="nil"/>
                    <w:bottom w:val="nil"/>
                    <w:right w:val="nil"/>
                  </w:tcBorders>
                  <w:shd w:val="clear" w:color="auto" w:fill="auto"/>
                  <w:noWrap/>
                  <w:vAlign w:val="center"/>
                  <w:hideMark/>
                </w:tcPr>
                <w:p w14:paraId="497A6EE7"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987" w:type="dxa"/>
                  <w:tcBorders>
                    <w:top w:val="nil"/>
                    <w:left w:val="nil"/>
                    <w:bottom w:val="nil"/>
                    <w:right w:val="nil"/>
                  </w:tcBorders>
                  <w:shd w:val="clear" w:color="auto" w:fill="auto"/>
                  <w:noWrap/>
                  <w:vAlign w:val="center"/>
                  <w:hideMark/>
                </w:tcPr>
                <w:p w14:paraId="78FD6BA8"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37</w:t>
                  </w:r>
                </w:p>
              </w:tc>
            </w:tr>
            <w:tr w:rsidR="00FB43F1" w:rsidRPr="00E1122A" w14:paraId="49AEA85C" w14:textId="77777777" w:rsidTr="00F26420">
              <w:trPr>
                <w:trHeight w:val="235"/>
              </w:trPr>
              <w:tc>
                <w:tcPr>
                  <w:tcW w:w="4997" w:type="dxa"/>
                  <w:tcBorders>
                    <w:top w:val="nil"/>
                    <w:left w:val="nil"/>
                    <w:bottom w:val="nil"/>
                    <w:right w:val="nil"/>
                  </w:tcBorders>
                  <w:shd w:val="clear" w:color="auto" w:fill="auto"/>
                  <w:vAlign w:val="center"/>
                  <w:hideMark/>
                </w:tcPr>
                <w:p w14:paraId="0CE25F69"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 xml:space="preserve">Zlepšenie revíznych činností </w:t>
                  </w:r>
                  <w:r w:rsidRPr="00E1122A">
                    <w:rPr>
                      <w:rFonts w:ascii="Arial Narrow" w:hAnsi="Arial Narrow"/>
                      <w:color w:val="000000"/>
                      <w:sz w:val="18"/>
                      <w:szCs w:val="18"/>
                    </w:rPr>
                    <w:t>VšZP</w:t>
                  </w:r>
                </w:p>
              </w:tc>
              <w:tc>
                <w:tcPr>
                  <w:tcW w:w="802" w:type="dxa"/>
                  <w:tcBorders>
                    <w:top w:val="nil"/>
                    <w:left w:val="nil"/>
                    <w:bottom w:val="nil"/>
                    <w:right w:val="nil"/>
                  </w:tcBorders>
                  <w:shd w:val="clear" w:color="auto" w:fill="auto"/>
                  <w:noWrap/>
                  <w:vAlign w:val="center"/>
                  <w:hideMark/>
                </w:tcPr>
                <w:p w14:paraId="6372EA74"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802" w:type="dxa"/>
                  <w:tcBorders>
                    <w:top w:val="nil"/>
                    <w:left w:val="nil"/>
                    <w:bottom w:val="nil"/>
                    <w:right w:val="nil"/>
                  </w:tcBorders>
                  <w:shd w:val="clear" w:color="auto" w:fill="auto"/>
                  <w:noWrap/>
                  <w:vAlign w:val="center"/>
                  <w:hideMark/>
                </w:tcPr>
                <w:p w14:paraId="4A993D88"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802" w:type="dxa"/>
                  <w:tcBorders>
                    <w:top w:val="nil"/>
                    <w:left w:val="nil"/>
                    <w:bottom w:val="nil"/>
                    <w:right w:val="nil"/>
                  </w:tcBorders>
                  <w:shd w:val="clear" w:color="auto" w:fill="auto"/>
                  <w:noWrap/>
                  <w:vAlign w:val="center"/>
                  <w:hideMark/>
                </w:tcPr>
                <w:p w14:paraId="73DA58A1"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c>
                <w:tcPr>
                  <w:tcW w:w="987" w:type="dxa"/>
                  <w:tcBorders>
                    <w:top w:val="nil"/>
                    <w:left w:val="nil"/>
                    <w:bottom w:val="nil"/>
                    <w:right w:val="nil"/>
                  </w:tcBorders>
                  <w:shd w:val="clear" w:color="auto" w:fill="auto"/>
                  <w:noWrap/>
                  <w:vAlign w:val="center"/>
                  <w:hideMark/>
                </w:tcPr>
                <w:p w14:paraId="1A870A9B"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25</w:t>
                  </w:r>
                </w:p>
              </w:tc>
            </w:tr>
            <w:tr w:rsidR="00FB43F1" w:rsidRPr="00E1122A" w14:paraId="44B59589" w14:textId="77777777" w:rsidTr="00F26420">
              <w:trPr>
                <w:trHeight w:val="235"/>
              </w:trPr>
              <w:tc>
                <w:tcPr>
                  <w:tcW w:w="4997" w:type="dxa"/>
                  <w:tcBorders>
                    <w:top w:val="nil"/>
                    <w:left w:val="nil"/>
                    <w:bottom w:val="nil"/>
                    <w:right w:val="nil"/>
                  </w:tcBorders>
                  <w:shd w:val="clear" w:color="auto" w:fill="auto"/>
                  <w:vAlign w:val="center"/>
                  <w:hideMark/>
                </w:tcPr>
                <w:p w14:paraId="4C7DB946" w14:textId="77777777" w:rsidR="00FB43F1" w:rsidRPr="00E1122A" w:rsidRDefault="00FB43F1" w:rsidP="00FB43F1">
                  <w:pPr>
                    <w:spacing w:after="0" w:line="240" w:lineRule="auto"/>
                    <w:rPr>
                      <w:rFonts w:ascii="Arial Narrow" w:hAnsi="Arial Narrow" w:cs="Arial"/>
                      <w:b/>
                      <w:bCs/>
                      <w:color w:val="000000"/>
                      <w:sz w:val="18"/>
                      <w:szCs w:val="18"/>
                    </w:rPr>
                  </w:pPr>
                  <w:r w:rsidRPr="00E1122A">
                    <w:rPr>
                      <w:rFonts w:ascii="Arial Narrow" w:hAnsi="Arial Narrow" w:cs="Arial"/>
                      <w:b/>
                      <w:bCs/>
                      <w:color w:val="000000"/>
                      <w:sz w:val="18"/>
                      <w:szCs w:val="18"/>
                    </w:rPr>
                    <w:t>Opatrenia znižujúce výdavky  nemocníc (podriadených organizácií MZ SR)</w:t>
                  </w:r>
                </w:p>
              </w:tc>
              <w:tc>
                <w:tcPr>
                  <w:tcW w:w="802" w:type="dxa"/>
                  <w:tcBorders>
                    <w:top w:val="nil"/>
                    <w:left w:val="nil"/>
                    <w:bottom w:val="nil"/>
                    <w:right w:val="nil"/>
                  </w:tcBorders>
                  <w:shd w:val="clear" w:color="auto" w:fill="auto"/>
                  <w:noWrap/>
                  <w:vAlign w:val="center"/>
                  <w:hideMark/>
                </w:tcPr>
                <w:p w14:paraId="0E3982D5"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31</w:t>
                  </w:r>
                </w:p>
              </w:tc>
              <w:tc>
                <w:tcPr>
                  <w:tcW w:w="802" w:type="dxa"/>
                  <w:tcBorders>
                    <w:top w:val="nil"/>
                    <w:left w:val="nil"/>
                    <w:bottom w:val="nil"/>
                    <w:right w:val="nil"/>
                  </w:tcBorders>
                  <w:shd w:val="clear" w:color="auto" w:fill="auto"/>
                  <w:noWrap/>
                  <w:vAlign w:val="center"/>
                  <w:hideMark/>
                </w:tcPr>
                <w:p w14:paraId="4F5CD508"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31</w:t>
                  </w:r>
                </w:p>
              </w:tc>
              <w:tc>
                <w:tcPr>
                  <w:tcW w:w="802" w:type="dxa"/>
                  <w:tcBorders>
                    <w:top w:val="nil"/>
                    <w:left w:val="nil"/>
                    <w:bottom w:val="nil"/>
                    <w:right w:val="nil"/>
                  </w:tcBorders>
                  <w:shd w:val="clear" w:color="auto" w:fill="auto"/>
                  <w:noWrap/>
                  <w:vAlign w:val="center"/>
                  <w:hideMark/>
                </w:tcPr>
                <w:p w14:paraId="376581D4"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31</w:t>
                  </w:r>
                </w:p>
              </w:tc>
              <w:tc>
                <w:tcPr>
                  <w:tcW w:w="987" w:type="dxa"/>
                  <w:tcBorders>
                    <w:top w:val="nil"/>
                    <w:left w:val="nil"/>
                    <w:bottom w:val="nil"/>
                    <w:right w:val="nil"/>
                  </w:tcBorders>
                  <w:shd w:val="clear" w:color="auto" w:fill="auto"/>
                  <w:noWrap/>
                  <w:vAlign w:val="center"/>
                  <w:hideMark/>
                </w:tcPr>
                <w:p w14:paraId="4C326766" w14:textId="77777777" w:rsidR="00FB43F1" w:rsidRPr="00E1122A" w:rsidRDefault="00FB43F1" w:rsidP="00FB43F1">
                  <w:pPr>
                    <w:spacing w:after="0" w:line="240" w:lineRule="auto"/>
                    <w:jc w:val="right"/>
                    <w:rPr>
                      <w:rFonts w:ascii="Arial Narrow" w:hAnsi="Arial Narrow" w:cs="Arial"/>
                      <w:b/>
                      <w:bCs/>
                      <w:color w:val="000000"/>
                      <w:sz w:val="18"/>
                      <w:szCs w:val="18"/>
                    </w:rPr>
                  </w:pPr>
                  <w:r w:rsidRPr="00E1122A">
                    <w:rPr>
                      <w:rFonts w:ascii="Arial Narrow" w:hAnsi="Arial Narrow" w:cs="Arial"/>
                      <w:b/>
                      <w:bCs/>
                      <w:color w:val="000000"/>
                      <w:sz w:val="18"/>
                      <w:szCs w:val="18"/>
                    </w:rPr>
                    <w:t>95</w:t>
                  </w:r>
                </w:p>
              </w:tc>
            </w:tr>
            <w:tr w:rsidR="00FB43F1" w:rsidRPr="00E1122A" w14:paraId="2315835E" w14:textId="77777777" w:rsidTr="00F26420">
              <w:trPr>
                <w:trHeight w:val="249"/>
              </w:trPr>
              <w:tc>
                <w:tcPr>
                  <w:tcW w:w="4997" w:type="dxa"/>
                  <w:tcBorders>
                    <w:top w:val="nil"/>
                    <w:left w:val="nil"/>
                    <w:bottom w:val="nil"/>
                    <w:right w:val="nil"/>
                  </w:tcBorders>
                  <w:shd w:val="clear" w:color="auto" w:fill="auto"/>
                  <w:vAlign w:val="center"/>
                  <w:hideMark/>
                </w:tcPr>
                <w:p w14:paraId="05368EAD"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Optimalizácia prevádzkových nákladov</w:t>
                  </w:r>
                </w:p>
              </w:tc>
              <w:tc>
                <w:tcPr>
                  <w:tcW w:w="802" w:type="dxa"/>
                  <w:tcBorders>
                    <w:top w:val="nil"/>
                    <w:left w:val="nil"/>
                    <w:bottom w:val="nil"/>
                    <w:right w:val="nil"/>
                  </w:tcBorders>
                  <w:shd w:val="clear" w:color="auto" w:fill="auto"/>
                  <w:noWrap/>
                  <w:vAlign w:val="center"/>
                  <w:hideMark/>
                </w:tcPr>
                <w:p w14:paraId="190C3786"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5</w:t>
                  </w:r>
                </w:p>
              </w:tc>
              <w:tc>
                <w:tcPr>
                  <w:tcW w:w="802" w:type="dxa"/>
                  <w:tcBorders>
                    <w:top w:val="nil"/>
                    <w:left w:val="nil"/>
                    <w:bottom w:val="nil"/>
                    <w:right w:val="nil"/>
                  </w:tcBorders>
                  <w:shd w:val="clear" w:color="auto" w:fill="auto"/>
                  <w:noWrap/>
                  <w:vAlign w:val="center"/>
                  <w:hideMark/>
                </w:tcPr>
                <w:p w14:paraId="04BADDC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5</w:t>
                  </w:r>
                </w:p>
              </w:tc>
              <w:tc>
                <w:tcPr>
                  <w:tcW w:w="802" w:type="dxa"/>
                  <w:tcBorders>
                    <w:top w:val="nil"/>
                    <w:left w:val="nil"/>
                    <w:bottom w:val="nil"/>
                    <w:right w:val="nil"/>
                  </w:tcBorders>
                  <w:shd w:val="clear" w:color="auto" w:fill="auto"/>
                  <w:noWrap/>
                  <w:vAlign w:val="center"/>
                  <w:hideMark/>
                </w:tcPr>
                <w:p w14:paraId="0FDA194C"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5</w:t>
                  </w:r>
                </w:p>
              </w:tc>
              <w:tc>
                <w:tcPr>
                  <w:tcW w:w="987" w:type="dxa"/>
                  <w:tcBorders>
                    <w:top w:val="nil"/>
                    <w:left w:val="nil"/>
                    <w:bottom w:val="nil"/>
                    <w:right w:val="nil"/>
                  </w:tcBorders>
                  <w:shd w:val="clear" w:color="auto" w:fill="auto"/>
                  <w:noWrap/>
                  <w:vAlign w:val="center"/>
                  <w:hideMark/>
                </w:tcPr>
                <w:p w14:paraId="3D092677"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10</w:t>
                  </w:r>
                </w:p>
              </w:tc>
            </w:tr>
            <w:tr w:rsidR="00FB43F1" w:rsidRPr="00E1122A" w14:paraId="43B3EC21" w14:textId="77777777" w:rsidTr="00F26420">
              <w:trPr>
                <w:trHeight w:val="249"/>
              </w:trPr>
              <w:tc>
                <w:tcPr>
                  <w:tcW w:w="4997" w:type="dxa"/>
                  <w:tcBorders>
                    <w:top w:val="nil"/>
                    <w:left w:val="nil"/>
                    <w:bottom w:val="nil"/>
                    <w:right w:val="nil"/>
                  </w:tcBorders>
                  <w:shd w:val="clear" w:color="auto" w:fill="auto"/>
                  <w:vAlign w:val="center"/>
                  <w:hideMark/>
                </w:tcPr>
                <w:p w14:paraId="0B5D625A"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olor w:val="000000"/>
                      <w:sz w:val="18"/>
                      <w:szCs w:val="18"/>
                    </w:rPr>
                    <w:t>Optimalizácia medicínskych procesov</w:t>
                  </w:r>
                </w:p>
              </w:tc>
              <w:tc>
                <w:tcPr>
                  <w:tcW w:w="802" w:type="dxa"/>
                  <w:tcBorders>
                    <w:top w:val="nil"/>
                    <w:left w:val="nil"/>
                    <w:bottom w:val="nil"/>
                    <w:right w:val="nil"/>
                  </w:tcBorders>
                  <w:shd w:val="clear" w:color="auto" w:fill="auto"/>
                  <w:noWrap/>
                  <w:vAlign w:val="center"/>
                  <w:hideMark/>
                </w:tcPr>
                <w:p w14:paraId="1892C8D3"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802" w:type="dxa"/>
                  <w:tcBorders>
                    <w:top w:val="nil"/>
                    <w:left w:val="nil"/>
                    <w:bottom w:val="nil"/>
                    <w:right w:val="nil"/>
                  </w:tcBorders>
                  <w:shd w:val="clear" w:color="auto" w:fill="auto"/>
                  <w:noWrap/>
                  <w:vAlign w:val="center"/>
                  <w:hideMark/>
                </w:tcPr>
                <w:p w14:paraId="522F0DFC"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802" w:type="dxa"/>
                  <w:tcBorders>
                    <w:top w:val="nil"/>
                    <w:left w:val="nil"/>
                    <w:bottom w:val="nil"/>
                    <w:right w:val="nil"/>
                  </w:tcBorders>
                  <w:shd w:val="clear" w:color="auto" w:fill="auto"/>
                  <w:noWrap/>
                  <w:vAlign w:val="center"/>
                  <w:hideMark/>
                </w:tcPr>
                <w:p w14:paraId="72385363"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15</w:t>
                  </w:r>
                </w:p>
              </w:tc>
              <w:tc>
                <w:tcPr>
                  <w:tcW w:w="987" w:type="dxa"/>
                  <w:tcBorders>
                    <w:top w:val="nil"/>
                    <w:left w:val="nil"/>
                    <w:bottom w:val="nil"/>
                    <w:right w:val="nil"/>
                  </w:tcBorders>
                  <w:shd w:val="clear" w:color="auto" w:fill="auto"/>
                  <w:noWrap/>
                  <w:vAlign w:val="center"/>
                  <w:hideMark/>
                </w:tcPr>
                <w:p w14:paraId="75E3EACF"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74</w:t>
                  </w:r>
                </w:p>
              </w:tc>
            </w:tr>
            <w:tr w:rsidR="00FB43F1" w:rsidRPr="00E1122A" w14:paraId="41D37BFD" w14:textId="77777777" w:rsidTr="00F26420">
              <w:trPr>
                <w:trHeight w:val="235"/>
              </w:trPr>
              <w:tc>
                <w:tcPr>
                  <w:tcW w:w="4997" w:type="dxa"/>
                  <w:tcBorders>
                    <w:top w:val="nil"/>
                    <w:left w:val="nil"/>
                    <w:bottom w:val="nil"/>
                    <w:right w:val="nil"/>
                  </w:tcBorders>
                  <w:shd w:val="clear" w:color="auto" w:fill="auto"/>
                  <w:vAlign w:val="center"/>
                  <w:hideMark/>
                </w:tcPr>
                <w:p w14:paraId="68767B3D"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olor w:val="000000"/>
                      <w:sz w:val="18"/>
                      <w:szCs w:val="18"/>
                    </w:rPr>
                    <w:t>Optimalizácia nákupu liekov a ŠZM</w:t>
                  </w:r>
                </w:p>
              </w:tc>
              <w:tc>
                <w:tcPr>
                  <w:tcW w:w="802" w:type="dxa"/>
                  <w:tcBorders>
                    <w:top w:val="nil"/>
                    <w:left w:val="nil"/>
                    <w:bottom w:val="nil"/>
                    <w:right w:val="nil"/>
                  </w:tcBorders>
                  <w:shd w:val="clear" w:color="auto" w:fill="auto"/>
                  <w:noWrap/>
                  <w:vAlign w:val="center"/>
                  <w:hideMark/>
                </w:tcPr>
                <w:p w14:paraId="2462B76B"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8</w:t>
                  </w:r>
                </w:p>
              </w:tc>
              <w:tc>
                <w:tcPr>
                  <w:tcW w:w="802" w:type="dxa"/>
                  <w:tcBorders>
                    <w:top w:val="nil"/>
                    <w:left w:val="nil"/>
                    <w:bottom w:val="nil"/>
                    <w:right w:val="nil"/>
                  </w:tcBorders>
                  <w:shd w:val="clear" w:color="auto" w:fill="auto"/>
                  <w:noWrap/>
                  <w:vAlign w:val="center"/>
                  <w:hideMark/>
                </w:tcPr>
                <w:p w14:paraId="7A2338B1"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8</w:t>
                  </w:r>
                </w:p>
              </w:tc>
              <w:tc>
                <w:tcPr>
                  <w:tcW w:w="802" w:type="dxa"/>
                  <w:tcBorders>
                    <w:top w:val="nil"/>
                    <w:left w:val="nil"/>
                    <w:bottom w:val="nil"/>
                    <w:right w:val="nil"/>
                  </w:tcBorders>
                  <w:shd w:val="clear" w:color="auto" w:fill="auto"/>
                  <w:noWrap/>
                  <w:vAlign w:val="center"/>
                  <w:hideMark/>
                </w:tcPr>
                <w:p w14:paraId="3442E0AD"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8</w:t>
                  </w:r>
                </w:p>
              </w:tc>
              <w:tc>
                <w:tcPr>
                  <w:tcW w:w="987" w:type="dxa"/>
                  <w:tcBorders>
                    <w:top w:val="nil"/>
                    <w:left w:val="nil"/>
                    <w:bottom w:val="nil"/>
                    <w:right w:val="nil"/>
                  </w:tcBorders>
                  <w:shd w:val="clear" w:color="auto" w:fill="auto"/>
                  <w:noWrap/>
                  <w:vAlign w:val="center"/>
                  <w:hideMark/>
                </w:tcPr>
                <w:p w14:paraId="04B228CA"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8</w:t>
                  </w:r>
                </w:p>
              </w:tc>
            </w:tr>
            <w:tr w:rsidR="00FB43F1" w:rsidRPr="00E1122A" w14:paraId="743493C3" w14:textId="77777777" w:rsidTr="00F7453F">
              <w:trPr>
                <w:trHeight w:val="80"/>
              </w:trPr>
              <w:tc>
                <w:tcPr>
                  <w:tcW w:w="4997" w:type="dxa"/>
                  <w:tcBorders>
                    <w:top w:val="nil"/>
                    <w:left w:val="nil"/>
                    <w:bottom w:val="single" w:sz="4" w:space="0" w:color="auto"/>
                    <w:right w:val="nil"/>
                  </w:tcBorders>
                  <w:shd w:val="clear" w:color="auto" w:fill="auto"/>
                  <w:vAlign w:val="center"/>
                  <w:hideMark/>
                </w:tcPr>
                <w:p w14:paraId="694871FF" w14:textId="77777777" w:rsidR="00FB43F1" w:rsidRPr="00E1122A" w:rsidRDefault="00FB43F1" w:rsidP="00FB43F1">
                  <w:pPr>
                    <w:spacing w:after="0" w:line="240" w:lineRule="auto"/>
                    <w:rPr>
                      <w:rFonts w:ascii="Arial Narrow" w:hAnsi="Arial Narrow" w:cs="Arial"/>
                      <w:color w:val="000000"/>
                      <w:sz w:val="18"/>
                      <w:szCs w:val="18"/>
                    </w:rPr>
                  </w:pPr>
                  <w:r w:rsidRPr="00E1122A">
                    <w:rPr>
                      <w:rFonts w:ascii="Arial Narrow" w:hAnsi="Arial Narrow" w:cs="Arial"/>
                      <w:color w:val="000000"/>
                      <w:sz w:val="18"/>
                      <w:szCs w:val="18"/>
                    </w:rPr>
                    <w:t>Hospodárne obstarávanie zdravotníckej techniky</w:t>
                  </w:r>
                </w:p>
              </w:tc>
              <w:tc>
                <w:tcPr>
                  <w:tcW w:w="802" w:type="dxa"/>
                  <w:tcBorders>
                    <w:top w:val="nil"/>
                    <w:left w:val="nil"/>
                    <w:bottom w:val="single" w:sz="4" w:space="0" w:color="auto"/>
                    <w:right w:val="nil"/>
                  </w:tcBorders>
                  <w:shd w:val="clear" w:color="auto" w:fill="auto"/>
                  <w:noWrap/>
                  <w:vAlign w:val="center"/>
                  <w:hideMark/>
                </w:tcPr>
                <w:p w14:paraId="1B4A42B8"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802" w:type="dxa"/>
                  <w:tcBorders>
                    <w:top w:val="nil"/>
                    <w:left w:val="nil"/>
                    <w:bottom w:val="single" w:sz="4" w:space="0" w:color="auto"/>
                    <w:right w:val="nil"/>
                  </w:tcBorders>
                  <w:shd w:val="clear" w:color="auto" w:fill="auto"/>
                  <w:noWrap/>
                  <w:vAlign w:val="center"/>
                  <w:hideMark/>
                </w:tcPr>
                <w:p w14:paraId="0AEE42B9"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802" w:type="dxa"/>
                  <w:tcBorders>
                    <w:top w:val="nil"/>
                    <w:left w:val="nil"/>
                    <w:bottom w:val="single" w:sz="4" w:space="0" w:color="auto"/>
                    <w:right w:val="nil"/>
                  </w:tcBorders>
                  <w:shd w:val="clear" w:color="auto" w:fill="auto"/>
                  <w:noWrap/>
                  <w:vAlign w:val="center"/>
                  <w:hideMark/>
                </w:tcPr>
                <w:p w14:paraId="7182575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c>
                <w:tcPr>
                  <w:tcW w:w="987" w:type="dxa"/>
                  <w:tcBorders>
                    <w:top w:val="nil"/>
                    <w:left w:val="nil"/>
                    <w:bottom w:val="single" w:sz="4" w:space="0" w:color="auto"/>
                    <w:right w:val="nil"/>
                  </w:tcBorders>
                  <w:shd w:val="clear" w:color="auto" w:fill="auto"/>
                  <w:noWrap/>
                  <w:vAlign w:val="center"/>
                  <w:hideMark/>
                </w:tcPr>
                <w:p w14:paraId="305CD3C2" w14:textId="77777777" w:rsidR="00FB43F1" w:rsidRPr="00E1122A" w:rsidRDefault="00FB43F1" w:rsidP="00FB43F1">
                  <w:pPr>
                    <w:spacing w:after="0" w:line="240" w:lineRule="auto"/>
                    <w:jc w:val="right"/>
                    <w:rPr>
                      <w:rFonts w:ascii="Arial Narrow" w:hAnsi="Arial Narrow" w:cs="Arial"/>
                      <w:color w:val="000000"/>
                      <w:sz w:val="18"/>
                      <w:szCs w:val="18"/>
                    </w:rPr>
                  </w:pPr>
                  <w:r w:rsidRPr="00E1122A">
                    <w:rPr>
                      <w:rFonts w:ascii="Arial Narrow" w:hAnsi="Arial Narrow" w:cs="Arial"/>
                      <w:color w:val="000000"/>
                      <w:sz w:val="18"/>
                      <w:szCs w:val="18"/>
                    </w:rPr>
                    <w:t>3</w:t>
                  </w:r>
                </w:p>
              </w:tc>
            </w:tr>
            <w:tr w:rsidR="00FB43F1" w:rsidRPr="00E1122A" w14:paraId="77F47FD0" w14:textId="77777777" w:rsidTr="00F26420">
              <w:trPr>
                <w:trHeight w:val="249"/>
              </w:trPr>
              <w:tc>
                <w:tcPr>
                  <w:tcW w:w="8390" w:type="dxa"/>
                  <w:gridSpan w:val="5"/>
                  <w:tcBorders>
                    <w:top w:val="nil"/>
                    <w:left w:val="nil"/>
                    <w:bottom w:val="nil"/>
                    <w:right w:val="nil"/>
                  </w:tcBorders>
                  <w:shd w:val="clear" w:color="auto" w:fill="auto"/>
                  <w:noWrap/>
                  <w:vAlign w:val="center"/>
                  <w:hideMark/>
                </w:tcPr>
                <w:p w14:paraId="20159B53" w14:textId="77777777" w:rsidR="00FB43F1" w:rsidRPr="00E1122A" w:rsidRDefault="00FB43F1" w:rsidP="00F7453F">
                  <w:pPr>
                    <w:spacing w:after="120" w:line="240" w:lineRule="auto"/>
                    <w:jc w:val="right"/>
                    <w:rPr>
                      <w:rFonts w:ascii="Arial Narrow" w:hAnsi="Arial Narrow" w:cs="Arial"/>
                      <w:i/>
                      <w:iCs/>
                      <w:color w:val="000000"/>
                      <w:sz w:val="18"/>
                      <w:szCs w:val="18"/>
                    </w:rPr>
                  </w:pPr>
                  <w:r w:rsidRPr="00690827">
                    <w:rPr>
                      <w:rFonts w:ascii="Arial Narrow" w:hAnsi="Arial Narrow" w:cs="Arial"/>
                      <w:i/>
                      <w:iCs/>
                      <w:color w:val="000000"/>
                      <w:sz w:val="16"/>
                      <w:szCs w:val="18"/>
                    </w:rPr>
                    <w:t xml:space="preserve">Zdroj: MF SR </w:t>
                  </w:r>
                </w:p>
              </w:tc>
            </w:tr>
          </w:tbl>
          <w:p w14:paraId="363A1458" w14:textId="4716C12E" w:rsidR="00C2325A" w:rsidRPr="00F94759" w:rsidRDefault="00643802" w:rsidP="008F29DB">
            <w:pPr>
              <w:spacing w:after="120" w:line="240" w:lineRule="auto"/>
              <w:jc w:val="both"/>
              <w:rPr>
                <w:rFonts w:ascii="Arial Narrow" w:hAnsi="Arial Narrow" w:cs="Arial Narrow"/>
                <w:bCs/>
              </w:rPr>
            </w:pPr>
            <w:r>
              <w:rPr>
                <w:rFonts w:ascii="Arial Narrow" w:hAnsi="Arial Narrow"/>
              </w:rPr>
              <w:t>Viac v </w:t>
            </w:r>
            <w:r w:rsidR="00FB43F1">
              <w:rPr>
                <w:rFonts w:ascii="Arial Narrow" w:hAnsi="Arial Narrow"/>
              </w:rPr>
              <w:t>Z</w:t>
            </w:r>
            <w:r>
              <w:rPr>
                <w:rFonts w:ascii="Arial Narrow" w:hAnsi="Arial Narrow"/>
              </w:rPr>
              <w:t xml:space="preserve">áverečnej správe </w:t>
            </w:r>
            <w:hyperlink r:id="rId45" w:history="1">
              <w:r w:rsidR="00FB43F1">
                <w:rPr>
                  <w:rStyle w:val="Hypertextovprepojenie"/>
                  <w:rFonts w:ascii="Arial Narrow" w:hAnsi="Arial Narrow"/>
                </w:rPr>
                <w:t>r</w:t>
              </w:r>
              <w:r>
                <w:rPr>
                  <w:rStyle w:val="Hypertextovprepojenie"/>
                  <w:rFonts w:ascii="Arial Narrow" w:hAnsi="Arial Narrow"/>
                </w:rPr>
                <w:t>evízie výdavkov na zdravotníctvo</w:t>
              </w:r>
            </w:hyperlink>
            <w:r>
              <w:rPr>
                <w:rFonts w:ascii="Arial Narrow" w:hAnsi="Arial Narrow"/>
              </w:rPr>
              <w:t>.</w:t>
            </w:r>
          </w:p>
        </w:tc>
      </w:tr>
    </w:tbl>
    <w:p w14:paraId="676CA95E" w14:textId="77777777" w:rsidR="00917341" w:rsidRDefault="00917341" w:rsidP="00FB625E">
      <w:pPr>
        <w:pStyle w:val="Odsekzoznamu"/>
        <w:spacing w:line="240" w:lineRule="auto"/>
        <w:ind w:left="0"/>
        <w:rPr>
          <w:rFonts w:ascii="Arial Narrow" w:hAnsi="Arial Narrow"/>
          <w:b/>
          <w:i/>
        </w:rPr>
        <w:sectPr w:rsidR="00917341" w:rsidSect="00B03FC9">
          <w:footerReference w:type="default" r:id="rId46"/>
          <w:type w:val="nextColumn"/>
          <w:pgSz w:w="11920" w:h="16840"/>
          <w:pgMar w:top="1559" w:right="1678" w:bottom="278" w:left="1678" w:header="709" w:footer="709" w:gutter="0"/>
          <w:cols w:space="708"/>
          <w:noEndnote/>
        </w:sectPr>
      </w:pPr>
    </w:p>
    <w:p w14:paraId="0D2963C7" w14:textId="23FACBE4" w:rsidR="000E039C" w:rsidRDefault="000E039C" w:rsidP="00FB625E">
      <w:pPr>
        <w:pStyle w:val="Odsekzoznamu"/>
        <w:spacing w:line="240" w:lineRule="auto"/>
        <w:ind w:left="0"/>
        <w:rPr>
          <w:rFonts w:ascii="Arial Narrow" w:hAnsi="Arial Narrow"/>
          <w:b/>
          <w:i/>
        </w:rPr>
      </w:pPr>
      <w:r w:rsidRPr="00915BD5">
        <w:rPr>
          <w:rFonts w:ascii="Arial Narrow" w:hAnsi="Arial Narrow"/>
          <w:b/>
          <w:i/>
        </w:rPr>
        <w:lastRenderedPageBreak/>
        <w:t xml:space="preserve">Zlepšenie finančného riadenia a hospodárenia poskytovateľov </w:t>
      </w:r>
      <w:r>
        <w:rPr>
          <w:rFonts w:ascii="Arial Narrow" w:hAnsi="Arial Narrow"/>
          <w:b/>
          <w:i/>
        </w:rPr>
        <w:t>a nová nemocnica</w:t>
      </w:r>
    </w:p>
    <w:p w14:paraId="647BBB35" w14:textId="695C1F4A" w:rsidR="000E039C" w:rsidRDefault="000E039C" w:rsidP="00633830">
      <w:pPr>
        <w:pStyle w:val="Odsekzoznamu"/>
        <w:spacing w:line="240" w:lineRule="auto"/>
        <w:ind w:left="0"/>
        <w:jc w:val="both"/>
        <w:rPr>
          <w:rFonts w:ascii="Arial Narrow" w:hAnsi="Arial Narrow"/>
        </w:rPr>
      </w:pPr>
      <w:r w:rsidRPr="00030B25">
        <w:rPr>
          <w:rFonts w:ascii="Arial Narrow" w:hAnsi="Arial Narrow"/>
          <w:color w:val="222222"/>
        </w:rPr>
        <w:t xml:space="preserve">Novovzniknutý útvar riadenia podriadených organizácii </w:t>
      </w:r>
      <w:r w:rsidR="00030B25" w:rsidRPr="004E783A">
        <w:rPr>
          <w:rFonts w:ascii="Arial Narrow" w:hAnsi="Arial Narrow"/>
          <w:color w:val="222222"/>
        </w:rPr>
        <w:t>na MZ SR</w:t>
      </w:r>
      <w:r w:rsidR="00E7270B">
        <w:rPr>
          <w:rFonts w:ascii="Arial Narrow" w:hAnsi="Arial Narrow"/>
          <w:color w:val="222222"/>
        </w:rPr>
        <w:t xml:space="preserve">, </w:t>
      </w:r>
      <w:r>
        <w:rPr>
          <w:rFonts w:ascii="Arial Narrow" w:hAnsi="Arial Narrow"/>
          <w:color w:val="222222"/>
        </w:rPr>
        <w:t>ako aj zriaden</w:t>
      </w:r>
      <w:r w:rsidR="00BC1038">
        <w:rPr>
          <w:rFonts w:ascii="Arial Narrow" w:hAnsi="Arial Narrow"/>
          <w:color w:val="222222"/>
        </w:rPr>
        <w:t>i</w:t>
      </w:r>
      <w:r>
        <w:rPr>
          <w:rFonts w:ascii="Arial Narrow" w:hAnsi="Arial Narrow"/>
          <w:color w:val="222222"/>
        </w:rPr>
        <w:t xml:space="preserve">e dozorných orgánov v nemocniciach majú posilniť dohľad a prispieť k zlepšeniu hospodárenia štátnych nemocníc. Pokračuje sa v centralizácii obstarávania štátnych nemocníc na úrovni MZ SR. </w:t>
      </w:r>
      <w:r w:rsidR="00D37C8E">
        <w:rPr>
          <w:rFonts w:ascii="Arial Narrow" w:hAnsi="Arial Narrow"/>
          <w:color w:val="222222"/>
        </w:rPr>
        <w:t>Po podpísaní rámcovej zmluvy na dodávanie CT prístrojov sa</w:t>
      </w:r>
      <w:r w:rsidR="00E7270B">
        <w:rPr>
          <w:rFonts w:ascii="Arial Narrow" w:hAnsi="Arial Narrow"/>
          <w:color w:val="222222"/>
        </w:rPr>
        <w:t xml:space="preserve"> plánujú </w:t>
      </w:r>
      <w:r w:rsidR="00D37C8E">
        <w:rPr>
          <w:rFonts w:ascii="Arial Narrow" w:hAnsi="Arial Narrow"/>
          <w:color w:val="222222"/>
        </w:rPr>
        <w:t>podobne obstarať aj MR prístroje a lôžka.</w:t>
      </w:r>
      <w:r w:rsidR="00633830">
        <w:rPr>
          <w:rFonts w:ascii="Arial Narrow" w:hAnsi="Arial Narrow"/>
          <w:color w:val="222222"/>
        </w:rPr>
        <w:t xml:space="preserve"> </w:t>
      </w:r>
      <w:r w:rsidR="00C80F9E">
        <w:rPr>
          <w:rFonts w:ascii="Arial Narrow" w:hAnsi="Arial Narrow"/>
          <w:b/>
        </w:rPr>
        <w:t>Projekt v</w:t>
      </w:r>
      <w:r w:rsidR="00C80F9E" w:rsidRPr="005B48EF">
        <w:rPr>
          <w:rFonts w:ascii="Arial Narrow" w:hAnsi="Arial Narrow"/>
          <w:b/>
        </w:rPr>
        <w:t>ýstavb</w:t>
      </w:r>
      <w:r w:rsidR="00C80F9E">
        <w:rPr>
          <w:rFonts w:ascii="Arial Narrow" w:hAnsi="Arial Narrow"/>
          <w:b/>
        </w:rPr>
        <w:t>y</w:t>
      </w:r>
      <w:r w:rsidR="00C80F9E" w:rsidRPr="005B48EF">
        <w:rPr>
          <w:rFonts w:ascii="Arial Narrow" w:hAnsi="Arial Narrow"/>
          <w:b/>
        </w:rPr>
        <w:t xml:space="preserve"> novej Univerzitnej nemocnice v Bratislave </w:t>
      </w:r>
      <w:r w:rsidR="00C80F9E">
        <w:rPr>
          <w:rFonts w:ascii="Arial Narrow" w:hAnsi="Arial Narrow"/>
        </w:rPr>
        <w:t xml:space="preserve">bude </w:t>
      </w:r>
      <w:r w:rsidR="00C80F9E" w:rsidRPr="005B48EF">
        <w:rPr>
          <w:rFonts w:ascii="Arial Narrow" w:hAnsi="Arial Narrow"/>
        </w:rPr>
        <w:t>realizova</w:t>
      </w:r>
      <w:r w:rsidR="00C80F9E">
        <w:rPr>
          <w:rFonts w:ascii="Arial Narrow" w:hAnsi="Arial Narrow"/>
        </w:rPr>
        <w:t xml:space="preserve">ný </w:t>
      </w:r>
      <w:r w:rsidR="00C80F9E" w:rsidRPr="005B48EF">
        <w:rPr>
          <w:rFonts w:ascii="Arial Narrow" w:hAnsi="Arial Narrow"/>
        </w:rPr>
        <w:t xml:space="preserve">z </w:t>
      </w:r>
      <w:r w:rsidR="00C80F9E" w:rsidRPr="005B48EF">
        <w:rPr>
          <w:rFonts w:ascii="Arial Narrow" w:hAnsi="Arial Narrow"/>
          <w:b/>
        </w:rPr>
        <w:t>verejných</w:t>
      </w:r>
      <w:r w:rsidR="00C80F9E" w:rsidRPr="00273582">
        <w:rPr>
          <w:rFonts w:ascii="Arial Narrow" w:hAnsi="Arial Narrow"/>
          <w:b/>
        </w:rPr>
        <w:t xml:space="preserve"> </w:t>
      </w:r>
      <w:r w:rsidR="00C80F9E" w:rsidRPr="00273582">
        <w:rPr>
          <w:rFonts w:ascii="Arial Narrow" w:hAnsi="Arial Narrow"/>
          <w:b/>
          <w:color w:val="222222"/>
        </w:rPr>
        <w:t>zdrojov</w:t>
      </w:r>
      <w:r w:rsidR="00C80F9E" w:rsidRPr="005B48EF">
        <w:rPr>
          <w:rFonts w:ascii="Arial Narrow" w:hAnsi="Arial Narrow"/>
        </w:rPr>
        <w:t xml:space="preserve">. </w:t>
      </w:r>
      <w:r w:rsidR="00633830">
        <w:rPr>
          <w:rFonts w:ascii="Arial Narrow" w:hAnsi="Arial Narrow"/>
        </w:rPr>
        <w:t xml:space="preserve">Začiatok verejného obstarávania sa očakáva </w:t>
      </w:r>
      <w:r w:rsidR="00BC1038" w:rsidRPr="0006233E">
        <w:rPr>
          <w:rFonts w:ascii="Arial Narrow" w:hAnsi="Arial Narrow"/>
        </w:rPr>
        <w:t>v roku 2017</w:t>
      </w:r>
      <w:r w:rsidR="00633830" w:rsidRPr="0006233E">
        <w:rPr>
          <w:rFonts w:ascii="Arial Narrow" w:hAnsi="Arial Narrow"/>
        </w:rPr>
        <w:t>.</w:t>
      </w:r>
      <w:r w:rsidRPr="0006233E">
        <w:rPr>
          <w:rFonts w:ascii="Arial Narrow" w:hAnsi="Arial Narrow"/>
        </w:rPr>
        <w:t xml:space="preserve"> </w:t>
      </w:r>
    </w:p>
    <w:p w14:paraId="79C9C900" w14:textId="77777777" w:rsidR="000E039C" w:rsidRDefault="000E039C" w:rsidP="00FB625E">
      <w:pPr>
        <w:pStyle w:val="Odsekzoznamu"/>
        <w:spacing w:line="240" w:lineRule="auto"/>
        <w:ind w:left="0"/>
        <w:rPr>
          <w:rFonts w:ascii="Arial Narrow" w:hAnsi="Arial Narrow"/>
        </w:rPr>
      </w:pPr>
    </w:p>
    <w:p w14:paraId="4D3102A7" w14:textId="77777777" w:rsidR="000E039C" w:rsidRDefault="000E039C" w:rsidP="00FB625E">
      <w:pPr>
        <w:pStyle w:val="Odsekzoznamu"/>
        <w:spacing w:line="240" w:lineRule="auto"/>
        <w:ind w:left="0"/>
        <w:jc w:val="both"/>
        <w:rPr>
          <w:rFonts w:ascii="Arial Narrow" w:hAnsi="Arial Narrow"/>
        </w:rPr>
      </w:pPr>
      <w:r>
        <w:rPr>
          <w:rFonts w:ascii="Arial Narrow" w:hAnsi="Arial Narrow"/>
          <w:b/>
          <w:i/>
        </w:rPr>
        <w:t>Zavedenie DRG</w:t>
      </w:r>
    </w:p>
    <w:p w14:paraId="6C3FB208" w14:textId="5E9527A9" w:rsidR="000E039C" w:rsidRDefault="000E039C" w:rsidP="00FB625E">
      <w:pPr>
        <w:pStyle w:val="Odsekzoznamu"/>
        <w:spacing w:line="240" w:lineRule="auto"/>
        <w:ind w:left="0"/>
        <w:jc w:val="both"/>
        <w:rPr>
          <w:rFonts w:ascii="Arial Narrow" w:hAnsi="Arial Narrow"/>
        </w:rPr>
      </w:pPr>
      <w:r>
        <w:rPr>
          <w:rFonts w:ascii="Arial Narrow" w:hAnsi="Arial Narrow"/>
        </w:rPr>
        <w:t xml:space="preserve">V roku 2017 bol spustený úhradový mechanizmus naviazaný na diagnostickú skupinu (DRG). V prvom roku platia individuálne sadzby pre jednotlivé nemocnice, aby nedošlo k výrazným finančným výkyvom a destabilizácii systému. Každá zo zdravotných poisťovní má vlastný systém „záchranných sietí“ v prípade, že sa platba nemocnici podľa DRG výrazne odchýli od pôvodného platobného mechanizmu (platba za hospitalizáciu). V roku 2018 začne </w:t>
      </w:r>
      <w:r w:rsidR="00E7270B">
        <w:rPr>
          <w:rFonts w:ascii="Arial Narrow" w:hAnsi="Arial Narrow"/>
        </w:rPr>
        <w:t>5-</w:t>
      </w:r>
      <w:r>
        <w:rPr>
          <w:rFonts w:ascii="Arial Narrow" w:hAnsi="Arial Narrow"/>
        </w:rPr>
        <w:t xml:space="preserve">ročný proces konvergencie individuálnych sadzieb do jednej </w:t>
      </w:r>
      <w:r w:rsidRPr="004731A3">
        <w:rPr>
          <w:rFonts w:ascii="Arial Narrow" w:hAnsi="Arial Narrow"/>
        </w:rPr>
        <w:t>celoslovenskej referenčnej základnej sadzby</w:t>
      </w:r>
      <w:r w:rsidR="00D47DD5">
        <w:rPr>
          <w:rFonts w:ascii="Arial Narrow" w:hAnsi="Arial Narrow"/>
        </w:rPr>
        <w:t>, ktorý sa zavŕši</w:t>
      </w:r>
      <w:r w:rsidR="00D37C8E">
        <w:rPr>
          <w:rFonts w:ascii="Arial Narrow" w:hAnsi="Arial Narrow"/>
        </w:rPr>
        <w:t xml:space="preserve"> v roku 2022</w:t>
      </w:r>
      <w:r>
        <w:rPr>
          <w:rFonts w:ascii="Arial Narrow" w:hAnsi="Arial Narrow"/>
        </w:rPr>
        <w:t>.</w:t>
      </w:r>
    </w:p>
    <w:p w14:paraId="629DD64A" w14:textId="6D42284E" w:rsidR="000E039C" w:rsidRPr="00903EF4" w:rsidRDefault="000E039C" w:rsidP="00FB625E">
      <w:pPr>
        <w:spacing w:after="0" w:line="240" w:lineRule="auto"/>
        <w:rPr>
          <w:rFonts w:ascii="Arial Narrow" w:hAnsi="Arial Narrow"/>
          <w:b/>
          <w:i/>
        </w:rPr>
      </w:pPr>
      <w:r w:rsidRPr="00903EF4">
        <w:rPr>
          <w:rFonts w:ascii="Arial Narrow" w:hAnsi="Arial Narrow"/>
          <w:b/>
          <w:i/>
        </w:rPr>
        <w:t xml:space="preserve">Implementácia eHealth </w:t>
      </w:r>
    </w:p>
    <w:p w14:paraId="5C32B89C" w14:textId="2659B961" w:rsidR="000E039C" w:rsidRDefault="003E5927" w:rsidP="00FB625E">
      <w:pPr>
        <w:pStyle w:val="Odsekzoznamu"/>
        <w:spacing w:line="240" w:lineRule="auto"/>
        <w:ind w:left="0"/>
        <w:jc w:val="both"/>
        <w:rPr>
          <w:rFonts w:ascii="Arial Narrow" w:hAnsi="Arial Narrow"/>
        </w:rPr>
      </w:pPr>
      <w:r>
        <w:rPr>
          <w:rFonts w:ascii="Arial Narrow" w:hAnsi="Arial Narrow"/>
        </w:rPr>
        <w:t xml:space="preserve">V </w:t>
      </w:r>
      <w:r w:rsidR="000E039C">
        <w:rPr>
          <w:rFonts w:ascii="Arial Narrow" w:hAnsi="Arial Narrow"/>
        </w:rPr>
        <w:t>priebehu roka 2017 bude prebiehať postupné pripájanie všetkých lekárov do prostredi</w:t>
      </w:r>
      <w:r>
        <w:rPr>
          <w:rFonts w:ascii="Arial Narrow" w:hAnsi="Arial Narrow"/>
        </w:rPr>
        <w:t xml:space="preserve">a </w:t>
      </w:r>
      <w:r w:rsidRPr="003E5927">
        <w:rPr>
          <w:rFonts w:ascii="Arial Narrow" w:hAnsi="Arial Narrow"/>
          <w:i/>
        </w:rPr>
        <w:t>eHealth</w:t>
      </w:r>
      <w:r w:rsidR="000E039C">
        <w:rPr>
          <w:rFonts w:ascii="Arial Narrow" w:hAnsi="Arial Narrow"/>
        </w:rPr>
        <w:t>. Na začiatku roka 2018</w:t>
      </w:r>
      <w:r>
        <w:rPr>
          <w:rFonts w:ascii="Arial Narrow" w:hAnsi="Arial Narrow"/>
        </w:rPr>
        <w:t xml:space="preserve"> majú byť vybrané časti </w:t>
      </w:r>
      <w:r w:rsidRPr="003E5927">
        <w:rPr>
          <w:rFonts w:ascii="Arial Narrow" w:hAnsi="Arial Narrow"/>
          <w:i/>
        </w:rPr>
        <w:t>eHealth</w:t>
      </w:r>
      <w:r w:rsidR="000E039C">
        <w:rPr>
          <w:rFonts w:ascii="Arial Narrow" w:hAnsi="Arial Narrow"/>
        </w:rPr>
        <w:t xml:space="preserve"> </w:t>
      </w:r>
      <w:r w:rsidR="00D37C8E">
        <w:rPr>
          <w:rFonts w:ascii="Arial Narrow" w:hAnsi="Arial Narrow"/>
        </w:rPr>
        <w:t xml:space="preserve">plne funkčné </w:t>
      </w:r>
      <w:r w:rsidR="00AC76F1">
        <w:rPr>
          <w:rFonts w:ascii="Arial Narrow" w:hAnsi="Arial Narrow"/>
        </w:rPr>
        <w:t xml:space="preserve">– </w:t>
      </w:r>
      <w:r w:rsidR="000E039C" w:rsidRPr="00AC76F1">
        <w:rPr>
          <w:rFonts w:ascii="Arial Narrow" w:hAnsi="Arial Narrow"/>
          <w:i/>
        </w:rPr>
        <w:t>Národný portál zdravia</w:t>
      </w:r>
      <w:r w:rsidR="000E039C" w:rsidRPr="00264A13">
        <w:rPr>
          <w:rFonts w:ascii="Arial Narrow" w:hAnsi="Arial Narrow"/>
        </w:rPr>
        <w:t xml:space="preserve">, </w:t>
      </w:r>
      <w:r w:rsidR="000E039C" w:rsidRPr="00AC76F1">
        <w:rPr>
          <w:rFonts w:ascii="Arial Narrow" w:hAnsi="Arial Narrow"/>
          <w:i/>
        </w:rPr>
        <w:t>ePreskripcia</w:t>
      </w:r>
      <w:r w:rsidR="000E039C" w:rsidRPr="00264A13">
        <w:rPr>
          <w:rFonts w:ascii="Arial Narrow" w:hAnsi="Arial Narrow"/>
        </w:rPr>
        <w:t xml:space="preserve"> a </w:t>
      </w:r>
      <w:r w:rsidR="000E039C" w:rsidRPr="00AC76F1">
        <w:rPr>
          <w:rFonts w:ascii="Arial Narrow" w:hAnsi="Arial Narrow"/>
          <w:i/>
        </w:rPr>
        <w:t>eMedikácia</w:t>
      </w:r>
      <w:r w:rsidR="000E039C" w:rsidRPr="00264A13">
        <w:rPr>
          <w:rFonts w:ascii="Arial Narrow" w:hAnsi="Arial Narrow"/>
        </w:rPr>
        <w:t xml:space="preserve">, </w:t>
      </w:r>
      <w:r w:rsidR="000E039C" w:rsidRPr="00AC76F1">
        <w:rPr>
          <w:rFonts w:ascii="Arial Narrow" w:hAnsi="Arial Narrow"/>
          <w:i/>
        </w:rPr>
        <w:t>Elektronická zdrav</w:t>
      </w:r>
      <w:r w:rsidR="00D37C8E" w:rsidRPr="00AC76F1">
        <w:rPr>
          <w:rFonts w:ascii="Arial Narrow" w:hAnsi="Arial Narrow"/>
          <w:i/>
        </w:rPr>
        <w:t>otná knižka občana</w:t>
      </w:r>
      <w:r w:rsidR="00D37C8E">
        <w:rPr>
          <w:rFonts w:ascii="Arial Narrow" w:hAnsi="Arial Narrow"/>
        </w:rPr>
        <w:t xml:space="preserve"> a </w:t>
      </w:r>
      <w:r w:rsidR="00D37C8E" w:rsidRPr="00AC76F1">
        <w:rPr>
          <w:rFonts w:ascii="Arial Narrow" w:hAnsi="Arial Narrow"/>
          <w:i/>
        </w:rPr>
        <w:t>eAlokácie</w:t>
      </w:r>
      <w:r w:rsidR="000E039C">
        <w:rPr>
          <w:rFonts w:ascii="Arial Narrow" w:hAnsi="Arial Narrow"/>
        </w:rPr>
        <w:t>.</w:t>
      </w:r>
      <w:r w:rsidR="00D37C8E">
        <w:rPr>
          <w:rFonts w:ascii="Arial Narrow" w:hAnsi="Arial Narrow"/>
        </w:rPr>
        <w:t xml:space="preserve"> Dáta obsiahnuté </w:t>
      </w:r>
      <w:r w:rsidR="00BC1038">
        <w:rPr>
          <w:rFonts w:ascii="Arial Narrow" w:hAnsi="Arial Narrow"/>
        </w:rPr>
        <w:t>v papierovej</w:t>
      </w:r>
      <w:r w:rsidR="00D37C8E">
        <w:rPr>
          <w:rFonts w:ascii="Arial Narrow" w:hAnsi="Arial Narrow"/>
        </w:rPr>
        <w:t xml:space="preserve"> zdravotnej dokumentácii sa do </w:t>
      </w:r>
      <w:r w:rsidR="00090CAE" w:rsidRPr="003E5927">
        <w:rPr>
          <w:rFonts w:ascii="Arial Narrow" w:hAnsi="Arial Narrow"/>
          <w:i/>
        </w:rPr>
        <w:t>e</w:t>
      </w:r>
      <w:r w:rsidR="00D37C8E" w:rsidRPr="003E5927">
        <w:rPr>
          <w:rFonts w:ascii="Arial Narrow" w:hAnsi="Arial Narrow"/>
          <w:i/>
        </w:rPr>
        <w:t>Health</w:t>
      </w:r>
      <w:r w:rsidR="00865E21">
        <w:rPr>
          <w:rFonts w:ascii="Arial Narrow" w:hAnsi="Arial Narrow"/>
        </w:rPr>
        <w:t xml:space="preserve"> nebudú prepisovať</w:t>
      </w:r>
      <w:r w:rsidR="00D37C8E">
        <w:rPr>
          <w:rFonts w:ascii="Arial Narrow" w:hAnsi="Arial Narrow"/>
        </w:rPr>
        <w:t>. Už dnes sa</w:t>
      </w:r>
      <w:r w:rsidR="000E039C">
        <w:rPr>
          <w:rFonts w:ascii="Arial Narrow" w:hAnsi="Arial Narrow"/>
        </w:rPr>
        <w:t xml:space="preserve"> </w:t>
      </w:r>
      <w:r w:rsidR="00D37C8E">
        <w:rPr>
          <w:rFonts w:ascii="Arial Narrow" w:hAnsi="Arial Narrow"/>
        </w:rPr>
        <w:t>pre</w:t>
      </w:r>
      <w:r w:rsidR="005A36BD">
        <w:rPr>
          <w:rFonts w:ascii="Arial Narrow" w:hAnsi="Arial Narrow"/>
        </w:rPr>
        <w:t>d</w:t>
      </w:r>
      <w:r w:rsidR="00D37C8E">
        <w:rPr>
          <w:rFonts w:ascii="Arial Narrow" w:hAnsi="Arial Narrow"/>
        </w:rPr>
        <w:t xml:space="preserve">pokladá, že v budúcich rokoch bude </w:t>
      </w:r>
      <w:r w:rsidR="00865E21">
        <w:rPr>
          <w:rFonts w:ascii="Arial Narrow" w:hAnsi="Arial Narrow"/>
        </w:rPr>
        <w:t>nevyhnutná</w:t>
      </w:r>
      <w:r w:rsidR="00D37C8E">
        <w:rPr>
          <w:rFonts w:ascii="Arial Narrow" w:hAnsi="Arial Narrow"/>
        </w:rPr>
        <w:t> </w:t>
      </w:r>
      <w:r w:rsidR="00865E21">
        <w:rPr>
          <w:rFonts w:ascii="Arial Narrow" w:hAnsi="Arial Narrow"/>
        </w:rPr>
        <w:t>úprava</w:t>
      </w:r>
      <w:r w:rsidR="00D37C8E">
        <w:rPr>
          <w:rFonts w:ascii="Arial Narrow" w:hAnsi="Arial Narrow"/>
        </w:rPr>
        <w:t xml:space="preserve"> niektorých funkcionalít (</w:t>
      </w:r>
      <w:r w:rsidR="00AC76F1">
        <w:rPr>
          <w:rFonts w:ascii="Arial Narrow" w:hAnsi="Arial Narrow"/>
        </w:rPr>
        <w:t>p</w:t>
      </w:r>
      <w:r w:rsidR="00D37C8E" w:rsidRPr="00264A13">
        <w:rPr>
          <w:rFonts w:ascii="Arial Narrow" w:hAnsi="Arial Narrow"/>
        </w:rPr>
        <w:t>reskripcia</w:t>
      </w:r>
      <w:r w:rsidR="00AC76F1">
        <w:rPr>
          <w:rFonts w:ascii="Arial Narrow" w:hAnsi="Arial Narrow"/>
        </w:rPr>
        <w:t>, p</w:t>
      </w:r>
      <w:r w:rsidR="00D37C8E">
        <w:rPr>
          <w:rFonts w:ascii="Arial Narrow" w:hAnsi="Arial Narrow"/>
        </w:rPr>
        <w:t>acientsky sumár).</w:t>
      </w:r>
    </w:p>
    <w:p w14:paraId="20E12FCF" w14:textId="77777777" w:rsidR="000E039C" w:rsidRDefault="000E039C" w:rsidP="00FB625E">
      <w:pPr>
        <w:pStyle w:val="Odsekzoznamu"/>
        <w:spacing w:line="240" w:lineRule="auto"/>
        <w:ind w:left="0"/>
        <w:jc w:val="both"/>
        <w:rPr>
          <w:rFonts w:ascii="Arial Narrow" w:hAnsi="Arial Narrow"/>
        </w:rPr>
      </w:pPr>
    </w:p>
    <w:p w14:paraId="79F3EAB1" w14:textId="1F6766BE" w:rsidR="000E039C" w:rsidRDefault="000E039C" w:rsidP="00FB625E">
      <w:pPr>
        <w:pStyle w:val="Odsekzoznamu"/>
        <w:spacing w:line="240" w:lineRule="auto"/>
        <w:ind w:left="0"/>
        <w:jc w:val="both"/>
        <w:rPr>
          <w:rFonts w:ascii="Arial Narrow" w:hAnsi="Arial Narrow"/>
          <w:b/>
          <w:i/>
        </w:rPr>
      </w:pPr>
      <w:r w:rsidRPr="001C3D5C">
        <w:rPr>
          <w:rFonts w:ascii="Arial Narrow" w:hAnsi="Arial Narrow"/>
          <w:b/>
          <w:i/>
        </w:rPr>
        <w:t>Model kompetencií</w:t>
      </w:r>
      <w:r w:rsidR="0001482F">
        <w:rPr>
          <w:rFonts w:ascii="Arial Narrow" w:hAnsi="Arial Narrow"/>
          <w:b/>
          <w:i/>
        </w:rPr>
        <w:t>,</w:t>
      </w:r>
      <w:r w:rsidR="005A36BD">
        <w:rPr>
          <w:rFonts w:ascii="Arial Narrow" w:hAnsi="Arial Narrow"/>
          <w:b/>
          <w:i/>
        </w:rPr>
        <w:t xml:space="preserve"> </w:t>
      </w:r>
      <w:r w:rsidR="00865E21">
        <w:rPr>
          <w:rFonts w:ascii="Arial Narrow" w:hAnsi="Arial Narrow"/>
          <w:b/>
          <w:i/>
        </w:rPr>
        <w:t>systém odmeňovania</w:t>
      </w:r>
      <w:r w:rsidR="0001482F">
        <w:rPr>
          <w:rFonts w:ascii="Arial Narrow" w:hAnsi="Arial Narrow"/>
          <w:b/>
          <w:i/>
        </w:rPr>
        <w:t xml:space="preserve"> a rozšírenie Rezidenčného programu</w:t>
      </w:r>
    </w:p>
    <w:p w14:paraId="5C3198AA" w14:textId="6EDAB7B0" w:rsidR="0001482F" w:rsidRDefault="00273582" w:rsidP="00394780">
      <w:pPr>
        <w:pStyle w:val="Odsekzoznamu"/>
        <w:spacing w:after="0" w:line="240" w:lineRule="auto"/>
        <w:ind w:left="0"/>
        <w:jc w:val="both"/>
        <w:rPr>
          <w:rFonts w:ascii="Arial Narrow" w:hAnsi="Arial Narrow"/>
        </w:rPr>
      </w:pPr>
      <w:r>
        <w:rPr>
          <w:rFonts w:ascii="Arial Narrow" w:hAnsi="Arial Narrow"/>
        </w:rPr>
        <w:t xml:space="preserve">Dôjde k </w:t>
      </w:r>
      <w:r w:rsidR="000E039C">
        <w:rPr>
          <w:rFonts w:ascii="Arial Narrow" w:hAnsi="Arial Narrow"/>
        </w:rPr>
        <w:t xml:space="preserve">prerozdeleniu kompetencií jednotlivých </w:t>
      </w:r>
      <w:r w:rsidR="00BC1038">
        <w:rPr>
          <w:rFonts w:ascii="Arial Narrow" w:hAnsi="Arial Narrow"/>
        </w:rPr>
        <w:t xml:space="preserve">skupín </w:t>
      </w:r>
      <w:r w:rsidR="000E039C">
        <w:rPr>
          <w:rFonts w:ascii="Arial Narrow" w:hAnsi="Arial Narrow"/>
        </w:rPr>
        <w:t xml:space="preserve">zdravotníckych pracovníkov, predovšetkým v lôžkovej starostlivosti. </w:t>
      </w:r>
      <w:r w:rsidR="00865E21">
        <w:rPr>
          <w:rFonts w:ascii="Arial Narrow" w:hAnsi="Arial Narrow"/>
        </w:rPr>
        <w:t>Nový model kompetencií bude prihliadať na obsah a rozsah získaného vzdelania</w:t>
      </w:r>
      <w:r w:rsidR="00E7270B">
        <w:rPr>
          <w:rFonts w:ascii="Arial Narrow" w:hAnsi="Arial Narrow"/>
        </w:rPr>
        <w:t xml:space="preserve">, </w:t>
      </w:r>
      <w:r w:rsidR="00865E21">
        <w:rPr>
          <w:rFonts w:ascii="Arial Narrow" w:hAnsi="Arial Narrow"/>
        </w:rPr>
        <w:t xml:space="preserve"> ako aj efektívnosť a bezpečnosť poskytovania zdravotnej starostlivosti. </w:t>
      </w:r>
      <w:r w:rsidR="000E039C">
        <w:rPr>
          <w:rFonts w:ascii="Arial Narrow" w:hAnsi="Arial Narrow"/>
        </w:rPr>
        <w:t>Rozšírenie kompetencií má za cieľ zatraktívniť zamestna</w:t>
      </w:r>
      <w:r w:rsidR="00E7270B">
        <w:rPr>
          <w:rFonts w:ascii="Arial Narrow" w:hAnsi="Arial Narrow"/>
        </w:rPr>
        <w:t xml:space="preserve">nosť v zdravotníckych </w:t>
      </w:r>
      <w:r w:rsidR="00394780">
        <w:rPr>
          <w:rFonts w:ascii="Arial Narrow" w:hAnsi="Arial Narrow"/>
        </w:rPr>
        <w:t xml:space="preserve">povolaniach. </w:t>
      </w:r>
      <w:r w:rsidR="005A36BD">
        <w:rPr>
          <w:rFonts w:ascii="Arial Narrow" w:hAnsi="Arial Narrow"/>
        </w:rPr>
        <w:t>Dlhodobou snahou</w:t>
      </w:r>
      <w:r w:rsidR="00865E21">
        <w:rPr>
          <w:rFonts w:ascii="Arial Narrow" w:hAnsi="Arial Narrow"/>
        </w:rPr>
        <w:t xml:space="preserve"> MZ SR je p</w:t>
      </w:r>
      <w:r w:rsidR="00865E21" w:rsidRPr="00865E21">
        <w:rPr>
          <w:rFonts w:ascii="Arial Narrow" w:hAnsi="Arial Narrow"/>
        </w:rPr>
        <w:t>odpora a presadzovanie odmeňovania zdravotníckych pracovníkov na základe zásluhového princípu</w:t>
      </w:r>
      <w:r w:rsidR="00865E21">
        <w:rPr>
          <w:rFonts w:ascii="Arial Narrow" w:hAnsi="Arial Narrow"/>
        </w:rPr>
        <w:t xml:space="preserve">. </w:t>
      </w:r>
      <w:r w:rsidR="0001482F">
        <w:rPr>
          <w:rFonts w:ascii="Arial Narrow" w:hAnsi="Arial Narrow"/>
        </w:rPr>
        <w:t>Rezidenčný program sa rozšíri o ďalšie špecializácie vrátane zubných lekárov.</w:t>
      </w:r>
    </w:p>
    <w:p w14:paraId="40906F71" w14:textId="77777777" w:rsidR="000E039C" w:rsidRDefault="000E039C" w:rsidP="00FB625E">
      <w:pPr>
        <w:pStyle w:val="Odsekzoznamu"/>
        <w:spacing w:line="240" w:lineRule="auto"/>
        <w:ind w:left="0"/>
        <w:jc w:val="both"/>
        <w:rPr>
          <w:rFonts w:ascii="Arial Narrow" w:hAnsi="Arial Narrow"/>
        </w:rPr>
      </w:pPr>
    </w:p>
    <w:p w14:paraId="32EA5E54" w14:textId="35CA25E0" w:rsidR="00204E19" w:rsidRPr="003826AA" w:rsidRDefault="00204E19" w:rsidP="00204E19">
      <w:pPr>
        <w:pStyle w:val="Odsekzoznamu"/>
        <w:spacing w:line="240" w:lineRule="auto"/>
        <w:ind w:left="0"/>
        <w:jc w:val="both"/>
        <w:rPr>
          <w:rFonts w:ascii="Arial Narrow" w:hAnsi="Arial Narrow"/>
          <w:b/>
          <w:i/>
          <w:color w:val="222222"/>
        </w:rPr>
      </w:pPr>
      <w:r w:rsidRPr="00E33C48">
        <w:rPr>
          <w:rFonts w:ascii="Arial Narrow" w:hAnsi="Arial Narrow"/>
          <w:b/>
          <w:i/>
          <w:color w:val="222222"/>
        </w:rPr>
        <w:t>Rede</w:t>
      </w:r>
      <w:r w:rsidR="00AC76F1">
        <w:rPr>
          <w:rFonts w:ascii="Arial Narrow" w:hAnsi="Arial Narrow"/>
          <w:b/>
          <w:i/>
          <w:color w:val="222222"/>
        </w:rPr>
        <w:t xml:space="preserve">finovanie zdravotných zariadení a </w:t>
      </w:r>
      <w:r w:rsidR="008F29DB">
        <w:rPr>
          <w:rFonts w:ascii="Arial Narrow" w:hAnsi="Arial Narrow"/>
          <w:b/>
          <w:i/>
          <w:color w:val="222222"/>
        </w:rPr>
        <w:t>n</w:t>
      </w:r>
      <w:r>
        <w:rPr>
          <w:rFonts w:ascii="Arial Narrow" w:hAnsi="Arial Narrow"/>
          <w:b/>
          <w:i/>
        </w:rPr>
        <w:t>ová pohotovosť</w:t>
      </w:r>
    </w:p>
    <w:p w14:paraId="64318DF6" w14:textId="5BF36BB8" w:rsidR="00204E19" w:rsidRDefault="00204E19" w:rsidP="00C64681">
      <w:pPr>
        <w:pStyle w:val="Odsekzoznamu"/>
        <w:spacing w:after="160" w:line="240" w:lineRule="auto"/>
        <w:ind w:left="0"/>
        <w:contextualSpacing w:val="0"/>
        <w:jc w:val="both"/>
        <w:rPr>
          <w:rFonts w:ascii="Arial Narrow" w:hAnsi="Arial Narrow"/>
        </w:rPr>
      </w:pPr>
      <w:r>
        <w:rPr>
          <w:rFonts w:ascii="Arial Narrow" w:hAnsi="Arial Narrow"/>
        </w:rPr>
        <w:t>Dôjde k optima</w:t>
      </w:r>
      <w:r w:rsidR="00E7270B">
        <w:rPr>
          <w:rFonts w:ascii="Arial Narrow" w:hAnsi="Arial Narrow"/>
        </w:rPr>
        <w:t xml:space="preserve">lizácii koncovej siete nemocníc, </w:t>
      </w:r>
      <w:r>
        <w:rPr>
          <w:rFonts w:ascii="Arial Narrow" w:hAnsi="Arial Narrow"/>
        </w:rPr>
        <w:t>ako aj siet</w:t>
      </w:r>
      <w:r w:rsidR="00273582">
        <w:rPr>
          <w:rFonts w:ascii="Arial Narrow" w:hAnsi="Arial Narrow"/>
        </w:rPr>
        <w:t xml:space="preserve">e ambulantných poskytovateľov s </w:t>
      </w:r>
      <w:r w:rsidR="00AC76F1">
        <w:rPr>
          <w:rFonts w:ascii="Arial Narrow" w:hAnsi="Arial Narrow"/>
        </w:rPr>
        <w:t xml:space="preserve">dôrazom na regionálne potreby a </w:t>
      </w:r>
      <w:r>
        <w:rPr>
          <w:rFonts w:ascii="Arial Narrow" w:hAnsi="Arial Narrow"/>
        </w:rPr>
        <w:t>bezpečnosť pacienta. Medicínsky náročné a špecializované činnosti budú centralizované. Lôžkové kapacity budú pris</w:t>
      </w:r>
      <w:r w:rsidR="00273582">
        <w:rPr>
          <w:rFonts w:ascii="Arial Narrow" w:hAnsi="Arial Narrow"/>
        </w:rPr>
        <w:t xml:space="preserve">pôsobené regionálnym potrebám a </w:t>
      </w:r>
      <w:r>
        <w:rPr>
          <w:rFonts w:ascii="Arial Narrow" w:hAnsi="Arial Narrow"/>
        </w:rPr>
        <w:t xml:space="preserve">posilnia sa kapacity v dlhodobej starostlivosti. </w:t>
      </w:r>
    </w:p>
    <w:p w14:paraId="038C7CB4" w14:textId="370D5DF6" w:rsidR="000E039C" w:rsidRDefault="000E039C" w:rsidP="00FB625E">
      <w:pPr>
        <w:pStyle w:val="Odsekzoznamu"/>
        <w:spacing w:line="240" w:lineRule="auto"/>
        <w:ind w:left="0"/>
        <w:jc w:val="both"/>
        <w:rPr>
          <w:rFonts w:ascii="Arial Narrow" w:hAnsi="Arial Narrow"/>
        </w:rPr>
      </w:pPr>
      <w:r>
        <w:rPr>
          <w:rFonts w:ascii="Arial Narrow" w:hAnsi="Arial Narrow"/>
        </w:rPr>
        <w:t>Bude dobudovaná sieť urgentných príjmov a reformovaný systém pohotovostí. Rozšírením siete urgentov sa zlepší kapacitná priepustnosť</w:t>
      </w:r>
      <w:r w:rsidR="00E7270B">
        <w:rPr>
          <w:rFonts w:ascii="Arial Narrow" w:hAnsi="Arial Narrow"/>
        </w:rPr>
        <w:t xml:space="preserve">, </w:t>
      </w:r>
      <w:r w:rsidRPr="00D370AB">
        <w:rPr>
          <w:rFonts w:ascii="Arial Narrow" w:hAnsi="Arial Narrow"/>
        </w:rPr>
        <w:t>a</w:t>
      </w:r>
      <w:r>
        <w:rPr>
          <w:rFonts w:ascii="Arial Narrow" w:hAnsi="Arial Narrow"/>
        </w:rPr>
        <w:t xml:space="preserve">ko aj dostupnosť </w:t>
      </w:r>
      <w:r w:rsidRPr="00D370AB">
        <w:rPr>
          <w:rFonts w:ascii="Arial Narrow" w:hAnsi="Arial Narrow"/>
        </w:rPr>
        <w:t xml:space="preserve">akútnej </w:t>
      </w:r>
      <w:r>
        <w:rPr>
          <w:rFonts w:ascii="Arial Narrow" w:hAnsi="Arial Narrow"/>
        </w:rPr>
        <w:t xml:space="preserve">starostlivosti v regiónoch. V nadväznosti na sieť urgentných príjmov bude prebudovaný aj systém pohotovosti. Navrhne sa pevná sieť </w:t>
      </w:r>
      <w:r w:rsidRPr="00D370AB">
        <w:rPr>
          <w:rFonts w:ascii="Arial Narrow" w:hAnsi="Arial Narrow"/>
          <w:color w:val="222222"/>
        </w:rPr>
        <w:t xml:space="preserve">poskytovateľov nepretržitej </w:t>
      </w:r>
      <w:r w:rsidRPr="00273582">
        <w:rPr>
          <w:rFonts w:ascii="Arial Narrow" w:hAnsi="Arial Narrow"/>
          <w:i/>
          <w:color w:val="222222"/>
        </w:rPr>
        <w:t>Novej Pohotovosti</w:t>
      </w:r>
      <w:r>
        <w:rPr>
          <w:rFonts w:ascii="Arial Narrow" w:hAnsi="Arial Narrow"/>
          <w:color w:val="222222"/>
        </w:rPr>
        <w:t xml:space="preserve"> </w:t>
      </w:r>
      <w:r w:rsidRPr="00D370AB">
        <w:rPr>
          <w:rFonts w:ascii="Arial Narrow" w:hAnsi="Arial Narrow"/>
          <w:color w:val="222222"/>
        </w:rPr>
        <w:t>z pohľadu dostupnosti, účelnosti a efektívnosti.</w:t>
      </w:r>
    </w:p>
    <w:p w14:paraId="3F98C36F" w14:textId="77777777" w:rsidR="000E039C" w:rsidRPr="00CA5635" w:rsidRDefault="000E039C" w:rsidP="00FB625E">
      <w:pPr>
        <w:pStyle w:val="Odsekzoznamu"/>
        <w:spacing w:line="240" w:lineRule="auto"/>
        <w:ind w:left="0"/>
        <w:jc w:val="both"/>
        <w:rPr>
          <w:rFonts w:ascii="Arial Narrow" w:hAnsi="Arial Narrow"/>
        </w:rPr>
      </w:pPr>
    </w:p>
    <w:p w14:paraId="628E49BD" w14:textId="77777777" w:rsidR="000E039C" w:rsidRDefault="000E039C" w:rsidP="00FB625E">
      <w:pPr>
        <w:pStyle w:val="Odsekzoznamu"/>
        <w:spacing w:line="240" w:lineRule="auto"/>
        <w:ind w:left="0"/>
        <w:jc w:val="both"/>
        <w:rPr>
          <w:rFonts w:ascii="Arial Narrow" w:hAnsi="Arial Narrow"/>
          <w:b/>
          <w:i/>
        </w:rPr>
      </w:pPr>
      <w:r w:rsidRPr="004731A3">
        <w:rPr>
          <w:rFonts w:ascii="Arial Narrow" w:hAnsi="Arial Narrow"/>
          <w:b/>
          <w:i/>
        </w:rPr>
        <w:t>Transparentnosť</w:t>
      </w:r>
      <w:r w:rsidRPr="00113611">
        <w:rPr>
          <w:rFonts w:ascii="Arial Narrow" w:hAnsi="Arial Narrow"/>
          <w:b/>
          <w:i/>
        </w:rPr>
        <w:t xml:space="preserve"> </w:t>
      </w:r>
      <w:r>
        <w:rPr>
          <w:rFonts w:ascii="Arial Narrow" w:hAnsi="Arial Narrow"/>
          <w:b/>
          <w:i/>
        </w:rPr>
        <w:t>a čakacie doby</w:t>
      </w:r>
    </w:p>
    <w:p w14:paraId="5D3DAB73" w14:textId="7C605131" w:rsidR="000E039C" w:rsidRDefault="000E039C" w:rsidP="00FB625E">
      <w:pPr>
        <w:pStyle w:val="Odsekzoznamu"/>
        <w:spacing w:line="240" w:lineRule="auto"/>
        <w:ind w:left="0"/>
        <w:jc w:val="both"/>
        <w:rPr>
          <w:rFonts w:ascii="Arial Narrow" w:hAnsi="Arial Narrow"/>
        </w:rPr>
      </w:pPr>
      <w:r>
        <w:rPr>
          <w:rFonts w:ascii="Arial Narrow" w:hAnsi="Arial Narrow"/>
        </w:rPr>
        <w:t>Bude rozšírený zoznam verejne prístupných dát v užívateľsky prístupnom formáte. Posilnenie transparentnosti prinesie aj reorganizácia výberových procesov, či prizvanie nezávislých zástupcov (napr. z tretieho sektora) do dozorných orgánov štátnych inštitúcii.</w:t>
      </w:r>
      <w:r w:rsidR="00394780">
        <w:rPr>
          <w:rFonts w:ascii="Arial Narrow" w:hAnsi="Arial Narrow"/>
        </w:rPr>
        <w:t xml:space="preserve"> </w:t>
      </w:r>
      <w:r w:rsidR="00865E21">
        <w:rPr>
          <w:rFonts w:ascii="Arial Narrow" w:hAnsi="Arial Narrow"/>
        </w:rPr>
        <w:t>Budú rozšírené</w:t>
      </w:r>
      <w:r w:rsidRPr="00CA5635">
        <w:rPr>
          <w:rFonts w:ascii="Arial Narrow" w:hAnsi="Arial Narrow"/>
        </w:rPr>
        <w:t xml:space="preserve"> zoznam</w:t>
      </w:r>
      <w:r w:rsidR="00865E21">
        <w:rPr>
          <w:rFonts w:ascii="Arial Narrow" w:hAnsi="Arial Narrow"/>
        </w:rPr>
        <w:t>y</w:t>
      </w:r>
      <w:r w:rsidRPr="00CA5635">
        <w:rPr>
          <w:rFonts w:ascii="Arial Narrow" w:hAnsi="Arial Narrow"/>
        </w:rPr>
        <w:t xml:space="preserve"> výkonov s maximálnou čakacou dobou,</w:t>
      </w:r>
      <w:r>
        <w:rPr>
          <w:rFonts w:ascii="Arial Narrow" w:hAnsi="Arial Narrow"/>
        </w:rPr>
        <w:t xml:space="preserve"> okrem operačných výkonov pribudnú aj vybrané vyšetrenie u špecialistov a diagnostické vyšetrenia. </w:t>
      </w:r>
    </w:p>
    <w:p w14:paraId="5625CA8F" w14:textId="77777777" w:rsidR="008863AE" w:rsidRDefault="008863AE" w:rsidP="00FB625E">
      <w:pPr>
        <w:pStyle w:val="Odsekzoznamu"/>
        <w:spacing w:line="240" w:lineRule="auto"/>
        <w:ind w:left="0"/>
        <w:jc w:val="both"/>
        <w:rPr>
          <w:rFonts w:ascii="Arial Narrow" w:hAnsi="Arial Narrow"/>
          <w:b/>
          <w:i/>
        </w:rPr>
      </w:pPr>
    </w:p>
    <w:p w14:paraId="21E73B5D" w14:textId="5FA74116" w:rsidR="000E039C" w:rsidRPr="008863AE" w:rsidRDefault="008863AE" w:rsidP="00FB625E">
      <w:pPr>
        <w:pStyle w:val="Odsekzoznamu"/>
        <w:spacing w:after="0" w:line="240" w:lineRule="auto"/>
        <w:ind w:left="0"/>
        <w:jc w:val="both"/>
        <w:rPr>
          <w:rFonts w:ascii="Arial Narrow" w:hAnsi="Arial Narrow"/>
          <w:b/>
          <w:i/>
        </w:rPr>
      </w:pPr>
      <w:r w:rsidRPr="008863AE">
        <w:rPr>
          <w:rFonts w:ascii="Arial Narrow" w:hAnsi="Arial Narrow"/>
          <w:b/>
          <w:i/>
        </w:rPr>
        <w:t>Viaczdrojové financovanie</w:t>
      </w:r>
    </w:p>
    <w:p w14:paraId="4D8AC4A8" w14:textId="1297BCD5" w:rsidR="008863AE" w:rsidRPr="001C3D5C" w:rsidRDefault="008863AE" w:rsidP="00FB625E">
      <w:pPr>
        <w:spacing w:after="0" w:line="240" w:lineRule="auto"/>
        <w:jc w:val="both"/>
        <w:rPr>
          <w:rFonts w:ascii="Arial Narrow" w:hAnsi="Arial Narrow"/>
        </w:rPr>
      </w:pPr>
      <w:r>
        <w:rPr>
          <w:rFonts w:ascii="Arial Narrow" w:hAnsi="Arial Narrow"/>
        </w:rPr>
        <w:t>Budú zavedené</w:t>
      </w:r>
      <w:r w:rsidRPr="008863AE">
        <w:rPr>
          <w:rFonts w:ascii="Arial Narrow" w:hAnsi="Arial Narrow"/>
        </w:rPr>
        <w:t xml:space="preserve"> p</w:t>
      </w:r>
      <w:r>
        <w:rPr>
          <w:rFonts w:ascii="Arial Narrow" w:hAnsi="Arial Narrow"/>
        </w:rPr>
        <w:t>rehľadné pravidlá pri platbách pacientov. Vytvoria</w:t>
      </w:r>
      <w:r w:rsidR="005A36BD">
        <w:rPr>
          <w:rFonts w:ascii="Arial Narrow" w:hAnsi="Arial Narrow"/>
        </w:rPr>
        <w:t xml:space="preserve"> </w:t>
      </w:r>
      <w:r>
        <w:rPr>
          <w:rFonts w:ascii="Arial Narrow" w:hAnsi="Arial Narrow"/>
        </w:rPr>
        <w:t>sa tak podmienky pre</w:t>
      </w:r>
      <w:r w:rsidRPr="008863AE">
        <w:rPr>
          <w:rFonts w:ascii="Arial Narrow" w:hAnsi="Arial Narrow"/>
        </w:rPr>
        <w:t xml:space="preserve"> syst</w:t>
      </w:r>
      <w:r>
        <w:rPr>
          <w:rFonts w:ascii="Arial Narrow" w:hAnsi="Arial Narrow"/>
        </w:rPr>
        <w:t>ém viaczdrojového financovania s garanciou bezplatného</w:t>
      </w:r>
      <w:r w:rsidRPr="008863AE">
        <w:rPr>
          <w:rFonts w:ascii="Arial Narrow" w:hAnsi="Arial Narrow"/>
        </w:rPr>
        <w:t xml:space="preserve"> prístup</w:t>
      </w:r>
      <w:r>
        <w:rPr>
          <w:rFonts w:ascii="Arial Narrow" w:hAnsi="Arial Narrow"/>
        </w:rPr>
        <w:t>u</w:t>
      </w:r>
      <w:r w:rsidRPr="008863AE">
        <w:rPr>
          <w:rFonts w:ascii="Arial Narrow" w:hAnsi="Arial Narrow"/>
        </w:rPr>
        <w:t xml:space="preserve"> </w:t>
      </w:r>
      <w:r>
        <w:rPr>
          <w:rFonts w:ascii="Arial Narrow" w:hAnsi="Arial Narrow"/>
        </w:rPr>
        <w:t>k zdravotnej starostliv</w:t>
      </w:r>
      <w:r w:rsidR="005A36BD">
        <w:rPr>
          <w:rFonts w:ascii="Arial Narrow" w:hAnsi="Arial Narrow"/>
        </w:rPr>
        <w:t>o</w:t>
      </w:r>
      <w:r>
        <w:rPr>
          <w:rFonts w:ascii="Arial Narrow" w:hAnsi="Arial Narrow"/>
        </w:rPr>
        <w:t xml:space="preserve">sti pre </w:t>
      </w:r>
      <w:r w:rsidRPr="008863AE">
        <w:rPr>
          <w:rFonts w:ascii="Arial Narrow" w:hAnsi="Arial Narrow"/>
        </w:rPr>
        <w:t>sociálne najslabších a znevýhodnených občanov.</w:t>
      </w:r>
      <w:r>
        <w:rPr>
          <w:rFonts w:ascii="Arial Narrow" w:hAnsi="Arial Narrow"/>
        </w:rPr>
        <w:t xml:space="preserve"> Súčasný systém nemá jasné</w:t>
      </w:r>
      <w:r w:rsidRPr="008863AE">
        <w:rPr>
          <w:rFonts w:ascii="Arial Narrow" w:hAnsi="Arial Narrow"/>
        </w:rPr>
        <w:t xml:space="preserve"> pravidlá </w:t>
      </w:r>
      <w:r>
        <w:rPr>
          <w:rFonts w:ascii="Arial Narrow" w:hAnsi="Arial Narrow"/>
        </w:rPr>
        <w:t>a l</w:t>
      </w:r>
      <w:r w:rsidRPr="008863AE">
        <w:rPr>
          <w:rFonts w:ascii="Arial Narrow" w:hAnsi="Arial Narrow"/>
        </w:rPr>
        <w:t>ekári vyberajú od pacientov poplatky aj za zdravotné výkony, ktoré sú hradené zo zdrojov verejného zdravotného poistenia.</w:t>
      </w:r>
    </w:p>
    <w:p w14:paraId="19199889" w14:textId="0F509B5A" w:rsidR="005523BB" w:rsidRDefault="009525B4" w:rsidP="00C64681">
      <w:pPr>
        <w:pStyle w:val="Nadpis2"/>
        <w:numPr>
          <w:ilvl w:val="1"/>
          <w:numId w:val="1"/>
        </w:numPr>
        <w:spacing w:after="240" w:line="240" w:lineRule="auto"/>
        <w:jc w:val="both"/>
        <w:rPr>
          <w:rFonts w:ascii="Arial Narrow" w:hAnsi="Arial Narrow"/>
          <w:color w:val="2C9ADC"/>
          <w:sz w:val="32"/>
          <w:szCs w:val="28"/>
        </w:rPr>
      </w:pPr>
      <w:r>
        <w:br w:type="page"/>
      </w:r>
      <w:bookmarkStart w:id="77" w:name="_Toc386005378"/>
      <w:bookmarkStart w:id="78" w:name="_Toc477259959"/>
      <w:r w:rsidR="00827618" w:rsidRPr="00256D89">
        <w:rPr>
          <w:rFonts w:ascii="Arial Narrow" w:hAnsi="Arial Narrow"/>
          <w:color w:val="2C9ADC"/>
          <w:sz w:val="32"/>
          <w:szCs w:val="28"/>
        </w:rPr>
        <w:lastRenderedPageBreak/>
        <w:t>Environmentálna udržateľnosť a</w:t>
      </w:r>
      <w:r w:rsidR="007D610E">
        <w:rPr>
          <w:rFonts w:ascii="Arial Narrow" w:hAnsi="Arial Narrow"/>
          <w:color w:val="2C9ADC"/>
          <w:sz w:val="32"/>
          <w:szCs w:val="28"/>
        </w:rPr>
        <w:t> </w:t>
      </w:r>
      <w:r w:rsidR="00827618" w:rsidRPr="00256D89">
        <w:rPr>
          <w:rFonts w:ascii="Arial Narrow" w:hAnsi="Arial Narrow"/>
          <w:color w:val="2C9ADC"/>
          <w:sz w:val="32"/>
          <w:szCs w:val="28"/>
        </w:rPr>
        <w:t>energetika</w:t>
      </w:r>
      <w:bookmarkEnd w:id="77"/>
      <w:bookmarkEnd w:id="78"/>
    </w:p>
    <w:p w14:paraId="3208B3A1" w14:textId="366D627E" w:rsidR="006F4EC0" w:rsidRDefault="00D91798" w:rsidP="00FB625E">
      <w:pPr>
        <w:spacing w:after="0" w:line="240" w:lineRule="auto"/>
        <w:jc w:val="both"/>
        <w:rPr>
          <w:rFonts w:ascii="Arial Narrow" w:hAnsi="Arial Narrow"/>
          <w:i/>
        </w:rPr>
      </w:pPr>
      <w:r>
        <w:rPr>
          <w:rFonts w:ascii="Arial Narrow" w:hAnsi="Arial Narrow"/>
          <w:i/>
        </w:rPr>
        <w:t>V roku 2017 preb</w:t>
      </w:r>
      <w:r w:rsidR="00392EBF">
        <w:rPr>
          <w:rFonts w:ascii="Arial Narrow" w:hAnsi="Arial Narrow"/>
          <w:i/>
        </w:rPr>
        <w:t>i</w:t>
      </w:r>
      <w:r>
        <w:rPr>
          <w:rFonts w:ascii="Arial Narrow" w:hAnsi="Arial Narrow"/>
          <w:i/>
        </w:rPr>
        <w:t>eh</w:t>
      </w:r>
      <w:r w:rsidR="00392EBF">
        <w:rPr>
          <w:rFonts w:ascii="Arial Narrow" w:hAnsi="Arial Narrow"/>
          <w:i/>
        </w:rPr>
        <w:t>a</w:t>
      </w:r>
      <w:r>
        <w:rPr>
          <w:rFonts w:ascii="Arial Narrow" w:hAnsi="Arial Narrow"/>
          <w:i/>
        </w:rPr>
        <w:t xml:space="preserve"> revízia výdavkov v oblasti životného prostredia s cieľom zvýšenia ich efektivity a účinnosti. </w:t>
      </w:r>
      <w:r w:rsidR="007D610E" w:rsidRPr="00B83B6A">
        <w:rPr>
          <w:rFonts w:ascii="Arial Narrow" w:hAnsi="Arial Narrow"/>
          <w:i/>
        </w:rPr>
        <w:t>Stratégia environmentálnej politiky do roku 2030 určí rámcové opatrenia pre smerovanie ochrany životného prostredia. Prechod na obehové hospodárstvo sa systematicky podporí zvýšením miery recyklácie zavedením vyšších poplatkov za skládkovanie. Propagovaním zeleného verejného obsta</w:t>
      </w:r>
      <w:r w:rsidR="00E7270B">
        <w:rPr>
          <w:rFonts w:ascii="Arial Narrow" w:hAnsi="Arial Narrow"/>
          <w:i/>
        </w:rPr>
        <w:t xml:space="preserve">rávania a vytvorením informačno – </w:t>
      </w:r>
      <w:r w:rsidR="007D610E" w:rsidRPr="00B83B6A">
        <w:rPr>
          <w:rFonts w:ascii="Arial Narrow" w:hAnsi="Arial Narrow"/>
          <w:i/>
        </w:rPr>
        <w:t>vzdelávacej platformy sa posilní implementova</w:t>
      </w:r>
      <w:r w:rsidR="00D74364">
        <w:rPr>
          <w:rFonts w:ascii="Arial Narrow" w:hAnsi="Arial Narrow"/>
          <w:i/>
        </w:rPr>
        <w:t>nie zelených princípov v praxi.</w:t>
      </w:r>
    </w:p>
    <w:p w14:paraId="5A434123" w14:textId="76549672" w:rsidR="00451A15" w:rsidRPr="00451A15" w:rsidRDefault="007D610E" w:rsidP="00FB625E">
      <w:pPr>
        <w:spacing w:after="0" w:line="240" w:lineRule="auto"/>
        <w:jc w:val="both"/>
        <w:rPr>
          <w:rFonts w:ascii="Arial Narrow" w:hAnsi="Arial Narrow"/>
          <w:i/>
        </w:rPr>
      </w:pPr>
      <w:r w:rsidRPr="00B83B6A">
        <w:rPr>
          <w:rFonts w:ascii="Arial Narrow" w:hAnsi="Arial Narrow"/>
          <w:i/>
        </w:rPr>
        <w:t xml:space="preserve"> </w:t>
      </w:r>
    </w:p>
    <w:tbl>
      <w:tblPr>
        <w:tblW w:w="8550" w:type="dxa"/>
        <w:tblCellMar>
          <w:left w:w="70" w:type="dxa"/>
          <w:right w:w="70" w:type="dxa"/>
        </w:tblCellMar>
        <w:tblLook w:val="04A0" w:firstRow="1" w:lastRow="0" w:firstColumn="1" w:lastColumn="0" w:noHBand="0" w:noVBand="1"/>
      </w:tblPr>
      <w:tblGrid>
        <w:gridCol w:w="3524"/>
        <w:gridCol w:w="375"/>
        <w:gridCol w:w="514"/>
        <w:gridCol w:w="514"/>
        <w:gridCol w:w="514"/>
        <w:gridCol w:w="514"/>
        <w:gridCol w:w="514"/>
        <w:gridCol w:w="514"/>
        <w:gridCol w:w="514"/>
        <w:gridCol w:w="19"/>
        <w:gridCol w:w="495"/>
        <w:gridCol w:w="26"/>
        <w:gridCol w:w="488"/>
        <w:gridCol w:w="25"/>
      </w:tblGrid>
      <w:tr w:rsidR="00451A15" w:rsidRPr="00451A15" w14:paraId="59C3DC9A" w14:textId="77777777" w:rsidTr="00451A15">
        <w:trPr>
          <w:divId w:val="168256279"/>
          <w:trHeight w:val="262"/>
        </w:trPr>
        <w:tc>
          <w:tcPr>
            <w:tcW w:w="7516" w:type="dxa"/>
            <w:gridSpan w:val="10"/>
            <w:tcBorders>
              <w:top w:val="nil"/>
              <w:left w:val="nil"/>
              <w:bottom w:val="single" w:sz="4" w:space="0" w:color="auto"/>
              <w:right w:val="nil"/>
            </w:tcBorders>
            <w:shd w:val="clear" w:color="auto" w:fill="auto"/>
            <w:noWrap/>
            <w:vAlign w:val="center"/>
            <w:hideMark/>
          </w:tcPr>
          <w:p w14:paraId="1BBADDFD" w14:textId="77777777" w:rsidR="00451A15" w:rsidRPr="00451A15" w:rsidRDefault="00451A15" w:rsidP="00FB625E">
            <w:pPr>
              <w:spacing w:after="0" w:line="240" w:lineRule="auto"/>
              <w:rPr>
                <w:rFonts w:ascii="Arial Narrow" w:hAnsi="Arial Narrow"/>
                <w:b/>
                <w:bCs/>
                <w:color w:val="2C9ADC"/>
                <w:sz w:val="20"/>
                <w:szCs w:val="20"/>
              </w:rPr>
            </w:pPr>
            <w:r w:rsidRPr="00451A15">
              <w:rPr>
                <w:rFonts w:ascii="Arial Narrow" w:hAnsi="Arial Narrow"/>
                <w:b/>
                <w:bCs/>
                <w:color w:val="2C9ADC"/>
                <w:sz w:val="20"/>
                <w:szCs w:val="20"/>
              </w:rPr>
              <w:t>Výsledkové indikátory pre environmentálnu udržateľnosť a energetiku</w:t>
            </w:r>
          </w:p>
        </w:tc>
        <w:tc>
          <w:tcPr>
            <w:tcW w:w="521" w:type="dxa"/>
            <w:gridSpan w:val="2"/>
            <w:tcBorders>
              <w:top w:val="nil"/>
              <w:left w:val="nil"/>
              <w:bottom w:val="nil"/>
              <w:right w:val="nil"/>
            </w:tcBorders>
            <w:shd w:val="clear" w:color="auto" w:fill="auto"/>
            <w:noWrap/>
            <w:vAlign w:val="center"/>
            <w:hideMark/>
          </w:tcPr>
          <w:p w14:paraId="6AE2EC9A" w14:textId="77777777" w:rsidR="00451A15" w:rsidRPr="00451A15" w:rsidRDefault="00451A15" w:rsidP="00FB625E">
            <w:pPr>
              <w:spacing w:after="0" w:line="240" w:lineRule="auto"/>
              <w:rPr>
                <w:rFonts w:ascii="Arial Narrow" w:hAnsi="Arial Narrow"/>
                <w:b/>
                <w:bCs/>
                <w:color w:val="2C9ADC"/>
                <w:sz w:val="20"/>
                <w:szCs w:val="20"/>
              </w:rPr>
            </w:pPr>
          </w:p>
        </w:tc>
        <w:tc>
          <w:tcPr>
            <w:tcW w:w="513" w:type="dxa"/>
            <w:gridSpan w:val="2"/>
            <w:tcBorders>
              <w:top w:val="nil"/>
              <w:left w:val="nil"/>
              <w:bottom w:val="nil"/>
              <w:right w:val="nil"/>
            </w:tcBorders>
            <w:shd w:val="clear" w:color="auto" w:fill="auto"/>
            <w:noWrap/>
            <w:vAlign w:val="bottom"/>
            <w:hideMark/>
          </w:tcPr>
          <w:p w14:paraId="1E9BCAE8" w14:textId="77777777" w:rsidR="00451A15" w:rsidRPr="00451A15" w:rsidRDefault="00451A15" w:rsidP="00FB625E">
            <w:pPr>
              <w:spacing w:after="0" w:line="240" w:lineRule="auto"/>
              <w:rPr>
                <w:rFonts w:ascii="Times New Roman" w:hAnsi="Times New Roman"/>
                <w:sz w:val="20"/>
                <w:szCs w:val="20"/>
              </w:rPr>
            </w:pPr>
          </w:p>
        </w:tc>
      </w:tr>
      <w:tr w:rsidR="00451A15" w:rsidRPr="00451A15" w14:paraId="196BE945" w14:textId="77777777" w:rsidTr="00451A15">
        <w:trPr>
          <w:gridAfter w:val="1"/>
          <w:divId w:val="168256279"/>
          <w:wAfter w:w="25" w:type="dxa"/>
          <w:trHeight w:val="361"/>
        </w:trPr>
        <w:tc>
          <w:tcPr>
            <w:tcW w:w="3524" w:type="dxa"/>
            <w:tcBorders>
              <w:top w:val="nil"/>
              <w:left w:val="nil"/>
              <w:bottom w:val="single" w:sz="4" w:space="0" w:color="auto"/>
              <w:right w:val="nil"/>
            </w:tcBorders>
            <w:shd w:val="clear" w:color="auto" w:fill="auto"/>
            <w:noWrap/>
            <w:vAlign w:val="center"/>
            <w:hideMark/>
          </w:tcPr>
          <w:p w14:paraId="49F2F43C" w14:textId="77777777" w:rsidR="00451A15" w:rsidRPr="00451A15" w:rsidRDefault="00451A15" w:rsidP="00FB625E">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375" w:type="dxa"/>
            <w:tcBorders>
              <w:top w:val="nil"/>
              <w:left w:val="nil"/>
              <w:bottom w:val="single" w:sz="4" w:space="0" w:color="auto"/>
              <w:right w:val="nil"/>
            </w:tcBorders>
            <w:shd w:val="clear" w:color="auto" w:fill="auto"/>
            <w:noWrap/>
            <w:vAlign w:val="center"/>
            <w:hideMark/>
          </w:tcPr>
          <w:p w14:paraId="0890780B" w14:textId="77777777" w:rsidR="00451A15" w:rsidRPr="00451A15" w:rsidRDefault="00451A15" w:rsidP="00FB625E">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514" w:type="dxa"/>
            <w:tcBorders>
              <w:top w:val="nil"/>
              <w:left w:val="nil"/>
              <w:bottom w:val="single" w:sz="4" w:space="0" w:color="auto"/>
              <w:right w:val="nil"/>
            </w:tcBorders>
            <w:shd w:val="clear" w:color="auto" w:fill="auto"/>
            <w:vAlign w:val="center"/>
            <w:hideMark/>
          </w:tcPr>
          <w:p w14:paraId="2959F419"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2008</w:t>
            </w:r>
          </w:p>
        </w:tc>
        <w:tc>
          <w:tcPr>
            <w:tcW w:w="514" w:type="dxa"/>
            <w:tcBorders>
              <w:top w:val="nil"/>
              <w:left w:val="nil"/>
              <w:bottom w:val="single" w:sz="4" w:space="0" w:color="auto"/>
              <w:right w:val="nil"/>
            </w:tcBorders>
            <w:shd w:val="clear" w:color="auto" w:fill="auto"/>
            <w:vAlign w:val="center"/>
            <w:hideMark/>
          </w:tcPr>
          <w:p w14:paraId="7AF61C19"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2009</w:t>
            </w:r>
          </w:p>
        </w:tc>
        <w:tc>
          <w:tcPr>
            <w:tcW w:w="514" w:type="dxa"/>
            <w:tcBorders>
              <w:top w:val="nil"/>
              <w:left w:val="nil"/>
              <w:bottom w:val="single" w:sz="4" w:space="0" w:color="auto"/>
              <w:right w:val="nil"/>
            </w:tcBorders>
            <w:shd w:val="clear" w:color="auto" w:fill="auto"/>
            <w:vAlign w:val="center"/>
            <w:hideMark/>
          </w:tcPr>
          <w:p w14:paraId="4EA0F40D"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2010</w:t>
            </w:r>
          </w:p>
        </w:tc>
        <w:tc>
          <w:tcPr>
            <w:tcW w:w="514" w:type="dxa"/>
            <w:tcBorders>
              <w:top w:val="nil"/>
              <w:left w:val="nil"/>
              <w:bottom w:val="single" w:sz="4" w:space="0" w:color="auto"/>
              <w:right w:val="nil"/>
            </w:tcBorders>
            <w:shd w:val="clear" w:color="auto" w:fill="auto"/>
            <w:vAlign w:val="center"/>
            <w:hideMark/>
          </w:tcPr>
          <w:p w14:paraId="0FBF7210"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2011</w:t>
            </w:r>
          </w:p>
        </w:tc>
        <w:tc>
          <w:tcPr>
            <w:tcW w:w="514" w:type="dxa"/>
            <w:tcBorders>
              <w:top w:val="nil"/>
              <w:left w:val="nil"/>
              <w:bottom w:val="single" w:sz="4" w:space="0" w:color="auto"/>
              <w:right w:val="nil"/>
            </w:tcBorders>
            <w:shd w:val="clear" w:color="auto" w:fill="auto"/>
            <w:vAlign w:val="center"/>
            <w:hideMark/>
          </w:tcPr>
          <w:p w14:paraId="3E879366"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2012</w:t>
            </w:r>
          </w:p>
        </w:tc>
        <w:tc>
          <w:tcPr>
            <w:tcW w:w="514" w:type="dxa"/>
            <w:tcBorders>
              <w:top w:val="nil"/>
              <w:left w:val="nil"/>
              <w:bottom w:val="single" w:sz="4" w:space="0" w:color="auto"/>
              <w:right w:val="nil"/>
            </w:tcBorders>
            <w:shd w:val="clear" w:color="auto" w:fill="auto"/>
            <w:vAlign w:val="center"/>
            <w:hideMark/>
          </w:tcPr>
          <w:p w14:paraId="722E83BF"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2013</w:t>
            </w:r>
          </w:p>
        </w:tc>
        <w:tc>
          <w:tcPr>
            <w:tcW w:w="514" w:type="dxa"/>
            <w:tcBorders>
              <w:top w:val="nil"/>
              <w:left w:val="nil"/>
              <w:bottom w:val="single" w:sz="4" w:space="0" w:color="auto"/>
              <w:right w:val="nil"/>
            </w:tcBorders>
            <w:shd w:val="clear" w:color="auto" w:fill="auto"/>
            <w:vAlign w:val="center"/>
            <w:hideMark/>
          </w:tcPr>
          <w:p w14:paraId="7D813277"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2014</w:t>
            </w:r>
          </w:p>
        </w:tc>
        <w:tc>
          <w:tcPr>
            <w:tcW w:w="514" w:type="dxa"/>
            <w:gridSpan w:val="2"/>
            <w:tcBorders>
              <w:top w:val="single" w:sz="4" w:space="0" w:color="auto"/>
              <w:left w:val="nil"/>
              <w:bottom w:val="single" w:sz="4" w:space="0" w:color="auto"/>
              <w:right w:val="nil"/>
            </w:tcBorders>
            <w:shd w:val="clear" w:color="auto" w:fill="auto"/>
            <w:vAlign w:val="center"/>
            <w:hideMark/>
          </w:tcPr>
          <w:p w14:paraId="6079F7A3"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2015</w:t>
            </w:r>
          </w:p>
        </w:tc>
        <w:tc>
          <w:tcPr>
            <w:tcW w:w="514" w:type="dxa"/>
            <w:gridSpan w:val="2"/>
            <w:tcBorders>
              <w:top w:val="single" w:sz="4" w:space="0" w:color="auto"/>
              <w:left w:val="nil"/>
              <w:bottom w:val="single" w:sz="4" w:space="0" w:color="auto"/>
              <w:right w:val="nil"/>
            </w:tcBorders>
            <w:shd w:val="clear" w:color="auto" w:fill="auto"/>
            <w:vAlign w:val="center"/>
            <w:hideMark/>
          </w:tcPr>
          <w:p w14:paraId="421E2485" w14:textId="77777777" w:rsidR="00451A15" w:rsidRPr="00451A15" w:rsidRDefault="00451A15" w:rsidP="00FB625E">
            <w:pPr>
              <w:spacing w:after="0" w:line="240" w:lineRule="auto"/>
              <w:rPr>
                <w:rFonts w:ascii="Arial Narrow" w:hAnsi="Arial Narrow"/>
                <w:b/>
                <w:bCs/>
                <w:sz w:val="20"/>
                <w:szCs w:val="20"/>
              </w:rPr>
            </w:pPr>
            <w:r w:rsidRPr="00451A15">
              <w:rPr>
                <w:rFonts w:ascii="Arial Narrow" w:hAnsi="Arial Narrow"/>
                <w:b/>
                <w:bCs/>
                <w:sz w:val="20"/>
                <w:szCs w:val="20"/>
              </w:rPr>
              <w:t>Cieľ 2020</w:t>
            </w:r>
          </w:p>
        </w:tc>
      </w:tr>
      <w:tr w:rsidR="00451A15" w:rsidRPr="00451A15" w14:paraId="6E64209B" w14:textId="77777777" w:rsidTr="00451A15">
        <w:trPr>
          <w:gridAfter w:val="1"/>
          <w:divId w:val="168256279"/>
          <w:wAfter w:w="25" w:type="dxa"/>
          <w:trHeight w:val="248"/>
        </w:trPr>
        <w:tc>
          <w:tcPr>
            <w:tcW w:w="3524" w:type="dxa"/>
            <w:tcBorders>
              <w:top w:val="nil"/>
              <w:left w:val="nil"/>
              <w:bottom w:val="nil"/>
              <w:right w:val="nil"/>
            </w:tcBorders>
            <w:shd w:val="clear" w:color="auto" w:fill="auto"/>
            <w:noWrap/>
            <w:vAlign w:val="center"/>
            <w:hideMark/>
          </w:tcPr>
          <w:p w14:paraId="5BE0C592" w14:textId="77777777" w:rsidR="00451A15" w:rsidRPr="00451A15" w:rsidRDefault="00451A15" w:rsidP="00FB625E">
            <w:pPr>
              <w:spacing w:after="0" w:line="240" w:lineRule="auto"/>
              <w:jc w:val="both"/>
              <w:rPr>
                <w:rFonts w:ascii="Arial Narrow" w:hAnsi="Arial Narrow"/>
                <w:b/>
                <w:bCs/>
                <w:color w:val="000000"/>
                <w:sz w:val="20"/>
                <w:szCs w:val="20"/>
              </w:rPr>
            </w:pPr>
            <w:r w:rsidRPr="00451A15">
              <w:rPr>
                <w:rFonts w:ascii="Arial Narrow" w:hAnsi="Arial Narrow"/>
                <w:b/>
                <w:bCs/>
                <w:color w:val="000000"/>
                <w:sz w:val="20"/>
                <w:szCs w:val="20"/>
              </w:rPr>
              <w:t>Emisie skleníkových plynov mimo ETS</w:t>
            </w:r>
          </w:p>
        </w:tc>
        <w:tc>
          <w:tcPr>
            <w:tcW w:w="375" w:type="dxa"/>
            <w:tcBorders>
              <w:top w:val="nil"/>
              <w:left w:val="nil"/>
              <w:bottom w:val="nil"/>
              <w:right w:val="nil"/>
            </w:tcBorders>
            <w:shd w:val="clear" w:color="auto" w:fill="auto"/>
            <w:noWrap/>
            <w:vAlign w:val="center"/>
            <w:hideMark/>
          </w:tcPr>
          <w:p w14:paraId="59085325"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nil"/>
              <w:left w:val="nil"/>
              <w:bottom w:val="nil"/>
              <w:right w:val="nil"/>
            </w:tcBorders>
            <w:shd w:val="clear" w:color="auto" w:fill="auto"/>
            <w:vAlign w:val="center"/>
            <w:hideMark/>
          </w:tcPr>
          <w:p w14:paraId="2F6A9BDE"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-5,1</w:t>
            </w:r>
          </w:p>
        </w:tc>
        <w:tc>
          <w:tcPr>
            <w:tcW w:w="514" w:type="dxa"/>
            <w:tcBorders>
              <w:top w:val="nil"/>
              <w:left w:val="nil"/>
              <w:bottom w:val="nil"/>
              <w:right w:val="nil"/>
            </w:tcBorders>
            <w:shd w:val="clear" w:color="auto" w:fill="auto"/>
            <w:vAlign w:val="center"/>
            <w:hideMark/>
          </w:tcPr>
          <w:p w14:paraId="27EA5CEE"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-8,1</w:t>
            </w:r>
          </w:p>
        </w:tc>
        <w:tc>
          <w:tcPr>
            <w:tcW w:w="514" w:type="dxa"/>
            <w:tcBorders>
              <w:top w:val="nil"/>
              <w:left w:val="nil"/>
              <w:bottom w:val="nil"/>
              <w:right w:val="nil"/>
            </w:tcBorders>
            <w:shd w:val="clear" w:color="auto" w:fill="auto"/>
            <w:vAlign w:val="center"/>
            <w:hideMark/>
          </w:tcPr>
          <w:p w14:paraId="64FBE2A9"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-5,1</w:t>
            </w:r>
          </w:p>
        </w:tc>
        <w:tc>
          <w:tcPr>
            <w:tcW w:w="514" w:type="dxa"/>
            <w:tcBorders>
              <w:top w:val="nil"/>
              <w:left w:val="nil"/>
              <w:bottom w:val="nil"/>
              <w:right w:val="nil"/>
            </w:tcBorders>
            <w:shd w:val="clear" w:color="auto" w:fill="auto"/>
            <w:vAlign w:val="center"/>
            <w:hideMark/>
          </w:tcPr>
          <w:p w14:paraId="2E33632F"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-11,2</w:t>
            </w:r>
          </w:p>
        </w:tc>
        <w:tc>
          <w:tcPr>
            <w:tcW w:w="514" w:type="dxa"/>
            <w:tcBorders>
              <w:top w:val="nil"/>
              <w:left w:val="nil"/>
              <w:bottom w:val="nil"/>
              <w:right w:val="nil"/>
            </w:tcBorders>
            <w:shd w:val="clear" w:color="auto" w:fill="auto"/>
            <w:vAlign w:val="center"/>
            <w:hideMark/>
          </w:tcPr>
          <w:p w14:paraId="0470CA3C"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-14,7</w:t>
            </w:r>
          </w:p>
        </w:tc>
        <w:tc>
          <w:tcPr>
            <w:tcW w:w="514" w:type="dxa"/>
            <w:tcBorders>
              <w:top w:val="nil"/>
              <w:left w:val="nil"/>
              <w:bottom w:val="nil"/>
              <w:right w:val="nil"/>
            </w:tcBorders>
            <w:shd w:val="clear" w:color="auto" w:fill="auto"/>
            <w:vAlign w:val="center"/>
            <w:hideMark/>
          </w:tcPr>
          <w:p w14:paraId="760B1033"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-19,5</w:t>
            </w:r>
          </w:p>
        </w:tc>
        <w:tc>
          <w:tcPr>
            <w:tcW w:w="514" w:type="dxa"/>
            <w:tcBorders>
              <w:top w:val="nil"/>
              <w:left w:val="nil"/>
              <w:bottom w:val="nil"/>
              <w:right w:val="nil"/>
            </w:tcBorders>
            <w:shd w:val="clear" w:color="auto" w:fill="auto"/>
            <w:vAlign w:val="center"/>
            <w:hideMark/>
          </w:tcPr>
          <w:p w14:paraId="21795B68"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-24,4</w:t>
            </w:r>
          </w:p>
        </w:tc>
        <w:tc>
          <w:tcPr>
            <w:tcW w:w="514" w:type="dxa"/>
            <w:gridSpan w:val="2"/>
            <w:tcBorders>
              <w:top w:val="nil"/>
              <w:left w:val="nil"/>
              <w:bottom w:val="nil"/>
              <w:right w:val="nil"/>
            </w:tcBorders>
            <w:shd w:val="clear" w:color="auto" w:fill="auto"/>
            <w:vAlign w:val="center"/>
            <w:hideMark/>
          </w:tcPr>
          <w:p w14:paraId="47B46764" w14:textId="258025EF" w:rsidR="00451A15" w:rsidRPr="007C4F02" w:rsidRDefault="007C4F02"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-23,2</w:t>
            </w:r>
          </w:p>
        </w:tc>
        <w:tc>
          <w:tcPr>
            <w:tcW w:w="514" w:type="dxa"/>
            <w:gridSpan w:val="2"/>
            <w:tcBorders>
              <w:top w:val="nil"/>
              <w:left w:val="nil"/>
              <w:bottom w:val="nil"/>
              <w:right w:val="nil"/>
            </w:tcBorders>
            <w:shd w:val="clear" w:color="auto" w:fill="auto"/>
            <w:vAlign w:val="center"/>
            <w:hideMark/>
          </w:tcPr>
          <w:p w14:paraId="6EEF5386"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13</w:t>
            </w:r>
          </w:p>
        </w:tc>
      </w:tr>
      <w:tr w:rsidR="00451A15" w:rsidRPr="00451A15" w14:paraId="17633A52" w14:textId="77777777" w:rsidTr="00451A15">
        <w:trPr>
          <w:gridAfter w:val="1"/>
          <w:divId w:val="168256279"/>
          <w:wAfter w:w="25" w:type="dxa"/>
          <w:trHeight w:val="248"/>
        </w:trPr>
        <w:tc>
          <w:tcPr>
            <w:tcW w:w="3524" w:type="dxa"/>
            <w:tcBorders>
              <w:top w:val="nil"/>
              <w:left w:val="nil"/>
              <w:bottom w:val="single" w:sz="4" w:space="0" w:color="auto"/>
              <w:right w:val="nil"/>
            </w:tcBorders>
            <w:shd w:val="clear" w:color="auto" w:fill="auto"/>
            <w:noWrap/>
            <w:vAlign w:val="center"/>
            <w:hideMark/>
          </w:tcPr>
          <w:p w14:paraId="1243CDED" w14:textId="77777777" w:rsidR="00451A15" w:rsidRPr="00451A15" w:rsidRDefault="00451A15" w:rsidP="00FB625E">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 zmena voči roku 2005)</w:t>
            </w:r>
          </w:p>
        </w:tc>
        <w:tc>
          <w:tcPr>
            <w:tcW w:w="375" w:type="dxa"/>
            <w:tcBorders>
              <w:top w:val="nil"/>
              <w:left w:val="nil"/>
              <w:bottom w:val="single" w:sz="4" w:space="0" w:color="auto"/>
              <w:right w:val="nil"/>
            </w:tcBorders>
            <w:shd w:val="clear" w:color="auto" w:fill="auto"/>
            <w:noWrap/>
            <w:vAlign w:val="center"/>
            <w:hideMark/>
          </w:tcPr>
          <w:p w14:paraId="4E3FBB10"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nil"/>
              <w:right w:val="nil"/>
            </w:tcBorders>
            <w:shd w:val="clear" w:color="auto" w:fill="auto"/>
            <w:vAlign w:val="center"/>
            <w:hideMark/>
          </w:tcPr>
          <w:p w14:paraId="7DF836F7"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-2,2</w:t>
            </w:r>
          </w:p>
        </w:tc>
        <w:tc>
          <w:tcPr>
            <w:tcW w:w="514" w:type="dxa"/>
            <w:tcBorders>
              <w:top w:val="nil"/>
              <w:left w:val="nil"/>
              <w:bottom w:val="nil"/>
              <w:right w:val="nil"/>
            </w:tcBorders>
            <w:shd w:val="clear" w:color="auto" w:fill="auto"/>
            <w:vAlign w:val="center"/>
            <w:hideMark/>
          </w:tcPr>
          <w:p w14:paraId="36619FFC"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-6,0</w:t>
            </w:r>
          </w:p>
        </w:tc>
        <w:tc>
          <w:tcPr>
            <w:tcW w:w="514" w:type="dxa"/>
            <w:tcBorders>
              <w:top w:val="nil"/>
              <w:left w:val="nil"/>
              <w:bottom w:val="nil"/>
              <w:right w:val="nil"/>
            </w:tcBorders>
            <w:shd w:val="clear" w:color="auto" w:fill="auto"/>
            <w:vAlign w:val="center"/>
            <w:hideMark/>
          </w:tcPr>
          <w:p w14:paraId="5A4362EF"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-3,9</w:t>
            </w:r>
          </w:p>
        </w:tc>
        <w:tc>
          <w:tcPr>
            <w:tcW w:w="514" w:type="dxa"/>
            <w:tcBorders>
              <w:top w:val="nil"/>
              <w:left w:val="nil"/>
              <w:bottom w:val="nil"/>
              <w:right w:val="nil"/>
            </w:tcBorders>
            <w:shd w:val="clear" w:color="auto" w:fill="auto"/>
            <w:vAlign w:val="center"/>
            <w:hideMark/>
          </w:tcPr>
          <w:p w14:paraId="6637433D"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-7,9</w:t>
            </w:r>
          </w:p>
        </w:tc>
        <w:tc>
          <w:tcPr>
            <w:tcW w:w="514" w:type="dxa"/>
            <w:tcBorders>
              <w:top w:val="nil"/>
              <w:left w:val="nil"/>
              <w:bottom w:val="nil"/>
              <w:right w:val="nil"/>
            </w:tcBorders>
            <w:shd w:val="clear" w:color="auto" w:fill="auto"/>
            <w:vAlign w:val="center"/>
            <w:hideMark/>
          </w:tcPr>
          <w:p w14:paraId="711B61E2"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-8,7</w:t>
            </w:r>
          </w:p>
        </w:tc>
        <w:tc>
          <w:tcPr>
            <w:tcW w:w="514" w:type="dxa"/>
            <w:tcBorders>
              <w:top w:val="nil"/>
              <w:left w:val="nil"/>
              <w:bottom w:val="nil"/>
              <w:right w:val="nil"/>
            </w:tcBorders>
            <w:shd w:val="clear" w:color="auto" w:fill="auto"/>
            <w:vAlign w:val="center"/>
            <w:hideMark/>
          </w:tcPr>
          <w:p w14:paraId="42871C6E"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-9,9</w:t>
            </w:r>
          </w:p>
        </w:tc>
        <w:tc>
          <w:tcPr>
            <w:tcW w:w="514" w:type="dxa"/>
            <w:tcBorders>
              <w:top w:val="nil"/>
              <w:left w:val="nil"/>
              <w:bottom w:val="nil"/>
              <w:right w:val="nil"/>
            </w:tcBorders>
            <w:shd w:val="clear" w:color="auto" w:fill="auto"/>
            <w:vAlign w:val="center"/>
            <w:hideMark/>
          </w:tcPr>
          <w:p w14:paraId="545A6F38"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-13,0</w:t>
            </w:r>
          </w:p>
        </w:tc>
        <w:tc>
          <w:tcPr>
            <w:tcW w:w="514" w:type="dxa"/>
            <w:gridSpan w:val="2"/>
            <w:tcBorders>
              <w:top w:val="nil"/>
              <w:left w:val="nil"/>
              <w:bottom w:val="nil"/>
              <w:right w:val="nil"/>
            </w:tcBorders>
            <w:shd w:val="clear" w:color="auto" w:fill="auto"/>
            <w:vAlign w:val="center"/>
            <w:hideMark/>
          </w:tcPr>
          <w:p w14:paraId="2C698738" w14:textId="01322ED1" w:rsidR="00193A1F" w:rsidRPr="007C4F02" w:rsidRDefault="00193A1F" w:rsidP="00193A1F">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nil"/>
              <w:left w:val="nil"/>
              <w:bottom w:val="nil"/>
              <w:right w:val="nil"/>
            </w:tcBorders>
            <w:shd w:val="clear" w:color="auto" w:fill="auto"/>
            <w:vAlign w:val="center"/>
            <w:hideMark/>
          </w:tcPr>
          <w:p w14:paraId="67753AF2" w14:textId="45488EB9" w:rsidR="00451A15" w:rsidRPr="007C4F02" w:rsidRDefault="00840E28" w:rsidP="00FB625E">
            <w:pPr>
              <w:spacing w:after="0" w:line="240" w:lineRule="auto"/>
              <w:rPr>
                <w:rFonts w:ascii="Arial Narrow" w:hAnsi="Arial Narrow"/>
                <w:color w:val="000000"/>
                <w:sz w:val="20"/>
                <w:szCs w:val="20"/>
              </w:rPr>
            </w:pPr>
            <w:r w:rsidRPr="007C4F02">
              <w:rPr>
                <w:rFonts w:ascii="Arial Narrow" w:hAnsi="Arial Narrow"/>
                <w:color w:val="000000"/>
                <w:sz w:val="20"/>
                <w:szCs w:val="20"/>
              </w:rPr>
              <w:t xml:space="preserve"> </w:t>
            </w:r>
            <w:r w:rsidR="00451A15" w:rsidRPr="007C4F02">
              <w:rPr>
                <w:rFonts w:ascii="Arial Narrow" w:hAnsi="Arial Narrow"/>
                <w:color w:val="000000"/>
                <w:sz w:val="20"/>
                <w:szCs w:val="20"/>
              </w:rPr>
              <w:t>-10</w:t>
            </w:r>
          </w:p>
        </w:tc>
      </w:tr>
      <w:tr w:rsidR="00451A15" w:rsidRPr="00451A15" w14:paraId="55102745" w14:textId="77777777" w:rsidTr="00451A15">
        <w:trPr>
          <w:gridAfter w:val="1"/>
          <w:divId w:val="168256279"/>
          <w:wAfter w:w="25" w:type="dxa"/>
          <w:trHeight w:val="248"/>
        </w:trPr>
        <w:tc>
          <w:tcPr>
            <w:tcW w:w="3524" w:type="dxa"/>
            <w:tcBorders>
              <w:top w:val="nil"/>
              <w:left w:val="nil"/>
              <w:bottom w:val="nil"/>
              <w:right w:val="nil"/>
            </w:tcBorders>
            <w:shd w:val="clear" w:color="auto" w:fill="auto"/>
            <w:noWrap/>
            <w:vAlign w:val="center"/>
            <w:hideMark/>
          </w:tcPr>
          <w:p w14:paraId="54C11E8D" w14:textId="04EFDE5C" w:rsidR="00451A15" w:rsidRPr="00451A15" w:rsidRDefault="00451A15" w:rsidP="00FB625E">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Podiel OZE na hrubej konečnej spotrebe</w:t>
            </w:r>
          </w:p>
        </w:tc>
        <w:tc>
          <w:tcPr>
            <w:tcW w:w="375" w:type="dxa"/>
            <w:tcBorders>
              <w:top w:val="nil"/>
              <w:left w:val="nil"/>
              <w:bottom w:val="nil"/>
              <w:right w:val="nil"/>
            </w:tcBorders>
            <w:shd w:val="clear" w:color="auto" w:fill="auto"/>
            <w:noWrap/>
            <w:vAlign w:val="center"/>
            <w:hideMark/>
          </w:tcPr>
          <w:p w14:paraId="0FBDDAFF"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single" w:sz="4" w:space="0" w:color="auto"/>
              <w:left w:val="nil"/>
              <w:bottom w:val="nil"/>
              <w:right w:val="nil"/>
            </w:tcBorders>
            <w:shd w:val="clear" w:color="auto" w:fill="auto"/>
            <w:vAlign w:val="center"/>
            <w:hideMark/>
          </w:tcPr>
          <w:p w14:paraId="01871EF7"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7,5</w:t>
            </w:r>
          </w:p>
        </w:tc>
        <w:tc>
          <w:tcPr>
            <w:tcW w:w="514" w:type="dxa"/>
            <w:tcBorders>
              <w:top w:val="single" w:sz="4" w:space="0" w:color="auto"/>
              <w:left w:val="nil"/>
              <w:bottom w:val="nil"/>
              <w:right w:val="nil"/>
            </w:tcBorders>
            <w:shd w:val="clear" w:color="auto" w:fill="auto"/>
            <w:vAlign w:val="center"/>
            <w:hideMark/>
          </w:tcPr>
          <w:p w14:paraId="37BB914B"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9,3</w:t>
            </w:r>
          </w:p>
        </w:tc>
        <w:tc>
          <w:tcPr>
            <w:tcW w:w="514" w:type="dxa"/>
            <w:tcBorders>
              <w:top w:val="single" w:sz="4" w:space="0" w:color="auto"/>
              <w:left w:val="nil"/>
              <w:bottom w:val="nil"/>
              <w:right w:val="nil"/>
            </w:tcBorders>
            <w:shd w:val="clear" w:color="auto" w:fill="auto"/>
            <w:vAlign w:val="center"/>
            <w:hideMark/>
          </w:tcPr>
          <w:p w14:paraId="31C1C07E"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9,0</w:t>
            </w:r>
          </w:p>
        </w:tc>
        <w:tc>
          <w:tcPr>
            <w:tcW w:w="514" w:type="dxa"/>
            <w:tcBorders>
              <w:top w:val="single" w:sz="4" w:space="0" w:color="auto"/>
              <w:left w:val="nil"/>
              <w:bottom w:val="nil"/>
              <w:right w:val="nil"/>
            </w:tcBorders>
            <w:shd w:val="clear" w:color="auto" w:fill="auto"/>
            <w:vAlign w:val="center"/>
            <w:hideMark/>
          </w:tcPr>
          <w:p w14:paraId="71026355"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10,3</w:t>
            </w:r>
          </w:p>
        </w:tc>
        <w:tc>
          <w:tcPr>
            <w:tcW w:w="514" w:type="dxa"/>
            <w:tcBorders>
              <w:top w:val="single" w:sz="4" w:space="0" w:color="auto"/>
              <w:left w:val="nil"/>
              <w:bottom w:val="nil"/>
              <w:right w:val="nil"/>
            </w:tcBorders>
            <w:shd w:val="clear" w:color="auto" w:fill="auto"/>
            <w:vAlign w:val="center"/>
            <w:hideMark/>
          </w:tcPr>
          <w:p w14:paraId="03A9B19D"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10,4</w:t>
            </w:r>
          </w:p>
        </w:tc>
        <w:tc>
          <w:tcPr>
            <w:tcW w:w="514" w:type="dxa"/>
            <w:tcBorders>
              <w:top w:val="single" w:sz="4" w:space="0" w:color="auto"/>
              <w:left w:val="nil"/>
              <w:bottom w:val="nil"/>
              <w:right w:val="nil"/>
            </w:tcBorders>
            <w:shd w:val="clear" w:color="auto" w:fill="auto"/>
            <w:vAlign w:val="center"/>
            <w:hideMark/>
          </w:tcPr>
          <w:p w14:paraId="200F7FB8"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10,1</w:t>
            </w:r>
          </w:p>
        </w:tc>
        <w:tc>
          <w:tcPr>
            <w:tcW w:w="514" w:type="dxa"/>
            <w:tcBorders>
              <w:top w:val="single" w:sz="4" w:space="0" w:color="auto"/>
              <w:left w:val="nil"/>
              <w:bottom w:val="nil"/>
              <w:right w:val="nil"/>
            </w:tcBorders>
            <w:shd w:val="clear" w:color="auto" w:fill="auto"/>
            <w:vAlign w:val="center"/>
            <w:hideMark/>
          </w:tcPr>
          <w:p w14:paraId="0DA38BB7"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11,6</w:t>
            </w:r>
          </w:p>
        </w:tc>
        <w:tc>
          <w:tcPr>
            <w:tcW w:w="514" w:type="dxa"/>
            <w:gridSpan w:val="2"/>
            <w:tcBorders>
              <w:top w:val="single" w:sz="4" w:space="0" w:color="auto"/>
              <w:left w:val="nil"/>
              <w:bottom w:val="nil"/>
              <w:right w:val="nil"/>
            </w:tcBorders>
            <w:shd w:val="clear" w:color="auto" w:fill="auto"/>
            <w:vAlign w:val="bottom"/>
            <w:hideMark/>
          </w:tcPr>
          <w:p w14:paraId="5633A519" w14:textId="0CBA5A07" w:rsidR="00451A15" w:rsidRPr="007C4F02" w:rsidRDefault="00064831" w:rsidP="00064831">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single" w:sz="4" w:space="0" w:color="auto"/>
              <w:left w:val="nil"/>
              <w:bottom w:val="nil"/>
              <w:right w:val="nil"/>
            </w:tcBorders>
            <w:shd w:val="clear" w:color="auto" w:fill="auto"/>
            <w:vAlign w:val="center"/>
            <w:hideMark/>
          </w:tcPr>
          <w:p w14:paraId="1651A413"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w:t>
            </w:r>
          </w:p>
        </w:tc>
      </w:tr>
      <w:tr w:rsidR="00451A15" w:rsidRPr="00451A15" w14:paraId="7C559CCB" w14:textId="77777777" w:rsidTr="00451A15">
        <w:trPr>
          <w:gridAfter w:val="1"/>
          <w:divId w:val="168256279"/>
          <w:wAfter w:w="25" w:type="dxa"/>
          <w:trHeight w:val="248"/>
        </w:trPr>
        <w:tc>
          <w:tcPr>
            <w:tcW w:w="3524" w:type="dxa"/>
            <w:tcBorders>
              <w:top w:val="nil"/>
              <w:left w:val="nil"/>
              <w:bottom w:val="single" w:sz="4" w:space="0" w:color="auto"/>
              <w:right w:val="nil"/>
            </w:tcBorders>
            <w:shd w:val="clear" w:color="auto" w:fill="auto"/>
            <w:noWrap/>
            <w:vAlign w:val="center"/>
            <w:hideMark/>
          </w:tcPr>
          <w:p w14:paraId="67BF6F03" w14:textId="77777777" w:rsidR="00451A15" w:rsidRPr="00451A15" w:rsidRDefault="00451A15" w:rsidP="00FB625E">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w:t>
            </w:r>
          </w:p>
        </w:tc>
        <w:tc>
          <w:tcPr>
            <w:tcW w:w="375" w:type="dxa"/>
            <w:tcBorders>
              <w:top w:val="nil"/>
              <w:left w:val="nil"/>
              <w:bottom w:val="single" w:sz="4" w:space="0" w:color="auto"/>
              <w:right w:val="nil"/>
            </w:tcBorders>
            <w:shd w:val="clear" w:color="auto" w:fill="auto"/>
            <w:noWrap/>
            <w:vAlign w:val="center"/>
            <w:hideMark/>
          </w:tcPr>
          <w:p w14:paraId="3612A3FA"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single" w:sz="4" w:space="0" w:color="auto"/>
              <w:right w:val="nil"/>
            </w:tcBorders>
            <w:shd w:val="clear" w:color="auto" w:fill="auto"/>
            <w:vAlign w:val="center"/>
            <w:hideMark/>
          </w:tcPr>
          <w:p w14:paraId="04297827"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11,0</w:t>
            </w:r>
          </w:p>
        </w:tc>
        <w:tc>
          <w:tcPr>
            <w:tcW w:w="514" w:type="dxa"/>
            <w:tcBorders>
              <w:top w:val="nil"/>
              <w:left w:val="nil"/>
              <w:bottom w:val="single" w:sz="4" w:space="0" w:color="auto"/>
              <w:right w:val="nil"/>
            </w:tcBorders>
            <w:shd w:val="clear" w:color="auto" w:fill="auto"/>
            <w:vAlign w:val="center"/>
            <w:hideMark/>
          </w:tcPr>
          <w:p w14:paraId="45F32AD6"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12,4</w:t>
            </w:r>
          </w:p>
        </w:tc>
        <w:tc>
          <w:tcPr>
            <w:tcW w:w="514" w:type="dxa"/>
            <w:tcBorders>
              <w:top w:val="nil"/>
              <w:left w:val="nil"/>
              <w:bottom w:val="single" w:sz="4" w:space="0" w:color="auto"/>
              <w:right w:val="nil"/>
            </w:tcBorders>
            <w:shd w:val="clear" w:color="auto" w:fill="auto"/>
            <w:vAlign w:val="center"/>
            <w:hideMark/>
          </w:tcPr>
          <w:p w14:paraId="1CBF3633"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12,8</w:t>
            </w:r>
          </w:p>
        </w:tc>
        <w:tc>
          <w:tcPr>
            <w:tcW w:w="514" w:type="dxa"/>
            <w:tcBorders>
              <w:top w:val="nil"/>
              <w:left w:val="nil"/>
              <w:bottom w:val="single" w:sz="4" w:space="0" w:color="auto"/>
              <w:right w:val="nil"/>
            </w:tcBorders>
            <w:shd w:val="clear" w:color="auto" w:fill="auto"/>
            <w:vAlign w:val="center"/>
            <w:hideMark/>
          </w:tcPr>
          <w:p w14:paraId="6E8F0FED"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13,1</w:t>
            </w:r>
          </w:p>
        </w:tc>
        <w:tc>
          <w:tcPr>
            <w:tcW w:w="514" w:type="dxa"/>
            <w:tcBorders>
              <w:top w:val="nil"/>
              <w:left w:val="nil"/>
              <w:bottom w:val="single" w:sz="4" w:space="0" w:color="auto"/>
              <w:right w:val="nil"/>
            </w:tcBorders>
            <w:shd w:val="clear" w:color="auto" w:fill="auto"/>
            <w:vAlign w:val="center"/>
            <w:hideMark/>
          </w:tcPr>
          <w:p w14:paraId="0162E94B"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14,3</w:t>
            </w:r>
          </w:p>
        </w:tc>
        <w:tc>
          <w:tcPr>
            <w:tcW w:w="514" w:type="dxa"/>
            <w:tcBorders>
              <w:top w:val="nil"/>
              <w:left w:val="nil"/>
              <w:bottom w:val="single" w:sz="4" w:space="0" w:color="auto"/>
              <w:right w:val="nil"/>
            </w:tcBorders>
            <w:shd w:val="clear" w:color="auto" w:fill="auto"/>
            <w:vAlign w:val="center"/>
            <w:hideMark/>
          </w:tcPr>
          <w:p w14:paraId="4A9C8ED4"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15,0</w:t>
            </w:r>
          </w:p>
        </w:tc>
        <w:tc>
          <w:tcPr>
            <w:tcW w:w="514" w:type="dxa"/>
            <w:tcBorders>
              <w:top w:val="nil"/>
              <w:left w:val="nil"/>
              <w:bottom w:val="single" w:sz="4" w:space="0" w:color="auto"/>
              <w:right w:val="nil"/>
            </w:tcBorders>
            <w:shd w:val="clear" w:color="auto" w:fill="auto"/>
            <w:vAlign w:val="center"/>
            <w:hideMark/>
          </w:tcPr>
          <w:p w14:paraId="732037C6"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16,0</w:t>
            </w:r>
          </w:p>
        </w:tc>
        <w:tc>
          <w:tcPr>
            <w:tcW w:w="514" w:type="dxa"/>
            <w:gridSpan w:val="2"/>
            <w:tcBorders>
              <w:top w:val="nil"/>
              <w:left w:val="nil"/>
              <w:bottom w:val="single" w:sz="4" w:space="0" w:color="auto"/>
              <w:right w:val="nil"/>
            </w:tcBorders>
            <w:shd w:val="clear" w:color="auto" w:fill="auto"/>
            <w:vAlign w:val="bottom"/>
            <w:hideMark/>
          </w:tcPr>
          <w:p w14:paraId="3608ADA7" w14:textId="641C7EE8" w:rsidR="00451A15" w:rsidRPr="007C4F02" w:rsidRDefault="00064831" w:rsidP="00064831">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nil"/>
              <w:left w:val="nil"/>
              <w:bottom w:val="single" w:sz="4" w:space="0" w:color="auto"/>
              <w:right w:val="nil"/>
            </w:tcBorders>
            <w:shd w:val="clear" w:color="auto" w:fill="auto"/>
            <w:vAlign w:val="center"/>
            <w:hideMark/>
          </w:tcPr>
          <w:p w14:paraId="05FAA9ED"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20</w:t>
            </w:r>
          </w:p>
        </w:tc>
      </w:tr>
      <w:tr w:rsidR="00451A15" w:rsidRPr="00451A15" w14:paraId="0CAEC7E4" w14:textId="77777777" w:rsidTr="00451A15">
        <w:trPr>
          <w:gridAfter w:val="1"/>
          <w:divId w:val="168256279"/>
          <w:wAfter w:w="25" w:type="dxa"/>
          <w:trHeight w:val="248"/>
        </w:trPr>
        <w:tc>
          <w:tcPr>
            <w:tcW w:w="3524" w:type="dxa"/>
            <w:tcBorders>
              <w:top w:val="nil"/>
              <w:left w:val="nil"/>
              <w:bottom w:val="nil"/>
              <w:right w:val="nil"/>
            </w:tcBorders>
            <w:shd w:val="clear" w:color="auto" w:fill="auto"/>
            <w:noWrap/>
            <w:vAlign w:val="center"/>
            <w:hideMark/>
          </w:tcPr>
          <w:p w14:paraId="7B6D24AF" w14:textId="77777777" w:rsidR="00451A15" w:rsidRPr="00451A15" w:rsidRDefault="00451A15" w:rsidP="00FB625E">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Konečná energetická spotreba</w:t>
            </w:r>
          </w:p>
        </w:tc>
        <w:tc>
          <w:tcPr>
            <w:tcW w:w="375" w:type="dxa"/>
            <w:tcBorders>
              <w:top w:val="nil"/>
              <w:left w:val="nil"/>
              <w:bottom w:val="nil"/>
              <w:right w:val="nil"/>
            </w:tcBorders>
            <w:shd w:val="clear" w:color="auto" w:fill="auto"/>
            <w:noWrap/>
            <w:vAlign w:val="center"/>
            <w:hideMark/>
          </w:tcPr>
          <w:p w14:paraId="2525410A"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nil"/>
              <w:left w:val="nil"/>
              <w:bottom w:val="nil"/>
              <w:right w:val="nil"/>
            </w:tcBorders>
            <w:shd w:val="clear" w:color="auto" w:fill="auto"/>
            <w:vAlign w:val="center"/>
            <w:hideMark/>
          </w:tcPr>
          <w:p w14:paraId="213CF307"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0,8</w:t>
            </w:r>
          </w:p>
        </w:tc>
        <w:tc>
          <w:tcPr>
            <w:tcW w:w="514" w:type="dxa"/>
            <w:tcBorders>
              <w:top w:val="nil"/>
              <w:left w:val="nil"/>
              <w:bottom w:val="nil"/>
              <w:right w:val="nil"/>
            </w:tcBorders>
            <w:shd w:val="clear" w:color="auto" w:fill="auto"/>
            <w:vAlign w:val="center"/>
            <w:hideMark/>
          </w:tcPr>
          <w:p w14:paraId="3A441794"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-6,7</w:t>
            </w:r>
          </w:p>
        </w:tc>
        <w:tc>
          <w:tcPr>
            <w:tcW w:w="514" w:type="dxa"/>
            <w:tcBorders>
              <w:top w:val="nil"/>
              <w:left w:val="nil"/>
              <w:bottom w:val="nil"/>
              <w:right w:val="nil"/>
            </w:tcBorders>
            <w:shd w:val="clear" w:color="auto" w:fill="auto"/>
            <w:vAlign w:val="center"/>
            <w:hideMark/>
          </w:tcPr>
          <w:p w14:paraId="61495FE8"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w:t>
            </w:r>
          </w:p>
        </w:tc>
        <w:tc>
          <w:tcPr>
            <w:tcW w:w="514" w:type="dxa"/>
            <w:tcBorders>
              <w:top w:val="nil"/>
              <w:left w:val="nil"/>
              <w:bottom w:val="nil"/>
              <w:right w:val="nil"/>
            </w:tcBorders>
            <w:shd w:val="clear" w:color="auto" w:fill="auto"/>
            <w:vAlign w:val="center"/>
            <w:hideMark/>
          </w:tcPr>
          <w:p w14:paraId="56F12AA3"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-5,4</w:t>
            </w:r>
          </w:p>
        </w:tc>
        <w:tc>
          <w:tcPr>
            <w:tcW w:w="514" w:type="dxa"/>
            <w:tcBorders>
              <w:top w:val="nil"/>
              <w:left w:val="nil"/>
              <w:bottom w:val="nil"/>
              <w:right w:val="nil"/>
            </w:tcBorders>
            <w:shd w:val="clear" w:color="auto" w:fill="auto"/>
            <w:vAlign w:val="center"/>
            <w:hideMark/>
          </w:tcPr>
          <w:p w14:paraId="7CFD8381"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-9,2</w:t>
            </w:r>
          </w:p>
        </w:tc>
        <w:tc>
          <w:tcPr>
            <w:tcW w:w="514" w:type="dxa"/>
            <w:tcBorders>
              <w:top w:val="nil"/>
              <w:left w:val="nil"/>
              <w:bottom w:val="nil"/>
              <w:right w:val="nil"/>
            </w:tcBorders>
            <w:shd w:val="clear" w:color="auto" w:fill="auto"/>
            <w:vAlign w:val="center"/>
            <w:hideMark/>
          </w:tcPr>
          <w:p w14:paraId="24AAF954"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-6,9</w:t>
            </w:r>
          </w:p>
        </w:tc>
        <w:tc>
          <w:tcPr>
            <w:tcW w:w="514" w:type="dxa"/>
            <w:tcBorders>
              <w:top w:val="nil"/>
              <w:left w:val="nil"/>
              <w:bottom w:val="nil"/>
              <w:right w:val="nil"/>
            </w:tcBorders>
            <w:shd w:val="clear" w:color="auto" w:fill="auto"/>
            <w:vAlign w:val="center"/>
            <w:hideMark/>
          </w:tcPr>
          <w:p w14:paraId="4E2BE2F5"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-11,7</w:t>
            </w:r>
          </w:p>
        </w:tc>
        <w:tc>
          <w:tcPr>
            <w:tcW w:w="514" w:type="dxa"/>
            <w:gridSpan w:val="2"/>
            <w:tcBorders>
              <w:top w:val="nil"/>
              <w:left w:val="nil"/>
              <w:bottom w:val="nil"/>
              <w:right w:val="nil"/>
            </w:tcBorders>
            <w:shd w:val="clear" w:color="auto" w:fill="auto"/>
            <w:vAlign w:val="bottom"/>
            <w:hideMark/>
          </w:tcPr>
          <w:p w14:paraId="04AEA9DF" w14:textId="343D653F" w:rsidR="00451A15" w:rsidRPr="007C4F02" w:rsidRDefault="00064831" w:rsidP="00064831">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nil"/>
              <w:left w:val="nil"/>
              <w:bottom w:val="nil"/>
              <w:right w:val="nil"/>
            </w:tcBorders>
            <w:shd w:val="clear" w:color="auto" w:fill="auto"/>
            <w:vAlign w:val="center"/>
            <w:hideMark/>
          </w:tcPr>
          <w:p w14:paraId="3BB793D3" w14:textId="0B981F29" w:rsidR="00451A15" w:rsidRPr="007C4F02" w:rsidRDefault="00840E28" w:rsidP="00FB625E">
            <w:pPr>
              <w:spacing w:after="0" w:line="240" w:lineRule="auto"/>
              <w:rPr>
                <w:rFonts w:ascii="Arial Narrow" w:hAnsi="Arial Narrow"/>
                <w:color w:val="000000"/>
                <w:sz w:val="20"/>
                <w:szCs w:val="20"/>
              </w:rPr>
            </w:pPr>
            <w:r w:rsidRPr="007C4F02">
              <w:rPr>
                <w:rFonts w:ascii="Arial Narrow" w:hAnsi="Arial Narrow"/>
                <w:color w:val="000000"/>
                <w:sz w:val="20"/>
                <w:szCs w:val="20"/>
              </w:rPr>
              <w:t xml:space="preserve"> </w:t>
            </w:r>
            <w:r w:rsidR="00451A15" w:rsidRPr="007C4F02">
              <w:rPr>
                <w:rFonts w:ascii="Arial Narrow" w:hAnsi="Arial Narrow"/>
                <w:color w:val="000000"/>
                <w:sz w:val="20"/>
                <w:szCs w:val="20"/>
              </w:rPr>
              <w:t>-11</w:t>
            </w:r>
          </w:p>
        </w:tc>
      </w:tr>
      <w:tr w:rsidR="00451A15" w:rsidRPr="00451A15" w14:paraId="1C2BE029" w14:textId="77777777" w:rsidTr="00451A15">
        <w:trPr>
          <w:gridAfter w:val="1"/>
          <w:divId w:val="168256279"/>
          <w:wAfter w:w="25" w:type="dxa"/>
          <w:trHeight w:val="248"/>
        </w:trPr>
        <w:tc>
          <w:tcPr>
            <w:tcW w:w="3524" w:type="dxa"/>
            <w:tcBorders>
              <w:top w:val="nil"/>
              <w:left w:val="nil"/>
              <w:bottom w:val="single" w:sz="4" w:space="0" w:color="auto"/>
              <w:right w:val="nil"/>
            </w:tcBorders>
            <w:shd w:val="clear" w:color="auto" w:fill="auto"/>
            <w:noWrap/>
            <w:vAlign w:val="center"/>
            <w:hideMark/>
          </w:tcPr>
          <w:p w14:paraId="28373F2F" w14:textId="77777777" w:rsidR="00451A15" w:rsidRPr="00451A15" w:rsidRDefault="00451A15" w:rsidP="00FB625E">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 zmena voči priemeru rokov 2001- 2005)</w:t>
            </w:r>
          </w:p>
        </w:tc>
        <w:tc>
          <w:tcPr>
            <w:tcW w:w="375" w:type="dxa"/>
            <w:tcBorders>
              <w:top w:val="nil"/>
              <w:left w:val="nil"/>
              <w:bottom w:val="single" w:sz="4" w:space="0" w:color="auto"/>
              <w:right w:val="nil"/>
            </w:tcBorders>
            <w:shd w:val="clear" w:color="auto" w:fill="auto"/>
            <w:noWrap/>
            <w:vAlign w:val="center"/>
            <w:hideMark/>
          </w:tcPr>
          <w:p w14:paraId="6A7FC13E" w14:textId="77777777" w:rsidR="00451A15" w:rsidRPr="00451A15" w:rsidRDefault="00451A15" w:rsidP="00FB625E">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single" w:sz="4" w:space="0" w:color="auto"/>
              <w:right w:val="nil"/>
            </w:tcBorders>
            <w:shd w:val="clear" w:color="auto" w:fill="auto"/>
            <w:vAlign w:val="center"/>
            <w:hideMark/>
          </w:tcPr>
          <w:p w14:paraId="42255931"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w:t>
            </w:r>
          </w:p>
        </w:tc>
        <w:tc>
          <w:tcPr>
            <w:tcW w:w="514" w:type="dxa"/>
            <w:tcBorders>
              <w:top w:val="nil"/>
              <w:left w:val="nil"/>
              <w:bottom w:val="single" w:sz="4" w:space="0" w:color="auto"/>
              <w:right w:val="nil"/>
            </w:tcBorders>
            <w:shd w:val="clear" w:color="auto" w:fill="auto"/>
            <w:vAlign w:val="center"/>
            <w:hideMark/>
          </w:tcPr>
          <w:p w14:paraId="2DDB7555"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-4,6</w:t>
            </w:r>
          </w:p>
        </w:tc>
        <w:tc>
          <w:tcPr>
            <w:tcW w:w="514" w:type="dxa"/>
            <w:tcBorders>
              <w:top w:val="nil"/>
              <w:left w:val="nil"/>
              <w:bottom w:val="single" w:sz="4" w:space="0" w:color="auto"/>
              <w:right w:val="nil"/>
            </w:tcBorders>
            <w:shd w:val="clear" w:color="auto" w:fill="auto"/>
            <w:vAlign w:val="center"/>
            <w:hideMark/>
          </w:tcPr>
          <w:p w14:paraId="57311120"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-0,5</w:t>
            </w:r>
          </w:p>
        </w:tc>
        <w:tc>
          <w:tcPr>
            <w:tcW w:w="514" w:type="dxa"/>
            <w:tcBorders>
              <w:top w:val="nil"/>
              <w:left w:val="nil"/>
              <w:bottom w:val="single" w:sz="4" w:space="0" w:color="auto"/>
              <w:right w:val="nil"/>
            </w:tcBorders>
            <w:shd w:val="clear" w:color="auto" w:fill="auto"/>
            <w:vAlign w:val="center"/>
            <w:hideMark/>
          </w:tcPr>
          <w:p w14:paraId="106ACAE6"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-5,5</w:t>
            </w:r>
          </w:p>
        </w:tc>
        <w:tc>
          <w:tcPr>
            <w:tcW w:w="514" w:type="dxa"/>
            <w:tcBorders>
              <w:top w:val="nil"/>
              <w:left w:val="nil"/>
              <w:bottom w:val="single" w:sz="4" w:space="0" w:color="auto"/>
              <w:right w:val="nil"/>
            </w:tcBorders>
            <w:shd w:val="clear" w:color="auto" w:fill="auto"/>
            <w:vAlign w:val="center"/>
            <w:hideMark/>
          </w:tcPr>
          <w:p w14:paraId="6BF69DF6"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-5,5</w:t>
            </w:r>
          </w:p>
        </w:tc>
        <w:tc>
          <w:tcPr>
            <w:tcW w:w="514" w:type="dxa"/>
            <w:tcBorders>
              <w:top w:val="nil"/>
              <w:left w:val="nil"/>
              <w:bottom w:val="single" w:sz="4" w:space="0" w:color="auto"/>
              <w:right w:val="nil"/>
            </w:tcBorders>
            <w:shd w:val="clear" w:color="auto" w:fill="auto"/>
            <w:vAlign w:val="center"/>
            <w:hideMark/>
          </w:tcPr>
          <w:p w14:paraId="6F16E059"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-5,4</w:t>
            </w:r>
          </w:p>
        </w:tc>
        <w:tc>
          <w:tcPr>
            <w:tcW w:w="514" w:type="dxa"/>
            <w:tcBorders>
              <w:top w:val="nil"/>
              <w:left w:val="nil"/>
              <w:bottom w:val="single" w:sz="4" w:space="0" w:color="auto"/>
              <w:right w:val="nil"/>
            </w:tcBorders>
            <w:shd w:val="clear" w:color="auto" w:fill="auto"/>
            <w:vAlign w:val="center"/>
            <w:hideMark/>
          </w:tcPr>
          <w:p w14:paraId="5BA9AB72"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-9,2</w:t>
            </w:r>
          </w:p>
        </w:tc>
        <w:tc>
          <w:tcPr>
            <w:tcW w:w="514" w:type="dxa"/>
            <w:gridSpan w:val="2"/>
            <w:tcBorders>
              <w:top w:val="nil"/>
              <w:left w:val="nil"/>
              <w:bottom w:val="single" w:sz="4" w:space="0" w:color="auto"/>
              <w:right w:val="nil"/>
            </w:tcBorders>
            <w:shd w:val="clear" w:color="auto" w:fill="auto"/>
            <w:vAlign w:val="bottom"/>
            <w:hideMark/>
          </w:tcPr>
          <w:p w14:paraId="17230AA9" w14:textId="3261E8FF" w:rsidR="00451A15" w:rsidRPr="007C4F02" w:rsidRDefault="00064831" w:rsidP="00064831">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nil"/>
              <w:left w:val="nil"/>
              <w:bottom w:val="single" w:sz="4" w:space="0" w:color="auto"/>
              <w:right w:val="nil"/>
            </w:tcBorders>
            <w:shd w:val="clear" w:color="auto" w:fill="auto"/>
            <w:vAlign w:val="center"/>
            <w:hideMark/>
          </w:tcPr>
          <w:p w14:paraId="365CAB7E" w14:textId="77777777" w:rsidR="00451A15" w:rsidRPr="007C4F02" w:rsidRDefault="00451A15" w:rsidP="00FB625E">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r>
    </w:tbl>
    <w:p w14:paraId="6FDD2F9C" w14:textId="5AB895B8" w:rsidR="005609BB" w:rsidRDefault="005609BB" w:rsidP="00FB625E">
      <w:pPr>
        <w:spacing w:after="0" w:line="240" w:lineRule="auto"/>
        <w:jc w:val="both"/>
      </w:pP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r>
      <w:r>
        <w:rPr>
          <w:rFonts w:ascii="Arial Narrow" w:eastAsia="Calibri" w:hAnsi="Arial Narrow"/>
          <w:sz w:val="16"/>
          <w:szCs w:val="16"/>
          <w:lang w:eastAsia="en-US"/>
        </w:rPr>
        <w:tab/>
        <w:t xml:space="preserve">            </w:t>
      </w:r>
    </w:p>
    <w:p w14:paraId="43F985D9" w14:textId="117F265C" w:rsidR="003017FB" w:rsidRPr="003017FB" w:rsidRDefault="001C6F9B" w:rsidP="00FB625E">
      <w:pPr>
        <w:spacing w:after="0" w:line="240" w:lineRule="auto"/>
        <w:jc w:val="both"/>
        <w:rPr>
          <w:rFonts w:ascii="Arial Narrow" w:hAnsi="Arial Narrow"/>
          <w:vertAlign w:val="subscript"/>
        </w:rPr>
      </w:pPr>
      <w:r>
        <w:rPr>
          <w:rFonts w:ascii="Arial Narrow" w:hAnsi="Arial Narrow"/>
        </w:rPr>
        <w:t>V roku 2016 bola</w:t>
      </w:r>
      <w:r w:rsidR="00B82F97">
        <w:rPr>
          <w:rFonts w:ascii="Arial Narrow" w:hAnsi="Arial Narrow"/>
        </w:rPr>
        <w:t xml:space="preserve">, </w:t>
      </w:r>
      <w:r>
        <w:rPr>
          <w:rFonts w:ascii="Arial Narrow" w:hAnsi="Arial Narrow"/>
        </w:rPr>
        <w:t xml:space="preserve">na základe </w:t>
      </w:r>
      <w:r w:rsidRPr="001C6F9B">
        <w:rPr>
          <w:rFonts w:ascii="Arial Narrow" w:hAnsi="Arial Narrow"/>
        </w:rPr>
        <w:t>kompozitného indexu EP</w:t>
      </w:r>
      <w:r>
        <w:rPr>
          <w:rFonts w:ascii="Arial Narrow" w:hAnsi="Arial Narrow"/>
        </w:rPr>
        <w:t>I</w:t>
      </w:r>
      <w:r w:rsidR="00B82F97">
        <w:rPr>
          <w:rFonts w:ascii="Arial Narrow" w:hAnsi="Arial Narrow"/>
        </w:rPr>
        <w:t>,</w:t>
      </w:r>
      <w:r>
        <w:rPr>
          <w:rFonts w:ascii="Arial Narrow" w:hAnsi="Arial Narrow"/>
        </w:rPr>
        <w:t xml:space="preserve"> c</w:t>
      </w:r>
      <w:r w:rsidRPr="001C6F9B">
        <w:rPr>
          <w:rFonts w:ascii="Arial Narrow" w:hAnsi="Arial Narrow"/>
        </w:rPr>
        <w:t>elková</w:t>
      </w:r>
      <w:r>
        <w:rPr>
          <w:rFonts w:ascii="Arial Narrow" w:hAnsi="Arial Narrow"/>
        </w:rPr>
        <w:t xml:space="preserve"> kvalita životného prostredia na Slovensku hodnotená</w:t>
      </w:r>
      <w:r w:rsidR="00B82F97">
        <w:rPr>
          <w:rFonts w:ascii="Arial Narrow" w:hAnsi="Arial Narrow"/>
        </w:rPr>
        <w:t xml:space="preserve"> </w:t>
      </w:r>
      <w:r>
        <w:rPr>
          <w:rFonts w:ascii="Arial Narrow" w:hAnsi="Arial Narrow"/>
        </w:rPr>
        <w:t xml:space="preserve">ako 24. najlepšia na svete. </w:t>
      </w:r>
      <w:r w:rsidR="003E15E2">
        <w:rPr>
          <w:rFonts w:ascii="Arial Narrow" w:hAnsi="Arial Narrow"/>
        </w:rPr>
        <w:t xml:space="preserve">Stále však </w:t>
      </w:r>
      <w:r w:rsidRPr="001C6F9B">
        <w:rPr>
          <w:rFonts w:ascii="Arial Narrow" w:hAnsi="Arial Narrow"/>
        </w:rPr>
        <w:t xml:space="preserve">existujú </w:t>
      </w:r>
      <w:r w:rsidR="00B82F97">
        <w:rPr>
          <w:rFonts w:ascii="Arial Narrow" w:hAnsi="Arial Narrow"/>
        </w:rPr>
        <w:t>oblasti ako</w:t>
      </w:r>
      <w:r w:rsidR="00B82F97" w:rsidRPr="00B82F97">
        <w:rPr>
          <w:rFonts w:ascii="Arial Narrow" w:hAnsi="Arial Narrow"/>
        </w:rPr>
        <w:t xml:space="preserve"> odpadové hospodárstvo a </w:t>
      </w:r>
      <w:r w:rsidR="00B82F97">
        <w:rPr>
          <w:rFonts w:ascii="Arial Narrow" w:hAnsi="Arial Narrow"/>
        </w:rPr>
        <w:t>kvalita ovzdušia, kde výrazne zaostávame</w:t>
      </w:r>
      <w:r w:rsidRPr="001C6F9B">
        <w:rPr>
          <w:rFonts w:ascii="Arial Narrow" w:hAnsi="Arial Narrow"/>
        </w:rPr>
        <w:t>.</w:t>
      </w:r>
      <w:r w:rsidR="00B82F97">
        <w:rPr>
          <w:rFonts w:ascii="Arial Narrow" w:hAnsi="Arial Narrow"/>
        </w:rPr>
        <w:t xml:space="preserve"> </w:t>
      </w:r>
      <w:r w:rsidR="00B82F97" w:rsidRPr="00B82F97">
        <w:rPr>
          <w:rFonts w:ascii="Arial Narrow" w:hAnsi="Arial Narrow"/>
        </w:rPr>
        <w:t>Slovensko je výrazne pod priemerom krajín EU a V3 v miere recyklácie</w:t>
      </w:r>
      <w:r w:rsidRPr="001C6F9B">
        <w:rPr>
          <w:rFonts w:ascii="Arial Narrow" w:hAnsi="Arial Narrow"/>
        </w:rPr>
        <w:t xml:space="preserve">. </w:t>
      </w:r>
      <w:r w:rsidR="003E15E2" w:rsidRPr="003E15E2">
        <w:rPr>
          <w:rFonts w:ascii="Arial Narrow" w:hAnsi="Arial Narrow"/>
        </w:rPr>
        <w:t xml:space="preserve">Napriek zlepšeniu je </w:t>
      </w:r>
      <w:r w:rsidR="003E15E2" w:rsidRPr="003E15E2">
        <w:rPr>
          <w:rFonts w:ascii="Arial Narrow" w:hAnsi="Arial Narrow"/>
          <w:bCs/>
        </w:rPr>
        <w:t xml:space="preserve">nadpriemerne veľa obyvateľov Slovenska vystavených škodlivým prachovým časticiam </w:t>
      </w:r>
      <w:r w:rsidR="003E15E2" w:rsidRPr="003E15E2">
        <w:rPr>
          <w:rFonts w:ascii="Arial Narrow" w:hAnsi="Arial Narrow"/>
        </w:rPr>
        <w:t>PM</w:t>
      </w:r>
      <w:r w:rsidR="003E15E2" w:rsidRPr="003E15E2">
        <w:rPr>
          <w:rFonts w:ascii="Arial Narrow" w:hAnsi="Arial Narrow"/>
          <w:vertAlign w:val="subscript"/>
        </w:rPr>
        <w:t>2,5</w:t>
      </w:r>
      <w:r w:rsidR="003E15E2" w:rsidRPr="003E15E2">
        <w:rPr>
          <w:rFonts w:ascii="Arial Narrow" w:hAnsi="Arial Narrow"/>
        </w:rPr>
        <w:t>.</w:t>
      </w:r>
      <w:r w:rsidR="003E15E2">
        <w:rPr>
          <w:rFonts w:ascii="Arial Narrow" w:hAnsi="Arial Narrow"/>
          <w:vertAlign w:val="subscript"/>
        </w:rPr>
        <w:t xml:space="preserve">  </w:t>
      </w: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3975"/>
        <w:gridCol w:w="222"/>
        <w:gridCol w:w="4367"/>
      </w:tblGrid>
      <w:tr w:rsidR="003017FB" w:rsidRPr="006C5792" w14:paraId="24BCC59F" w14:textId="77777777" w:rsidTr="003017FB">
        <w:trPr>
          <w:trHeight w:val="227"/>
        </w:trPr>
        <w:tc>
          <w:tcPr>
            <w:tcW w:w="2478" w:type="pct"/>
            <w:tcBorders>
              <w:top w:val="nil"/>
              <w:left w:val="nil"/>
              <w:bottom w:val="single" w:sz="4" w:space="0" w:color="auto"/>
              <w:right w:val="nil"/>
            </w:tcBorders>
            <w:vAlign w:val="center"/>
            <w:hideMark/>
          </w:tcPr>
          <w:p w14:paraId="48BE21CD" w14:textId="71657CEE" w:rsidR="003017FB" w:rsidRPr="006C5792" w:rsidRDefault="003017FB" w:rsidP="003017FB">
            <w:pPr>
              <w:pStyle w:val="Graf"/>
              <w:spacing w:after="0" w:line="240" w:lineRule="auto"/>
              <w:jc w:val="both"/>
              <w:rPr>
                <w:rFonts w:eastAsiaTheme="minorHAnsi" w:cstheme="minorBidi"/>
                <w:sz w:val="18"/>
              </w:rPr>
            </w:pPr>
            <w:bookmarkStart w:id="79" w:name="_Toc478656336"/>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2E71B2">
              <w:rPr>
                <w:rFonts w:eastAsia="Times New Roman" w:cs="Times New Roman"/>
                <w:noProof/>
                <w:color w:val="2C9ADC"/>
                <w:szCs w:val="18"/>
                <w:lang w:eastAsia="sk-SK"/>
              </w:rPr>
              <w:t>33</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t xml:space="preserve"> </w:t>
            </w:r>
            <w:r w:rsidRPr="003017FB">
              <w:rPr>
                <w:rFonts w:eastAsia="Times New Roman" w:cs="Times New Roman"/>
                <w:color w:val="2C9ADC"/>
                <w:szCs w:val="18"/>
                <w:lang w:eastAsia="sk-SK"/>
              </w:rPr>
              <w:t>Miera recyklácie komunálneho odpadu</w:t>
            </w:r>
            <w:bookmarkEnd w:id="79"/>
          </w:p>
        </w:tc>
        <w:tc>
          <w:tcPr>
            <w:tcW w:w="130" w:type="pct"/>
            <w:tcBorders>
              <w:top w:val="nil"/>
              <w:left w:val="nil"/>
              <w:bottom w:val="nil"/>
              <w:right w:val="nil"/>
            </w:tcBorders>
            <w:vAlign w:val="center"/>
          </w:tcPr>
          <w:p w14:paraId="412387D2" w14:textId="77777777" w:rsidR="003017FB" w:rsidRPr="006C5792" w:rsidRDefault="003017FB" w:rsidP="003017FB">
            <w:pPr>
              <w:spacing w:before="60" w:after="0" w:line="240" w:lineRule="auto"/>
              <w:rPr>
                <w:rFonts w:ascii="Arial Narrow" w:hAnsi="Arial Narrow" w:cs="Arial"/>
                <w:b/>
                <w:color w:val="2C9ADC"/>
                <w:sz w:val="20"/>
                <w:szCs w:val="18"/>
              </w:rPr>
            </w:pPr>
          </w:p>
        </w:tc>
        <w:tc>
          <w:tcPr>
            <w:tcW w:w="2392" w:type="pct"/>
            <w:tcBorders>
              <w:top w:val="nil"/>
              <w:left w:val="nil"/>
              <w:bottom w:val="single" w:sz="4" w:space="0" w:color="auto"/>
              <w:right w:val="nil"/>
            </w:tcBorders>
            <w:vAlign w:val="center"/>
            <w:hideMark/>
          </w:tcPr>
          <w:p w14:paraId="0B1E4EAC" w14:textId="7A824E2E" w:rsidR="003017FB" w:rsidRPr="00170162" w:rsidRDefault="003017FB" w:rsidP="003017FB">
            <w:pPr>
              <w:pStyle w:val="Graf"/>
              <w:spacing w:after="0" w:line="240" w:lineRule="auto"/>
              <w:rPr>
                <w:rFonts w:cs="Arial"/>
                <w:color w:val="2C9ADC"/>
                <w:szCs w:val="18"/>
              </w:rPr>
            </w:pPr>
            <w:bookmarkStart w:id="80" w:name="_Toc478656337"/>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2E71B2">
              <w:rPr>
                <w:rFonts w:cs="Arial"/>
                <w:noProof/>
                <w:color w:val="2C9ADC"/>
                <w:szCs w:val="18"/>
              </w:rPr>
              <w:t>34</w:t>
            </w:r>
            <w:r w:rsidRPr="00310353">
              <w:rPr>
                <w:rFonts w:cs="Arial"/>
                <w:color w:val="2C9ADC"/>
                <w:szCs w:val="18"/>
              </w:rPr>
              <w:fldChar w:fldCharType="end"/>
            </w:r>
            <w:r w:rsidRPr="00310353">
              <w:rPr>
                <w:rFonts w:cs="Arial"/>
                <w:color w:val="2C9ADC"/>
                <w:szCs w:val="18"/>
              </w:rPr>
              <w:t xml:space="preserve">: </w:t>
            </w:r>
            <w:r>
              <w:t xml:space="preserve"> </w:t>
            </w:r>
            <w:r w:rsidRPr="003017FB">
              <w:rPr>
                <w:rFonts w:cs="Arial"/>
                <w:color w:val="2C9ADC"/>
                <w:szCs w:val="18"/>
              </w:rPr>
              <w:t>Priemerné vystaven</w:t>
            </w:r>
            <w:r>
              <w:rPr>
                <w:rFonts w:cs="Arial"/>
                <w:color w:val="2C9ADC"/>
                <w:szCs w:val="18"/>
              </w:rPr>
              <w:t>ie obyvateľstva PM2,5 v µg/m3 (</w:t>
            </w:r>
            <w:r w:rsidRPr="003017FB">
              <w:rPr>
                <w:rFonts w:cs="Arial"/>
                <w:color w:val="2C9ADC"/>
                <w:szCs w:val="18"/>
              </w:rPr>
              <w:t>2013)</w:t>
            </w:r>
            <w:bookmarkEnd w:id="80"/>
          </w:p>
        </w:tc>
      </w:tr>
      <w:tr w:rsidR="003017FB" w:rsidRPr="006C5792" w14:paraId="0D34D77D" w14:textId="77777777" w:rsidTr="003017FB">
        <w:tblPrEx>
          <w:tblCellMar>
            <w:left w:w="108" w:type="dxa"/>
            <w:right w:w="108" w:type="dxa"/>
          </w:tblCellMar>
        </w:tblPrEx>
        <w:trPr>
          <w:trHeight w:val="3042"/>
        </w:trPr>
        <w:tc>
          <w:tcPr>
            <w:tcW w:w="2478" w:type="pct"/>
            <w:tcBorders>
              <w:top w:val="single" w:sz="4" w:space="0" w:color="auto"/>
              <w:left w:val="nil"/>
              <w:bottom w:val="single" w:sz="4" w:space="0" w:color="auto"/>
              <w:right w:val="nil"/>
            </w:tcBorders>
          </w:tcPr>
          <w:p w14:paraId="78F633E2" w14:textId="0F98EC84" w:rsidR="003017FB" w:rsidRPr="006C5792" w:rsidRDefault="003017FB" w:rsidP="003017FB">
            <w:pPr>
              <w:spacing w:before="40" w:after="0" w:line="240" w:lineRule="auto"/>
              <w:jc w:val="center"/>
              <w:rPr>
                <w:rFonts w:ascii="Arial Narrow" w:hAnsi="Arial Narrow" w:cs="Arial"/>
                <w:b/>
                <w:sz w:val="20"/>
                <w:szCs w:val="20"/>
              </w:rPr>
            </w:pPr>
            <w:r>
              <w:rPr>
                <w:noProof/>
                <w:lang w:val="en-US" w:eastAsia="en-US"/>
              </w:rPr>
              <w:drawing>
                <wp:inline distT="0" distB="0" distL="0" distR="0" wp14:anchorId="78B62EF5" wp14:editId="071C6134">
                  <wp:extent cx="2466975" cy="1905000"/>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130" w:type="pct"/>
            <w:tcBorders>
              <w:top w:val="nil"/>
              <w:left w:val="nil"/>
              <w:bottom w:val="nil"/>
              <w:right w:val="nil"/>
            </w:tcBorders>
            <w:vAlign w:val="center"/>
          </w:tcPr>
          <w:p w14:paraId="18315E1D" w14:textId="77777777" w:rsidR="003017FB" w:rsidRPr="006C5792" w:rsidRDefault="003017FB" w:rsidP="003017FB">
            <w:pPr>
              <w:spacing w:before="40" w:after="0" w:line="240" w:lineRule="auto"/>
              <w:jc w:val="center"/>
              <w:rPr>
                <w:rFonts w:ascii="Arial Narrow" w:hAnsi="Arial Narrow" w:cs="Arial"/>
                <w:b/>
                <w:sz w:val="20"/>
                <w:szCs w:val="20"/>
              </w:rPr>
            </w:pPr>
          </w:p>
        </w:tc>
        <w:tc>
          <w:tcPr>
            <w:tcW w:w="2392" w:type="pct"/>
            <w:tcBorders>
              <w:top w:val="single" w:sz="4" w:space="0" w:color="auto"/>
              <w:left w:val="nil"/>
              <w:bottom w:val="single" w:sz="4" w:space="0" w:color="auto"/>
              <w:right w:val="nil"/>
            </w:tcBorders>
            <w:hideMark/>
          </w:tcPr>
          <w:p w14:paraId="38F43F80" w14:textId="52FCAC56" w:rsidR="003017FB" w:rsidRPr="006C5792" w:rsidRDefault="003017FB" w:rsidP="003017FB">
            <w:pPr>
              <w:spacing w:before="40" w:after="0" w:line="240" w:lineRule="auto"/>
              <w:jc w:val="center"/>
              <w:rPr>
                <w:rFonts w:ascii="Arial Narrow" w:hAnsi="Arial Narrow" w:cs="Arial"/>
                <w:b/>
                <w:sz w:val="20"/>
                <w:szCs w:val="20"/>
              </w:rPr>
            </w:pPr>
            <w:r>
              <w:rPr>
                <w:noProof/>
                <w:lang w:val="en-US" w:eastAsia="en-US"/>
              </w:rPr>
              <w:drawing>
                <wp:inline distT="0" distB="0" distL="0" distR="0" wp14:anchorId="426C48AB" wp14:editId="66C9BC0A">
                  <wp:extent cx="2724150" cy="1956021"/>
                  <wp:effectExtent l="0" t="0" r="0" b="635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3017FB" w:rsidRPr="006C5792" w14:paraId="151980F2" w14:textId="77777777" w:rsidTr="003017FB">
        <w:trPr>
          <w:trHeight w:val="70"/>
        </w:trPr>
        <w:tc>
          <w:tcPr>
            <w:tcW w:w="2478" w:type="pct"/>
            <w:tcBorders>
              <w:top w:val="single" w:sz="4" w:space="0" w:color="auto"/>
              <w:left w:val="nil"/>
              <w:bottom w:val="nil"/>
              <w:right w:val="nil"/>
            </w:tcBorders>
            <w:vAlign w:val="center"/>
          </w:tcPr>
          <w:p w14:paraId="3F3B7C8D" w14:textId="77777777" w:rsidR="003017FB" w:rsidRPr="00C83F39" w:rsidRDefault="003017FB" w:rsidP="00810345">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Zdroj: Eurostat</w:t>
            </w:r>
          </w:p>
        </w:tc>
        <w:tc>
          <w:tcPr>
            <w:tcW w:w="130" w:type="pct"/>
            <w:tcBorders>
              <w:top w:val="nil"/>
              <w:left w:val="nil"/>
              <w:bottom w:val="nil"/>
              <w:right w:val="nil"/>
            </w:tcBorders>
            <w:vAlign w:val="center"/>
          </w:tcPr>
          <w:p w14:paraId="6825F228" w14:textId="77777777" w:rsidR="003017FB" w:rsidRPr="00C83F39" w:rsidRDefault="003017FB" w:rsidP="00810345">
            <w:pPr>
              <w:spacing w:after="120" w:line="240" w:lineRule="auto"/>
              <w:jc w:val="center"/>
              <w:rPr>
                <w:rFonts w:ascii="Arial Narrow" w:hAnsi="Arial Narrow" w:cs="Arial"/>
                <w:i/>
                <w:sz w:val="16"/>
                <w:szCs w:val="16"/>
              </w:rPr>
            </w:pPr>
          </w:p>
        </w:tc>
        <w:tc>
          <w:tcPr>
            <w:tcW w:w="2392" w:type="pct"/>
            <w:tcBorders>
              <w:top w:val="single" w:sz="4" w:space="0" w:color="auto"/>
              <w:left w:val="nil"/>
              <w:bottom w:val="nil"/>
              <w:right w:val="nil"/>
            </w:tcBorders>
            <w:vAlign w:val="center"/>
          </w:tcPr>
          <w:p w14:paraId="12C7C692" w14:textId="69370CD0" w:rsidR="003017FB" w:rsidRPr="00C83F39" w:rsidRDefault="003017FB" w:rsidP="00810345">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OECD</w:t>
            </w:r>
          </w:p>
        </w:tc>
      </w:tr>
    </w:tbl>
    <w:p w14:paraId="6EA610D6" w14:textId="7BF3C470" w:rsidR="00FB43F1" w:rsidRDefault="00FB43F1" w:rsidP="00FB625E">
      <w:pPr>
        <w:spacing w:after="0" w:line="240" w:lineRule="auto"/>
        <w:jc w:val="both"/>
        <w:rPr>
          <w:rFonts w:ascii="Arial Narrow" w:hAnsi="Arial Narrow"/>
          <w:b/>
          <w:bCs/>
          <w:i/>
          <w:iCs/>
        </w:rPr>
      </w:pPr>
      <w:r>
        <w:rPr>
          <w:rFonts w:ascii="Arial Narrow" w:hAnsi="Arial Narrow"/>
          <w:b/>
          <w:bCs/>
          <w:i/>
          <w:iCs/>
        </w:rPr>
        <w:t>Revízia výdavkov v oblasti životného prostredia</w:t>
      </w:r>
    </w:p>
    <w:p w14:paraId="72C5A0F4" w14:textId="0F86E2B0" w:rsidR="00064831" w:rsidRPr="00FB43F1" w:rsidRDefault="00064831" w:rsidP="00C50F79">
      <w:pPr>
        <w:spacing w:after="0" w:line="240" w:lineRule="auto"/>
        <w:jc w:val="both"/>
        <w:rPr>
          <w:rFonts w:ascii="Arial Narrow" w:hAnsi="Arial Narrow"/>
          <w:bCs/>
          <w:i/>
          <w:iCs/>
        </w:rPr>
      </w:pPr>
      <w:r w:rsidRPr="00064831">
        <w:rPr>
          <w:rFonts w:ascii="Arial Narrow" w:hAnsi="Arial Narrow"/>
          <w:bCs/>
          <w:iCs/>
        </w:rPr>
        <w:t xml:space="preserve">Revízia navrhne výdavkové a štrukturálne opatrenia na zefektívnenie investičnej obálky a na zvýšenie účinnosti programov na ochranu životného prostredia. </w:t>
      </w:r>
      <w:r>
        <w:rPr>
          <w:rFonts w:ascii="Arial Narrow" w:hAnsi="Arial Narrow"/>
          <w:bCs/>
          <w:iCs/>
        </w:rPr>
        <w:t xml:space="preserve">Zameranie bude najmä na oblasti </w:t>
      </w:r>
      <w:r w:rsidRPr="00064831">
        <w:rPr>
          <w:rFonts w:ascii="Arial Narrow" w:hAnsi="Arial Narrow"/>
          <w:bCs/>
          <w:iCs/>
        </w:rPr>
        <w:t>manažment odpadových vôd</w:t>
      </w:r>
      <w:r>
        <w:rPr>
          <w:rFonts w:ascii="Arial Narrow" w:hAnsi="Arial Narrow"/>
          <w:bCs/>
          <w:iCs/>
        </w:rPr>
        <w:t>, protipovodňové op</w:t>
      </w:r>
      <w:r w:rsidR="00AC76F1">
        <w:rPr>
          <w:rFonts w:ascii="Arial Narrow" w:hAnsi="Arial Narrow"/>
          <w:bCs/>
          <w:iCs/>
        </w:rPr>
        <w:t xml:space="preserve">atrenia, odpadové hospodárstvo </w:t>
      </w:r>
      <w:r>
        <w:rPr>
          <w:rFonts w:ascii="Arial Narrow" w:hAnsi="Arial Narrow"/>
          <w:bCs/>
          <w:iCs/>
        </w:rPr>
        <w:t xml:space="preserve">a znečistenie ovzdušia. Zhodnotí sa efektívnosť prevádzky </w:t>
      </w:r>
      <w:r w:rsidRPr="00064831">
        <w:rPr>
          <w:rFonts w:ascii="Arial Narrow" w:hAnsi="Arial Narrow"/>
          <w:bCs/>
          <w:iCs/>
        </w:rPr>
        <w:t>organizáci</w:t>
      </w:r>
      <w:r>
        <w:rPr>
          <w:rFonts w:ascii="Arial Narrow" w:hAnsi="Arial Narrow"/>
          <w:bCs/>
          <w:iCs/>
        </w:rPr>
        <w:t xml:space="preserve">í </w:t>
      </w:r>
      <w:r w:rsidRPr="00064831">
        <w:rPr>
          <w:rFonts w:ascii="Arial Narrow" w:hAnsi="Arial Narrow"/>
          <w:bCs/>
          <w:iCs/>
        </w:rPr>
        <w:t xml:space="preserve">pod MŽP SR. </w:t>
      </w:r>
    </w:p>
    <w:p w14:paraId="51C3F087" w14:textId="77777777" w:rsidR="00FB43F1" w:rsidRDefault="00FB43F1" w:rsidP="00FB625E">
      <w:pPr>
        <w:spacing w:after="0" w:line="240" w:lineRule="auto"/>
        <w:jc w:val="both"/>
        <w:rPr>
          <w:rFonts w:ascii="Arial Narrow" w:hAnsi="Arial Narrow"/>
          <w:b/>
          <w:bCs/>
          <w:i/>
          <w:iCs/>
        </w:rPr>
      </w:pPr>
    </w:p>
    <w:p w14:paraId="74320931" w14:textId="77777777" w:rsidR="009D01B4" w:rsidRDefault="004D358F" w:rsidP="00FB625E">
      <w:pPr>
        <w:spacing w:after="0" w:line="240" w:lineRule="auto"/>
        <w:jc w:val="both"/>
        <w:rPr>
          <w:rFonts w:ascii="Arial Narrow" w:hAnsi="Arial Narrow"/>
          <w:b/>
          <w:bCs/>
          <w:i/>
          <w:iCs/>
        </w:rPr>
      </w:pPr>
      <w:r w:rsidRPr="009D01B4">
        <w:rPr>
          <w:rFonts w:ascii="Arial Narrow" w:hAnsi="Arial Narrow"/>
          <w:b/>
          <w:bCs/>
          <w:i/>
          <w:iCs/>
        </w:rPr>
        <w:t>Environmentálne stratégie</w:t>
      </w:r>
    </w:p>
    <w:p w14:paraId="745D8596" w14:textId="7E24DD81" w:rsidR="00754136" w:rsidRDefault="00754136" w:rsidP="00754136">
      <w:pPr>
        <w:spacing w:after="0" w:line="240" w:lineRule="auto"/>
        <w:jc w:val="both"/>
        <w:rPr>
          <w:rFonts w:ascii="Arial Narrow" w:hAnsi="Arial Narrow"/>
        </w:rPr>
      </w:pPr>
      <w:r>
        <w:rPr>
          <w:rFonts w:ascii="Arial Narrow" w:hAnsi="Arial Narrow"/>
        </w:rPr>
        <w:t>V</w:t>
      </w:r>
      <w:r w:rsidRPr="004D358F">
        <w:rPr>
          <w:rFonts w:ascii="Arial Narrow" w:hAnsi="Arial Narrow"/>
        </w:rPr>
        <w:t> priebehu roka 2017</w:t>
      </w:r>
      <w:r>
        <w:rPr>
          <w:rFonts w:ascii="Arial Narrow" w:hAnsi="Arial Narrow"/>
        </w:rPr>
        <w:t xml:space="preserve"> bude predstavená </w:t>
      </w:r>
      <w:r w:rsidRPr="004D358F">
        <w:rPr>
          <w:rFonts w:ascii="Arial Narrow" w:hAnsi="Arial Narrow"/>
          <w:b/>
        </w:rPr>
        <w:t>Stratégia environmentálnej politiky do roku 2030</w:t>
      </w:r>
      <w:r>
        <w:rPr>
          <w:rFonts w:ascii="Arial Narrow" w:hAnsi="Arial Narrow"/>
          <w:b/>
        </w:rPr>
        <w:t xml:space="preserve">, </w:t>
      </w:r>
      <w:r w:rsidRPr="00B4362E">
        <w:rPr>
          <w:rFonts w:ascii="Arial Narrow" w:hAnsi="Arial Narrow"/>
        </w:rPr>
        <w:t>ktorá</w:t>
      </w:r>
      <w:r w:rsidRPr="004D358F">
        <w:rPr>
          <w:rFonts w:ascii="Arial Narrow" w:hAnsi="Arial Narrow"/>
        </w:rPr>
        <w:t xml:space="preserve"> určí rámcové opatrenia pre smerovanie ochrany životného prostredia</w:t>
      </w:r>
      <w:r>
        <w:rPr>
          <w:rFonts w:ascii="Arial Narrow" w:hAnsi="Arial Narrow"/>
        </w:rPr>
        <w:t>.</w:t>
      </w:r>
      <w:r w:rsidRPr="004D358F">
        <w:rPr>
          <w:rFonts w:ascii="Arial Narrow" w:hAnsi="Arial Narrow"/>
        </w:rPr>
        <w:t xml:space="preserve"> </w:t>
      </w:r>
      <w:r w:rsidRPr="004D358F">
        <w:rPr>
          <w:rFonts w:ascii="Arial Narrow" w:hAnsi="Arial Narrow"/>
          <w:b/>
        </w:rPr>
        <w:t>Nízko-uhlíková stratégia</w:t>
      </w:r>
      <w:r w:rsidRPr="004D358F">
        <w:rPr>
          <w:rFonts w:ascii="Arial Narrow" w:hAnsi="Arial Narrow"/>
        </w:rPr>
        <w:t xml:space="preserve"> </w:t>
      </w:r>
      <w:r w:rsidRPr="004D358F">
        <w:rPr>
          <w:rFonts w:ascii="Arial Narrow" w:hAnsi="Arial Narrow"/>
          <w:b/>
        </w:rPr>
        <w:t>do roku 205</w:t>
      </w:r>
      <w:r>
        <w:rPr>
          <w:rFonts w:ascii="Arial Narrow" w:hAnsi="Arial Narrow"/>
          <w:b/>
        </w:rPr>
        <w:t xml:space="preserve">0 </w:t>
      </w:r>
      <w:r w:rsidRPr="004D358F">
        <w:rPr>
          <w:rFonts w:ascii="Arial Narrow" w:hAnsi="Arial Narrow"/>
        </w:rPr>
        <w:t>identifikuje po</w:t>
      </w:r>
      <w:r>
        <w:rPr>
          <w:rFonts w:ascii="Arial Narrow" w:hAnsi="Arial Narrow"/>
        </w:rPr>
        <w:t xml:space="preserve">tenciál znižovania emisií </w:t>
      </w:r>
      <w:r w:rsidRPr="00670DB8">
        <w:rPr>
          <w:rFonts w:ascii="Arial Narrow" w:hAnsi="Arial Narrow"/>
        </w:rPr>
        <w:t>nákladovo-efektívnym spôsobom</w:t>
      </w:r>
      <w:r>
        <w:rPr>
          <w:rFonts w:ascii="Arial Narrow" w:hAnsi="Arial Narrow"/>
          <w:b/>
        </w:rPr>
        <w:t>. S</w:t>
      </w:r>
      <w:r w:rsidRPr="004D358F">
        <w:rPr>
          <w:rFonts w:ascii="Arial Narrow" w:hAnsi="Arial Narrow"/>
          <w:b/>
        </w:rPr>
        <w:t>tratégi</w:t>
      </w:r>
      <w:r>
        <w:rPr>
          <w:rFonts w:ascii="Arial Narrow" w:hAnsi="Arial Narrow"/>
          <w:b/>
        </w:rPr>
        <w:t>a</w:t>
      </w:r>
      <w:r w:rsidRPr="004D358F">
        <w:rPr>
          <w:rFonts w:ascii="Arial Narrow" w:hAnsi="Arial Narrow"/>
          <w:b/>
        </w:rPr>
        <w:t xml:space="preserve"> na zlepšenia kvality ovzdušia</w:t>
      </w:r>
      <w:r w:rsidRPr="004D358F">
        <w:rPr>
          <w:rFonts w:ascii="Arial Narrow" w:hAnsi="Arial Narrow"/>
        </w:rPr>
        <w:t xml:space="preserve"> </w:t>
      </w:r>
      <w:r>
        <w:rPr>
          <w:rFonts w:ascii="Arial Narrow" w:hAnsi="Arial Narrow"/>
        </w:rPr>
        <w:t>pre</w:t>
      </w:r>
      <w:r w:rsidR="009D3ECC">
        <w:rPr>
          <w:rFonts w:ascii="Arial Narrow" w:hAnsi="Arial Narrow"/>
        </w:rPr>
        <w:t>d</w:t>
      </w:r>
      <w:r>
        <w:rPr>
          <w:rFonts w:ascii="Arial Narrow" w:hAnsi="Arial Narrow"/>
        </w:rPr>
        <w:t>staví</w:t>
      </w:r>
      <w:r w:rsidRPr="004D358F">
        <w:rPr>
          <w:rFonts w:ascii="Arial Narrow" w:hAnsi="Arial Narrow"/>
        </w:rPr>
        <w:t xml:space="preserve"> opatrenia, ktoré prispejú k obmedzeniu znečisťovania ovzdušia</w:t>
      </w:r>
      <w:r>
        <w:rPr>
          <w:rFonts w:ascii="Arial Narrow" w:hAnsi="Arial Narrow"/>
        </w:rPr>
        <w:t>.</w:t>
      </w:r>
      <w:r w:rsidRPr="004D358F">
        <w:rPr>
          <w:rFonts w:ascii="Arial Narrow" w:hAnsi="Arial Narrow"/>
        </w:rPr>
        <w:t xml:space="preserve"> </w:t>
      </w:r>
    </w:p>
    <w:p w14:paraId="669E2D17" w14:textId="77777777" w:rsidR="008423BB" w:rsidRPr="004D358F" w:rsidRDefault="008423BB" w:rsidP="008423BB">
      <w:pPr>
        <w:spacing w:after="0" w:line="240" w:lineRule="auto"/>
        <w:jc w:val="both"/>
        <w:rPr>
          <w:rFonts w:ascii="Arial Narrow" w:hAnsi="Arial Narrow"/>
        </w:rPr>
      </w:pPr>
    </w:p>
    <w:p w14:paraId="1CA01A21" w14:textId="0A83FC37" w:rsidR="007D610E" w:rsidRPr="009D01B4" w:rsidRDefault="004D358F" w:rsidP="00FB625E">
      <w:pPr>
        <w:spacing w:after="0" w:line="240" w:lineRule="auto"/>
        <w:jc w:val="both"/>
        <w:rPr>
          <w:rFonts w:ascii="Arial Narrow" w:hAnsi="Arial Narrow"/>
          <w:b/>
          <w:bCs/>
          <w:i/>
          <w:iCs/>
        </w:rPr>
      </w:pPr>
      <w:r w:rsidRPr="009D01B4">
        <w:rPr>
          <w:rFonts w:ascii="Arial Narrow" w:hAnsi="Arial Narrow"/>
          <w:b/>
          <w:bCs/>
          <w:i/>
          <w:iCs/>
        </w:rPr>
        <w:t>Odpadové hospodárstvo</w:t>
      </w:r>
    </w:p>
    <w:p w14:paraId="6FE3E122" w14:textId="2A6F26D0" w:rsidR="008423BB" w:rsidRDefault="007D610E" w:rsidP="008423BB">
      <w:pPr>
        <w:autoSpaceDE w:val="0"/>
        <w:autoSpaceDN w:val="0"/>
        <w:adjustRightInd w:val="0"/>
        <w:spacing w:after="0" w:line="240" w:lineRule="auto"/>
        <w:jc w:val="both"/>
        <w:rPr>
          <w:rFonts w:ascii="Arial Narrow" w:hAnsi="Arial Narrow"/>
        </w:rPr>
      </w:pPr>
      <w:r w:rsidRPr="00B505F2">
        <w:rPr>
          <w:rFonts w:ascii="Arial Narrow" w:hAnsi="Arial Narrow"/>
        </w:rPr>
        <w:t>V oblasti odpadového hospodárstva</w:t>
      </w:r>
      <w:r w:rsidR="008423BB">
        <w:rPr>
          <w:rFonts w:ascii="Arial Narrow" w:hAnsi="Arial Narrow"/>
        </w:rPr>
        <w:t xml:space="preserve"> </w:t>
      </w:r>
      <w:r>
        <w:rPr>
          <w:rFonts w:ascii="Arial Narrow" w:hAnsi="Arial Narrow"/>
        </w:rPr>
        <w:t xml:space="preserve">sa postupným </w:t>
      </w:r>
      <w:r w:rsidRPr="00B505F2">
        <w:rPr>
          <w:rFonts w:ascii="Arial Narrow" w:hAnsi="Arial Narrow"/>
          <w:b/>
        </w:rPr>
        <w:t>zvýšením poplatkov za uloženie odpadu</w:t>
      </w:r>
      <w:r>
        <w:rPr>
          <w:rFonts w:ascii="Arial Narrow" w:hAnsi="Arial Narrow"/>
        </w:rPr>
        <w:t xml:space="preserve"> prispeje k nižšej miere skládkovania a zároveň vyššej recyklácií. </w:t>
      </w:r>
      <w:r w:rsidRPr="007F3849">
        <w:rPr>
          <w:rFonts w:ascii="Arial Narrow" w:hAnsi="Arial Narrow"/>
        </w:rPr>
        <w:t xml:space="preserve">Súčasné poplatky za skládkovanie komunálneho </w:t>
      </w:r>
      <w:r w:rsidRPr="007F3849">
        <w:rPr>
          <w:rFonts w:ascii="Arial Narrow" w:hAnsi="Arial Narrow"/>
        </w:rPr>
        <w:lastRenderedPageBreak/>
        <w:t>odpadu na Slovensku sú príliš nízke a nepredstavujú takmer žiadnu motiváciu pre obce meniť svoju odpadovú politiku</w:t>
      </w:r>
      <w:r w:rsidR="002E0B35">
        <w:rPr>
          <w:rFonts w:ascii="Arial Narrow" w:hAnsi="Arial Narrow"/>
        </w:rPr>
        <w:t>.</w:t>
      </w:r>
    </w:p>
    <w:p w14:paraId="3C1CB43F" w14:textId="77777777" w:rsidR="00BB5ACE" w:rsidRDefault="00BB5ACE" w:rsidP="008423BB">
      <w:pPr>
        <w:autoSpaceDE w:val="0"/>
        <w:autoSpaceDN w:val="0"/>
        <w:adjustRightInd w:val="0"/>
        <w:spacing w:after="0" w:line="240" w:lineRule="auto"/>
        <w:jc w:val="both"/>
        <w:rPr>
          <w:rFonts w:ascii="Arial Narrow" w:hAnsi="Arial Narrow"/>
        </w:rPr>
      </w:pPr>
    </w:p>
    <w:p w14:paraId="0FD65454" w14:textId="2F73BAF7" w:rsidR="004D358F" w:rsidRPr="009D01B4" w:rsidRDefault="004D358F" w:rsidP="00FB625E">
      <w:pPr>
        <w:autoSpaceDE w:val="0"/>
        <w:autoSpaceDN w:val="0"/>
        <w:adjustRightInd w:val="0"/>
        <w:spacing w:after="0" w:line="240" w:lineRule="auto"/>
        <w:jc w:val="both"/>
        <w:rPr>
          <w:rFonts w:ascii="Arial Narrow" w:hAnsi="Arial Narrow"/>
          <w:b/>
          <w:bCs/>
          <w:i/>
          <w:iCs/>
        </w:rPr>
      </w:pPr>
      <w:r w:rsidRPr="009D01B4">
        <w:rPr>
          <w:rFonts w:ascii="Arial Narrow" w:hAnsi="Arial Narrow"/>
          <w:b/>
          <w:bCs/>
          <w:i/>
          <w:iCs/>
        </w:rPr>
        <w:t xml:space="preserve">Informačná platforma </w:t>
      </w:r>
      <w:r w:rsidR="00AC76F1">
        <w:rPr>
          <w:rFonts w:ascii="Arial Narrow" w:hAnsi="Arial Narrow"/>
          <w:b/>
          <w:bCs/>
          <w:i/>
          <w:iCs/>
        </w:rPr>
        <w:t>–</w:t>
      </w:r>
      <w:r w:rsidRPr="009D01B4">
        <w:rPr>
          <w:rFonts w:ascii="Arial Narrow" w:hAnsi="Arial Narrow"/>
          <w:b/>
          <w:bCs/>
          <w:i/>
          <w:iCs/>
        </w:rPr>
        <w:t xml:space="preserve"> Zelené hospodárstvo</w:t>
      </w:r>
    </w:p>
    <w:p w14:paraId="23AC89D0" w14:textId="0872CF10" w:rsidR="007D610E" w:rsidRPr="00AC76F1" w:rsidRDefault="007D610E" w:rsidP="00D91798">
      <w:pPr>
        <w:spacing w:after="0" w:line="240" w:lineRule="auto"/>
        <w:jc w:val="both"/>
        <w:rPr>
          <w:rFonts w:ascii="Arial Narrow" w:hAnsi="Arial Narrow"/>
          <w:b/>
        </w:rPr>
      </w:pPr>
      <w:r>
        <w:rPr>
          <w:rFonts w:ascii="Arial Narrow" w:hAnsi="Arial Narrow"/>
        </w:rPr>
        <w:t>Do marca 2018 sa v</w:t>
      </w:r>
      <w:r w:rsidRPr="005A5DA0">
        <w:rPr>
          <w:rFonts w:ascii="Arial Narrow" w:hAnsi="Arial Narrow"/>
        </w:rPr>
        <w:t>ytvor</w:t>
      </w:r>
      <w:r>
        <w:rPr>
          <w:rFonts w:ascii="Arial Narrow" w:hAnsi="Arial Narrow"/>
        </w:rPr>
        <w:t xml:space="preserve">í </w:t>
      </w:r>
      <w:r w:rsidRPr="005A5DA0">
        <w:rPr>
          <w:rFonts w:ascii="Arial Narrow" w:hAnsi="Arial Narrow"/>
        </w:rPr>
        <w:t xml:space="preserve">priestor pre výmenu informácii </w:t>
      </w:r>
      <w:r>
        <w:rPr>
          <w:rFonts w:ascii="Arial Narrow" w:hAnsi="Arial Narrow"/>
        </w:rPr>
        <w:t>týkajúcich sa</w:t>
      </w:r>
      <w:r w:rsidRPr="005A5DA0">
        <w:rPr>
          <w:rFonts w:ascii="Arial Narrow" w:hAnsi="Arial Narrow"/>
        </w:rPr>
        <w:t xml:space="preserve"> integrácie princípov Z</w:t>
      </w:r>
      <w:r w:rsidR="00B505F2">
        <w:rPr>
          <w:rFonts w:ascii="Arial Narrow" w:hAnsi="Arial Narrow"/>
        </w:rPr>
        <w:t>eleného hospodárstva do prax</w:t>
      </w:r>
      <w:r w:rsidR="00B505F2" w:rsidRPr="00B505F2">
        <w:rPr>
          <w:rFonts w:ascii="Arial Narrow" w:hAnsi="Arial Narrow"/>
        </w:rPr>
        <w:t>e.</w:t>
      </w:r>
      <w:r w:rsidR="00B505F2" w:rsidRPr="00B505F2">
        <w:rPr>
          <w:rFonts w:ascii="Arial Narrow" w:hAnsi="Arial Narrow"/>
          <w:b/>
        </w:rPr>
        <w:t xml:space="preserve"> I</w:t>
      </w:r>
      <w:r w:rsidRPr="00B505F2">
        <w:rPr>
          <w:rFonts w:ascii="Arial Narrow" w:hAnsi="Arial Narrow"/>
          <w:b/>
        </w:rPr>
        <w:t>nformačná</w:t>
      </w:r>
      <w:r w:rsidRPr="00C37B43">
        <w:rPr>
          <w:rFonts w:ascii="Arial Narrow" w:hAnsi="Arial Narrow"/>
          <w:b/>
        </w:rPr>
        <w:t xml:space="preserve"> platforma</w:t>
      </w:r>
      <w:r w:rsidR="000D7DF6">
        <w:rPr>
          <w:rFonts w:ascii="Arial Narrow" w:hAnsi="Arial Narrow"/>
          <w:b/>
        </w:rPr>
        <w:t xml:space="preserve"> </w:t>
      </w:r>
      <w:r w:rsidR="00AC76F1">
        <w:rPr>
          <w:rFonts w:ascii="Arial Narrow" w:hAnsi="Arial Narrow"/>
          <w:b/>
        </w:rPr>
        <w:t xml:space="preserve">– </w:t>
      </w:r>
      <w:r w:rsidRPr="00AC76F1">
        <w:rPr>
          <w:rFonts w:ascii="Arial Narrow" w:hAnsi="Arial Narrow"/>
          <w:b/>
          <w:i/>
        </w:rPr>
        <w:t>Zelené hospodárstvo</w:t>
      </w:r>
      <w:r w:rsidRPr="005A5DA0">
        <w:rPr>
          <w:rFonts w:ascii="Arial Narrow" w:hAnsi="Arial Narrow"/>
        </w:rPr>
        <w:t xml:space="preserve"> zvýši environmentálne povedomie</w:t>
      </w:r>
      <w:r w:rsidR="000D7DF6">
        <w:rPr>
          <w:rFonts w:ascii="Arial Narrow" w:hAnsi="Arial Narrow"/>
        </w:rPr>
        <w:t>,</w:t>
      </w:r>
      <w:r w:rsidR="000D7DF6" w:rsidRPr="000D7DF6">
        <w:rPr>
          <w:rFonts w:ascii="Arial Narrow" w:hAnsi="Arial Narrow"/>
        </w:rPr>
        <w:t xml:space="preserve"> poukáže na výhody podnikania podľa</w:t>
      </w:r>
      <w:r w:rsidR="000D7DF6">
        <w:rPr>
          <w:rFonts w:ascii="Arial Narrow" w:hAnsi="Arial Narrow"/>
        </w:rPr>
        <w:t xml:space="preserve"> konceptu zeleného hospodárstva</w:t>
      </w:r>
      <w:r w:rsidRPr="005A5DA0">
        <w:rPr>
          <w:rFonts w:ascii="Arial Narrow" w:hAnsi="Arial Narrow"/>
        </w:rPr>
        <w:t>n</w:t>
      </w:r>
      <w:r w:rsidR="000D7DF6">
        <w:rPr>
          <w:rFonts w:ascii="Arial Narrow" w:hAnsi="Arial Narrow"/>
        </w:rPr>
        <w:t xml:space="preserve"> a na</w:t>
      </w:r>
      <w:r w:rsidRPr="005A5DA0">
        <w:rPr>
          <w:rFonts w:ascii="Arial Narrow" w:hAnsi="Arial Narrow"/>
        </w:rPr>
        <w:t>pomôže</w:t>
      </w:r>
      <w:r>
        <w:rPr>
          <w:rFonts w:ascii="Arial Narrow" w:hAnsi="Arial Narrow"/>
        </w:rPr>
        <w:t xml:space="preserve"> </w:t>
      </w:r>
      <w:r w:rsidR="00B4362E">
        <w:rPr>
          <w:rFonts w:ascii="Arial Narrow" w:hAnsi="Arial Narrow"/>
        </w:rPr>
        <w:t xml:space="preserve">pochopiť význam </w:t>
      </w:r>
      <w:r w:rsidRPr="005A5DA0">
        <w:rPr>
          <w:rFonts w:ascii="Arial Narrow" w:hAnsi="Arial Narrow"/>
        </w:rPr>
        <w:t>a využitie e</w:t>
      </w:r>
      <w:r w:rsidR="000D7DF6">
        <w:rPr>
          <w:rFonts w:ascii="Arial Narrow" w:hAnsi="Arial Narrow"/>
        </w:rPr>
        <w:t>nvironmentálnych alternatív.</w:t>
      </w:r>
      <w:r>
        <w:rPr>
          <w:rFonts w:ascii="Arial Narrow" w:hAnsi="Arial Narrow"/>
        </w:rPr>
        <w:t xml:space="preserve"> </w:t>
      </w:r>
    </w:p>
    <w:p w14:paraId="1B600495" w14:textId="77777777" w:rsidR="00CC10F8" w:rsidRPr="00256D89" w:rsidRDefault="00CC10F8" w:rsidP="00FB625E">
      <w:pPr>
        <w:pStyle w:val="Odsekzoznamu"/>
        <w:spacing w:after="0" w:line="240" w:lineRule="auto"/>
        <w:ind w:left="0"/>
        <w:jc w:val="both"/>
        <w:rPr>
          <w:rFonts w:ascii="Arial Narrow" w:hAnsi="Arial Narrow"/>
        </w:rPr>
      </w:pPr>
    </w:p>
    <w:p w14:paraId="434E0730" w14:textId="77777777" w:rsidR="00827618" w:rsidRPr="00256D89" w:rsidRDefault="00827618" w:rsidP="00FB625E">
      <w:pPr>
        <w:pStyle w:val="Odsekzoznamu"/>
        <w:spacing w:after="0" w:line="240" w:lineRule="auto"/>
        <w:ind w:left="0"/>
        <w:jc w:val="both"/>
        <w:rPr>
          <w:rFonts w:ascii="Arial Narrow" w:hAnsi="Arial Narrow"/>
        </w:rPr>
      </w:pPr>
      <w:r w:rsidRPr="00256D89">
        <w:rPr>
          <w:rFonts w:ascii="Arial Narrow" w:hAnsi="Arial Narrow"/>
        </w:rPr>
        <w:br w:type="page"/>
      </w:r>
    </w:p>
    <w:p w14:paraId="237687F8" w14:textId="77777777" w:rsidR="00827618" w:rsidRPr="000D43EF" w:rsidRDefault="00827618" w:rsidP="00FB625E">
      <w:pPr>
        <w:pStyle w:val="Nadpis1"/>
        <w:numPr>
          <w:ilvl w:val="0"/>
          <w:numId w:val="1"/>
        </w:numPr>
        <w:spacing w:line="240" w:lineRule="auto"/>
        <w:rPr>
          <w:rFonts w:ascii="Arial Narrow" w:hAnsi="Arial Narrow"/>
          <w:color w:val="auto"/>
          <w:sz w:val="32"/>
          <w:szCs w:val="32"/>
        </w:rPr>
      </w:pPr>
      <w:bookmarkStart w:id="81" w:name="_Toc386005379"/>
      <w:bookmarkStart w:id="82" w:name="_Toc477259960"/>
      <w:bookmarkStart w:id="83" w:name="_Toc382332130"/>
      <w:r w:rsidRPr="000D43EF">
        <w:rPr>
          <w:rFonts w:ascii="Arial Narrow" w:hAnsi="Arial Narrow"/>
          <w:color w:val="auto"/>
          <w:sz w:val="32"/>
          <w:szCs w:val="32"/>
        </w:rPr>
        <w:lastRenderedPageBreak/>
        <w:t>Politika súdržnosti EÚ</w:t>
      </w:r>
      <w:bookmarkEnd w:id="81"/>
      <w:bookmarkEnd w:id="82"/>
      <w:r w:rsidRPr="000D43EF">
        <w:rPr>
          <w:rFonts w:ascii="Arial Narrow" w:hAnsi="Arial Narrow"/>
          <w:color w:val="auto"/>
          <w:sz w:val="32"/>
          <w:szCs w:val="32"/>
        </w:rPr>
        <w:t xml:space="preserve"> </w:t>
      </w:r>
      <w:bookmarkEnd w:id="83"/>
    </w:p>
    <w:p w14:paraId="154AEC2B" w14:textId="77777777" w:rsidR="00DA7EDE" w:rsidRDefault="00DA7EDE" w:rsidP="00FB625E">
      <w:pPr>
        <w:spacing w:after="0" w:line="240" w:lineRule="auto"/>
        <w:rPr>
          <w:rFonts w:ascii="Arial Narrow" w:hAnsi="Arial Narrow" w:cs="Arial Narrow"/>
          <w:bCs/>
        </w:rPr>
      </w:pPr>
    </w:p>
    <w:p w14:paraId="2CB113C6" w14:textId="77777777" w:rsidR="0054402B" w:rsidRPr="00D91798" w:rsidRDefault="0054402B" w:rsidP="0054402B">
      <w:pPr>
        <w:spacing w:after="0" w:line="240" w:lineRule="auto"/>
        <w:jc w:val="both"/>
        <w:rPr>
          <w:rFonts w:ascii="Arial Narrow" w:hAnsi="Arial Narrow"/>
        </w:rPr>
      </w:pPr>
      <w:r w:rsidRPr="00D91798">
        <w:rPr>
          <w:rFonts w:ascii="Arial Narrow" w:hAnsi="Arial Narrow"/>
        </w:rPr>
        <w:t xml:space="preserve">Politika súdržnosti EÚ dlhodobo patrí medzi kľúčové nástroje sociálno-ekonomického rozvoja SR a napĺňania cieľov stratégie Európa 2020. Fondy politiky súdržnosti sú hlavným zdrojom financovania verejných investícií na Slovensku, s podielom viac ako 80 %. </w:t>
      </w:r>
    </w:p>
    <w:p w14:paraId="2050571E" w14:textId="77777777" w:rsidR="0054402B" w:rsidRPr="00D91798" w:rsidRDefault="0054402B" w:rsidP="0054402B">
      <w:pPr>
        <w:spacing w:after="0" w:line="240" w:lineRule="auto"/>
        <w:jc w:val="both"/>
        <w:rPr>
          <w:rFonts w:ascii="Arial Narrow" w:hAnsi="Arial Narrow"/>
        </w:rPr>
      </w:pPr>
    </w:p>
    <w:p w14:paraId="452AD89D" w14:textId="3540751A" w:rsidR="0054402B" w:rsidRPr="00D91798" w:rsidRDefault="0054402B" w:rsidP="0054402B">
      <w:pPr>
        <w:spacing w:after="0" w:line="240" w:lineRule="auto"/>
        <w:jc w:val="both"/>
        <w:rPr>
          <w:rFonts w:ascii="Arial Narrow" w:hAnsi="Arial Narrow"/>
        </w:rPr>
      </w:pPr>
      <w:r w:rsidRPr="00D91798">
        <w:rPr>
          <w:rFonts w:ascii="Arial Narrow" w:hAnsi="Arial Narrow"/>
        </w:rPr>
        <w:t>V roku 2016 sa hlavná pozornosť zamerala na finančné vysporiadanie zdrojov čerpaných zo štrukturálnych fondov a Kohézneho fondu programového obdobia 2007 – 2013 (ŠF a KF), na rozbeh implementácie európskych štrukturálnych a investičných fondov obdobia 2014 – 2020 (EŠIF)</w:t>
      </w:r>
      <w:r w:rsidR="00C84552" w:rsidRPr="00D91798">
        <w:rPr>
          <w:rFonts w:ascii="Arial Narrow" w:hAnsi="Arial Narrow"/>
        </w:rPr>
        <w:t xml:space="preserve"> a </w:t>
      </w:r>
      <w:r w:rsidRPr="00D91798">
        <w:rPr>
          <w:rFonts w:ascii="Arial Narrow" w:hAnsi="Arial Narrow"/>
        </w:rPr>
        <w:t>na prípravu a zabezpečenie podujatí v oblasti politiky súdržnosti v rámci predsedníctva SR v Rade EÚ.</w:t>
      </w:r>
    </w:p>
    <w:p w14:paraId="17C4DA27" w14:textId="77777777" w:rsidR="0054402B" w:rsidRPr="00D91798" w:rsidRDefault="0054402B" w:rsidP="0054402B">
      <w:pPr>
        <w:spacing w:after="0" w:line="240" w:lineRule="auto"/>
        <w:jc w:val="both"/>
        <w:rPr>
          <w:rFonts w:ascii="Arial Narrow" w:hAnsi="Arial Narrow"/>
        </w:rPr>
      </w:pPr>
    </w:p>
    <w:p w14:paraId="5C7112E7" w14:textId="108D71DF" w:rsidR="009B66DC" w:rsidRPr="00D91798" w:rsidRDefault="00C84552" w:rsidP="009B66DC">
      <w:pPr>
        <w:spacing w:after="0" w:line="240" w:lineRule="auto"/>
        <w:jc w:val="both"/>
        <w:rPr>
          <w:rFonts w:ascii="Arial Narrow" w:hAnsi="Arial Narrow"/>
        </w:rPr>
      </w:pPr>
      <w:r w:rsidRPr="00D91798">
        <w:rPr>
          <w:rFonts w:ascii="Arial Narrow" w:hAnsi="Arial Narrow"/>
        </w:rPr>
        <w:t>V roku</w:t>
      </w:r>
      <w:r w:rsidR="0054402B" w:rsidRPr="00D91798">
        <w:rPr>
          <w:rFonts w:ascii="Arial Narrow" w:hAnsi="Arial Narrow"/>
        </w:rPr>
        <w:t xml:space="preserve"> 2015 sa skončilo oprávnené obdobie pre realizáciu výdavkov programového obdobia 2007 – 2013. Celkové čerpanie ŠF a KF za 11 </w:t>
      </w:r>
      <w:r w:rsidR="00096D1F" w:rsidRPr="00D91798">
        <w:rPr>
          <w:rFonts w:ascii="Arial Narrow" w:hAnsi="Arial Narrow"/>
        </w:rPr>
        <w:t xml:space="preserve">hlavných </w:t>
      </w:r>
      <w:r w:rsidR="00F904B9">
        <w:rPr>
          <w:rFonts w:ascii="Arial Narrow" w:hAnsi="Arial Narrow"/>
        </w:rPr>
        <w:t xml:space="preserve">OP </w:t>
      </w:r>
      <w:r w:rsidR="00B9576F">
        <w:rPr>
          <w:rFonts w:ascii="Arial Narrow" w:hAnsi="Arial Narrow"/>
        </w:rPr>
        <w:t>dosiahlo 97,59 % z EÚ</w:t>
      </w:r>
      <w:r w:rsidR="00D91798">
        <w:rPr>
          <w:rFonts w:ascii="Arial Narrow" w:hAnsi="Arial Narrow"/>
        </w:rPr>
        <w:t xml:space="preserve"> zdrojov a </w:t>
      </w:r>
      <w:r w:rsidR="0054402B" w:rsidRPr="00D91798">
        <w:rPr>
          <w:rFonts w:ascii="Arial Narrow" w:hAnsi="Arial Narrow"/>
        </w:rPr>
        <w:t>95,22 % zo štátneho rozpočtu (11</w:t>
      </w:r>
      <w:r w:rsidRPr="00D91798">
        <w:rPr>
          <w:rFonts w:ascii="Arial Narrow" w:hAnsi="Arial Narrow"/>
        </w:rPr>
        <w:t>,</w:t>
      </w:r>
      <w:r w:rsidR="0054402B" w:rsidRPr="00D91798">
        <w:rPr>
          <w:rFonts w:ascii="Arial Narrow" w:hAnsi="Arial Narrow"/>
        </w:rPr>
        <w:t>2</w:t>
      </w:r>
      <w:r w:rsidR="00CB24B5" w:rsidRPr="00D91798">
        <w:rPr>
          <w:rFonts w:ascii="Arial Narrow" w:hAnsi="Arial Narrow"/>
        </w:rPr>
        <w:t xml:space="preserve"> </w:t>
      </w:r>
      <w:r w:rsidR="0054402B" w:rsidRPr="00D91798">
        <w:rPr>
          <w:rFonts w:ascii="Arial Narrow" w:hAnsi="Arial Narrow"/>
        </w:rPr>
        <w:t xml:space="preserve">mld. </w:t>
      </w:r>
      <w:r w:rsidR="00B9576F">
        <w:rPr>
          <w:rFonts w:ascii="Arial Narrow" w:hAnsi="Arial Narrow"/>
        </w:rPr>
        <w:t>eur</w:t>
      </w:r>
      <w:r w:rsidR="0054402B" w:rsidRPr="00D91798">
        <w:rPr>
          <w:rFonts w:ascii="Arial Narrow" w:hAnsi="Arial Narrow"/>
        </w:rPr>
        <w:t xml:space="preserve"> a</w:t>
      </w:r>
      <w:r w:rsidRPr="00D91798">
        <w:rPr>
          <w:rFonts w:ascii="Arial Narrow" w:hAnsi="Arial Narrow"/>
        </w:rPr>
        <w:t> </w:t>
      </w:r>
      <w:r w:rsidR="0054402B" w:rsidRPr="00D91798">
        <w:rPr>
          <w:rFonts w:ascii="Arial Narrow" w:hAnsi="Arial Narrow"/>
        </w:rPr>
        <w:t>1</w:t>
      </w:r>
      <w:r w:rsidRPr="00D91798">
        <w:rPr>
          <w:rFonts w:ascii="Arial Narrow" w:hAnsi="Arial Narrow"/>
        </w:rPr>
        <w:t>,9</w:t>
      </w:r>
      <w:r w:rsidR="00CB24B5" w:rsidRPr="00D91798">
        <w:rPr>
          <w:rFonts w:ascii="Arial Narrow" w:hAnsi="Arial Narrow"/>
        </w:rPr>
        <w:t xml:space="preserve"> </w:t>
      </w:r>
      <w:r w:rsidR="0054402B" w:rsidRPr="00D91798">
        <w:rPr>
          <w:rFonts w:ascii="Arial Narrow" w:hAnsi="Arial Narrow"/>
        </w:rPr>
        <w:t>m</w:t>
      </w:r>
      <w:r w:rsidR="00B9576F">
        <w:rPr>
          <w:rFonts w:ascii="Arial Narrow" w:hAnsi="Arial Narrow"/>
        </w:rPr>
        <w:t>ld. eur</w:t>
      </w:r>
      <w:r w:rsidR="0054402B" w:rsidRPr="00D91798">
        <w:rPr>
          <w:rFonts w:ascii="Arial Narrow" w:hAnsi="Arial Narrow"/>
        </w:rPr>
        <w:t>). Za všetkých</w:t>
      </w:r>
      <w:r w:rsidR="00467A98">
        <w:rPr>
          <w:rFonts w:ascii="Arial Narrow" w:hAnsi="Arial Narrow"/>
        </w:rPr>
        <w:t xml:space="preserve"> 14 OP v riadiacej pôsobnosti Slovenska </w:t>
      </w:r>
      <w:r w:rsidR="0054402B" w:rsidRPr="00D91798">
        <w:rPr>
          <w:rFonts w:ascii="Arial Narrow" w:hAnsi="Arial Narrow"/>
        </w:rPr>
        <w:t>(vr</w:t>
      </w:r>
      <w:r w:rsidR="006129A5" w:rsidRPr="00D91798">
        <w:rPr>
          <w:rFonts w:ascii="Arial Narrow" w:hAnsi="Arial Narrow"/>
        </w:rPr>
        <w:t>átane</w:t>
      </w:r>
      <w:r w:rsidR="0054402B" w:rsidRPr="00D91798">
        <w:rPr>
          <w:rFonts w:ascii="Arial Narrow" w:hAnsi="Arial Narrow"/>
        </w:rPr>
        <w:t xml:space="preserve"> OP Rybné hospodárstvo a programov OP </w:t>
      </w:r>
      <w:r w:rsidRPr="00D91798">
        <w:rPr>
          <w:rFonts w:ascii="Arial Narrow" w:hAnsi="Arial Narrow"/>
        </w:rPr>
        <w:t>Cezhraničná spolupráca</w:t>
      </w:r>
      <w:r w:rsidR="0054402B" w:rsidRPr="00D91798">
        <w:rPr>
          <w:rFonts w:ascii="Arial Narrow" w:hAnsi="Arial Narrow"/>
        </w:rPr>
        <w:t xml:space="preserve"> SR – ČR a OP Interact II) dosiahl</w:t>
      </w:r>
      <w:r w:rsidR="00467A98">
        <w:rPr>
          <w:rFonts w:ascii="Arial Narrow" w:hAnsi="Arial Narrow"/>
        </w:rPr>
        <w:t xml:space="preserve">o čerpanie celkovú úroveň 97,53 </w:t>
      </w:r>
      <w:r w:rsidR="0054402B" w:rsidRPr="00D91798">
        <w:rPr>
          <w:rFonts w:ascii="Arial Narrow" w:hAnsi="Arial Narrow"/>
        </w:rPr>
        <w:t>%, pričom sa vyčerpali prostriedky vo výške 11</w:t>
      </w:r>
      <w:r w:rsidRPr="00D91798">
        <w:rPr>
          <w:rFonts w:ascii="Arial Narrow" w:hAnsi="Arial Narrow"/>
        </w:rPr>
        <w:t>,</w:t>
      </w:r>
      <w:r w:rsidR="0054402B" w:rsidRPr="00D91798">
        <w:rPr>
          <w:rFonts w:ascii="Arial Narrow" w:hAnsi="Arial Narrow"/>
        </w:rPr>
        <w:t>3</w:t>
      </w:r>
      <w:r w:rsidR="00CB24B5" w:rsidRPr="00D91798">
        <w:rPr>
          <w:rFonts w:ascii="Arial Narrow" w:hAnsi="Arial Narrow"/>
        </w:rPr>
        <w:t xml:space="preserve"> </w:t>
      </w:r>
      <w:r w:rsidR="0054402B" w:rsidRPr="00D91798">
        <w:rPr>
          <w:rFonts w:ascii="Arial Narrow" w:hAnsi="Arial Narrow"/>
        </w:rPr>
        <w:t>m</w:t>
      </w:r>
      <w:r w:rsidRPr="00D91798">
        <w:rPr>
          <w:rFonts w:ascii="Arial Narrow" w:hAnsi="Arial Narrow"/>
        </w:rPr>
        <w:t>ld</w:t>
      </w:r>
      <w:r w:rsidR="0054402B" w:rsidRPr="00D91798">
        <w:rPr>
          <w:rFonts w:ascii="Arial Narrow" w:hAnsi="Arial Narrow"/>
        </w:rPr>
        <w:t xml:space="preserve">. </w:t>
      </w:r>
      <w:r w:rsidR="00B9576F">
        <w:rPr>
          <w:rFonts w:ascii="Arial Narrow" w:hAnsi="Arial Narrow"/>
        </w:rPr>
        <w:t>eur</w:t>
      </w:r>
      <w:r w:rsidR="0054402B" w:rsidRPr="00D91798">
        <w:rPr>
          <w:rFonts w:ascii="Arial Narrow" w:hAnsi="Arial Narrow"/>
        </w:rPr>
        <w:t xml:space="preserve">. </w:t>
      </w:r>
      <w:r w:rsidR="009B66DC" w:rsidRPr="00D91798">
        <w:rPr>
          <w:rFonts w:ascii="Arial Narrow" w:hAnsi="Arial Narrow"/>
        </w:rPr>
        <w:t>Nevyčerpané prostriedky z programového obdobia 2007 – 2013 boli ku koncu roka 2016 vo výške 287,31 mil. eur. Konečná výška nevyčerpaných prostriedkov bude, obdobne ako finálna úroveň čerpania, známa až po akceptovaní záverečných žiadostí o platbu a záverečnej dokumentácie za jednotlivé programy zo strany Európskej komisie</w:t>
      </w:r>
      <w:r w:rsidR="00B9576F">
        <w:rPr>
          <w:rFonts w:ascii="Arial Narrow" w:hAnsi="Arial Narrow"/>
        </w:rPr>
        <w:t>.</w:t>
      </w:r>
      <w:r w:rsidR="009B66DC" w:rsidRPr="00D91798">
        <w:rPr>
          <w:rFonts w:ascii="Arial Narrow" w:hAnsi="Arial Narrow"/>
        </w:rPr>
        <w:t xml:space="preserve"> </w:t>
      </w:r>
    </w:p>
    <w:p w14:paraId="57B797B0" w14:textId="77777777" w:rsidR="009B66DC" w:rsidRPr="003418D8" w:rsidRDefault="009B66DC" w:rsidP="009B66DC">
      <w:pPr>
        <w:spacing w:after="0" w:line="240" w:lineRule="auto"/>
        <w:rPr>
          <w:rFonts w:ascii="Arial Narrow" w:hAnsi="Arial Narrow" w:cs="Arial Narrow"/>
        </w:rPr>
      </w:pPr>
    </w:p>
    <w:p w14:paraId="3943324D" w14:textId="77777777" w:rsidR="009B66DC" w:rsidRPr="003418D8" w:rsidRDefault="009B66DC" w:rsidP="009B66DC">
      <w:pPr>
        <w:pStyle w:val="Popis"/>
        <w:rPr>
          <w:rFonts w:cs="Arial Narrow"/>
        </w:rPr>
      </w:pPr>
      <w:bookmarkStart w:id="84" w:name="_Toc448745652"/>
      <w:bookmarkStart w:id="85" w:name="_Toc478656338"/>
      <w:r w:rsidRPr="003418D8">
        <w:t xml:space="preserve">Graf </w:t>
      </w:r>
      <w:fldSimple w:instr=" SEQ Graf \* ARABIC ">
        <w:r w:rsidR="002E71B2">
          <w:rPr>
            <w:noProof/>
          </w:rPr>
          <w:t>35</w:t>
        </w:r>
      </w:fldSimple>
      <w:r w:rsidRPr="003418D8">
        <w:rPr>
          <w:rFonts w:cs="Arial"/>
          <w:b w:val="0"/>
          <w:szCs w:val="20"/>
        </w:rPr>
        <w:t xml:space="preserve">: </w:t>
      </w:r>
      <w:r w:rsidRPr="003418D8">
        <w:rPr>
          <w:rFonts w:cs="Arial"/>
          <w:szCs w:val="20"/>
        </w:rPr>
        <w:t>Čerpanie štrukturálnych fondov a Kohézneho fondu, 2. PO 2007-2013, (mil. eur, hodnota 2016 nad grafom)</w:t>
      </w:r>
      <w:bookmarkEnd w:id="84"/>
      <w:bookmarkEnd w:id="85"/>
    </w:p>
    <w:tbl>
      <w:tblPr>
        <w:tblW w:w="8624" w:type="dxa"/>
        <w:jc w:val="center"/>
        <w:tblLayout w:type="fixed"/>
        <w:tblCellMar>
          <w:left w:w="70" w:type="dxa"/>
          <w:right w:w="70" w:type="dxa"/>
        </w:tblCellMar>
        <w:tblLook w:val="04A0" w:firstRow="1" w:lastRow="0" w:firstColumn="1" w:lastColumn="0" w:noHBand="0" w:noVBand="1"/>
      </w:tblPr>
      <w:tblGrid>
        <w:gridCol w:w="8624"/>
      </w:tblGrid>
      <w:tr w:rsidR="009B66DC" w:rsidRPr="003418D8" w14:paraId="6DAEC10A" w14:textId="77777777" w:rsidTr="00CB24B5">
        <w:trPr>
          <w:trHeight w:val="269"/>
          <w:jc w:val="center"/>
        </w:trPr>
        <w:tc>
          <w:tcPr>
            <w:tcW w:w="8586" w:type="dxa"/>
            <w:tcBorders>
              <w:top w:val="single" w:sz="4" w:space="0" w:color="auto"/>
              <w:bottom w:val="single" w:sz="4" w:space="0" w:color="auto"/>
            </w:tcBorders>
            <w:noWrap/>
            <w:vAlign w:val="center"/>
            <w:hideMark/>
          </w:tcPr>
          <w:p w14:paraId="61ED7502" w14:textId="77777777" w:rsidR="009B66DC" w:rsidRPr="003418D8" w:rsidRDefault="009B66DC" w:rsidP="00F26420">
            <w:pPr>
              <w:spacing w:after="0" w:line="240" w:lineRule="auto"/>
              <w:rPr>
                <w:rFonts w:ascii="Arial Narrow" w:hAnsi="Arial Narrow"/>
                <w:b/>
                <w:bCs/>
                <w:color w:val="000000"/>
                <w:sz w:val="20"/>
                <w:szCs w:val="20"/>
              </w:rPr>
            </w:pPr>
            <w:r w:rsidRPr="003418D8">
              <w:rPr>
                <w:rFonts w:ascii="Arial Narrow" w:hAnsi="Arial Narrow"/>
                <w:noProof/>
                <w:lang w:val="en-US" w:eastAsia="en-US"/>
              </w:rPr>
              <w:drawing>
                <wp:inline distT="0" distB="0" distL="0" distR="0" wp14:anchorId="6E215050" wp14:editId="28860206">
                  <wp:extent cx="5373370" cy="21907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9B66DC" w:rsidRPr="003418D8" w14:paraId="355FCDB3" w14:textId="77777777" w:rsidTr="00CB24B5">
        <w:trPr>
          <w:trHeight w:val="269"/>
          <w:jc w:val="center"/>
        </w:trPr>
        <w:tc>
          <w:tcPr>
            <w:tcW w:w="8586" w:type="dxa"/>
            <w:tcBorders>
              <w:top w:val="single" w:sz="4" w:space="0" w:color="auto"/>
            </w:tcBorders>
            <w:noWrap/>
            <w:vAlign w:val="center"/>
          </w:tcPr>
          <w:p w14:paraId="64308B60" w14:textId="77777777" w:rsidR="009B66DC" w:rsidRPr="003418D8" w:rsidRDefault="009B66DC" w:rsidP="00F26420">
            <w:pPr>
              <w:spacing w:after="0" w:line="240" w:lineRule="auto"/>
              <w:jc w:val="right"/>
              <w:rPr>
                <w:rFonts w:ascii="Arial Narrow" w:hAnsi="Arial Narrow"/>
                <w:bCs/>
                <w:i/>
                <w:color w:val="000000"/>
                <w:sz w:val="20"/>
                <w:szCs w:val="20"/>
              </w:rPr>
            </w:pPr>
            <w:r w:rsidRPr="003418D8">
              <w:rPr>
                <w:rFonts w:ascii="Arial Narrow" w:hAnsi="Arial Narrow"/>
                <w:bCs/>
                <w:i/>
                <w:color w:val="000000"/>
                <w:sz w:val="16"/>
                <w:szCs w:val="20"/>
              </w:rPr>
              <w:t>Zdroj: MF SR</w:t>
            </w:r>
          </w:p>
        </w:tc>
      </w:tr>
    </w:tbl>
    <w:p w14:paraId="54142F6E" w14:textId="77777777" w:rsidR="0091345F" w:rsidRDefault="0091345F" w:rsidP="0054402B">
      <w:pPr>
        <w:spacing w:after="0" w:line="240" w:lineRule="auto"/>
        <w:jc w:val="both"/>
        <w:rPr>
          <w:rFonts w:ascii="Arial Narrow" w:hAnsi="Arial Narrow"/>
        </w:rPr>
      </w:pPr>
    </w:p>
    <w:p w14:paraId="082CF217" w14:textId="506E49F9" w:rsidR="00BE524F" w:rsidRDefault="00BE524F" w:rsidP="00520E29">
      <w:pPr>
        <w:spacing w:after="0" w:line="240" w:lineRule="auto"/>
        <w:jc w:val="both"/>
        <w:rPr>
          <w:rFonts w:ascii="Arial Narrow" w:hAnsi="Arial Narrow" w:cs="Arial Narrow"/>
          <w:bCs/>
        </w:rPr>
      </w:pPr>
      <w:r w:rsidRPr="00BE524F">
        <w:rPr>
          <w:rFonts w:ascii="Arial Narrow" w:hAnsi="Arial Narrow" w:cs="Arial Narrow"/>
          <w:bCs/>
        </w:rPr>
        <w:t>Z</w:t>
      </w:r>
      <w:r>
        <w:rPr>
          <w:rFonts w:ascii="Arial Narrow" w:hAnsi="Arial Narrow" w:cs="Arial Narrow"/>
          <w:bCs/>
        </w:rPr>
        <w:t> </w:t>
      </w:r>
      <w:r w:rsidR="0091345F" w:rsidRPr="00BE524F">
        <w:rPr>
          <w:rFonts w:ascii="Arial Narrow" w:hAnsi="Arial Narrow" w:cs="Arial Narrow"/>
          <w:bCs/>
        </w:rPr>
        <w:t>celkové</w:t>
      </w:r>
      <w:r w:rsidR="00CB24B5" w:rsidRPr="00BE524F">
        <w:rPr>
          <w:rFonts w:ascii="Arial Narrow" w:hAnsi="Arial Narrow" w:cs="Arial Narrow"/>
          <w:bCs/>
        </w:rPr>
        <w:t>ho</w:t>
      </w:r>
      <w:r>
        <w:rPr>
          <w:rFonts w:ascii="Arial Narrow" w:hAnsi="Arial Narrow" w:cs="Arial Narrow"/>
          <w:bCs/>
        </w:rPr>
        <w:t xml:space="preserve"> </w:t>
      </w:r>
      <w:r w:rsidR="00CB24B5" w:rsidRPr="00BE524F">
        <w:rPr>
          <w:rFonts w:ascii="Arial Narrow" w:hAnsi="Arial Narrow" w:cs="Arial Narrow"/>
          <w:bCs/>
        </w:rPr>
        <w:t>objemu</w:t>
      </w:r>
      <w:r>
        <w:rPr>
          <w:rFonts w:ascii="Arial Narrow" w:hAnsi="Arial Narrow" w:cs="Arial Narrow"/>
          <w:bCs/>
        </w:rPr>
        <w:t xml:space="preserve"> </w:t>
      </w:r>
      <w:r w:rsidR="00CB24B5" w:rsidRPr="00BE524F">
        <w:rPr>
          <w:rFonts w:ascii="Arial Narrow" w:hAnsi="Arial Narrow" w:cs="Arial Narrow"/>
          <w:bCs/>
        </w:rPr>
        <w:t xml:space="preserve">EÚ </w:t>
      </w:r>
      <w:r w:rsidR="0091345F" w:rsidRPr="00BE524F">
        <w:rPr>
          <w:rFonts w:ascii="Arial Narrow" w:hAnsi="Arial Narrow" w:cs="Arial Narrow"/>
          <w:bCs/>
        </w:rPr>
        <w:t>zdrojov</w:t>
      </w:r>
      <w:r w:rsidR="0091345F" w:rsidRPr="00BE524F">
        <w:rPr>
          <w:rStyle w:val="Odkaznapoznmkupodiarou"/>
          <w:rFonts w:ascii="Arial Narrow" w:hAnsi="Arial Narrow" w:cs="Arial Narrow"/>
          <w:bCs/>
        </w:rPr>
        <w:footnoteReference w:id="54"/>
      </w:r>
      <w:r w:rsidRPr="00BE524F">
        <w:rPr>
          <w:rFonts w:ascii="Arial Narrow" w:hAnsi="Arial Narrow" w:cs="Arial Narrow"/>
          <w:bCs/>
        </w:rPr>
        <w:t xml:space="preserve"> v programovom období 2007 – 2013 tvorili investície 61 %.</w:t>
      </w:r>
      <w:r>
        <w:rPr>
          <w:rFonts w:ascii="Arial Narrow" w:hAnsi="Arial Narrow" w:cs="Arial Narrow"/>
          <w:bCs/>
        </w:rPr>
        <w:t xml:space="preserve"> </w:t>
      </w:r>
      <w:r w:rsidR="0091345F" w:rsidRPr="000D43EF">
        <w:rPr>
          <w:rFonts w:ascii="Arial Narrow" w:hAnsi="Arial Narrow" w:cs="Arial Narrow"/>
          <w:bCs/>
        </w:rPr>
        <w:t>Najväčší podiel na celkových výdavkoch dosiahli investície v roku 2015 (70 %). Najväčší podiel investícií</w:t>
      </w:r>
      <w:r w:rsidR="00CB24B5">
        <w:rPr>
          <w:rFonts w:ascii="Arial Narrow" w:hAnsi="Arial Narrow" w:cs="Arial Narrow"/>
          <w:bCs/>
        </w:rPr>
        <w:t xml:space="preserve"> smeroval najmä do OP Doprava a </w:t>
      </w:r>
      <w:r w:rsidR="0091345F" w:rsidRPr="000D43EF">
        <w:rPr>
          <w:rFonts w:ascii="Arial Narrow" w:hAnsi="Arial Narrow" w:cs="Arial Narrow"/>
          <w:bCs/>
        </w:rPr>
        <w:t>v roku 2015 štvornásobný nárast oproti minulému roku zaznamenali aj kapitálové transfery mimo sektora ver</w:t>
      </w:r>
      <w:r w:rsidR="0091345F">
        <w:rPr>
          <w:rFonts w:ascii="Arial Narrow" w:hAnsi="Arial Narrow" w:cs="Arial Narrow"/>
          <w:bCs/>
        </w:rPr>
        <w:t>ejnej správy. Zvyšok výdavkov</w:t>
      </w:r>
      <w:r w:rsidR="0091345F" w:rsidRPr="000D43EF">
        <w:rPr>
          <w:rFonts w:ascii="Arial Narrow" w:hAnsi="Arial Narrow" w:cs="Arial Narrow"/>
          <w:bCs/>
        </w:rPr>
        <w:t xml:space="preserve"> programového obdobia tvorili najmä priame platby poľnohospodárom </w:t>
      </w:r>
      <w:r w:rsidR="00493453">
        <w:rPr>
          <w:rFonts w:ascii="Arial Narrow" w:hAnsi="Arial Narrow" w:cs="Arial Narrow"/>
          <w:bCs/>
        </w:rPr>
        <w:t xml:space="preserve">financované z EPZF </w:t>
      </w:r>
      <w:r w:rsidR="0091345F" w:rsidRPr="000D43EF">
        <w:rPr>
          <w:rFonts w:ascii="Arial Narrow" w:hAnsi="Arial Narrow" w:cs="Arial Narrow"/>
          <w:bCs/>
        </w:rPr>
        <w:t>a ostatné bežné výdavky.</w:t>
      </w:r>
    </w:p>
    <w:p w14:paraId="466F7D64" w14:textId="77777777" w:rsidR="00CD5A7F" w:rsidRDefault="00CD5A7F" w:rsidP="00520E29">
      <w:pPr>
        <w:spacing w:after="0" w:line="240" w:lineRule="auto"/>
        <w:jc w:val="both"/>
        <w:rPr>
          <w:rFonts w:ascii="Arial Narrow" w:hAnsi="Arial Narrow" w:cs="Arial Narrow"/>
          <w:bCs/>
        </w:rPr>
      </w:pPr>
    </w:p>
    <w:p w14:paraId="4AB6DA29" w14:textId="7D6EBA11" w:rsidR="009B66DC" w:rsidRPr="001E0542" w:rsidRDefault="00520E29" w:rsidP="00520E29">
      <w:pPr>
        <w:spacing w:after="0" w:line="240" w:lineRule="auto"/>
        <w:jc w:val="both"/>
        <w:rPr>
          <w:rFonts w:ascii="Arial Narrow" w:hAnsi="Arial Narrow" w:cs="Arial Narrow"/>
        </w:rPr>
      </w:pPr>
      <w:r w:rsidRPr="00520E29">
        <w:rPr>
          <w:rFonts w:ascii="Arial Narrow" w:hAnsi="Arial Narrow" w:cs="Arial Narrow"/>
          <w:b/>
          <w:bCs/>
        </w:rPr>
        <w:t xml:space="preserve">Pomalý nábeh čerpania tretieho programového obdobia predstavuje riziko nízkeho čerpania do roku 2020. </w:t>
      </w:r>
      <w:r w:rsidR="009B66DC" w:rsidRPr="000D43EF">
        <w:rPr>
          <w:rFonts w:ascii="Arial Narrow" w:hAnsi="Arial Narrow" w:cs="Arial Narrow"/>
          <w:bCs/>
        </w:rPr>
        <w:t xml:space="preserve">Na obdobie rokov 2014 až 2020 je v rámci  EŠIF pre Slovensko alokovaných 15,5 mld. eur. Podobne ako pri predchádzajúcom programovom období Slovensko začína s čerpaním prostriedkov s dvojročným meškaním. </w:t>
      </w:r>
      <w:r w:rsidRPr="003418D8">
        <w:rPr>
          <w:rFonts w:ascii="Arial Narrow" w:hAnsi="Arial Narrow" w:cs="Arial Narrow"/>
        </w:rPr>
        <w:t xml:space="preserve">V rámci </w:t>
      </w:r>
      <w:r>
        <w:rPr>
          <w:rFonts w:ascii="Arial Narrow" w:hAnsi="Arial Narrow" w:cs="Arial Narrow"/>
        </w:rPr>
        <w:t>3. programového</w:t>
      </w:r>
      <w:r w:rsidRPr="003418D8">
        <w:rPr>
          <w:rFonts w:ascii="Arial Narrow" w:hAnsi="Arial Narrow" w:cs="Arial Narrow"/>
        </w:rPr>
        <w:t xml:space="preserve"> obdobia 2014</w:t>
      </w:r>
      <w:r>
        <w:rPr>
          <w:rFonts w:ascii="Arial Narrow" w:hAnsi="Arial Narrow" w:cs="Arial Narrow"/>
        </w:rPr>
        <w:t xml:space="preserve"> – 2020 sa do konca roka 2016 </w:t>
      </w:r>
      <w:r w:rsidR="001E0542">
        <w:rPr>
          <w:rFonts w:ascii="Arial Narrow" w:hAnsi="Arial Narrow" w:cs="Arial Narrow"/>
        </w:rPr>
        <w:t>dosiahlo čerpanie na 775,1 mil. eur</w:t>
      </w:r>
      <w:r>
        <w:rPr>
          <w:rFonts w:ascii="Arial Narrow" w:hAnsi="Arial Narrow" w:cs="Arial Narrow"/>
        </w:rPr>
        <w:t>, čo predstavuje 5</w:t>
      </w:r>
      <w:r w:rsidRPr="003418D8">
        <w:rPr>
          <w:rFonts w:ascii="Arial Narrow" w:hAnsi="Arial Narrow" w:cs="Arial Narrow"/>
        </w:rPr>
        <w:t xml:space="preserve"> %</w:t>
      </w:r>
      <w:r>
        <w:rPr>
          <w:rFonts w:ascii="Arial Narrow" w:hAnsi="Arial Narrow" w:cs="Arial Narrow"/>
        </w:rPr>
        <w:t xml:space="preserve"> celkovej alokácie. Európska komisia schválila </w:t>
      </w:r>
      <w:r w:rsidR="001E0542">
        <w:rPr>
          <w:rFonts w:ascii="Arial Narrow" w:hAnsi="Arial Narrow" w:cs="Arial Narrow"/>
        </w:rPr>
        <w:t>Slovensku</w:t>
      </w:r>
      <w:r w:rsidR="00F904B9">
        <w:rPr>
          <w:rFonts w:ascii="Arial Narrow" w:hAnsi="Arial Narrow" w:cs="Arial Narrow"/>
        </w:rPr>
        <w:t xml:space="preserve"> </w:t>
      </w:r>
      <w:r>
        <w:rPr>
          <w:rFonts w:ascii="Arial Narrow" w:hAnsi="Arial Narrow" w:cs="Arial Narrow"/>
        </w:rPr>
        <w:t xml:space="preserve">12 </w:t>
      </w:r>
      <w:r w:rsidR="00F904B9">
        <w:rPr>
          <w:rFonts w:ascii="Arial Narrow" w:hAnsi="Arial Narrow" w:cs="Arial Narrow"/>
        </w:rPr>
        <w:t>OP</w:t>
      </w:r>
      <w:r w:rsidRPr="00130E65">
        <w:rPr>
          <w:rFonts w:ascii="Arial Narrow" w:hAnsi="Arial Narrow" w:cs="Arial Narrow"/>
        </w:rPr>
        <w:t xml:space="preserve"> financovaných z</w:t>
      </w:r>
      <w:r w:rsidR="00F904B9">
        <w:rPr>
          <w:rFonts w:ascii="Arial Narrow" w:hAnsi="Arial Narrow" w:cs="Arial Narrow"/>
        </w:rPr>
        <w:t> </w:t>
      </w:r>
      <w:r>
        <w:rPr>
          <w:rFonts w:ascii="Arial Narrow" w:hAnsi="Arial Narrow" w:cs="Arial Narrow"/>
        </w:rPr>
        <w:t>EŠIF</w:t>
      </w:r>
      <w:r w:rsidR="00F904B9">
        <w:rPr>
          <w:rFonts w:ascii="Arial Narrow" w:hAnsi="Arial Narrow" w:cs="Arial Narrow"/>
        </w:rPr>
        <w:t xml:space="preserve"> v rokoch 2014 – 2015</w:t>
      </w:r>
      <w:r>
        <w:rPr>
          <w:rFonts w:ascii="Arial Narrow" w:hAnsi="Arial Narrow" w:cs="Arial Narrow"/>
        </w:rPr>
        <w:t>.</w:t>
      </w:r>
      <w:r w:rsidR="00F904B9">
        <w:rPr>
          <w:rFonts w:ascii="Arial Narrow" w:hAnsi="Arial Narrow" w:cs="Arial Narrow"/>
        </w:rPr>
        <w:t xml:space="preserve"> </w:t>
      </w:r>
      <w:r>
        <w:rPr>
          <w:rFonts w:ascii="Arial Narrow" w:hAnsi="Arial Narrow" w:cs="Arial Narrow"/>
        </w:rPr>
        <w:t xml:space="preserve">Z celkovej alokácie 11 </w:t>
      </w:r>
      <w:r w:rsidR="00F904B9">
        <w:rPr>
          <w:rFonts w:ascii="Arial Narrow" w:hAnsi="Arial Narrow" w:cs="Arial Narrow"/>
        </w:rPr>
        <w:t xml:space="preserve">OP </w:t>
      </w:r>
      <w:r w:rsidR="001E0542">
        <w:rPr>
          <w:rFonts w:ascii="Arial Narrow" w:hAnsi="Arial Narrow" w:cs="Arial Narrow"/>
        </w:rPr>
        <w:t xml:space="preserve">programového obdobia 2014 – </w:t>
      </w:r>
      <w:r w:rsidRPr="006E0DF1">
        <w:rPr>
          <w:rFonts w:ascii="Arial Narrow" w:hAnsi="Arial Narrow" w:cs="Arial Narrow"/>
        </w:rPr>
        <w:t xml:space="preserve">2020 </w:t>
      </w:r>
      <w:r>
        <w:rPr>
          <w:rFonts w:ascii="Arial Narrow" w:hAnsi="Arial Narrow" w:cs="Arial Narrow"/>
        </w:rPr>
        <w:t>(13, 9</w:t>
      </w:r>
      <w:r w:rsidR="001E0542">
        <w:rPr>
          <w:rFonts w:ascii="Arial Narrow" w:hAnsi="Arial Narrow" w:cs="Arial Narrow"/>
        </w:rPr>
        <w:t xml:space="preserve"> </w:t>
      </w:r>
      <w:r>
        <w:rPr>
          <w:rFonts w:ascii="Arial Narrow" w:hAnsi="Arial Narrow" w:cs="Arial Narrow"/>
        </w:rPr>
        <w:t xml:space="preserve">mld. </w:t>
      </w:r>
      <w:r w:rsidR="001E0542">
        <w:rPr>
          <w:rFonts w:ascii="Arial Narrow" w:hAnsi="Arial Narrow" w:cs="Arial Narrow"/>
        </w:rPr>
        <w:t>eur</w:t>
      </w:r>
      <w:r>
        <w:rPr>
          <w:rFonts w:ascii="Arial Narrow" w:hAnsi="Arial Narrow" w:cs="Arial Narrow"/>
        </w:rPr>
        <w:t>)</w:t>
      </w:r>
      <w:r w:rsidRPr="002F0CB2">
        <w:rPr>
          <w:rFonts w:ascii="Arial Narrow" w:hAnsi="Arial Narrow" w:cs="Arial Narrow"/>
        </w:rPr>
        <w:t xml:space="preserve"> </w:t>
      </w:r>
      <w:r>
        <w:rPr>
          <w:rFonts w:ascii="Arial Narrow" w:hAnsi="Arial Narrow" w:cs="Arial Narrow"/>
        </w:rPr>
        <w:t>boli ku koncu roka 2016 vyčerpané prostriedky vo výške 556,58</w:t>
      </w:r>
      <w:r w:rsidR="001E0542">
        <w:rPr>
          <w:rFonts w:ascii="Arial Narrow" w:hAnsi="Arial Narrow" w:cs="Arial Narrow"/>
        </w:rPr>
        <w:t xml:space="preserve"> mil. eur</w:t>
      </w:r>
      <w:r w:rsidRPr="002F0CB2">
        <w:rPr>
          <w:rFonts w:ascii="Arial Narrow" w:hAnsi="Arial Narrow" w:cs="Arial Narrow"/>
        </w:rPr>
        <w:t>, čo predstavuje</w:t>
      </w:r>
      <w:r>
        <w:rPr>
          <w:rFonts w:ascii="Arial Narrow" w:hAnsi="Arial Narrow" w:cs="Arial Narrow"/>
        </w:rPr>
        <w:t xml:space="preserve"> </w:t>
      </w:r>
      <w:r>
        <w:rPr>
          <w:rFonts w:ascii="Arial Narrow" w:hAnsi="Arial Narrow" w:cs="Arial Narrow"/>
        </w:rPr>
        <w:lastRenderedPageBreak/>
        <w:t>čerpanie na úrovni 3,98</w:t>
      </w:r>
      <w:r w:rsidR="00CB24B5">
        <w:rPr>
          <w:rFonts w:ascii="Arial Narrow" w:hAnsi="Arial Narrow" w:cs="Arial Narrow"/>
        </w:rPr>
        <w:t xml:space="preserve"> </w:t>
      </w:r>
      <w:r w:rsidRPr="002F0CB2">
        <w:rPr>
          <w:rFonts w:ascii="Arial Narrow" w:hAnsi="Arial Narrow" w:cs="Arial Narrow"/>
        </w:rPr>
        <w:t>%.</w:t>
      </w:r>
      <w:r>
        <w:rPr>
          <w:rFonts w:ascii="Arial Narrow" w:hAnsi="Arial Narrow" w:cs="Arial Narrow"/>
        </w:rPr>
        <w:t xml:space="preserve"> </w:t>
      </w:r>
      <w:r w:rsidR="009B66DC" w:rsidRPr="00E24676">
        <w:rPr>
          <w:rFonts w:ascii="Arial Narrow" w:hAnsi="Arial Narrow" w:cs="Arial Narrow"/>
          <w:bCs/>
        </w:rPr>
        <w:t>Podľa analytického scenára</w:t>
      </w:r>
      <w:r w:rsidR="009B66DC" w:rsidRPr="00E24676">
        <w:rPr>
          <w:rStyle w:val="Odkaznapoznmkupodiarou"/>
          <w:rFonts w:ascii="Arial Narrow" w:hAnsi="Arial Narrow" w:cs="Arial Narrow"/>
          <w:bCs/>
        </w:rPr>
        <w:footnoteReference w:id="55"/>
      </w:r>
      <w:r w:rsidR="009B66DC" w:rsidRPr="00E24676">
        <w:rPr>
          <w:rFonts w:ascii="Arial Narrow" w:hAnsi="Arial Narrow" w:cs="Arial Narrow"/>
          <w:bCs/>
        </w:rPr>
        <w:t xml:space="preserve"> by </w:t>
      </w:r>
      <w:r w:rsidRPr="00E24676">
        <w:rPr>
          <w:rFonts w:ascii="Arial Narrow" w:hAnsi="Arial Narrow" w:cs="Arial Narrow"/>
          <w:bCs/>
        </w:rPr>
        <w:t xml:space="preserve">pri pomalom nábehu čerpania pozorovaného v prvých troch rokoch mohlo Slovensko do konca roku 2020 vyčerpať približne polovicu </w:t>
      </w:r>
      <w:r w:rsidR="009B66DC" w:rsidRPr="00E24676">
        <w:rPr>
          <w:rFonts w:ascii="Arial Narrow" w:hAnsi="Arial Narrow" w:cs="Arial Narrow"/>
          <w:bCs/>
        </w:rPr>
        <w:t>alokovaných prostriedkov z EŠIF.</w:t>
      </w:r>
      <w:r w:rsidR="009B66DC" w:rsidRPr="000D43EF">
        <w:rPr>
          <w:rFonts w:ascii="Arial Narrow" w:hAnsi="Arial Narrow" w:cs="Arial Narrow"/>
          <w:bCs/>
        </w:rPr>
        <w:t xml:space="preserve"> </w:t>
      </w:r>
    </w:p>
    <w:p w14:paraId="08D1C2AD" w14:textId="6CE70701" w:rsidR="006A7CC8" w:rsidRDefault="006A7CC8" w:rsidP="000D43EF">
      <w:pPr>
        <w:spacing w:after="0" w:line="240" w:lineRule="auto"/>
        <w:jc w:val="both"/>
        <w:rPr>
          <w:rFonts w:ascii="Arial Narrow" w:hAnsi="Arial Narrow" w:cs="Arial Narrow"/>
          <w:color w:val="000000" w:themeColor="text1"/>
        </w:rPr>
      </w:pPr>
    </w:p>
    <w:tbl>
      <w:tblPr>
        <w:tblW w:w="8683" w:type="dxa"/>
        <w:jc w:val="center"/>
        <w:tblLook w:val="04A0" w:firstRow="1" w:lastRow="0" w:firstColumn="1" w:lastColumn="0" w:noHBand="0" w:noVBand="1"/>
      </w:tblPr>
      <w:tblGrid>
        <w:gridCol w:w="2268"/>
        <w:gridCol w:w="1134"/>
        <w:gridCol w:w="1843"/>
        <w:gridCol w:w="1701"/>
        <w:gridCol w:w="1737"/>
      </w:tblGrid>
      <w:tr w:rsidR="00DB4FA5" w:rsidRPr="00DB4FA5" w14:paraId="06CA1193" w14:textId="77777777" w:rsidTr="00AE69D8">
        <w:trPr>
          <w:trHeight w:val="129"/>
          <w:jc w:val="center"/>
        </w:trPr>
        <w:tc>
          <w:tcPr>
            <w:tcW w:w="6946" w:type="dxa"/>
            <w:gridSpan w:val="4"/>
            <w:tcBorders>
              <w:top w:val="nil"/>
              <w:left w:val="nil"/>
              <w:bottom w:val="nil"/>
              <w:right w:val="nil"/>
            </w:tcBorders>
            <w:shd w:val="clear" w:color="auto" w:fill="auto"/>
            <w:noWrap/>
            <w:vAlign w:val="bottom"/>
            <w:hideMark/>
          </w:tcPr>
          <w:p w14:paraId="0AC8980B" w14:textId="77777777" w:rsidR="00DB4FA5" w:rsidRPr="00DB4FA5" w:rsidRDefault="00DB4FA5" w:rsidP="00DB4FA5">
            <w:pPr>
              <w:spacing w:after="0" w:line="240" w:lineRule="auto"/>
              <w:rPr>
                <w:rFonts w:ascii="Arial Narrow" w:hAnsi="Arial Narrow"/>
                <w:b/>
                <w:bCs/>
                <w:color w:val="2C9ADC"/>
                <w:sz w:val="20"/>
                <w:szCs w:val="20"/>
                <w:lang w:val="en-US" w:eastAsia="en-US"/>
              </w:rPr>
            </w:pPr>
            <w:r w:rsidRPr="00DB4FA5">
              <w:rPr>
                <w:rFonts w:ascii="Arial Narrow" w:hAnsi="Arial Narrow"/>
                <w:b/>
                <w:bCs/>
                <w:color w:val="2C9ADC"/>
                <w:sz w:val="20"/>
                <w:szCs w:val="20"/>
                <w:lang w:val="en-US" w:eastAsia="en-US"/>
              </w:rPr>
              <w:t>Alokácia a čerpanie EÚ zdrojov</w:t>
            </w:r>
          </w:p>
        </w:tc>
        <w:tc>
          <w:tcPr>
            <w:tcW w:w="1737" w:type="dxa"/>
            <w:tcBorders>
              <w:top w:val="nil"/>
              <w:left w:val="nil"/>
              <w:bottom w:val="nil"/>
              <w:right w:val="nil"/>
            </w:tcBorders>
            <w:shd w:val="clear" w:color="auto" w:fill="auto"/>
            <w:noWrap/>
            <w:vAlign w:val="bottom"/>
            <w:hideMark/>
          </w:tcPr>
          <w:p w14:paraId="4C7D87A8" w14:textId="77777777" w:rsidR="00DB4FA5" w:rsidRPr="00DB4FA5" w:rsidRDefault="00DB4FA5" w:rsidP="00DB4FA5">
            <w:pPr>
              <w:spacing w:after="0" w:line="240" w:lineRule="auto"/>
              <w:rPr>
                <w:rFonts w:ascii="Arial Narrow" w:hAnsi="Arial Narrow"/>
                <w:b/>
                <w:bCs/>
                <w:color w:val="2C9ADC"/>
                <w:sz w:val="20"/>
                <w:szCs w:val="20"/>
                <w:lang w:val="en-US" w:eastAsia="en-US"/>
              </w:rPr>
            </w:pPr>
          </w:p>
        </w:tc>
      </w:tr>
      <w:tr w:rsidR="00DB4FA5" w:rsidRPr="00DB4FA5" w14:paraId="149ED65B" w14:textId="77777777" w:rsidTr="00AE69D8">
        <w:trPr>
          <w:trHeight w:val="440"/>
          <w:jc w:val="center"/>
        </w:trPr>
        <w:tc>
          <w:tcPr>
            <w:tcW w:w="2268" w:type="dxa"/>
            <w:tcBorders>
              <w:top w:val="single" w:sz="4" w:space="0" w:color="auto"/>
              <w:left w:val="nil"/>
              <w:bottom w:val="single" w:sz="4" w:space="0" w:color="auto"/>
              <w:right w:val="nil"/>
            </w:tcBorders>
            <w:shd w:val="clear" w:color="auto" w:fill="auto"/>
            <w:vAlign w:val="center"/>
            <w:hideMark/>
          </w:tcPr>
          <w:p w14:paraId="1110EA34" w14:textId="77777777" w:rsidR="00DB4FA5" w:rsidRPr="00DB4FA5" w:rsidRDefault="00DB4FA5" w:rsidP="00DB4FA5">
            <w:pPr>
              <w:spacing w:after="0" w:line="240" w:lineRule="auto"/>
              <w:jc w:val="both"/>
              <w:rPr>
                <w:rFonts w:ascii="Arial Narrow" w:hAnsi="Arial Narrow"/>
                <w:b/>
                <w:bCs/>
                <w:color w:val="000000"/>
                <w:sz w:val="20"/>
                <w:szCs w:val="20"/>
                <w:lang w:val="en-US" w:eastAsia="en-US"/>
              </w:rPr>
            </w:pPr>
            <w:r w:rsidRPr="00DB4FA5">
              <w:rPr>
                <w:rFonts w:ascii="Arial Narrow" w:hAnsi="Arial Narrow"/>
                <w:b/>
                <w:bCs/>
                <w:color w:val="000000" w:themeColor="text1"/>
                <w:sz w:val="20"/>
                <w:szCs w:val="20"/>
                <w:lang w:eastAsia="en-US"/>
              </w:rPr>
              <w:t>Operačný program</w:t>
            </w:r>
          </w:p>
        </w:tc>
        <w:tc>
          <w:tcPr>
            <w:tcW w:w="1134" w:type="dxa"/>
            <w:tcBorders>
              <w:top w:val="single" w:sz="4" w:space="0" w:color="auto"/>
              <w:left w:val="nil"/>
              <w:bottom w:val="single" w:sz="4" w:space="0" w:color="auto"/>
              <w:right w:val="nil"/>
            </w:tcBorders>
            <w:shd w:val="clear" w:color="auto" w:fill="auto"/>
            <w:vAlign w:val="center"/>
            <w:hideMark/>
          </w:tcPr>
          <w:p w14:paraId="50F59066" w14:textId="77777777" w:rsidR="00DB4FA5" w:rsidRPr="00DB4FA5" w:rsidRDefault="00DB4FA5" w:rsidP="00DB4FA5">
            <w:pPr>
              <w:spacing w:after="0" w:line="240" w:lineRule="auto"/>
              <w:jc w:val="center"/>
              <w:rPr>
                <w:rFonts w:ascii="Arial Narrow" w:hAnsi="Arial Narrow"/>
                <w:b/>
                <w:bCs/>
                <w:color w:val="000000"/>
                <w:sz w:val="20"/>
                <w:szCs w:val="20"/>
                <w:lang w:val="en-US" w:eastAsia="en-US"/>
              </w:rPr>
            </w:pPr>
            <w:r w:rsidRPr="00DB4FA5">
              <w:rPr>
                <w:rFonts w:ascii="Arial Narrow" w:hAnsi="Arial Narrow"/>
                <w:b/>
                <w:bCs/>
                <w:color w:val="000000" w:themeColor="text1"/>
                <w:sz w:val="20"/>
                <w:szCs w:val="20"/>
                <w:lang w:eastAsia="en-US"/>
              </w:rPr>
              <w:t>Riadiaci orgán</w:t>
            </w:r>
          </w:p>
        </w:tc>
        <w:tc>
          <w:tcPr>
            <w:tcW w:w="1843" w:type="dxa"/>
            <w:tcBorders>
              <w:top w:val="single" w:sz="4" w:space="0" w:color="auto"/>
              <w:left w:val="nil"/>
              <w:bottom w:val="single" w:sz="4" w:space="0" w:color="auto"/>
              <w:right w:val="nil"/>
            </w:tcBorders>
            <w:shd w:val="clear" w:color="auto" w:fill="auto"/>
            <w:vAlign w:val="center"/>
            <w:hideMark/>
          </w:tcPr>
          <w:p w14:paraId="77B18C24" w14:textId="5D2DC4C9" w:rsidR="00DB4FA5" w:rsidRPr="00DB4FA5" w:rsidRDefault="00AE69D8" w:rsidP="00DB4FA5">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themeColor="text1"/>
                <w:sz w:val="20"/>
                <w:szCs w:val="20"/>
                <w:lang w:eastAsia="en-US"/>
              </w:rPr>
              <w:t xml:space="preserve">Alokácia zo zdrojov EÚ </w:t>
            </w:r>
            <w:r w:rsidR="00DB4FA5" w:rsidRPr="00DB4FA5">
              <w:rPr>
                <w:rFonts w:ascii="Arial Narrow" w:hAnsi="Arial Narrow"/>
                <w:b/>
                <w:bCs/>
                <w:color w:val="000000" w:themeColor="text1"/>
                <w:sz w:val="20"/>
                <w:szCs w:val="20"/>
                <w:lang w:eastAsia="en-US"/>
              </w:rPr>
              <w:t>(mil. eur)</w:t>
            </w:r>
          </w:p>
        </w:tc>
        <w:tc>
          <w:tcPr>
            <w:tcW w:w="1701" w:type="dxa"/>
            <w:tcBorders>
              <w:top w:val="single" w:sz="4" w:space="0" w:color="auto"/>
              <w:left w:val="nil"/>
              <w:bottom w:val="single" w:sz="4" w:space="0" w:color="auto"/>
              <w:right w:val="nil"/>
            </w:tcBorders>
            <w:shd w:val="clear" w:color="auto" w:fill="auto"/>
            <w:vAlign w:val="center"/>
            <w:hideMark/>
          </w:tcPr>
          <w:p w14:paraId="715A4147" w14:textId="77777777" w:rsidR="00DB4FA5" w:rsidRPr="00DB4FA5" w:rsidRDefault="00DB4FA5" w:rsidP="00DB4FA5">
            <w:pPr>
              <w:spacing w:after="0" w:line="240" w:lineRule="auto"/>
              <w:jc w:val="center"/>
              <w:rPr>
                <w:rFonts w:ascii="Arial Narrow" w:hAnsi="Arial Narrow"/>
                <w:b/>
                <w:bCs/>
                <w:color w:val="000000"/>
                <w:sz w:val="20"/>
                <w:szCs w:val="20"/>
                <w:lang w:val="en-US" w:eastAsia="en-US"/>
              </w:rPr>
            </w:pPr>
            <w:r w:rsidRPr="00DB4FA5">
              <w:rPr>
                <w:rFonts w:ascii="Arial Narrow" w:hAnsi="Arial Narrow"/>
                <w:b/>
                <w:bCs/>
                <w:color w:val="000000" w:themeColor="text1"/>
                <w:sz w:val="20"/>
                <w:szCs w:val="20"/>
                <w:lang w:eastAsia="en-US"/>
              </w:rPr>
              <w:t>Čerpanie k 31. 12. 2016 (mil. eur)</w:t>
            </w:r>
          </w:p>
        </w:tc>
        <w:tc>
          <w:tcPr>
            <w:tcW w:w="1737" w:type="dxa"/>
            <w:tcBorders>
              <w:top w:val="single" w:sz="4" w:space="0" w:color="auto"/>
              <w:left w:val="nil"/>
              <w:bottom w:val="single" w:sz="4" w:space="0" w:color="auto"/>
              <w:right w:val="nil"/>
            </w:tcBorders>
            <w:shd w:val="clear" w:color="auto" w:fill="auto"/>
            <w:vAlign w:val="center"/>
            <w:hideMark/>
          </w:tcPr>
          <w:p w14:paraId="2E8738E8" w14:textId="77777777" w:rsidR="00DB4FA5" w:rsidRPr="00DB4FA5" w:rsidRDefault="00DB4FA5" w:rsidP="00DB4FA5">
            <w:pPr>
              <w:spacing w:after="0" w:line="240" w:lineRule="auto"/>
              <w:jc w:val="center"/>
              <w:rPr>
                <w:rFonts w:ascii="Arial Narrow" w:hAnsi="Arial Narrow"/>
                <w:b/>
                <w:bCs/>
                <w:color w:val="000000"/>
                <w:sz w:val="20"/>
                <w:szCs w:val="20"/>
                <w:lang w:val="en-US" w:eastAsia="en-US"/>
              </w:rPr>
            </w:pPr>
            <w:r w:rsidRPr="00DB4FA5">
              <w:rPr>
                <w:rFonts w:ascii="Arial Narrow" w:hAnsi="Arial Narrow"/>
                <w:b/>
                <w:bCs/>
                <w:color w:val="000000" w:themeColor="text1"/>
                <w:sz w:val="20"/>
                <w:szCs w:val="20"/>
                <w:lang w:eastAsia="en-US"/>
              </w:rPr>
              <w:t>Zazmluvnenosť projektov (mil. eur)</w:t>
            </w:r>
          </w:p>
        </w:tc>
      </w:tr>
      <w:tr w:rsidR="00DB4FA5" w:rsidRPr="00DB4FA5" w14:paraId="0F0EFFC9" w14:textId="77777777" w:rsidTr="00AE69D8">
        <w:trPr>
          <w:trHeight w:val="220"/>
          <w:jc w:val="center"/>
        </w:trPr>
        <w:tc>
          <w:tcPr>
            <w:tcW w:w="2268" w:type="dxa"/>
            <w:tcBorders>
              <w:top w:val="nil"/>
              <w:left w:val="nil"/>
              <w:bottom w:val="nil"/>
              <w:right w:val="nil"/>
            </w:tcBorders>
            <w:shd w:val="clear" w:color="auto" w:fill="auto"/>
            <w:vAlign w:val="center"/>
            <w:hideMark/>
          </w:tcPr>
          <w:p w14:paraId="2C920BC5"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Výskum a inovácie</w:t>
            </w:r>
          </w:p>
        </w:tc>
        <w:tc>
          <w:tcPr>
            <w:tcW w:w="1134" w:type="dxa"/>
            <w:tcBorders>
              <w:top w:val="nil"/>
              <w:left w:val="nil"/>
              <w:bottom w:val="nil"/>
              <w:right w:val="nil"/>
            </w:tcBorders>
            <w:shd w:val="clear" w:color="auto" w:fill="auto"/>
            <w:vAlign w:val="center"/>
            <w:hideMark/>
          </w:tcPr>
          <w:p w14:paraId="79DA4C92"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MŠVVŠ SR</w:t>
            </w:r>
          </w:p>
        </w:tc>
        <w:tc>
          <w:tcPr>
            <w:tcW w:w="1843" w:type="dxa"/>
            <w:tcBorders>
              <w:top w:val="nil"/>
              <w:left w:val="nil"/>
              <w:bottom w:val="nil"/>
              <w:right w:val="nil"/>
            </w:tcBorders>
            <w:shd w:val="clear" w:color="auto" w:fill="auto"/>
            <w:vAlign w:val="center"/>
            <w:hideMark/>
          </w:tcPr>
          <w:p w14:paraId="46B86C3C"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2 267</w:t>
            </w:r>
          </w:p>
        </w:tc>
        <w:tc>
          <w:tcPr>
            <w:tcW w:w="1701" w:type="dxa"/>
            <w:tcBorders>
              <w:top w:val="nil"/>
              <w:left w:val="nil"/>
              <w:bottom w:val="nil"/>
              <w:right w:val="nil"/>
            </w:tcBorders>
            <w:shd w:val="clear" w:color="auto" w:fill="auto"/>
            <w:vAlign w:val="center"/>
            <w:hideMark/>
          </w:tcPr>
          <w:p w14:paraId="2C1D028E"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21,6</w:t>
            </w:r>
          </w:p>
        </w:tc>
        <w:tc>
          <w:tcPr>
            <w:tcW w:w="1737" w:type="dxa"/>
            <w:tcBorders>
              <w:top w:val="nil"/>
              <w:left w:val="nil"/>
              <w:bottom w:val="nil"/>
              <w:right w:val="nil"/>
            </w:tcBorders>
            <w:shd w:val="clear" w:color="auto" w:fill="auto"/>
            <w:vAlign w:val="center"/>
            <w:hideMark/>
          </w:tcPr>
          <w:p w14:paraId="6FF7C35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89,7</w:t>
            </w:r>
          </w:p>
        </w:tc>
      </w:tr>
      <w:tr w:rsidR="00DB4FA5" w:rsidRPr="00DB4FA5" w14:paraId="4980A8D4" w14:textId="77777777" w:rsidTr="00AE69D8">
        <w:trPr>
          <w:trHeight w:val="80"/>
          <w:jc w:val="center"/>
        </w:trPr>
        <w:tc>
          <w:tcPr>
            <w:tcW w:w="2268" w:type="dxa"/>
            <w:tcBorders>
              <w:top w:val="nil"/>
              <w:left w:val="nil"/>
              <w:bottom w:val="nil"/>
              <w:right w:val="nil"/>
            </w:tcBorders>
            <w:shd w:val="clear" w:color="auto" w:fill="auto"/>
            <w:vAlign w:val="center"/>
            <w:hideMark/>
          </w:tcPr>
          <w:p w14:paraId="4D7787A1"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Integrovaná infraštruktúra</w:t>
            </w:r>
          </w:p>
        </w:tc>
        <w:tc>
          <w:tcPr>
            <w:tcW w:w="1134" w:type="dxa"/>
            <w:tcBorders>
              <w:top w:val="nil"/>
              <w:left w:val="nil"/>
              <w:bottom w:val="nil"/>
              <w:right w:val="nil"/>
            </w:tcBorders>
            <w:shd w:val="clear" w:color="auto" w:fill="auto"/>
            <w:vAlign w:val="center"/>
            <w:hideMark/>
          </w:tcPr>
          <w:p w14:paraId="7D9AFB82"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MDV SR</w:t>
            </w:r>
          </w:p>
        </w:tc>
        <w:tc>
          <w:tcPr>
            <w:tcW w:w="1843" w:type="dxa"/>
            <w:tcBorders>
              <w:top w:val="nil"/>
              <w:left w:val="nil"/>
              <w:bottom w:val="nil"/>
              <w:right w:val="nil"/>
            </w:tcBorders>
            <w:shd w:val="clear" w:color="auto" w:fill="auto"/>
            <w:vAlign w:val="center"/>
            <w:hideMark/>
          </w:tcPr>
          <w:p w14:paraId="3DAFAA21"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3 967</w:t>
            </w:r>
          </w:p>
        </w:tc>
        <w:tc>
          <w:tcPr>
            <w:tcW w:w="1701" w:type="dxa"/>
            <w:tcBorders>
              <w:top w:val="nil"/>
              <w:left w:val="nil"/>
              <w:bottom w:val="nil"/>
              <w:right w:val="nil"/>
            </w:tcBorders>
            <w:shd w:val="clear" w:color="auto" w:fill="auto"/>
            <w:vAlign w:val="center"/>
            <w:hideMark/>
          </w:tcPr>
          <w:p w14:paraId="171E903A"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331,1</w:t>
            </w:r>
          </w:p>
        </w:tc>
        <w:tc>
          <w:tcPr>
            <w:tcW w:w="1737" w:type="dxa"/>
            <w:tcBorders>
              <w:top w:val="nil"/>
              <w:left w:val="nil"/>
              <w:bottom w:val="nil"/>
              <w:right w:val="nil"/>
            </w:tcBorders>
            <w:shd w:val="clear" w:color="auto" w:fill="auto"/>
            <w:vAlign w:val="center"/>
            <w:hideMark/>
          </w:tcPr>
          <w:p w14:paraId="0A8FCB8D"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813,2</w:t>
            </w:r>
          </w:p>
        </w:tc>
      </w:tr>
      <w:tr w:rsidR="00DB4FA5" w:rsidRPr="00DB4FA5" w14:paraId="46407027" w14:textId="77777777" w:rsidTr="00AE69D8">
        <w:trPr>
          <w:trHeight w:val="220"/>
          <w:jc w:val="center"/>
        </w:trPr>
        <w:tc>
          <w:tcPr>
            <w:tcW w:w="2268" w:type="dxa"/>
            <w:tcBorders>
              <w:top w:val="nil"/>
              <w:left w:val="nil"/>
              <w:bottom w:val="nil"/>
              <w:right w:val="nil"/>
            </w:tcBorders>
            <w:shd w:val="clear" w:color="auto" w:fill="auto"/>
            <w:vAlign w:val="center"/>
            <w:hideMark/>
          </w:tcPr>
          <w:p w14:paraId="67D9A73A"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Ľudské zdroje</w:t>
            </w:r>
          </w:p>
        </w:tc>
        <w:tc>
          <w:tcPr>
            <w:tcW w:w="1134" w:type="dxa"/>
            <w:tcBorders>
              <w:top w:val="nil"/>
              <w:left w:val="nil"/>
              <w:bottom w:val="nil"/>
              <w:right w:val="nil"/>
            </w:tcBorders>
            <w:shd w:val="clear" w:color="auto" w:fill="auto"/>
            <w:vAlign w:val="center"/>
            <w:hideMark/>
          </w:tcPr>
          <w:p w14:paraId="23F15096"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MPSVR SR</w:t>
            </w:r>
          </w:p>
        </w:tc>
        <w:tc>
          <w:tcPr>
            <w:tcW w:w="1843" w:type="dxa"/>
            <w:tcBorders>
              <w:top w:val="nil"/>
              <w:left w:val="nil"/>
              <w:bottom w:val="nil"/>
              <w:right w:val="nil"/>
            </w:tcBorders>
            <w:shd w:val="clear" w:color="auto" w:fill="auto"/>
            <w:vAlign w:val="center"/>
            <w:hideMark/>
          </w:tcPr>
          <w:p w14:paraId="7BAD4F46"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2 205</w:t>
            </w:r>
          </w:p>
        </w:tc>
        <w:tc>
          <w:tcPr>
            <w:tcW w:w="1701" w:type="dxa"/>
            <w:tcBorders>
              <w:top w:val="nil"/>
              <w:left w:val="nil"/>
              <w:bottom w:val="nil"/>
              <w:right w:val="nil"/>
            </w:tcBorders>
            <w:shd w:val="clear" w:color="auto" w:fill="auto"/>
            <w:vAlign w:val="center"/>
            <w:hideMark/>
          </w:tcPr>
          <w:p w14:paraId="42C726E4"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124,8</w:t>
            </w:r>
          </w:p>
        </w:tc>
        <w:tc>
          <w:tcPr>
            <w:tcW w:w="1737" w:type="dxa"/>
            <w:tcBorders>
              <w:top w:val="nil"/>
              <w:left w:val="nil"/>
              <w:bottom w:val="nil"/>
              <w:right w:val="nil"/>
            </w:tcBorders>
            <w:shd w:val="clear" w:color="auto" w:fill="auto"/>
            <w:vAlign w:val="center"/>
            <w:hideMark/>
          </w:tcPr>
          <w:p w14:paraId="6D2BD969"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699,8</w:t>
            </w:r>
          </w:p>
        </w:tc>
      </w:tr>
      <w:tr w:rsidR="00DB4FA5" w:rsidRPr="00DB4FA5" w14:paraId="708E0583" w14:textId="77777777" w:rsidTr="00AE69D8">
        <w:trPr>
          <w:trHeight w:val="184"/>
          <w:jc w:val="center"/>
        </w:trPr>
        <w:tc>
          <w:tcPr>
            <w:tcW w:w="2268" w:type="dxa"/>
            <w:tcBorders>
              <w:top w:val="nil"/>
              <w:left w:val="nil"/>
              <w:bottom w:val="nil"/>
              <w:right w:val="nil"/>
            </w:tcBorders>
            <w:shd w:val="clear" w:color="auto" w:fill="auto"/>
            <w:vAlign w:val="center"/>
            <w:hideMark/>
          </w:tcPr>
          <w:p w14:paraId="311B6E4C"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Kvalita životného prostredia</w:t>
            </w:r>
          </w:p>
        </w:tc>
        <w:tc>
          <w:tcPr>
            <w:tcW w:w="1134" w:type="dxa"/>
            <w:tcBorders>
              <w:top w:val="nil"/>
              <w:left w:val="nil"/>
              <w:bottom w:val="nil"/>
              <w:right w:val="nil"/>
            </w:tcBorders>
            <w:shd w:val="clear" w:color="auto" w:fill="auto"/>
            <w:vAlign w:val="center"/>
            <w:hideMark/>
          </w:tcPr>
          <w:p w14:paraId="04632331"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MŽP SR</w:t>
            </w:r>
          </w:p>
        </w:tc>
        <w:tc>
          <w:tcPr>
            <w:tcW w:w="1843" w:type="dxa"/>
            <w:tcBorders>
              <w:top w:val="nil"/>
              <w:left w:val="nil"/>
              <w:bottom w:val="nil"/>
              <w:right w:val="nil"/>
            </w:tcBorders>
            <w:shd w:val="clear" w:color="auto" w:fill="auto"/>
            <w:vAlign w:val="center"/>
            <w:hideMark/>
          </w:tcPr>
          <w:p w14:paraId="6A49D083"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3 138</w:t>
            </w:r>
          </w:p>
        </w:tc>
        <w:tc>
          <w:tcPr>
            <w:tcW w:w="1701" w:type="dxa"/>
            <w:tcBorders>
              <w:top w:val="nil"/>
              <w:left w:val="nil"/>
              <w:bottom w:val="nil"/>
              <w:right w:val="nil"/>
            </w:tcBorders>
            <w:shd w:val="clear" w:color="auto" w:fill="auto"/>
            <w:vAlign w:val="center"/>
            <w:hideMark/>
          </w:tcPr>
          <w:p w14:paraId="2CD116E5"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40,3</w:t>
            </w:r>
          </w:p>
        </w:tc>
        <w:tc>
          <w:tcPr>
            <w:tcW w:w="1737" w:type="dxa"/>
            <w:tcBorders>
              <w:top w:val="nil"/>
              <w:left w:val="nil"/>
              <w:bottom w:val="nil"/>
              <w:right w:val="nil"/>
            </w:tcBorders>
            <w:shd w:val="clear" w:color="auto" w:fill="auto"/>
            <w:vAlign w:val="center"/>
            <w:hideMark/>
          </w:tcPr>
          <w:p w14:paraId="6C6818D8"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773,5</w:t>
            </w:r>
          </w:p>
        </w:tc>
      </w:tr>
      <w:tr w:rsidR="00DB4FA5" w:rsidRPr="00DB4FA5" w14:paraId="715878DA" w14:textId="77777777" w:rsidTr="00AE69D8">
        <w:trPr>
          <w:trHeight w:val="146"/>
          <w:jc w:val="center"/>
        </w:trPr>
        <w:tc>
          <w:tcPr>
            <w:tcW w:w="2268" w:type="dxa"/>
            <w:tcBorders>
              <w:top w:val="nil"/>
              <w:left w:val="nil"/>
              <w:bottom w:val="nil"/>
              <w:right w:val="nil"/>
            </w:tcBorders>
            <w:shd w:val="clear" w:color="auto" w:fill="auto"/>
            <w:vAlign w:val="center"/>
            <w:hideMark/>
          </w:tcPr>
          <w:p w14:paraId="137653ED"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Integrovaný regionálny OP</w:t>
            </w:r>
          </w:p>
        </w:tc>
        <w:tc>
          <w:tcPr>
            <w:tcW w:w="1134" w:type="dxa"/>
            <w:tcBorders>
              <w:top w:val="nil"/>
              <w:left w:val="nil"/>
              <w:bottom w:val="nil"/>
              <w:right w:val="nil"/>
            </w:tcBorders>
            <w:shd w:val="clear" w:color="auto" w:fill="auto"/>
            <w:vAlign w:val="center"/>
            <w:hideMark/>
          </w:tcPr>
          <w:p w14:paraId="3D7E5CC7"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33BA022E"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1 754</w:t>
            </w:r>
          </w:p>
        </w:tc>
        <w:tc>
          <w:tcPr>
            <w:tcW w:w="1701" w:type="dxa"/>
            <w:tcBorders>
              <w:top w:val="nil"/>
              <w:left w:val="nil"/>
              <w:bottom w:val="nil"/>
              <w:right w:val="nil"/>
            </w:tcBorders>
            <w:shd w:val="clear" w:color="auto" w:fill="auto"/>
            <w:vAlign w:val="center"/>
            <w:hideMark/>
          </w:tcPr>
          <w:p w14:paraId="01F267EC"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31,1</w:t>
            </w:r>
          </w:p>
        </w:tc>
        <w:tc>
          <w:tcPr>
            <w:tcW w:w="1737" w:type="dxa"/>
            <w:tcBorders>
              <w:top w:val="nil"/>
              <w:left w:val="nil"/>
              <w:bottom w:val="nil"/>
              <w:right w:val="nil"/>
            </w:tcBorders>
            <w:shd w:val="clear" w:color="auto" w:fill="auto"/>
            <w:vAlign w:val="center"/>
            <w:hideMark/>
          </w:tcPr>
          <w:p w14:paraId="4B89679B"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128,3</w:t>
            </w:r>
          </w:p>
        </w:tc>
      </w:tr>
      <w:tr w:rsidR="00DB4FA5" w:rsidRPr="00DB4FA5" w14:paraId="71FB3980" w14:textId="77777777" w:rsidTr="00AE69D8">
        <w:trPr>
          <w:trHeight w:val="104"/>
          <w:jc w:val="center"/>
        </w:trPr>
        <w:tc>
          <w:tcPr>
            <w:tcW w:w="2268" w:type="dxa"/>
            <w:tcBorders>
              <w:top w:val="nil"/>
              <w:left w:val="nil"/>
              <w:bottom w:val="nil"/>
              <w:right w:val="nil"/>
            </w:tcBorders>
            <w:shd w:val="clear" w:color="auto" w:fill="auto"/>
            <w:vAlign w:val="center"/>
            <w:hideMark/>
          </w:tcPr>
          <w:p w14:paraId="6A214857"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Efektívna verejná správa</w:t>
            </w:r>
          </w:p>
        </w:tc>
        <w:tc>
          <w:tcPr>
            <w:tcW w:w="1134" w:type="dxa"/>
            <w:tcBorders>
              <w:top w:val="nil"/>
              <w:left w:val="nil"/>
              <w:bottom w:val="nil"/>
              <w:right w:val="nil"/>
            </w:tcBorders>
            <w:shd w:val="clear" w:color="auto" w:fill="auto"/>
            <w:vAlign w:val="center"/>
            <w:hideMark/>
          </w:tcPr>
          <w:p w14:paraId="19E12945"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MV SR</w:t>
            </w:r>
          </w:p>
        </w:tc>
        <w:tc>
          <w:tcPr>
            <w:tcW w:w="1843" w:type="dxa"/>
            <w:tcBorders>
              <w:top w:val="nil"/>
              <w:left w:val="nil"/>
              <w:bottom w:val="nil"/>
              <w:right w:val="nil"/>
            </w:tcBorders>
            <w:shd w:val="clear" w:color="auto" w:fill="auto"/>
            <w:vAlign w:val="center"/>
            <w:hideMark/>
          </w:tcPr>
          <w:p w14:paraId="6DF8F29D"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278</w:t>
            </w:r>
          </w:p>
        </w:tc>
        <w:tc>
          <w:tcPr>
            <w:tcW w:w="1701" w:type="dxa"/>
            <w:tcBorders>
              <w:top w:val="nil"/>
              <w:left w:val="nil"/>
              <w:bottom w:val="nil"/>
              <w:right w:val="nil"/>
            </w:tcBorders>
            <w:shd w:val="clear" w:color="auto" w:fill="auto"/>
            <w:vAlign w:val="center"/>
            <w:hideMark/>
          </w:tcPr>
          <w:p w14:paraId="028053D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1,0</w:t>
            </w:r>
          </w:p>
        </w:tc>
        <w:tc>
          <w:tcPr>
            <w:tcW w:w="1737" w:type="dxa"/>
            <w:tcBorders>
              <w:top w:val="nil"/>
              <w:left w:val="nil"/>
              <w:bottom w:val="nil"/>
              <w:right w:val="nil"/>
            </w:tcBorders>
            <w:shd w:val="clear" w:color="auto" w:fill="auto"/>
            <w:vAlign w:val="center"/>
            <w:hideMark/>
          </w:tcPr>
          <w:p w14:paraId="101E359B"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5,3</w:t>
            </w:r>
          </w:p>
        </w:tc>
      </w:tr>
      <w:tr w:rsidR="00DB4FA5" w:rsidRPr="00DB4FA5" w14:paraId="71047C3D" w14:textId="77777777" w:rsidTr="00AE69D8">
        <w:trPr>
          <w:trHeight w:val="220"/>
          <w:jc w:val="center"/>
        </w:trPr>
        <w:tc>
          <w:tcPr>
            <w:tcW w:w="2268" w:type="dxa"/>
            <w:tcBorders>
              <w:top w:val="nil"/>
              <w:left w:val="nil"/>
              <w:bottom w:val="nil"/>
              <w:right w:val="nil"/>
            </w:tcBorders>
            <w:shd w:val="clear" w:color="auto" w:fill="auto"/>
            <w:vAlign w:val="center"/>
            <w:hideMark/>
          </w:tcPr>
          <w:p w14:paraId="4DD9CB33"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Technická pomoc</w:t>
            </w:r>
          </w:p>
        </w:tc>
        <w:tc>
          <w:tcPr>
            <w:tcW w:w="1134" w:type="dxa"/>
            <w:tcBorders>
              <w:top w:val="nil"/>
              <w:left w:val="nil"/>
              <w:bottom w:val="nil"/>
              <w:right w:val="nil"/>
            </w:tcBorders>
            <w:shd w:val="clear" w:color="auto" w:fill="auto"/>
            <w:vAlign w:val="center"/>
            <w:hideMark/>
          </w:tcPr>
          <w:p w14:paraId="37554C5A"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ÚV SR</w:t>
            </w:r>
          </w:p>
        </w:tc>
        <w:tc>
          <w:tcPr>
            <w:tcW w:w="1843" w:type="dxa"/>
            <w:tcBorders>
              <w:top w:val="nil"/>
              <w:left w:val="nil"/>
              <w:bottom w:val="nil"/>
              <w:right w:val="nil"/>
            </w:tcBorders>
            <w:shd w:val="clear" w:color="auto" w:fill="auto"/>
            <w:vAlign w:val="center"/>
            <w:hideMark/>
          </w:tcPr>
          <w:p w14:paraId="5E5EF6F4"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159</w:t>
            </w:r>
          </w:p>
        </w:tc>
        <w:tc>
          <w:tcPr>
            <w:tcW w:w="1701" w:type="dxa"/>
            <w:tcBorders>
              <w:top w:val="nil"/>
              <w:left w:val="nil"/>
              <w:bottom w:val="nil"/>
              <w:right w:val="nil"/>
            </w:tcBorders>
            <w:shd w:val="clear" w:color="auto" w:fill="auto"/>
            <w:vAlign w:val="center"/>
            <w:hideMark/>
          </w:tcPr>
          <w:p w14:paraId="7C34DBC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6,7</w:t>
            </w:r>
          </w:p>
        </w:tc>
        <w:tc>
          <w:tcPr>
            <w:tcW w:w="1737" w:type="dxa"/>
            <w:tcBorders>
              <w:top w:val="nil"/>
              <w:left w:val="nil"/>
              <w:bottom w:val="nil"/>
              <w:right w:val="nil"/>
            </w:tcBorders>
            <w:shd w:val="clear" w:color="auto" w:fill="auto"/>
            <w:vAlign w:val="center"/>
            <w:hideMark/>
          </w:tcPr>
          <w:p w14:paraId="12E186FE"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51,9</w:t>
            </w:r>
          </w:p>
        </w:tc>
      </w:tr>
      <w:tr w:rsidR="00DB4FA5" w:rsidRPr="00DB4FA5" w14:paraId="4708E85C" w14:textId="77777777" w:rsidTr="00AE69D8">
        <w:trPr>
          <w:trHeight w:val="126"/>
          <w:jc w:val="center"/>
        </w:trPr>
        <w:tc>
          <w:tcPr>
            <w:tcW w:w="2268" w:type="dxa"/>
            <w:tcBorders>
              <w:top w:val="nil"/>
              <w:left w:val="nil"/>
              <w:bottom w:val="nil"/>
              <w:right w:val="nil"/>
            </w:tcBorders>
            <w:shd w:val="clear" w:color="auto" w:fill="auto"/>
            <w:vAlign w:val="center"/>
            <w:hideMark/>
          </w:tcPr>
          <w:p w14:paraId="541F1251"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Rybné hospodárstvo</w:t>
            </w:r>
          </w:p>
        </w:tc>
        <w:tc>
          <w:tcPr>
            <w:tcW w:w="1134" w:type="dxa"/>
            <w:tcBorders>
              <w:top w:val="nil"/>
              <w:left w:val="nil"/>
              <w:bottom w:val="nil"/>
              <w:right w:val="nil"/>
            </w:tcBorders>
            <w:shd w:val="clear" w:color="auto" w:fill="auto"/>
            <w:vAlign w:val="center"/>
            <w:hideMark/>
          </w:tcPr>
          <w:p w14:paraId="470E8577"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1323107B"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16</w:t>
            </w:r>
          </w:p>
        </w:tc>
        <w:tc>
          <w:tcPr>
            <w:tcW w:w="1701" w:type="dxa"/>
            <w:tcBorders>
              <w:top w:val="nil"/>
              <w:left w:val="nil"/>
              <w:bottom w:val="nil"/>
              <w:right w:val="nil"/>
            </w:tcBorders>
            <w:shd w:val="clear" w:color="auto" w:fill="auto"/>
            <w:vAlign w:val="center"/>
            <w:hideMark/>
          </w:tcPr>
          <w:p w14:paraId="433C07E3"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c>
          <w:tcPr>
            <w:tcW w:w="1737" w:type="dxa"/>
            <w:tcBorders>
              <w:top w:val="nil"/>
              <w:left w:val="nil"/>
              <w:bottom w:val="nil"/>
              <w:right w:val="nil"/>
            </w:tcBorders>
            <w:shd w:val="clear" w:color="auto" w:fill="auto"/>
            <w:vAlign w:val="center"/>
            <w:hideMark/>
          </w:tcPr>
          <w:p w14:paraId="71077B0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r>
      <w:tr w:rsidR="00DB4FA5" w:rsidRPr="00DB4FA5" w14:paraId="53F43C7C" w14:textId="77777777" w:rsidTr="00AE69D8">
        <w:trPr>
          <w:trHeight w:val="220"/>
          <w:jc w:val="center"/>
        </w:trPr>
        <w:tc>
          <w:tcPr>
            <w:tcW w:w="2268" w:type="dxa"/>
            <w:tcBorders>
              <w:top w:val="nil"/>
              <w:left w:val="nil"/>
              <w:bottom w:val="nil"/>
              <w:right w:val="nil"/>
            </w:tcBorders>
            <w:shd w:val="clear" w:color="auto" w:fill="auto"/>
            <w:vAlign w:val="center"/>
            <w:hideMark/>
          </w:tcPr>
          <w:p w14:paraId="3BC6D947"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Interreg V-A SK-CZ</w:t>
            </w:r>
          </w:p>
        </w:tc>
        <w:tc>
          <w:tcPr>
            <w:tcW w:w="1134" w:type="dxa"/>
            <w:tcBorders>
              <w:top w:val="nil"/>
              <w:left w:val="nil"/>
              <w:bottom w:val="nil"/>
              <w:right w:val="nil"/>
            </w:tcBorders>
            <w:shd w:val="clear" w:color="auto" w:fill="auto"/>
            <w:vAlign w:val="center"/>
            <w:hideMark/>
          </w:tcPr>
          <w:p w14:paraId="568A5A0D"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14AD75B9"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90</w:t>
            </w:r>
          </w:p>
        </w:tc>
        <w:tc>
          <w:tcPr>
            <w:tcW w:w="1701" w:type="dxa"/>
            <w:tcBorders>
              <w:top w:val="nil"/>
              <w:left w:val="nil"/>
              <w:bottom w:val="nil"/>
              <w:right w:val="nil"/>
            </w:tcBorders>
            <w:shd w:val="clear" w:color="auto" w:fill="auto"/>
            <w:vAlign w:val="center"/>
            <w:hideMark/>
          </w:tcPr>
          <w:p w14:paraId="5D89FB3E"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c>
          <w:tcPr>
            <w:tcW w:w="1737" w:type="dxa"/>
            <w:tcBorders>
              <w:top w:val="nil"/>
              <w:left w:val="nil"/>
              <w:bottom w:val="nil"/>
              <w:right w:val="nil"/>
            </w:tcBorders>
            <w:shd w:val="clear" w:color="auto" w:fill="auto"/>
            <w:vAlign w:val="center"/>
            <w:hideMark/>
          </w:tcPr>
          <w:p w14:paraId="11786CD7"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r>
      <w:tr w:rsidR="00DB4FA5" w:rsidRPr="00DB4FA5" w14:paraId="2EE020A2" w14:textId="77777777" w:rsidTr="00AE69D8">
        <w:trPr>
          <w:trHeight w:val="220"/>
          <w:jc w:val="center"/>
        </w:trPr>
        <w:tc>
          <w:tcPr>
            <w:tcW w:w="2268" w:type="dxa"/>
            <w:tcBorders>
              <w:top w:val="nil"/>
              <w:left w:val="nil"/>
              <w:bottom w:val="nil"/>
              <w:right w:val="nil"/>
            </w:tcBorders>
            <w:shd w:val="clear" w:color="auto" w:fill="auto"/>
            <w:vAlign w:val="center"/>
            <w:hideMark/>
          </w:tcPr>
          <w:p w14:paraId="5BC14CB8"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Interreg V-A SK-AT</w:t>
            </w:r>
          </w:p>
        </w:tc>
        <w:tc>
          <w:tcPr>
            <w:tcW w:w="1134" w:type="dxa"/>
            <w:tcBorders>
              <w:top w:val="nil"/>
              <w:left w:val="nil"/>
              <w:bottom w:val="nil"/>
              <w:right w:val="nil"/>
            </w:tcBorders>
            <w:shd w:val="clear" w:color="auto" w:fill="auto"/>
            <w:vAlign w:val="center"/>
            <w:hideMark/>
          </w:tcPr>
          <w:p w14:paraId="21A9095C"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6CD8D214"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76</w:t>
            </w:r>
          </w:p>
        </w:tc>
        <w:tc>
          <w:tcPr>
            <w:tcW w:w="1701" w:type="dxa"/>
            <w:tcBorders>
              <w:top w:val="nil"/>
              <w:left w:val="nil"/>
              <w:bottom w:val="nil"/>
              <w:right w:val="nil"/>
            </w:tcBorders>
            <w:shd w:val="clear" w:color="auto" w:fill="auto"/>
            <w:vAlign w:val="center"/>
            <w:hideMark/>
          </w:tcPr>
          <w:p w14:paraId="55004A4B"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c>
          <w:tcPr>
            <w:tcW w:w="1737" w:type="dxa"/>
            <w:tcBorders>
              <w:top w:val="nil"/>
              <w:left w:val="nil"/>
              <w:bottom w:val="nil"/>
              <w:right w:val="nil"/>
            </w:tcBorders>
            <w:shd w:val="clear" w:color="auto" w:fill="auto"/>
            <w:vAlign w:val="center"/>
            <w:hideMark/>
          </w:tcPr>
          <w:p w14:paraId="072EF0F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r>
      <w:tr w:rsidR="00DB4FA5" w:rsidRPr="00DB4FA5" w14:paraId="560B7284" w14:textId="77777777" w:rsidTr="00AE69D8">
        <w:trPr>
          <w:trHeight w:val="80"/>
          <w:jc w:val="center"/>
        </w:trPr>
        <w:tc>
          <w:tcPr>
            <w:tcW w:w="2268" w:type="dxa"/>
            <w:tcBorders>
              <w:top w:val="nil"/>
              <w:left w:val="nil"/>
              <w:bottom w:val="nil"/>
              <w:right w:val="nil"/>
            </w:tcBorders>
            <w:shd w:val="clear" w:color="auto" w:fill="auto"/>
            <w:vAlign w:val="center"/>
            <w:hideMark/>
          </w:tcPr>
          <w:p w14:paraId="6750B0F4"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PS INTERACT III</w:t>
            </w:r>
          </w:p>
        </w:tc>
        <w:tc>
          <w:tcPr>
            <w:tcW w:w="1134" w:type="dxa"/>
            <w:tcBorders>
              <w:top w:val="nil"/>
              <w:left w:val="nil"/>
              <w:bottom w:val="nil"/>
              <w:right w:val="nil"/>
            </w:tcBorders>
            <w:shd w:val="clear" w:color="auto" w:fill="auto"/>
            <w:vAlign w:val="center"/>
            <w:hideMark/>
          </w:tcPr>
          <w:p w14:paraId="1DA17322"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55CAA7CE"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39</w:t>
            </w:r>
          </w:p>
        </w:tc>
        <w:tc>
          <w:tcPr>
            <w:tcW w:w="1701" w:type="dxa"/>
            <w:tcBorders>
              <w:top w:val="nil"/>
              <w:left w:val="nil"/>
              <w:bottom w:val="nil"/>
              <w:right w:val="nil"/>
            </w:tcBorders>
            <w:shd w:val="clear" w:color="auto" w:fill="auto"/>
            <w:vAlign w:val="center"/>
            <w:hideMark/>
          </w:tcPr>
          <w:p w14:paraId="5A947C7A"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c>
          <w:tcPr>
            <w:tcW w:w="1737" w:type="dxa"/>
            <w:tcBorders>
              <w:top w:val="nil"/>
              <w:left w:val="nil"/>
              <w:bottom w:val="nil"/>
              <w:right w:val="nil"/>
            </w:tcBorders>
            <w:shd w:val="clear" w:color="auto" w:fill="auto"/>
            <w:vAlign w:val="center"/>
            <w:hideMark/>
          </w:tcPr>
          <w:p w14:paraId="0D782AB7"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0,0</w:t>
            </w:r>
          </w:p>
        </w:tc>
      </w:tr>
      <w:tr w:rsidR="00DB4FA5" w:rsidRPr="00DB4FA5" w14:paraId="33B98B4F" w14:textId="77777777" w:rsidTr="00AE69D8">
        <w:trPr>
          <w:trHeight w:val="129"/>
          <w:jc w:val="center"/>
        </w:trPr>
        <w:tc>
          <w:tcPr>
            <w:tcW w:w="2268" w:type="dxa"/>
            <w:tcBorders>
              <w:top w:val="single" w:sz="4" w:space="0" w:color="auto"/>
              <w:left w:val="nil"/>
              <w:bottom w:val="single" w:sz="4" w:space="0" w:color="auto"/>
              <w:right w:val="nil"/>
            </w:tcBorders>
            <w:shd w:val="clear" w:color="auto" w:fill="auto"/>
            <w:vAlign w:val="center"/>
            <w:hideMark/>
          </w:tcPr>
          <w:p w14:paraId="10350919" w14:textId="77777777" w:rsidR="00DB4FA5" w:rsidRPr="00DB4FA5" w:rsidRDefault="00DB4FA5" w:rsidP="00DB4FA5">
            <w:pPr>
              <w:spacing w:after="0" w:line="240" w:lineRule="auto"/>
              <w:jc w:val="both"/>
              <w:rPr>
                <w:rFonts w:ascii="Arial Narrow" w:hAnsi="Arial Narrow"/>
                <w:b/>
                <w:bCs/>
                <w:color w:val="000000"/>
                <w:sz w:val="20"/>
                <w:szCs w:val="20"/>
                <w:lang w:val="en-US" w:eastAsia="en-US"/>
              </w:rPr>
            </w:pPr>
            <w:r w:rsidRPr="00DB4FA5">
              <w:rPr>
                <w:rFonts w:ascii="Arial Narrow" w:hAnsi="Arial Narrow"/>
                <w:b/>
                <w:bCs/>
                <w:color w:val="000000"/>
                <w:sz w:val="20"/>
                <w:szCs w:val="20"/>
                <w:lang w:eastAsia="en-US"/>
              </w:rPr>
              <w:t>Spolu</w:t>
            </w:r>
          </w:p>
        </w:tc>
        <w:tc>
          <w:tcPr>
            <w:tcW w:w="1134" w:type="dxa"/>
            <w:tcBorders>
              <w:top w:val="single" w:sz="4" w:space="0" w:color="auto"/>
              <w:left w:val="nil"/>
              <w:bottom w:val="single" w:sz="4" w:space="0" w:color="auto"/>
              <w:right w:val="nil"/>
            </w:tcBorders>
            <w:shd w:val="clear" w:color="auto" w:fill="auto"/>
            <w:vAlign w:val="center"/>
            <w:hideMark/>
          </w:tcPr>
          <w:p w14:paraId="5DAAC112" w14:textId="6A000507" w:rsidR="00DB4FA5" w:rsidRPr="00DB4FA5" w:rsidRDefault="00DB4FA5" w:rsidP="00DB4FA5">
            <w:pPr>
              <w:spacing w:after="0" w:line="240" w:lineRule="auto"/>
              <w:jc w:val="center"/>
              <w:rPr>
                <w:rFonts w:ascii="Arial Narrow" w:hAnsi="Arial Narrow"/>
                <w:b/>
                <w:bCs/>
                <w:color w:val="2C9ADC"/>
                <w:sz w:val="20"/>
                <w:szCs w:val="20"/>
                <w:lang w:val="en-US" w:eastAsia="en-US"/>
              </w:rPr>
            </w:pPr>
          </w:p>
        </w:tc>
        <w:tc>
          <w:tcPr>
            <w:tcW w:w="1843" w:type="dxa"/>
            <w:tcBorders>
              <w:top w:val="single" w:sz="4" w:space="0" w:color="auto"/>
              <w:left w:val="nil"/>
              <w:bottom w:val="single" w:sz="4" w:space="0" w:color="auto"/>
              <w:right w:val="nil"/>
            </w:tcBorders>
            <w:shd w:val="clear" w:color="auto" w:fill="auto"/>
            <w:vAlign w:val="center"/>
            <w:hideMark/>
          </w:tcPr>
          <w:p w14:paraId="7ABDCA32"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13 989</w:t>
            </w:r>
          </w:p>
        </w:tc>
        <w:tc>
          <w:tcPr>
            <w:tcW w:w="1701" w:type="dxa"/>
            <w:tcBorders>
              <w:top w:val="single" w:sz="4" w:space="0" w:color="auto"/>
              <w:left w:val="nil"/>
              <w:bottom w:val="single" w:sz="4" w:space="0" w:color="auto"/>
              <w:right w:val="nil"/>
            </w:tcBorders>
            <w:shd w:val="clear" w:color="auto" w:fill="auto"/>
            <w:vAlign w:val="center"/>
            <w:hideMark/>
          </w:tcPr>
          <w:p w14:paraId="5E02C744"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556,6</w:t>
            </w:r>
          </w:p>
        </w:tc>
        <w:tc>
          <w:tcPr>
            <w:tcW w:w="1737" w:type="dxa"/>
            <w:tcBorders>
              <w:top w:val="single" w:sz="4" w:space="0" w:color="auto"/>
              <w:left w:val="nil"/>
              <w:bottom w:val="single" w:sz="4" w:space="0" w:color="auto"/>
              <w:right w:val="nil"/>
            </w:tcBorders>
            <w:shd w:val="clear" w:color="auto" w:fill="auto"/>
            <w:vAlign w:val="center"/>
            <w:hideMark/>
          </w:tcPr>
          <w:p w14:paraId="2BA35325"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bCs/>
                <w:color w:val="000000"/>
                <w:sz w:val="20"/>
                <w:szCs w:val="20"/>
                <w:lang w:eastAsia="en-US"/>
              </w:rPr>
              <w:t>2561,7</w:t>
            </w:r>
          </w:p>
        </w:tc>
      </w:tr>
      <w:tr w:rsidR="00DB4FA5" w:rsidRPr="00DB4FA5" w14:paraId="7C467944" w14:textId="77777777" w:rsidTr="00AE69D8">
        <w:trPr>
          <w:trHeight w:val="330"/>
          <w:jc w:val="center"/>
        </w:trPr>
        <w:tc>
          <w:tcPr>
            <w:tcW w:w="2268" w:type="dxa"/>
            <w:tcBorders>
              <w:top w:val="nil"/>
              <w:left w:val="nil"/>
              <w:bottom w:val="nil"/>
              <w:right w:val="nil"/>
            </w:tcBorders>
            <w:shd w:val="clear" w:color="auto" w:fill="auto"/>
            <w:vAlign w:val="center"/>
            <w:hideMark/>
          </w:tcPr>
          <w:p w14:paraId="70221982" w14:textId="77777777" w:rsidR="00DB4FA5" w:rsidRPr="00DB4FA5" w:rsidRDefault="00DB4FA5" w:rsidP="00DB4FA5">
            <w:pPr>
              <w:spacing w:after="0" w:line="240" w:lineRule="auto"/>
              <w:jc w:val="both"/>
              <w:rPr>
                <w:rFonts w:ascii="Arial Narrow" w:hAnsi="Arial Narrow"/>
                <w:color w:val="000000"/>
                <w:sz w:val="20"/>
                <w:szCs w:val="20"/>
                <w:lang w:val="en-US" w:eastAsia="en-US"/>
              </w:rPr>
            </w:pPr>
            <w:r w:rsidRPr="00DB4FA5">
              <w:rPr>
                <w:rFonts w:ascii="Arial Narrow" w:hAnsi="Arial Narrow"/>
                <w:color w:val="000000"/>
                <w:sz w:val="20"/>
                <w:szCs w:val="20"/>
                <w:lang w:eastAsia="en-US"/>
              </w:rPr>
              <w:t>Program rozvoja vidieka</w:t>
            </w:r>
          </w:p>
        </w:tc>
        <w:tc>
          <w:tcPr>
            <w:tcW w:w="1134" w:type="dxa"/>
            <w:tcBorders>
              <w:top w:val="nil"/>
              <w:left w:val="nil"/>
              <w:bottom w:val="nil"/>
              <w:right w:val="nil"/>
            </w:tcBorders>
            <w:shd w:val="clear" w:color="auto" w:fill="auto"/>
            <w:vAlign w:val="center"/>
            <w:hideMark/>
          </w:tcPr>
          <w:p w14:paraId="673978D3"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MPRV SR</w:t>
            </w:r>
          </w:p>
        </w:tc>
        <w:tc>
          <w:tcPr>
            <w:tcW w:w="1843" w:type="dxa"/>
            <w:tcBorders>
              <w:top w:val="nil"/>
              <w:left w:val="nil"/>
              <w:bottom w:val="nil"/>
              <w:right w:val="nil"/>
            </w:tcBorders>
            <w:shd w:val="clear" w:color="auto" w:fill="auto"/>
            <w:vAlign w:val="center"/>
            <w:hideMark/>
          </w:tcPr>
          <w:p w14:paraId="22DD265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1 560</w:t>
            </w:r>
          </w:p>
        </w:tc>
        <w:tc>
          <w:tcPr>
            <w:tcW w:w="1701" w:type="dxa"/>
            <w:tcBorders>
              <w:top w:val="nil"/>
              <w:left w:val="nil"/>
              <w:bottom w:val="nil"/>
              <w:right w:val="nil"/>
            </w:tcBorders>
            <w:shd w:val="clear" w:color="auto" w:fill="auto"/>
            <w:vAlign w:val="center"/>
            <w:hideMark/>
          </w:tcPr>
          <w:p w14:paraId="1915DDAF"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218,5</w:t>
            </w:r>
          </w:p>
        </w:tc>
        <w:tc>
          <w:tcPr>
            <w:tcW w:w="1737" w:type="dxa"/>
            <w:tcBorders>
              <w:top w:val="nil"/>
              <w:left w:val="nil"/>
              <w:bottom w:val="nil"/>
              <w:right w:val="nil"/>
            </w:tcBorders>
            <w:shd w:val="clear" w:color="auto" w:fill="auto"/>
            <w:vAlign w:val="center"/>
            <w:hideMark/>
          </w:tcPr>
          <w:p w14:paraId="76E64DE0" w14:textId="77777777" w:rsidR="00DB4FA5" w:rsidRPr="00DB4FA5" w:rsidRDefault="00DB4FA5" w:rsidP="00DB4FA5">
            <w:pPr>
              <w:spacing w:after="0" w:line="240" w:lineRule="auto"/>
              <w:jc w:val="center"/>
              <w:rPr>
                <w:rFonts w:ascii="Arial Narrow" w:hAnsi="Arial Narrow"/>
                <w:color w:val="000000"/>
                <w:sz w:val="20"/>
                <w:szCs w:val="20"/>
                <w:lang w:val="en-US" w:eastAsia="en-US"/>
              </w:rPr>
            </w:pPr>
            <w:r w:rsidRPr="00DB4FA5">
              <w:rPr>
                <w:rFonts w:ascii="Arial Narrow" w:hAnsi="Arial Narrow"/>
                <w:color w:val="000000"/>
                <w:sz w:val="20"/>
                <w:szCs w:val="20"/>
                <w:lang w:eastAsia="en-US"/>
              </w:rPr>
              <w:t>590,7</w:t>
            </w:r>
          </w:p>
        </w:tc>
      </w:tr>
      <w:tr w:rsidR="00DB4FA5" w:rsidRPr="00DB4FA5" w14:paraId="051A4464" w14:textId="77777777" w:rsidTr="00AE69D8">
        <w:trPr>
          <w:trHeight w:val="70"/>
          <w:jc w:val="center"/>
        </w:trPr>
        <w:tc>
          <w:tcPr>
            <w:tcW w:w="2268" w:type="dxa"/>
            <w:tcBorders>
              <w:top w:val="single" w:sz="4" w:space="0" w:color="auto"/>
              <w:left w:val="nil"/>
              <w:bottom w:val="single" w:sz="4" w:space="0" w:color="auto"/>
              <w:right w:val="nil"/>
            </w:tcBorders>
            <w:shd w:val="clear" w:color="auto" w:fill="auto"/>
            <w:vAlign w:val="center"/>
            <w:hideMark/>
          </w:tcPr>
          <w:p w14:paraId="36A71F50" w14:textId="77777777" w:rsidR="00DB4FA5" w:rsidRPr="00DB4FA5" w:rsidRDefault="00DB4FA5" w:rsidP="00DB4FA5">
            <w:pPr>
              <w:spacing w:after="0" w:line="240" w:lineRule="auto"/>
              <w:jc w:val="both"/>
              <w:rPr>
                <w:rFonts w:ascii="Arial Narrow" w:hAnsi="Arial Narrow"/>
                <w:b/>
                <w:bCs/>
                <w:color w:val="000000"/>
                <w:sz w:val="20"/>
                <w:szCs w:val="20"/>
                <w:lang w:val="en-US" w:eastAsia="en-US"/>
              </w:rPr>
            </w:pPr>
            <w:r w:rsidRPr="00DB4FA5">
              <w:rPr>
                <w:rFonts w:ascii="Arial Narrow" w:hAnsi="Arial Narrow"/>
                <w:b/>
                <w:bCs/>
                <w:color w:val="000000"/>
                <w:sz w:val="20"/>
                <w:szCs w:val="20"/>
                <w:lang w:eastAsia="en-US"/>
              </w:rPr>
              <w:t>Spolu</w:t>
            </w:r>
          </w:p>
        </w:tc>
        <w:tc>
          <w:tcPr>
            <w:tcW w:w="1134" w:type="dxa"/>
            <w:tcBorders>
              <w:top w:val="single" w:sz="4" w:space="0" w:color="auto"/>
              <w:left w:val="nil"/>
              <w:bottom w:val="single" w:sz="4" w:space="0" w:color="auto"/>
              <w:right w:val="nil"/>
            </w:tcBorders>
            <w:shd w:val="clear" w:color="auto" w:fill="auto"/>
            <w:vAlign w:val="center"/>
            <w:hideMark/>
          </w:tcPr>
          <w:p w14:paraId="44691269" w14:textId="1DCDBD74" w:rsidR="00DB4FA5" w:rsidRPr="00DB4FA5" w:rsidRDefault="00DB4FA5" w:rsidP="00DB4FA5">
            <w:pPr>
              <w:spacing w:after="0" w:line="240" w:lineRule="auto"/>
              <w:jc w:val="center"/>
              <w:rPr>
                <w:rFonts w:ascii="Arial Narrow" w:hAnsi="Arial Narrow"/>
                <w:color w:val="000000"/>
                <w:sz w:val="20"/>
                <w:szCs w:val="20"/>
                <w:lang w:val="en-US" w:eastAsia="en-US"/>
              </w:rPr>
            </w:pPr>
          </w:p>
        </w:tc>
        <w:tc>
          <w:tcPr>
            <w:tcW w:w="1843" w:type="dxa"/>
            <w:tcBorders>
              <w:top w:val="single" w:sz="4" w:space="0" w:color="auto"/>
              <w:left w:val="nil"/>
              <w:bottom w:val="single" w:sz="4" w:space="0" w:color="auto"/>
              <w:right w:val="nil"/>
            </w:tcBorders>
            <w:shd w:val="clear" w:color="auto" w:fill="auto"/>
            <w:vAlign w:val="center"/>
            <w:hideMark/>
          </w:tcPr>
          <w:p w14:paraId="0DF41187" w14:textId="77777777" w:rsidR="00DB4FA5" w:rsidRPr="00DB4FA5" w:rsidRDefault="00DB4FA5" w:rsidP="00DB4FA5">
            <w:pPr>
              <w:spacing w:after="0" w:line="240" w:lineRule="auto"/>
              <w:jc w:val="center"/>
              <w:rPr>
                <w:rFonts w:ascii="Arial Narrow" w:hAnsi="Arial Narrow"/>
                <w:b/>
                <w:bCs/>
                <w:color w:val="000000"/>
                <w:sz w:val="20"/>
                <w:szCs w:val="20"/>
                <w:lang w:val="en-US" w:eastAsia="en-US"/>
              </w:rPr>
            </w:pPr>
            <w:r w:rsidRPr="00DB4FA5">
              <w:rPr>
                <w:rFonts w:ascii="Arial Narrow" w:hAnsi="Arial Narrow"/>
                <w:b/>
                <w:bCs/>
                <w:color w:val="000000"/>
                <w:sz w:val="20"/>
                <w:szCs w:val="20"/>
                <w:lang w:eastAsia="en-US"/>
              </w:rPr>
              <w:t>15 549</w:t>
            </w:r>
          </w:p>
        </w:tc>
        <w:tc>
          <w:tcPr>
            <w:tcW w:w="1701" w:type="dxa"/>
            <w:tcBorders>
              <w:top w:val="single" w:sz="4" w:space="0" w:color="auto"/>
              <w:left w:val="nil"/>
              <w:bottom w:val="single" w:sz="4" w:space="0" w:color="auto"/>
              <w:right w:val="nil"/>
            </w:tcBorders>
            <w:shd w:val="clear" w:color="auto" w:fill="auto"/>
            <w:vAlign w:val="center"/>
            <w:hideMark/>
          </w:tcPr>
          <w:p w14:paraId="6751112D" w14:textId="77777777" w:rsidR="00DB4FA5" w:rsidRPr="00DB4FA5" w:rsidRDefault="00DB4FA5" w:rsidP="00DB4FA5">
            <w:pPr>
              <w:spacing w:after="0" w:line="240" w:lineRule="auto"/>
              <w:jc w:val="center"/>
              <w:rPr>
                <w:rFonts w:ascii="Arial Narrow" w:hAnsi="Arial Narrow"/>
                <w:b/>
                <w:bCs/>
                <w:color w:val="000000"/>
                <w:sz w:val="20"/>
                <w:szCs w:val="20"/>
                <w:lang w:val="en-US" w:eastAsia="en-US"/>
              </w:rPr>
            </w:pPr>
            <w:r w:rsidRPr="00DB4FA5">
              <w:rPr>
                <w:rFonts w:ascii="Arial Narrow" w:hAnsi="Arial Narrow"/>
                <w:b/>
                <w:bCs/>
                <w:color w:val="000000"/>
                <w:sz w:val="20"/>
                <w:szCs w:val="20"/>
                <w:lang w:eastAsia="en-US"/>
              </w:rPr>
              <w:t>775,1</w:t>
            </w:r>
          </w:p>
        </w:tc>
        <w:tc>
          <w:tcPr>
            <w:tcW w:w="1737" w:type="dxa"/>
            <w:tcBorders>
              <w:top w:val="single" w:sz="4" w:space="0" w:color="auto"/>
              <w:left w:val="nil"/>
              <w:bottom w:val="single" w:sz="4" w:space="0" w:color="auto"/>
              <w:right w:val="nil"/>
            </w:tcBorders>
            <w:shd w:val="clear" w:color="auto" w:fill="auto"/>
            <w:vAlign w:val="center"/>
            <w:hideMark/>
          </w:tcPr>
          <w:p w14:paraId="2C0CE0D6" w14:textId="1D5CA866" w:rsidR="00DB4FA5" w:rsidRPr="00DB4FA5" w:rsidRDefault="00AE69D8" w:rsidP="00DB4FA5">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eastAsia="en-US"/>
              </w:rPr>
              <w:t>3 152,4</w:t>
            </w:r>
          </w:p>
        </w:tc>
      </w:tr>
    </w:tbl>
    <w:p w14:paraId="48C8032A" w14:textId="77777777" w:rsidR="00DB4FA5" w:rsidRPr="000D43EF" w:rsidRDefault="00DB4FA5" w:rsidP="00DB4FA5">
      <w:pPr>
        <w:spacing w:after="0" w:line="240" w:lineRule="auto"/>
        <w:ind w:left="7212"/>
        <w:jc w:val="right"/>
        <w:rPr>
          <w:rFonts w:ascii="Arial Narrow" w:hAnsi="Arial Narrow"/>
          <w:bCs/>
          <w:i/>
          <w:color w:val="000000"/>
          <w:sz w:val="16"/>
          <w:szCs w:val="20"/>
        </w:rPr>
      </w:pPr>
      <w:r w:rsidRPr="000D43EF">
        <w:rPr>
          <w:rFonts w:ascii="Arial Narrow" w:hAnsi="Arial Narrow"/>
          <w:bCs/>
          <w:i/>
          <w:color w:val="000000"/>
          <w:sz w:val="16"/>
          <w:szCs w:val="20"/>
        </w:rPr>
        <w:t>Zdroj: MF SR, ITMS</w:t>
      </w:r>
    </w:p>
    <w:p w14:paraId="64B723C5" w14:textId="77777777" w:rsidR="00DB4FA5" w:rsidRDefault="00DB4FA5" w:rsidP="004C2758">
      <w:pPr>
        <w:spacing w:after="0" w:line="240" w:lineRule="auto"/>
      </w:pPr>
    </w:p>
    <w:p w14:paraId="1850A7D1" w14:textId="77777777" w:rsidR="004C2758" w:rsidRDefault="004C2758" w:rsidP="004C2758">
      <w:pPr>
        <w:spacing w:after="0" w:line="240" w:lineRule="auto"/>
        <w:jc w:val="both"/>
        <w:rPr>
          <w:rFonts w:ascii="Arial Narrow" w:hAnsi="Arial Narrow" w:cs="Arial"/>
        </w:rPr>
      </w:pPr>
      <w:r w:rsidRPr="0073268D">
        <w:rPr>
          <w:rFonts w:ascii="Arial Narrow" w:hAnsi="Arial Narrow" w:cs="Arial"/>
        </w:rPr>
        <w:t>ŠF a KF / EŠIF na Slovensku do veľkej miery prispievajú aj k plneniu špecifických odporúčaní Rady pre Slovensko. Za účelom hlbšieho vyhodnocovania a nastavenia metodiky hodnotenia príspevku EÚ fondov k</w:t>
      </w:r>
      <w:r>
        <w:rPr>
          <w:rFonts w:ascii="Arial Narrow" w:hAnsi="Arial Narrow" w:cs="Arial"/>
        </w:rPr>
        <w:t> </w:t>
      </w:r>
      <w:r w:rsidRPr="0073268D">
        <w:rPr>
          <w:rFonts w:ascii="Arial Narrow" w:hAnsi="Arial Narrow" w:cs="Arial"/>
        </w:rPr>
        <w:t xml:space="preserve">stratégii bola v roku 2016 sfinalizovaná </w:t>
      </w:r>
      <w:r w:rsidRPr="0073268D">
        <w:rPr>
          <w:rFonts w:ascii="Arial Narrow" w:hAnsi="Arial Narrow" w:cs="Arial"/>
          <w:i/>
          <w:iCs/>
        </w:rPr>
        <w:t>Metodológia hodnotenia synergických efektov EŠIF v kontexte stratégie Európa 2020</w:t>
      </w:r>
      <w:r w:rsidRPr="0073268D">
        <w:rPr>
          <w:rFonts w:ascii="Arial Narrow" w:hAnsi="Arial Narrow" w:cs="Arial"/>
        </w:rPr>
        <w:t>.</w:t>
      </w:r>
      <w:r w:rsidRPr="0073268D">
        <w:rPr>
          <w:rStyle w:val="Odkaznapoznmkupodiarou"/>
          <w:rFonts w:ascii="Arial Narrow" w:hAnsi="Arial Narrow" w:cs="Arial"/>
        </w:rPr>
        <w:footnoteReference w:id="56"/>
      </w:r>
      <w:r w:rsidRPr="0073268D">
        <w:rPr>
          <w:rFonts w:ascii="Arial Narrow" w:hAnsi="Arial Narrow" w:cs="Arial"/>
        </w:rPr>
        <w:t xml:space="preserve"> </w:t>
      </w:r>
    </w:p>
    <w:p w14:paraId="161676F6" w14:textId="77777777" w:rsidR="004C2758" w:rsidRPr="0073268D" w:rsidRDefault="004C2758" w:rsidP="004C2758">
      <w:pPr>
        <w:spacing w:after="0" w:line="240" w:lineRule="auto"/>
        <w:jc w:val="both"/>
        <w:rPr>
          <w:rFonts w:ascii="Arial Narrow" w:hAnsi="Arial Narrow" w:cs="Arial"/>
        </w:rPr>
      </w:pPr>
    </w:p>
    <w:p w14:paraId="1F1589B5" w14:textId="6EA60A67" w:rsidR="004C2758" w:rsidRPr="000D43EF" w:rsidRDefault="00CD5A7F" w:rsidP="004C2758">
      <w:pPr>
        <w:spacing w:after="0" w:line="240" w:lineRule="auto"/>
        <w:jc w:val="both"/>
      </w:pPr>
      <w:r>
        <w:rPr>
          <w:rFonts w:ascii="Arial Narrow" w:hAnsi="Arial Narrow" w:cs="Arial"/>
        </w:rPr>
        <w:t xml:space="preserve">V júni 2016 vznikol </w:t>
      </w:r>
      <w:r w:rsidR="004C2758" w:rsidRPr="0073268D">
        <w:rPr>
          <w:rFonts w:ascii="Arial Narrow" w:hAnsi="Arial Narrow" w:cs="Arial"/>
        </w:rPr>
        <w:t>Úrad podpredsedu vlády SR pre investície a informatizáciu ako nový ústredný orgán štátnej správy pre riadenie, koordináciu a dohľad nad využívaním finančných prostriedkov z fondov EÚ, pre oblasť informatizácie spoločnosti a pre oblasť investícií. Pribudli kompetencie v oblasti riadenia fondov</w:t>
      </w:r>
      <w:r w:rsidR="004C2758" w:rsidRPr="006156F2">
        <w:rPr>
          <w:rFonts w:ascii="Arial Narrow" w:hAnsi="Arial Narrow" w:cs="Arial"/>
        </w:rPr>
        <w:t xml:space="preserve"> </w:t>
      </w:r>
      <w:r w:rsidR="004C2758" w:rsidRPr="0073268D">
        <w:rPr>
          <w:rFonts w:ascii="Arial Narrow" w:hAnsi="Arial Narrow" w:cs="Arial"/>
        </w:rPr>
        <w:t>EÚ, najmä právomoc posudzovať návrhy výziev a písomných vyzvaní ešte pred ich vyhlásením a právomoc v prípade neplnenia záväzných plánov OP zaviesť krízové riadenie príslušných riadiacich orgánov. Zámerom úradu v oblasti EÚ fondov je tiež plynulé prehlbovanie spolupráce: na národnej úrovni najmä vo vzťahu k žiadateľom, v rámci čoho boli zriadené nové informačné a poradenské centrá vo všetkých krajoch</w:t>
      </w:r>
      <w:r w:rsidR="004C2758">
        <w:rPr>
          <w:rFonts w:ascii="Arial Narrow" w:hAnsi="Arial Narrow" w:cs="Arial"/>
        </w:rPr>
        <w:t xml:space="preserve"> Slovenska, ako aj vo vzťahu k </w:t>
      </w:r>
      <w:r w:rsidR="004C2758" w:rsidRPr="0073268D">
        <w:rPr>
          <w:rFonts w:ascii="Arial Narrow" w:hAnsi="Arial Narrow" w:cs="Arial"/>
        </w:rPr>
        <w:t>partnerom. V medzinárodnom meradle je prioritné prehlbovanie spolupráce v rámci krajín V4, ale aj v kontexte celej EÚ, s primárnym cieľom konsolidovať pozíciu prijímateľských krajín.</w:t>
      </w:r>
    </w:p>
    <w:p w14:paraId="29D32B12" w14:textId="350E7A78" w:rsidR="00600EFE" w:rsidRDefault="00600EFE" w:rsidP="004C2758">
      <w:pPr>
        <w:spacing w:after="0" w:line="240" w:lineRule="auto"/>
        <w:jc w:val="both"/>
        <w:rPr>
          <w:rFonts w:ascii="Arial Narrow" w:hAnsi="Arial Narrow" w:cs="Arial Narrow"/>
        </w:rPr>
      </w:pPr>
      <w:r>
        <w:rPr>
          <w:rFonts w:ascii="Arial Narrow" w:hAnsi="Arial Narrow" w:cs="Arial Narrow"/>
        </w:rPr>
        <w:br w:type="page"/>
      </w:r>
    </w:p>
    <w:p w14:paraId="7312E0C4" w14:textId="1FEAC16E" w:rsidR="001A1687" w:rsidRPr="00256D89" w:rsidRDefault="001A1687" w:rsidP="00FB625E">
      <w:pPr>
        <w:pStyle w:val="Nadpis1"/>
        <w:numPr>
          <w:ilvl w:val="0"/>
          <w:numId w:val="1"/>
        </w:numPr>
        <w:spacing w:line="240" w:lineRule="auto"/>
        <w:ind w:left="851" w:hanging="709"/>
        <w:rPr>
          <w:rFonts w:ascii="Arial Narrow" w:hAnsi="Arial Narrow" w:cs="Arial Narrow"/>
          <w:bCs w:val="0"/>
        </w:rPr>
      </w:pPr>
      <w:bookmarkStart w:id="86" w:name="_Toc477259961"/>
      <w:r w:rsidRPr="00256D89">
        <w:rPr>
          <w:rFonts w:ascii="Arial Narrow" w:hAnsi="Arial Narrow"/>
          <w:color w:val="auto"/>
          <w:sz w:val="32"/>
          <w:szCs w:val="32"/>
        </w:rPr>
        <w:lastRenderedPageBreak/>
        <w:t>Inštitucionálny rámec stratégie Európa 2020 a NPR</w:t>
      </w:r>
      <w:bookmarkEnd w:id="86"/>
    </w:p>
    <w:p w14:paraId="2E46574A" w14:textId="77777777" w:rsidR="000E40D0" w:rsidRDefault="000E40D0" w:rsidP="00FB625E">
      <w:pPr>
        <w:spacing w:after="0" w:line="240" w:lineRule="auto"/>
        <w:rPr>
          <w:rFonts w:ascii="Arial Narrow" w:hAnsi="Arial Narrow" w:cs="Arial Narrow"/>
          <w:bCs/>
        </w:rPr>
      </w:pPr>
    </w:p>
    <w:p w14:paraId="243EFDB6" w14:textId="7DED4360" w:rsidR="001156B4" w:rsidRPr="00256D89" w:rsidRDefault="001156B4" w:rsidP="001C3360">
      <w:pPr>
        <w:spacing w:after="0" w:line="240" w:lineRule="auto"/>
        <w:jc w:val="both"/>
        <w:rPr>
          <w:rFonts w:ascii="Arial Narrow" w:hAnsi="Arial Narrow"/>
        </w:rPr>
      </w:pPr>
      <w:r w:rsidRPr="00256D89">
        <w:rPr>
          <w:rFonts w:ascii="Arial Narrow" w:hAnsi="Arial Narrow"/>
        </w:rPr>
        <w:t>NPR vychádza z</w:t>
      </w:r>
      <w:r>
        <w:rPr>
          <w:rFonts w:ascii="Arial Narrow" w:hAnsi="Arial Narrow"/>
        </w:rPr>
        <w:t xml:space="preserve"> nového</w:t>
      </w:r>
      <w:r w:rsidRPr="00256D89">
        <w:rPr>
          <w:rFonts w:ascii="Arial Narrow" w:hAnsi="Arial Narrow"/>
        </w:rPr>
        <w:t xml:space="preserve"> Programového vyhlásenia vlády SR</w:t>
      </w:r>
      <w:r>
        <w:rPr>
          <w:rFonts w:ascii="Arial Narrow" w:hAnsi="Arial Narrow"/>
        </w:rPr>
        <w:t xml:space="preserve">, ktoré si stanovilo za priority posilniť spoločenskú a politickú stabilitu, pružne reagovať na príležitosti a negatíva vonkajšieho prostredia, plynule pokračovať v podpore hospodárskeho, sociálneho a environmentálneho rozvoja, prehĺbiť hospodársku, sociálnu a územnú súdržnosť Slovenska, posilniť úlohu štátu a ochranu verejného záujmu. </w:t>
      </w:r>
      <w:r w:rsidRPr="00256D89">
        <w:rPr>
          <w:rFonts w:ascii="Arial Narrow" w:hAnsi="Arial Narrow"/>
        </w:rPr>
        <w:t>Základné smerovanie opatrení zahrnutých v NPR tiež určujú sektorové stratégie.</w:t>
      </w:r>
      <w:r>
        <w:rPr>
          <w:rFonts w:ascii="Arial Narrow" w:hAnsi="Arial Narrow"/>
        </w:rPr>
        <w:t xml:space="preserve"> </w:t>
      </w:r>
      <w:r w:rsidRPr="008C2D75">
        <w:rPr>
          <w:rFonts w:ascii="Arial Narrow" w:hAnsi="Arial Narrow"/>
        </w:rPr>
        <w:t>Koordinátorom NPR je minister financi</w:t>
      </w:r>
      <w:r>
        <w:rPr>
          <w:rFonts w:ascii="Arial Narrow" w:hAnsi="Arial Narrow"/>
        </w:rPr>
        <w:t>í SR</w:t>
      </w:r>
      <w:r w:rsidRPr="008C2D75">
        <w:rPr>
          <w:rFonts w:ascii="Arial Narrow" w:hAnsi="Arial Narrow"/>
        </w:rPr>
        <w:t xml:space="preserve">. </w:t>
      </w:r>
      <w:r w:rsidRPr="00E24676">
        <w:rPr>
          <w:rFonts w:ascii="Arial Narrow" w:hAnsi="Arial Narrow"/>
        </w:rPr>
        <w:t>Spolupracuje tiež s</w:t>
      </w:r>
      <w:r w:rsidR="00E76F3D" w:rsidRPr="00E24676">
        <w:rPr>
          <w:rFonts w:ascii="Arial Narrow" w:hAnsi="Arial Narrow"/>
        </w:rPr>
        <w:t xml:space="preserve"> Úradom predsedu vlády </w:t>
      </w:r>
      <w:r w:rsidRPr="00E24676">
        <w:rPr>
          <w:rFonts w:ascii="Arial Narrow" w:hAnsi="Arial Narrow"/>
        </w:rPr>
        <w:t>SR</w:t>
      </w:r>
      <w:r w:rsidR="00B44291" w:rsidRPr="00E24676">
        <w:rPr>
          <w:rFonts w:ascii="Arial Narrow" w:hAnsi="Arial Narrow"/>
        </w:rPr>
        <w:t>.</w:t>
      </w:r>
      <w:r w:rsidR="00B44291" w:rsidRPr="00B12A26">
        <w:rPr>
          <w:rFonts w:ascii="Arial Narrow" w:hAnsi="Arial Narrow"/>
        </w:rPr>
        <w:t xml:space="preserve"> </w:t>
      </w:r>
      <w:r w:rsidR="001C3360" w:rsidRPr="00B12A26">
        <w:rPr>
          <w:rFonts w:ascii="Arial Narrow" w:hAnsi="Arial Narrow"/>
        </w:rPr>
        <w:t>Ú</w:t>
      </w:r>
      <w:r w:rsidR="001C3360">
        <w:rPr>
          <w:rFonts w:ascii="Arial Narrow" w:hAnsi="Arial Narrow"/>
        </w:rPr>
        <w:t xml:space="preserve">rad podpredsedu vlády </w:t>
      </w:r>
      <w:r w:rsidR="00B44291">
        <w:rPr>
          <w:rFonts w:ascii="Arial Narrow" w:hAnsi="Arial Narrow"/>
        </w:rPr>
        <w:t xml:space="preserve">SR </w:t>
      </w:r>
      <w:r w:rsidR="001C3360">
        <w:rPr>
          <w:rFonts w:ascii="Arial Narrow" w:hAnsi="Arial Narrow"/>
        </w:rPr>
        <w:t xml:space="preserve">pre investície a informatizáciu </w:t>
      </w:r>
      <w:r w:rsidRPr="008C2D75">
        <w:rPr>
          <w:rFonts w:ascii="Arial Narrow" w:hAnsi="Arial Narrow"/>
        </w:rPr>
        <w:t>priebežne dohliada na prem</w:t>
      </w:r>
      <w:r w:rsidR="0006233E">
        <w:rPr>
          <w:rFonts w:ascii="Arial Narrow" w:hAnsi="Arial Narrow"/>
        </w:rPr>
        <w:t>i</w:t>
      </w:r>
      <w:r w:rsidRPr="008C2D75">
        <w:rPr>
          <w:rFonts w:ascii="Arial Narrow" w:hAnsi="Arial Narrow"/>
        </w:rPr>
        <w:t>et</w:t>
      </w:r>
      <w:r w:rsidR="0006233E">
        <w:rPr>
          <w:rFonts w:ascii="Arial Narrow" w:hAnsi="Arial Narrow"/>
        </w:rPr>
        <w:t>nutie</w:t>
      </w:r>
      <w:r w:rsidRPr="008C2D75">
        <w:rPr>
          <w:rFonts w:ascii="Arial Narrow" w:hAnsi="Arial Narrow"/>
        </w:rPr>
        <w:t xml:space="preserve"> stratégie do ŠF</w:t>
      </w:r>
      <w:r>
        <w:rPr>
          <w:rFonts w:ascii="Arial Narrow" w:hAnsi="Arial Narrow"/>
        </w:rPr>
        <w:t>,</w:t>
      </w:r>
      <w:r w:rsidRPr="008C2D75">
        <w:rPr>
          <w:rFonts w:ascii="Arial Narrow" w:hAnsi="Arial Narrow"/>
        </w:rPr>
        <w:t xml:space="preserve"> KF </w:t>
      </w:r>
      <w:r>
        <w:rPr>
          <w:rFonts w:ascii="Arial Narrow" w:hAnsi="Arial Narrow"/>
        </w:rPr>
        <w:t>a</w:t>
      </w:r>
      <w:r w:rsidRPr="008C2D75">
        <w:rPr>
          <w:rFonts w:ascii="Arial Narrow" w:hAnsi="Arial Narrow"/>
        </w:rPr>
        <w:t xml:space="preserve"> EŠIF.</w:t>
      </w:r>
    </w:p>
    <w:p w14:paraId="1F97F0AF" w14:textId="77777777" w:rsidR="001156B4" w:rsidRPr="00256D89" w:rsidRDefault="001156B4" w:rsidP="001156B4">
      <w:pPr>
        <w:spacing w:after="0" w:line="240" w:lineRule="auto"/>
        <w:jc w:val="both"/>
        <w:rPr>
          <w:rFonts w:ascii="Arial Narrow" w:hAnsi="Arial Narrow"/>
        </w:rPr>
      </w:pPr>
    </w:p>
    <w:p w14:paraId="22F91A94" w14:textId="77777777" w:rsidR="001156B4" w:rsidRPr="00256D89" w:rsidRDefault="001156B4" w:rsidP="001156B4">
      <w:pPr>
        <w:spacing w:after="0" w:line="240" w:lineRule="auto"/>
        <w:jc w:val="both"/>
        <w:rPr>
          <w:rFonts w:ascii="Arial Narrow" w:hAnsi="Arial Narrow"/>
        </w:rPr>
      </w:pPr>
      <w:r w:rsidRPr="00256D89">
        <w:rPr>
          <w:rFonts w:ascii="Arial Narrow" w:hAnsi="Arial Narrow"/>
        </w:rPr>
        <w:t>Do prípravy a realizácie NPR sú primárne zapojení ministri zodpovední za ekonomickú a sociálnu agendu</w:t>
      </w:r>
      <w:r>
        <w:rPr>
          <w:rFonts w:ascii="Arial Narrow" w:hAnsi="Arial Narrow"/>
        </w:rPr>
        <w:t>.</w:t>
      </w:r>
      <w:r w:rsidRPr="00256D89">
        <w:rPr>
          <w:rFonts w:ascii="Arial Narrow" w:hAnsi="Arial Narrow"/>
        </w:rPr>
        <w:t xml:space="preserve"> Ostatní ministri, splnomocnenci vlády a zástupcovia ostatných orgánov štátnej správy sa podieľajú na plnení stratégie v rámci spolupráce vo vybraných oblastiach. Konzultácie s partnermi, vrátane tretieho sektora, prebiehajú priebežne počas roka. Počas prípravy NPR prebehl</w:t>
      </w:r>
      <w:r>
        <w:rPr>
          <w:rFonts w:ascii="Arial Narrow" w:hAnsi="Arial Narrow"/>
        </w:rPr>
        <w:t>o</w:t>
      </w:r>
      <w:r w:rsidRPr="00256D89">
        <w:rPr>
          <w:rFonts w:ascii="Arial Narrow" w:hAnsi="Arial Narrow"/>
        </w:rPr>
        <w:t xml:space="preserve"> stretnuti</w:t>
      </w:r>
      <w:r>
        <w:rPr>
          <w:rFonts w:ascii="Arial Narrow" w:hAnsi="Arial Narrow"/>
        </w:rPr>
        <w:t>e</w:t>
      </w:r>
      <w:r w:rsidRPr="00256D89">
        <w:rPr>
          <w:rFonts w:ascii="Arial Narrow" w:hAnsi="Arial Narrow"/>
        </w:rPr>
        <w:t xml:space="preserve"> štátnych tajomníkov všetkých zapojených rezortov.</w:t>
      </w:r>
      <w:r>
        <w:rPr>
          <w:rFonts w:ascii="Arial Narrow" w:hAnsi="Arial Narrow"/>
        </w:rPr>
        <w:t xml:space="preserve"> </w:t>
      </w:r>
      <w:r w:rsidRPr="00471BD5">
        <w:rPr>
          <w:rFonts w:ascii="Arial Narrow" w:hAnsi="Arial Narrow"/>
        </w:rPr>
        <w:t>Financovanie opatrení NPR bude zabezpečené v rámci stanovených limitov výdavkov</w:t>
      </w:r>
      <w:r>
        <w:rPr>
          <w:rFonts w:ascii="Arial Narrow" w:hAnsi="Arial Narrow"/>
        </w:rPr>
        <w:t xml:space="preserve"> a počtu zamestnancov kapitol štátneho rozpočtu.</w:t>
      </w:r>
    </w:p>
    <w:p w14:paraId="497D71A9" w14:textId="77777777" w:rsidR="001156B4" w:rsidRPr="00256D89" w:rsidRDefault="001156B4" w:rsidP="001156B4">
      <w:pPr>
        <w:spacing w:after="0" w:line="240" w:lineRule="auto"/>
        <w:jc w:val="both"/>
        <w:rPr>
          <w:rFonts w:ascii="Arial Narrow" w:hAnsi="Arial Narrow"/>
        </w:rPr>
      </w:pPr>
    </w:p>
    <w:p w14:paraId="6C7E4EB0" w14:textId="67958A9B" w:rsidR="001156B4" w:rsidRPr="00BB5ACE" w:rsidRDefault="001156B4" w:rsidP="001156B4">
      <w:pPr>
        <w:spacing w:after="0" w:line="240" w:lineRule="auto"/>
        <w:jc w:val="both"/>
        <w:rPr>
          <w:rFonts w:ascii="Arial Narrow" w:hAnsi="Arial Narrow"/>
        </w:rPr>
      </w:pPr>
      <w:r w:rsidRPr="00256D89">
        <w:rPr>
          <w:rFonts w:ascii="Arial Narrow" w:hAnsi="Arial Narrow"/>
        </w:rPr>
        <w:t xml:space="preserve">Na medzinárodnej úrovni predstavuje </w:t>
      </w:r>
      <w:r w:rsidRPr="00BB5ACE">
        <w:rPr>
          <w:rFonts w:ascii="Arial Narrow" w:hAnsi="Arial Narrow"/>
        </w:rPr>
        <w:t xml:space="preserve">tento materiál opatrenia na naplnenie cieľov obsiahnutých v stratégii Európa 2020 definovaných v Ročnom prieskume rastu </w:t>
      </w:r>
      <w:r w:rsidR="00BD08EB" w:rsidRPr="00BB5ACE">
        <w:rPr>
          <w:rFonts w:ascii="Arial Narrow" w:hAnsi="Arial Narrow"/>
        </w:rPr>
        <w:t>2017</w:t>
      </w:r>
      <w:r w:rsidRPr="00BB5ACE">
        <w:rPr>
          <w:rFonts w:ascii="Arial Narrow" w:hAnsi="Arial Narrow"/>
        </w:rPr>
        <w:t xml:space="preserve"> a Integrovaných usmerneniach pre stratégiu Európa 2020, ako aj na splnenie špecifických odporúčaní Rady pre SR. NPR tiež reaguje na hodnotenie plnenia špecifických odporúčaní z roku 201</w:t>
      </w:r>
      <w:r w:rsidR="001C3360">
        <w:rPr>
          <w:rFonts w:ascii="Arial Narrow" w:hAnsi="Arial Narrow"/>
        </w:rPr>
        <w:t>7</w:t>
      </w:r>
      <w:r w:rsidRPr="00BB5ACE">
        <w:rPr>
          <w:rFonts w:ascii="Arial Narrow" w:hAnsi="Arial Narrow"/>
        </w:rPr>
        <w:t xml:space="preserve"> Európskou komisiou zverejnené v februári 201</w:t>
      </w:r>
      <w:r w:rsidR="00BD08EB" w:rsidRPr="00BB5ACE">
        <w:rPr>
          <w:rFonts w:ascii="Arial Narrow" w:hAnsi="Arial Narrow"/>
        </w:rPr>
        <w:t>7</w:t>
      </w:r>
      <w:r w:rsidRPr="00BB5ACE">
        <w:rPr>
          <w:rStyle w:val="Odkaznapoznmkupodiarou"/>
          <w:rFonts w:ascii="Arial Narrow" w:hAnsi="Arial Narrow"/>
        </w:rPr>
        <w:footnoteReference w:id="57"/>
      </w:r>
      <w:r w:rsidRPr="00BB5ACE">
        <w:rPr>
          <w:rFonts w:ascii="Arial Narrow" w:hAnsi="Arial Narrow"/>
        </w:rPr>
        <w:t xml:space="preserve">. Dôležitým nástrojom na plnenie cieľov stratégie je politika súdržnosti. V roku 2014 sa začalo jej nové sedemročné programové obdobie. </w:t>
      </w:r>
    </w:p>
    <w:p w14:paraId="449D9E2A" w14:textId="77777777" w:rsidR="001156B4" w:rsidRPr="00BB5ACE" w:rsidRDefault="001156B4" w:rsidP="001156B4">
      <w:pPr>
        <w:spacing w:after="0" w:line="240" w:lineRule="auto"/>
        <w:jc w:val="both"/>
        <w:rPr>
          <w:rFonts w:ascii="Arial Narrow" w:hAnsi="Arial Narrow"/>
        </w:rPr>
      </w:pPr>
    </w:p>
    <w:p w14:paraId="6DC97E35" w14:textId="77777777" w:rsidR="001156B4" w:rsidRDefault="001156B4" w:rsidP="001156B4">
      <w:pPr>
        <w:spacing w:after="0" w:line="240" w:lineRule="auto"/>
        <w:jc w:val="both"/>
        <w:rPr>
          <w:rFonts w:ascii="Arial Narrow" w:hAnsi="Arial Narrow"/>
        </w:rPr>
      </w:pPr>
      <w:r w:rsidRPr="00E76F3D">
        <w:rPr>
          <w:rFonts w:ascii="Arial Narrow" w:hAnsi="Arial Narrow"/>
        </w:rPr>
        <w:t>Prílohou NPR je samostatný akčný plán, ktorý obsahuje najdôležitejšie opatrenia s výrazným fiškálnym dopadom spolu s termínom ich plnenia a vecnou zodpovednosťou.</w:t>
      </w:r>
      <w:r>
        <w:rPr>
          <w:rFonts w:ascii="Arial Narrow" w:hAnsi="Arial Narrow"/>
        </w:rPr>
        <w:t xml:space="preserve"> </w:t>
      </w:r>
    </w:p>
    <w:p w14:paraId="76255D5A" w14:textId="696EE00F" w:rsidR="001A1687" w:rsidRPr="00256D89" w:rsidRDefault="001A1687" w:rsidP="00FB625E">
      <w:pPr>
        <w:spacing w:after="0" w:line="240" w:lineRule="auto"/>
        <w:rPr>
          <w:rFonts w:ascii="Arial Narrow" w:hAnsi="Arial Narrow" w:cs="Arial Narrow"/>
          <w:bCs/>
        </w:rPr>
      </w:pPr>
    </w:p>
    <w:p w14:paraId="08F20D6E" w14:textId="77777777" w:rsidR="001156B4" w:rsidRDefault="001156B4">
      <w:pPr>
        <w:spacing w:after="0" w:line="240" w:lineRule="auto"/>
        <w:rPr>
          <w:rFonts w:ascii="Arial Narrow" w:eastAsiaTheme="majorEastAsia" w:hAnsi="Arial Narrow" w:cstheme="majorBidi"/>
          <w:b/>
          <w:bCs/>
          <w:sz w:val="32"/>
          <w:szCs w:val="32"/>
        </w:rPr>
      </w:pPr>
      <w:bookmarkStart w:id="87" w:name="_Toc320096516"/>
      <w:bookmarkStart w:id="88" w:name="_Toc320096656"/>
      <w:bookmarkStart w:id="89" w:name="_Toc326222752"/>
      <w:bookmarkStart w:id="90" w:name="_Toc348448965"/>
      <w:bookmarkStart w:id="91" w:name="_Toc386005381"/>
      <w:r>
        <w:rPr>
          <w:rFonts w:ascii="Arial Narrow" w:hAnsi="Arial Narrow"/>
          <w:sz w:val="32"/>
          <w:szCs w:val="32"/>
        </w:rPr>
        <w:br w:type="page"/>
      </w:r>
    </w:p>
    <w:p w14:paraId="557F77E5" w14:textId="4A0A1E9C" w:rsidR="0022327A" w:rsidRDefault="008034FA" w:rsidP="008034FA">
      <w:pPr>
        <w:pStyle w:val="Nadpis1"/>
        <w:spacing w:line="240" w:lineRule="auto"/>
        <w:ind w:hanging="709"/>
        <w:rPr>
          <w:rFonts w:ascii="Arial Narrow" w:hAnsi="Arial Narrow"/>
          <w:color w:val="auto"/>
          <w:sz w:val="32"/>
          <w:szCs w:val="32"/>
        </w:rPr>
      </w:pPr>
      <w:bookmarkStart w:id="92" w:name="_Toc477259962"/>
      <w:r>
        <w:rPr>
          <w:rFonts w:ascii="Arial Narrow" w:hAnsi="Arial Narrow"/>
          <w:color w:val="auto"/>
          <w:sz w:val="32"/>
          <w:szCs w:val="32"/>
        </w:rPr>
        <w:lastRenderedPageBreak/>
        <w:t xml:space="preserve">Príloha č. 1: </w:t>
      </w:r>
      <w:r w:rsidR="0022327A" w:rsidRPr="00256D89">
        <w:rPr>
          <w:rFonts w:ascii="Arial Narrow" w:hAnsi="Arial Narrow"/>
          <w:color w:val="auto"/>
          <w:sz w:val="32"/>
          <w:szCs w:val="32"/>
        </w:rPr>
        <w:t xml:space="preserve">Národné ciele </w:t>
      </w:r>
      <w:r w:rsidR="00C76F23" w:rsidRPr="00256D89">
        <w:rPr>
          <w:rFonts w:ascii="Arial Narrow" w:hAnsi="Arial Narrow"/>
          <w:color w:val="auto"/>
          <w:sz w:val="32"/>
          <w:szCs w:val="32"/>
        </w:rPr>
        <w:t>s</w:t>
      </w:r>
      <w:r w:rsidR="0022327A" w:rsidRPr="00256D89">
        <w:rPr>
          <w:rFonts w:ascii="Arial Narrow" w:hAnsi="Arial Narrow"/>
          <w:color w:val="auto"/>
          <w:sz w:val="32"/>
          <w:szCs w:val="32"/>
        </w:rPr>
        <w:t>tratégie Európa 2020</w:t>
      </w:r>
      <w:bookmarkEnd w:id="87"/>
      <w:bookmarkEnd w:id="88"/>
      <w:bookmarkEnd w:id="89"/>
      <w:bookmarkEnd w:id="90"/>
      <w:bookmarkEnd w:id="91"/>
      <w:bookmarkEnd w:id="92"/>
      <w:r>
        <w:rPr>
          <w:rFonts w:ascii="Arial Narrow" w:hAnsi="Arial Narrow"/>
          <w:color w:val="auto"/>
          <w:sz w:val="32"/>
          <w:szCs w:val="32"/>
        </w:rPr>
        <w:t xml:space="preserve"> a iné indikátory</w:t>
      </w:r>
    </w:p>
    <w:p w14:paraId="0E180C07" w14:textId="4CEFABB7" w:rsidR="00677CC7" w:rsidRDefault="00677CC7" w:rsidP="008034FA">
      <w:pPr>
        <w:spacing w:after="0" w:line="240" w:lineRule="auto"/>
        <w:rPr>
          <w:sz w:val="20"/>
          <w:szCs w:val="20"/>
        </w:rPr>
      </w:pPr>
    </w:p>
    <w:tbl>
      <w:tblPr>
        <w:tblW w:w="10206" w:type="dxa"/>
        <w:jc w:val="center"/>
        <w:tblLayout w:type="fixed"/>
        <w:tblLook w:val="04A0" w:firstRow="1" w:lastRow="0" w:firstColumn="1" w:lastColumn="0" w:noHBand="0" w:noVBand="1"/>
      </w:tblPr>
      <w:tblGrid>
        <w:gridCol w:w="426"/>
        <w:gridCol w:w="425"/>
        <w:gridCol w:w="2221"/>
        <w:gridCol w:w="756"/>
        <w:gridCol w:w="743"/>
        <w:gridCol w:w="625"/>
        <w:gridCol w:w="625"/>
        <w:gridCol w:w="625"/>
        <w:gridCol w:w="625"/>
        <w:gridCol w:w="625"/>
        <w:gridCol w:w="625"/>
        <w:gridCol w:w="625"/>
        <w:gridCol w:w="625"/>
        <w:gridCol w:w="625"/>
        <w:gridCol w:w="10"/>
      </w:tblGrid>
      <w:tr w:rsidR="00677CC7" w:rsidRPr="00677CC7" w14:paraId="2675C074" w14:textId="77777777" w:rsidTr="00C27D84">
        <w:trPr>
          <w:trHeight w:val="264"/>
          <w:jc w:val="center"/>
        </w:trPr>
        <w:tc>
          <w:tcPr>
            <w:tcW w:w="10206" w:type="dxa"/>
            <w:gridSpan w:val="15"/>
            <w:tcBorders>
              <w:top w:val="nil"/>
              <w:left w:val="nil"/>
              <w:bottom w:val="single" w:sz="4" w:space="0" w:color="auto"/>
              <w:right w:val="nil"/>
            </w:tcBorders>
            <w:shd w:val="clear" w:color="auto" w:fill="auto"/>
            <w:vAlign w:val="center"/>
            <w:hideMark/>
          </w:tcPr>
          <w:p w14:paraId="283F7B9B" w14:textId="3D570DA0" w:rsidR="00677CC7" w:rsidRPr="00677CC7" w:rsidRDefault="00677CC7" w:rsidP="00AE69D8">
            <w:pPr>
              <w:spacing w:after="0" w:line="240" w:lineRule="auto"/>
              <w:rPr>
                <w:rFonts w:ascii="Arial Narrow" w:hAnsi="Arial Narrow"/>
                <w:b/>
                <w:bCs/>
                <w:color w:val="2C9ADC"/>
                <w:lang w:val="en-US" w:eastAsia="en-US"/>
              </w:rPr>
            </w:pPr>
            <w:r w:rsidRPr="00677CC7">
              <w:rPr>
                <w:rFonts w:ascii="Arial Narrow" w:hAnsi="Arial Narrow"/>
                <w:b/>
                <w:bCs/>
                <w:color w:val="2C9ADC"/>
                <w:lang w:val="en-US" w:eastAsia="en-US"/>
              </w:rPr>
              <w:t>Výsledkové ukazovatele stratégie Európa 2020</w:t>
            </w:r>
            <w:r w:rsidR="008034FA">
              <w:rPr>
                <w:rFonts w:ascii="Arial Narrow" w:hAnsi="Arial Narrow"/>
                <w:b/>
                <w:bCs/>
                <w:color w:val="2C9ADC"/>
                <w:lang w:val="en-US" w:eastAsia="en-US"/>
              </w:rPr>
              <w:t xml:space="preserve"> a </w:t>
            </w:r>
            <w:r w:rsidR="00AE69D8">
              <w:rPr>
                <w:rFonts w:ascii="Arial Narrow" w:hAnsi="Arial Narrow"/>
                <w:b/>
                <w:bCs/>
                <w:color w:val="2C9ADC"/>
                <w:lang w:val="en-US" w:eastAsia="en-US"/>
              </w:rPr>
              <w:t xml:space="preserve">iných oblastí </w:t>
            </w:r>
          </w:p>
        </w:tc>
      </w:tr>
      <w:tr w:rsidR="00DA1C19" w:rsidRPr="00677CC7" w14:paraId="4F5584F4" w14:textId="77777777" w:rsidTr="00C27D84">
        <w:trPr>
          <w:gridAfter w:val="1"/>
          <w:wAfter w:w="10" w:type="dxa"/>
          <w:trHeight w:val="213"/>
          <w:jc w:val="center"/>
        </w:trPr>
        <w:tc>
          <w:tcPr>
            <w:tcW w:w="426" w:type="dxa"/>
            <w:tcBorders>
              <w:top w:val="nil"/>
              <w:left w:val="nil"/>
              <w:bottom w:val="single" w:sz="4" w:space="0" w:color="auto"/>
              <w:right w:val="nil"/>
            </w:tcBorders>
            <w:shd w:val="clear" w:color="auto" w:fill="auto"/>
            <w:noWrap/>
            <w:vAlign w:val="center"/>
            <w:hideMark/>
          </w:tcPr>
          <w:p w14:paraId="0E64DF23"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 </w:t>
            </w:r>
          </w:p>
        </w:tc>
        <w:tc>
          <w:tcPr>
            <w:tcW w:w="425" w:type="dxa"/>
            <w:tcBorders>
              <w:top w:val="nil"/>
              <w:left w:val="nil"/>
              <w:bottom w:val="nil"/>
              <w:right w:val="nil"/>
            </w:tcBorders>
            <w:shd w:val="clear" w:color="auto" w:fill="auto"/>
            <w:noWrap/>
            <w:vAlign w:val="center"/>
            <w:hideMark/>
          </w:tcPr>
          <w:p w14:paraId="4ED0EFA5"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 </w:t>
            </w:r>
          </w:p>
        </w:tc>
        <w:tc>
          <w:tcPr>
            <w:tcW w:w="2221" w:type="dxa"/>
            <w:tcBorders>
              <w:top w:val="nil"/>
              <w:left w:val="nil"/>
              <w:bottom w:val="nil"/>
              <w:right w:val="nil"/>
            </w:tcBorders>
            <w:shd w:val="clear" w:color="auto" w:fill="auto"/>
            <w:noWrap/>
            <w:vAlign w:val="center"/>
            <w:hideMark/>
          </w:tcPr>
          <w:p w14:paraId="4086740B"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 </w:t>
            </w:r>
          </w:p>
        </w:tc>
        <w:tc>
          <w:tcPr>
            <w:tcW w:w="756" w:type="dxa"/>
            <w:tcBorders>
              <w:top w:val="nil"/>
              <w:left w:val="nil"/>
              <w:bottom w:val="nil"/>
              <w:right w:val="nil"/>
            </w:tcBorders>
            <w:shd w:val="clear" w:color="auto" w:fill="auto"/>
            <w:noWrap/>
            <w:vAlign w:val="center"/>
            <w:hideMark/>
          </w:tcPr>
          <w:p w14:paraId="011EA171"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 </w:t>
            </w:r>
          </w:p>
        </w:tc>
        <w:tc>
          <w:tcPr>
            <w:tcW w:w="743" w:type="dxa"/>
            <w:tcBorders>
              <w:top w:val="nil"/>
              <w:left w:val="nil"/>
              <w:bottom w:val="nil"/>
              <w:right w:val="nil"/>
            </w:tcBorders>
            <w:shd w:val="clear" w:color="auto" w:fill="auto"/>
            <w:vAlign w:val="center"/>
            <w:hideMark/>
          </w:tcPr>
          <w:p w14:paraId="0F241E8E"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2008</w:t>
            </w:r>
          </w:p>
        </w:tc>
        <w:tc>
          <w:tcPr>
            <w:tcW w:w="625" w:type="dxa"/>
            <w:tcBorders>
              <w:top w:val="nil"/>
              <w:left w:val="nil"/>
              <w:bottom w:val="nil"/>
              <w:right w:val="nil"/>
            </w:tcBorders>
            <w:shd w:val="clear" w:color="auto" w:fill="auto"/>
            <w:vAlign w:val="center"/>
            <w:hideMark/>
          </w:tcPr>
          <w:p w14:paraId="77B4F165"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2009</w:t>
            </w:r>
          </w:p>
        </w:tc>
        <w:tc>
          <w:tcPr>
            <w:tcW w:w="625" w:type="dxa"/>
            <w:tcBorders>
              <w:top w:val="nil"/>
              <w:left w:val="nil"/>
              <w:bottom w:val="nil"/>
              <w:right w:val="nil"/>
            </w:tcBorders>
            <w:shd w:val="clear" w:color="auto" w:fill="auto"/>
            <w:vAlign w:val="center"/>
            <w:hideMark/>
          </w:tcPr>
          <w:p w14:paraId="739DA3CA"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2010</w:t>
            </w:r>
          </w:p>
        </w:tc>
        <w:tc>
          <w:tcPr>
            <w:tcW w:w="625" w:type="dxa"/>
            <w:tcBorders>
              <w:top w:val="nil"/>
              <w:left w:val="nil"/>
              <w:bottom w:val="nil"/>
              <w:right w:val="nil"/>
            </w:tcBorders>
            <w:shd w:val="clear" w:color="auto" w:fill="auto"/>
            <w:vAlign w:val="center"/>
            <w:hideMark/>
          </w:tcPr>
          <w:p w14:paraId="01A17ACA"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2011</w:t>
            </w:r>
          </w:p>
        </w:tc>
        <w:tc>
          <w:tcPr>
            <w:tcW w:w="625" w:type="dxa"/>
            <w:tcBorders>
              <w:top w:val="nil"/>
              <w:left w:val="nil"/>
              <w:bottom w:val="nil"/>
              <w:right w:val="nil"/>
            </w:tcBorders>
            <w:shd w:val="clear" w:color="auto" w:fill="auto"/>
            <w:vAlign w:val="center"/>
            <w:hideMark/>
          </w:tcPr>
          <w:p w14:paraId="2AF05B58"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2012</w:t>
            </w:r>
          </w:p>
        </w:tc>
        <w:tc>
          <w:tcPr>
            <w:tcW w:w="625" w:type="dxa"/>
            <w:tcBorders>
              <w:top w:val="nil"/>
              <w:left w:val="nil"/>
              <w:bottom w:val="nil"/>
              <w:right w:val="nil"/>
            </w:tcBorders>
            <w:shd w:val="clear" w:color="auto" w:fill="auto"/>
            <w:vAlign w:val="center"/>
            <w:hideMark/>
          </w:tcPr>
          <w:p w14:paraId="61ED0F24"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2013</w:t>
            </w:r>
          </w:p>
        </w:tc>
        <w:tc>
          <w:tcPr>
            <w:tcW w:w="625" w:type="dxa"/>
            <w:tcBorders>
              <w:top w:val="nil"/>
              <w:left w:val="nil"/>
              <w:bottom w:val="single" w:sz="4" w:space="0" w:color="auto"/>
              <w:right w:val="nil"/>
            </w:tcBorders>
            <w:shd w:val="clear" w:color="auto" w:fill="auto"/>
            <w:vAlign w:val="center"/>
            <w:hideMark/>
          </w:tcPr>
          <w:p w14:paraId="5E6ACB0E"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2014</w:t>
            </w:r>
          </w:p>
        </w:tc>
        <w:tc>
          <w:tcPr>
            <w:tcW w:w="625" w:type="dxa"/>
            <w:tcBorders>
              <w:top w:val="nil"/>
              <w:left w:val="nil"/>
              <w:bottom w:val="nil"/>
              <w:right w:val="nil"/>
            </w:tcBorders>
            <w:shd w:val="clear" w:color="auto" w:fill="auto"/>
            <w:vAlign w:val="center"/>
            <w:hideMark/>
          </w:tcPr>
          <w:p w14:paraId="41FCBAB1"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2015</w:t>
            </w:r>
          </w:p>
        </w:tc>
        <w:tc>
          <w:tcPr>
            <w:tcW w:w="625" w:type="dxa"/>
            <w:tcBorders>
              <w:top w:val="nil"/>
              <w:left w:val="nil"/>
              <w:bottom w:val="nil"/>
              <w:right w:val="nil"/>
            </w:tcBorders>
            <w:shd w:val="clear" w:color="auto" w:fill="auto"/>
            <w:vAlign w:val="center"/>
            <w:hideMark/>
          </w:tcPr>
          <w:p w14:paraId="1792F3A4"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2016</w:t>
            </w:r>
          </w:p>
        </w:tc>
        <w:tc>
          <w:tcPr>
            <w:tcW w:w="625" w:type="dxa"/>
            <w:tcBorders>
              <w:top w:val="nil"/>
              <w:left w:val="nil"/>
              <w:bottom w:val="nil"/>
              <w:right w:val="nil"/>
            </w:tcBorders>
            <w:shd w:val="clear" w:color="auto" w:fill="auto"/>
            <w:vAlign w:val="center"/>
            <w:hideMark/>
          </w:tcPr>
          <w:p w14:paraId="7B999E29" w14:textId="77777777" w:rsidR="00677CC7" w:rsidRPr="00677CC7" w:rsidRDefault="00677CC7" w:rsidP="00677CC7">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Cieľ 2020</w:t>
            </w:r>
          </w:p>
        </w:tc>
      </w:tr>
      <w:tr w:rsidR="00677CC7" w:rsidRPr="00677CC7" w14:paraId="39CC2D57"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hideMark/>
          </w:tcPr>
          <w:p w14:paraId="1EDA5A70" w14:textId="77777777" w:rsidR="00677CC7" w:rsidRPr="00677CC7" w:rsidRDefault="00677CC7" w:rsidP="00677CC7">
            <w:pPr>
              <w:spacing w:after="0" w:line="240" w:lineRule="auto"/>
              <w:rPr>
                <w:rFonts w:ascii="Arial Narrow" w:hAnsi="Arial Narrow"/>
                <w:b/>
                <w:bCs/>
                <w:sz w:val="20"/>
                <w:szCs w:val="20"/>
                <w:lang w:val="en-US" w:eastAsia="en-US"/>
              </w:rPr>
            </w:pPr>
            <w:r w:rsidRPr="00677CC7">
              <w:rPr>
                <w:rFonts w:ascii="Arial Narrow" w:hAnsi="Arial Narrow"/>
                <w:b/>
                <w:bCs/>
                <w:sz w:val="20"/>
                <w:szCs w:val="20"/>
                <w:lang w:val="en-US" w:eastAsia="en-US"/>
              </w:rPr>
              <w:t>Fiškálna politika a verejné financie</w:t>
            </w:r>
          </w:p>
        </w:tc>
      </w:tr>
      <w:tr w:rsidR="00DA1C19" w:rsidRPr="00677CC7" w14:paraId="7AB71C62"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68F4345A" w14:textId="77777777" w:rsidR="00677CC7" w:rsidRPr="00677CC7" w:rsidRDefault="00677CC7" w:rsidP="00677CC7">
            <w:pPr>
              <w:spacing w:after="0" w:line="240" w:lineRule="auto"/>
              <w:rPr>
                <w:rFonts w:ascii="Arial Narrow" w:hAnsi="Arial Narrow"/>
                <w:b/>
                <w:bCs/>
                <w:sz w:val="20"/>
                <w:szCs w:val="20"/>
                <w:lang w:val="en-US" w:eastAsia="en-US"/>
              </w:rPr>
            </w:pPr>
          </w:p>
        </w:tc>
        <w:tc>
          <w:tcPr>
            <w:tcW w:w="425" w:type="dxa"/>
            <w:vMerge w:val="restart"/>
            <w:tcBorders>
              <w:top w:val="nil"/>
              <w:left w:val="nil"/>
              <w:bottom w:val="single" w:sz="4" w:space="0" w:color="000000"/>
              <w:right w:val="nil"/>
            </w:tcBorders>
            <w:shd w:val="clear" w:color="auto" w:fill="auto"/>
            <w:vAlign w:val="center"/>
            <w:hideMark/>
          </w:tcPr>
          <w:p w14:paraId="7B89410D"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1</w:t>
            </w:r>
          </w:p>
        </w:tc>
        <w:tc>
          <w:tcPr>
            <w:tcW w:w="2221" w:type="dxa"/>
            <w:tcBorders>
              <w:top w:val="nil"/>
              <w:left w:val="nil"/>
              <w:bottom w:val="nil"/>
              <w:right w:val="nil"/>
            </w:tcBorders>
            <w:shd w:val="clear" w:color="auto" w:fill="auto"/>
            <w:noWrap/>
            <w:vAlign w:val="center"/>
            <w:hideMark/>
          </w:tcPr>
          <w:p w14:paraId="5B918030"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Ukazovateľ dlhodobej udržateľnosti (GAP)</w:t>
            </w:r>
          </w:p>
        </w:tc>
        <w:tc>
          <w:tcPr>
            <w:tcW w:w="756" w:type="dxa"/>
            <w:tcBorders>
              <w:top w:val="nil"/>
              <w:left w:val="nil"/>
              <w:bottom w:val="nil"/>
              <w:right w:val="nil"/>
            </w:tcBorders>
            <w:shd w:val="clear" w:color="auto" w:fill="auto"/>
            <w:vAlign w:val="center"/>
            <w:hideMark/>
          </w:tcPr>
          <w:p w14:paraId="77EFA400"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3F7389C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4E79D28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9,5</w:t>
            </w:r>
          </w:p>
        </w:tc>
        <w:tc>
          <w:tcPr>
            <w:tcW w:w="625" w:type="dxa"/>
            <w:tcBorders>
              <w:top w:val="nil"/>
              <w:left w:val="nil"/>
              <w:bottom w:val="nil"/>
              <w:right w:val="nil"/>
            </w:tcBorders>
            <w:shd w:val="clear" w:color="auto" w:fill="auto"/>
            <w:vAlign w:val="center"/>
            <w:hideMark/>
          </w:tcPr>
          <w:p w14:paraId="328ECEE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9,2</w:t>
            </w:r>
          </w:p>
        </w:tc>
        <w:tc>
          <w:tcPr>
            <w:tcW w:w="625" w:type="dxa"/>
            <w:tcBorders>
              <w:top w:val="nil"/>
              <w:left w:val="nil"/>
              <w:bottom w:val="nil"/>
              <w:right w:val="nil"/>
            </w:tcBorders>
            <w:shd w:val="clear" w:color="auto" w:fill="auto"/>
            <w:vAlign w:val="center"/>
            <w:hideMark/>
          </w:tcPr>
          <w:p w14:paraId="2BA4346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w:t>
            </w:r>
          </w:p>
        </w:tc>
        <w:tc>
          <w:tcPr>
            <w:tcW w:w="625" w:type="dxa"/>
            <w:tcBorders>
              <w:top w:val="nil"/>
              <w:left w:val="nil"/>
              <w:bottom w:val="nil"/>
              <w:right w:val="nil"/>
            </w:tcBorders>
            <w:shd w:val="clear" w:color="auto" w:fill="auto"/>
            <w:vAlign w:val="center"/>
            <w:hideMark/>
          </w:tcPr>
          <w:p w14:paraId="557C48D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w:t>
            </w:r>
          </w:p>
        </w:tc>
        <w:tc>
          <w:tcPr>
            <w:tcW w:w="625" w:type="dxa"/>
            <w:tcBorders>
              <w:top w:val="nil"/>
              <w:left w:val="nil"/>
              <w:bottom w:val="nil"/>
              <w:right w:val="nil"/>
            </w:tcBorders>
            <w:shd w:val="clear" w:color="auto" w:fill="auto"/>
            <w:noWrap/>
            <w:vAlign w:val="center"/>
            <w:hideMark/>
          </w:tcPr>
          <w:p w14:paraId="1C04052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1,9</w:t>
            </w:r>
          </w:p>
        </w:tc>
        <w:tc>
          <w:tcPr>
            <w:tcW w:w="625" w:type="dxa"/>
            <w:tcBorders>
              <w:top w:val="nil"/>
              <w:left w:val="nil"/>
              <w:bottom w:val="nil"/>
              <w:right w:val="nil"/>
            </w:tcBorders>
            <w:shd w:val="clear" w:color="auto" w:fill="auto"/>
            <w:noWrap/>
            <w:vAlign w:val="center"/>
            <w:hideMark/>
          </w:tcPr>
          <w:p w14:paraId="61466BD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2,4</w:t>
            </w:r>
          </w:p>
        </w:tc>
        <w:tc>
          <w:tcPr>
            <w:tcW w:w="625" w:type="dxa"/>
            <w:tcBorders>
              <w:top w:val="nil"/>
              <w:left w:val="nil"/>
              <w:bottom w:val="nil"/>
              <w:right w:val="nil"/>
            </w:tcBorders>
            <w:shd w:val="clear" w:color="auto" w:fill="auto"/>
            <w:vAlign w:val="center"/>
            <w:hideMark/>
          </w:tcPr>
          <w:p w14:paraId="65A47D5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noWrap/>
            <w:vAlign w:val="center"/>
          </w:tcPr>
          <w:p w14:paraId="726A133A" w14:textId="36B50209"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6A708BF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0</w:t>
            </w:r>
          </w:p>
        </w:tc>
      </w:tr>
      <w:tr w:rsidR="00DA1C19" w:rsidRPr="00677CC7" w14:paraId="1F711C8F"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5DC8D3A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7C6BEDC0"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538CE146"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HDP)</w:t>
            </w:r>
          </w:p>
        </w:tc>
        <w:tc>
          <w:tcPr>
            <w:tcW w:w="756" w:type="dxa"/>
            <w:tcBorders>
              <w:top w:val="nil"/>
              <w:left w:val="nil"/>
              <w:bottom w:val="single" w:sz="4" w:space="0" w:color="auto"/>
              <w:right w:val="nil"/>
            </w:tcBorders>
            <w:shd w:val="clear" w:color="auto" w:fill="auto"/>
            <w:vAlign w:val="center"/>
            <w:hideMark/>
          </w:tcPr>
          <w:p w14:paraId="5EAB2474"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6A250C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C02C06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109D34C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9FD55B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06CED8A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485B347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6DF9C93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22A873E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tcPr>
          <w:p w14:paraId="3374598A" w14:textId="591BDD5F"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119BC21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311A5A33"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16162A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single" w:sz="4" w:space="0" w:color="000000"/>
              <w:right w:val="nil"/>
            </w:tcBorders>
            <w:shd w:val="clear" w:color="auto" w:fill="auto"/>
            <w:vAlign w:val="center"/>
            <w:hideMark/>
          </w:tcPr>
          <w:p w14:paraId="20119BAC"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2</w:t>
            </w:r>
          </w:p>
        </w:tc>
        <w:tc>
          <w:tcPr>
            <w:tcW w:w="2221" w:type="dxa"/>
            <w:tcBorders>
              <w:top w:val="nil"/>
              <w:left w:val="nil"/>
              <w:bottom w:val="nil"/>
              <w:right w:val="nil"/>
            </w:tcBorders>
            <w:shd w:val="clear" w:color="auto" w:fill="auto"/>
            <w:noWrap/>
            <w:vAlign w:val="center"/>
            <w:hideMark/>
          </w:tcPr>
          <w:p w14:paraId="5E8DDF83"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Efektívnosť výberu DPH</w:t>
            </w:r>
          </w:p>
        </w:tc>
        <w:tc>
          <w:tcPr>
            <w:tcW w:w="756" w:type="dxa"/>
            <w:tcBorders>
              <w:top w:val="nil"/>
              <w:left w:val="nil"/>
              <w:bottom w:val="nil"/>
              <w:right w:val="nil"/>
            </w:tcBorders>
            <w:shd w:val="clear" w:color="auto" w:fill="auto"/>
            <w:vAlign w:val="center"/>
            <w:hideMark/>
          </w:tcPr>
          <w:p w14:paraId="03C4901E"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26D9751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62,3</w:t>
            </w:r>
          </w:p>
        </w:tc>
        <w:tc>
          <w:tcPr>
            <w:tcW w:w="625" w:type="dxa"/>
            <w:tcBorders>
              <w:top w:val="nil"/>
              <w:left w:val="nil"/>
              <w:bottom w:val="nil"/>
              <w:right w:val="nil"/>
            </w:tcBorders>
            <w:shd w:val="clear" w:color="auto" w:fill="auto"/>
            <w:vAlign w:val="center"/>
            <w:hideMark/>
          </w:tcPr>
          <w:p w14:paraId="7F6EA56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55,5</w:t>
            </w:r>
          </w:p>
        </w:tc>
        <w:tc>
          <w:tcPr>
            <w:tcW w:w="625" w:type="dxa"/>
            <w:tcBorders>
              <w:top w:val="nil"/>
              <w:left w:val="nil"/>
              <w:bottom w:val="nil"/>
              <w:right w:val="nil"/>
            </w:tcBorders>
            <w:shd w:val="clear" w:color="auto" w:fill="auto"/>
            <w:vAlign w:val="center"/>
            <w:hideMark/>
          </w:tcPr>
          <w:p w14:paraId="52CD939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54,3</w:t>
            </w:r>
          </w:p>
        </w:tc>
        <w:tc>
          <w:tcPr>
            <w:tcW w:w="625" w:type="dxa"/>
            <w:tcBorders>
              <w:top w:val="nil"/>
              <w:left w:val="nil"/>
              <w:bottom w:val="nil"/>
              <w:right w:val="nil"/>
            </w:tcBorders>
            <w:shd w:val="clear" w:color="auto" w:fill="auto"/>
            <w:vAlign w:val="center"/>
            <w:hideMark/>
          </w:tcPr>
          <w:p w14:paraId="33A4539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54,3</w:t>
            </w:r>
          </w:p>
        </w:tc>
        <w:tc>
          <w:tcPr>
            <w:tcW w:w="625" w:type="dxa"/>
            <w:tcBorders>
              <w:top w:val="nil"/>
              <w:left w:val="nil"/>
              <w:bottom w:val="nil"/>
              <w:right w:val="nil"/>
            </w:tcBorders>
            <w:shd w:val="clear" w:color="auto" w:fill="auto"/>
            <w:vAlign w:val="center"/>
            <w:hideMark/>
          </w:tcPr>
          <w:p w14:paraId="422776C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49,8</w:t>
            </w:r>
          </w:p>
        </w:tc>
        <w:tc>
          <w:tcPr>
            <w:tcW w:w="625" w:type="dxa"/>
            <w:tcBorders>
              <w:top w:val="nil"/>
              <w:left w:val="nil"/>
              <w:bottom w:val="nil"/>
              <w:right w:val="nil"/>
            </w:tcBorders>
            <w:shd w:val="clear" w:color="auto" w:fill="auto"/>
            <w:vAlign w:val="center"/>
            <w:hideMark/>
          </w:tcPr>
          <w:p w14:paraId="7F03E57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54,7</w:t>
            </w:r>
          </w:p>
        </w:tc>
        <w:tc>
          <w:tcPr>
            <w:tcW w:w="625" w:type="dxa"/>
            <w:tcBorders>
              <w:top w:val="nil"/>
              <w:left w:val="nil"/>
              <w:bottom w:val="nil"/>
              <w:right w:val="nil"/>
            </w:tcBorders>
            <w:shd w:val="clear" w:color="auto" w:fill="auto"/>
            <w:vAlign w:val="center"/>
            <w:hideMark/>
          </w:tcPr>
          <w:p w14:paraId="5385E84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57,2</w:t>
            </w:r>
          </w:p>
        </w:tc>
        <w:tc>
          <w:tcPr>
            <w:tcW w:w="625" w:type="dxa"/>
            <w:tcBorders>
              <w:top w:val="nil"/>
              <w:left w:val="nil"/>
              <w:bottom w:val="nil"/>
              <w:right w:val="nil"/>
            </w:tcBorders>
            <w:shd w:val="clear" w:color="auto" w:fill="auto"/>
            <w:vAlign w:val="center"/>
            <w:hideMark/>
          </w:tcPr>
          <w:p w14:paraId="532CEFE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58,1</w:t>
            </w:r>
          </w:p>
        </w:tc>
        <w:tc>
          <w:tcPr>
            <w:tcW w:w="625" w:type="dxa"/>
            <w:tcBorders>
              <w:top w:val="nil"/>
              <w:left w:val="nil"/>
              <w:bottom w:val="nil"/>
              <w:right w:val="nil"/>
            </w:tcBorders>
            <w:shd w:val="clear" w:color="auto" w:fill="auto"/>
            <w:noWrap/>
            <w:vAlign w:val="center"/>
          </w:tcPr>
          <w:p w14:paraId="7DFBE095" w14:textId="1D087801"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42E39D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499D7DD2"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5B0331F0"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249FB51B"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1DF39C63"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25C331B2"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EÚ22</w:t>
            </w:r>
          </w:p>
        </w:tc>
        <w:tc>
          <w:tcPr>
            <w:tcW w:w="743" w:type="dxa"/>
            <w:tcBorders>
              <w:top w:val="nil"/>
              <w:left w:val="nil"/>
              <w:bottom w:val="single" w:sz="4" w:space="0" w:color="auto"/>
              <w:right w:val="nil"/>
            </w:tcBorders>
            <w:shd w:val="clear" w:color="auto" w:fill="auto"/>
            <w:vAlign w:val="center"/>
            <w:hideMark/>
          </w:tcPr>
          <w:p w14:paraId="4C56483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69,7</w:t>
            </w:r>
          </w:p>
        </w:tc>
        <w:tc>
          <w:tcPr>
            <w:tcW w:w="625" w:type="dxa"/>
            <w:tcBorders>
              <w:top w:val="nil"/>
              <w:left w:val="nil"/>
              <w:bottom w:val="single" w:sz="4" w:space="0" w:color="auto"/>
              <w:right w:val="nil"/>
            </w:tcBorders>
            <w:shd w:val="clear" w:color="auto" w:fill="auto"/>
            <w:vAlign w:val="center"/>
            <w:hideMark/>
          </w:tcPr>
          <w:p w14:paraId="251C411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64,3</w:t>
            </w:r>
          </w:p>
        </w:tc>
        <w:tc>
          <w:tcPr>
            <w:tcW w:w="625" w:type="dxa"/>
            <w:tcBorders>
              <w:top w:val="nil"/>
              <w:left w:val="nil"/>
              <w:bottom w:val="single" w:sz="4" w:space="0" w:color="auto"/>
              <w:right w:val="nil"/>
            </w:tcBorders>
            <w:shd w:val="clear" w:color="auto" w:fill="auto"/>
            <w:vAlign w:val="center"/>
            <w:hideMark/>
          </w:tcPr>
          <w:p w14:paraId="47F8E4A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65,3</w:t>
            </w:r>
          </w:p>
        </w:tc>
        <w:tc>
          <w:tcPr>
            <w:tcW w:w="625" w:type="dxa"/>
            <w:tcBorders>
              <w:top w:val="nil"/>
              <w:left w:val="nil"/>
              <w:bottom w:val="single" w:sz="4" w:space="0" w:color="auto"/>
              <w:right w:val="nil"/>
            </w:tcBorders>
            <w:shd w:val="clear" w:color="auto" w:fill="auto"/>
            <w:vAlign w:val="center"/>
            <w:hideMark/>
          </w:tcPr>
          <w:p w14:paraId="3269568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65,9</w:t>
            </w:r>
          </w:p>
        </w:tc>
        <w:tc>
          <w:tcPr>
            <w:tcW w:w="625" w:type="dxa"/>
            <w:tcBorders>
              <w:top w:val="nil"/>
              <w:left w:val="nil"/>
              <w:bottom w:val="single" w:sz="4" w:space="0" w:color="auto"/>
              <w:right w:val="nil"/>
            </w:tcBorders>
            <w:shd w:val="clear" w:color="auto" w:fill="auto"/>
            <w:vAlign w:val="center"/>
            <w:hideMark/>
          </w:tcPr>
          <w:p w14:paraId="0E28594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w:t>
            </w:r>
          </w:p>
        </w:tc>
        <w:tc>
          <w:tcPr>
            <w:tcW w:w="625" w:type="dxa"/>
            <w:tcBorders>
              <w:top w:val="nil"/>
              <w:left w:val="nil"/>
              <w:bottom w:val="single" w:sz="4" w:space="0" w:color="auto"/>
              <w:right w:val="nil"/>
            </w:tcBorders>
            <w:shd w:val="clear" w:color="auto" w:fill="auto"/>
            <w:vAlign w:val="center"/>
            <w:hideMark/>
          </w:tcPr>
          <w:p w14:paraId="3CF688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66,3</w:t>
            </w:r>
          </w:p>
        </w:tc>
        <w:tc>
          <w:tcPr>
            <w:tcW w:w="625" w:type="dxa"/>
            <w:tcBorders>
              <w:top w:val="nil"/>
              <w:left w:val="nil"/>
              <w:bottom w:val="single" w:sz="4" w:space="0" w:color="auto"/>
              <w:right w:val="nil"/>
            </w:tcBorders>
            <w:shd w:val="clear" w:color="auto" w:fill="auto"/>
            <w:vAlign w:val="center"/>
            <w:hideMark/>
          </w:tcPr>
          <w:p w14:paraId="58E1A88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67,7</w:t>
            </w:r>
          </w:p>
        </w:tc>
        <w:tc>
          <w:tcPr>
            <w:tcW w:w="625" w:type="dxa"/>
            <w:tcBorders>
              <w:top w:val="nil"/>
              <w:left w:val="nil"/>
              <w:bottom w:val="single" w:sz="4" w:space="0" w:color="auto"/>
              <w:right w:val="nil"/>
            </w:tcBorders>
            <w:shd w:val="clear" w:color="auto" w:fill="auto"/>
            <w:vAlign w:val="center"/>
            <w:hideMark/>
          </w:tcPr>
          <w:p w14:paraId="640AD69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67,4</w:t>
            </w:r>
          </w:p>
        </w:tc>
        <w:tc>
          <w:tcPr>
            <w:tcW w:w="625" w:type="dxa"/>
            <w:tcBorders>
              <w:top w:val="nil"/>
              <w:left w:val="nil"/>
              <w:bottom w:val="single" w:sz="4" w:space="0" w:color="auto"/>
              <w:right w:val="nil"/>
            </w:tcBorders>
            <w:shd w:val="clear" w:color="auto" w:fill="auto"/>
            <w:vAlign w:val="center"/>
          </w:tcPr>
          <w:p w14:paraId="0ED79516" w14:textId="68F086D1"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7F7F16E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722D96EA"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39F0B13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single" w:sz="4" w:space="0" w:color="000000"/>
              <w:right w:val="nil"/>
            </w:tcBorders>
            <w:shd w:val="clear" w:color="auto" w:fill="auto"/>
            <w:vAlign w:val="center"/>
            <w:hideMark/>
          </w:tcPr>
          <w:p w14:paraId="61CC43BB"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3</w:t>
            </w:r>
          </w:p>
        </w:tc>
        <w:tc>
          <w:tcPr>
            <w:tcW w:w="2221" w:type="dxa"/>
            <w:tcBorders>
              <w:top w:val="nil"/>
              <w:left w:val="nil"/>
              <w:bottom w:val="nil"/>
              <w:right w:val="nil"/>
            </w:tcBorders>
            <w:shd w:val="clear" w:color="auto" w:fill="auto"/>
            <w:noWrap/>
            <w:vAlign w:val="center"/>
            <w:hideMark/>
          </w:tcPr>
          <w:p w14:paraId="744F3D37" w14:textId="77777777" w:rsidR="00677CC7" w:rsidRPr="00677CC7" w:rsidRDefault="00677CC7" w:rsidP="00677CC7">
            <w:pPr>
              <w:spacing w:after="0" w:line="240" w:lineRule="auto"/>
              <w:jc w:val="both"/>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Medzera DPH</w:t>
            </w:r>
          </w:p>
        </w:tc>
        <w:tc>
          <w:tcPr>
            <w:tcW w:w="756" w:type="dxa"/>
            <w:tcBorders>
              <w:top w:val="nil"/>
              <w:left w:val="nil"/>
              <w:bottom w:val="nil"/>
              <w:right w:val="nil"/>
            </w:tcBorders>
            <w:shd w:val="clear" w:color="auto" w:fill="auto"/>
            <w:vAlign w:val="center"/>
            <w:hideMark/>
          </w:tcPr>
          <w:p w14:paraId="1EEC507B"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6AD84EE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31,3</w:t>
            </w:r>
          </w:p>
        </w:tc>
        <w:tc>
          <w:tcPr>
            <w:tcW w:w="625" w:type="dxa"/>
            <w:tcBorders>
              <w:top w:val="nil"/>
              <w:left w:val="nil"/>
              <w:bottom w:val="nil"/>
              <w:right w:val="nil"/>
            </w:tcBorders>
            <w:shd w:val="clear" w:color="auto" w:fill="auto"/>
            <w:vAlign w:val="center"/>
            <w:hideMark/>
          </w:tcPr>
          <w:p w14:paraId="0758EEE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34,9</w:t>
            </w:r>
          </w:p>
        </w:tc>
        <w:tc>
          <w:tcPr>
            <w:tcW w:w="625" w:type="dxa"/>
            <w:tcBorders>
              <w:top w:val="nil"/>
              <w:left w:val="nil"/>
              <w:bottom w:val="nil"/>
              <w:right w:val="nil"/>
            </w:tcBorders>
            <w:shd w:val="clear" w:color="auto" w:fill="auto"/>
            <w:vAlign w:val="center"/>
            <w:hideMark/>
          </w:tcPr>
          <w:p w14:paraId="79D20A3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35,6</w:t>
            </w:r>
          </w:p>
        </w:tc>
        <w:tc>
          <w:tcPr>
            <w:tcW w:w="625" w:type="dxa"/>
            <w:tcBorders>
              <w:top w:val="nil"/>
              <w:left w:val="nil"/>
              <w:bottom w:val="nil"/>
              <w:right w:val="nil"/>
            </w:tcBorders>
            <w:shd w:val="clear" w:color="auto" w:fill="auto"/>
            <w:vAlign w:val="center"/>
            <w:hideMark/>
          </w:tcPr>
          <w:p w14:paraId="09DF4C0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38,2</w:t>
            </w:r>
          </w:p>
        </w:tc>
        <w:tc>
          <w:tcPr>
            <w:tcW w:w="625" w:type="dxa"/>
            <w:tcBorders>
              <w:top w:val="nil"/>
              <w:left w:val="nil"/>
              <w:bottom w:val="nil"/>
              <w:right w:val="nil"/>
            </w:tcBorders>
            <w:shd w:val="clear" w:color="auto" w:fill="auto"/>
            <w:vAlign w:val="center"/>
            <w:hideMark/>
          </w:tcPr>
          <w:p w14:paraId="5673A2C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41</w:t>
            </w:r>
          </w:p>
        </w:tc>
        <w:tc>
          <w:tcPr>
            <w:tcW w:w="625" w:type="dxa"/>
            <w:tcBorders>
              <w:top w:val="nil"/>
              <w:left w:val="nil"/>
              <w:bottom w:val="nil"/>
              <w:right w:val="nil"/>
            </w:tcBorders>
            <w:shd w:val="clear" w:color="auto" w:fill="auto"/>
            <w:vAlign w:val="center"/>
            <w:hideMark/>
          </w:tcPr>
          <w:p w14:paraId="2D393D2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37</w:t>
            </w:r>
          </w:p>
        </w:tc>
        <w:tc>
          <w:tcPr>
            <w:tcW w:w="625" w:type="dxa"/>
            <w:tcBorders>
              <w:top w:val="nil"/>
              <w:left w:val="nil"/>
              <w:bottom w:val="nil"/>
              <w:right w:val="nil"/>
            </w:tcBorders>
            <w:shd w:val="clear" w:color="auto" w:fill="auto"/>
            <w:vAlign w:val="center"/>
            <w:hideMark/>
          </w:tcPr>
          <w:p w14:paraId="07ECFC1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33,1</w:t>
            </w:r>
          </w:p>
        </w:tc>
        <w:tc>
          <w:tcPr>
            <w:tcW w:w="625" w:type="dxa"/>
            <w:tcBorders>
              <w:top w:val="nil"/>
              <w:left w:val="nil"/>
              <w:bottom w:val="nil"/>
              <w:right w:val="nil"/>
            </w:tcBorders>
            <w:shd w:val="clear" w:color="auto" w:fill="auto"/>
            <w:vAlign w:val="center"/>
            <w:hideMark/>
          </w:tcPr>
          <w:p w14:paraId="298F7A7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31,4</w:t>
            </w:r>
          </w:p>
        </w:tc>
        <w:tc>
          <w:tcPr>
            <w:tcW w:w="625" w:type="dxa"/>
            <w:tcBorders>
              <w:top w:val="nil"/>
              <w:left w:val="nil"/>
              <w:bottom w:val="nil"/>
              <w:right w:val="nil"/>
            </w:tcBorders>
            <w:shd w:val="clear" w:color="auto" w:fill="auto"/>
            <w:vAlign w:val="center"/>
          </w:tcPr>
          <w:p w14:paraId="0059C9A0" w14:textId="678A5C14" w:rsidR="00677CC7" w:rsidRPr="00677CC7" w:rsidRDefault="001B555F" w:rsidP="00677CC7">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28,6</w:t>
            </w:r>
          </w:p>
        </w:tc>
        <w:tc>
          <w:tcPr>
            <w:tcW w:w="625" w:type="dxa"/>
            <w:tcBorders>
              <w:top w:val="nil"/>
              <w:left w:val="nil"/>
              <w:bottom w:val="nil"/>
              <w:right w:val="nil"/>
            </w:tcBorders>
            <w:shd w:val="clear" w:color="auto" w:fill="auto"/>
            <w:vAlign w:val="center"/>
            <w:hideMark/>
          </w:tcPr>
          <w:p w14:paraId="0F98C0E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17F55381"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A03894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54B60EA1"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nil"/>
              <w:right w:val="nil"/>
            </w:tcBorders>
            <w:shd w:val="clear" w:color="auto" w:fill="auto"/>
            <w:noWrap/>
            <w:vAlign w:val="center"/>
            <w:hideMark/>
          </w:tcPr>
          <w:p w14:paraId="675C2C46"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nil"/>
              <w:right w:val="nil"/>
            </w:tcBorders>
            <w:shd w:val="clear" w:color="auto" w:fill="auto"/>
            <w:vAlign w:val="center"/>
            <w:hideMark/>
          </w:tcPr>
          <w:p w14:paraId="561B67F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746FAC0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7B2808D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49E93BF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13,5</w:t>
            </w:r>
          </w:p>
        </w:tc>
        <w:tc>
          <w:tcPr>
            <w:tcW w:w="625" w:type="dxa"/>
            <w:tcBorders>
              <w:top w:val="nil"/>
              <w:left w:val="nil"/>
              <w:bottom w:val="single" w:sz="4" w:space="0" w:color="auto"/>
              <w:right w:val="nil"/>
            </w:tcBorders>
            <w:shd w:val="clear" w:color="auto" w:fill="auto"/>
            <w:vAlign w:val="center"/>
            <w:hideMark/>
          </w:tcPr>
          <w:p w14:paraId="13AF1ED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14,4</w:t>
            </w:r>
          </w:p>
        </w:tc>
        <w:tc>
          <w:tcPr>
            <w:tcW w:w="625" w:type="dxa"/>
            <w:tcBorders>
              <w:top w:val="nil"/>
              <w:left w:val="nil"/>
              <w:bottom w:val="single" w:sz="4" w:space="0" w:color="auto"/>
              <w:right w:val="nil"/>
            </w:tcBorders>
            <w:shd w:val="clear" w:color="auto" w:fill="auto"/>
            <w:vAlign w:val="center"/>
            <w:hideMark/>
          </w:tcPr>
          <w:p w14:paraId="403E23D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15</w:t>
            </w:r>
          </w:p>
        </w:tc>
        <w:tc>
          <w:tcPr>
            <w:tcW w:w="625" w:type="dxa"/>
            <w:tcBorders>
              <w:top w:val="nil"/>
              <w:left w:val="nil"/>
              <w:bottom w:val="single" w:sz="4" w:space="0" w:color="auto"/>
              <w:right w:val="nil"/>
            </w:tcBorders>
            <w:shd w:val="clear" w:color="auto" w:fill="auto"/>
            <w:vAlign w:val="center"/>
            <w:hideMark/>
          </w:tcPr>
          <w:p w14:paraId="2AF11EB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14,8</w:t>
            </w:r>
          </w:p>
        </w:tc>
        <w:tc>
          <w:tcPr>
            <w:tcW w:w="625" w:type="dxa"/>
            <w:tcBorders>
              <w:top w:val="nil"/>
              <w:left w:val="nil"/>
              <w:bottom w:val="single" w:sz="4" w:space="0" w:color="auto"/>
              <w:right w:val="nil"/>
            </w:tcBorders>
            <w:shd w:val="clear" w:color="auto" w:fill="auto"/>
            <w:vAlign w:val="center"/>
            <w:hideMark/>
          </w:tcPr>
          <w:p w14:paraId="7F33E36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lang w:eastAsia="en-US"/>
              </w:rPr>
              <w:t>14</w:t>
            </w:r>
          </w:p>
        </w:tc>
        <w:tc>
          <w:tcPr>
            <w:tcW w:w="625" w:type="dxa"/>
            <w:tcBorders>
              <w:top w:val="nil"/>
              <w:left w:val="nil"/>
              <w:bottom w:val="single" w:sz="4" w:space="0" w:color="auto"/>
              <w:right w:val="nil"/>
            </w:tcBorders>
            <w:shd w:val="clear" w:color="auto" w:fill="auto"/>
            <w:vAlign w:val="center"/>
            <w:hideMark/>
          </w:tcPr>
          <w:p w14:paraId="04A8354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tcPr>
          <w:p w14:paraId="44116BB7" w14:textId="7E167B11"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6B5E33C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677CC7" w:rsidRPr="00677CC7" w14:paraId="134D5D36"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tcPr>
          <w:p w14:paraId="3991393B" w14:textId="1A8EA70B" w:rsidR="00677CC7" w:rsidRPr="00677CC7" w:rsidRDefault="00E35039" w:rsidP="00E35039">
            <w:pPr>
              <w:spacing w:after="0" w:line="240" w:lineRule="auto"/>
              <w:rPr>
                <w:rFonts w:ascii="Arial Narrow" w:hAnsi="Arial Narrow"/>
                <w:b/>
                <w:bCs/>
                <w:sz w:val="20"/>
                <w:szCs w:val="20"/>
                <w:lang w:val="en-US" w:eastAsia="en-US"/>
              </w:rPr>
            </w:pPr>
            <w:r w:rsidRPr="00E35039">
              <w:rPr>
                <w:rFonts w:ascii="Arial Narrow" w:hAnsi="Arial Narrow"/>
                <w:b/>
                <w:bCs/>
                <w:sz w:val="20"/>
                <w:szCs w:val="20"/>
                <w:lang w:val="en-US" w:eastAsia="en-US"/>
              </w:rPr>
              <w:t>Vzdelávanie, veda a inovácie</w:t>
            </w:r>
          </w:p>
        </w:tc>
      </w:tr>
      <w:tr w:rsidR="00DA1C19" w:rsidRPr="00677CC7" w14:paraId="4721F66D"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19FD8CC1" w14:textId="77777777" w:rsidR="00677CC7" w:rsidRPr="00677CC7" w:rsidRDefault="00677CC7" w:rsidP="00677CC7">
            <w:pPr>
              <w:spacing w:after="0" w:line="240" w:lineRule="auto"/>
              <w:rPr>
                <w:rFonts w:ascii="Arial Narrow" w:hAnsi="Arial Narrow"/>
                <w:b/>
                <w:bCs/>
                <w:sz w:val="20"/>
                <w:szCs w:val="20"/>
                <w:lang w:val="en-US"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2F0D7B11" w14:textId="1E39704C"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4</w:t>
            </w:r>
          </w:p>
        </w:tc>
        <w:tc>
          <w:tcPr>
            <w:tcW w:w="2221" w:type="dxa"/>
            <w:tcBorders>
              <w:top w:val="nil"/>
              <w:left w:val="nil"/>
              <w:bottom w:val="nil"/>
              <w:right w:val="nil"/>
            </w:tcBorders>
            <w:shd w:val="clear" w:color="auto" w:fill="auto"/>
            <w:noWrap/>
            <w:vAlign w:val="center"/>
            <w:hideMark/>
          </w:tcPr>
          <w:p w14:paraId="3337026F" w14:textId="77777777" w:rsidR="00677CC7" w:rsidRPr="00677CC7" w:rsidRDefault="00677CC7" w:rsidP="00677CC7">
            <w:pPr>
              <w:spacing w:after="0" w:line="240" w:lineRule="auto"/>
              <w:jc w:val="both"/>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PISA</w:t>
            </w:r>
          </w:p>
        </w:tc>
        <w:tc>
          <w:tcPr>
            <w:tcW w:w="756" w:type="dxa"/>
            <w:tcBorders>
              <w:top w:val="nil"/>
              <w:left w:val="nil"/>
              <w:bottom w:val="nil"/>
              <w:right w:val="nil"/>
            </w:tcBorders>
            <w:shd w:val="clear" w:color="auto" w:fill="auto"/>
            <w:vAlign w:val="center"/>
            <w:hideMark/>
          </w:tcPr>
          <w:p w14:paraId="60652C32"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245D6C2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2F0A126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488</w:t>
            </w:r>
          </w:p>
        </w:tc>
        <w:tc>
          <w:tcPr>
            <w:tcW w:w="625" w:type="dxa"/>
            <w:tcBorders>
              <w:top w:val="nil"/>
              <w:left w:val="nil"/>
              <w:bottom w:val="nil"/>
              <w:right w:val="nil"/>
            </w:tcBorders>
            <w:shd w:val="clear" w:color="auto" w:fill="auto"/>
            <w:vAlign w:val="center"/>
            <w:hideMark/>
          </w:tcPr>
          <w:p w14:paraId="30706F7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647088E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4C412F5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472</w:t>
            </w:r>
          </w:p>
        </w:tc>
        <w:tc>
          <w:tcPr>
            <w:tcW w:w="625" w:type="dxa"/>
            <w:tcBorders>
              <w:top w:val="nil"/>
              <w:left w:val="nil"/>
              <w:bottom w:val="nil"/>
              <w:right w:val="nil"/>
            </w:tcBorders>
            <w:shd w:val="clear" w:color="auto" w:fill="auto"/>
            <w:vAlign w:val="center"/>
            <w:hideMark/>
          </w:tcPr>
          <w:p w14:paraId="7BC19DC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nil"/>
              <w:right w:val="nil"/>
            </w:tcBorders>
            <w:shd w:val="clear" w:color="auto" w:fill="auto"/>
            <w:vAlign w:val="center"/>
            <w:hideMark/>
          </w:tcPr>
          <w:p w14:paraId="4DCFBE1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nil"/>
              <w:right w:val="nil"/>
            </w:tcBorders>
            <w:shd w:val="clear" w:color="auto" w:fill="auto"/>
            <w:vAlign w:val="center"/>
            <w:hideMark/>
          </w:tcPr>
          <w:p w14:paraId="35BBE1C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463</w:t>
            </w:r>
          </w:p>
        </w:tc>
        <w:tc>
          <w:tcPr>
            <w:tcW w:w="625" w:type="dxa"/>
            <w:tcBorders>
              <w:top w:val="nil"/>
              <w:left w:val="nil"/>
              <w:bottom w:val="nil"/>
              <w:right w:val="nil"/>
            </w:tcBorders>
            <w:shd w:val="clear" w:color="auto" w:fill="auto"/>
            <w:noWrap/>
            <w:vAlign w:val="center"/>
          </w:tcPr>
          <w:p w14:paraId="03D25BD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38198C2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505</w:t>
            </w:r>
          </w:p>
        </w:tc>
      </w:tr>
      <w:tr w:rsidR="00DA1C19" w:rsidRPr="00677CC7" w14:paraId="725B77B6"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7CF79A05"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41DCBDA2"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4C63C798" w14:textId="66FDE56D" w:rsidR="00677CC7" w:rsidRPr="00677CC7" w:rsidRDefault="00C27D84" w:rsidP="00C27D84">
            <w:pPr>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 xml:space="preserve">(priemer </w:t>
            </w:r>
            <w:r w:rsidR="00677CC7" w:rsidRPr="00677CC7">
              <w:rPr>
                <w:rFonts w:ascii="Arial Narrow" w:hAnsi="Arial Narrow"/>
                <w:color w:val="000000"/>
                <w:sz w:val="20"/>
                <w:szCs w:val="20"/>
                <w:lang w:val="en-US" w:eastAsia="en-US"/>
              </w:rPr>
              <w:t>dosiahnutých bodov)</w:t>
            </w:r>
          </w:p>
        </w:tc>
        <w:tc>
          <w:tcPr>
            <w:tcW w:w="756" w:type="dxa"/>
            <w:tcBorders>
              <w:top w:val="nil"/>
              <w:left w:val="nil"/>
              <w:bottom w:val="single" w:sz="4" w:space="0" w:color="auto"/>
              <w:right w:val="nil"/>
            </w:tcBorders>
            <w:shd w:val="clear" w:color="auto" w:fill="auto"/>
            <w:vAlign w:val="center"/>
            <w:hideMark/>
          </w:tcPr>
          <w:p w14:paraId="2AECE098"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OECD</w:t>
            </w:r>
          </w:p>
        </w:tc>
        <w:tc>
          <w:tcPr>
            <w:tcW w:w="743" w:type="dxa"/>
            <w:tcBorders>
              <w:top w:val="nil"/>
              <w:left w:val="nil"/>
              <w:bottom w:val="single" w:sz="4" w:space="0" w:color="auto"/>
              <w:right w:val="nil"/>
            </w:tcBorders>
            <w:shd w:val="clear" w:color="auto" w:fill="auto"/>
            <w:vAlign w:val="center"/>
            <w:hideMark/>
          </w:tcPr>
          <w:p w14:paraId="5C7100E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763CAE6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497</w:t>
            </w:r>
          </w:p>
        </w:tc>
        <w:tc>
          <w:tcPr>
            <w:tcW w:w="625" w:type="dxa"/>
            <w:tcBorders>
              <w:top w:val="nil"/>
              <w:left w:val="nil"/>
              <w:bottom w:val="single" w:sz="4" w:space="0" w:color="auto"/>
              <w:right w:val="nil"/>
            </w:tcBorders>
            <w:shd w:val="clear" w:color="auto" w:fill="auto"/>
            <w:vAlign w:val="center"/>
            <w:hideMark/>
          </w:tcPr>
          <w:p w14:paraId="10FAA0E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79FA58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1424661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497</w:t>
            </w:r>
          </w:p>
        </w:tc>
        <w:tc>
          <w:tcPr>
            <w:tcW w:w="625" w:type="dxa"/>
            <w:tcBorders>
              <w:top w:val="nil"/>
              <w:left w:val="nil"/>
              <w:bottom w:val="single" w:sz="4" w:space="0" w:color="auto"/>
              <w:right w:val="nil"/>
            </w:tcBorders>
            <w:shd w:val="clear" w:color="auto" w:fill="auto"/>
            <w:vAlign w:val="center"/>
            <w:hideMark/>
          </w:tcPr>
          <w:p w14:paraId="536CD81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vAlign w:val="center"/>
            <w:hideMark/>
          </w:tcPr>
          <w:p w14:paraId="11ABE25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vAlign w:val="center"/>
            <w:hideMark/>
          </w:tcPr>
          <w:p w14:paraId="0A1735F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492</w:t>
            </w:r>
          </w:p>
        </w:tc>
        <w:tc>
          <w:tcPr>
            <w:tcW w:w="625" w:type="dxa"/>
            <w:tcBorders>
              <w:top w:val="nil"/>
              <w:left w:val="nil"/>
              <w:bottom w:val="single" w:sz="4" w:space="0" w:color="auto"/>
              <w:right w:val="nil"/>
            </w:tcBorders>
            <w:shd w:val="clear" w:color="auto" w:fill="auto"/>
            <w:vAlign w:val="center"/>
          </w:tcPr>
          <w:p w14:paraId="377D2E93" w14:textId="18BD2F7E"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587096F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4FB21E9E"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3A0C6AFE"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09715F14" w14:textId="05609181"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5</w:t>
            </w:r>
          </w:p>
        </w:tc>
        <w:tc>
          <w:tcPr>
            <w:tcW w:w="2221" w:type="dxa"/>
            <w:tcBorders>
              <w:top w:val="nil"/>
              <w:left w:val="nil"/>
              <w:bottom w:val="nil"/>
              <w:right w:val="nil"/>
            </w:tcBorders>
            <w:shd w:val="clear" w:color="auto" w:fill="auto"/>
            <w:noWrap/>
            <w:vAlign w:val="center"/>
            <w:hideMark/>
          </w:tcPr>
          <w:p w14:paraId="5D593CB5"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Predčasné ukončenie školskej dochádzky</w:t>
            </w:r>
          </w:p>
        </w:tc>
        <w:tc>
          <w:tcPr>
            <w:tcW w:w="756" w:type="dxa"/>
            <w:tcBorders>
              <w:top w:val="nil"/>
              <w:left w:val="nil"/>
              <w:bottom w:val="nil"/>
              <w:right w:val="nil"/>
            </w:tcBorders>
            <w:shd w:val="clear" w:color="auto" w:fill="auto"/>
            <w:vAlign w:val="center"/>
            <w:hideMark/>
          </w:tcPr>
          <w:p w14:paraId="437ADFAB"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5BE37CE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w:t>
            </w:r>
          </w:p>
        </w:tc>
        <w:tc>
          <w:tcPr>
            <w:tcW w:w="625" w:type="dxa"/>
            <w:tcBorders>
              <w:top w:val="nil"/>
              <w:left w:val="nil"/>
              <w:bottom w:val="nil"/>
              <w:right w:val="nil"/>
            </w:tcBorders>
            <w:shd w:val="clear" w:color="auto" w:fill="auto"/>
            <w:vAlign w:val="center"/>
            <w:hideMark/>
          </w:tcPr>
          <w:p w14:paraId="413ADB2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4,9</w:t>
            </w:r>
          </w:p>
        </w:tc>
        <w:tc>
          <w:tcPr>
            <w:tcW w:w="625" w:type="dxa"/>
            <w:tcBorders>
              <w:top w:val="nil"/>
              <w:left w:val="nil"/>
              <w:bottom w:val="nil"/>
              <w:right w:val="nil"/>
            </w:tcBorders>
            <w:shd w:val="clear" w:color="auto" w:fill="auto"/>
            <w:vAlign w:val="center"/>
            <w:hideMark/>
          </w:tcPr>
          <w:p w14:paraId="09F6DE2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4,7</w:t>
            </w:r>
          </w:p>
        </w:tc>
        <w:tc>
          <w:tcPr>
            <w:tcW w:w="625" w:type="dxa"/>
            <w:tcBorders>
              <w:top w:val="nil"/>
              <w:left w:val="nil"/>
              <w:bottom w:val="nil"/>
              <w:right w:val="nil"/>
            </w:tcBorders>
            <w:shd w:val="clear" w:color="auto" w:fill="auto"/>
            <w:vAlign w:val="center"/>
            <w:hideMark/>
          </w:tcPr>
          <w:p w14:paraId="5EB48C3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5,1</w:t>
            </w:r>
          </w:p>
        </w:tc>
        <w:tc>
          <w:tcPr>
            <w:tcW w:w="625" w:type="dxa"/>
            <w:tcBorders>
              <w:top w:val="nil"/>
              <w:left w:val="nil"/>
              <w:bottom w:val="nil"/>
              <w:right w:val="nil"/>
            </w:tcBorders>
            <w:shd w:val="clear" w:color="auto" w:fill="auto"/>
            <w:vAlign w:val="center"/>
            <w:hideMark/>
          </w:tcPr>
          <w:p w14:paraId="4F73762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5,3</w:t>
            </w:r>
          </w:p>
        </w:tc>
        <w:tc>
          <w:tcPr>
            <w:tcW w:w="625" w:type="dxa"/>
            <w:tcBorders>
              <w:top w:val="nil"/>
              <w:left w:val="nil"/>
              <w:bottom w:val="nil"/>
              <w:right w:val="nil"/>
            </w:tcBorders>
            <w:shd w:val="clear" w:color="auto" w:fill="auto"/>
            <w:vAlign w:val="center"/>
            <w:hideMark/>
          </w:tcPr>
          <w:p w14:paraId="1B8909D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6,4</w:t>
            </w:r>
          </w:p>
        </w:tc>
        <w:tc>
          <w:tcPr>
            <w:tcW w:w="625" w:type="dxa"/>
            <w:tcBorders>
              <w:top w:val="nil"/>
              <w:left w:val="nil"/>
              <w:bottom w:val="nil"/>
              <w:right w:val="nil"/>
            </w:tcBorders>
            <w:shd w:val="clear" w:color="auto" w:fill="auto"/>
            <w:vAlign w:val="center"/>
            <w:hideMark/>
          </w:tcPr>
          <w:p w14:paraId="734B5C1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6,7</w:t>
            </w:r>
          </w:p>
        </w:tc>
        <w:tc>
          <w:tcPr>
            <w:tcW w:w="625" w:type="dxa"/>
            <w:tcBorders>
              <w:top w:val="nil"/>
              <w:left w:val="nil"/>
              <w:bottom w:val="nil"/>
              <w:right w:val="nil"/>
            </w:tcBorders>
            <w:shd w:val="clear" w:color="auto" w:fill="auto"/>
            <w:vAlign w:val="center"/>
            <w:hideMark/>
          </w:tcPr>
          <w:p w14:paraId="2D19AAA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6,9</w:t>
            </w:r>
          </w:p>
        </w:tc>
        <w:tc>
          <w:tcPr>
            <w:tcW w:w="625" w:type="dxa"/>
            <w:tcBorders>
              <w:top w:val="nil"/>
              <w:left w:val="nil"/>
              <w:bottom w:val="nil"/>
              <w:right w:val="nil"/>
            </w:tcBorders>
            <w:shd w:val="clear" w:color="auto" w:fill="auto"/>
            <w:vAlign w:val="center"/>
          </w:tcPr>
          <w:p w14:paraId="4CB5056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579D7C3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w:t>
            </w:r>
          </w:p>
        </w:tc>
      </w:tr>
      <w:tr w:rsidR="00DA1C19" w:rsidRPr="00677CC7" w14:paraId="36B7C915"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7F4D83CA"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5BC5C7E7"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4D92DBEF"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vo vekovej skupine 18 - 24 rokov)</w:t>
            </w:r>
          </w:p>
        </w:tc>
        <w:tc>
          <w:tcPr>
            <w:tcW w:w="756" w:type="dxa"/>
            <w:tcBorders>
              <w:top w:val="nil"/>
              <w:left w:val="nil"/>
              <w:bottom w:val="single" w:sz="4" w:space="0" w:color="auto"/>
              <w:right w:val="nil"/>
            </w:tcBorders>
            <w:shd w:val="clear" w:color="auto" w:fill="auto"/>
            <w:vAlign w:val="center"/>
            <w:hideMark/>
          </w:tcPr>
          <w:p w14:paraId="160C32B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D01AC7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14,7</w:t>
            </w:r>
          </w:p>
        </w:tc>
        <w:tc>
          <w:tcPr>
            <w:tcW w:w="625" w:type="dxa"/>
            <w:tcBorders>
              <w:top w:val="nil"/>
              <w:left w:val="nil"/>
              <w:bottom w:val="single" w:sz="4" w:space="0" w:color="auto"/>
              <w:right w:val="nil"/>
            </w:tcBorders>
            <w:shd w:val="clear" w:color="auto" w:fill="auto"/>
            <w:vAlign w:val="center"/>
            <w:hideMark/>
          </w:tcPr>
          <w:p w14:paraId="7441DD8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14,2</w:t>
            </w:r>
          </w:p>
        </w:tc>
        <w:tc>
          <w:tcPr>
            <w:tcW w:w="625" w:type="dxa"/>
            <w:tcBorders>
              <w:top w:val="nil"/>
              <w:left w:val="nil"/>
              <w:bottom w:val="single" w:sz="4" w:space="0" w:color="auto"/>
              <w:right w:val="nil"/>
            </w:tcBorders>
            <w:shd w:val="clear" w:color="auto" w:fill="auto"/>
            <w:vAlign w:val="center"/>
            <w:hideMark/>
          </w:tcPr>
          <w:p w14:paraId="1DDC091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13,9</w:t>
            </w:r>
          </w:p>
        </w:tc>
        <w:tc>
          <w:tcPr>
            <w:tcW w:w="625" w:type="dxa"/>
            <w:tcBorders>
              <w:top w:val="nil"/>
              <w:left w:val="nil"/>
              <w:bottom w:val="single" w:sz="4" w:space="0" w:color="auto"/>
              <w:right w:val="nil"/>
            </w:tcBorders>
            <w:shd w:val="clear" w:color="auto" w:fill="auto"/>
            <w:vAlign w:val="center"/>
            <w:hideMark/>
          </w:tcPr>
          <w:p w14:paraId="1D548B3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13,4</w:t>
            </w:r>
          </w:p>
        </w:tc>
        <w:tc>
          <w:tcPr>
            <w:tcW w:w="625" w:type="dxa"/>
            <w:tcBorders>
              <w:top w:val="nil"/>
              <w:left w:val="nil"/>
              <w:bottom w:val="single" w:sz="4" w:space="0" w:color="auto"/>
              <w:right w:val="nil"/>
            </w:tcBorders>
            <w:shd w:val="clear" w:color="auto" w:fill="auto"/>
            <w:vAlign w:val="center"/>
            <w:hideMark/>
          </w:tcPr>
          <w:p w14:paraId="4F6EC0F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12,7</w:t>
            </w:r>
          </w:p>
        </w:tc>
        <w:tc>
          <w:tcPr>
            <w:tcW w:w="625" w:type="dxa"/>
            <w:tcBorders>
              <w:top w:val="nil"/>
              <w:left w:val="nil"/>
              <w:bottom w:val="single" w:sz="4" w:space="0" w:color="auto"/>
              <w:right w:val="nil"/>
            </w:tcBorders>
            <w:shd w:val="clear" w:color="auto" w:fill="auto"/>
            <w:vAlign w:val="center"/>
            <w:hideMark/>
          </w:tcPr>
          <w:p w14:paraId="66ED655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11,9</w:t>
            </w:r>
          </w:p>
        </w:tc>
        <w:tc>
          <w:tcPr>
            <w:tcW w:w="625" w:type="dxa"/>
            <w:tcBorders>
              <w:top w:val="nil"/>
              <w:left w:val="nil"/>
              <w:bottom w:val="single" w:sz="4" w:space="0" w:color="auto"/>
              <w:right w:val="nil"/>
            </w:tcBorders>
            <w:shd w:val="clear" w:color="auto" w:fill="auto"/>
            <w:vAlign w:val="center"/>
            <w:hideMark/>
          </w:tcPr>
          <w:p w14:paraId="3C56DCB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11,2</w:t>
            </w:r>
          </w:p>
        </w:tc>
        <w:tc>
          <w:tcPr>
            <w:tcW w:w="625" w:type="dxa"/>
            <w:tcBorders>
              <w:top w:val="nil"/>
              <w:left w:val="nil"/>
              <w:bottom w:val="single" w:sz="4" w:space="0" w:color="auto"/>
              <w:right w:val="nil"/>
            </w:tcBorders>
            <w:shd w:val="clear" w:color="auto" w:fill="auto"/>
            <w:vAlign w:val="center"/>
            <w:hideMark/>
          </w:tcPr>
          <w:p w14:paraId="6B5DD48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w:t>
            </w:r>
          </w:p>
        </w:tc>
        <w:tc>
          <w:tcPr>
            <w:tcW w:w="625" w:type="dxa"/>
            <w:tcBorders>
              <w:top w:val="nil"/>
              <w:left w:val="nil"/>
              <w:bottom w:val="single" w:sz="4" w:space="0" w:color="auto"/>
              <w:right w:val="nil"/>
            </w:tcBorders>
            <w:shd w:val="clear" w:color="auto" w:fill="auto"/>
            <w:vAlign w:val="center"/>
          </w:tcPr>
          <w:p w14:paraId="09AE6761" w14:textId="2CD3B49D"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02C0BA4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r>
      <w:tr w:rsidR="00DA1C19" w:rsidRPr="00677CC7" w14:paraId="2720E613"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43A9EB7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68BA4376" w14:textId="68DA2723"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6</w:t>
            </w:r>
          </w:p>
        </w:tc>
        <w:tc>
          <w:tcPr>
            <w:tcW w:w="2221" w:type="dxa"/>
            <w:tcBorders>
              <w:top w:val="nil"/>
              <w:left w:val="nil"/>
              <w:bottom w:val="nil"/>
              <w:right w:val="nil"/>
            </w:tcBorders>
            <w:shd w:val="clear" w:color="auto" w:fill="auto"/>
            <w:noWrap/>
            <w:vAlign w:val="center"/>
            <w:hideMark/>
          </w:tcPr>
          <w:p w14:paraId="4CBAF7E8"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Citácie</w:t>
            </w:r>
          </w:p>
        </w:tc>
        <w:tc>
          <w:tcPr>
            <w:tcW w:w="756" w:type="dxa"/>
            <w:tcBorders>
              <w:top w:val="nil"/>
              <w:left w:val="nil"/>
              <w:bottom w:val="nil"/>
              <w:right w:val="nil"/>
            </w:tcBorders>
            <w:shd w:val="clear" w:color="auto" w:fill="auto"/>
            <w:vAlign w:val="center"/>
            <w:hideMark/>
          </w:tcPr>
          <w:p w14:paraId="3BC56AA7"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noWrap/>
            <w:vAlign w:val="center"/>
            <w:hideMark/>
          </w:tcPr>
          <w:p w14:paraId="1F996DA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40</w:t>
            </w:r>
          </w:p>
        </w:tc>
        <w:tc>
          <w:tcPr>
            <w:tcW w:w="625" w:type="dxa"/>
            <w:tcBorders>
              <w:top w:val="nil"/>
              <w:left w:val="nil"/>
              <w:bottom w:val="nil"/>
              <w:right w:val="nil"/>
            </w:tcBorders>
            <w:shd w:val="clear" w:color="auto" w:fill="auto"/>
            <w:noWrap/>
            <w:vAlign w:val="center"/>
            <w:hideMark/>
          </w:tcPr>
          <w:p w14:paraId="5C1133A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35</w:t>
            </w:r>
          </w:p>
        </w:tc>
        <w:tc>
          <w:tcPr>
            <w:tcW w:w="625" w:type="dxa"/>
            <w:tcBorders>
              <w:top w:val="nil"/>
              <w:left w:val="nil"/>
              <w:bottom w:val="nil"/>
              <w:right w:val="nil"/>
            </w:tcBorders>
            <w:shd w:val="clear" w:color="auto" w:fill="auto"/>
            <w:noWrap/>
            <w:vAlign w:val="center"/>
            <w:hideMark/>
          </w:tcPr>
          <w:p w14:paraId="1AF680A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34</w:t>
            </w:r>
          </w:p>
        </w:tc>
        <w:tc>
          <w:tcPr>
            <w:tcW w:w="625" w:type="dxa"/>
            <w:tcBorders>
              <w:top w:val="nil"/>
              <w:left w:val="nil"/>
              <w:bottom w:val="nil"/>
              <w:right w:val="nil"/>
            </w:tcBorders>
            <w:shd w:val="clear" w:color="auto" w:fill="auto"/>
            <w:noWrap/>
            <w:vAlign w:val="center"/>
            <w:hideMark/>
          </w:tcPr>
          <w:p w14:paraId="7DB2665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35</w:t>
            </w:r>
          </w:p>
        </w:tc>
        <w:tc>
          <w:tcPr>
            <w:tcW w:w="625" w:type="dxa"/>
            <w:tcBorders>
              <w:top w:val="nil"/>
              <w:left w:val="nil"/>
              <w:bottom w:val="nil"/>
              <w:right w:val="nil"/>
            </w:tcBorders>
            <w:shd w:val="clear" w:color="auto" w:fill="auto"/>
            <w:noWrap/>
            <w:vAlign w:val="center"/>
            <w:hideMark/>
          </w:tcPr>
          <w:p w14:paraId="400D62D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45</w:t>
            </w:r>
          </w:p>
        </w:tc>
        <w:tc>
          <w:tcPr>
            <w:tcW w:w="625" w:type="dxa"/>
            <w:tcBorders>
              <w:top w:val="nil"/>
              <w:left w:val="nil"/>
              <w:bottom w:val="nil"/>
              <w:right w:val="nil"/>
            </w:tcBorders>
            <w:shd w:val="clear" w:color="auto" w:fill="auto"/>
            <w:noWrap/>
            <w:vAlign w:val="center"/>
            <w:hideMark/>
          </w:tcPr>
          <w:p w14:paraId="5C94906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47</w:t>
            </w:r>
          </w:p>
        </w:tc>
        <w:tc>
          <w:tcPr>
            <w:tcW w:w="625" w:type="dxa"/>
            <w:tcBorders>
              <w:top w:val="nil"/>
              <w:left w:val="nil"/>
              <w:bottom w:val="nil"/>
              <w:right w:val="nil"/>
            </w:tcBorders>
            <w:shd w:val="clear" w:color="auto" w:fill="auto"/>
            <w:noWrap/>
            <w:vAlign w:val="center"/>
            <w:hideMark/>
          </w:tcPr>
          <w:p w14:paraId="4A751DF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44</w:t>
            </w:r>
          </w:p>
        </w:tc>
        <w:tc>
          <w:tcPr>
            <w:tcW w:w="625" w:type="dxa"/>
            <w:tcBorders>
              <w:top w:val="nil"/>
              <w:left w:val="nil"/>
              <w:bottom w:val="nil"/>
              <w:right w:val="nil"/>
            </w:tcBorders>
            <w:shd w:val="clear" w:color="auto" w:fill="auto"/>
            <w:noWrap/>
            <w:vAlign w:val="center"/>
            <w:hideMark/>
          </w:tcPr>
          <w:p w14:paraId="0A0B059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50</w:t>
            </w:r>
          </w:p>
        </w:tc>
        <w:tc>
          <w:tcPr>
            <w:tcW w:w="625" w:type="dxa"/>
            <w:tcBorders>
              <w:top w:val="nil"/>
              <w:left w:val="nil"/>
              <w:bottom w:val="nil"/>
              <w:right w:val="nil"/>
            </w:tcBorders>
            <w:shd w:val="clear" w:color="auto" w:fill="auto"/>
            <w:noWrap/>
            <w:vAlign w:val="center"/>
          </w:tcPr>
          <w:p w14:paraId="63E3280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C84A0F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70</w:t>
            </w:r>
          </w:p>
        </w:tc>
      </w:tr>
      <w:tr w:rsidR="00DA1C19" w:rsidRPr="00677CC7" w14:paraId="016A136D" w14:textId="77777777" w:rsidTr="00C27D84">
        <w:trPr>
          <w:gridAfter w:val="1"/>
          <w:wAfter w:w="10" w:type="dxa"/>
          <w:trHeight w:val="326"/>
          <w:jc w:val="center"/>
        </w:trPr>
        <w:tc>
          <w:tcPr>
            <w:tcW w:w="426" w:type="dxa"/>
            <w:tcBorders>
              <w:top w:val="nil"/>
              <w:left w:val="nil"/>
              <w:bottom w:val="single" w:sz="4" w:space="0" w:color="auto"/>
              <w:right w:val="nil"/>
            </w:tcBorders>
            <w:shd w:val="clear" w:color="auto" w:fill="auto"/>
            <w:textDirection w:val="btLr"/>
            <w:vAlign w:val="center"/>
            <w:hideMark/>
          </w:tcPr>
          <w:p w14:paraId="34272A6A"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5D92F13C"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93D64A2"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100 = priemer EÚ)</w:t>
            </w:r>
          </w:p>
        </w:tc>
        <w:tc>
          <w:tcPr>
            <w:tcW w:w="756" w:type="dxa"/>
            <w:tcBorders>
              <w:top w:val="nil"/>
              <w:left w:val="nil"/>
              <w:bottom w:val="single" w:sz="4" w:space="0" w:color="auto"/>
              <w:right w:val="nil"/>
            </w:tcBorders>
            <w:shd w:val="clear" w:color="auto" w:fill="auto"/>
            <w:vAlign w:val="center"/>
            <w:hideMark/>
          </w:tcPr>
          <w:p w14:paraId="734A92E2"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0EF1E7D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71588AD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6CD3ECA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192A3DC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04919C7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vAlign w:val="center"/>
            <w:hideMark/>
          </w:tcPr>
          <w:p w14:paraId="612B730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vAlign w:val="center"/>
            <w:hideMark/>
          </w:tcPr>
          <w:p w14:paraId="5AE843B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vAlign w:val="center"/>
            <w:hideMark/>
          </w:tcPr>
          <w:p w14:paraId="1B7B50A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 xml:space="preserve"> - </w:t>
            </w:r>
          </w:p>
        </w:tc>
        <w:tc>
          <w:tcPr>
            <w:tcW w:w="625" w:type="dxa"/>
            <w:tcBorders>
              <w:top w:val="nil"/>
              <w:left w:val="nil"/>
              <w:bottom w:val="single" w:sz="4" w:space="0" w:color="auto"/>
              <w:right w:val="nil"/>
            </w:tcBorders>
            <w:shd w:val="clear" w:color="auto" w:fill="auto"/>
            <w:noWrap/>
            <w:vAlign w:val="center"/>
          </w:tcPr>
          <w:p w14:paraId="64D0CEFB" w14:textId="50C4BB95"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39A1709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78F8F109"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5D77EEA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5D0B3D08" w14:textId="21296D45"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7</w:t>
            </w:r>
          </w:p>
        </w:tc>
        <w:tc>
          <w:tcPr>
            <w:tcW w:w="2221" w:type="dxa"/>
            <w:tcBorders>
              <w:top w:val="nil"/>
              <w:left w:val="nil"/>
              <w:bottom w:val="nil"/>
              <w:right w:val="nil"/>
            </w:tcBorders>
            <w:shd w:val="clear" w:color="auto" w:fill="auto"/>
            <w:noWrap/>
            <w:vAlign w:val="center"/>
            <w:hideMark/>
          </w:tcPr>
          <w:p w14:paraId="13314256"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Miera vysokoškolsky vzdelanej populácie</w:t>
            </w:r>
          </w:p>
        </w:tc>
        <w:tc>
          <w:tcPr>
            <w:tcW w:w="756" w:type="dxa"/>
            <w:tcBorders>
              <w:top w:val="nil"/>
              <w:left w:val="nil"/>
              <w:bottom w:val="nil"/>
              <w:right w:val="nil"/>
            </w:tcBorders>
            <w:shd w:val="clear" w:color="auto" w:fill="auto"/>
            <w:vAlign w:val="center"/>
            <w:hideMark/>
          </w:tcPr>
          <w:p w14:paraId="63CA9C54"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6EDC407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15,8</w:t>
            </w:r>
          </w:p>
        </w:tc>
        <w:tc>
          <w:tcPr>
            <w:tcW w:w="625" w:type="dxa"/>
            <w:tcBorders>
              <w:top w:val="nil"/>
              <w:left w:val="nil"/>
              <w:bottom w:val="nil"/>
              <w:right w:val="nil"/>
            </w:tcBorders>
            <w:shd w:val="clear" w:color="auto" w:fill="auto"/>
            <w:vAlign w:val="center"/>
            <w:hideMark/>
          </w:tcPr>
          <w:p w14:paraId="12A2226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17,6</w:t>
            </w:r>
          </w:p>
        </w:tc>
        <w:tc>
          <w:tcPr>
            <w:tcW w:w="625" w:type="dxa"/>
            <w:tcBorders>
              <w:top w:val="nil"/>
              <w:left w:val="nil"/>
              <w:bottom w:val="nil"/>
              <w:right w:val="nil"/>
            </w:tcBorders>
            <w:shd w:val="clear" w:color="auto" w:fill="auto"/>
            <w:vAlign w:val="center"/>
            <w:hideMark/>
          </w:tcPr>
          <w:p w14:paraId="710E5E9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22,1</w:t>
            </w:r>
          </w:p>
        </w:tc>
        <w:tc>
          <w:tcPr>
            <w:tcW w:w="625" w:type="dxa"/>
            <w:tcBorders>
              <w:top w:val="nil"/>
              <w:left w:val="nil"/>
              <w:bottom w:val="nil"/>
              <w:right w:val="nil"/>
            </w:tcBorders>
            <w:shd w:val="clear" w:color="auto" w:fill="auto"/>
            <w:vAlign w:val="center"/>
            <w:hideMark/>
          </w:tcPr>
          <w:p w14:paraId="4F50E31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23,2</w:t>
            </w:r>
          </w:p>
        </w:tc>
        <w:tc>
          <w:tcPr>
            <w:tcW w:w="625" w:type="dxa"/>
            <w:tcBorders>
              <w:top w:val="nil"/>
              <w:left w:val="nil"/>
              <w:bottom w:val="nil"/>
              <w:right w:val="nil"/>
            </w:tcBorders>
            <w:shd w:val="clear" w:color="auto" w:fill="auto"/>
            <w:vAlign w:val="center"/>
            <w:hideMark/>
          </w:tcPr>
          <w:p w14:paraId="6D2591F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23,7</w:t>
            </w:r>
          </w:p>
        </w:tc>
        <w:tc>
          <w:tcPr>
            <w:tcW w:w="625" w:type="dxa"/>
            <w:tcBorders>
              <w:top w:val="nil"/>
              <w:left w:val="nil"/>
              <w:bottom w:val="nil"/>
              <w:right w:val="nil"/>
            </w:tcBorders>
            <w:shd w:val="clear" w:color="auto" w:fill="auto"/>
            <w:vAlign w:val="center"/>
            <w:hideMark/>
          </w:tcPr>
          <w:p w14:paraId="555EC1E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26,9</w:t>
            </w:r>
          </w:p>
        </w:tc>
        <w:tc>
          <w:tcPr>
            <w:tcW w:w="625" w:type="dxa"/>
            <w:tcBorders>
              <w:top w:val="nil"/>
              <w:left w:val="nil"/>
              <w:bottom w:val="nil"/>
              <w:right w:val="nil"/>
            </w:tcBorders>
            <w:shd w:val="clear" w:color="auto" w:fill="auto"/>
            <w:vAlign w:val="center"/>
            <w:hideMark/>
          </w:tcPr>
          <w:p w14:paraId="2F415B8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26,9</w:t>
            </w:r>
          </w:p>
        </w:tc>
        <w:tc>
          <w:tcPr>
            <w:tcW w:w="625" w:type="dxa"/>
            <w:tcBorders>
              <w:top w:val="nil"/>
              <w:left w:val="nil"/>
              <w:bottom w:val="nil"/>
              <w:right w:val="nil"/>
            </w:tcBorders>
            <w:shd w:val="clear" w:color="auto" w:fill="auto"/>
            <w:vAlign w:val="center"/>
            <w:hideMark/>
          </w:tcPr>
          <w:p w14:paraId="79608AF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28,2</w:t>
            </w:r>
          </w:p>
        </w:tc>
        <w:tc>
          <w:tcPr>
            <w:tcW w:w="625" w:type="dxa"/>
            <w:tcBorders>
              <w:top w:val="nil"/>
              <w:left w:val="nil"/>
              <w:bottom w:val="nil"/>
              <w:right w:val="nil"/>
            </w:tcBorders>
            <w:shd w:val="clear" w:color="auto" w:fill="auto"/>
            <w:noWrap/>
            <w:vAlign w:val="center"/>
          </w:tcPr>
          <w:p w14:paraId="07BF8EBB" w14:textId="265D2716"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5AD3588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40</w:t>
            </w:r>
          </w:p>
        </w:tc>
      </w:tr>
      <w:tr w:rsidR="00DA1C19" w:rsidRPr="00677CC7" w14:paraId="53BC41B8"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0143E1FB"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24410977"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E14E54F"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vo vekovej skupine 30 - 34 rokov)</w:t>
            </w:r>
          </w:p>
        </w:tc>
        <w:tc>
          <w:tcPr>
            <w:tcW w:w="756" w:type="dxa"/>
            <w:tcBorders>
              <w:top w:val="nil"/>
              <w:left w:val="nil"/>
              <w:bottom w:val="single" w:sz="4" w:space="0" w:color="auto"/>
              <w:right w:val="nil"/>
            </w:tcBorders>
            <w:shd w:val="clear" w:color="auto" w:fill="auto"/>
            <w:vAlign w:val="center"/>
            <w:hideMark/>
          </w:tcPr>
          <w:p w14:paraId="32ADED3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557138C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31,2</w:t>
            </w:r>
          </w:p>
        </w:tc>
        <w:tc>
          <w:tcPr>
            <w:tcW w:w="625" w:type="dxa"/>
            <w:tcBorders>
              <w:top w:val="nil"/>
              <w:left w:val="nil"/>
              <w:bottom w:val="single" w:sz="4" w:space="0" w:color="auto"/>
              <w:right w:val="nil"/>
            </w:tcBorders>
            <w:shd w:val="clear" w:color="auto" w:fill="auto"/>
            <w:vAlign w:val="center"/>
            <w:hideMark/>
          </w:tcPr>
          <w:p w14:paraId="739D260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32,3</w:t>
            </w:r>
          </w:p>
        </w:tc>
        <w:tc>
          <w:tcPr>
            <w:tcW w:w="625" w:type="dxa"/>
            <w:tcBorders>
              <w:top w:val="nil"/>
              <w:left w:val="nil"/>
              <w:bottom w:val="single" w:sz="4" w:space="0" w:color="auto"/>
              <w:right w:val="nil"/>
            </w:tcBorders>
            <w:shd w:val="clear" w:color="auto" w:fill="auto"/>
            <w:vAlign w:val="center"/>
            <w:hideMark/>
          </w:tcPr>
          <w:p w14:paraId="6EC8C9A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33,8</w:t>
            </w:r>
          </w:p>
        </w:tc>
        <w:tc>
          <w:tcPr>
            <w:tcW w:w="625" w:type="dxa"/>
            <w:tcBorders>
              <w:top w:val="nil"/>
              <w:left w:val="nil"/>
              <w:bottom w:val="single" w:sz="4" w:space="0" w:color="auto"/>
              <w:right w:val="nil"/>
            </w:tcBorders>
            <w:shd w:val="clear" w:color="auto" w:fill="auto"/>
            <w:vAlign w:val="center"/>
            <w:hideMark/>
          </w:tcPr>
          <w:p w14:paraId="27ED409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34,8</w:t>
            </w:r>
          </w:p>
        </w:tc>
        <w:tc>
          <w:tcPr>
            <w:tcW w:w="625" w:type="dxa"/>
            <w:tcBorders>
              <w:top w:val="nil"/>
              <w:left w:val="nil"/>
              <w:bottom w:val="single" w:sz="4" w:space="0" w:color="auto"/>
              <w:right w:val="nil"/>
            </w:tcBorders>
            <w:shd w:val="clear" w:color="auto" w:fill="auto"/>
            <w:vAlign w:val="center"/>
            <w:hideMark/>
          </w:tcPr>
          <w:p w14:paraId="53D4E0B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36</w:t>
            </w:r>
          </w:p>
        </w:tc>
        <w:tc>
          <w:tcPr>
            <w:tcW w:w="625" w:type="dxa"/>
            <w:tcBorders>
              <w:top w:val="nil"/>
              <w:left w:val="nil"/>
              <w:bottom w:val="single" w:sz="4" w:space="0" w:color="auto"/>
              <w:right w:val="nil"/>
            </w:tcBorders>
            <w:shd w:val="clear" w:color="auto" w:fill="auto"/>
            <w:vAlign w:val="center"/>
            <w:hideMark/>
          </w:tcPr>
          <w:p w14:paraId="28BD94D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37,1</w:t>
            </w:r>
          </w:p>
        </w:tc>
        <w:tc>
          <w:tcPr>
            <w:tcW w:w="625" w:type="dxa"/>
            <w:tcBorders>
              <w:top w:val="nil"/>
              <w:left w:val="nil"/>
              <w:bottom w:val="single" w:sz="4" w:space="0" w:color="auto"/>
              <w:right w:val="nil"/>
            </w:tcBorders>
            <w:shd w:val="clear" w:color="auto" w:fill="auto"/>
            <w:vAlign w:val="center"/>
            <w:hideMark/>
          </w:tcPr>
          <w:p w14:paraId="0C04A79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37,9</w:t>
            </w:r>
          </w:p>
        </w:tc>
        <w:tc>
          <w:tcPr>
            <w:tcW w:w="625" w:type="dxa"/>
            <w:tcBorders>
              <w:top w:val="nil"/>
              <w:left w:val="nil"/>
              <w:bottom w:val="single" w:sz="4" w:space="0" w:color="auto"/>
              <w:right w:val="nil"/>
            </w:tcBorders>
            <w:shd w:val="clear" w:color="auto" w:fill="auto"/>
            <w:vAlign w:val="center"/>
            <w:hideMark/>
          </w:tcPr>
          <w:p w14:paraId="299E4CB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39,4</w:t>
            </w:r>
          </w:p>
        </w:tc>
        <w:tc>
          <w:tcPr>
            <w:tcW w:w="625" w:type="dxa"/>
            <w:tcBorders>
              <w:top w:val="nil"/>
              <w:left w:val="nil"/>
              <w:bottom w:val="single" w:sz="4" w:space="0" w:color="auto"/>
              <w:right w:val="nil"/>
            </w:tcBorders>
            <w:shd w:val="clear" w:color="auto" w:fill="auto"/>
            <w:noWrap/>
            <w:vAlign w:val="center"/>
          </w:tcPr>
          <w:p w14:paraId="38F28BF5" w14:textId="5EB1364E"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4BF010A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40</w:t>
            </w:r>
          </w:p>
        </w:tc>
      </w:tr>
      <w:tr w:rsidR="00DA1C19" w:rsidRPr="00677CC7" w14:paraId="3504CE52"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7832024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318DBD0D" w14:textId="51F5C668"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8</w:t>
            </w:r>
          </w:p>
        </w:tc>
        <w:tc>
          <w:tcPr>
            <w:tcW w:w="2221" w:type="dxa"/>
            <w:tcBorders>
              <w:top w:val="nil"/>
              <w:left w:val="nil"/>
              <w:bottom w:val="nil"/>
              <w:right w:val="nil"/>
            </w:tcBorders>
            <w:shd w:val="clear" w:color="auto" w:fill="auto"/>
            <w:noWrap/>
            <w:vAlign w:val="center"/>
            <w:hideMark/>
          </w:tcPr>
          <w:p w14:paraId="259A672D"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Výdavky na vedu a výskum</w:t>
            </w:r>
          </w:p>
        </w:tc>
        <w:tc>
          <w:tcPr>
            <w:tcW w:w="756" w:type="dxa"/>
            <w:tcBorders>
              <w:top w:val="nil"/>
              <w:left w:val="nil"/>
              <w:bottom w:val="nil"/>
              <w:right w:val="nil"/>
            </w:tcBorders>
            <w:shd w:val="clear" w:color="auto" w:fill="auto"/>
            <w:vAlign w:val="center"/>
            <w:hideMark/>
          </w:tcPr>
          <w:p w14:paraId="2F74FFD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3686BFE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0,46</w:t>
            </w:r>
          </w:p>
        </w:tc>
        <w:tc>
          <w:tcPr>
            <w:tcW w:w="625" w:type="dxa"/>
            <w:tcBorders>
              <w:top w:val="nil"/>
              <w:left w:val="nil"/>
              <w:bottom w:val="nil"/>
              <w:right w:val="nil"/>
            </w:tcBorders>
            <w:shd w:val="clear" w:color="auto" w:fill="auto"/>
            <w:vAlign w:val="center"/>
            <w:hideMark/>
          </w:tcPr>
          <w:p w14:paraId="6A7DE07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0,47</w:t>
            </w:r>
          </w:p>
        </w:tc>
        <w:tc>
          <w:tcPr>
            <w:tcW w:w="625" w:type="dxa"/>
            <w:tcBorders>
              <w:top w:val="nil"/>
              <w:left w:val="nil"/>
              <w:bottom w:val="nil"/>
              <w:right w:val="nil"/>
            </w:tcBorders>
            <w:shd w:val="clear" w:color="auto" w:fill="auto"/>
            <w:vAlign w:val="center"/>
            <w:hideMark/>
          </w:tcPr>
          <w:p w14:paraId="7A19B26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0,62</w:t>
            </w:r>
          </w:p>
        </w:tc>
        <w:tc>
          <w:tcPr>
            <w:tcW w:w="625" w:type="dxa"/>
            <w:tcBorders>
              <w:top w:val="nil"/>
              <w:left w:val="nil"/>
              <w:bottom w:val="nil"/>
              <w:right w:val="nil"/>
            </w:tcBorders>
            <w:shd w:val="clear" w:color="auto" w:fill="auto"/>
            <w:vAlign w:val="center"/>
            <w:hideMark/>
          </w:tcPr>
          <w:p w14:paraId="46DE5D4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0,67</w:t>
            </w:r>
          </w:p>
        </w:tc>
        <w:tc>
          <w:tcPr>
            <w:tcW w:w="625" w:type="dxa"/>
            <w:tcBorders>
              <w:top w:val="nil"/>
              <w:left w:val="nil"/>
              <w:bottom w:val="nil"/>
              <w:right w:val="nil"/>
            </w:tcBorders>
            <w:shd w:val="clear" w:color="auto" w:fill="auto"/>
            <w:vAlign w:val="center"/>
            <w:hideMark/>
          </w:tcPr>
          <w:p w14:paraId="5BAD65C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0,81</w:t>
            </w:r>
          </w:p>
        </w:tc>
        <w:tc>
          <w:tcPr>
            <w:tcW w:w="625" w:type="dxa"/>
            <w:tcBorders>
              <w:top w:val="nil"/>
              <w:left w:val="nil"/>
              <w:bottom w:val="nil"/>
              <w:right w:val="nil"/>
            </w:tcBorders>
            <w:shd w:val="clear" w:color="auto" w:fill="auto"/>
            <w:vAlign w:val="center"/>
            <w:hideMark/>
          </w:tcPr>
          <w:p w14:paraId="262750B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0,83</w:t>
            </w:r>
          </w:p>
        </w:tc>
        <w:tc>
          <w:tcPr>
            <w:tcW w:w="625" w:type="dxa"/>
            <w:tcBorders>
              <w:top w:val="nil"/>
              <w:left w:val="nil"/>
              <w:bottom w:val="nil"/>
              <w:right w:val="nil"/>
            </w:tcBorders>
            <w:shd w:val="clear" w:color="auto" w:fill="auto"/>
            <w:vAlign w:val="center"/>
            <w:hideMark/>
          </w:tcPr>
          <w:p w14:paraId="4D50AE9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0,89</w:t>
            </w:r>
          </w:p>
        </w:tc>
        <w:tc>
          <w:tcPr>
            <w:tcW w:w="625" w:type="dxa"/>
            <w:tcBorders>
              <w:top w:val="nil"/>
              <w:left w:val="nil"/>
              <w:bottom w:val="nil"/>
              <w:right w:val="nil"/>
            </w:tcBorders>
            <w:shd w:val="clear" w:color="auto" w:fill="auto"/>
            <w:vAlign w:val="center"/>
            <w:hideMark/>
          </w:tcPr>
          <w:p w14:paraId="2B46811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1,18</w:t>
            </w:r>
          </w:p>
        </w:tc>
        <w:tc>
          <w:tcPr>
            <w:tcW w:w="625" w:type="dxa"/>
            <w:tcBorders>
              <w:top w:val="nil"/>
              <w:left w:val="nil"/>
              <w:bottom w:val="nil"/>
              <w:right w:val="nil"/>
            </w:tcBorders>
            <w:shd w:val="clear" w:color="auto" w:fill="auto"/>
            <w:noWrap/>
            <w:vAlign w:val="center"/>
          </w:tcPr>
          <w:p w14:paraId="4AD4207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46EE0A0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1,2</w:t>
            </w:r>
          </w:p>
        </w:tc>
      </w:tr>
      <w:tr w:rsidR="00DA1C19" w:rsidRPr="00677CC7" w14:paraId="70043CE6"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146BF6B5"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0CE44C35"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D4C478D"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HDP)</w:t>
            </w:r>
          </w:p>
        </w:tc>
        <w:tc>
          <w:tcPr>
            <w:tcW w:w="756" w:type="dxa"/>
            <w:tcBorders>
              <w:top w:val="nil"/>
              <w:left w:val="nil"/>
              <w:bottom w:val="single" w:sz="4" w:space="0" w:color="auto"/>
              <w:right w:val="nil"/>
            </w:tcBorders>
            <w:shd w:val="clear" w:color="auto" w:fill="auto"/>
            <w:vAlign w:val="center"/>
            <w:hideMark/>
          </w:tcPr>
          <w:p w14:paraId="6261ABD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nil"/>
              <w:right w:val="nil"/>
            </w:tcBorders>
            <w:shd w:val="clear" w:color="auto" w:fill="auto"/>
            <w:vAlign w:val="center"/>
            <w:hideMark/>
          </w:tcPr>
          <w:p w14:paraId="580A12B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1,85</w:t>
            </w:r>
          </w:p>
        </w:tc>
        <w:tc>
          <w:tcPr>
            <w:tcW w:w="625" w:type="dxa"/>
            <w:tcBorders>
              <w:top w:val="nil"/>
              <w:left w:val="nil"/>
              <w:bottom w:val="nil"/>
              <w:right w:val="nil"/>
            </w:tcBorders>
            <w:shd w:val="clear" w:color="auto" w:fill="auto"/>
            <w:vAlign w:val="center"/>
            <w:hideMark/>
          </w:tcPr>
          <w:p w14:paraId="157E19B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1,94</w:t>
            </w:r>
          </w:p>
        </w:tc>
        <w:tc>
          <w:tcPr>
            <w:tcW w:w="625" w:type="dxa"/>
            <w:tcBorders>
              <w:top w:val="nil"/>
              <w:left w:val="nil"/>
              <w:bottom w:val="nil"/>
              <w:right w:val="nil"/>
            </w:tcBorders>
            <w:shd w:val="clear" w:color="auto" w:fill="auto"/>
            <w:vAlign w:val="center"/>
            <w:hideMark/>
          </w:tcPr>
          <w:p w14:paraId="21ACF2F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1,93</w:t>
            </w:r>
          </w:p>
        </w:tc>
        <w:tc>
          <w:tcPr>
            <w:tcW w:w="625" w:type="dxa"/>
            <w:tcBorders>
              <w:top w:val="nil"/>
              <w:left w:val="nil"/>
              <w:bottom w:val="nil"/>
              <w:right w:val="nil"/>
            </w:tcBorders>
            <w:shd w:val="clear" w:color="auto" w:fill="auto"/>
            <w:vAlign w:val="center"/>
            <w:hideMark/>
          </w:tcPr>
          <w:p w14:paraId="02F0FE9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1,97</w:t>
            </w:r>
          </w:p>
        </w:tc>
        <w:tc>
          <w:tcPr>
            <w:tcW w:w="625" w:type="dxa"/>
            <w:tcBorders>
              <w:top w:val="nil"/>
              <w:left w:val="nil"/>
              <w:bottom w:val="nil"/>
              <w:right w:val="nil"/>
            </w:tcBorders>
            <w:shd w:val="clear" w:color="auto" w:fill="auto"/>
            <w:vAlign w:val="center"/>
            <w:hideMark/>
          </w:tcPr>
          <w:p w14:paraId="726498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2,01</w:t>
            </w:r>
          </w:p>
        </w:tc>
        <w:tc>
          <w:tcPr>
            <w:tcW w:w="625" w:type="dxa"/>
            <w:tcBorders>
              <w:top w:val="nil"/>
              <w:left w:val="nil"/>
              <w:bottom w:val="single" w:sz="8" w:space="0" w:color="auto"/>
              <w:right w:val="nil"/>
            </w:tcBorders>
            <w:shd w:val="clear" w:color="auto" w:fill="auto"/>
            <w:vAlign w:val="center"/>
            <w:hideMark/>
          </w:tcPr>
          <w:p w14:paraId="183DA9C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2,03</w:t>
            </w:r>
          </w:p>
        </w:tc>
        <w:tc>
          <w:tcPr>
            <w:tcW w:w="625" w:type="dxa"/>
            <w:tcBorders>
              <w:top w:val="nil"/>
              <w:left w:val="nil"/>
              <w:bottom w:val="single" w:sz="8" w:space="0" w:color="auto"/>
              <w:right w:val="nil"/>
            </w:tcBorders>
            <w:shd w:val="clear" w:color="auto" w:fill="auto"/>
            <w:vAlign w:val="center"/>
            <w:hideMark/>
          </w:tcPr>
          <w:p w14:paraId="10A608A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2,04</w:t>
            </w:r>
          </w:p>
        </w:tc>
        <w:tc>
          <w:tcPr>
            <w:tcW w:w="625" w:type="dxa"/>
            <w:tcBorders>
              <w:top w:val="nil"/>
              <w:left w:val="nil"/>
              <w:bottom w:val="single" w:sz="8" w:space="0" w:color="auto"/>
              <w:right w:val="nil"/>
            </w:tcBorders>
            <w:shd w:val="clear" w:color="auto" w:fill="auto"/>
            <w:vAlign w:val="center"/>
            <w:hideMark/>
          </w:tcPr>
          <w:p w14:paraId="4CA61F8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2,03</w:t>
            </w:r>
          </w:p>
        </w:tc>
        <w:tc>
          <w:tcPr>
            <w:tcW w:w="625" w:type="dxa"/>
            <w:tcBorders>
              <w:top w:val="nil"/>
              <w:left w:val="nil"/>
              <w:bottom w:val="single" w:sz="4" w:space="0" w:color="auto"/>
              <w:right w:val="nil"/>
            </w:tcBorders>
            <w:shd w:val="clear" w:color="auto" w:fill="auto"/>
            <w:noWrap/>
            <w:vAlign w:val="center"/>
          </w:tcPr>
          <w:p w14:paraId="1C14F888" w14:textId="4F7D3AD5"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6B8F357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w:t>
            </w:r>
          </w:p>
        </w:tc>
      </w:tr>
      <w:tr w:rsidR="00DA1C19" w:rsidRPr="00677CC7" w14:paraId="1B624675"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6DA135D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5C9A9347" w14:textId="34922901"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9</w:t>
            </w:r>
          </w:p>
        </w:tc>
        <w:tc>
          <w:tcPr>
            <w:tcW w:w="2221" w:type="dxa"/>
            <w:tcBorders>
              <w:top w:val="nil"/>
              <w:left w:val="nil"/>
              <w:bottom w:val="nil"/>
              <w:right w:val="nil"/>
            </w:tcBorders>
            <w:shd w:val="clear" w:color="auto" w:fill="auto"/>
            <w:noWrap/>
            <w:vAlign w:val="center"/>
            <w:hideMark/>
          </w:tcPr>
          <w:p w14:paraId="3110EA7A"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High-tech export</w:t>
            </w:r>
          </w:p>
        </w:tc>
        <w:tc>
          <w:tcPr>
            <w:tcW w:w="756" w:type="dxa"/>
            <w:tcBorders>
              <w:top w:val="nil"/>
              <w:left w:val="nil"/>
              <w:bottom w:val="nil"/>
              <w:right w:val="nil"/>
            </w:tcBorders>
            <w:shd w:val="clear" w:color="auto" w:fill="auto"/>
            <w:vAlign w:val="center"/>
            <w:hideMark/>
          </w:tcPr>
          <w:p w14:paraId="7100226F"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8" w:space="0" w:color="auto"/>
              <w:left w:val="nil"/>
              <w:bottom w:val="nil"/>
              <w:right w:val="nil"/>
            </w:tcBorders>
            <w:shd w:val="clear" w:color="auto" w:fill="auto"/>
            <w:vAlign w:val="center"/>
            <w:hideMark/>
          </w:tcPr>
          <w:p w14:paraId="2D35ED8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5,2</w:t>
            </w:r>
          </w:p>
        </w:tc>
        <w:tc>
          <w:tcPr>
            <w:tcW w:w="625" w:type="dxa"/>
            <w:tcBorders>
              <w:top w:val="single" w:sz="8" w:space="0" w:color="auto"/>
              <w:left w:val="nil"/>
              <w:bottom w:val="nil"/>
              <w:right w:val="nil"/>
            </w:tcBorders>
            <w:shd w:val="clear" w:color="auto" w:fill="auto"/>
            <w:vAlign w:val="center"/>
            <w:hideMark/>
          </w:tcPr>
          <w:p w14:paraId="08E6B2A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5,9</w:t>
            </w:r>
          </w:p>
        </w:tc>
        <w:tc>
          <w:tcPr>
            <w:tcW w:w="625" w:type="dxa"/>
            <w:tcBorders>
              <w:top w:val="single" w:sz="8" w:space="0" w:color="auto"/>
              <w:left w:val="nil"/>
              <w:bottom w:val="nil"/>
              <w:right w:val="nil"/>
            </w:tcBorders>
            <w:shd w:val="clear" w:color="auto" w:fill="auto"/>
            <w:vAlign w:val="center"/>
            <w:hideMark/>
          </w:tcPr>
          <w:p w14:paraId="1560A39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w:t>
            </w:r>
          </w:p>
        </w:tc>
        <w:tc>
          <w:tcPr>
            <w:tcW w:w="625" w:type="dxa"/>
            <w:tcBorders>
              <w:top w:val="single" w:sz="8" w:space="0" w:color="auto"/>
              <w:left w:val="nil"/>
              <w:bottom w:val="nil"/>
              <w:right w:val="nil"/>
            </w:tcBorders>
            <w:shd w:val="clear" w:color="auto" w:fill="auto"/>
            <w:vAlign w:val="center"/>
            <w:hideMark/>
          </w:tcPr>
          <w:p w14:paraId="3771639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w:t>
            </w:r>
          </w:p>
        </w:tc>
        <w:tc>
          <w:tcPr>
            <w:tcW w:w="625" w:type="dxa"/>
            <w:tcBorders>
              <w:top w:val="single" w:sz="8" w:space="0" w:color="auto"/>
              <w:left w:val="nil"/>
              <w:bottom w:val="nil"/>
              <w:right w:val="nil"/>
            </w:tcBorders>
            <w:shd w:val="clear" w:color="auto" w:fill="auto"/>
            <w:vAlign w:val="center"/>
            <w:hideMark/>
          </w:tcPr>
          <w:p w14:paraId="1405D85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8,2</w:t>
            </w:r>
          </w:p>
        </w:tc>
        <w:tc>
          <w:tcPr>
            <w:tcW w:w="625" w:type="dxa"/>
            <w:tcBorders>
              <w:top w:val="nil"/>
              <w:left w:val="nil"/>
              <w:bottom w:val="nil"/>
              <w:right w:val="nil"/>
            </w:tcBorders>
            <w:shd w:val="clear" w:color="auto" w:fill="auto"/>
            <w:vAlign w:val="center"/>
            <w:hideMark/>
          </w:tcPr>
          <w:p w14:paraId="3F48741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9,5</w:t>
            </w:r>
          </w:p>
        </w:tc>
        <w:tc>
          <w:tcPr>
            <w:tcW w:w="625" w:type="dxa"/>
            <w:tcBorders>
              <w:top w:val="nil"/>
              <w:left w:val="nil"/>
              <w:bottom w:val="nil"/>
              <w:right w:val="nil"/>
            </w:tcBorders>
            <w:shd w:val="clear" w:color="auto" w:fill="auto"/>
            <w:vAlign w:val="center"/>
            <w:hideMark/>
          </w:tcPr>
          <w:p w14:paraId="5999857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9,7</w:t>
            </w:r>
          </w:p>
        </w:tc>
        <w:tc>
          <w:tcPr>
            <w:tcW w:w="625" w:type="dxa"/>
            <w:tcBorders>
              <w:top w:val="nil"/>
              <w:left w:val="nil"/>
              <w:bottom w:val="nil"/>
              <w:right w:val="nil"/>
            </w:tcBorders>
            <w:shd w:val="clear" w:color="auto" w:fill="auto"/>
            <w:vAlign w:val="center"/>
            <w:hideMark/>
          </w:tcPr>
          <w:p w14:paraId="71A1350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9,8</w:t>
            </w:r>
          </w:p>
        </w:tc>
        <w:tc>
          <w:tcPr>
            <w:tcW w:w="625" w:type="dxa"/>
            <w:tcBorders>
              <w:top w:val="nil"/>
              <w:left w:val="nil"/>
              <w:bottom w:val="nil"/>
              <w:right w:val="nil"/>
            </w:tcBorders>
            <w:shd w:val="clear" w:color="auto" w:fill="auto"/>
            <w:noWrap/>
            <w:vAlign w:val="center"/>
          </w:tcPr>
          <w:p w14:paraId="507BA2A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321CF15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r>
      <w:tr w:rsidR="00DA1C19" w:rsidRPr="00677CC7" w14:paraId="6263CDBD"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2435B96B"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3C16F937"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5863876C"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na celkovom exporte)</w:t>
            </w:r>
          </w:p>
        </w:tc>
        <w:tc>
          <w:tcPr>
            <w:tcW w:w="756" w:type="dxa"/>
            <w:tcBorders>
              <w:top w:val="nil"/>
              <w:left w:val="nil"/>
              <w:bottom w:val="single" w:sz="4" w:space="0" w:color="auto"/>
              <w:right w:val="nil"/>
            </w:tcBorders>
            <w:shd w:val="clear" w:color="auto" w:fill="auto"/>
            <w:vAlign w:val="center"/>
            <w:hideMark/>
          </w:tcPr>
          <w:p w14:paraId="7D4F2F45"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1D55FA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15,4</w:t>
            </w:r>
          </w:p>
        </w:tc>
        <w:tc>
          <w:tcPr>
            <w:tcW w:w="625" w:type="dxa"/>
            <w:tcBorders>
              <w:top w:val="nil"/>
              <w:left w:val="nil"/>
              <w:bottom w:val="single" w:sz="4" w:space="0" w:color="auto"/>
              <w:right w:val="nil"/>
            </w:tcBorders>
            <w:shd w:val="clear" w:color="auto" w:fill="auto"/>
            <w:vAlign w:val="center"/>
            <w:hideMark/>
          </w:tcPr>
          <w:p w14:paraId="51C27D2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17,1</w:t>
            </w:r>
          </w:p>
        </w:tc>
        <w:tc>
          <w:tcPr>
            <w:tcW w:w="625" w:type="dxa"/>
            <w:tcBorders>
              <w:top w:val="nil"/>
              <w:left w:val="nil"/>
              <w:bottom w:val="single" w:sz="4" w:space="0" w:color="auto"/>
              <w:right w:val="nil"/>
            </w:tcBorders>
            <w:shd w:val="clear" w:color="auto" w:fill="auto"/>
            <w:vAlign w:val="center"/>
            <w:hideMark/>
          </w:tcPr>
          <w:p w14:paraId="2D49117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16,1</w:t>
            </w:r>
          </w:p>
        </w:tc>
        <w:tc>
          <w:tcPr>
            <w:tcW w:w="625" w:type="dxa"/>
            <w:tcBorders>
              <w:top w:val="nil"/>
              <w:left w:val="nil"/>
              <w:bottom w:val="single" w:sz="4" w:space="0" w:color="auto"/>
              <w:right w:val="nil"/>
            </w:tcBorders>
            <w:shd w:val="clear" w:color="auto" w:fill="auto"/>
            <w:vAlign w:val="center"/>
            <w:hideMark/>
          </w:tcPr>
          <w:p w14:paraId="672F240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15,4</w:t>
            </w:r>
          </w:p>
        </w:tc>
        <w:tc>
          <w:tcPr>
            <w:tcW w:w="625" w:type="dxa"/>
            <w:tcBorders>
              <w:top w:val="nil"/>
              <w:left w:val="nil"/>
              <w:bottom w:val="single" w:sz="4" w:space="0" w:color="auto"/>
              <w:right w:val="nil"/>
            </w:tcBorders>
            <w:shd w:val="clear" w:color="auto" w:fill="auto"/>
            <w:vAlign w:val="center"/>
            <w:hideMark/>
          </w:tcPr>
          <w:p w14:paraId="1686ADD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15,7</w:t>
            </w:r>
          </w:p>
        </w:tc>
        <w:tc>
          <w:tcPr>
            <w:tcW w:w="625" w:type="dxa"/>
            <w:tcBorders>
              <w:top w:val="nil"/>
              <w:left w:val="nil"/>
              <w:bottom w:val="single" w:sz="4" w:space="0" w:color="auto"/>
              <w:right w:val="nil"/>
            </w:tcBorders>
            <w:shd w:val="clear" w:color="auto" w:fill="auto"/>
            <w:vAlign w:val="center"/>
            <w:hideMark/>
          </w:tcPr>
          <w:p w14:paraId="47C7BD8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15,3</w:t>
            </w:r>
          </w:p>
        </w:tc>
        <w:tc>
          <w:tcPr>
            <w:tcW w:w="625" w:type="dxa"/>
            <w:tcBorders>
              <w:top w:val="nil"/>
              <w:left w:val="nil"/>
              <w:bottom w:val="single" w:sz="4" w:space="0" w:color="auto"/>
              <w:right w:val="nil"/>
            </w:tcBorders>
            <w:shd w:val="clear" w:color="auto" w:fill="auto"/>
            <w:vAlign w:val="center"/>
            <w:hideMark/>
          </w:tcPr>
          <w:p w14:paraId="54BF25F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15,7</w:t>
            </w:r>
          </w:p>
        </w:tc>
        <w:tc>
          <w:tcPr>
            <w:tcW w:w="625" w:type="dxa"/>
            <w:tcBorders>
              <w:top w:val="nil"/>
              <w:left w:val="nil"/>
              <w:bottom w:val="single" w:sz="4" w:space="0" w:color="auto"/>
              <w:right w:val="nil"/>
            </w:tcBorders>
            <w:shd w:val="clear" w:color="auto" w:fill="auto"/>
            <w:vAlign w:val="center"/>
            <w:hideMark/>
          </w:tcPr>
          <w:p w14:paraId="4420052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17</w:t>
            </w:r>
          </w:p>
        </w:tc>
        <w:tc>
          <w:tcPr>
            <w:tcW w:w="625" w:type="dxa"/>
            <w:tcBorders>
              <w:top w:val="nil"/>
              <w:left w:val="nil"/>
              <w:bottom w:val="single" w:sz="4" w:space="0" w:color="auto"/>
              <w:right w:val="nil"/>
            </w:tcBorders>
            <w:shd w:val="clear" w:color="auto" w:fill="auto"/>
            <w:noWrap/>
            <w:vAlign w:val="center"/>
          </w:tcPr>
          <w:p w14:paraId="1B720774" w14:textId="1246D7D2"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0094AAA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677CC7" w:rsidRPr="00677CC7" w14:paraId="7ABBD551"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tcPr>
          <w:p w14:paraId="29D8BC48" w14:textId="5A6728A2" w:rsidR="00677CC7" w:rsidRPr="00677CC7" w:rsidRDefault="00E35039" w:rsidP="00E35039">
            <w:pPr>
              <w:spacing w:after="0" w:line="240" w:lineRule="auto"/>
              <w:rPr>
                <w:rFonts w:ascii="Arial Narrow" w:hAnsi="Arial Narrow"/>
                <w:b/>
                <w:bCs/>
                <w:sz w:val="20"/>
                <w:szCs w:val="20"/>
                <w:lang w:val="en-US" w:eastAsia="en-US"/>
              </w:rPr>
            </w:pPr>
            <w:r w:rsidRPr="00E35039">
              <w:rPr>
                <w:rFonts w:ascii="Arial Narrow" w:hAnsi="Arial Narrow"/>
                <w:b/>
                <w:bCs/>
                <w:sz w:val="20"/>
                <w:szCs w:val="20"/>
                <w:lang w:val="en-US" w:eastAsia="en-US"/>
              </w:rPr>
              <w:t>Zamestnanosť a sociálna inklúzia</w:t>
            </w:r>
          </w:p>
        </w:tc>
      </w:tr>
      <w:tr w:rsidR="00DA1C19" w:rsidRPr="00677CC7" w14:paraId="06D7A2F7"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12F3895A" w14:textId="77777777" w:rsidR="00677CC7" w:rsidRPr="00677CC7" w:rsidRDefault="00677CC7" w:rsidP="00677CC7">
            <w:pPr>
              <w:spacing w:after="0" w:line="240" w:lineRule="auto"/>
              <w:rPr>
                <w:rFonts w:ascii="Arial Narrow" w:hAnsi="Arial Narrow"/>
                <w:b/>
                <w:bCs/>
                <w:sz w:val="20"/>
                <w:szCs w:val="20"/>
                <w:lang w:val="en-US"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23E8FE2A" w14:textId="7CD6AB25"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10</w:t>
            </w:r>
          </w:p>
        </w:tc>
        <w:tc>
          <w:tcPr>
            <w:tcW w:w="2221" w:type="dxa"/>
            <w:tcBorders>
              <w:top w:val="nil"/>
              <w:left w:val="nil"/>
              <w:bottom w:val="nil"/>
              <w:right w:val="nil"/>
            </w:tcBorders>
            <w:shd w:val="clear" w:color="auto" w:fill="auto"/>
            <w:noWrap/>
            <w:vAlign w:val="center"/>
            <w:hideMark/>
          </w:tcPr>
          <w:p w14:paraId="3C6B5B23"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Miera dlhodobej nezamestnanosti</w:t>
            </w:r>
          </w:p>
        </w:tc>
        <w:tc>
          <w:tcPr>
            <w:tcW w:w="756" w:type="dxa"/>
            <w:tcBorders>
              <w:top w:val="nil"/>
              <w:left w:val="nil"/>
              <w:bottom w:val="nil"/>
              <w:right w:val="nil"/>
            </w:tcBorders>
            <w:shd w:val="clear" w:color="auto" w:fill="auto"/>
            <w:vAlign w:val="center"/>
            <w:hideMark/>
          </w:tcPr>
          <w:p w14:paraId="7D942B4C"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384DFDCB" w14:textId="77777777" w:rsidR="00677CC7" w:rsidRPr="00677CC7" w:rsidRDefault="00677CC7" w:rsidP="00677CC7">
            <w:pPr>
              <w:spacing w:after="0" w:line="240" w:lineRule="auto"/>
              <w:jc w:val="center"/>
              <w:rPr>
                <w:rFonts w:ascii="Arial Narrow" w:hAnsi="Arial Narrow"/>
                <w:sz w:val="20"/>
                <w:szCs w:val="20"/>
                <w:lang w:val="en-US" w:eastAsia="en-US"/>
              </w:rPr>
            </w:pPr>
            <w:r w:rsidRPr="00677CC7">
              <w:rPr>
                <w:rFonts w:ascii="Arial Narrow" w:hAnsi="Arial Narrow"/>
                <w:sz w:val="20"/>
                <w:szCs w:val="20"/>
                <w:lang w:val="en-US" w:eastAsia="en-US"/>
              </w:rPr>
              <w:t>6,7</w:t>
            </w:r>
          </w:p>
        </w:tc>
        <w:tc>
          <w:tcPr>
            <w:tcW w:w="625" w:type="dxa"/>
            <w:tcBorders>
              <w:top w:val="nil"/>
              <w:left w:val="nil"/>
              <w:bottom w:val="nil"/>
              <w:right w:val="nil"/>
            </w:tcBorders>
            <w:shd w:val="clear" w:color="auto" w:fill="auto"/>
            <w:vAlign w:val="center"/>
            <w:hideMark/>
          </w:tcPr>
          <w:p w14:paraId="230E1FE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w:t>
            </w:r>
          </w:p>
        </w:tc>
        <w:tc>
          <w:tcPr>
            <w:tcW w:w="625" w:type="dxa"/>
            <w:tcBorders>
              <w:top w:val="nil"/>
              <w:left w:val="nil"/>
              <w:bottom w:val="nil"/>
              <w:right w:val="nil"/>
            </w:tcBorders>
            <w:shd w:val="clear" w:color="auto" w:fill="auto"/>
            <w:vAlign w:val="center"/>
            <w:hideMark/>
          </w:tcPr>
          <w:p w14:paraId="6FEA9B8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9,3</w:t>
            </w:r>
          </w:p>
        </w:tc>
        <w:tc>
          <w:tcPr>
            <w:tcW w:w="625" w:type="dxa"/>
            <w:tcBorders>
              <w:top w:val="nil"/>
              <w:left w:val="nil"/>
              <w:bottom w:val="nil"/>
              <w:right w:val="nil"/>
            </w:tcBorders>
            <w:shd w:val="clear" w:color="auto" w:fill="auto"/>
            <w:vAlign w:val="center"/>
            <w:hideMark/>
          </w:tcPr>
          <w:p w14:paraId="165CCC1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9,3</w:t>
            </w:r>
          </w:p>
        </w:tc>
        <w:tc>
          <w:tcPr>
            <w:tcW w:w="625" w:type="dxa"/>
            <w:tcBorders>
              <w:top w:val="nil"/>
              <w:left w:val="nil"/>
              <w:bottom w:val="nil"/>
              <w:right w:val="nil"/>
            </w:tcBorders>
            <w:shd w:val="clear" w:color="auto" w:fill="auto"/>
            <w:vAlign w:val="center"/>
            <w:hideMark/>
          </w:tcPr>
          <w:p w14:paraId="010DECD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9,4</w:t>
            </w:r>
          </w:p>
        </w:tc>
        <w:tc>
          <w:tcPr>
            <w:tcW w:w="625" w:type="dxa"/>
            <w:tcBorders>
              <w:top w:val="nil"/>
              <w:left w:val="nil"/>
              <w:bottom w:val="nil"/>
              <w:right w:val="nil"/>
            </w:tcBorders>
            <w:shd w:val="clear" w:color="auto" w:fill="auto"/>
            <w:vAlign w:val="center"/>
            <w:hideMark/>
          </w:tcPr>
          <w:p w14:paraId="0E44ACB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w:t>
            </w:r>
          </w:p>
        </w:tc>
        <w:tc>
          <w:tcPr>
            <w:tcW w:w="625" w:type="dxa"/>
            <w:tcBorders>
              <w:top w:val="nil"/>
              <w:left w:val="nil"/>
              <w:bottom w:val="nil"/>
              <w:right w:val="nil"/>
            </w:tcBorders>
            <w:shd w:val="clear" w:color="auto" w:fill="auto"/>
            <w:vAlign w:val="center"/>
            <w:hideMark/>
          </w:tcPr>
          <w:p w14:paraId="7BA26E1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9,3</w:t>
            </w:r>
          </w:p>
        </w:tc>
        <w:tc>
          <w:tcPr>
            <w:tcW w:w="625" w:type="dxa"/>
            <w:tcBorders>
              <w:top w:val="nil"/>
              <w:left w:val="nil"/>
              <w:bottom w:val="nil"/>
              <w:right w:val="nil"/>
            </w:tcBorders>
            <w:shd w:val="clear" w:color="auto" w:fill="auto"/>
            <w:vAlign w:val="center"/>
            <w:hideMark/>
          </w:tcPr>
          <w:p w14:paraId="2166B2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7,6</w:t>
            </w:r>
          </w:p>
        </w:tc>
        <w:tc>
          <w:tcPr>
            <w:tcW w:w="625" w:type="dxa"/>
            <w:tcBorders>
              <w:top w:val="nil"/>
              <w:left w:val="nil"/>
              <w:bottom w:val="nil"/>
              <w:right w:val="nil"/>
            </w:tcBorders>
            <w:shd w:val="clear" w:color="auto" w:fill="auto"/>
            <w:vAlign w:val="center"/>
          </w:tcPr>
          <w:p w14:paraId="7BD3F85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0DEAE17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w:t>
            </w:r>
          </w:p>
        </w:tc>
      </w:tr>
      <w:tr w:rsidR="00DA1C19" w:rsidRPr="00677CC7" w14:paraId="2999BBCF"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19939B5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4EBA7E77"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39287BA"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aktívneho obyvateľstva nad 15 rokov)</w:t>
            </w:r>
          </w:p>
        </w:tc>
        <w:tc>
          <w:tcPr>
            <w:tcW w:w="756" w:type="dxa"/>
            <w:tcBorders>
              <w:top w:val="nil"/>
              <w:left w:val="nil"/>
              <w:bottom w:val="single" w:sz="4" w:space="0" w:color="auto"/>
              <w:right w:val="nil"/>
            </w:tcBorders>
            <w:shd w:val="clear" w:color="auto" w:fill="auto"/>
            <w:vAlign w:val="center"/>
            <w:hideMark/>
          </w:tcPr>
          <w:p w14:paraId="076DC50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nil"/>
              <w:right w:val="nil"/>
            </w:tcBorders>
            <w:shd w:val="clear" w:color="auto" w:fill="auto"/>
            <w:vAlign w:val="center"/>
            <w:hideMark/>
          </w:tcPr>
          <w:p w14:paraId="192BC0C9" w14:textId="77777777" w:rsidR="00677CC7" w:rsidRPr="00677CC7" w:rsidRDefault="00677CC7" w:rsidP="00677CC7">
            <w:pPr>
              <w:spacing w:after="0" w:line="240" w:lineRule="auto"/>
              <w:jc w:val="center"/>
              <w:rPr>
                <w:rFonts w:ascii="Arial Narrow" w:hAnsi="Arial Narrow"/>
                <w:sz w:val="20"/>
                <w:szCs w:val="20"/>
                <w:lang w:val="en-US" w:eastAsia="en-US"/>
              </w:rPr>
            </w:pPr>
            <w:r w:rsidRPr="00677CC7">
              <w:rPr>
                <w:rFonts w:ascii="Arial Narrow" w:hAnsi="Arial Narrow"/>
                <w:sz w:val="20"/>
                <w:szCs w:val="20"/>
                <w:lang w:val="en-US" w:eastAsia="en-US"/>
              </w:rPr>
              <w:t>2,6</w:t>
            </w:r>
          </w:p>
        </w:tc>
        <w:tc>
          <w:tcPr>
            <w:tcW w:w="625" w:type="dxa"/>
            <w:tcBorders>
              <w:top w:val="nil"/>
              <w:left w:val="nil"/>
              <w:bottom w:val="nil"/>
              <w:right w:val="nil"/>
            </w:tcBorders>
            <w:shd w:val="clear" w:color="auto" w:fill="auto"/>
            <w:vAlign w:val="center"/>
            <w:hideMark/>
          </w:tcPr>
          <w:p w14:paraId="3E8F977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w:t>
            </w:r>
          </w:p>
        </w:tc>
        <w:tc>
          <w:tcPr>
            <w:tcW w:w="625" w:type="dxa"/>
            <w:tcBorders>
              <w:top w:val="nil"/>
              <w:left w:val="nil"/>
              <w:bottom w:val="nil"/>
              <w:right w:val="nil"/>
            </w:tcBorders>
            <w:shd w:val="clear" w:color="auto" w:fill="auto"/>
            <w:vAlign w:val="center"/>
            <w:hideMark/>
          </w:tcPr>
          <w:p w14:paraId="25B19B4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3,8</w:t>
            </w:r>
          </w:p>
        </w:tc>
        <w:tc>
          <w:tcPr>
            <w:tcW w:w="625" w:type="dxa"/>
            <w:tcBorders>
              <w:top w:val="nil"/>
              <w:left w:val="nil"/>
              <w:bottom w:val="nil"/>
              <w:right w:val="nil"/>
            </w:tcBorders>
            <w:shd w:val="clear" w:color="auto" w:fill="auto"/>
            <w:vAlign w:val="center"/>
            <w:hideMark/>
          </w:tcPr>
          <w:p w14:paraId="299EA26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4,1</w:t>
            </w:r>
          </w:p>
        </w:tc>
        <w:tc>
          <w:tcPr>
            <w:tcW w:w="625" w:type="dxa"/>
            <w:tcBorders>
              <w:top w:val="nil"/>
              <w:left w:val="nil"/>
              <w:bottom w:val="nil"/>
              <w:right w:val="nil"/>
            </w:tcBorders>
            <w:shd w:val="clear" w:color="auto" w:fill="auto"/>
            <w:vAlign w:val="center"/>
            <w:hideMark/>
          </w:tcPr>
          <w:p w14:paraId="45C7FD7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4,6</w:t>
            </w:r>
          </w:p>
        </w:tc>
        <w:tc>
          <w:tcPr>
            <w:tcW w:w="625" w:type="dxa"/>
            <w:tcBorders>
              <w:top w:val="nil"/>
              <w:left w:val="nil"/>
              <w:bottom w:val="nil"/>
              <w:right w:val="nil"/>
            </w:tcBorders>
            <w:shd w:val="clear" w:color="auto" w:fill="auto"/>
            <w:vAlign w:val="center"/>
            <w:hideMark/>
          </w:tcPr>
          <w:p w14:paraId="245387B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5,1</w:t>
            </w:r>
          </w:p>
        </w:tc>
        <w:tc>
          <w:tcPr>
            <w:tcW w:w="625" w:type="dxa"/>
            <w:tcBorders>
              <w:top w:val="nil"/>
              <w:left w:val="nil"/>
              <w:bottom w:val="nil"/>
              <w:right w:val="nil"/>
            </w:tcBorders>
            <w:shd w:val="clear" w:color="auto" w:fill="auto"/>
            <w:vAlign w:val="center"/>
            <w:hideMark/>
          </w:tcPr>
          <w:p w14:paraId="338B186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w:t>
            </w:r>
          </w:p>
        </w:tc>
        <w:tc>
          <w:tcPr>
            <w:tcW w:w="625" w:type="dxa"/>
            <w:tcBorders>
              <w:top w:val="nil"/>
              <w:left w:val="nil"/>
              <w:bottom w:val="nil"/>
              <w:right w:val="nil"/>
            </w:tcBorders>
            <w:shd w:val="clear" w:color="auto" w:fill="auto"/>
            <w:vAlign w:val="center"/>
            <w:hideMark/>
          </w:tcPr>
          <w:p w14:paraId="7A3410D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4,5</w:t>
            </w:r>
          </w:p>
        </w:tc>
        <w:tc>
          <w:tcPr>
            <w:tcW w:w="625" w:type="dxa"/>
            <w:tcBorders>
              <w:top w:val="nil"/>
              <w:left w:val="nil"/>
              <w:bottom w:val="nil"/>
              <w:right w:val="nil"/>
            </w:tcBorders>
            <w:shd w:val="clear" w:color="auto" w:fill="auto"/>
            <w:vAlign w:val="center"/>
          </w:tcPr>
          <w:p w14:paraId="3A76F7C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010B4D1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1A7DCA3A"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09C6B41E"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26F89F8E" w14:textId="47D9477B"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11</w:t>
            </w:r>
          </w:p>
        </w:tc>
        <w:tc>
          <w:tcPr>
            <w:tcW w:w="2221" w:type="dxa"/>
            <w:tcBorders>
              <w:top w:val="nil"/>
              <w:left w:val="nil"/>
              <w:bottom w:val="nil"/>
              <w:right w:val="nil"/>
            </w:tcBorders>
            <w:shd w:val="clear" w:color="auto" w:fill="auto"/>
            <w:noWrap/>
            <w:vAlign w:val="center"/>
            <w:hideMark/>
          </w:tcPr>
          <w:p w14:paraId="2B0DD2B5"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Miera zamestnanosti</w:t>
            </w:r>
          </w:p>
        </w:tc>
        <w:tc>
          <w:tcPr>
            <w:tcW w:w="756" w:type="dxa"/>
            <w:tcBorders>
              <w:top w:val="nil"/>
              <w:left w:val="nil"/>
              <w:bottom w:val="nil"/>
              <w:right w:val="nil"/>
            </w:tcBorders>
            <w:shd w:val="clear" w:color="auto" w:fill="auto"/>
            <w:vAlign w:val="center"/>
            <w:hideMark/>
          </w:tcPr>
          <w:p w14:paraId="4C5929DB"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4" w:space="0" w:color="auto"/>
              <w:left w:val="nil"/>
              <w:bottom w:val="nil"/>
              <w:right w:val="nil"/>
            </w:tcBorders>
            <w:shd w:val="clear" w:color="auto" w:fill="auto"/>
            <w:vAlign w:val="center"/>
            <w:hideMark/>
          </w:tcPr>
          <w:p w14:paraId="13A78C5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68,8</w:t>
            </w:r>
          </w:p>
        </w:tc>
        <w:tc>
          <w:tcPr>
            <w:tcW w:w="625" w:type="dxa"/>
            <w:tcBorders>
              <w:top w:val="single" w:sz="4" w:space="0" w:color="auto"/>
              <w:left w:val="nil"/>
              <w:bottom w:val="nil"/>
              <w:right w:val="nil"/>
            </w:tcBorders>
            <w:shd w:val="clear" w:color="auto" w:fill="auto"/>
            <w:vAlign w:val="center"/>
            <w:hideMark/>
          </w:tcPr>
          <w:p w14:paraId="1DBEC1D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66,4</w:t>
            </w:r>
          </w:p>
        </w:tc>
        <w:tc>
          <w:tcPr>
            <w:tcW w:w="625" w:type="dxa"/>
            <w:tcBorders>
              <w:top w:val="single" w:sz="4" w:space="0" w:color="auto"/>
              <w:left w:val="nil"/>
              <w:bottom w:val="nil"/>
              <w:right w:val="nil"/>
            </w:tcBorders>
            <w:shd w:val="clear" w:color="auto" w:fill="auto"/>
            <w:vAlign w:val="center"/>
            <w:hideMark/>
          </w:tcPr>
          <w:p w14:paraId="3A1E1FD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64,6</w:t>
            </w:r>
          </w:p>
        </w:tc>
        <w:tc>
          <w:tcPr>
            <w:tcW w:w="625" w:type="dxa"/>
            <w:tcBorders>
              <w:top w:val="single" w:sz="4" w:space="0" w:color="auto"/>
              <w:left w:val="nil"/>
              <w:bottom w:val="nil"/>
              <w:right w:val="nil"/>
            </w:tcBorders>
            <w:shd w:val="clear" w:color="auto" w:fill="auto"/>
            <w:vAlign w:val="center"/>
            <w:hideMark/>
          </w:tcPr>
          <w:p w14:paraId="30B8DF7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w:t>
            </w:r>
          </w:p>
        </w:tc>
        <w:tc>
          <w:tcPr>
            <w:tcW w:w="625" w:type="dxa"/>
            <w:tcBorders>
              <w:top w:val="single" w:sz="4" w:space="0" w:color="auto"/>
              <w:left w:val="nil"/>
              <w:bottom w:val="nil"/>
              <w:right w:val="nil"/>
            </w:tcBorders>
            <w:shd w:val="clear" w:color="auto" w:fill="auto"/>
            <w:vAlign w:val="center"/>
            <w:hideMark/>
          </w:tcPr>
          <w:p w14:paraId="3F628A7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65,1</w:t>
            </w:r>
          </w:p>
        </w:tc>
        <w:tc>
          <w:tcPr>
            <w:tcW w:w="625" w:type="dxa"/>
            <w:tcBorders>
              <w:top w:val="single" w:sz="4" w:space="0" w:color="auto"/>
              <w:left w:val="nil"/>
              <w:bottom w:val="nil"/>
              <w:right w:val="nil"/>
            </w:tcBorders>
            <w:shd w:val="clear" w:color="auto" w:fill="auto"/>
            <w:vAlign w:val="center"/>
            <w:hideMark/>
          </w:tcPr>
          <w:p w14:paraId="4266B8B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w:t>
            </w:r>
          </w:p>
        </w:tc>
        <w:tc>
          <w:tcPr>
            <w:tcW w:w="625" w:type="dxa"/>
            <w:tcBorders>
              <w:top w:val="single" w:sz="4" w:space="0" w:color="auto"/>
              <w:left w:val="nil"/>
              <w:bottom w:val="nil"/>
              <w:right w:val="nil"/>
            </w:tcBorders>
            <w:shd w:val="clear" w:color="auto" w:fill="auto"/>
            <w:vAlign w:val="center"/>
            <w:hideMark/>
          </w:tcPr>
          <w:p w14:paraId="79C93B3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65,9</w:t>
            </w:r>
          </w:p>
        </w:tc>
        <w:tc>
          <w:tcPr>
            <w:tcW w:w="625" w:type="dxa"/>
            <w:tcBorders>
              <w:top w:val="single" w:sz="4" w:space="0" w:color="auto"/>
              <w:left w:val="nil"/>
              <w:bottom w:val="nil"/>
              <w:right w:val="nil"/>
            </w:tcBorders>
            <w:shd w:val="clear" w:color="auto" w:fill="auto"/>
            <w:vAlign w:val="center"/>
            <w:hideMark/>
          </w:tcPr>
          <w:p w14:paraId="37F28F8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67,7</w:t>
            </w:r>
          </w:p>
        </w:tc>
        <w:tc>
          <w:tcPr>
            <w:tcW w:w="625" w:type="dxa"/>
            <w:tcBorders>
              <w:top w:val="single" w:sz="4" w:space="0" w:color="auto"/>
              <w:left w:val="nil"/>
              <w:bottom w:val="nil"/>
              <w:right w:val="nil"/>
            </w:tcBorders>
            <w:shd w:val="clear" w:color="auto" w:fill="auto"/>
            <w:vAlign w:val="center"/>
          </w:tcPr>
          <w:p w14:paraId="6F798F0D" w14:textId="19532EF8"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bottom w:val="nil"/>
              <w:right w:val="nil"/>
            </w:tcBorders>
            <w:shd w:val="clear" w:color="auto" w:fill="auto"/>
            <w:vAlign w:val="center"/>
            <w:hideMark/>
          </w:tcPr>
          <w:p w14:paraId="2571D17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72</w:t>
            </w:r>
          </w:p>
        </w:tc>
      </w:tr>
      <w:tr w:rsidR="00DA1C19" w:rsidRPr="00677CC7" w14:paraId="08859AB6"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66C3E08B"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038A2DA9"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70654DB"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vo vekovej skupine 20 - 64 rokov)</w:t>
            </w:r>
          </w:p>
        </w:tc>
        <w:tc>
          <w:tcPr>
            <w:tcW w:w="756" w:type="dxa"/>
            <w:tcBorders>
              <w:top w:val="nil"/>
              <w:left w:val="nil"/>
              <w:bottom w:val="single" w:sz="4" w:space="0" w:color="auto"/>
              <w:right w:val="nil"/>
            </w:tcBorders>
            <w:shd w:val="clear" w:color="auto" w:fill="auto"/>
            <w:vAlign w:val="center"/>
            <w:hideMark/>
          </w:tcPr>
          <w:p w14:paraId="78F232B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7E8FA80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70,3</w:t>
            </w:r>
          </w:p>
        </w:tc>
        <w:tc>
          <w:tcPr>
            <w:tcW w:w="625" w:type="dxa"/>
            <w:tcBorders>
              <w:top w:val="nil"/>
              <w:left w:val="nil"/>
              <w:bottom w:val="single" w:sz="4" w:space="0" w:color="auto"/>
              <w:right w:val="nil"/>
            </w:tcBorders>
            <w:shd w:val="clear" w:color="auto" w:fill="auto"/>
            <w:vAlign w:val="center"/>
            <w:hideMark/>
          </w:tcPr>
          <w:p w14:paraId="682E454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69</w:t>
            </w:r>
          </w:p>
        </w:tc>
        <w:tc>
          <w:tcPr>
            <w:tcW w:w="625" w:type="dxa"/>
            <w:tcBorders>
              <w:top w:val="nil"/>
              <w:left w:val="nil"/>
              <w:bottom w:val="single" w:sz="4" w:space="0" w:color="auto"/>
              <w:right w:val="nil"/>
            </w:tcBorders>
            <w:shd w:val="clear" w:color="auto" w:fill="auto"/>
            <w:vAlign w:val="center"/>
            <w:hideMark/>
          </w:tcPr>
          <w:p w14:paraId="522561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68,6</w:t>
            </w:r>
          </w:p>
        </w:tc>
        <w:tc>
          <w:tcPr>
            <w:tcW w:w="625" w:type="dxa"/>
            <w:tcBorders>
              <w:top w:val="nil"/>
              <w:left w:val="nil"/>
              <w:bottom w:val="single" w:sz="4" w:space="0" w:color="auto"/>
              <w:right w:val="nil"/>
            </w:tcBorders>
            <w:shd w:val="clear" w:color="auto" w:fill="auto"/>
            <w:vAlign w:val="center"/>
            <w:hideMark/>
          </w:tcPr>
          <w:p w14:paraId="7F13C2D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68,6</w:t>
            </w:r>
          </w:p>
        </w:tc>
        <w:tc>
          <w:tcPr>
            <w:tcW w:w="625" w:type="dxa"/>
            <w:tcBorders>
              <w:top w:val="nil"/>
              <w:left w:val="nil"/>
              <w:bottom w:val="single" w:sz="4" w:space="0" w:color="auto"/>
              <w:right w:val="nil"/>
            </w:tcBorders>
            <w:shd w:val="clear" w:color="auto" w:fill="auto"/>
            <w:vAlign w:val="center"/>
            <w:hideMark/>
          </w:tcPr>
          <w:p w14:paraId="3427489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68,4</w:t>
            </w:r>
          </w:p>
        </w:tc>
        <w:tc>
          <w:tcPr>
            <w:tcW w:w="625" w:type="dxa"/>
            <w:tcBorders>
              <w:top w:val="nil"/>
              <w:left w:val="nil"/>
              <w:bottom w:val="single" w:sz="4" w:space="0" w:color="auto"/>
              <w:right w:val="nil"/>
            </w:tcBorders>
            <w:shd w:val="clear" w:color="auto" w:fill="auto"/>
            <w:vAlign w:val="center"/>
            <w:hideMark/>
          </w:tcPr>
          <w:p w14:paraId="62198F0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68,4</w:t>
            </w:r>
          </w:p>
        </w:tc>
        <w:tc>
          <w:tcPr>
            <w:tcW w:w="625" w:type="dxa"/>
            <w:tcBorders>
              <w:top w:val="nil"/>
              <w:left w:val="nil"/>
              <w:bottom w:val="single" w:sz="4" w:space="0" w:color="auto"/>
              <w:right w:val="nil"/>
            </w:tcBorders>
            <w:shd w:val="clear" w:color="auto" w:fill="auto"/>
            <w:vAlign w:val="center"/>
            <w:hideMark/>
          </w:tcPr>
          <w:p w14:paraId="0990807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69,2</w:t>
            </w:r>
          </w:p>
        </w:tc>
        <w:tc>
          <w:tcPr>
            <w:tcW w:w="625" w:type="dxa"/>
            <w:tcBorders>
              <w:top w:val="nil"/>
              <w:left w:val="nil"/>
              <w:bottom w:val="single" w:sz="4" w:space="0" w:color="auto"/>
              <w:right w:val="nil"/>
            </w:tcBorders>
            <w:shd w:val="clear" w:color="auto" w:fill="auto"/>
            <w:vAlign w:val="center"/>
            <w:hideMark/>
          </w:tcPr>
          <w:p w14:paraId="079C4FC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70,1</w:t>
            </w:r>
          </w:p>
        </w:tc>
        <w:tc>
          <w:tcPr>
            <w:tcW w:w="625" w:type="dxa"/>
            <w:tcBorders>
              <w:top w:val="nil"/>
              <w:left w:val="nil"/>
              <w:bottom w:val="single" w:sz="4" w:space="0" w:color="auto"/>
              <w:right w:val="nil"/>
            </w:tcBorders>
            <w:shd w:val="clear" w:color="auto" w:fill="auto"/>
            <w:vAlign w:val="center"/>
          </w:tcPr>
          <w:p w14:paraId="12AD989B" w14:textId="273DB151"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28C429D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75</w:t>
            </w:r>
          </w:p>
        </w:tc>
      </w:tr>
      <w:tr w:rsidR="00DA1C19" w:rsidRPr="00677CC7" w14:paraId="0FE345E9" w14:textId="77777777" w:rsidTr="00C27D84">
        <w:trPr>
          <w:gridAfter w:val="1"/>
          <w:wAfter w:w="10" w:type="dxa"/>
          <w:trHeight w:val="46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088CF2CA"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224AEB7A" w14:textId="6645EC72"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12</w:t>
            </w:r>
          </w:p>
        </w:tc>
        <w:tc>
          <w:tcPr>
            <w:tcW w:w="2221" w:type="dxa"/>
            <w:tcBorders>
              <w:top w:val="nil"/>
              <w:left w:val="nil"/>
              <w:bottom w:val="nil"/>
              <w:right w:val="nil"/>
            </w:tcBorders>
            <w:shd w:val="clear" w:color="auto" w:fill="auto"/>
            <w:vAlign w:val="center"/>
            <w:hideMark/>
          </w:tcPr>
          <w:p w14:paraId="2F3874B9"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xml:space="preserve">Populácia ohrozená chudobou a </w:t>
            </w:r>
            <w:r w:rsidRPr="00677CC7">
              <w:rPr>
                <w:rFonts w:ascii="Arial Narrow" w:hAnsi="Arial Narrow"/>
                <w:b/>
                <w:bCs/>
                <w:color w:val="000000"/>
                <w:sz w:val="20"/>
                <w:szCs w:val="20"/>
                <w:lang w:val="en-US" w:eastAsia="en-US"/>
              </w:rPr>
              <w:br/>
              <w:t>sociálnym vylúčením</w:t>
            </w:r>
          </w:p>
        </w:tc>
        <w:tc>
          <w:tcPr>
            <w:tcW w:w="756" w:type="dxa"/>
            <w:tcBorders>
              <w:top w:val="nil"/>
              <w:left w:val="nil"/>
              <w:bottom w:val="nil"/>
              <w:right w:val="nil"/>
            </w:tcBorders>
            <w:shd w:val="clear" w:color="auto" w:fill="auto"/>
            <w:vAlign w:val="center"/>
            <w:hideMark/>
          </w:tcPr>
          <w:p w14:paraId="23E2A909"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97B913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20,6</w:t>
            </w:r>
          </w:p>
        </w:tc>
        <w:tc>
          <w:tcPr>
            <w:tcW w:w="625" w:type="dxa"/>
            <w:tcBorders>
              <w:top w:val="nil"/>
              <w:left w:val="nil"/>
              <w:bottom w:val="nil"/>
              <w:right w:val="nil"/>
            </w:tcBorders>
            <w:shd w:val="clear" w:color="auto" w:fill="auto"/>
            <w:vAlign w:val="center"/>
            <w:hideMark/>
          </w:tcPr>
          <w:p w14:paraId="247EC7B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19,6</w:t>
            </w:r>
          </w:p>
        </w:tc>
        <w:tc>
          <w:tcPr>
            <w:tcW w:w="625" w:type="dxa"/>
            <w:tcBorders>
              <w:top w:val="nil"/>
              <w:left w:val="nil"/>
              <w:bottom w:val="nil"/>
              <w:right w:val="nil"/>
            </w:tcBorders>
            <w:shd w:val="clear" w:color="auto" w:fill="auto"/>
            <w:vAlign w:val="center"/>
            <w:hideMark/>
          </w:tcPr>
          <w:p w14:paraId="2EC198E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20,6</w:t>
            </w:r>
          </w:p>
        </w:tc>
        <w:tc>
          <w:tcPr>
            <w:tcW w:w="625" w:type="dxa"/>
            <w:tcBorders>
              <w:top w:val="nil"/>
              <w:left w:val="nil"/>
              <w:bottom w:val="nil"/>
              <w:right w:val="nil"/>
            </w:tcBorders>
            <w:shd w:val="clear" w:color="auto" w:fill="auto"/>
            <w:vAlign w:val="center"/>
            <w:hideMark/>
          </w:tcPr>
          <w:p w14:paraId="5414417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20,6</w:t>
            </w:r>
          </w:p>
        </w:tc>
        <w:tc>
          <w:tcPr>
            <w:tcW w:w="625" w:type="dxa"/>
            <w:tcBorders>
              <w:top w:val="nil"/>
              <w:left w:val="nil"/>
              <w:bottom w:val="nil"/>
              <w:right w:val="nil"/>
            </w:tcBorders>
            <w:shd w:val="clear" w:color="auto" w:fill="auto"/>
            <w:vAlign w:val="center"/>
            <w:hideMark/>
          </w:tcPr>
          <w:p w14:paraId="28215B9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20,5</w:t>
            </w:r>
          </w:p>
        </w:tc>
        <w:tc>
          <w:tcPr>
            <w:tcW w:w="625" w:type="dxa"/>
            <w:tcBorders>
              <w:top w:val="nil"/>
              <w:left w:val="nil"/>
              <w:bottom w:val="nil"/>
              <w:right w:val="nil"/>
            </w:tcBorders>
            <w:shd w:val="clear" w:color="auto" w:fill="auto"/>
            <w:vAlign w:val="center"/>
            <w:hideMark/>
          </w:tcPr>
          <w:p w14:paraId="22C44B8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19,8</w:t>
            </w:r>
          </w:p>
        </w:tc>
        <w:tc>
          <w:tcPr>
            <w:tcW w:w="625" w:type="dxa"/>
            <w:tcBorders>
              <w:top w:val="nil"/>
              <w:left w:val="nil"/>
              <w:bottom w:val="nil"/>
              <w:right w:val="nil"/>
            </w:tcBorders>
            <w:shd w:val="clear" w:color="auto" w:fill="auto"/>
            <w:vAlign w:val="center"/>
            <w:hideMark/>
          </w:tcPr>
          <w:p w14:paraId="5F9294C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18,4</w:t>
            </w:r>
          </w:p>
        </w:tc>
        <w:tc>
          <w:tcPr>
            <w:tcW w:w="625" w:type="dxa"/>
            <w:tcBorders>
              <w:top w:val="nil"/>
              <w:left w:val="nil"/>
              <w:bottom w:val="nil"/>
              <w:right w:val="nil"/>
            </w:tcBorders>
            <w:shd w:val="clear" w:color="auto" w:fill="auto"/>
            <w:vAlign w:val="center"/>
            <w:hideMark/>
          </w:tcPr>
          <w:p w14:paraId="156226C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18,4</w:t>
            </w:r>
          </w:p>
        </w:tc>
        <w:tc>
          <w:tcPr>
            <w:tcW w:w="625" w:type="dxa"/>
            <w:tcBorders>
              <w:top w:val="nil"/>
              <w:left w:val="nil"/>
              <w:bottom w:val="nil"/>
              <w:right w:val="nil"/>
            </w:tcBorders>
            <w:shd w:val="clear" w:color="auto" w:fill="auto"/>
            <w:noWrap/>
            <w:vAlign w:val="center"/>
          </w:tcPr>
          <w:p w14:paraId="717678A1" w14:textId="04C8465F"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68FEBE9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17,2</w:t>
            </w:r>
          </w:p>
        </w:tc>
      </w:tr>
      <w:tr w:rsidR="00DA1C19" w:rsidRPr="00677CC7" w14:paraId="5BA6ED25"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1CFDA9F4"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4A6DB2DB"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D7364C1"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populácie)</w:t>
            </w:r>
          </w:p>
        </w:tc>
        <w:tc>
          <w:tcPr>
            <w:tcW w:w="756" w:type="dxa"/>
            <w:tcBorders>
              <w:top w:val="nil"/>
              <w:left w:val="nil"/>
              <w:bottom w:val="single" w:sz="4" w:space="0" w:color="auto"/>
              <w:right w:val="nil"/>
            </w:tcBorders>
            <w:shd w:val="clear" w:color="auto" w:fill="auto"/>
            <w:vAlign w:val="center"/>
            <w:hideMark/>
          </w:tcPr>
          <w:p w14:paraId="7EED413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EEBB39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23,7</w:t>
            </w:r>
          </w:p>
        </w:tc>
        <w:tc>
          <w:tcPr>
            <w:tcW w:w="625" w:type="dxa"/>
            <w:tcBorders>
              <w:top w:val="nil"/>
              <w:left w:val="nil"/>
              <w:bottom w:val="single" w:sz="4" w:space="0" w:color="auto"/>
              <w:right w:val="nil"/>
            </w:tcBorders>
            <w:shd w:val="clear" w:color="auto" w:fill="auto"/>
            <w:vAlign w:val="center"/>
            <w:hideMark/>
          </w:tcPr>
          <w:p w14:paraId="6356B01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23,3</w:t>
            </w:r>
          </w:p>
        </w:tc>
        <w:tc>
          <w:tcPr>
            <w:tcW w:w="625" w:type="dxa"/>
            <w:tcBorders>
              <w:top w:val="nil"/>
              <w:left w:val="nil"/>
              <w:bottom w:val="single" w:sz="4" w:space="0" w:color="auto"/>
              <w:right w:val="nil"/>
            </w:tcBorders>
            <w:shd w:val="clear" w:color="auto" w:fill="auto"/>
            <w:vAlign w:val="center"/>
            <w:hideMark/>
          </w:tcPr>
          <w:p w14:paraId="0FAED17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23,8</w:t>
            </w:r>
          </w:p>
        </w:tc>
        <w:tc>
          <w:tcPr>
            <w:tcW w:w="625" w:type="dxa"/>
            <w:tcBorders>
              <w:top w:val="nil"/>
              <w:left w:val="nil"/>
              <w:bottom w:val="single" w:sz="4" w:space="0" w:color="auto"/>
              <w:right w:val="nil"/>
            </w:tcBorders>
            <w:shd w:val="clear" w:color="auto" w:fill="auto"/>
            <w:vAlign w:val="center"/>
            <w:hideMark/>
          </w:tcPr>
          <w:p w14:paraId="40A61A3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24,3</w:t>
            </w:r>
          </w:p>
        </w:tc>
        <w:tc>
          <w:tcPr>
            <w:tcW w:w="625" w:type="dxa"/>
            <w:tcBorders>
              <w:top w:val="nil"/>
              <w:left w:val="nil"/>
              <w:bottom w:val="single" w:sz="4" w:space="0" w:color="auto"/>
              <w:right w:val="nil"/>
            </w:tcBorders>
            <w:shd w:val="clear" w:color="auto" w:fill="auto"/>
            <w:vAlign w:val="center"/>
            <w:hideMark/>
          </w:tcPr>
          <w:p w14:paraId="3F48B05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24,7</w:t>
            </w:r>
          </w:p>
        </w:tc>
        <w:tc>
          <w:tcPr>
            <w:tcW w:w="625" w:type="dxa"/>
            <w:tcBorders>
              <w:top w:val="nil"/>
              <w:left w:val="nil"/>
              <w:bottom w:val="single" w:sz="4" w:space="0" w:color="auto"/>
              <w:right w:val="nil"/>
            </w:tcBorders>
            <w:shd w:val="clear" w:color="auto" w:fill="auto"/>
            <w:vAlign w:val="center"/>
            <w:hideMark/>
          </w:tcPr>
          <w:p w14:paraId="62A18C7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24,6</w:t>
            </w:r>
          </w:p>
        </w:tc>
        <w:tc>
          <w:tcPr>
            <w:tcW w:w="625" w:type="dxa"/>
            <w:tcBorders>
              <w:top w:val="nil"/>
              <w:left w:val="nil"/>
              <w:bottom w:val="single" w:sz="4" w:space="0" w:color="auto"/>
              <w:right w:val="nil"/>
            </w:tcBorders>
            <w:shd w:val="clear" w:color="auto" w:fill="auto"/>
            <w:vAlign w:val="center"/>
            <w:hideMark/>
          </w:tcPr>
          <w:p w14:paraId="6A97688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24,5</w:t>
            </w:r>
          </w:p>
        </w:tc>
        <w:tc>
          <w:tcPr>
            <w:tcW w:w="625" w:type="dxa"/>
            <w:tcBorders>
              <w:top w:val="nil"/>
              <w:left w:val="nil"/>
              <w:bottom w:val="single" w:sz="4" w:space="0" w:color="auto"/>
              <w:right w:val="nil"/>
            </w:tcBorders>
            <w:shd w:val="clear" w:color="auto" w:fill="auto"/>
            <w:vAlign w:val="center"/>
            <w:hideMark/>
          </w:tcPr>
          <w:p w14:paraId="4D9304E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23,7</w:t>
            </w:r>
          </w:p>
        </w:tc>
        <w:tc>
          <w:tcPr>
            <w:tcW w:w="625" w:type="dxa"/>
            <w:tcBorders>
              <w:top w:val="nil"/>
              <w:left w:val="nil"/>
              <w:bottom w:val="single" w:sz="4" w:space="0" w:color="auto"/>
              <w:right w:val="nil"/>
            </w:tcBorders>
            <w:shd w:val="clear" w:color="auto" w:fill="auto"/>
            <w:noWrap/>
            <w:vAlign w:val="center"/>
          </w:tcPr>
          <w:p w14:paraId="1C30BCCF" w14:textId="12406B1A"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14C81A5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19,4</w:t>
            </w:r>
          </w:p>
        </w:tc>
      </w:tr>
      <w:tr w:rsidR="00486361" w:rsidRPr="00677CC7" w14:paraId="08AB7460"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2DE47C1C" w14:textId="77777777" w:rsidR="00486361" w:rsidRPr="00677CC7" w:rsidRDefault="00486361" w:rsidP="00486361">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right w:val="nil"/>
            </w:tcBorders>
            <w:shd w:val="clear" w:color="auto" w:fill="auto"/>
            <w:noWrap/>
            <w:vAlign w:val="center"/>
            <w:hideMark/>
          </w:tcPr>
          <w:p w14:paraId="317A0594" w14:textId="4D52A4C7" w:rsidR="00486361" w:rsidRPr="00677CC7" w:rsidRDefault="00486361" w:rsidP="00486361">
            <w:pPr>
              <w:spacing w:after="0" w:line="240" w:lineRule="auto"/>
              <w:jc w:val="center"/>
              <w:rPr>
                <w:rFonts w:ascii="Times New Roman" w:hAnsi="Times New Roman"/>
                <w:sz w:val="20"/>
                <w:szCs w:val="20"/>
                <w:lang w:val="en-US" w:eastAsia="en-US"/>
              </w:rPr>
            </w:pPr>
            <w:r>
              <w:rPr>
                <w:rFonts w:ascii="Arial Narrow" w:hAnsi="Arial Narrow"/>
                <w:b/>
                <w:bCs/>
                <w:color w:val="000000"/>
                <w:sz w:val="20"/>
                <w:szCs w:val="20"/>
              </w:rPr>
              <w:t>13</w:t>
            </w:r>
          </w:p>
        </w:tc>
        <w:tc>
          <w:tcPr>
            <w:tcW w:w="2221" w:type="dxa"/>
            <w:tcBorders>
              <w:top w:val="nil"/>
              <w:left w:val="nil"/>
              <w:bottom w:val="nil"/>
              <w:right w:val="nil"/>
            </w:tcBorders>
            <w:shd w:val="clear" w:color="auto" w:fill="auto"/>
            <w:noWrap/>
            <w:vAlign w:val="center"/>
            <w:hideMark/>
          </w:tcPr>
          <w:p w14:paraId="3134DC94" w14:textId="77777777" w:rsidR="00486361" w:rsidRPr="00677CC7" w:rsidRDefault="00486361" w:rsidP="00486361">
            <w:pPr>
              <w:spacing w:after="0" w:line="240" w:lineRule="auto"/>
              <w:jc w:val="both"/>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Miera náhrady (Benefit ratio)</w:t>
            </w:r>
          </w:p>
        </w:tc>
        <w:tc>
          <w:tcPr>
            <w:tcW w:w="756" w:type="dxa"/>
            <w:tcBorders>
              <w:top w:val="nil"/>
              <w:left w:val="nil"/>
              <w:bottom w:val="nil"/>
              <w:right w:val="nil"/>
            </w:tcBorders>
            <w:shd w:val="clear" w:color="auto" w:fill="auto"/>
            <w:vAlign w:val="center"/>
            <w:hideMark/>
          </w:tcPr>
          <w:p w14:paraId="53FEDD20" w14:textId="77777777" w:rsidR="00486361" w:rsidRPr="00677CC7" w:rsidRDefault="00486361" w:rsidP="00486361">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7375F9C6" w14:textId="7E3A85A7"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hideMark/>
          </w:tcPr>
          <w:p w14:paraId="0FFC2961" w14:textId="26F4C3F9"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hideMark/>
          </w:tcPr>
          <w:p w14:paraId="57CC18DF" w14:textId="310E67B2"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43,7</w:t>
            </w:r>
          </w:p>
        </w:tc>
        <w:tc>
          <w:tcPr>
            <w:tcW w:w="625" w:type="dxa"/>
            <w:tcBorders>
              <w:top w:val="nil"/>
              <w:left w:val="nil"/>
              <w:bottom w:val="nil"/>
              <w:right w:val="nil"/>
            </w:tcBorders>
            <w:shd w:val="clear" w:color="auto" w:fill="auto"/>
            <w:vAlign w:val="center"/>
            <w:hideMark/>
          </w:tcPr>
          <w:p w14:paraId="4BE30A6A" w14:textId="52023E57"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hideMark/>
          </w:tcPr>
          <w:p w14:paraId="60135175" w14:textId="1BE20802"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hideMark/>
          </w:tcPr>
          <w:p w14:paraId="6028E43F" w14:textId="1947C367"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45,7</w:t>
            </w:r>
          </w:p>
        </w:tc>
        <w:tc>
          <w:tcPr>
            <w:tcW w:w="625" w:type="dxa"/>
            <w:tcBorders>
              <w:top w:val="nil"/>
              <w:left w:val="nil"/>
              <w:bottom w:val="nil"/>
              <w:right w:val="nil"/>
            </w:tcBorders>
            <w:shd w:val="clear" w:color="auto" w:fill="auto"/>
            <w:vAlign w:val="center"/>
            <w:hideMark/>
          </w:tcPr>
          <w:p w14:paraId="1BC93090" w14:textId="72E23670"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hideMark/>
          </w:tcPr>
          <w:p w14:paraId="1058B877" w14:textId="5F11573F"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nil"/>
              <w:right w:val="nil"/>
            </w:tcBorders>
            <w:shd w:val="clear" w:color="auto" w:fill="auto"/>
            <w:vAlign w:val="center"/>
          </w:tcPr>
          <w:p w14:paraId="36A970E4" w14:textId="4C598DF3" w:rsidR="00486361" w:rsidRPr="00486361" w:rsidRDefault="00486361" w:rsidP="00486361">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D5CB57E" w14:textId="77777777"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color w:val="000000"/>
                <w:sz w:val="20"/>
                <w:szCs w:val="20"/>
                <w:lang w:val="en-US" w:eastAsia="en-US"/>
              </w:rPr>
              <w:t>-</w:t>
            </w:r>
          </w:p>
        </w:tc>
      </w:tr>
      <w:tr w:rsidR="00486361" w:rsidRPr="00677CC7" w14:paraId="424C9DB1"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349C32EF" w14:textId="77777777" w:rsidR="00486361" w:rsidRPr="00677CC7" w:rsidRDefault="00486361" w:rsidP="00486361">
            <w:pPr>
              <w:spacing w:after="0" w:line="240" w:lineRule="auto"/>
              <w:jc w:val="center"/>
              <w:rPr>
                <w:color w:val="000000"/>
                <w:lang w:val="en-US" w:eastAsia="en-US"/>
              </w:rPr>
            </w:pPr>
            <w:r w:rsidRPr="00677CC7">
              <w:rPr>
                <w:color w:val="000000"/>
                <w:lang w:val="en-US" w:eastAsia="en-US"/>
              </w:rPr>
              <w:t> </w:t>
            </w:r>
          </w:p>
        </w:tc>
        <w:tc>
          <w:tcPr>
            <w:tcW w:w="425" w:type="dxa"/>
            <w:vMerge/>
            <w:tcBorders>
              <w:left w:val="nil"/>
              <w:bottom w:val="single" w:sz="4" w:space="0" w:color="auto"/>
              <w:right w:val="nil"/>
            </w:tcBorders>
            <w:shd w:val="clear" w:color="auto" w:fill="auto"/>
            <w:noWrap/>
            <w:vAlign w:val="center"/>
            <w:hideMark/>
          </w:tcPr>
          <w:p w14:paraId="675ACD2B" w14:textId="0F7C304B" w:rsidR="00486361" w:rsidRPr="00677CC7" w:rsidRDefault="00486361" w:rsidP="00486361">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17DDC5D" w14:textId="0DA8EE04" w:rsidR="00486361" w:rsidRPr="00E9605F" w:rsidRDefault="00486361" w:rsidP="00486361">
            <w:pPr>
              <w:spacing w:after="0" w:line="240" w:lineRule="auto"/>
              <w:jc w:val="both"/>
              <w:rPr>
                <w:rFonts w:ascii="Arial Narrow" w:hAnsi="Arial Narrow"/>
                <w:color w:val="000000"/>
                <w:sz w:val="20"/>
                <w:szCs w:val="20"/>
                <w:lang w:val="en-US" w:eastAsia="en-US"/>
              </w:rPr>
            </w:pPr>
            <w:r w:rsidRPr="00E9605F">
              <w:rPr>
                <w:rFonts w:ascii="Arial Narrow" w:hAnsi="Arial Narrow"/>
                <w:color w:val="000000"/>
                <w:sz w:val="20"/>
                <w:szCs w:val="20"/>
                <w:lang w:val="en-US" w:eastAsia="en-US"/>
              </w:rPr>
              <w:t>(priemerný dôchodok, % z priemernej mzdy)</w:t>
            </w:r>
          </w:p>
        </w:tc>
        <w:tc>
          <w:tcPr>
            <w:tcW w:w="756" w:type="dxa"/>
            <w:tcBorders>
              <w:top w:val="nil"/>
              <w:left w:val="nil"/>
              <w:bottom w:val="single" w:sz="4" w:space="0" w:color="auto"/>
              <w:right w:val="nil"/>
            </w:tcBorders>
            <w:shd w:val="clear" w:color="auto" w:fill="auto"/>
            <w:vAlign w:val="center"/>
            <w:hideMark/>
          </w:tcPr>
          <w:p w14:paraId="747BAB48" w14:textId="77777777" w:rsidR="00486361" w:rsidRPr="00677CC7" w:rsidRDefault="00486361" w:rsidP="00486361">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4766DEA5" w14:textId="201AF3F2"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50783296" w14:textId="2B2D30D3"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2E398BBF" w14:textId="25AECAB5"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41,4</w:t>
            </w:r>
          </w:p>
        </w:tc>
        <w:tc>
          <w:tcPr>
            <w:tcW w:w="625" w:type="dxa"/>
            <w:tcBorders>
              <w:top w:val="nil"/>
              <w:left w:val="nil"/>
              <w:bottom w:val="single" w:sz="4" w:space="0" w:color="auto"/>
              <w:right w:val="nil"/>
            </w:tcBorders>
            <w:shd w:val="clear" w:color="auto" w:fill="auto"/>
            <w:vAlign w:val="center"/>
            <w:hideMark/>
          </w:tcPr>
          <w:p w14:paraId="70B2DD66" w14:textId="3D0F3E23"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18E4890B" w14:textId="10EEE2B2"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126A2F8F" w14:textId="19766CD1"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44,0</w:t>
            </w:r>
          </w:p>
        </w:tc>
        <w:tc>
          <w:tcPr>
            <w:tcW w:w="625" w:type="dxa"/>
            <w:tcBorders>
              <w:top w:val="nil"/>
              <w:left w:val="nil"/>
              <w:bottom w:val="single" w:sz="4" w:space="0" w:color="auto"/>
              <w:right w:val="nil"/>
            </w:tcBorders>
            <w:shd w:val="clear" w:color="auto" w:fill="auto"/>
            <w:vAlign w:val="center"/>
            <w:hideMark/>
          </w:tcPr>
          <w:p w14:paraId="0EAF3C25" w14:textId="07126A1B"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73A31DF2" w14:textId="271EEC20"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tcPr>
          <w:p w14:paraId="53C0CA31" w14:textId="22A78463" w:rsidR="00486361" w:rsidRPr="00486361" w:rsidRDefault="00486361" w:rsidP="00486361">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2619AE9E" w14:textId="77777777" w:rsidR="00486361" w:rsidRPr="00486361" w:rsidRDefault="00486361" w:rsidP="00486361">
            <w:pPr>
              <w:spacing w:after="0" w:line="240" w:lineRule="auto"/>
              <w:jc w:val="center"/>
              <w:rPr>
                <w:rFonts w:ascii="Arial Narrow" w:hAnsi="Arial Narrow"/>
                <w:color w:val="000000"/>
                <w:sz w:val="20"/>
                <w:szCs w:val="20"/>
                <w:lang w:val="en-US" w:eastAsia="en-US"/>
              </w:rPr>
            </w:pPr>
            <w:r w:rsidRPr="00486361">
              <w:rPr>
                <w:rFonts w:ascii="Arial Narrow" w:hAnsi="Arial Narrow"/>
                <w:color w:val="000000"/>
                <w:sz w:val="20"/>
                <w:szCs w:val="20"/>
                <w:lang w:val="en-US" w:eastAsia="en-US"/>
              </w:rPr>
              <w:t>-</w:t>
            </w:r>
          </w:p>
        </w:tc>
      </w:tr>
      <w:tr w:rsidR="00677CC7" w:rsidRPr="00677CC7" w14:paraId="138206CD"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hideMark/>
          </w:tcPr>
          <w:p w14:paraId="104A7548" w14:textId="77777777" w:rsidR="00677CC7" w:rsidRPr="00E24676" w:rsidRDefault="00677CC7" w:rsidP="00E35039">
            <w:pPr>
              <w:spacing w:after="0" w:line="240" w:lineRule="auto"/>
              <w:rPr>
                <w:rFonts w:ascii="Arial Narrow" w:hAnsi="Arial Narrow"/>
                <w:b/>
                <w:bCs/>
                <w:sz w:val="20"/>
                <w:szCs w:val="20"/>
                <w:lang w:eastAsia="en-US"/>
              </w:rPr>
            </w:pPr>
            <w:r w:rsidRPr="00E24676">
              <w:rPr>
                <w:rFonts w:ascii="Arial Narrow" w:hAnsi="Arial Narrow"/>
                <w:b/>
                <w:bCs/>
                <w:sz w:val="20"/>
                <w:szCs w:val="20"/>
                <w:lang w:eastAsia="en-US"/>
              </w:rPr>
              <w:t>Modernizácia verejnej správy a podnikateľské prostredie</w:t>
            </w:r>
          </w:p>
        </w:tc>
      </w:tr>
      <w:tr w:rsidR="00DA1C19" w:rsidRPr="00677CC7" w14:paraId="49982945"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7E4BB06C" w14:textId="77777777" w:rsidR="00677CC7" w:rsidRPr="00E24676" w:rsidRDefault="00677CC7" w:rsidP="00677CC7">
            <w:pPr>
              <w:spacing w:after="0" w:line="240" w:lineRule="auto"/>
              <w:rPr>
                <w:rFonts w:ascii="Arial Narrow" w:hAnsi="Arial Narrow"/>
                <w:b/>
                <w:bCs/>
                <w:sz w:val="20"/>
                <w:szCs w:val="20"/>
                <w:lang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38BC2A27" w14:textId="7134794C"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14</w:t>
            </w:r>
          </w:p>
        </w:tc>
        <w:tc>
          <w:tcPr>
            <w:tcW w:w="2221" w:type="dxa"/>
            <w:tcBorders>
              <w:top w:val="nil"/>
              <w:left w:val="nil"/>
              <w:bottom w:val="nil"/>
              <w:right w:val="nil"/>
            </w:tcBorders>
            <w:shd w:val="clear" w:color="auto" w:fill="auto"/>
            <w:noWrap/>
            <w:vAlign w:val="center"/>
            <w:hideMark/>
          </w:tcPr>
          <w:p w14:paraId="25A9EB04"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Doing Business</w:t>
            </w:r>
          </w:p>
        </w:tc>
        <w:tc>
          <w:tcPr>
            <w:tcW w:w="756" w:type="dxa"/>
            <w:tcBorders>
              <w:top w:val="nil"/>
              <w:left w:val="nil"/>
              <w:bottom w:val="nil"/>
              <w:right w:val="nil"/>
            </w:tcBorders>
            <w:shd w:val="clear" w:color="auto" w:fill="auto"/>
            <w:vAlign w:val="center"/>
            <w:hideMark/>
          </w:tcPr>
          <w:p w14:paraId="02A9D1EC"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7E6F99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0300F75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571C750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79C36E6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596E7D5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7ECB676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noWrap/>
            <w:vAlign w:val="center"/>
            <w:hideMark/>
          </w:tcPr>
          <w:p w14:paraId="5C4B5487" w14:textId="77777777" w:rsidR="00677CC7" w:rsidRPr="00677CC7" w:rsidRDefault="00677CC7" w:rsidP="00677CC7">
            <w:pPr>
              <w:spacing w:after="0" w:line="240" w:lineRule="auto"/>
              <w:jc w:val="center"/>
              <w:rPr>
                <w:color w:val="000000"/>
                <w:lang w:val="en-US" w:eastAsia="en-US"/>
              </w:rPr>
            </w:pPr>
            <w:r w:rsidRPr="00677CC7">
              <w:rPr>
                <w:color w:val="000000"/>
                <w:lang w:val="en-US" w:eastAsia="en-US"/>
              </w:rPr>
              <w:t>-</w:t>
            </w:r>
          </w:p>
        </w:tc>
        <w:tc>
          <w:tcPr>
            <w:tcW w:w="625" w:type="dxa"/>
            <w:tcBorders>
              <w:top w:val="nil"/>
              <w:left w:val="nil"/>
              <w:bottom w:val="nil"/>
              <w:right w:val="nil"/>
            </w:tcBorders>
            <w:shd w:val="clear" w:color="auto" w:fill="auto"/>
            <w:vAlign w:val="center"/>
            <w:hideMark/>
          </w:tcPr>
          <w:p w14:paraId="50F6A52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30</w:t>
            </w:r>
          </w:p>
        </w:tc>
        <w:tc>
          <w:tcPr>
            <w:tcW w:w="625" w:type="dxa"/>
            <w:tcBorders>
              <w:top w:val="nil"/>
              <w:left w:val="nil"/>
              <w:bottom w:val="nil"/>
              <w:right w:val="nil"/>
            </w:tcBorders>
            <w:shd w:val="clear" w:color="auto" w:fill="auto"/>
            <w:vAlign w:val="center"/>
            <w:hideMark/>
          </w:tcPr>
          <w:p w14:paraId="212B529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33</w:t>
            </w:r>
          </w:p>
        </w:tc>
        <w:tc>
          <w:tcPr>
            <w:tcW w:w="625" w:type="dxa"/>
            <w:tcBorders>
              <w:top w:val="nil"/>
              <w:left w:val="nil"/>
              <w:bottom w:val="nil"/>
              <w:right w:val="nil"/>
            </w:tcBorders>
            <w:shd w:val="clear" w:color="auto" w:fill="auto"/>
            <w:vAlign w:val="center"/>
            <w:hideMark/>
          </w:tcPr>
          <w:p w14:paraId="160B466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15</w:t>
            </w:r>
          </w:p>
        </w:tc>
      </w:tr>
      <w:tr w:rsidR="00DA1C19" w:rsidRPr="00677CC7" w14:paraId="275D9773"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6D7405B8"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170C52E4"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4ED4AFCC" w14:textId="77777777" w:rsidR="00677CC7" w:rsidRPr="00677CC7" w:rsidRDefault="00677CC7" w:rsidP="00C27D84">
            <w:pPr>
              <w:spacing w:after="0" w:line="240" w:lineRule="auto"/>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(poradie v rebríčku Svetovej banky)</w:t>
            </w:r>
          </w:p>
        </w:tc>
        <w:tc>
          <w:tcPr>
            <w:tcW w:w="756" w:type="dxa"/>
            <w:tcBorders>
              <w:top w:val="nil"/>
              <w:left w:val="nil"/>
              <w:bottom w:val="single" w:sz="4" w:space="0" w:color="auto"/>
              <w:right w:val="nil"/>
            </w:tcBorders>
            <w:shd w:val="clear" w:color="auto" w:fill="auto"/>
            <w:vAlign w:val="center"/>
            <w:hideMark/>
          </w:tcPr>
          <w:p w14:paraId="5068FD1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6C1A52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2DEAC9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233D394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ECB2FD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53F7E74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68719A3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noWrap/>
            <w:vAlign w:val="center"/>
            <w:hideMark/>
          </w:tcPr>
          <w:p w14:paraId="69351121" w14:textId="77777777" w:rsidR="00677CC7" w:rsidRPr="00677CC7" w:rsidRDefault="00677CC7" w:rsidP="00677CC7">
            <w:pPr>
              <w:spacing w:after="0" w:line="240" w:lineRule="auto"/>
              <w:jc w:val="center"/>
              <w:rPr>
                <w:color w:val="000000"/>
                <w:lang w:val="en-US" w:eastAsia="en-US"/>
              </w:rPr>
            </w:pPr>
            <w:r w:rsidRPr="00677CC7">
              <w:rPr>
                <w:color w:val="000000"/>
                <w:lang w:val="en-US" w:eastAsia="en-US"/>
              </w:rPr>
              <w:t>-</w:t>
            </w:r>
          </w:p>
        </w:tc>
        <w:tc>
          <w:tcPr>
            <w:tcW w:w="625" w:type="dxa"/>
            <w:tcBorders>
              <w:top w:val="nil"/>
              <w:left w:val="nil"/>
              <w:bottom w:val="single" w:sz="4" w:space="0" w:color="auto"/>
              <w:right w:val="nil"/>
            </w:tcBorders>
            <w:shd w:val="clear" w:color="auto" w:fill="auto"/>
            <w:vAlign w:val="center"/>
            <w:hideMark/>
          </w:tcPr>
          <w:p w14:paraId="33DF1C3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29</w:t>
            </w:r>
          </w:p>
        </w:tc>
        <w:tc>
          <w:tcPr>
            <w:tcW w:w="625" w:type="dxa"/>
            <w:tcBorders>
              <w:top w:val="nil"/>
              <w:left w:val="nil"/>
              <w:bottom w:val="single" w:sz="4" w:space="0" w:color="auto"/>
              <w:right w:val="nil"/>
            </w:tcBorders>
            <w:shd w:val="clear" w:color="auto" w:fill="auto"/>
            <w:vAlign w:val="center"/>
            <w:hideMark/>
          </w:tcPr>
          <w:p w14:paraId="114971A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30</w:t>
            </w:r>
          </w:p>
        </w:tc>
        <w:tc>
          <w:tcPr>
            <w:tcW w:w="625" w:type="dxa"/>
            <w:tcBorders>
              <w:top w:val="nil"/>
              <w:left w:val="nil"/>
              <w:bottom w:val="single" w:sz="4" w:space="0" w:color="auto"/>
              <w:right w:val="nil"/>
            </w:tcBorders>
            <w:shd w:val="clear" w:color="auto" w:fill="auto"/>
            <w:vAlign w:val="center"/>
            <w:hideMark/>
          </w:tcPr>
          <w:p w14:paraId="4999ABB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13E3DA81"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4C87D5F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single" w:sz="4" w:space="0" w:color="000000"/>
              <w:right w:val="nil"/>
            </w:tcBorders>
            <w:shd w:val="clear" w:color="auto" w:fill="auto"/>
            <w:noWrap/>
            <w:vAlign w:val="center"/>
            <w:hideMark/>
          </w:tcPr>
          <w:p w14:paraId="12275D1D" w14:textId="77FFD835"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15</w:t>
            </w:r>
          </w:p>
        </w:tc>
        <w:tc>
          <w:tcPr>
            <w:tcW w:w="2221" w:type="dxa"/>
            <w:tcBorders>
              <w:top w:val="nil"/>
              <w:left w:val="nil"/>
              <w:bottom w:val="nil"/>
              <w:right w:val="nil"/>
            </w:tcBorders>
            <w:shd w:val="clear" w:color="auto" w:fill="auto"/>
            <w:noWrap/>
            <w:vAlign w:val="center"/>
            <w:hideMark/>
          </w:tcPr>
          <w:p w14:paraId="0B2BDDDB"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Index regulácie trhu produktov</w:t>
            </w:r>
          </w:p>
        </w:tc>
        <w:tc>
          <w:tcPr>
            <w:tcW w:w="756" w:type="dxa"/>
            <w:tcBorders>
              <w:top w:val="nil"/>
              <w:left w:val="nil"/>
              <w:bottom w:val="nil"/>
              <w:right w:val="nil"/>
            </w:tcBorders>
            <w:shd w:val="clear" w:color="auto" w:fill="auto"/>
            <w:vAlign w:val="center"/>
            <w:hideMark/>
          </w:tcPr>
          <w:p w14:paraId="2CEAD68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833D2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1,6</w:t>
            </w:r>
          </w:p>
        </w:tc>
        <w:tc>
          <w:tcPr>
            <w:tcW w:w="625" w:type="dxa"/>
            <w:tcBorders>
              <w:top w:val="nil"/>
              <w:left w:val="nil"/>
              <w:bottom w:val="nil"/>
              <w:right w:val="nil"/>
            </w:tcBorders>
            <w:shd w:val="clear" w:color="auto" w:fill="auto"/>
            <w:vAlign w:val="center"/>
            <w:hideMark/>
          </w:tcPr>
          <w:p w14:paraId="0718B49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59D4B0B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4F8B33B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2A4CD7C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60FE489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1,3</w:t>
            </w:r>
          </w:p>
        </w:tc>
        <w:tc>
          <w:tcPr>
            <w:tcW w:w="625" w:type="dxa"/>
            <w:tcBorders>
              <w:top w:val="nil"/>
              <w:left w:val="nil"/>
              <w:bottom w:val="nil"/>
              <w:right w:val="nil"/>
            </w:tcBorders>
            <w:shd w:val="clear" w:color="auto" w:fill="auto"/>
            <w:vAlign w:val="center"/>
            <w:hideMark/>
          </w:tcPr>
          <w:p w14:paraId="16332F7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44B05F3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3D4288CB" w14:textId="07CA8722" w:rsidR="00677CC7" w:rsidRPr="00DA1C19"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3C86A13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1,2</w:t>
            </w:r>
          </w:p>
        </w:tc>
      </w:tr>
      <w:tr w:rsidR="00DA1C19" w:rsidRPr="00677CC7" w14:paraId="4942441D" w14:textId="77777777" w:rsidTr="00C27D84">
        <w:trPr>
          <w:gridAfter w:val="1"/>
          <w:wAfter w:w="10" w:type="dxa"/>
          <w:trHeight w:val="154"/>
          <w:jc w:val="center"/>
        </w:trPr>
        <w:tc>
          <w:tcPr>
            <w:tcW w:w="426" w:type="dxa"/>
            <w:tcBorders>
              <w:top w:val="nil"/>
              <w:left w:val="nil"/>
              <w:bottom w:val="single" w:sz="4" w:space="0" w:color="auto"/>
              <w:right w:val="nil"/>
            </w:tcBorders>
            <w:shd w:val="clear" w:color="auto" w:fill="auto"/>
            <w:textDirection w:val="btLr"/>
            <w:vAlign w:val="center"/>
            <w:hideMark/>
          </w:tcPr>
          <w:p w14:paraId="274255B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36DE1E13"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2349047"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(bodové hodnotenie)</w:t>
            </w:r>
          </w:p>
        </w:tc>
        <w:tc>
          <w:tcPr>
            <w:tcW w:w="756" w:type="dxa"/>
            <w:tcBorders>
              <w:top w:val="nil"/>
              <w:left w:val="nil"/>
              <w:bottom w:val="single" w:sz="4" w:space="0" w:color="auto"/>
              <w:right w:val="nil"/>
            </w:tcBorders>
            <w:shd w:val="clear" w:color="auto" w:fill="auto"/>
            <w:vAlign w:val="center"/>
            <w:hideMark/>
          </w:tcPr>
          <w:p w14:paraId="358FB14F"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OECD</w:t>
            </w:r>
          </w:p>
        </w:tc>
        <w:tc>
          <w:tcPr>
            <w:tcW w:w="743" w:type="dxa"/>
            <w:tcBorders>
              <w:top w:val="nil"/>
              <w:left w:val="nil"/>
              <w:bottom w:val="single" w:sz="4" w:space="0" w:color="auto"/>
              <w:right w:val="nil"/>
            </w:tcBorders>
            <w:shd w:val="clear" w:color="auto" w:fill="auto"/>
            <w:vAlign w:val="center"/>
            <w:hideMark/>
          </w:tcPr>
          <w:p w14:paraId="6492026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1,5</w:t>
            </w:r>
          </w:p>
        </w:tc>
        <w:tc>
          <w:tcPr>
            <w:tcW w:w="625" w:type="dxa"/>
            <w:tcBorders>
              <w:top w:val="nil"/>
              <w:left w:val="nil"/>
              <w:bottom w:val="single" w:sz="4" w:space="0" w:color="auto"/>
              <w:right w:val="nil"/>
            </w:tcBorders>
            <w:shd w:val="clear" w:color="auto" w:fill="auto"/>
            <w:vAlign w:val="center"/>
            <w:hideMark/>
          </w:tcPr>
          <w:p w14:paraId="507357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3ECDB6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60AA58E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0221AF9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615A48F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c>
          <w:tcPr>
            <w:tcW w:w="625" w:type="dxa"/>
            <w:tcBorders>
              <w:top w:val="nil"/>
              <w:left w:val="nil"/>
              <w:bottom w:val="single" w:sz="4" w:space="0" w:color="auto"/>
              <w:right w:val="nil"/>
            </w:tcBorders>
            <w:shd w:val="clear" w:color="auto" w:fill="auto"/>
            <w:vAlign w:val="center"/>
            <w:hideMark/>
          </w:tcPr>
          <w:p w14:paraId="5FADF10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shd w:val="clear" w:color="auto" w:fill="auto"/>
            <w:vAlign w:val="center"/>
            <w:hideMark/>
          </w:tcPr>
          <w:p w14:paraId="2F04FE2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6D96D8C2" w14:textId="7FAECD9C" w:rsidR="00677CC7" w:rsidRPr="00DA1C19"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4F068C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545711E0"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0E3BDEF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val="restart"/>
            <w:tcBorders>
              <w:top w:val="nil"/>
              <w:left w:val="nil"/>
              <w:bottom w:val="single" w:sz="4" w:space="0" w:color="000000"/>
              <w:right w:val="nil"/>
            </w:tcBorders>
            <w:shd w:val="clear" w:color="auto" w:fill="auto"/>
            <w:noWrap/>
            <w:vAlign w:val="center"/>
            <w:hideMark/>
          </w:tcPr>
          <w:p w14:paraId="29E52F5A" w14:textId="4CBC4326"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16</w:t>
            </w:r>
          </w:p>
        </w:tc>
        <w:tc>
          <w:tcPr>
            <w:tcW w:w="2221" w:type="dxa"/>
            <w:tcBorders>
              <w:top w:val="nil"/>
              <w:left w:val="nil"/>
              <w:bottom w:val="nil"/>
              <w:right w:val="nil"/>
            </w:tcBorders>
            <w:shd w:val="clear" w:color="auto" w:fill="auto"/>
            <w:noWrap/>
            <w:vAlign w:val="center"/>
            <w:hideMark/>
          </w:tcPr>
          <w:p w14:paraId="58565B12"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E-government</w:t>
            </w:r>
          </w:p>
        </w:tc>
        <w:tc>
          <w:tcPr>
            <w:tcW w:w="756" w:type="dxa"/>
            <w:tcBorders>
              <w:top w:val="nil"/>
              <w:left w:val="nil"/>
              <w:bottom w:val="nil"/>
              <w:right w:val="nil"/>
            </w:tcBorders>
            <w:shd w:val="clear" w:color="auto" w:fill="auto"/>
            <w:vAlign w:val="center"/>
            <w:hideMark/>
          </w:tcPr>
          <w:p w14:paraId="03F0B768"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4B8B98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40,0</w:t>
            </w:r>
          </w:p>
        </w:tc>
        <w:tc>
          <w:tcPr>
            <w:tcW w:w="625" w:type="dxa"/>
            <w:tcBorders>
              <w:top w:val="nil"/>
              <w:left w:val="nil"/>
              <w:bottom w:val="nil"/>
              <w:right w:val="nil"/>
            </w:tcBorders>
            <w:shd w:val="clear" w:color="auto" w:fill="auto"/>
            <w:vAlign w:val="center"/>
            <w:hideMark/>
          </w:tcPr>
          <w:p w14:paraId="7DB2DC2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38,0</w:t>
            </w:r>
          </w:p>
        </w:tc>
        <w:tc>
          <w:tcPr>
            <w:tcW w:w="625" w:type="dxa"/>
            <w:tcBorders>
              <w:top w:val="nil"/>
              <w:left w:val="nil"/>
              <w:bottom w:val="nil"/>
              <w:right w:val="nil"/>
            </w:tcBorders>
            <w:shd w:val="clear" w:color="auto" w:fill="auto"/>
            <w:vAlign w:val="center"/>
            <w:hideMark/>
          </w:tcPr>
          <w:p w14:paraId="51B438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50,0</w:t>
            </w:r>
          </w:p>
        </w:tc>
        <w:tc>
          <w:tcPr>
            <w:tcW w:w="625" w:type="dxa"/>
            <w:tcBorders>
              <w:top w:val="nil"/>
              <w:left w:val="nil"/>
              <w:bottom w:val="nil"/>
              <w:right w:val="nil"/>
            </w:tcBorders>
            <w:shd w:val="clear" w:color="auto" w:fill="auto"/>
            <w:vAlign w:val="center"/>
            <w:hideMark/>
          </w:tcPr>
          <w:p w14:paraId="09E1D40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48,0</w:t>
            </w:r>
          </w:p>
        </w:tc>
        <w:tc>
          <w:tcPr>
            <w:tcW w:w="625" w:type="dxa"/>
            <w:tcBorders>
              <w:top w:val="nil"/>
              <w:left w:val="nil"/>
              <w:bottom w:val="nil"/>
              <w:right w:val="nil"/>
            </w:tcBorders>
            <w:shd w:val="clear" w:color="auto" w:fill="auto"/>
            <w:vAlign w:val="center"/>
            <w:hideMark/>
          </w:tcPr>
          <w:p w14:paraId="3790888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42,0</w:t>
            </w:r>
          </w:p>
        </w:tc>
        <w:tc>
          <w:tcPr>
            <w:tcW w:w="625" w:type="dxa"/>
            <w:tcBorders>
              <w:top w:val="nil"/>
              <w:left w:val="nil"/>
              <w:bottom w:val="nil"/>
              <w:right w:val="nil"/>
            </w:tcBorders>
            <w:shd w:val="clear" w:color="auto" w:fill="auto"/>
            <w:vAlign w:val="center"/>
            <w:hideMark/>
          </w:tcPr>
          <w:p w14:paraId="3ED3924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33,0</w:t>
            </w:r>
          </w:p>
        </w:tc>
        <w:tc>
          <w:tcPr>
            <w:tcW w:w="625" w:type="dxa"/>
            <w:tcBorders>
              <w:top w:val="nil"/>
              <w:left w:val="nil"/>
              <w:bottom w:val="nil"/>
              <w:right w:val="nil"/>
            </w:tcBorders>
            <w:shd w:val="clear" w:color="auto" w:fill="auto"/>
            <w:vAlign w:val="center"/>
            <w:hideMark/>
          </w:tcPr>
          <w:p w14:paraId="559F1D0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57,0</w:t>
            </w:r>
          </w:p>
        </w:tc>
        <w:tc>
          <w:tcPr>
            <w:tcW w:w="625" w:type="dxa"/>
            <w:tcBorders>
              <w:top w:val="nil"/>
              <w:left w:val="nil"/>
              <w:bottom w:val="nil"/>
              <w:right w:val="nil"/>
            </w:tcBorders>
            <w:shd w:val="clear" w:color="auto" w:fill="auto"/>
            <w:vAlign w:val="center"/>
            <w:hideMark/>
          </w:tcPr>
          <w:p w14:paraId="5428BB8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51,0</w:t>
            </w:r>
          </w:p>
        </w:tc>
        <w:tc>
          <w:tcPr>
            <w:tcW w:w="625" w:type="dxa"/>
            <w:tcBorders>
              <w:top w:val="nil"/>
              <w:left w:val="nil"/>
              <w:bottom w:val="nil"/>
              <w:right w:val="nil"/>
            </w:tcBorders>
            <w:shd w:val="clear" w:color="auto" w:fill="auto"/>
            <w:vAlign w:val="center"/>
            <w:hideMark/>
          </w:tcPr>
          <w:p w14:paraId="39B00AA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48,0</w:t>
            </w:r>
          </w:p>
        </w:tc>
        <w:tc>
          <w:tcPr>
            <w:tcW w:w="625" w:type="dxa"/>
            <w:tcBorders>
              <w:top w:val="nil"/>
              <w:left w:val="nil"/>
              <w:bottom w:val="nil"/>
              <w:right w:val="nil"/>
            </w:tcBorders>
            <w:shd w:val="clear" w:color="auto" w:fill="auto"/>
            <w:vAlign w:val="center"/>
            <w:hideMark/>
          </w:tcPr>
          <w:p w14:paraId="3195A13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71,7</w:t>
            </w:r>
          </w:p>
        </w:tc>
      </w:tr>
      <w:tr w:rsidR="00DA1C19" w:rsidRPr="00677CC7" w14:paraId="175220E9" w14:textId="77777777" w:rsidTr="00C27D84">
        <w:trPr>
          <w:gridAfter w:val="1"/>
          <w:wAfter w:w="10" w:type="dxa"/>
          <w:trHeight w:val="260"/>
          <w:jc w:val="center"/>
        </w:trPr>
        <w:tc>
          <w:tcPr>
            <w:tcW w:w="426" w:type="dxa"/>
            <w:tcBorders>
              <w:top w:val="nil"/>
              <w:left w:val="nil"/>
              <w:bottom w:val="single" w:sz="4" w:space="0" w:color="auto"/>
              <w:right w:val="nil"/>
            </w:tcBorders>
            <w:shd w:val="clear" w:color="auto" w:fill="auto"/>
            <w:textDirection w:val="btLr"/>
            <w:vAlign w:val="center"/>
            <w:hideMark/>
          </w:tcPr>
          <w:p w14:paraId="2B55961E"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0D6CCB47"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1BF161F"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3AC066FF"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023C264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35,0</w:t>
            </w:r>
          </w:p>
        </w:tc>
        <w:tc>
          <w:tcPr>
            <w:tcW w:w="625" w:type="dxa"/>
            <w:tcBorders>
              <w:top w:val="nil"/>
              <w:left w:val="nil"/>
              <w:bottom w:val="single" w:sz="4" w:space="0" w:color="auto"/>
              <w:right w:val="nil"/>
            </w:tcBorders>
            <w:shd w:val="clear" w:color="auto" w:fill="auto"/>
            <w:vAlign w:val="center"/>
            <w:hideMark/>
          </w:tcPr>
          <w:p w14:paraId="5894F28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37,0</w:t>
            </w:r>
          </w:p>
        </w:tc>
        <w:tc>
          <w:tcPr>
            <w:tcW w:w="625" w:type="dxa"/>
            <w:tcBorders>
              <w:top w:val="nil"/>
              <w:left w:val="nil"/>
              <w:bottom w:val="single" w:sz="4" w:space="0" w:color="auto"/>
              <w:right w:val="nil"/>
            </w:tcBorders>
            <w:shd w:val="clear" w:color="auto" w:fill="auto"/>
            <w:vAlign w:val="center"/>
            <w:hideMark/>
          </w:tcPr>
          <w:p w14:paraId="6529914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41,0</w:t>
            </w:r>
          </w:p>
        </w:tc>
        <w:tc>
          <w:tcPr>
            <w:tcW w:w="625" w:type="dxa"/>
            <w:tcBorders>
              <w:top w:val="nil"/>
              <w:left w:val="nil"/>
              <w:bottom w:val="single" w:sz="4" w:space="0" w:color="auto"/>
              <w:right w:val="nil"/>
            </w:tcBorders>
            <w:shd w:val="clear" w:color="auto" w:fill="auto"/>
            <w:vAlign w:val="center"/>
            <w:hideMark/>
          </w:tcPr>
          <w:p w14:paraId="06B7D01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41,0</w:t>
            </w:r>
          </w:p>
        </w:tc>
        <w:tc>
          <w:tcPr>
            <w:tcW w:w="625" w:type="dxa"/>
            <w:tcBorders>
              <w:top w:val="nil"/>
              <w:left w:val="nil"/>
              <w:bottom w:val="single" w:sz="4" w:space="0" w:color="auto"/>
              <w:right w:val="nil"/>
            </w:tcBorders>
            <w:shd w:val="clear" w:color="auto" w:fill="auto"/>
            <w:vAlign w:val="center"/>
            <w:hideMark/>
          </w:tcPr>
          <w:p w14:paraId="54B63CF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44,0</w:t>
            </w:r>
          </w:p>
        </w:tc>
        <w:tc>
          <w:tcPr>
            <w:tcW w:w="625" w:type="dxa"/>
            <w:tcBorders>
              <w:top w:val="nil"/>
              <w:left w:val="nil"/>
              <w:bottom w:val="single" w:sz="4" w:space="0" w:color="auto"/>
              <w:right w:val="nil"/>
            </w:tcBorders>
            <w:shd w:val="clear" w:color="auto" w:fill="auto"/>
            <w:vAlign w:val="center"/>
            <w:hideMark/>
          </w:tcPr>
          <w:p w14:paraId="6E4DEEA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41,0</w:t>
            </w:r>
          </w:p>
        </w:tc>
        <w:tc>
          <w:tcPr>
            <w:tcW w:w="625" w:type="dxa"/>
            <w:tcBorders>
              <w:top w:val="nil"/>
              <w:left w:val="nil"/>
              <w:bottom w:val="single" w:sz="4" w:space="0" w:color="auto"/>
              <w:right w:val="nil"/>
            </w:tcBorders>
            <w:shd w:val="clear" w:color="auto" w:fill="auto"/>
            <w:vAlign w:val="center"/>
            <w:hideMark/>
          </w:tcPr>
          <w:p w14:paraId="3EC9607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47,0</w:t>
            </w:r>
          </w:p>
        </w:tc>
        <w:tc>
          <w:tcPr>
            <w:tcW w:w="625" w:type="dxa"/>
            <w:tcBorders>
              <w:top w:val="nil"/>
              <w:left w:val="nil"/>
              <w:bottom w:val="single" w:sz="4" w:space="0" w:color="auto"/>
              <w:right w:val="nil"/>
            </w:tcBorders>
            <w:shd w:val="clear" w:color="auto" w:fill="auto"/>
            <w:vAlign w:val="center"/>
            <w:hideMark/>
          </w:tcPr>
          <w:p w14:paraId="4E86D9B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46,0</w:t>
            </w:r>
          </w:p>
        </w:tc>
        <w:tc>
          <w:tcPr>
            <w:tcW w:w="625" w:type="dxa"/>
            <w:tcBorders>
              <w:top w:val="nil"/>
              <w:left w:val="nil"/>
              <w:bottom w:val="single" w:sz="4" w:space="0" w:color="auto"/>
              <w:right w:val="nil"/>
            </w:tcBorders>
            <w:shd w:val="clear" w:color="auto" w:fill="auto"/>
            <w:vAlign w:val="center"/>
            <w:hideMark/>
          </w:tcPr>
          <w:p w14:paraId="265A76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48,0</w:t>
            </w:r>
          </w:p>
        </w:tc>
        <w:tc>
          <w:tcPr>
            <w:tcW w:w="625" w:type="dxa"/>
            <w:tcBorders>
              <w:top w:val="nil"/>
              <w:left w:val="nil"/>
              <w:bottom w:val="single" w:sz="4" w:space="0" w:color="auto"/>
              <w:right w:val="nil"/>
            </w:tcBorders>
            <w:shd w:val="clear" w:color="auto" w:fill="auto"/>
            <w:vAlign w:val="center"/>
            <w:hideMark/>
          </w:tcPr>
          <w:p w14:paraId="777D271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26490C22"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44C545E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bottom w:val="nil"/>
              <w:right w:val="nil"/>
            </w:tcBorders>
            <w:shd w:val="clear" w:color="auto" w:fill="auto"/>
            <w:noWrap/>
            <w:vAlign w:val="center"/>
            <w:hideMark/>
          </w:tcPr>
          <w:p w14:paraId="5F17EF7B" w14:textId="6C69BE7F"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17</w:t>
            </w:r>
          </w:p>
        </w:tc>
        <w:tc>
          <w:tcPr>
            <w:tcW w:w="2221" w:type="dxa"/>
            <w:tcBorders>
              <w:top w:val="nil"/>
              <w:left w:val="nil"/>
              <w:bottom w:val="nil"/>
              <w:right w:val="nil"/>
            </w:tcBorders>
            <w:shd w:val="clear" w:color="auto" w:fill="auto"/>
            <w:noWrap/>
            <w:vAlign w:val="center"/>
            <w:hideMark/>
          </w:tcPr>
          <w:p w14:paraId="344B3AD8"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Vnímanie korupcie</w:t>
            </w:r>
          </w:p>
        </w:tc>
        <w:tc>
          <w:tcPr>
            <w:tcW w:w="756" w:type="dxa"/>
            <w:tcBorders>
              <w:top w:val="nil"/>
              <w:left w:val="nil"/>
              <w:bottom w:val="nil"/>
              <w:right w:val="nil"/>
            </w:tcBorders>
            <w:shd w:val="clear" w:color="auto" w:fill="auto"/>
            <w:vAlign w:val="center"/>
            <w:hideMark/>
          </w:tcPr>
          <w:p w14:paraId="451D3F4B"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0E11FD6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633269F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w:t>
            </w:r>
          </w:p>
        </w:tc>
        <w:tc>
          <w:tcPr>
            <w:tcW w:w="625" w:type="dxa"/>
            <w:tcBorders>
              <w:top w:val="nil"/>
              <w:left w:val="nil"/>
              <w:bottom w:val="nil"/>
              <w:right w:val="nil"/>
            </w:tcBorders>
            <w:shd w:val="clear" w:color="auto" w:fill="auto"/>
            <w:vAlign w:val="center"/>
            <w:hideMark/>
          </w:tcPr>
          <w:p w14:paraId="2018595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612816F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56</w:t>
            </w:r>
          </w:p>
        </w:tc>
        <w:tc>
          <w:tcPr>
            <w:tcW w:w="625" w:type="dxa"/>
            <w:tcBorders>
              <w:top w:val="nil"/>
              <w:left w:val="nil"/>
              <w:bottom w:val="nil"/>
              <w:right w:val="nil"/>
            </w:tcBorders>
            <w:shd w:val="clear" w:color="auto" w:fill="auto"/>
            <w:vAlign w:val="center"/>
            <w:hideMark/>
          </w:tcPr>
          <w:p w14:paraId="5A0558E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1A30234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62</w:t>
            </w:r>
          </w:p>
        </w:tc>
        <w:tc>
          <w:tcPr>
            <w:tcW w:w="625" w:type="dxa"/>
            <w:tcBorders>
              <w:top w:val="nil"/>
              <w:left w:val="nil"/>
              <w:bottom w:val="nil"/>
              <w:right w:val="nil"/>
            </w:tcBorders>
            <w:shd w:val="clear" w:color="auto" w:fill="auto"/>
            <w:vAlign w:val="center"/>
            <w:hideMark/>
          </w:tcPr>
          <w:p w14:paraId="43C55B3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054833D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3DF91B5D" w14:textId="7012C498"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89BA65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68,4</w:t>
            </w:r>
          </w:p>
        </w:tc>
      </w:tr>
      <w:tr w:rsidR="00DA1C19" w:rsidRPr="00677CC7" w14:paraId="72B743EA"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B63347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tcBorders>
              <w:top w:val="nil"/>
              <w:left w:val="nil"/>
              <w:bottom w:val="nil"/>
              <w:right w:val="nil"/>
            </w:tcBorders>
            <w:vAlign w:val="center"/>
            <w:hideMark/>
          </w:tcPr>
          <w:p w14:paraId="07E18BD6"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nil"/>
              <w:right w:val="nil"/>
            </w:tcBorders>
            <w:shd w:val="clear" w:color="auto" w:fill="auto"/>
            <w:noWrap/>
            <w:vAlign w:val="center"/>
            <w:hideMark/>
          </w:tcPr>
          <w:p w14:paraId="72BE3DD9"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nil"/>
              <w:right w:val="nil"/>
            </w:tcBorders>
            <w:shd w:val="clear" w:color="auto" w:fill="auto"/>
            <w:vAlign w:val="center"/>
            <w:hideMark/>
          </w:tcPr>
          <w:p w14:paraId="0757950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nil"/>
              <w:right w:val="nil"/>
            </w:tcBorders>
            <w:shd w:val="clear" w:color="auto" w:fill="auto"/>
            <w:vAlign w:val="center"/>
            <w:hideMark/>
          </w:tcPr>
          <w:p w14:paraId="45FC4C3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7B048F5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80</w:t>
            </w:r>
          </w:p>
        </w:tc>
        <w:tc>
          <w:tcPr>
            <w:tcW w:w="625" w:type="dxa"/>
            <w:tcBorders>
              <w:top w:val="nil"/>
              <w:left w:val="nil"/>
              <w:bottom w:val="nil"/>
              <w:right w:val="nil"/>
            </w:tcBorders>
            <w:shd w:val="clear" w:color="auto" w:fill="auto"/>
            <w:vAlign w:val="center"/>
            <w:hideMark/>
          </w:tcPr>
          <w:p w14:paraId="78FB6FF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6102561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77</w:t>
            </w:r>
          </w:p>
        </w:tc>
        <w:tc>
          <w:tcPr>
            <w:tcW w:w="625" w:type="dxa"/>
            <w:tcBorders>
              <w:top w:val="nil"/>
              <w:left w:val="nil"/>
              <w:bottom w:val="nil"/>
              <w:right w:val="nil"/>
            </w:tcBorders>
            <w:shd w:val="clear" w:color="auto" w:fill="auto"/>
            <w:vAlign w:val="center"/>
            <w:hideMark/>
          </w:tcPr>
          <w:p w14:paraId="31AD1BE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5914303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78</w:t>
            </w:r>
          </w:p>
        </w:tc>
        <w:tc>
          <w:tcPr>
            <w:tcW w:w="625" w:type="dxa"/>
            <w:tcBorders>
              <w:top w:val="nil"/>
              <w:left w:val="nil"/>
              <w:bottom w:val="nil"/>
              <w:right w:val="nil"/>
            </w:tcBorders>
            <w:shd w:val="clear" w:color="auto" w:fill="auto"/>
            <w:vAlign w:val="center"/>
            <w:hideMark/>
          </w:tcPr>
          <w:p w14:paraId="768A191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2AF0D41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7405E05B" w14:textId="1B0CDCDA"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207CE70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066A50AA" w14:textId="77777777" w:rsidTr="00C27D84">
        <w:trPr>
          <w:gridAfter w:val="1"/>
          <w:wAfter w:w="10" w:type="dxa"/>
          <w:trHeight w:val="188"/>
          <w:jc w:val="center"/>
        </w:trPr>
        <w:tc>
          <w:tcPr>
            <w:tcW w:w="426" w:type="dxa"/>
            <w:tcBorders>
              <w:top w:val="single" w:sz="4" w:space="0" w:color="auto"/>
              <w:left w:val="nil"/>
              <w:bottom w:val="nil"/>
              <w:right w:val="nil"/>
            </w:tcBorders>
            <w:shd w:val="clear" w:color="auto" w:fill="auto"/>
            <w:textDirection w:val="btLr"/>
            <w:vAlign w:val="center"/>
            <w:hideMark/>
          </w:tcPr>
          <w:p w14:paraId="7BB56270"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 </w:t>
            </w:r>
          </w:p>
        </w:tc>
        <w:tc>
          <w:tcPr>
            <w:tcW w:w="425" w:type="dxa"/>
            <w:vMerge w:val="restart"/>
            <w:tcBorders>
              <w:top w:val="single" w:sz="4" w:space="0" w:color="auto"/>
              <w:left w:val="nil"/>
              <w:right w:val="nil"/>
            </w:tcBorders>
            <w:shd w:val="clear" w:color="auto" w:fill="auto"/>
            <w:noWrap/>
            <w:vAlign w:val="center"/>
            <w:hideMark/>
          </w:tcPr>
          <w:p w14:paraId="788E5B65" w14:textId="5E02E380"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eastAsia="en-US"/>
              </w:rPr>
              <w:t>18</w:t>
            </w:r>
          </w:p>
        </w:tc>
        <w:tc>
          <w:tcPr>
            <w:tcW w:w="2221" w:type="dxa"/>
            <w:tcBorders>
              <w:top w:val="single" w:sz="4" w:space="0" w:color="auto"/>
              <w:left w:val="nil"/>
              <w:bottom w:val="nil"/>
              <w:right w:val="nil"/>
            </w:tcBorders>
            <w:shd w:val="clear" w:color="auto" w:fill="auto"/>
            <w:noWrap/>
            <w:vAlign w:val="center"/>
            <w:hideMark/>
          </w:tcPr>
          <w:p w14:paraId="08552383" w14:textId="77777777" w:rsidR="00677CC7" w:rsidRPr="00677CC7" w:rsidRDefault="00677CC7" w:rsidP="00677CC7">
            <w:pPr>
              <w:spacing w:after="0" w:line="240" w:lineRule="auto"/>
              <w:jc w:val="both"/>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Dĺžka súdneho konania</w:t>
            </w:r>
          </w:p>
        </w:tc>
        <w:tc>
          <w:tcPr>
            <w:tcW w:w="756" w:type="dxa"/>
            <w:tcBorders>
              <w:top w:val="single" w:sz="4" w:space="0" w:color="auto"/>
              <w:left w:val="nil"/>
              <w:bottom w:val="nil"/>
              <w:right w:val="nil"/>
            </w:tcBorders>
            <w:shd w:val="clear" w:color="auto" w:fill="auto"/>
            <w:vAlign w:val="center"/>
            <w:hideMark/>
          </w:tcPr>
          <w:p w14:paraId="454008C5"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SK</w:t>
            </w:r>
          </w:p>
        </w:tc>
        <w:tc>
          <w:tcPr>
            <w:tcW w:w="743" w:type="dxa"/>
            <w:tcBorders>
              <w:top w:val="single" w:sz="4" w:space="0" w:color="auto"/>
              <w:left w:val="nil"/>
              <w:bottom w:val="nil"/>
              <w:right w:val="nil"/>
            </w:tcBorders>
            <w:shd w:val="clear" w:color="auto" w:fill="auto"/>
            <w:noWrap/>
            <w:vAlign w:val="center"/>
            <w:hideMark/>
          </w:tcPr>
          <w:p w14:paraId="449D3F8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5F9B6008" w14:textId="77777777" w:rsidR="00677CC7" w:rsidRPr="00677CC7" w:rsidRDefault="00677CC7" w:rsidP="00677CC7">
            <w:pPr>
              <w:spacing w:after="0" w:line="240" w:lineRule="auto"/>
              <w:jc w:val="center"/>
              <w:rPr>
                <w:color w:val="000000"/>
                <w:lang w:val="en-US" w:eastAsia="en-US"/>
              </w:rPr>
            </w:pPr>
            <w:r w:rsidRPr="00677CC7">
              <w:rPr>
                <w:color w:val="000000"/>
                <w:lang w:val="en-US" w:eastAsia="en-US"/>
              </w:rPr>
              <w:t>-</w:t>
            </w:r>
          </w:p>
        </w:tc>
        <w:tc>
          <w:tcPr>
            <w:tcW w:w="625" w:type="dxa"/>
            <w:tcBorders>
              <w:top w:val="single" w:sz="4" w:space="0" w:color="auto"/>
              <w:left w:val="nil"/>
              <w:bottom w:val="nil"/>
              <w:right w:val="nil"/>
            </w:tcBorders>
            <w:shd w:val="clear" w:color="auto" w:fill="auto"/>
            <w:noWrap/>
            <w:vAlign w:val="center"/>
            <w:hideMark/>
          </w:tcPr>
          <w:p w14:paraId="66BFF70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367</w:t>
            </w:r>
          </w:p>
        </w:tc>
        <w:tc>
          <w:tcPr>
            <w:tcW w:w="625" w:type="dxa"/>
            <w:tcBorders>
              <w:top w:val="single" w:sz="4" w:space="0" w:color="auto"/>
              <w:left w:val="nil"/>
              <w:bottom w:val="nil"/>
              <w:right w:val="nil"/>
            </w:tcBorders>
            <w:shd w:val="clear" w:color="auto" w:fill="auto"/>
            <w:noWrap/>
            <w:vAlign w:val="center"/>
            <w:hideMark/>
          </w:tcPr>
          <w:p w14:paraId="6D73FB5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157E1CD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437</w:t>
            </w:r>
          </w:p>
        </w:tc>
        <w:tc>
          <w:tcPr>
            <w:tcW w:w="625" w:type="dxa"/>
            <w:tcBorders>
              <w:top w:val="single" w:sz="4" w:space="0" w:color="auto"/>
              <w:left w:val="nil"/>
              <w:bottom w:val="nil"/>
              <w:right w:val="nil"/>
            </w:tcBorders>
            <w:shd w:val="clear" w:color="auto" w:fill="auto"/>
            <w:noWrap/>
            <w:vAlign w:val="center"/>
            <w:hideMark/>
          </w:tcPr>
          <w:p w14:paraId="2225FF4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26BE70E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524</w:t>
            </w:r>
          </w:p>
        </w:tc>
        <w:tc>
          <w:tcPr>
            <w:tcW w:w="625" w:type="dxa"/>
            <w:tcBorders>
              <w:top w:val="single" w:sz="4" w:space="0" w:color="auto"/>
              <w:left w:val="nil"/>
              <w:bottom w:val="nil"/>
              <w:right w:val="nil"/>
            </w:tcBorders>
            <w:shd w:val="clear" w:color="auto" w:fill="auto"/>
            <w:noWrap/>
            <w:vAlign w:val="center"/>
            <w:hideMark/>
          </w:tcPr>
          <w:p w14:paraId="72FF07C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3CDACC77" w14:textId="578164BF"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bottom w:val="nil"/>
              <w:right w:val="nil"/>
            </w:tcBorders>
            <w:shd w:val="clear" w:color="auto" w:fill="auto"/>
            <w:vAlign w:val="center"/>
            <w:hideMark/>
          </w:tcPr>
          <w:p w14:paraId="30E2C34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14477619"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37A5436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 </w:t>
            </w:r>
          </w:p>
        </w:tc>
        <w:tc>
          <w:tcPr>
            <w:tcW w:w="425" w:type="dxa"/>
            <w:vMerge/>
            <w:tcBorders>
              <w:left w:val="nil"/>
              <w:bottom w:val="single" w:sz="4" w:space="0" w:color="auto"/>
              <w:right w:val="nil"/>
            </w:tcBorders>
            <w:shd w:val="clear" w:color="auto" w:fill="auto"/>
            <w:noWrap/>
            <w:vAlign w:val="center"/>
            <w:hideMark/>
          </w:tcPr>
          <w:p w14:paraId="5A16ADDD" w14:textId="17DA4E63"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3318D805"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eastAsia="en-US"/>
              </w:rPr>
              <w:t>Počet dní</w:t>
            </w:r>
          </w:p>
        </w:tc>
        <w:tc>
          <w:tcPr>
            <w:tcW w:w="756" w:type="dxa"/>
            <w:tcBorders>
              <w:top w:val="nil"/>
              <w:left w:val="nil"/>
              <w:bottom w:val="single" w:sz="4" w:space="0" w:color="auto"/>
              <w:right w:val="nil"/>
            </w:tcBorders>
            <w:shd w:val="clear" w:color="auto" w:fill="auto"/>
            <w:vAlign w:val="center"/>
            <w:hideMark/>
          </w:tcPr>
          <w:p w14:paraId="5B23FE6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CEPEJ</w:t>
            </w:r>
          </w:p>
        </w:tc>
        <w:tc>
          <w:tcPr>
            <w:tcW w:w="743" w:type="dxa"/>
            <w:tcBorders>
              <w:top w:val="nil"/>
              <w:left w:val="nil"/>
              <w:bottom w:val="nil"/>
              <w:right w:val="nil"/>
            </w:tcBorders>
            <w:shd w:val="clear" w:color="auto" w:fill="auto"/>
            <w:noWrap/>
            <w:vAlign w:val="center"/>
            <w:hideMark/>
          </w:tcPr>
          <w:p w14:paraId="0EE36CF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noWrap/>
            <w:vAlign w:val="center"/>
            <w:hideMark/>
          </w:tcPr>
          <w:p w14:paraId="45D723E1" w14:textId="77777777" w:rsidR="00677CC7" w:rsidRPr="00677CC7" w:rsidRDefault="00677CC7" w:rsidP="00677CC7">
            <w:pPr>
              <w:spacing w:after="0" w:line="240" w:lineRule="auto"/>
              <w:jc w:val="center"/>
              <w:rPr>
                <w:color w:val="000000"/>
                <w:lang w:val="en-US" w:eastAsia="en-US"/>
              </w:rPr>
            </w:pPr>
            <w:r w:rsidRPr="00677CC7">
              <w:rPr>
                <w:color w:val="000000"/>
                <w:lang w:val="en-US" w:eastAsia="en-US"/>
              </w:rPr>
              <w:t>-</w:t>
            </w:r>
          </w:p>
        </w:tc>
        <w:tc>
          <w:tcPr>
            <w:tcW w:w="625" w:type="dxa"/>
            <w:tcBorders>
              <w:top w:val="nil"/>
              <w:left w:val="nil"/>
              <w:bottom w:val="nil"/>
              <w:right w:val="nil"/>
            </w:tcBorders>
            <w:shd w:val="clear" w:color="auto" w:fill="auto"/>
            <w:noWrap/>
            <w:vAlign w:val="center"/>
            <w:hideMark/>
          </w:tcPr>
          <w:p w14:paraId="69884FC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266</w:t>
            </w:r>
          </w:p>
        </w:tc>
        <w:tc>
          <w:tcPr>
            <w:tcW w:w="625" w:type="dxa"/>
            <w:tcBorders>
              <w:top w:val="nil"/>
              <w:left w:val="nil"/>
              <w:bottom w:val="nil"/>
              <w:right w:val="nil"/>
            </w:tcBorders>
            <w:shd w:val="clear" w:color="auto" w:fill="auto"/>
            <w:noWrap/>
            <w:vAlign w:val="center"/>
            <w:hideMark/>
          </w:tcPr>
          <w:p w14:paraId="2D691B0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noWrap/>
            <w:vAlign w:val="center"/>
            <w:hideMark/>
          </w:tcPr>
          <w:p w14:paraId="343E829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243</w:t>
            </w:r>
          </w:p>
        </w:tc>
        <w:tc>
          <w:tcPr>
            <w:tcW w:w="625" w:type="dxa"/>
            <w:tcBorders>
              <w:top w:val="nil"/>
              <w:left w:val="nil"/>
              <w:bottom w:val="nil"/>
              <w:right w:val="nil"/>
            </w:tcBorders>
            <w:shd w:val="clear" w:color="auto" w:fill="auto"/>
            <w:noWrap/>
            <w:vAlign w:val="center"/>
            <w:hideMark/>
          </w:tcPr>
          <w:p w14:paraId="5D2459F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noWrap/>
            <w:vAlign w:val="center"/>
            <w:hideMark/>
          </w:tcPr>
          <w:p w14:paraId="569BDEF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237</w:t>
            </w:r>
          </w:p>
        </w:tc>
        <w:tc>
          <w:tcPr>
            <w:tcW w:w="625" w:type="dxa"/>
            <w:tcBorders>
              <w:top w:val="nil"/>
              <w:left w:val="nil"/>
              <w:bottom w:val="nil"/>
              <w:right w:val="nil"/>
            </w:tcBorders>
            <w:shd w:val="clear" w:color="auto" w:fill="auto"/>
            <w:noWrap/>
            <w:vAlign w:val="center"/>
            <w:hideMark/>
          </w:tcPr>
          <w:p w14:paraId="34C4ED0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noWrap/>
            <w:vAlign w:val="center"/>
            <w:hideMark/>
          </w:tcPr>
          <w:p w14:paraId="01C66D88" w14:textId="1A02CD2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3464A62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DA1C19" w:rsidRPr="00677CC7" w14:paraId="3103B859"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148A699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425" w:type="dxa"/>
            <w:vMerge w:val="restart"/>
            <w:tcBorders>
              <w:top w:val="nil"/>
              <w:left w:val="nil"/>
              <w:right w:val="nil"/>
            </w:tcBorders>
            <w:shd w:val="clear" w:color="auto" w:fill="auto"/>
            <w:noWrap/>
            <w:vAlign w:val="center"/>
            <w:hideMark/>
          </w:tcPr>
          <w:p w14:paraId="1D01646E" w14:textId="2FDE8CC1" w:rsidR="00677CC7" w:rsidRPr="00677CC7" w:rsidRDefault="00677CC7" w:rsidP="00DA1C19">
            <w:pPr>
              <w:spacing w:after="0" w:line="240" w:lineRule="auto"/>
              <w:jc w:val="center"/>
              <w:rPr>
                <w:rFonts w:ascii="Times New Roman" w:hAnsi="Times New Roman"/>
                <w:sz w:val="20"/>
                <w:szCs w:val="20"/>
                <w:lang w:val="en-US" w:eastAsia="en-US"/>
              </w:rPr>
            </w:pPr>
            <w:r>
              <w:rPr>
                <w:rFonts w:ascii="Arial Narrow" w:hAnsi="Arial Narrow"/>
                <w:b/>
                <w:bCs/>
                <w:color w:val="000000"/>
                <w:sz w:val="20"/>
                <w:szCs w:val="20"/>
                <w:lang w:val="en-US" w:eastAsia="en-US"/>
              </w:rPr>
              <w:t>19</w:t>
            </w:r>
          </w:p>
        </w:tc>
        <w:tc>
          <w:tcPr>
            <w:tcW w:w="2221" w:type="dxa"/>
            <w:tcBorders>
              <w:top w:val="nil"/>
              <w:left w:val="nil"/>
              <w:bottom w:val="nil"/>
              <w:right w:val="nil"/>
            </w:tcBorders>
            <w:shd w:val="clear" w:color="auto" w:fill="auto"/>
            <w:noWrap/>
            <w:vAlign w:val="bottom"/>
            <w:hideMark/>
          </w:tcPr>
          <w:p w14:paraId="597687A2"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Miera vybavenosti konaní</w:t>
            </w:r>
          </w:p>
        </w:tc>
        <w:tc>
          <w:tcPr>
            <w:tcW w:w="756" w:type="dxa"/>
            <w:tcBorders>
              <w:top w:val="nil"/>
              <w:left w:val="nil"/>
              <w:bottom w:val="nil"/>
              <w:right w:val="nil"/>
            </w:tcBorders>
            <w:shd w:val="clear" w:color="auto" w:fill="auto"/>
            <w:vAlign w:val="center"/>
            <w:hideMark/>
          </w:tcPr>
          <w:p w14:paraId="333E2A1E"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SK</w:t>
            </w:r>
          </w:p>
        </w:tc>
        <w:tc>
          <w:tcPr>
            <w:tcW w:w="743" w:type="dxa"/>
            <w:tcBorders>
              <w:top w:val="single" w:sz="4" w:space="0" w:color="auto"/>
              <w:left w:val="nil"/>
              <w:bottom w:val="nil"/>
              <w:right w:val="nil"/>
            </w:tcBorders>
            <w:shd w:val="clear" w:color="auto" w:fill="auto"/>
            <w:noWrap/>
            <w:vAlign w:val="center"/>
            <w:hideMark/>
          </w:tcPr>
          <w:p w14:paraId="72E299B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7A2ED82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7226C9C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98</w:t>
            </w:r>
          </w:p>
        </w:tc>
        <w:tc>
          <w:tcPr>
            <w:tcW w:w="625" w:type="dxa"/>
            <w:tcBorders>
              <w:top w:val="single" w:sz="4" w:space="0" w:color="auto"/>
              <w:left w:val="nil"/>
              <w:bottom w:val="nil"/>
              <w:right w:val="nil"/>
            </w:tcBorders>
            <w:shd w:val="clear" w:color="auto" w:fill="auto"/>
            <w:noWrap/>
            <w:vAlign w:val="center"/>
            <w:hideMark/>
          </w:tcPr>
          <w:p w14:paraId="5518868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28EDC6C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82</w:t>
            </w:r>
          </w:p>
        </w:tc>
        <w:tc>
          <w:tcPr>
            <w:tcW w:w="625" w:type="dxa"/>
            <w:tcBorders>
              <w:top w:val="single" w:sz="4" w:space="0" w:color="auto"/>
              <w:left w:val="nil"/>
              <w:bottom w:val="nil"/>
              <w:right w:val="nil"/>
            </w:tcBorders>
            <w:shd w:val="clear" w:color="auto" w:fill="auto"/>
            <w:noWrap/>
            <w:vAlign w:val="center"/>
            <w:hideMark/>
          </w:tcPr>
          <w:p w14:paraId="44EFA30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384EECA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92</w:t>
            </w:r>
          </w:p>
        </w:tc>
        <w:tc>
          <w:tcPr>
            <w:tcW w:w="625" w:type="dxa"/>
            <w:tcBorders>
              <w:top w:val="single" w:sz="4" w:space="0" w:color="auto"/>
              <w:left w:val="nil"/>
              <w:bottom w:val="nil"/>
              <w:right w:val="nil"/>
            </w:tcBorders>
            <w:shd w:val="clear" w:color="auto" w:fill="auto"/>
            <w:noWrap/>
            <w:vAlign w:val="center"/>
            <w:hideMark/>
          </w:tcPr>
          <w:p w14:paraId="46D8E4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single" w:sz="4" w:space="0" w:color="auto"/>
              <w:left w:val="nil"/>
              <w:bottom w:val="nil"/>
              <w:right w:val="nil"/>
            </w:tcBorders>
            <w:shd w:val="clear" w:color="auto" w:fill="auto"/>
            <w:noWrap/>
            <w:vAlign w:val="center"/>
            <w:hideMark/>
          </w:tcPr>
          <w:p w14:paraId="09C51666" w14:textId="78851BDE"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bottom w:val="nil"/>
              <w:right w:val="nil"/>
            </w:tcBorders>
            <w:shd w:val="clear" w:color="auto" w:fill="auto"/>
            <w:noWrap/>
            <w:vAlign w:val="center"/>
            <w:hideMark/>
          </w:tcPr>
          <w:p w14:paraId="68F8EF5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r>
      <w:tr w:rsidR="00DA1C19" w:rsidRPr="00677CC7" w14:paraId="57DAC7E2"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76C407F1"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 </w:t>
            </w:r>
          </w:p>
        </w:tc>
        <w:tc>
          <w:tcPr>
            <w:tcW w:w="425" w:type="dxa"/>
            <w:vMerge/>
            <w:tcBorders>
              <w:left w:val="nil"/>
              <w:bottom w:val="single" w:sz="4" w:space="0" w:color="auto"/>
              <w:right w:val="nil"/>
            </w:tcBorders>
            <w:shd w:val="clear" w:color="auto" w:fill="auto"/>
            <w:noWrap/>
            <w:vAlign w:val="center"/>
            <w:hideMark/>
          </w:tcPr>
          <w:p w14:paraId="5971B20B" w14:textId="2DFEC874"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79C835D2"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756" w:type="dxa"/>
            <w:tcBorders>
              <w:top w:val="nil"/>
              <w:left w:val="nil"/>
              <w:bottom w:val="nil"/>
              <w:right w:val="nil"/>
            </w:tcBorders>
            <w:shd w:val="clear" w:color="auto" w:fill="auto"/>
            <w:vAlign w:val="center"/>
            <w:hideMark/>
          </w:tcPr>
          <w:p w14:paraId="10C5B3BA"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eastAsia="en-US"/>
              </w:rPr>
              <w:t>CEPEJ</w:t>
            </w:r>
          </w:p>
        </w:tc>
        <w:tc>
          <w:tcPr>
            <w:tcW w:w="743" w:type="dxa"/>
            <w:tcBorders>
              <w:top w:val="nil"/>
              <w:left w:val="nil"/>
              <w:bottom w:val="single" w:sz="4" w:space="0" w:color="auto"/>
              <w:right w:val="nil"/>
            </w:tcBorders>
            <w:shd w:val="clear" w:color="auto" w:fill="auto"/>
            <w:noWrap/>
            <w:vAlign w:val="center"/>
            <w:hideMark/>
          </w:tcPr>
          <w:p w14:paraId="0B8C92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noWrap/>
            <w:vAlign w:val="center"/>
            <w:hideMark/>
          </w:tcPr>
          <w:p w14:paraId="2ADF1CF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noWrap/>
            <w:vAlign w:val="center"/>
            <w:hideMark/>
          </w:tcPr>
          <w:p w14:paraId="4C66FF3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98</w:t>
            </w:r>
          </w:p>
        </w:tc>
        <w:tc>
          <w:tcPr>
            <w:tcW w:w="625" w:type="dxa"/>
            <w:tcBorders>
              <w:top w:val="nil"/>
              <w:left w:val="nil"/>
              <w:bottom w:val="single" w:sz="4" w:space="0" w:color="auto"/>
              <w:right w:val="nil"/>
            </w:tcBorders>
            <w:shd w:val="clear" w:color="auto" w:fill="auto"/>
            <w:noWrap/>
            <w:vAlign w:val="center"/>
            <w:hideMark/>
          </w:tcPr>
          <w:p w14:paraId="265A498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noWrap/>
            <w:vAlign w:val="center"/>
            <w:hideMark/>
          </w:tcPr>
          <w:p w14:paraId="70C4C59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104</w:t>
            </w:r>
          </w:p>
        </w:tc>
        <w:tc>
          <w:tcPr>
            <w:tcW w:w="625" w:type="dxa"/>
            <w:tcBorders>
              <w:top w:val="nil"/>
              <w:left w:val="nil"/>
              <w:bottom w:val="single" w:sz="4" w:space="0" w:color="auto"/>
              <w:right w:val="nil"/>
            </w:tcBorders>
            <w:shd w:val="clear" w:color="auto" w:fill="auto"/>
            <w:noWrap/>
            <w:vAlign w:val="center"/>
            <w:hideMark/>
          </w:tcPr>
          <w:p w14:paraId="47DD3F7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noWrap/>
            <w:vAlign w:val="center"/>
            <w:hideMark/>
          </w:tcPr>
          <w:p w14:paraId="0DD8C42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100</w:t>
            </w:r>
          </w:p>
        </w:tc>
        <w:tc>
          <w:tcPr>
            <w:tcW w:w="625" w:type="dxa"/>
            <w:tcBorders>
              <w:top w:val="nil"/>
              <w:left w:val="nil"/>
              <w:bottom w:val="single" w:sz="4" w:space="0" w:color="auto"/>
              <w:right w:val="nil"/>
            </w:tcBorders>
            <w:shd w:val="clear" w:color="auto" w:fill="auto"/>
            <w:noWrap/>
            <w:vAlign w:val="center"/>
            <w:hideMark/>
          </w:tcPr>
          <w:p w14:paraId="4FE8B7D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noWrap/>
            <w:vAlign w:val="center"/>
            <w:hideMark/>
          </w:tcPr>
          <w:p w14:paraId="2DE0D5F9" w14:textId="258B1786"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noWrap/>
            <w:vAlign w:val="center"/>
            <w:hideMark/>
          </w:tcPr>
          <w:p w14:paraId="257D6D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r>
      <w:tr w:rsidR="00677CC7" w:rsidRPr="00677CC7" w14:paraId="6227532E"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hideMark/>
          </w:tcPr>
          <w:p w14:paraId="7F32FD2B" w14:textId="77777777" w:rsidR="00677CC7" w:rsidRPr="00677CC7" w:rsidRDefault="00677CC7" w:rsidP="00E35039">
            <w:pPr>
              <w:spacing w:after="0" w:line="240" w:lineRule="auto"/>
              <w:rPr>
                <w:rFonts w:ascii="Arial Narrow" w:hAnsi="Arial Narrow"/>
                <w:b/>
                <w:bCs/>
                <w:sz w:val="20"/>
                <w:szCs w:val="20"/>
                <w:lang w:val="en-US" w:eastAsia="en-US"/>
              </w:rPr>
            </w:pPr>
            <w:r w:rsidRPr="00677CC7">
              <w:rPr>
                <w:rFonts w:ascii="Arial Narrow" w:hAnsi="Arial Narrow"/>
                <w:b/>
                <w:bCs/>
                <w:sz w:val="20"/>
                <w:szCs w:val="20"/>
                <w:lang w:val="en-US" w:eastAsia="en-US"/>
              </w:rPr>
              <w:t>Zdravie</w:t>
            </w:r>
          </w:p>
        </w:tc>
      </w:tr>
      <w:tr w:rsidR="00DA1C19" w:rsidRPr="00677CC7" w14:paraId="6A2AD920" w14:textId="77777777" w:rsidTr="00C27D84">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19AEEF98"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val="restart"/>
            <w:tcBorders>
              <w:top w:val="nil"/>
              <w:left w:val="nil"/>
              <w:bottom w:val="single" w:sz="4" w:space="0" w:color="000000"/>
              <w:right w:val="nil"/>
            </w:tcBorders>
            <w:shd w:val="clear" w:color="auto" w:fill="auto"/>
            <w:noWrap/>
            <w:vAlign w:val="center"/>
            <w:hideMark/>
          </w:tcPr>
          <w:p w14:paraId="672A5290" w14:textId="6060F0FC"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20</w:t>
            </w:r>
          </w:p>
        </w:tc>
        <w:tc>
          <w:tcPr>
            <w:tcW w:w="2221" w:type="dxa"/>
            <w:tcBorders>
              <w:top w:val="nil"/>
              <w:left w:val="nil"/>
              <w:bottom w:val="nil"/>
              <w:right w:val="nil"/>
            </w:tcBorders>
            <w:shd w:val="clear" w:color="auto" w:fill="auto"/>
            <w:noWrap/>
            <w:vAlign w:val="center"/>
            <w:hideMark/>
          </w:tcPr>
          <w:p w14:paraId="5DAE4EEE"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Roky zdravého života</w:t>
            </w:r>
          </w:p>
        </w:tc>
        <w:tc>
          <w:tcPr>
            <w:tcW w:w="756" w:type="dxa"/>
            <w:tcBorders>
              <w:top w:val="nil"/>
              <w:left w:val="nil"/>
              <w:bottom w:val="nil"/>
              <w:right w:val="nil"/>
            </w:tcBorders>
            <w:shd w:val="clear" w:color="auto" w:fill="auto"/>
            <w:vAlign w:val="center"/>
            <w:hideMark/>
          </w:tcPr>
          <w:p w14:paraId="0316DA87"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1ECA2D4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52,3</w:t>
            </w:r>
          </w:p>
        </w:tc>
        <w:tc>
          <w:tcPr>
            <w:tcW w:w="625" w:type="dxa"/>
            <w:tcBorders>
              <w:top w:val="nil"/>
              <w:left w:val="nil"/>
              <w:bottom w:val="nil"/>
              <w:right w:val="nil"/>
            </w:tcBorders>
            <w:shd w:val="clear" w:color="auto" w:fill="auto"/>
            <w:vAlign w:val="center"/>
            <w:hideMark/>
          </w:tcPr>
          <w:p w14:paraId="4D370A0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52,5</w:t>
            </w:r>
          </w:p>
        </w:tc>
        <w:tc>
          <w:tcPr>
            <w:tcW w:w="625" w:type="dxa"/>
            <w:tcBorders>
              <w:top w:val="nil"/>
              <w:left w:val="nil"/>
              <w:bottom w:val="nil"/>
              <w:right w:val="nil"/>
            </w:tcBorders>
            <w:shd w:val="clear" w:color="auto" w:fill="auto"/>
            <w:vAlign w:val="center"/>
            <w:hideMark/>
          </w:tcPr>
          <w:p w14:paraId="5387AEB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52,2</w:t>
            </w:r>
          </w:p>
        </w:tc>
        <w:tc>
          <w:tcPr>
            <w:tcW w:w="625" w:type="dxa"/>
            <w:tcBorders>
              <w:top w:val="nil"/>
              <w:left w:val="nil"/>
              <w:bottom w:val="nil"/>
              <w:right w:val="nil"/>
            </w:tcBorders>
            <w:shd w:val="clear" w:color="auto" w:fill="auto"/>
            <w:vAlign w:val="center"/>
            <w:hideMark/>
          </w:tcPr>
          <w:p w14:paraId="174680F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52,2</w:t>
            </w:r>
          </w:p>
        </w:tc>
        <w:tc>
          <w:tcPr>
            <w:tcW w:w="625" w:type="dxa"/>
            <w:tcBorders>
              <w:top w:val="nil"/>
              <w:left w:val="nil"/>
              <w:bottom w:val="nil"/>
              <w:right w:val="nil"/>
            </w:tcBorders>
            <w:shd w:val="clear" w:color="auto" w:fill="auto"/>
            <w:vAlign w:val="center"/>
            <w:hideMark/>
          </w:tcPr>
          <w:p w14:paraId="06CE5F7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53,3</w:t>
            </w:r>
          </w:p>
        </w:tc>
        <w:tc>
          <w:tcPr>
            <w:tcW w:w="625" w:type="dxa"/>
            <w:tcBorders>
              <w:top w:val="nil"/>
              <w:left w:val="nil"/>
              <w:bottom w:val="nil"/>
              <w:right w:val="nil"/>
            </w:tcBorders>
            <w:shd w:val="clear" w:color="auto" w:fill="auto"/>
            <w:vAlign w:val="center"/>
            <w:hideMark/>
          </w:tcPr>
          <w:p w14:paraId="3630587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54,4</w:t>
            </w:r>
          </w:p>
        </w:tc>
        <w:tc>
          <w:tcPr>
            <w:tcW w:w="625" w:type="dxa"/>
            <w:tcBorders>
              <w:top w:val="nil"/>
              <w:left w:val="nil"/>
              <w:bottom w:val="nil"/>
              <w:right w:val="nil"/>
            </w:tcBorders>
            <w:shd w:val="clear" w:color="auto" w:fill="auto"/>
            <w:vAlign w:val="center"/>
            <w:hideMark/>
          </w:tcPr>
          <w:p w14:paraId="77BF25C5"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55,1</w:t>
            </w:r>
          </w:p>
        </w:tc>
        <w:tc>
          <w:tcPr>
            <w:tcW w:w="625" w:type="dxa"/>
            <w:tcBorders>
              <w:top w:val="nil"/>
              <w:left w:val="nil"/>
              <w:bottom w:val="nil"/>
              <w:right w:val="nil"/>
            </w:tcBorders>
            <w:shd w:val="clear" w:color="auto" w:fill="auto"/>
            <w:vAlign w:val="center"/>
            <w:hideMark/>
          </w:tcPr>
          <w:p w14:paraId="7B18F485" w14:textId="64123D87" w:rsidR="00677CC7" w:rsidRPr="00677CC7" w:rsidRDefault="00DA1C19" w:rsidP="00677CC7">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07697932" w14:textId="77777777" w:rsidR="00677CC7" w:rsidRPr="00677CC7" w:rsidRDefault="00677CC7" w:rsidP="00677CC7">
            <w:pPr>
              <w:spacing w:after="0" w:line="240" w:lineRule="auto"/>
              <w:jc w:val="center"/>
              <w:rPr>
                <w:rFonts w:ascii="Times New Roman" w:hAnsi="Times New Roman"/>
                <w:sz w:val="20"/>
                <w:szCs w:val="20"/>
                <w:lang w:val="en-US" w:eastAsia="en-US"/>
              </w:rPr>
            </w:pPr>
          </w:p>
        </w:tc>
        <w:tc>
          <w:tcPr>
            <w:tcW w:w="625" w:type="dxa"/>
            <w:tcBorders>
              <w:top w:val="nil"/>
              <w:left w:val="nil"/>
              <w:bottom w:val="nil"/>
              <w:right w:val="nil"/>
            </w:tcBorders>
            <w:shd w:val="clear" w:color="auto" w:fill="auto"/>
            <w:vAlign w:val="center"/>
            <w:hideMark/>
          </w:tcPr>
          <w:p w14:paraId="745B35C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60</w:t>
            </w:r>
          </w:p>
        </w:tc>
      </w:tr>
      <w:tr w:rsidR="00DA1C19" w:rsidRPr="00677CC7" w14:paraId="74DBC0B2" w14:textId="77777777" w:rsidTr="00C27D84">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08D8858F"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vMerge/>
            <w:tcBorders>
              <w:top w:val="nil"/>
              <w:left w:val="nil"/>
              <w:bottom w:val="single" w:sz="4" w:space="0" w:color="000000"/>
              <w:right w:val="nil"/>
            </w:tcBorders>
            <w:vAlign w:val="center"/>
            <w:hideMark/>
          </w:tcPr>
          <w:p w14:paraId="758865C2"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CB4C721"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(očakávaný počet rokov pri narodení)</w:t>
            </w:r>
          </w:p>
        </w:tc>
        <w:tc>
          <w:tcPr>
            <w:tcW w:w="756" w:type="dxa"/>
            <w:tcBorders>
              <w:top w:val="nil"/>
              <w:left w:val="nil"/>
              <w:bottom w:val="single" w:sz="4" w:space="0" w:color="auto"/>
              <w:right w:val="nil"/>
            </w:tcBorders>
            <w:shd w:val="clear" w:color="auto" w:fill="auto"/>
            <w:vAlign w:val="center"/>
            <w:hideMark/>
          </w:tcPr>
          <w:p w14:paraId="0E47F603"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79B58D5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61,7</w:t>
            </w:r>
          </w:p>
        </w:tc>
        <w:tc>
          <w:tcPr>
            <w:tcW w:w="625" w:type="dxa"/>
            <w:tcBorders>
              <w:top w:val="nil"/>
              <w:left w:val="nil"/>
              <w:bottom w:val="single" w:sz="4" w:space="0" w:color="auto"/>
              <w:right w:val="nil"/>
            </w:tcBorders>
            <w:shd w:val="clear" w:color="auto" w:fill="auto"/>
            <w:vAlign w:val="center"/>
            <w:hideMark/>
          </w:tcPr>
          <w:p w14:paraId="44FBD13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61,7</w:t>
            </w:r>
          </w:p>
        </w:tc>
        <w:tc>
          <w:tcPr>
            <w:tcW w:w="625" w:type="dxa"/>
            <w:tcBorders>
              <w:top w:val="nil"/>
              <w:left w:val="nil"/>
              <w:bottom w:val="single" w:sz="4" w:space="0" w:color="auto"/>
              <w:right w:val="nil"/>
            </w:tcBorders>
            <w:shd w:val="clear" w:color="auto" w:fill="auto"/>
            <w:vAlign w:val="center"/>
            <w:hideMark/>
          </w:tcPr>
          <w:p w14:paraId="0B96150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62,2</w:t>
            </w:r>
          </w:p>
        </w:tc>
        <w:tc>
          <w:tcPr>
            <w:tcW w:w="625" w:type="dxa"/>
            <w:tcBorders>
              <w:top w:val="nil"/>
              <w:left w:val="nil"/>
              <w:bottom w:val="single" w:sz="4" w:space="0" w:color="auto"/>
              <w:right w:val="nil"/>
            </w:tcBorders>
            <w:shd w:val="clear" w:color="auto" w:fill="auto"/>
            <w:vAlign w:val="center"/>
            <w:hideMark/>
          </w:tcPr>
          <w:p w14:paraId="17B0A20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61,9</w:t>
            </w:r>
          </w:p>
        </w:tc>
        <w:tc>
          <w:tcPr>
            <w:tcW w:w="625" w:type="dxa"/>
            <w:tcBorders>
              <w:top w:val="nil"/>
              <w:left w:val="nil"/>
              <w:bottom w:val="single" w:sz="4" w:space="0" w:color="auto"/>
              <w:right w:val="nil"/>
            </w:tcBorders>
            <w:shd w:val="clear" w:color="auto" w:fill="auto"/>
            <w:vAlign w:val="center"/>
            <w:hideMark/>
          </w:tcPr>
          <w:p w14:paraId="6E44B82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61,8</w:t>
            </w:r>
          </w:p>
        </w:tc>
        <w:tc>
          <w:tcPr>
            <w:tcW w:w="625" w:type="dxa"/>
            <w:tcBorders>
              <w:top w:val="nil"/>
              <w:left w:val="nil"/>
              <w:bottom w:val="single" w:sz="4" w:space="0" w:color="auto"/>
              <w:right w:val="nil"/>
            </w:tcBorders>
            <w:shd w:val="clear" w:color="auto" w:fill="auto"/>
            <w:vAlign w:val="center"/>
            <w:hideMark/>
          </w:tcPr>
          <w:p w14:paraId="5D590F7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61,5</w:t>
            </w:r>
          </w:p>
        </w:tc>
        <w:tc>
          <w:tcPr>
            <w:tcW w:w="625" w:type="dxa"/>
            <w:tcBorders>
              <w:top w:val="nil"/>
              <w:left w:val="nil"/>
              <w:bottom w:val="single" w:sz="4" w:space="0" w:color="auto"/>
              <w:right w:val="nil"/>
            </w:tcBorders>
            <w:shd w:val="clear" w:color="auto" w:fill="auto"/>
            <w:vAlign w:val="center"/>
            <w:hideMark/>
          </w:tcPr>
          <w:p w14:paraId="3CB473D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61,7</w:t>
            </w:r>
          </w:p>
        </w:tc>
        <w:tc>
          <w:tcPr>
            <w:tcW w:w="625" w:type="dxa"/>
            <w:tcBorders>
              <w:top w:val="nil"/>
              <w:left w:val="nil"/>
              <w:bottom w:val="single" w:sz="4" w:space="0" w:color="auto"/>
              <w:right w:val="nil"/>
            </w:tcBorders>
            <w:shd w:val="clear" w:color="auto" w:fill="auto"/>
            <w:vAlign w:val="center"/>
            <w:hideMark/>
          </w:tcPr>
          <w:p w14:paraId="71CD1735" w14:textId="2ACF59AF"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w:t>
            </w:r>
            <w:r w:rsidR="00DA1C19">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6400421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w:t>
            </w:r>
          </w:p>
        </w:tc>
        <w:tc>
          <w:tcPr>
            <w:tcW w:w="625" w:type="dxa"/>
            <w:tcBorders>
              <w:top w:val="nil"/>
              <w:left w:val="nil"/>
              <w:bottom w:val="single" w:sz="4" w:space="0" w:color="auto"/>
              <w:right w:val="nil"/>
            </w:tcBorders>
            <w:shd w:val="clear" w:color="auto" w:fill="auto"/>
            <w:vAlign w:val="center"/>
            <w:hideMark/>
          </w:tcPr>
          <w:p w14:paraId="78F5481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677CC7" w:rsidRPr="00677CC7" w14:paraId="150E0494" w14:textId="77777777" w:rsidTr="00C27D84">
        <w:trPr>
          <w:trHeight w:val="188"/>
          <w:jc w:val="center"/>
        </w:trPr>
        <w:tc>
          <w:tcPr>
            <w:tcW w:w="10206" w:type="dxa"/>
            <w:gridSpan w:val="15"/>
            <w:tcBorders>
              <w:top w:val="single" w:sz="4" w:space="0" w:color="auto"/>
              <w:left w:val="nil"/>
              <w:bottom w:val="single" w:sz="4" w:space="0" w:color="auto"/>
              <w:right w:val="nil"/>
            </w:tcBorders>
            <w:shd w:val="clear" w:color="000000" w:fill="A9D2F1"/>
            <w:noWrap/>
            <w:vAlign w:val="center"/>
            <w:hideMark/>
          </w:tcPr>
          <w:p w14:paraId="2D7C4FCC" w14:textId="77777777" w:rsidR="00677CC7" w:rsidRPr="00677CC7" w:rsidRDefault="00677CC7" w:rsidP="00E35039">
            <w:pPr>
              <w:spacing w:after="0" w:line="240" w:lineRule="auto"/>
              <w:rPr>
                <w:rFonts w:ascii="Arial Narrow" w:hAnsi="Arial Narrow"/>
                <w:b/>
                <w:bCs/>
                <w:sz w:val="20"/>
                <w:szCs w:val="20"/>
                <w:lang w:val="en-US" w:eastAsia="en-US"/>
              </w:rPr>
            </w:pPr>
            <w:r w:rsidRPr="00677CC7">
              <w:rPr>
                <w:rFonts w:ascii="Arial Narrow" w:hAnsi="Arial Narrow"/>
                <w:b/>
                <w:bCs/>
                <w:sz w:val="20"/>
                <w:szCs w:val="20"/>
                <w:lang w:val="en-US" w:eastAsia="en-US"/>
              </w:rPr>
              <w:t>Environmentálna udržateľnosť</w:t>
            </w:r>
          </w:p>
        </w:tc>
      </w:tr>
      <w:tr w:rsidR="00DA1C19" w:rsidRPr="00677CC7" w14:paraId="42B54A90"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55D24F79"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003FA728" w14:textId="511B5277"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21</w:t>
            </w:r>
          </w:p>
        </w:tc>
        <w:tc>
          <w:tcPr>
            <w:tcW w:w="2221" w:type="dxa"/>
            <w:tcBorders>
              <w:top w:val="nil"/>
              <w:left w:val="nil"/>
              <w:bottom w:val="nil"/>
              <w:right w:val="nil"/>
            </w:tcBorders>
            <w:shd w:val="clear" w:color="auto" w:fill="auto"/>
            <w:noWrap/>
            <w:vAlign w:val="center"/>
            <w:hideMark/>
          </w:tcPr>
          <w:p w14:paraId="24FC66F9"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Emisie skleníkových plynov mimo ETS</w:t>
            </w:r>
          </w:p>
        </w:tc>
        <w:tc>
          <w:tcPr>
            <w:tcW w:w="756" w:type="dxa"/>
            <w:tcBorders>
              <w:top w:val="nil"/>
              <w:left w:val="nil"/>
              <w:bottom w:val="nil"/>
              <w:right w:val="nil"/>
            </w:tcBorders>
            <w:shd w:val="clear" w:color="auto" w:fill="auto"/>
            <w:vAlign w:val="center"/>
            <w:hideMark/>
          </w:tcPr>
          <w:p w14:paraId="02073634"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noWrap/>
            <w:vAlign w:val="center"/>
            <w:hideMark/>
          </w:tcPr>
          <w:p w14:paraId="69B71F4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-5,1</w:t>
            </w:r>
          </w:p>
        </w:tc>
        <w:tc>
          <w:tcPr>
            <w:tcW w:w="625" w:type="dxa"/>
            <w:tcBorders>
              <w:top w:val="nil"/>
              <w:left w:val="nil"/>
              <w:bottom w:val="nil"/>
              <w:right w:val="nil"/>
            </w:tcBorders>
            <w:shd w:val="clear" w:color="auto" w:fill="auto"/>
            <w:noWrap/>
            <w:vAlign w:val="center"/>
            <w:hideMark/>
          </w:tcPr>
          <w:p w14:paraId="31382EC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-8,1</w:t>
            </w:r>
          </w:p>
        </w:tc>
        <w:tc>
          <w:tcPr>
            <w:tcW w:w="625" w:type="dxa"/>
            <w:tcBorders>
              <w:top w:val="nil"/>
              <w:left w:val="nil"/>
              <w:bottom w:val="nil"/>
              <w:right w:val="nil"/>
            </w:tcBorders>
            <w:shd w:val="clear" w:color="auto" w:fill="auto"/>
            <w:noWrap/>
            <w:vAlign w:val="center"/>
            <w:hideMark/>
          </w:tcPr>
          <w:p w14:paraId="5367716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-5,1</w:t>
            </w:r>
          </w:p>
        </w:tc>
        <w:tc>
          <w:tcPr>
            <w:tcW w:w="625" w:type="dxa"/>
            <w:tcBorders>
              <w:top w:val="nil"/>
              <w:left w:val="nil"/>
              <w:bottom w:val="nil"/>
              <w:right w:val="nil"/>
            </w:tcBorders>
            <w:shd w:val="clear" w:color="auto" w:fill="auto"/>
            <w:noWrap/>
            <w:vAlign w:val="center"/>
            <w:hideMark/>
          </w:tcPr>
          <w:p w14:paraId="4276E9A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-11,2</w:t>
            </w:r>
          </w:p>
        </w:tc>
        <w:tc>
          <w:tcPr>
            <w:tcW w:w="625" w:type="dxa"/>
            <w:tcBorders>
              <w:top w:val="nil"/>
              <w:left w:val="nil"/>
              <w:bottom w:val="nil"/>
              <w:right w:val="nil"/>
            </w:tcBorders>
            <w:shd w:val="clear" w:color="auto" w:fill="auto"/>
            <w:noWrap/>
            <w:vAlign w:val="center"/>
            <w:hideMark/>
          </w:tcPr>
          <w:p w14:paraId="66EE154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-14,7</w:t>
            </w:r>
          </w:p>
        </w:tc>
        <w:tc>
          <w:tcPr>
            <w:tcW w:w="625" w:type="dxa"/>
            <w:tcBorders>
              <w:top w:val="nil"/>
              <w:left w:val="nil"/>
              <w:bottom w:val="nil"/>
              <w:right w:val="nil"/>
            </w:tcBorders>
            <w:shd w:val="clear" w:color="auto" w:fill="auto"/>
            <w:noWrap/>
            <w:vAlign w:val="center"/>
            <w:hideMark/>
          </w:tcPr>
          <w:p w14:paraId="56B29FA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-19,5</w:t>
            </w:r>
          </w:p>
        </w:tc>
        <w:tc>
          <w:tcPr>
            <w:tcW w:w="625" w:type="dxa"/>
            <w:tcBorders>
              <w:top w:val="nil"/>
              <w:left w:val="nil"/>
              <w:bottom w:val="nil"/>
              <w:right w:val="nil"/>
            </w:tcBorders>
            <w:shd w:val="clear" w:color="auto" w:fill="auto"/>
            <w:noWrap/>
            <w:vAlign w:val="center"/>
            <w:hideMark/>
          </w:tcPr>
          <w:p w14:paraId="1DA2B9B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-24,4</w:t>
            </w:r>
          </w:p>
        </w:tc>
        <w:tc>
          <w:tcPr>
            <w:tcW w:w="625" w:type="dxa"/>
            <w:tcBorders>
              <w:top w:val="nil"/>
              <w:left w:val="nil"/>
              <w:bottom w:val="nil"/>
              <w:right w:val="nil"/>
            </w:tcBorders>
            <w:shd w:val="clear" w:color="auto" w:fill="auto"/>
            <w:vAlign w:val="center"/>
            <w:hideMark/>
          </w:tcPr>
          <w:p w14:paraId="06BC1766" w14:textId="737E4A09" w:rsidR="00677CC7" w:rsidRPr="00677CC7" w:rsidRDefault="00493453" w:rsidP="00677CC7">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-23,2</w:t>
            </w:r>
          </w:p>
        </w:tc>
        <w:tc>
          <w:tcPr>
            <w:tcW w:w="625" w:type="dxa"/>
            <w:tcBorders>
              <w:top w:val="nil"/>
              <w:left w:val="nil"/>
              <w:bottom w:val="nil"/>
              <w:right w:val="nil"/>
            </w:tcBorders>
            <w:shd w:val="clear" w:color="auto" w:fill="auto"/>
            <w:vAlign w:val="center"/>
            <w:hideMark/>
          </w:tcPr>
          <w:p w14:paraId="78DA5D12" w14:textId="6FB048CA"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6C31848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13</w:t>
            </w:r>
          </w:p>
        </w:tc>
      </w:tr>
      <w:tr w:rsidR="00DA1C19" w:rsidRPr="00677CC7" w14:paraId="107F5581"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3FFA6056"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034E9DE9"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7A0C9EE0"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zmena voči roku 2005)</w:t>
            </w:r>
          </w:p>
        </w:tc>
        <w:tc>
          <w:tcPr>
            <w:tcW w:w="756" w:type="dxa"/>
            <w:tcBorders>
              <w:top w:val="nil"/>
              <w:left w:val="nil"/>
              <w:bottom w:val="single" w:sz="4" w:space="0" w:color="auto"/>
              <w:right w:val="nil"/>
            </w:tcBorders>
            <w:shd w:val="clear" w:color="auto" w:fill="auto"/>
            <w:vAlign w:val="center"/>
            <w:hideMark/>
          </w:tcPr>
          <w:p w14:paraId="5137F029"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noWrap/>
            <w:vAlign w:val="center"/>
            <w:hideMark/>
          </w:tcPr>
          <w:p w14:paraId="6A053E5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-2,2</w:t>
            </w:r>
          </w:p>
        </w:tc>
        <w:tc>
          <w:tcPr>
            <w:tcW w:w="625" w:type="dxa"/>
            <w:tcBorders>
              <w:top w:val="nil"/>
              <w:left w:val="nil"/>
              <w:bottom w:val="single" w:sz="4" w:space="0" w:color="auto"/>
              <w:right w:val="nil"/>
            </w:tcBorders>
            <w:shd w:val="clear" w:color="auto" w:fill="auto"/>
            <w:noWrap/>
            <w:vAlign w:val="center"/>
            <w:hideMark/>
          </w:tcPr>
          <w:p w14:paraId="6634991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w:t>
            </w:r>
          </w:p>
        </w:tc>
        <w:tc>
          <w:tcPr>
            <w:tcW w:w="625" w:type="dxa"/>
            <w:tcBorders>
              <w:top w:val="nil"/>
              <w:left w:val="nil"/>
              <w:bottom w:val="single" w:sz="4" w:space="0" w:color="auto"/>
              <w:right w:val="nil"/>
            </w:tcBorders>
            <w:shd w:val="clear" w:color="auto" w:fill="auto"/>
            <w:noWrap/>
            <w:vAlign w:val="center"/>
            <w:hideMark/>
          </w:tcPr>
          <w:p w14:paraId="0AE113B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-3,9</w:t>
            </w:r>
          </w:p>
        </w:tc>
        <w:tc>
          <w:tcPr>
            <w:tcW w:w="625" w:type="dxa"/>
            <w:tcBorders>
              <w:top w:val="nil"/>
              <w:left w:val="nil"/>
              <w:bottom w:val="single" w:sz="4" w:space="0" w:color="auto"/>
              <w:right w:val="nil"/>
            </w:tcBorders>
            <w:shd w:val="clear" w:color="auto" w:fill="auto"/>
            <w:noWrap/>
            <w:vAlign w:val="center"/>
            <w:hideMark/>
          </w:tcPr>
          <w:p w14:paraId="77BF2F7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-7,9</w:t>
            </w:r>
          </w:p>
        </w:tc>
        <w:tc>
          <w:tcPr>
            <w:tcW w:w="625" w:type="dxa"/>
            <w:tcBorders>
              <w:top w:val="nil"/>
              <w:left w:val="nil"/>
              <w:bottom w:val="single" w:sz="4" w:space="0" w:color="auto"/>
              <w:right w:val="nil"/>
            </w:tcBorders>
            <w:shd w:val="clear" w:color="auto" w:fill="auto"/>
            <w:noWrap/>
            <w:vAlign w:val="center"/>
            <w:hideMark/>
          </w:tcPr>
          <w:p w14:paraId="7C8C16E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-8,7</w:t>
            </w:r>
          </w:p>
        </w:tc>
        <w:tc>
          <w:tcPr>
            <w:tcW w:w="625" w:type="dxa"/>
            <w:tcBorders>
              <w:top w:val="nil"/>
              <w:left w:val="nil"/>
              <w:bottom w:val="single" w:sz="4" w:space="0" w:color="auto"/>
              <w:right w:val="nil"/>
            </w:tcBorders>
            <w:shd w:val="clear" w:color="auto" w:fill="auto"/>
            <w:noWrap/>
            <w:vAlign w:val="center"/>
            <w:hideMark/>
          </w:tcPr>
          <w:p w14:paraId="2558A5AB"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-9,9</w:t>
            </w:r>
          </w:p>
        </w:tc>
        <w:tc>
          <w:tcPr>
            <w:tcW w:w="625" w:type="dxa"/>
            <w:tcBorders>
              <w:top w:val="nil"/>
              <w:left w:val="nil"/>
              <w:bottom w:val="single" w:sz="4" w:space="0" w:color="auto"/>
              <w:right w:val="nil"/>
            </w:tcBorders>
            <w:shd w:val="clear" w:color="auto" w:fill="auto"/>
            <w:noWrap/>
            <w:vAlign w:val="center"/>
            <w:hideMark/>
          </w:tcPr>
          <w:p w14:paraId="54D858A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-13</w:t>
            </w:r>
          </w:p>
        </w:tc>
        <w:tc>
          <w:tcPr>
            <w:tcW w:w="625" w:type="dxa"/>
            <w:tcBorders>
              <w:top w:val="nil"/>
              <w:left w:val="nil"/>
              <w:bottom w:val="single" w:sz="4" w:space="0" w:color="auto"/>
              <w:right w:val="nil"/>
            </w:tcBorders>
            <w:shd w:val="clear" w:color="auto" w:fill="auto"/>
            <w:vAlign w:val="center"/>
            <w:hideMark/>
          </w:tcPr>
          <w:p w14:paraId="0ACED09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3B2538B3" w14:textId="58E572C1"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1DFD10E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r>
      <w:tr w:rsidR="00DA1C19" w:rsidRPr="00677CC7" w14:paraId="5028ECD9" w14:textId="77777777" w:rsidTr="00C27D84">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7FFFDD92"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15E43496" w14:textId="0ED885ED"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22</w:t>
            </w:r>
          </w:p>
        </w:tc>
        <w:tc>
          <w:tcPr>
            <w:tcW w:w="2221" w:type="dxa"/>
            <w:tcBorders>
              <w:top w:val="nil"/>
              <w:left w:val="nil"/>
              <w:bottom w:val="nil"/>
              <w:right w:val="nil"/>
            </w:tcBorders>
            <w:shd w:val="clear" w:color="auto" w:fill="auto"/>
            <w:noWrap/>
            <w:vAlign w:val="center"/>
            <w:hideMark/>
          </w:tcPr>
          <w:p w14:paraId="6EC20C6C"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Podiel OZE na hrubej konečnej spotrebe</w:t>
            </w:r>
          </w:p>
        </w:tc>
        <w:tc>
          <w:tcPr>
            <w:tcW w:w="756" w:type="dxa"/>
            <w:tcBorders>
              <w:top w:val="nil"/>
              <w:left w:val="nil"/>
              <w:bottom w:val="nil"/>
              <w:right w:val="nil"/>
            </w:tcBorders>
            <w:shd w:val="clear" w:color="auto" w:fill="auto"/>
            <w:vAlign w:val="center"/>
            <w:hideMark/>
          </w:tcPr>
          <w:p w14:paraId="25637256"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732624A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7,5</w:t>
            </w:r>
          </w:p>
        </w:tc>
        <w:tc>
          <w:tcPr>
            <w:tcW w:w="625" w:type="dxa"/>
            <w:tcBorders>
              <w:top w:val="nil"/>
              <w:left w:val="nil"/>
              <w:bottom w:val="nil"/>
              <w:right w:val="nil"/>
            </w:tcBorders>
            <w:shd w:val="clear" w:color="auto" w:fill="auto"/>
            <w:vAlign w:val="center"/>
            <w:hideMark/>
          </w:tcPr>
          <w:p w14:paraId="195A267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9,3</w:t>
            </w:r>
          </w:p>
        </w:tc>
        <w:tc>
          <w:tcPr>
            <w:tcW w:w="625" w:type="dxa"/>
            <w:tcBorders>
              <w:top w:val="nil"/>
              <w:left w:val="nil"/>
              <w:bottom w:val="nil"/>
              <w:right w:val="nil"/>
            </w:tcBorders>
            <w:shd w:val="clear" w:color="auto" w:fill="auto"/>
            <w:vAlign w:val="center"/>
            <w:hideMark/>
          </w:tcPr>
          <w:p w14:paraId="3281810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9</w:t>
            </w:r>
          </w:p>
        </w:tc>
        <w:tc>
          <w:tcPr>
            <w:tcW w:w="625" w:type="dxa"/>
            <w:tcBorders>
              <w:top w:val="nil"/>
              <w:left w:val="nil"/>
              <w:bottom w:val="nil"/>
              <w:right w:val="nil"/>
            </w:tcBorders>
            <w:shd w:val="clear" w:color="auto" w:fill="auto"/>
            <w:vAlign w:val="center"/>
            <w:hideMark/>
          </w:tcPr>
          <w:p w14:paraId="2D3F204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10,3</w:t>
            </w:r>
          </w:p>
        </w:tc>
        <w:tc>
          <w:tcPr>
            <w:tcW w:w="625" w:type="dxa"/>
            <w:tcBorders>
              <w:top w:val="nil"/>
              <w:left w:val="nil"/>
              <w:bottom w:val="nil"/>
              <w:right w:val="nil"/>
            </w:tcBorders>
            <w:shd w:val="clear" w:color="auto" w:fill="auto"/>
            <w:vAlign w:val="center"/>
            <w:hideMark/>
          </w:tcPr>
          <w:p w14:paraId="69C591D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10,4</w:t>
            </w:r>
          </w:p>
        </w:tc>
        <w:tc>
          <w:tcPr>
            <w:tcW w:w="625" w:type="dxa"/>
            <w:tcBorders>
              <w:top w:val="nil"/>
              <w:left w:val="nil"/>
              <w:bottom w:val="nil"/>
              <w:right w:val="nil"/>
            </w:tcBorders>
            <w:shd w:val="clear" w:color="auto" w:fill="auto"/>
            <w:vAlign w:val="center"/>
            <w:hideMark/>
          </w:tcPr>
          <w:p w14:paraId="5B77D2D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10,1</w:t>
            </w:r>
          </w:p>
        </w:tc>
        <w:tc>
          <w:tcPr>
            <w:tcW w:w="625" w:type="dxa"/>
            <w:tcBorders>
              <w:top w:val="nil"/>
              <w:left w:val="nil"/>
              <w:bottom w:val="nil"/>
              <w:right w:val="nil"/>
            </w:tcBorders>
            <w:shd w:val="clear" w:color="auto" w:fill="auto"/>
            <w:vAlign w:val="center"/>
            <w:hideMark/>
          </w:tcPr>
          <w:p w14:paraId="1EE09318"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11,6</w:t>
            </w:r>
          </w:p>
        </w:tc>
        <w:tc>
          <w:tcPr>
            <w:tcW w:w="625" w:type="dxa"/>
            <w:tcBorders>
              <w:top w:val="nil"/>
              <w:left w:val="nil"/>
              <w:bottom w:val="nil"/>
              <w:right w:val="nil"/>
            </w:tcBorders>
            <w:shd w:val="clear" w:color="auto" w:fill="auto"/>
            <w:vAlign w:val="center"/>
            <w:hideMark/>
          </w:tcPr>
          <w:p w14:paraId="2877C567"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15DCD76A" w14:textId="75703C3D"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5440AC9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r>
      <w:tr w:rsidR="00DA1C19" w:rsidRPr="00677CC7" w14:paraId="0CC2B829" w14:textId="77777777" w:rsidTr="00C27D84">
        <w:trPr>
          <w:gridAfter w:val="1"/>
          <w:wAfter w:w="10" w:type="dxa"/>
          <w:trHeight w:val="188"/>
          <w:jc w:val="center"/>
        </w:trPr>
        <w:tc>
          <w:tcPr>
            <w:tcW w:w="426" w:type="dxa"/>
            <w:vMerge/>
            <w:tcBorders>
              <w:top w:val="nil"/>
              <w:left w:val="nil"/>
              <w:bottom w:val="single" w:sz="4" w:space="0" w:color="000000"/>
              <w:right w:val="nil"/>
            </w:tcBorders>
            <w:vAlign w:val="center"/>
            <w:hideMark/>
          </w:tcPr>
          <w:p w14:paraId="4D13272F"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72D3148E" w14:textId="77777777" w:rsidR="00677CC7" w:rsidRPr="00677CC7" w:rsidRDefault="00677CC7" w:rsidP="00DA1C19">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6C88DAA"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76EF72D2"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5B14C7B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w:t>
            </w:r>
          </w:p>
        </w:tc>
        <w:tc>
          <w:tcPr>
            <w:tcW w:w="625" w:type="dxa"/>
            <w:tcBorders>
              <w:top w:val="nil"/>
              <w:left w:val="nil"/>
              <w:bottom w:val="single" w:sz="4" w:space="0" w:color="auto"/>
              <w:right w:val="nil"/>
            </w:tcBorders>
            <w:shd w:val="clear" w:color="auto" w:fill="auto"/>
            <w:vAlign w:val="center"/>
            <w:hideMark/>
          </w:tcPr>
          <w:p w14:paraId="473F9BC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12,4</w:t>
            </w:r>
          </w:p>
        </w:tc>
        <w:tc>
          <w:tcPr>
            <w:tcW w:w="625" w:type="dxa"/>
            <w:tcBorders>
              <w:top w:val="nil"/>
              <w:left w:val="nil"/>
              <w:bottom w:val="single" w:sz="4" w:space="0" w:color="auto"/>
              <w:right w:val="nil"/>
            </w:tcBorders>
            <w:shd w:val="clear" w:color="auto" w:fill="auto"/>
            <w:vAlign w:val="center"/>
            <w:hideMark/>
          </w:tcPr>
          <w:p w14:paraId="6E477C9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12,8</w:t>
            </w:r>
          </w:p>
        </w:tc>
        <w:tc>
          <w:tcPr>
            <w:tcW w:w="625" w:type="dxa"/>
            <w:tcBorders>
              <w:top w:val="nil"/>
              <w:left w:val="nil"/>
              <w:bottom w:val="single" w:sz="4" w:space="0" w:color="auto"/>
              <w:right w:val="nil"/>
            </w:tcBorders>
            <w:shd w:val="clear" w:color="auto" w:fill="auto"/>
            <w:vAlign w:val="center"/>
            <w:hideMark/>
          </w:tcPr>
          <w:p w14:paraId="4783137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13,1</w:t>
            </w:r>
          </w:p>
        </w:tc>
        <w:tc>
          <w:tcPr>
            <w:tcW w:w="625" w:type="dxa"/>
            <w:tcBorders>
              <w:top w:val="nil"/>
              <w:left w:val="nil"/>
              <w:bottom w:val="single" w:sz="4" w:space="0" w:color="auto"/>
              <w:right w:val="nil"/>
            </w:tcBorders>
            <w:shd w:val="clear" w:color="auto" w:fill="auto"/>
            <w:vAlign w:val="center"/>
            <w:hideMark/>
          </w:tcPr>
          <w:p w14:paraId="0A8E335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14,3</w:t>
            </w:r>
          </w:p>
        </w:tc>
        <w:tc>
          <w:tcPr>
            <w:tcW w:w="625" w:type="dxa"/>
            <w:tcBorders>
              <w:top w:val="nil"/>
              <w:left w:val="nil"/>
              <w:bottom w:val="single" w:sz="4" w:space="0" w:color="auto"/>
              <w:right w:val="nil"/>
            </w:tcBorders>
            <w:shd w:val="clear" w:color="auto" w:fill="auto"/>
            <w:vAlign w:val="center"/>
            <w:hideMark/>
          </w:tcPr>
          <w:p w14:paraId="0C536CAA"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w:t>
            </w:r>
          </w:p>
        </w:tc>
        <w:tc>
          <w:tcPr>
            <w:tcW w:w="625" w:type="dxa"/>
            <w:tcBorders>
              <w:top w:val="nil"/>
              <w:left w:val="nil"/>
              <w:bottom w:val="single" w:sz="4" w:space="0" w:color="auto"/>
              <w:right w:val="nil"/>
            </w:tcBorders>
            <w:shd w:val="clear" w:color="auto" w:fill="auto"/>
            <w:vAlign w:val="center"/>
            <w:hideMark/>
          </w:tcPr>
          <w:p w14:paraId="777C7F1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16</w:t>
            </w:r>
          </w:p>
        </w:tc>
        <w:tc>
          <w:tcPr>
            <w:tcW w:w="625" w:type="dxa"/>
            <w:tcBorders>
              <w:top w:val="nil"/>
              <w:left w:val="nil"/>
              <w:bottom w:val="single" w:sz="4" w:space="0" w:color="auto"/>
              <w:right w:val="nil"/>
            </w:tcBorders>
            <w:shd w:val="clear" w:color="auto" w:fill="auto"/>
            <w:vAlign w:val="center"/>
            <w:hideMark/>
          </w:tcPr>
          <w:p w14:paraId="7E254EB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single" w:sz="4" w:space="0" w:color="auto"/>
              <w:right w:val="nil"/>
            </w:tcBorders>
            <w:shd w:val="clear" w:color="auto" w:fill="auto"/>
            <w:vAlign w:val="center"/>
            <w:hideMark/>
          </w:tcPr>
          <w:p w14:paraId="78494134" w14:textId="6DC3E01A"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2D5764C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w:t>
            </w:r>
          </w:p>
        </w:tc>
      </w:tr>
      <w:tr w:rsidR="00DA1C19" w:rsidRPr="00677CC7" w14:paraId="158BE4B2" w14:textId="77777777" w:rsidTr="00C27D84">
        <w:trPr>
          <w:gridAfter w:val="1"/>
          <w:wAfter w:w="10" w:type="dxa"/>
          <w:trHeight w:val="277"/>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251FAC67"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vMerge w:val="restart"/>
            <w:tcBorders>
              <w:top w:val="nil"/>
              <w:left w:val="nil"/>
              <w:bottom w:val="single" w:sz="4" w:space="0" w:color="000000"/>
              <w:right w:val="nil"/>
            </w:tcBorders>
            <w:shd w:val="clear" w:color="auto" w:fill="auto"/>
            <w:noWrap/>
            <w:vAlign w:val="center"/>
            <w:hideMark/>
          </w:tcPr>
          <w:p w14:paraId="4B25A50A" w14:textId="649A17B0" w:rsidR="00677CC7" w:rsidRPr="00677CC7" w:rsidRDefault="00677CC7" w:rsidP="00DA1C19">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23</w:t>
            </w:r>
          </w:p>
        </w:tc>
        <w:tc>
          <w:tcPr>
            <w:tcW w:w="2221" w:type="dxa"/>
            <w:tcBorders>
              <w:top w:val="nil"/>
              <w:left w:val="nil"/>
              <w:bottom w:val="nil"/>
              <w:right w:val="nil"/>
            </w:tcBorders>
            <w:shd w:val="clear" w:color="auto" w:fill="auto"/>
            <w:noWrap/>
            <w:vAlign w:val="center"/>
            <w:hideMark/>
          </w:tcPr>
          <w:p w14:paraId="7E393E41" w14:textId="77777777" w:rsidR="00677CC7" w:rsidRPr="00677CC7" w:rsidRDefault="00677CC7" w:rsidP="00677CC7">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Konečná energetická spotreba</w:t>
            </w:r>
          </w:p>
        </w:tc>
        <w:tc>
          <w:tcPr>
            <w:tcW w:w="756" w:type="dxa"/>
            <w:tcBorders>
              <w:top w:val="nil"/>
              <w:left w:val="nil"/>
              <w:bottom w:val="nil"/>
              <w:right w:val="nil"/>
            </w:tcBorders>
            <w:shd w:val="clear" w:color="auto" w:fill="auto"/>
            <w:vAlign w:val="center"/>
            <w:hideMark/>
          </w:tcPr>
          <w:p w14:paraId="75164AB5"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733CEEC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0,8</w:t>
            </w:r>
          </w:p>
        </w:tc>
        <w:tc>
          <w:tcPr>
            <w:tcW w:w="625" w:type="dxa"/>
            <w:tcBorders>
              <w:top w:val="nil"/>
              <w:left w:val="nil"/>
              <w:bottom w:val="nil"/>
              <w:right w:val="nil"/>
            </w:tcBorders>
            <w:shd w:val="clear" w:color="auto" w:fill="auto"/>
            <w:vAlign w:val="center"/>
            <w:hideMark/>
          </w:tcPr>
          <w:p w14:paraId="03A106D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-6,7</w:t>
            </w:r>
          </w:p>
        </w:tc>
        <w:tc>
          <w:tcPr>
            <w:tcW w:w="625" w:type="dxa"/>
            <w:tcBorders>
              <w:top w:val="nil"/>
              <w:left w:val="nil"/>
              <w:bottom w:val="nil"/>
              <w:right w:val="nil"/>
            </w:tcBorders>
            <w:shd w:val="clear" w:color="auto" w:fill="auto"/>
            <w:vAlign w:val="center"/>
            <w:hideMark/>
          </w:tcPr>
          <w:p w14:paraId="5390F32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c>
          <w:tcPr>
            <w:tcW w:w="625" w:type="dxa"/>
            <w:tcBorders>
              <w:top w:val="nil"/>
              <w:left w:val="nil"/>
              <w:bottom w:val="nil"/>
              <w:right w:val="nil"/>
            </w:tcBorders>
            <w:shd w:val="clear" w:color="auto" w:fill="auto"/>
            <w:vAlign w:val="center"/>
            <w:hideMark/>
          </w:tcPr>
          <w:p w14:paraId="7ACDC33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-5,4</w:t>
            </w:r>
          </w:p>
        </w:tc>
        <w:tc>
          <w:tcPr>
            <w:tcW w:w="625" w:type="dxa"/>
            <w:tcBorders>
              <w:top w:val="nil"/>
              <w:left w:val="nil"/>
              <w:bottom w:val="nil"/>
              <w:right w:val="nil"/>
            </w:tcBorders>
            <w:shd w:val="clear" w:color="auto" w:fill="auto"/>
            <w:vAlign w:val="center"/>
            <w:hideMark/>
          </w:tcPr>
          <w:p w14:paraId="42C7D659"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-9,2</w:t>
            </w:r>
          </w:p>
        </w:tc>
        <w:tc>
          <w:tcPr>
            <w:tcW w:w="625" w:type="dxa"/>
            <w:tcBorders>
              <w:top w:val="nil"/>
              <w:left w:val="nil"/>
              <w:bottom w:val="nil"/>
              <w:right w:val="nil"/>
            </w:tcBorders>
            <w:shd w:val="clear" w:color="auto" w:fill="auto"/>
            <w:vAlign w:val="center"/>
            <w:hideMark/>
          </w:tcPr>
          <w:p w14:paraId="0776F06C"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-6,9</w:t>
            </w:r>
          </w:p>
        </w:tc>
        <w:tc>
          <w:tcPr>
            <w:tcW w:w="625" w:type="dxa"/>
            <w:tcBorders>
              <w:top w:val="nil"/>
              <w:left w:val="nil"/>
              <w:bottom w:val="nil"/>
              <w:right w:val="nil"/>
            </w:tcBorders>
            <w:shd w:val="clear" w:color="auto" w:fill="auto"/>
            <w:vAlign w:val="center"/>
            <w:hideMark/>
          </w:tcPr>
          <w:p w14:paraId="78F21BC6" w14:textId="1F3DFE7B" w:rsidR="00677CC7" w:rsidRPr="00677CC7" w:rsidRDefault="00DA1C19" w:rsidP="00677CC7">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r w:rsidR="00677CC7" w:rsidRPr="00677CC7">
              <w:rPr>
                <w:rFonts w:ascii="Arial Narrow" w:hAnsi="Arial Narrow"/>
                <w:color w:val="000000"/>
                <w:sz w:val="20"/>
                <w:szCs w:val="20"/>
                <w:lang w:val="en-US" w:eastAsia="en-US"/>
              </w:rPr>
              <w:t>11,7</w:t>
            </w:r>
          </w:p>
        </w:tc>
        <w:tc>
          <w:tcPr>
            <w:tcW w:w="625" w:type="dxa"/>
            <w:tcBorders>
              <w:top w:val="nil"/>
              <w:left w:val="nil"/>
              <w:bottom w:val="nil"/>
              <w:right w:val="nil"/>
            </w:tcBorders>
            <w:shd w:val="clear" w:color="auto" w:fill="auto"/>
            <w:vAlign w:val="center"/>
            <w:hideMark/>
          </w:tcPr>
          <w:p w14:paraId="7B20722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26C7A89F" w14:textId="0E792DAD" w:rsidR="00677CC7" w:rsidRPr="00677CC7" w:rsidRDefault="00677CC7" w:rsidP="00677CC7">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549C91A2"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-11</w:t>
            </w:r>
          </w:p>
        </w:tc>
      </w:tr>
      <w:tr w:rsidR="00DA1C19" w:rsidRPr="00677CC7" w14:paraId="3CF44974" w14:textId="77777777" w:rsidTr="00C27D84">
        <w:trPr>
          <w:gridAfter w:val="1"/>
          <w:wAfter w:w="10" w:type="dxa"/>
          <w:trHeight w:val="59"/>
          <w:jc w:val="center"/>
        </w:trPr>
        <w:tc>
          <w:tcPr>
            <w:tcW w:w="426" w:type="dxa"/>
            <w:vMerge/>
            <w:tcBorders>
              <w:top w:val="nil"/>
              <w:left w:val="nil"/>
              <w:bottom w:val="single" w:sz="4" w:space="0" w:color="000000"/>
              <w:right w:val="nil"/>
            </w:tcBorders>
            <w:vAlign w:val="center"/>
            <w:hideMark/>
          </w:tcPr>
          <w:p w14:paraId="32D14945"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425" w:type="dxa"/>
            <w:vMerge/>
            <w:tcBorders>
              <w:top w:val="nil"/>
              <w:left w:val="nil"/>
              <w:bottom w:val="single" w:sz="4" w:space="0" w:color="000000"/>
              <w:right w:val="nil"/>
            </w:tcBorders>
            <w:vAlign w:val="center"/>
            <w:hideMark/>
          </w:tcPr>
          <w:p w14:paraId="21F4B648" w14:textId="77777777" w:rsidR="00677CC7" w:rsidRPr="00677CC7" w:rsidRDefault="00677CC7" w:rsidP="00677CC7">
            <w:pPr>
              <w:spacing w:after="0" w:line="240" w:lineRule="auto"/>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4401B64E" w14:textId="77777777" w:rsidR="00677CC7" w:rsidRPr="00677CC7" w:rsidRDefault="00677CC7" w:rsidP="00677CC7">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zmena voči priemeru rokov 2001- 2005)</w:t>
            </w:r>
          </w:p>
        </w:tc>
        <w:tc>
          <w:tcPr>
            <w:tcW w:w="756" w:type="dxa"/>
            <w:tcBorders>
              <w:top w:val="nil"/>
              <w:left w:val="nil"/>
              <w:bottom w:val="single" w:sz="4" w:space="0" w:color="auto"/>
              <w:right w:val="nil"/>
            </w:tcBorders>
            <w:shd w:val="clear" w:color="auto" w:fill="auto"/>
            <w:vAlign w:val="center"/>
            <w:hideMark/>
          </w:tcPr>
          <w:p w14:paraId="10BBB97D" w14:textId="77777777" w:rsidR="00677CC7" w:rsidRPr="00677CC7" w:rsidRDefault="00677CC7" w:rsidP="00677CC7">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0CC79A2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c>
          <w:tcPr>
            <w:tcW w:w="625" w:type="dxa"/>
            <w:tcBorders>
              <w:top w:val="nil"/>
              <w:left w:val="nil"/>
              <w:bottom w:val="single" w:sz="4" w:space="0" w:color="auto"/>
              <w:right w:val="nil"/>
            </w:tcBorders>
            <w:shd w:val="clear" w:color="auto" w:fill="auto"/>
            <w:vAlign w:val="center"/>
            <w:hideMark/>
          </w:tcPr>
          <w:p w14:paraId="60715DF3"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-4,6</w:t>
            </w:r>
          </w:p>
        </w:tc>
        <w:tc>
          <w:tcPr>
            <w:tcW w:w="625" w:type="dxa"/>
            <w:tcBorders>
              <w:top w:val="nil"/>
              <w:left w:val="nil"/>
              <w:bottom w:val="single" w:sz="4" w:space="0" w:color="auto"/>
              <w:right w:val="nil"/>
            </w:tcBorders>
            <w:shd w:val="clear" w:color="auto" w:fill="auto"/>
            <w:vAlign w:val="center"/>
            <w:hideMark/>
          </w:tcPr>
          <w:p w14:paraId="782E0B51"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-0,5</w:t>
            </w:r>
          </w:p>
        </w:tc>
        <w:tc>
          <w:tcPr>
            <w:tcW w:w="625" w:type="dxa"/>
            <w:tcBorders>
              <w:top w:val="nil"/>
              <w:left w:val="nil"/>
              <w:bottom w:val="single" w:sz="4" w:space="0" w:color="auto"/>
              <w:right w:val="nil"/>
            </w:tcBorders>
            <w:shd w:val="clear" w:color="auto" w:fill="auto"/>
            <w:vAlign w:val="center"/>
            <w:hideMark/>
          </w:tcPr>
          <w:p w14:paraId="19750CAD"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-5,5</w:t>
            </w:r>
          </w:p>
        </w:tc>
        <w:tc>
          <w:tcPr>
            <w:tcW w:w="625" w:type="dxa"/>
            <w:tcBorders>
              <w:top w:val="nil"/>
              <w:left w:val="nil"/>
              <w:bottom w:val="single" w:sz="4" w:space="0" w:color="auto"/>
              <w:right w:val="nil"/>
            </w:tcBorders>
            <w:shd w:val="clear" w:color="auto" w:fill="auto"/>
            <w:vAlign w:val="center"/>
            <w:hideMark/>
          </w:tcPr>
          <w:p w14:paraId="3A741234"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-5,5</w:t>
            </w:r>
          </w:p>
        </w:tc>
        <w:tc>
          <w:tcPr>
            <w:tcW w:w="625" w:type="dxa"/>
            <w:tcBorders>
              <w:top w:val="nil"/>
              <w:left w:val="nil"/>
              <w:bottom w:val="single" w:sz="4" w:space="0" w:color="auto"/>
              <w:right w:val="nil"/>
            </w:tcBorders>
            <w:shd w:val="clear" w:color="auto" w:fill="auto"/>
            <w:vAlign w:val="center"/>
            <w:hideMark/>
          </w:tcPr>
          <w:p w14:paraId="11EB2810"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-5,4</w:t>
            </w:r>
          </w:p>
        </w:tc>
        <w:tc>
          <w:tcPr>
            <w:tcW w:w="625" w:type="dxa"/>
            <w:tcBorders>
              <w:top w:val="nil"/>
              <w:left w:val="nil"/>
              <w:bottom w:val="single" w:sz="4" w:space="0" w:color="auto"/>
              <w:right w:val="nil"/>
            </w:tcBorders>
            <w:shd w:val="clear" w:color="auto" w:fill="auto"/>
            <w:vAlign w:val="center"/>
            <w:hideMark/>
          </w:tcPr>
          <w:p w14:paraId="056CB91F"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-9,2</w:t>
            </w:r>
          </w:p>
        </w:tc>
        <w:tc>
          <w:tcPr>
            <w:tcW w:w="625" w:type="dxa"/>
            <w:tcBorders>
              <w:top w:val="nil"/>
              <w:left w:val="nil"/>
              <w:bottom w:val="single" w:sz="4" w:space="0" w:color="auto"/>
              <w:right w:val="nil"/>
            </w:tcBorders>
            <w:shd w:val="clear" w:color="auto" w:fill="auto"/>
            <w:vAlign w:val="center"/>
            <w:hideMark/>
          </w:tcPr>
          <w:p w14:paraId="37067C6E"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0EE05B3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w:t>
            </w:r>
          </w:p>
        </w:tc>
        <w:tc>
          <w:tcPr>
            <w:tcW w:w="625" w:type="dxa"/>
            <w:tcBorders>
              <w:top w:val="nil"/>
              <w:left w:val="nil"/>
              <w:bottom w:val="single" w:sz="4" w:space="0" w:color="auto"/>
              <w:right w:val="nil"/>
            </w:tcBorders>
            <w:shd w:val="clear" w:color="auto" w:fill="auto"/>
            <w:vAlign w:val="center"/>
            <w:hideMark/>
          </w:tcPr>
          <w:p w14:paraId="5017D286" w14:textId="77777777" w:rsidR="00677CC7" w:rsidRPr="00677CC7" w:rsidRDefault="00677CC7" w:rsidP="00677CC7">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bl>
    <w:p w14:paraId="0431FB1B" w14:textId="3D85B14D" w:rsidR="004C13B4" w:rsidRPr="00256D89" w:rsidRDefault="004C13B4" w:rsidP="00FB625E">
      <w:pPr>
        <w:spacing w:after="0" w:line="240" w:lineRule="auto"/>
        <w:jc w:val="both"/>
        <w:rPr>
          <w:rFonts w:ascii="Arial Narrow" w:hAnsi="Arial Narrow" w:cs="Arial Narrow"/>
          <w:bCs/>
        </w:rPr>
      </w:pPr>
    </w:p>
    <w:p w14:paraId="1FE82257" w14:textId="77777777" w:rsidR="00587538" w:rsidRDefault="00587538">
      <w:r>
        <w:br w:type="page"/>
      </w:r>
    </w:p>
    <w:tbl>
      <w:tblPr>
        <w:tblW w:w="10206" w:type="dxa"/>
        <w:jc w:val="center"/>
        <w:tblLook w:val="04A0" w:firstRow="1" w:lastRow="0" w:firstColumn="1" w:lastColumn="0" w:noHBand="0" w:noVBand="1"/>
      </w:tblPr>
      <w:tblGrid>
        <w:gridCol w:w="1826"/>
        <w:gridCol w:w="8380"/>
      </w:tblGrid>
      <w:tr w:rsidR="00D50DB8" w:rsidRPr="00D50DB8" w14:paraId="48589F60" w14:textId="77777777" w:rsidTr="00567771">
        <w:trPr>
          <w:trHeight w:val="300"/>
          <w:jc w:val="center"/>
        </w:trPr>
        <w:tc>
          <w:tcPr>
            <w:tcW w:w="10206" w:type="dxa"/>
            <w:gridSpan w:val="2"/>
            <w:tcBorders>
              <w:top w:val="nil"/>
              <w:left w:val="nil"/>
              <w:bottom w:val="single" w:sz="4" w:space="0" w:color="auto"/>
              <w:right w:val="nil"/>
            </w:tcBorders>
            <w:shd w:val="clear" w:color="auto" w:fill="auto"/>
            <w:vAlign w:val="center"/>
            <w:hideMark/>
          </w:tcPr>
          <w:p w14:paraId="14ACE84D" w14:textId="00D6B8E5" w:rsidR="00D50DB8" w:rsidRPr="00E24676" w:rsidRDefault="00D50DB8" w:rsidP="00AE69D8">
            <w:pPr>
              <w:spacing w:after="0" w:line="240" w:lineRule="auto"/>
              <w:rPr>
                <w:rFonts w:ascii="Arial Narrow" w:hAnsi="Arial Narrow"/>
                <w:b/>
                <w:bCs/>
                <w:color w:val="2C9ADC"/>
                <w:sz w:val="20"/>
                <w:szCs w:val="20"/>
                <w:lang w:eastAsia="en-US"/>
              </w:rPr>
            </w:pPr>
            <w:r w:rsidRPr="00E24676">
              <w:rPr>
                <w:rFonts w:ascii="Arial Narrow" w:hAnsi="Arial Narrow"/>
                <w:b/>
                <w:bCs/>
                <w:color w:val="2C9ADC"/>
                <w:sz w:val="20"/>
                <w:szCs w:val="20"/>
                <w:lang w:eastAsia="en-US"/>
              </w:rPr>
              <w:lastRenderedPageBreak/>
              <w:t>Popis výsledkových ukazovateľov stratégie Európa 2020</w:t>
            </w:r>
            <w:r w:rsidR="008034FA">
              <w:rPr>
                <w:rFonts w:ascii="Arial Narrow" w:hAnsi="Arial Narrow"/>
                <w:b/>
                <w:bCs/>
                <w:color w:val="2C9ADC"/>
                <w:sz w:val="20"/>
                <w:szCs w:val="20"/>
                <w:lang w:eastAsia="en-US"/>
              </w:rPr>
              <w:t xml:space="preserve"> a</w:t>
            </w:r>
            <w:r w:rsidR="00AE69D8">
              <w:rPr>
                <w:rFonts w:ascii="Arial Narrow" w:hAnsi="Arial Narrow"/>
                <w:b/>
                <w:bCs/>
                <w:color w:val="2C9ADC"/>
                <w:sz w:val="20"/>
                <w:szCs w:val="20"/>
                <w:lang w:eastAsia="en-US"/>
              </w:rPr>
              <w:t> </w:t>
            </w:r>
            <w:r w:rsidR="008034FA">
              <w:rPr>
                <w:rFonts w:ascii="Arial Narrow" w:hAnsi="Arial Narrow"/>
                <w:b/>
                <w:bCs/>
                <w:color w:val="2C9ADC"/>
                <w:sz w:val="20"/>
                <w:szCs w:val="20"/>
                <w:lang w:eastAsia="en-US"/>
              </w:rPr>
              <w:t>iných</w:t>
            </w:r>
            <w:r w:rsidR="00AE69D8">
              <w:rPr>
                <w:rFonts w:ascii="Arial Narrow" w:hAnsi="Arial Narrow"/>
                <w:b/>
                <w:bCs/>
                <w:color w:val="2C9ADC"/>
                <w:sz w:val="20"/>
                <w:szCs w:val="20"/>
                <w:lang w:eastAsia="en-US"/>
              </w:rPr>
              <w:t xml:space="preserve"> oblastí</w:t>
            </w:r>
          </w:p>
        </w:tc>
      </w:tr>
      <w:tr w:rsidR="00D50DB8" w:rsidRPr="00D50DB8" w14:paraId="3F171501" w14:textId="77777777" w:rsidTr="00567771">
        <w:trPr>
          <w:trHeight w:val="300"/>
          <w:jc w:val="center"/>
        </w:trPr>
        <w:tc>
          <w:tcPr>
            <w:tcW w:w="1826" w:type="dxa"/>
            <w:tcBorders>
              <w:top w:val="nil"/>
              <w:left w:val="nil"/>
              <w:bottom w:val="single" w:sz="4" w:space="0" w:color="auto"/>
              <w:right w:val="nil"/>
            </w:tcBorders>
            <w:shd w:val="clear" w:color="auto" w:fill="auto"/>
            <w:vAlign w:val="center"/>
            <w:hideMark/>
          </w:tcPr>
          <w:p w14:paraId="0AE6F1B5"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Názov ukazovateľa</w:t>
            </w:r>
          </w:p>
        </w:tc>
        <w:tc>
          <w:tcPr>
            <w:tcW w:w="8380" w:type="dxa"/>
            <w:tcBorders>
              <w:top w:val="nil"/>
              <w:left w:val="nil"/>
              <w:bottom w:val="single" w:sz="4" w:space="0" w:color="auto"/>
              <w:right w:val="nil"/>
            </w:tcBorders>
            <w:shd w:val="clear" w:color="auto" w:fill="auto"/>
            <w:vAlign w:val="center"/>
            <w:hideMark/>
          </w:tcPr>
          <w:p w14:paraId="58D35956" w14:textId="77777777" w:rsidR="00D50DB8" w:rsidRPr="00D50DB8" w:rsidRDefault="00D50DB8" w:rsidP="00D50DB8">
            <w:pPr>
              <w:spacing w:after="0" w:line="240" w:lineRule="auto"/>
              <w:jc w:val="both"/>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Definícia a zdroj</w:t>
            </w:r>
          </w:p>
        </w:tc>
      </w:tr>
      <w:tr w:rsidR="00D50DB8" w:rsidRPr="00D50DB8" w14:paraId="7BB035EA" w14:textId="77777777" w:rsidTr="00567771">
        <w:trPr>
          <w:trHeight w:val="1020"/>
          <w:jc w:val="center"/>
        </w:trPr>
        <w:tc>
          <w:tcPr>
            <w:tcW w:w="1826" w:type="dxa"/>
            <w:vMerge w:val="restart"/>
            <w:tcBorders>
              <w:top w:val="nil"/>
              <w:left w:val="nil"/>
              <w:bottom w:val="nil"/>
              <w:right w:val="nil"/>
            </w:tcBorders>
            <w:shd w:val="clear" w:color="auto" w:fill="auto"/>
            <w:vAlign w:val="center"/>
            <w:hideMark/>
          </w:tcPr>
          <w:p w14:paraId="738D9C41"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Ukazovateľ dlhodobej udržateľnosti (GAP)</w:t>
            </w:r>
          </w:p>
        </w:tc>
        <w:tc>
          <w:tcPr>
            <w:tcW w:w="8380" w:type="dxa"/>
            <w:tcBorders>
              <w:top w:val="nil"/>
              <w:left w:val="nil"/>
              <w:bottom w:val="nil"/>
              <w:right w:val="nil"/>
            </w:tcBorders>
            <w:shd w:val="clear" w:color="auto" w:fill="auto"/>
            <w:vAlign w:val="center"/>
            <w:hideMark/>
          </w:tcPr>
          <w:p w14:paraId="1AB0621A"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Ukazovateľ dlhodobej udržateľnosti je rozdiel medzi aktuálnou hodnotou a dlhodobo udržateľnou hodnotou štrukturálneho primárneho salda. Dlhodobo udržateľná hodnota sa určuje na základe aktuálnej legislatívy a dlhodobých demografických a ekonomických prognóz ovplyvňujúcich príjmy a výdavky verejnej správy (implicitné záväzky), pričom do úvahy sa berú aj podmienené záväzky (napr. PPP projekty)</w:t>
            </w:r>
          </w:p>
        </w:tc>
      </w:tr>
      <w:tr w:rsidR="00D50DB8" w:rsidRPr="00D50DB8" w14:paraId="74DCE20F" w14:textId="77777777" w:rsidTr="00567771">
        <w:trPr>
          <w:trHeight w:val="300"/>
          <w:jc w:val="center"/>
        </w:trPr>
        <w:tc>
          <w:tcPr>
            <w:tcW w:w="1826" w:type="dxa"/>
            <w:vMerge/>
            <w:tcBorders>
              <w:top w:val="nil"/>
              <w:left w:val="nil"/>
              <w:bottom w:val="nil"/>
              <w:right w:val="nil"/>
            </w:tcBorders>
            <w:vAlign w:val="center"/>
            <w:hideMark/>
          </w:tcPr>
          <w:p w14:paraId="3211543C"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5DD94FF2" w14:textId="4B12353B" w:rsidR="00D50DB8" w:rsidRPr="00E9605F" w:rsidRDefault="00D50DB8" w:rsidP="007E6EFB">
            <w:pPr>
              <w:spacing w:after="0" w:line="240" w:lineRule="auto"/>
              <w:jc w:val="both"/>
              <w:rPr>
                <w:rFonts w:ascii="Arial Narrow" w:hAnsi="Arial Narrow"/>
                <w:color w:val="000000"/>
                <w:sz w:val="20"/>
                <w:szCs w:val="20"/>
                <w:lang w:val="en-US" w:eastAsia="en-US"/>
              </w:rPr>
            </w:pPr>
            <w:r w:rsidRPr="00E9605F">
              <w:rPr>
                <w:rFonts w:ascii="Arial Narrow" w:hAnsi="Arial Narrow"/>
                <w:color w:val="000000"/>
                <w:sz w:val="20"/>
                <w:szCs w:val="20"/>
                <w:lang w:val="en-US" w:eastAsia="en-US"/>
              </w:rPr>
              <w:t xml:space="preserve">Zdroj: OECD / Eurostat, výpočet </w:t>
            </w:r>
            <w:r w:rsidR="007E6EFB" w:rsidRPr="00E9605F">
              <w:rPr>
                <w:rFonts w:ascii="Arial Narrow" w:hAnsi="Arial Narrow"/>
                <w:color w:val="000000"/>
                <w:sz w:val="20"/>
                <w:szCs w:val="20"/>
                <w:lang w:val="en-US" w:eastAsia="en-US"/>
              </w:rPr>
              <w:t>Rada pre rozpočtovú zodpovednosť</w:t>
            </w:r>
          </w:p>
        </w:tc>
      </w:tr>
      <w:tr w:rsidR="00D50DB8" w:rsidRPr="00D50DB8" w14:paraId="36865615" w14:textId="77777777" w:rsidTr="00567771">
        <w:trPr>
          <w:trHeight w:val="510"/>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58D94FE9"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Efektívnosť výberu DPH</w:t>
            </w:r>
          </w:p>
        </w:tc>
        <w:tc>
          <w:tcPr>
            <w:tcW w:w="8380" w:type="dxa"/>
            <w:tcBorders>
              <w:top w:val="nil"/>
              <w:left w:val="nil"/>
              <w:bottom w:val="nil"/>
              <w:right w:val="nil"/>
            </w:tcBorders>
            <w:shd w:val="clear" w:color="auto" w:fill="auto"/>
            <w:vAlign w:val="center"/>
            <w:hideMark/>
          </w:tcPr>
          <w:p w14:paraId="23DB7E3B"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Efektívnosť výberu DPH = výber DPH / [(konečná spotreba domácností + tvorba hrubého fixného kapitálu verejnej správy + medzispotreba verejnej správy – výber DPH) * (základná sadzba DPH / 100)]</w:t>
            </w:r>
          </w:p>
        </w:tc>
      </w:tr>
      <w:tr w:rsidR="00D50DB8" w:rsidRPr="00D50DB8" w14:paraId="559F7624" w14:textId="77777777" w:rsidTr="00567771">
        <w:trPr>
          <w:trHeight w:val="765"/>
          <w:jc w:val="center"/>
        </w:trPr>
        <w:tc>
          <w:tcPr>
            <w:tcW w:w="1826" w:type="dxa"/>
            <w:vMerge/>
            <w:tcBorders>
              <w:top w:val="dotted" w:sz="4" w:space="0" w:color="auto"/>
              <w:left w:val="nil"/>
              <w:bottom w:val="dotted" w:sz="4" w:space="0" w:color="000000"/>
              <w:right w:val="nil"/>
            </w:tcBorders>
            <w:vAlign w:val="center"/>
            <w:hideMark/>
          </w:tcPr>
          <w:p w14:paraId="5AA12364"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nil"/>
              <w:right w:val="nil"/>
            </w:tcBorders>
            <w:shd w:val="clear" w:color="auto" w:fill="auto"/>
            <w:vAlign w:val="center"/>
            <w:hideMark/>
          </w:tcPr>
          <w:p w14:paraId="72D7A34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 xml:space="preserve">Tento index porovnáva skutočný výber DPH s potenciálnym výberom DPH. Čím väčšia je hodnota indikátora, tým efektívnejší je výber DPH. Potenciálny výber DPH ukazuje, koľko sa dokáže vybrať DPH z makroekonomickej základne pri zdanení základnou sadzbou DPH. </w:t>
            </w:r>
          </w:p>
        </w:tc>
      </w:tr>
      <w:tr w:rsidR="00D50DB8" w:rsidRPr="00D50DB8" w14:paraId="7099738C" w14:textId="77777777" w:rsidTr="00567771">
        <w:trPr>
          <w:trHeight w:val="300"/>
          <w:jc w:val="center"/>
        </w:trPr>
        <w:tc>
          <w:tcPr>
            <w:tcW w:w="1826" w:type="dxa"/>
            <w:vMerge/>
            <w:tcBorders>
              <w:top w:val="dotted" w:sz="4" w:space="0" w:color="auto"/>
              <w:left w:val="nil"/>
              <w:bottom w:val="dotted" w:sz="4" w:space="0" w:color="000000"/>
              <w:right w:val="nil"/>
            </w:tcBorders>
            <w:vAlign w:val="center"/>
            <w:hideMark/>
          </w:tcPr>
          <w:p w14:paraId="61842874"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2610E121" w14:textId="77777777" w:rsidR="00D50DB8" w:rsidRPr="00E24676" w:rsidRDefault="00D50DB8" w:rsidP="00D50DB8">
            <w:pPr>
              <w:spacing w:after="0" w:line="240" w:lineRule="auto"/>
              <w:jc w:val="both"/>
              <w:rPr>
                <w:rFonts w:ascii="Arial Narrow" w:hAnsi="Arial Narrow"/>
                <w:color w:val="000000"/>
                <w:sz w:val="20"/>
                <w:szCs w:val="20"/>
                <w:lang w:val="de-DE" w:eastAsia="en-US"/>
              </w:rPr>
            </w:pPr>
            <w:r w:rsidRPr="00E24676">
              <w:rPr>
                <w:rFonts w:ascii="Arial Narrow" w:hAnsi="Arial Narrow"/>
                <w:color w:val="000000"/>
                <w:sz w:val="20"/>
                <w:szCs w:val="20"/>
                <w:lang w:val="de-DE" w:eastAsia="en-US"/>
              </w:rPr>
              <w:t>Zdroj: OECD / Eurostat, výpočet MF SR</w:t>
            </w:r>
          </w:p>
        </w:tc>
      </w:tr>
      <w:tr w:rsidR="00D50DB8" w:rsidRPr="00D50DB8" w14:paraId="0A2B4DE6" w14:textId="77777777" w:rsidTr="001C3992">
        <w:trPr>
          <w:trHeight w:val="699"/>
          <w:jc w:val="center"/>
        </w:trPr>
        <w:tc>
          <w:tcPr>
            <w:tcW w:w="1826" w:type="dxa"/>
            <w:vMerge w:val="restart"/>
            <w:tcBorders>
              <w:top w:val="nil"/>
              <w:left w:val="nil"/>
              <w:bottom w:val="dotted" w:sz="4" w:space="0" w:color="000000"/>
              <w:right w:val="nil"/>
            </w:tcBorders>
            <w:shd w:val="clear" w:color="auto" w:fill="auto"/>
            <w:vAlign w:val="center"/>
            <w:hideMark/>
          </w:tcPr>
          <w:p w14:paraId="49F2A36A"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Medzera DPH</w:t>
            </w:r>
          </w:p>
        </w:tc>
        <w:tc>
          <w:tcPr>
            <w:tcW w:w="8380" w:type="dxa"/>
            <w:tcBorders>
              <w:top w:val="nil"/>
              <w:left w:val="nil"/>
              <w:bottom w:val="nil"/>
              <w:right w:val="nil"/>
            </w:tcBorders>
            <w:shd w:val="clear" w:color="auto" w:fill="auto"/>
            <w:vAlign w:val="center"/>
            <w:hideMark/>
          </w:tcPr>
          <w:p w14:paraId="7BCB6881" w14:textId="5BDE7519" w:rsidR="000471E5" w:rsidRPr="000471E5" w:rsidRDefault="000471E5" w:rsidP="00811359">
            <w:pPr>
              <w:pStyle w:val="Default"/>
              <w:spacing w:after="80"/>
              <w:jc w:val="both"/>
              <w:rPr>
                <w:rFonts w:ascii="Arial Narrow" w:hAnsi="Arial Narrow"/>
                <w:sz w:val="20"/>
                <w:szCs w:val="20"/>
              </w:rPr>
            </w:pPr>
            <w:r w:rsidRPr="000471E5">
              <w:rPr>
                <w:rFonts w:ascii="Arial Narrow" w:hAnsi="Arial Narrow"/>
                <w:sz w:val="20"/>
                <w:szCs w:val="20"/>
              </w:rPr>
              <w:t xml:space="preserve">Rozdiel medzi potenciálnym výberom DPH, ktorý by štát získal, ak by sa všetky ekonomické subjekty správali v súlade so zákonom a jeho výkladom vo forme v akej bol prijatý, a skutočne vybranou daňou. </w:t>
            </w:r>
          </w:p>
          <w:p w14:paraId="7C740686" w14:textId="40350E10" w:rsidR="000471E5" w:rsidRPr="00E9605F" w:rsidRDefault="00811359" w:rsidP="00811359">
            <w:pPr>
              <w:spacing w:after="80" w:line="240" w:lineRule="auto"/>
              <w:rPr>
                <w:rFonts w:ascii="Arial Narrow" w:hAnsi="Arial Narrow"/>
                <w:bCs/>
                <w:color w:val="000000"/>
                <w:sz w:val="20"/>
                <w:szCs w:val="20"/>
                <w:lang w:eastAsia="en-US"/>
              </w:rPr>
            </w:pPr>
            <w:r w:rsidRPr="00E9605F">
              <w:rPr>
                <w:rFonts w:ascii="Arial Narrow" w:hAnsi="Arial Narrow"/>
                <w:bCs/>
                <w:color w:val="000000"/>
                <w:sz w:val="20"/>
                <w:szCs w:val="20"/>
                <w:lang w:eastAsia="en-US"/>
              </w:rPr>
              <w:t xml:space="preserve">Medzera DPH = 1 – </w:t>
            </w:r>
            <w:r w:rsidRPr="00E9605F">
              <w:rPr>
                <w:rFonts w:ascii="Arial Narrow" w:hAnsi="Arial Narrow"/>
                <w:color w:val="000000"/>
                <w:sz w:val="20"/>
                <w:szCs w:val="20"/>
                <w:lang w:eastAsia="en-US"/>
              </w:rPr>
              <w:t>[</w:t>
            </w:r>
            <w:r w:rsidRPr="00E9605F">
              <w:rPr>
                <w:rFonts w:ascii="Arial Narrow" w:hAnsi="Arial Narrow"/>
                <w:bCs/>
                <w:color w:val="000000"/>
                <w:sz w:val="20"/>
                <w:szCs w:val="20"/>
                <w:lang w:eastAsia="en-US"/>
              </w:rPr>
              <w:t>teoretická (potenciálna DPH) – aktuálne vybraná DPH)</w:t>
            </w:r>
            <w:r w:rsidRPr="00E9605F">
              <w:rPr>
                <w:rFonts w:ascii="Arial Narrow" w:hAnsi="Arial Narrow"/>
                <w:color w:val="000000"/>
                <w:sz w:val="20"/>
                <w:szCs w:val="20"/>
                <w:lang w:eastAsia="en-US"/>
              </w:rPr>
              <w:t>]</w:t>
            </w:r>
            <w:r w:rsidRPr="00E9605F">
              <w:rPr>
                <w:rFonts w:ascii="Arial Narrow" w:hAnsi="Arial Narrow"/>
                <w:bCs/>
                <w:color w:val="000000"/>
                <w:sz w:val="20"/>
                <w:szCs w:val="20"/>
                <w:lang w:eastAsia="en-US"/>
              </w:rPr>
              <w:t>*teoretická (potenciálna DPH)</w:t>
            </w:r>
          </w:p>
        </w:tc>
      </w:tr>
      <w:tr w:rsidR="00D50DB8" w:rsidRPr="00D50DB8" w14:paraId="4EEAFB9A" w14:textId="77777777" w:rsidTr="001C3992">
        <w:trPr>
          <w:trHeight w:val="300"/>
          <w:jc w:val="center"/>
        </w:trPr>
        <w:tc>
          <w:tcPr>
            <w:tcW w:w="1826" w:type="dxa"/>
            <w:vMerge/>
            <w:tcBorders>
              <w:top w:val="nil"/>
              <w:left w:val="nil"/>
              <w:bottom w:val="dotted" w:sz="4" w:space="0" w:color="000000"/>
              <w:right w:val="nil"/>
            </w:tcBorders>
            <w:vAlign w:val="center"/>
            <w:hideMark/>
          </w:tcPr>
          <w:p w14:paraId="3A5836EA" w14:textId="13942552" w:rsidR="00D50DB8" w:rsidRPr="00E9605F" w:rsidRDefault="00D50DB8" w:rsidP="00D50DB8">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noWrap/>
            <w:vAlign w:val="center"/>
            <w:hideMark/>
          </w:tcPr>
          <w:p w14:paraId="653F77FC" w14:textId="73328AB8" w:rsidR="00D50DB8" w:rsidRPr="00E9605F" w:rsidRDefault="00D50DB8" w:rsidP="00D50DB8">
            <w:pPr>
              <w:spacing w:after="0" w:line="240" w:lineRule="auto"/>
              <w:rPr>
                <w:rFonts w:ascii="Arial Narrow" w:hAnsi="Arial Narrow"/>
                <w:color w:val="000000"/>
                <w:sz w:val="20"/>
                <w:szCs w:val="20"/>
                <w:lang w:eastAsia="en-US"/>
              </w:rPr>
            </w:pPr>
            <w:r w:rsidRPr="00E9605F">
              <w:rPr>
                <w:rFonts w:ascii="Arial Narrow" w:hAnsi="Arial Narrow"/>
                <w:color w:val="000000"/>
                <w:sz w:val="20"/>
                <w:szCs w:val="20"/>
                <w:lang w:eastAsia="en-US"/>
              </w:rPr>
              <w:t> </w:t>
            </w:r>
            <w:r w:rsidR="007E6EFB" w:rsidRPr="00E9605F">
              <w:rPr>
                <w:rFonts w:ascii="Arial Narrow" w:hAnsi="Arial Narrow"/>
                <w:color w:val="000000"/>
                <w:sz w:val="20"/>
                <w:szCs w:val="20"/>
                <w:lang w:eastAsia="en-US"/>
              </w:rPr>
              <w:t>Zdroj: Európska komisia / CASE</w:t>
            </w:r>
            <w:r w:rsidR="009C4AB4" w:rsidRPr="00E9605F">
              <w:rPr>
                <w:rFonts w:ascii="Arial Narrow" w:hAnsi="Arial Narrow"/>
                <w:color w:val="000000"/>
                <w:sz w:val="20"/>
                <w:szCs w:val="20"/>
                <w:lang w:eastAsia="en-US"/>
              </w:rPr>
              <w:t>, výpočet MF SR</w:t>
            </w:r>
          </w:p>
        </w:tc>
      </w:tr>
      <w:tr w:rsidR="00D50DB8" w:rsidRPr="00D50DB8" w14:paraId="65850CD5" w14:textId="77777777" w:rsidTr="00567771">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27C322DB"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 xml:space="preserve">Predčasné ukončenie školskej dochádzky </w:t>
            </w:r>
          </w:p>
        </w:tc>
        <w:tc>
          <w:tcPr>
            <w:tcW w:w="8380" w:type="dxa"/>
            <w:tcBorders>
              <w:top w:val="nil"/>
              <w:left w:val="nil"/>
              <w:bottom w:val="nil"/>
              <w:right w:val="nil"/>
            </w:tcBorders>
            <w:shd w:val="clear" w:color="auto" w:fill="auto"/>
            <w:vAlign w:val="center"/>
            <w:hideMark/>
          </w:tcPr>
          <w:p w14:paraId="041CF238"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populácie vo veku 18-24 rokov s najnižším vzdelaním (ISCED 0, 1, 2, 3C), ktorá nepokračuje v ďalšom vzdelávaní. Žiak nepokračuje vo vzdelávaní, ak sa počas posledných štyroch týždňov pred uskutočnením prieskumu nezúčastnil žiadneho typu vzdelávania, pričom sa nezohľadňuje relevantnosť vzdelávania pre súčasnú alebo budúcu prácu respondenta.</w:t>
            </w:r>
          </w:p>
        </w:tc>
      </w:tr>
      <w:tr w:rsidR="00D50DB8" w:rsidRPr="00D50DB8" w14:paraId="781A6281" w14:textId="77777777" w:rsidTr="00567771">
        <w:trPr>
          <w:trHeight w:val="300"/>
          <w:jc w:val="center"/>
        </w:trPr>
        <w:tc>
          <w:tcPr>
            <w:tcW w:w="1826" w:type="dxa"/>
            <w:vMerge/>
            <w:tcBorders>
              <w:top w:val="nil"/>
              <w:left w:val="nil"/>
              <w:bottom w:val="dotted" w:sz="4" w:space="0" w:color="000000"/>
              <w:right w:val="nil"/>
            </w:tcBorders>
            <w:vAlign w:val="center"/>
            <w:hideMark/>
          </w:tcPr>
          <w:p w14:paraId="3C4A33F3"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05B7D2B0"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1E54EC34" w14:textId="77777777" w:rsidTr="00567771">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2741F463" w14:textId="77777777" w:rsidR="00D50DB8" w:rsidRPr="00D50DB8" w:rsidRDefault="00D50DB8" w:rsidP="00D50DB8">
            <w:pPr>
              <w:spacing w:after="0" w:line="240" w:lineRule="auto"/>
              <w:jc w:val="both"/>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PISA</w:t>
            </w:r>
          </w:p>
        </w:tc>
        <w:tc>
          <w:tcPr>
            <w:tcW w:w="8380" w:type="dxa"/>
            <w:tcBorders>
              <w:top w:val="nil"/>
              <w:left w:val="nil"/>
              <w:bottom w:val="nil"/>
              <w:right w:val="nil"/>
            </w:tcBorders>
            <w:shd w:val="clear" w:color="auto" w:fill="auto"/>
            <w:vAlign w:val="center"/>
            <w:hideMark/>
          </w:tcPr>
          <w:p w14:paraId="284947D1"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Medzinárodné štandardizované hodnotenie vedomostí a zručností pätnásťročných žiakov. Hodnotí žiakov v troch oblastiach: v matematike, čítaní a prírodných vedách. Index je aritmetickým priemerom hodnotení v jednotlivých oblastiach.</w:t>
            </w:r>
          </w:p>
        </w:tc>
      </w:tr>
      <w:tr w:rsidR="00D50DB8" w:rsidRPr="00D50DB8" w14:paraId="112300D7" w14:textId="77777777" w:rsidTr="00567771">
        <w:trPr>
          <w:trHeight w:val="300"/>
          <w:jc w:val="center"/>
        </w:trPr>
        <w:tc>
          <w:tcPr>
            <w:tcW w:w="1826" w:type="dxa"/>
            <w:vMerge/>
            <w:tcBorders>
              <w:top w:val="nil"/>
              <w:left w:val="nil"/>
              <w:bottom w:val="dotted" w:sz="4" w:space="0" w:color="000000"/>
              <w:right w:val="nil"/>
            </w:tcBorders>
            <w:vAlign w:val="center"/>
            <w:hideMark/>
          </w:tcPr>
          <w:p w14:paraId="3AF6411C"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142CAE2F"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OECD</w:t>
            </w:r>
          </w:p>
        </w:tc>
      </w:tr>
      <w:tr w:rsidR="00D50DB8" w:rsidRPr="00D50DB8" w14:paraId="44048B9C" w14:textId="77777777" w:rsidTr="00567771">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06E401B0"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Miera vysokoškolsky vzdelanej populácie</w:t>
            </w:r>
          </w:p>
        </w:tc>
        <w:tc>
          <w:tcPr>
            <w:tcW w:w="8380" w:type="dxa"/>
            <w:tcBorders>
              <w:top w:val="nil"/>
              <w:left w:val="nil"/>
              <w:bottom w:val="nil"/>
              <w:right w:val="nil"/>
            </w:tcBorders>
            <w:shd w:val="clear" w:color="auto" w:fill="auto"/>
            <w:vAlign w:val="center"/>
            <w:hideMark/>
          </w:tcPr>
          <w:p w14:paraId="74217EA6"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absolventov vysokoškolského štúdia vo veku 30-34 rokov pripadajúci na celkový počet obyvateľov rovnakej vekovej skupiny. Stupeň vysokoškolského alebo doktorandského štúdia zodpovedá úrovni ISCED 5-6.</w:t>
            </w:r>
          </w:p>
        </w:tc>
      </w:tr>
      <w:tr w:rsidR="00D50DB8" w:rsidRPr="00D50DB8" w14:paraId="017B9380" w14:textId="77777777" w:rsidTr="00567771">
        <w:trPr>
          <w:trHeight w:val="300"/>
          <w:jc w:val="center"/>
        </w:trPr>
        <w:tc>
          <w:tcPr>
            <w:tcW w:w="1826" w:type="dxa"/>
            <w:vMerge/>
            <w:tcBorders>
              <w:top w:val="nil"/>
              <w:left w:val="nil"/>
              <w:bottom w:val="dotted" w:sz="4" w:space="0" w:color="000000"/>
              <w:right w:val="nil"/>
            </w:tcBorders>
            <w:vAlign w:val="center"/>
            <w:hideMark/>
          </w:tcPr>
          <w:p w14:paraId="7D6CA953"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4CA8C432"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1D9A1F83" w14:textId="77777777" w:rsidTr="00567771">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7CD64719"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Citácie na výskumníka</w:t>
            </w:r>
          </w:p>
        </w:tc>
        <w:tc>
          <w:tcPr>
            <w:tcW w:w="8380" w:type="dxa"/>
            <w:tcBorders>
              <w:top w:val="nil"/>
              <w:left w:val="nil"/>
              <w:bottom w:val="nil"/>
              <w:right w:val="nil"/>
            </w:tcBorders>
            <w:shd w:val="clear" w:color="auto" w:fill="auto"/>
            <w:vAlign w:val="center"/>
            <w:hideMark/>
          </w:tcPr>
          <w:p w14:paraId="437293BA"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počtu citácií v renomovaných medzinárodných časopisoch (Scimago Journal &amp; Country Rank) na počet výskumníkov v krajine (Eurostat). Ukazovateľ je vyjadrený relatívne k priemernej hodnote krajín Európskej únie.</w:t>
            </w:r>
          </w:p>
        </w:tc>
      </w:tr>
      <w:tr w:rsidR="00D50DB8" w:rsidRPr="00D50DB8" w14:paraId="4E792338" w14:textId="77777777" w:rsidTr="00567771">
        <w:trPr>
          <w:trHeight w:val="300"/>
          <w:jc w:val="center"/>
        </w:trPr>
        <w:tc>
          <w:tcPr>
            <w:tcW w:w="1826" w:type="dxa"/>
            <w:vMerge/>
            <w:tcBorders>
              <w:top w:val="nil"/>
              <w:left w:val="nil"/>
              <w:bottom w:val="dotted" w:sz="4" w:space="0" w:color="000000"/>
              <w:right w:val="nil"/>
            </w:tcBorders>
            <w:vAlign w:val="center"/>
            <w:hideMark/>
          </w:tcPr>
          <w:p w14:paraId="3CB7AF5E"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DCF8DA0" w14:textId="77777777" w:rsidR="00D50DB8" w:rsidRPr="00E9605F" w:rsidRDefault="00D50DB8" w:rsidP="00D50DB8">
            <w:pPr>
              <w:spacing w:after="0" w:line="240" w:lineRule="auto"/>
              <w:jc w:val="both"/>
              <w:rPr>
                <w:rFonts w:ascii="Arial Narrow" w:hAnsi="Arial Narrow"/>
                <w:color w:val="000000"/>
                <w:sz w:val="20"/>
                <w:szCs w:val="20"/>
                <w:lang w:val="de-DE" w:eastAsia="en-US"/>
              </w:rPr>
            </w:pPr>
            <w:r w:rsidRPr="00E9605F">
              <w:rPr>
                <w:rFonts w:ascii="Arial Narrow" w:hAnsi="Arial Narrow"/>
                <w:color w:val="000000"/>
                <w:sz w:val="20"/>
                <w:szCs w:val="20"/>
                <w:lang w:val="de-DE" w:eastAsia="en-US"/>
              </w:rPr>
              <w:t xml:space="preserve">Zdroj: http://www.scimagojr.com/, Eurostat, výpočty MF SR </w:t>
            </w:r>
          </w:p>
        </w:tc>
      </w:tr>
      <w:tr w:rsidR="00D50DB8" w:rsidRPr="00D50DB8" w14:paraId="07C980A6" w14:textId="77777777" w:rsidTr="00567771">
        <w:trPr>
          <w:trHeight w:val="300"/>
          <w:jc w:val="center"/>
        </w:trPr>
        <w:tc>
          <w:tcPr>
            <w:tcW w:w="1826" w:type="dxa"/>
            <w:vMerge w:val="restart"/>
            <w:tcBorders>
              <w:top w:val="nil"/>
              <w:left w:val="nil"/>
              <w:bottom w:val="dotted" w:sz="4" w:space="0" w:color="000000"/>
              <w:right w:val="nil"/>
            </w:tcBorders>
            <w:shd w:val="clear" w:color="auto" w:fill="auto"/>
            <w:vAlign w:val="center"/>
            <w:hideMark/>
          </w:tcPr>
          <w:p w14:paraId="1848EAFF"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 xml:space="preserve">Výdavky na výskum a vývoj </w:t>
            </w:r>
          </w:p>
        </w:tc>
        <w:tc>
          <w:tcPr>
            <w:tcW w:w="8380" w:type="dxa"/>
            <w:tcBorders>
              <w:top w:val="nil"/>
              <w:left w:val="nil"/>
              <w:bottom w:val="nil"/>
              <w:right w:val="nil"/>
            </w:tcBorders>
            <w:shd w:val="clear" w:color="auto" w:fill="auto"/>
            <w:vAlign w:val="center"/>
            <w:hideMark/>
          </w:tcPr>
          <w:p w14:paraId="406BEF56"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Percentuálny podiel celkových výdavkov na výskum a vývoj na HDP.</w:t>
            </w:r>
          </w:p>
        </w:tc>
      </w:tr>
      <w:tr w:rsidR="00D50DB8" w:rsidRPr="00D50DB8" w14:paraId="0B93EA3E" w14:textId="77777777" w:rsidTr="00567771">
        <w:trPr>
          <w:trHeight w:val="300"/>
          <w:jc w:val="center"/>
        </w:trPr>
        <w:tc>
          <w:tcPr>
            <w:tcW w:w="1826" w:type="dxa"/>
            <w:vMerge/>
            <w:tcBorders>
              <w:top w:val="nil"/>
              <w:left w:val="nil"/>
              <w:bottom w:val="dotted" w:sz="4" w:space="0" w:color="000000"/>
              <w:right w:val="nil"/>
            </w:tcBorders>
            <w:vAlign w:val="center"/>
            <w:hideMark/>
          </w:tcPr>
          <w:p w14:paraId="585921F1"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E77F8E2"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1C565E43" w14:textId="77777777" w:rsidTr="00567771">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448E14FB"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High-tech export</w:t>
            </w:r>
          </w:p>
        </w:tc>
        <w:tc>
          <w:tcPr>
            <w:tcW w:w="8380" w:type="dxa"/>
            <w:tcBorders>
              <w:top w:val="nil"/>
              <w:left w:val="nil"/>
              <w:bottom w:val="nil"/>
              <w:right w:val="nil"/>
            </w:tcBorders>
            <w:shd w:val="clear" w:color="auto" w:fill="auto"/>
            <w:vAlign w:val="center"/>
            <w:hideMark/>
          </w:tcPr>
          <w:p w14:paraId="19C7AD77"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high-tech exportov na celkovom vývoze krajiny. Produkty high-tech sú vybrané produkty nasledovných odvetví: letecký priemysel, počítače a kancelárske stroje, elektronické telekomunikačné zariadenia, farmaceutický priemysel, vedecké prístroje, elektrické stroje, chemický priemysel, neelekronické prístroje, zbrojný priemysel.</w:t>
            </w:r>
          </w:p>
        </w:tc>
      </w:tr>
      <w:tr w:rsidR="00D50DB8" w:rsidRPr="00D50DB8" w14:paraId="4CAB22CF" w14:textId="77777777" w:rsidTr="00567771">
        <w:trPr>
          <w:trHeight w:val="300"/>
          <w:jc w:val="center"/>
        </w:trPr>
        <w:tc>
          <w:tcPr>
            <w:tcW w:w="1826" w:type="dxa"/>
            <w:vMerge/>
            <w:tcBorders>
              <w:top w:val="nil"/>
              <w:left w:val="nil"/>
              <w:bottom w:val="dotted" w:sz="4" w:space="0" w:color="000000"/>
              <w:right w:val="nil"/>
            </w:tcBorders>
            <w:vAlign w:val="center"/>
            <w:hideMark/>
          </w:tcPr>
          <w:p w14:paraId="386AF460"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7A2DDE03"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5D80EF99" w14:textId="77777777" w:rsidTr="00567771">
        <w:trPr>
          <w:trHeight w:val="1275"/>
          <w:jc w:val="center"/>
        </w:trPr>
        <w:tc>
          <w:tcPr>
            <w:tcW w:w="1826" w:type="dxa"/>
            <w:vMerge w:val="restart"/>
            <w:tcBorders>
              <w:top w:val="nil"/>
              <w:left w:val="nil"/>
              <w:bottom w:val="dotted" w:sz="4" w:space="0" w:color="000000"/>
              <w:right w:val="nil"/>
            </w:tcBorders>
            <w:shd w:val="clear" w:color="auto" w:fill="auto"/>
            <w:vAlign w:val="center"/>
            <w:hideMark/>
          </w:tcPr>
          <w:p w14:paraId="5C6333A4"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Miera zamestnanosti</w:t>
            </w:r>
          </w:p>
        </w:tc>
        <w:tc>
          <w:tcPr>
            <w:tcW w:w="8380" w:type="dxa"/>
            <w:tcBorders>
              <w:top w:val="nil"/>
              <w:left w:val="nil"/>
              <w:bottom w:val="nil"/>
              <w:right w:val="nil"/>
            </w:tcBorders>
            <w:shd w:val="clear" w:color="auto" w:fill="auto"/>
            <w:vAlign w:val="center"/>
            <w:hideMark/>
          </w:tcPr>
          <w:p w14:paraId="64C10F9D"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zamestnanej populácie vo veku 20-64 rokov na celkovej populácii rovnakej vekovej skupiny. Ukazovateľ zahŕňa celkovú populáciu žijúcu v samostatných domácnostiach, nezahŕňa kolektívne domácnosti ani obyvateľov penziónov, či ubytovní a internátov, ani hospitalizovaných v zdravotníckych zariadeniach. Zamestnaná populácia pozostáva z tých osôb, ktoré počas daného týždňa vykonávali hocijakú prácu za mzdu alebo zárobok po dobu aspoň jednej hodiny, resp. nepracovali, ale mali zamestnanie, v ktorom boli dočasne neprítomní.</w:t>
            </w:r>
          </w:p>
        </w:tc>
      </w:tr>
      <w:tr w:rsidR="00D50DB8" w:rsidRPr="00D50DB8" w14:paraId="35244A00" w14:textId="77777777" w:rsidTr="00567771">
        <w:trPr>
          <w:trHeight w:val="300"/>
          <w:jc w:val="center"/>
        </w:trPr>
        <w:tc>
          <w:tcPr>
            <w:tcW w:w="1826" w:type="dxa"/>
            <w:vMerge/>
            <w:tcBorders>
              <w:top w:val="nil"/>
              <w:left w:val="nil"/>
              <w:bottom w:val="dotted" w:sz="4" w:space="0" w:color="000000"/>
              <w:right w:val="nil"/>
            </w:tcBorders>
            <w:vAlign w:val="center"/>
            <w:hideMark/>
          </w:tcPr>
          <w:p w14:paraId="36749A32"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324C534C"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70EB7244" w14:textId="77777777" w:rsidTr="00567771">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4C37AF1A"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Miera dlhodobej nezamestnanosti</w:t>
            </w:r>
          </w:p>
        </w:tc>
        <w:tc>
          <w:tcPr>
            <w:tcW w:w="8380" w:type="dxa"/>
            <w:tcBorders>
              <w:top w:val="nil"/>
              <w:left w:val="nil"/>
              <w:bottom w:val="nil"/>
              <w:right w:val="nil"/>
            </w:tcBorders>
            <w:shd w:val="clear" w:color="auto" w:fill="auto"/>
            <w:vAlign w:val="center"/>
            <w:hideMark/>
          </w:tcPr>
          <w:p w14:paraId="0F454EC4"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Podiel populácie nezamestnanej dlhšie ako dvanásť mesiacov napriek tomu, že si aktívne hľadá prácu, na aktívnej populácii vo veku nad pätnásť rokov, nežijúcej v kolektívnej domácnosti.</w:t>
            </w:r>
          </w:p>
        </w:tc>
      </w:tr>
      <w:tr w:rsidR="00D50DB8" w:rsidRPr="00D50DB8" w14:paraId="0A2610B3" w14:textId="77777777" w:rsidTr="00567771">
        <w:trPr>
          <w:trHeight w:val="300"/>
          <w:jc w:val="center"/>
        </w:trPr>
        <w:tc>
          <w:tcPr>
            <w:tcW w:w="1826" w:type="dxa"/>
            <w:vMerge/>
            <w:tcBorders>
              <w:top w:val="nil"/>
              <w:left w:val="nil"/>
              <w:bottom w:val="dotted" w:sz="4" w:space="0" w:color="000000"/>
              <w:right w:val="nil"/>
            </w:tcBorders>
            <w:vAlign w:val="center"/>
            <w:hideMark/>
          </w:tcPr>
          <w:p w14:paraId="138B9C55"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DF925A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767237AD" w14:textId="77777777" w:rsidTr="00567771">
        <w:trPr>
          <w:trHeight w:val="2295"/>
          <w:jc w:val="center"/>
        </w:trPr>
        <w:tc>
          <w:tcPr>
            <w:tcW w:w="1826" w:type="dxa"/>
            <w:vMerge w:val="restart"/>
            <w:tcBorders>
              <w:top w:val="nil"/>
              <w:left w:val="nil"/>
              <w:bottom w:val="dotted" w:sz="4" w:space="0" w:color="000000"/>
              <w:right w:val="nil"/>
            </w:tcBorders>
            <w:shd w:val="clear" w:color="auto" w:fill="auto"/>
            <w:vAlign w:val="center"/>
            <w:hideMark/>
          </w:tcPr>
          <w:p w14:paraId="715B49EA" w14:textId="77777777" w:rsidR="00D50DB8" w:rsidRPr="00E9605F" w:rsidRDefault="00D50DB8" w:rsidP="00D50DB8">
            <w:pPr>
              <w:spacing w:after="0" w:line="240" w:lineRule="auto"/>
              <w:rPr>
                <w:rFonts w:ascii="Arial Narrow" w:hAnsi="Arial Narrow"/>
                <w:b/>
                <w:bCs/>
                <w:color w:val="000000"/>
                <w:sz w:val="20"/>
                <w:szCs w:val="20"/>
                <w:lang w:eastAsia="en-US"/>
              </w:rPr>
            </w:pPr>
            <w:r w:rsidRPr="00E9605F">
              <w:rPr>
                <w:rFonts w:ascii="Arial Narrow" w:hAnsi="Arial Narrow"/>
                <w:b/>
                <w:bCs/>
                <w:color w:val="000000"/>
                <w:sz w:val="20"/>
                <w:szCs w:val="20"/>
                <w:lang w:eastAsia="en-US"/>
              </w:rPr>
              <w:lastRenderedPageBreak/>
              <w:t>Populácia ohrozená chudobou a sociálnym vylúčením</w:t>
            </w:r>
          </w:p>
        </w:tc>
        <w:tc>
          <w:tcPr>
            <w:tcW w:w="8380" w:type="dxa"/>
            <w:tcBorders>
              <w:top w:val="nil"/>
              <w:left w:val="nil"/>
              <w:bottom w:val="nil"/>
              <w:right w:val="nil"/>
            </w:tcBorders>
            <w:shd w:val="clear" w:color="auto" w:fill="auto"/>
            <w:vAlign w:val="center"/>
            <w:hideMark/>
          </w:tcPr>
          <w:p w14:paraId="562F7A43" w14:textId="77777777" w:rsidR="00D50DB8" w:rsidRPr="00E9605F" w:rsidRDefault="00D50DB8" w:rsidP="00D50DB8">
            <w:pPr>
              <w:spacing w:after="0" w:line="240" w:lineRule="auto"/>
              <w:jc w:val="both"/>
              <w:rPr>
                <w:rFonts w:ascii="Arial Narrow" w:hAnsi="Arial Narrow"/>
                <w:color w:val="000000"/>
                <w:sz w:val="20"/>
                <w:szCs w:val="20"/>
                <w:lang w:eastAsia="en-US"/>
              </w:rPr>
            </w:pPr>
            <w:r w:rsidRPr="00E9605F">
              <w:rPr>
                <w:rFonts w:ascii="Arial Narrow" w:hAnsi="Arial Narrow"/>
                <w:color w:val="000000"/>
                <w:sz w:val="20"/>
                <w:szCs w:val="20"/>
                <w:lang w:eastAsia="en-US"/>
              </w:rPr>
              <w:t xml:space="preserve">Indikátor predstavuje súčet ľudí, ktorí sú v riziku chudoby (po sociálnych transferoch) a/alebo sú materiálne deprivovaní a/alebo žijú v domácnostiach s veľmi nízkou intenzitou práce vyjadrený percentuálne na celkovej populácii. Riziko chudoby predstavuje počet osôb s ekvivalentným disponibilným príjmom nižším ako 60% mediánu národného ekvivalentného disponibilného príjmu (po sociálnych transferoch). Materiálna deprivácia predstavuje podiel ľudí, ktorí si z nasledujúcich deviatich položiek nemôžu dovoliť aspoň štyri: i) platiť nájom a náklady na bývanie, ii) udržať v dome teplo, iii) čelia neočakávaným výdavkom, iv) jesť mäso, rybu alebo ekvivalentné množstvo bielkovín každý druhý deň, v) týždňovú dovolenku mimo domova, vi) auto, vii) práčku, viii) farebný televízor, alebo ix) telefón. Ľudia v domácnosti bez práce sú osoby vo veku 0 – 59 rokov žijúce v domácnosti, kde dospelí pracujú menej ako 20% z celkového možného času počas predchádzajúceho roku. </w:t>
            </w:r>
          </w:p>
        </w:tc>
      </w:tr>
      <w:tr w:rsidR="00D50DB8" w:rsidRPr="00D50DB8" w14:paraId="72A23E4B" w14:textId="77777777" w:rsidTr="00567771">
        <w:trPr>
          <w:trHeight w:val="300"/>
          <w:jc w:val="center"/>
        </w:trPr>
        <w:tc>
          <w:tcPr>
            <w:tcW w:w="1826" w:type="dxa"/>
            <w:vMerge/>
            <w:tcBorders>
              <w:top w:val="nil"/>
              <w:left w:val="nil"/>
              <w:bottom w:val="dotted" w:sz="4" w:space="0" w:color="000000"/>
              <w:right w:val="nil"/>
            </w:tcBorders>
            <w:vAlign w:val="center"/>
            <w:hideMark/>
          </w:tcPr>
          <w:p w14:paraId="16CED1CD" w14:textId="77777777" w:rsidR="00D50DB8" w:rsidRPr="00811359" w:rsidRDefault="00D50DB8" w:rsidP="00D50DB8">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75352F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Eurostat/EU-SILC</w:t>
            </w:r>
          </w:p>
        </w:tc>
      </w:tr>
      <w:tr w:rsidR="00D50DB8" w:rsidRPr="00D50DB8" w14:paraId="01C94471" w14:textId="77777777" w:rsidTr="00567771">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553CB36A"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Miera náhrady (Benefit ratio)</w:t>
            </w:r>
          </w:p>
        </w:tc>
        <w:tc>
          <w:tcPr>
            <w:tcW w:w="8380" w:type="dxa"/>
            <w:tcBorders>
              <w:top w:val="nil"/>
              <w:left w:val="nil"/>
              <w:bottom w:val="nil"/>
              <w:right w:val="nil"/>
            </w:tcBorders>
            <w:shd w:val="clear" w:color="auto" w:fill="auto"/>
            <w:vAlign w:val="center"/>
            <w:hideMark/>
          </w:tcPr>
          <w:p w14:paraId="14BBC034" w14:textId="123EB1FD" w:rsidR="00D50DB8" w:rsidRPr="009E79EF" w:rsidRDefault="003F5C29" w:rsidP="00D50DB8">
            <w:pPr>
              <w:spacing w:after="0" w:line="240" w:lineRule="auto"/>
              <w:jc w:val="both"/>
              <w:rPr>
                <w:rFonts w:ascii="Arial Narrow" w:hAnsi="Arial Narrow"/>
                <w:color w:val="000000"/>
                <w:lang w:val="en-US" w:eastAsia="en-US"/>
              </w:rPr>
            </w:pPr>
            <w:r w:rsidRPr="009E79EF">
              <w:rPr>
                <w:rFonts w:ascii="Arial Narrow" w:hAnsi="Arial Narrow"/>
                <w:color w:val="000000"/>
                <w:sz w:val="20"/>
                <w:lang w:val="en-US" w:eastAsia="en-US"/>
              </w:rPr>
              <w:t xml:space="preserve">Benefit ratio – </w:t>
            </w:r>
            <w:r w:rsidR="00D50DB8" w:rsidRPr="009E79EF">
              <w:rPr>
                <w:rFonts w:ascii="Arial Narrow" w:hAnsi="Arial Narrow"/>
                <w:color w:val="000000"/>
                <w:sz w:val="20"/>
                <w:lang w:val="en-US" w:eastAsia="en-US"/>
              </w:rPr>
              <w:t xml:space="preserve">ukazovateľ primeranosti </w:t>
            </w:r>
            <w:r w:rsidRPr="009E79EF">
              <w:rPr>
                <w:rFonts w:ascii="Arial Narrow" w:hAnsi="Arial Narrow"/>
                <w:color w:val="000000"/>
                <w:sz w:val="20"/>
                <w:lang w:val="en-US" w:eastAsia="en-US"/>
              </w:rPr>
              <w:t xml:space="preserve">verejných </w:t>
            </w:r>
            <w:r w:rsidR="00D50DB8" w:rsidRPr="009E79EF">
              <w:rPr>
                <w:rFonts w:ascii="Arial Narrow" w:hAnsi="Arial Narrow"/>
                <w:color w:val="000000"/>
                <w:sz w:val="20"/>
                <w:lang w:val="en-US" w:eastAsia="en-US"/>
              </w:rPr>
              <w:t>penzií. Vypočíta sa ako podiel priemernej penzie (zap</w:t>
            </w:r>
            <w:r w:rsidRPr="009E79EF">
              <w:rPr>
                <w:rFonts w:ascii="Arial Narrow" w:hAnsi="Arial Narrow"/>
                <w:color w:val="000000"/>
                <w:sz w:val="20"/>
                <w:lang w:val="en-US" w:eastAsia="en-US"/>
              </w:rPr>
              <w:t xml:space="preserve">očítané sú všetky druhy penzií – </w:t>
            </w:r>
            <w:r w:rsidR="00D50DB8" w:rsidRPr="009E79EF">
              <w:rPr>
                <w:rFonts w:ascii="Arial Narrow" w:hAnsi="Arial Narrow"/>
                <w:color w:val="000000"/>
                <w:sz w:val="20"/>
                <w:lang w:val="en-US" w:eastAsia="en-US"/>
              </w:rPr>
              <w:t xml:space="preserve">invalidné, starobné, minimálne) ku priemernej </w:t>
            </w:r>
            <w:r w:rsidRPr="009E79EF">
              <w:rPr>
                <w:rFonts w:ascii="Arial Narrow" w:hAnsi="Arial Narrow"/>
                <w:color w:val="000000"/>
                <w:sz w:val="20"/>
                <w:lang w:val="en-US" w:eastAsia="en-US"/>
              </w:rPr>
              <w:t xml:space="preserve">hrubej </w:t>
            </w:r>
            <w:r w:rsidR="00D50DB8" w:rsidRPr="009E79EF">
              <w:rPr>
                <w:rFonts w:ascii="Arial Narrow" w:hAnsi="Arial Narrow"/>
                <w:color w:val="000000"/>
                <w:sz w:val="20"/>
                <w:lang w:val="en-US" w:eastAsia="en-US"/>
              </w:rPr>
              <w:t>mzde v ekonomike.</w:t>
            </w:r>
            <w:r w:rsidR="009E79EF" w:rsidRPr="009E79EF">
              <w:rPr>
                <w:rFonts w:ascii="Arial Narrow" w:hAnsi="Arial Narrow"/>
                <w:color w:val="000000"/>
                <w:sz w:val="20"/>
                <w:lang w:val="en-US" w:eastAsia="en-US"/>
              </w:rPr>
              <w:t xml:space="preserve"> Ukazovateľ </w:t>
            </w:r>
            <w:r w:rsidR="009E79EF" w:rsidRPr="009E79EF">
              <w:rPr>
                <w:rFonts w:ascii="Arial Narrow" w:hAnsi="Arial Narrow"/>
                <w:sz w:val="20"/>
              </w:rPr>
              <w:t>udáva jednoduchý priemer za krajiny EÚ.</w:t>
            </w:r>
            <w:r w:rsidR="00D50DB8" w:rsidRPr="009E79EF">
              <w:rPr>
                <w:rFonts w:ascii="Arial Narrow" w:hAnsi="Arial Narrow"/>
                <w:color w:val="000000"/>
                <w:sz w:val="20"/>
                <w:lang w:val="en-US" w:eastAsia="en-US"/>
              </w:rPr>
              <w:t xml:space="preserve">Medzinárodne porovnateľné hodnoty sú publikované v pravidelne aktualizovanej správe Európskej komisie - Ageing report.  </w:t>
            </w:r>
          </w:p>
        </w:tc>
      </w:tr>
      <w:tr w:rsidR="00D50DB8" w:rsidRPr="00D50DB8" w14:paraId="72745ADC" w14:textId="77777777" w:rsidTr="00567771">
        <w:trPr>
          <w:trHeight w:val="300"/>
          <w:jc w:val="center"/>
        </w:trPr>
        <w:tc>
          <w:tcPr>
            <w:tcW w:w="1826" w:type="dxa"/>
            <w:vMerge/>
            <w:tcBorders>
              <w:top w:val="nil"/>
              <w:left w:val="nil"/>
              <w:bottom w:val="dotted" w:sz="4" w:space="0" w:color="000000"/>
              <w:right w:val="nil"/>
            </w:tcBorders>
            <w:vAlign w:val="center"/>
            <w:hideMark/>
          </w:tcPr>
          <w:p w14:paraId="21534359" w14:textId="7BB4AF80"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124B6BD4" w14:textId="77777777" w:rsidR="00D50DB8" w:rsidRPr="00E9605F" w:rsidRDefault="00D50DB8" w:rsidP="00D50DB8">
            <w:pPr>
              <w:spacing w:after="0" w:line="240" w:lineRule="auto"/>
              <w:jc w:val="both"/>
              <w:rPr>
                <w:rFonts w:ascii="Arial Narrow" w:hAnsi="Arial Narrow"/>
                <w:color w:val="000000"/>
                <w:sz w:val="20"/>
                <w:szCs w:val="20"/>
                <w:lang w:val="de-DE" w:eastAsia="en-US"/>
              </w:rPr>
            </w:pPr>
            <w:r w:rsidRPr="00E9605F">
              <w:rPr>
                <w:rFonts w:ascii="Arial Narrow" w:hAnsi="Arial Narrow"/>
                <w:color w:val="000000"/>
                <w:sz w:val="20"/>
                <w:szCs w:val="20"/>
                <w:lang w:val="de-DE" w:eastAsia="en-US"/>
              </w:rPr>
              <w:t>Zdroj: Ageing report, Európska komisia</w:t>
            </w:r>
          </w:p>
        </w:tc>
      </w:tr>
      <w:tr w:rsidR="00D50DB8" w:rsidRPr="00D50DB8" w14:paraId="10145A22" w14:textId="77777777" w:rsidTr="00567771">
        <w:trPr>
          <w:trHeight w:val="1275"/>
          <w:jc w:val="center"/>
        </w:trPr>
        <w:tc>
          <w:tcPr>
            <w:tcW w:w="1826" w:type="dxa"/>
            <w:vMerge w:val="restart"/>
            <w:tcBorders>
              <w:top w:val="nil"/>
              <w:left w:val="nil"/>
              <w:bottom w:val="dotted" w:sz="4" w:space="0" w:color="000000"/>
              <w:right w:val="nil"/>
            </w:tcBorders>
            <w:shd w:val="clear" w:color="auto" w:fill="auto"/>
            <w:vAlign w:val="center"/>
            <w:hideMark/>
          </w:tcPr>
          <w:p w14:paraId="74CEA89F"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Doing Business</w:t>
            </w:r>
          </w:p>
        </w:tc>
        <w:tc>
          <w:tcPr>
            <w:tcW w:w="8380" w:type="dxa"/>
            <w:tcBorders>
              <w:top w:val="nil"/>
              <w:left w:val="nil"/>
              <w:bottom w:val="nil"/>
              <w:right w:val="nil"/>
            </w:tcBorders>
            <w:shd w:val="clear" w:color="auto" w:fill="auto"/>
            <w:vAlign w:val="center"/>
            <w:hideMark/>
          </w:tcPr>
          <w:p w14:paraId="3727E1F6"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 xml:space="preserve">Poradie krajiny v rebríčku Doing Business, ktorý meria reguláciu domácich malých a stredných firiem počas deviatich fáz ich životného cyklu: začiatok podnikania, vybavovanie stavebného povolenia, registrácia vlastníctva, získanie úveru, ochrana investorov, platenie daní, obchodovanie za hranicami, vymáhanie zmlúv a ukončenie podnikania. Dáta sú založené prevažne na domácich zákonoch, rôznych iných reguláciách a administratívnych požiadavkách. </w:t>
            </w:r>
          </w:p>
        </w:tc>
      </w:tr>
      <w:tr w:rsidR="00D50DB8" w:rsidRPr="00D50DB8" w14:paraId="694EE225" w14:textId="77777777" w:rsidTr="00567771">
        <w:trPr>
          <w:trHeight w:val="300"/>
          <w:jc w:val="center"/>
        </w:trPr>
        <w:tc>
          <w:tcPr>
            <w:tcW w:w="1826" w:type="dxa"/>
            <w:vMerge/>
            <w:tcBorders>
              <w:top w:val="nil"/>
              <w:left w:val="nil"/>
              <w:bottom w:val="dotted" w:sz="4" w:space="0" w:color="000000"/>
              <w:right w:val="nil"/>
            </w:tcBorders>
            <w:vAlign w:val="center"/>
            <w:hideMark/>
          </w:tcPr>
          <w:p w14:paraId="77D293EE"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481F989"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Svetová banka</w:t>
            </w:r>
          </w:p>
        </w:tc>
      </w:tr>
      <w:tr w:rsidR="00D50DB8" w:rsidRPr="00D50DB8" w14:paraId="2ADD8BE0" w14:textId="77777777" w:rsidTr="00567771">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12469C6E"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Index regulácie trhu produktov</w:t>
            </w:r>
          </w:p>
        </w:tc>
        <w:tc>
          <w:tcPr>
            <w:tcW w:w="8380" w:type="dxa"/>
            <w:tcBorders>
              <w:top w:val="nil"/>
              <w:left w:val="nil"/>
              <w:bottom w:val="nil"/>
              <w:right w:val="nil"/>
            </w:tcBorders>
            <w:shd w:val="clear" w:color="auto" w:fill="auto"/>
            <w:vAlign w:val="center"/>
            <w:hideMark/>
          </w:tcPr>
          <w:p w14:paraId="39EBEC8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Hodnotenie krajiny v Indexe regulácie trhu produktov (Product Market Regulation Index). Meria reguláciu a bariéry v troch oblastiach: štátna kontrola, bariéry v podnikaní a bariéry pre obchod a investície (každá s tretinovou váhou). Index regulácie trhu produktov sa nezameriava len na podnikateľskú činnosť bežných podnikov, ale meria širšiu reguláciu (napr. regulácia sieťových odvetví).</w:t>
            </w:r>
          </w:p>
        </w:tc>
      </w:tr>
      <w:tr w:rsidR="00D50DB8" w:rsidRPr="00D50DB8" w14:paraId="5C6C5544" w14:textId="77777777" w:rsidTr="00567771">
        <w:trPr>
          <w:trHeight w:val="300"/>
          <w:jc w:val="center"/>
        </w:trPr>
        <w:tc>
          <w:tcPr>
            <w:tcW w:w="1826" w:type="dxa"/>
            <w:vMerge/>
            <w:tcBorders>
              <w:top w:val="nil"/>
              <w:left w:val="nil"/>
              <w:bottom w:val="dotted" w:sz="4" w:space="0" w:color="000000"/>
              <w:right w:val="nil"/>
            </w:tcBorders>
            <w:vAlign w:val="center"/>
            <w:hideMark/>
          </w:tcPr>
          <w:p w14:paraId="104BD6E3"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487F730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OECD</w:t>
            </w:r>
          </w:p>
        </w:tc>
      </w:tr>
      <w:tr w:rsidR="00D50DB8" w:rsidRPr="00D50DB8" w14:paraId="64F6C00F" w14:textId="77777777" w:rsidTr="00567771">
        <w:trPr>
          <w:trHeight w:val="300"/>
          <w:jc w:val="center"/>
        </w:trPr>
        <w:tc>
          <w:tcPr>
            <w:tcW w:w="1826" w:type="dxa"/>
            <w:vMerge w:val="restart"/>
            <w:tcBorders>
              <w:top w:val="nil"/>
              <w:left w:val="nil"/>
              <w:bottom w:val="dotted" w:sz="4" w:space="0" w:color="000000"/>
              <w:right w:val="nil"/>
            </w:tcBorders>
            <w:shd w:val="clear" w:color="auto" w:fill="auto"/>
            <w:vAlign w:val="center"/>
            <w:hideMark/>
          </w:tcPr>
          <w:p w14:paraId="430FF25C"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E-Government</w:t>
            </w:r>
          </w:p>
        </w:tc>
        <w:tc>
          <w:tcPr>
            <w:tcW w:w="8380" w:type="dxa"/>
            <w:tcBorders>
              <w:top w:val="nil"/>
              <w:left w:val="nil"/>
              <w:bottom w:val="nil"/>
              <w:right w:val="nil"/>
            </w:tcBorders>
            <w:shd w:val="clear" w:color="auto" w:fill="auto"/>
            <w:vAlign w:val="center"/>
            <w:hideMark/>
          </w:tcPr>
          <w:p w14:paraId="55D19966"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Percento jednotlivcov vo veku 16 - 74, ktorý používajú internet na komunikáciu s verejnou správou</w:t>
            </w:r>
          </w:p>
        </w:tc>
      </w:tr>
      <w:tr w:rsidR="00D50DB8" w:rsidRPr="00D50DB8" w14:paraId="43E6E12D" w14:textId="77777777" w:rsidTr="00567771">
        <w:trPr>
          <w:trHeight w:val="300"/>
          <w:jc w:val="center"/>
        </w:trPr>
        <w:tc>
          <w:tcPr>
            <w:tcW w:w="1826" w:type="dxa"/>
            <w:vMerge/>
            <w:tcBorders>
              <w:top w:val="nil"/>
              <w:left w:val="nil"/>
              <w:bottom w:val="dotted" w:sz="4" w:space="0" w:color="000000"/>
              <w:right w:val="nil"/>
            </w:tcBorders>
            <w:vAlign w:val="center"/>
            <w:hideMark/>
          </w:tcPr>
          <w:p w14:paraId="6932EFC4"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22516C1"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6B23DE71" w14:textId="77777777" w:rsidTr="00567771">
        <w:trPr>
          <w:trHeight w:val="1785"/>
          <w:jc w:val="center"/>
        </w:trPr>
        <w:tc>
          <w:tcPr>
            <w:tcW w:w="1826" w:type="dxa"/>
            <w:vMerge w:val="restart"/>
            <w:tcBorders>
              <w:top w:val="nil"/>
              <w:left w:val="nil"/>
              <w:bottom w:val="dotted" w:sz="4" w:space="0" w:color="000000"/>
              <w:right w:val="nil"/>
            </w:tcBorders>
            <w:shd w:val="clear" w:color="auto" w:fill="auto"/>
            <w:vAlign w:val="center"/>
            <w:hideMark/>
          </w:tcPr>
          <w:p w14:paraId="0B5946E1"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Korupcia</w:t>
            </w:r>
          </w:p>
        </w:tc>
        <w:tc>
          <w:tcPr>
            <w:tcW w:w="8380" w:type="dxa"/>
            <w:tcBorders>
              <w:top w:val="nil"/>
              <w:left w:val="nil"/>
              <w:bottom w:val="nil"/>
              <w:right w:val="nil"/>
            </w:tcBorders>
            <w:shd w:val="clear" w:color="auto" w:fill="auto"/>
            <w:vAlign w:val="center"/>
            <w:hideMark/>
          </w:tcPr>
          <w:p w14:paraId="7B00DCCF"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Ukazovateľ Korupcia je zostavený ako priemer dvoch indexov zameriavajúcich sa na rôzne druhy korupcie: Skúsenosť s korupciou medzi bežnou populáciou - prieskum Eurobarometra. Zameriava sa na jednotlivé sektory, ako napr. polícia, colná správa, súdy, národní politici, regionálni politici, miestni politici, tendre, stavebné povolenia, podnikateľské oprávnenia, zdravotníctvo, školstvo, inšpekcia. Index vnímania korupcie (CPI) - Transparency International, meria vnímanie korupcie na základe 5-10 zdrojových prieskumov podnikateľov a expertov pre každú krajinu. Na Slovensku je zahrnutých osem prieskumov o vnímaní korupcie, 50% váhy sú názory podnikateľov, a 50% názory expertov.</w:t>
            </w:r>
          </w:p>
        </w:tc>
      </w:tr>
      <w:tr w:rsidR="00D50DB8" w:rsidRPr="00D50DB8" w14:paraId="6882DAF6" w14:textId="77777777" w:rsidTr="00567771">
        <w:trPr>
          <w:trHeight w:val="300"/>
          <w:jc w:val="center"/>
        </w:trPr>
        <w:tc>
          <w:tcPr>
            <w:tcW w:w="1826" w:type="dxa"/>
            <w:vMerge/>
            <w:tcBorders>
              <w:top w:val="nil"/>
              <w:left w:val="nil"/>
              <w:bottom w:val="dotted" w:sz="4" w:space="0" w:color="000000"/>
              <w:right w:val="nil"/>
            </w:tcBorders>
            <w:vAlign w:val="center"/>
            <w:hideMark/>
          </w:tcPr>
          <w:p w14:paraId="5A198EF5"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218E3B3A"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Transparency International, Eurobarometer, výpočty IFP</w:t>
            </w:r>
          </w:p>
        </w:tc>
      </w:tr>
      <w:tr w:rsidR="00D50DB8" w:rsidRPr="00D50DB8" w14:paraId="48E7C168" w14:textId="77777777" w:rsidTr="00567771">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7F1706B9"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Dĺžka súdneho konania</w:t>
            </w:r>
          </w:p>
        </w:tc>
        <w:tc>
          <w:tcPr>
            <w:tcW w:w="8380" w:type="dxa"/>
            <w:tcBorders>
              <w:top w:val="nil"/>
              <w:left w:val="nil"/>
              <w:bottom w:val="nil"/>
              <w:right w:val="nil"/>
            </w:tcBorders>
            <w:shd w:val="clear" w:color="auto" w:fill="auto"/>
            <w:vAlign w:val="center"/>
            <w:hideMark/>
          </w:tcPr>
          <w:p w14:paraId="3169F4F9"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 xml:space="preserve">Disposition time - ukazovateľ teoretickej časovej náročnosti vybavenia konania na súde. Vypočíta sa ako podiel nevybavených vecí na konci roka na počte vybavených vecí za rok. Tento podiel sa následne prevedie na počet dní. Predstavuje teoretický a medzinárodne porovnateľný ukazovateľ, na základe ktorého je možné porovnávať dĺžky súdnych konaní naprieč rôznymi súdnymi systémami. </w:t>
            </w:r>
          </w:p>
        </w:tc>
      </w:tr>
      <w:tr w:rsidR="00D50DB8" w:rsidRPr="00D50DB8" w14:paraId="3D3DC049" w14:textId="77777777" w:rsidTr="00567771">
        <w:trPr>
          <w:trHeight w:val="300"/>
          <w:jc w:val="center"/>
        </w:trPr>
        <w:tc>
          <w:tcPr>
            <w:tcW w:w="1826" w:type="dxa"/>
            <w:vMerge/>
            <w:tcBorders>
              <w:top w:val="nil"/>
              <w:left w:val="nil"/>
              <w:bottom w:val="dotted" w:sz="4" w:space="0" w:color="000000"/>
              <w:right w:val="nil"/>
            </w:tcBorders>
            <w:vAlign w:val="center"/>
            <w:hideMark/>
          </w:tcPr>
          <w:p w14:paraId="7DF3A186"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06887D5B"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CEPEJ</w:t>
            </w:r>
          </w:p>
        </w:tc>
      </w:tr>
      <w:tr w:rsidR="00D50DB8" w:rsidRPr="00D50DB8" w14:paraId="30EB234E" w14:textId="77777777" w:rsidTr="00567771">
        <w:trPr>
          <w:trHeight w:val="1035"/>
          <w:jc w:val="center"/>
        </w:trPr>
        <w:tc>
          <w:tcPr>
            <w:tcW w:w="1826" w:type="dxa"/>
            <w:vMerge w:val="restart"/>
            <w:tcBorders>
              <w:top w:val="nil"/>
              <w:left w:val="nil"/>
              <w:bottom w:val="dotted" w:sz="4" w:space="0" w:color="000000"/>
              <w:right w:val="nil"/>
            </w:tcBorders>
            <w:shd w:val="clear" w:color="auto" w:fill="auto"/>
            <w:vAlign w:val="center"/>
            <w:hideMark/>
          </w:tcPr>
          <w:p w14:paraId="05067B27"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Miera vybavenosti konaní</w:t>
            </w:r>
          </w:p>
        </w:tc>
        <w:tc>
          <w:tcPr>
            <w:tcW w:w="8380" w:type="dxa"/>
            <w:tcBorders>
              <w:top w:val="nil"/>
              <w:left w:val="nil"/>
              <w:bottom w:val="nil"/>
              <w:right w:val="nil"/>
            </w:tcBorders>
            <w:shd w:val="clear" w:color="auto" w:fill="auto"/>
            <w:vAlign w:val="center"/>
            <w:hideMark/>
          </w:tcPr>
          <w:p w14:paraId="64AF3758" w14:textId="2D0FF94A" w:rsidR="00D50DB8" w:rsidRPr="00D50DB8" w:rsidRDefault="003F5C29" w:rsidP="003F5C29">
            <w:pPr>
              <w:spacing w:after="0" w:line="240" w:lineRule="auto"/>
              <w:jc w:val="both"/>
              <w:rPr>
                <w:rFonts w:ascii="Arial Narrow" w:hAnsi="Arial Narrow"/>
                <w:color w:val="000000"/>
                <w:sz w:val="20"/>
                <w:szCs w:val="20"/>
                <w:lang w:val="en-US" w:eastAsia="en-US"/>
              </w:rPr>
            </w:pPr>
            <w:r w:rsidRPr="003F5C29">
              <w:rPr>
                <w:rFonts w:ascii="Arial Narrow" w:hAnsi="Arial Narrow"/>
                <w:color w:val="000000"/>
                <w:sz w:val="20"/>
                <w:szCs w:val="20"/>
                <w:lang w:val="en-US" w:eastAsia="en-US"/>
              </w:rPr>
              <w:t xml:space="preserve">Podiel vybavených súdnych konaní/vecí na celkovom nápade vecí na súd za rok. Ukazovateľ hovorí o schopnosti súdu vybavovať konania vzhľadom na celkový počet prijatých prípadov. Podiel väčší ako 1 indikuje, že súd vybaví viac vecí ako bol </w:t>
            </w:r>
            <w:r>
              <w:rPr>
                <w:rFonts w:ascii="Arial Narrow" w:hAnsi="Arial Narrow"/>
                <w:color w:val="000000"/>
                <w:sz w:val="20"/>
                <w:szCs w:val="20"/>
                <w:lang w:val="en-US" w:eastAsia="en-US"/>
              </w:rPr>
              <w:t xml:space="preserve">počet prijatých prípadov </w:t>
            </w:r>
            <w:r w:rsidRPr="003F5C29">
              <w:rPr>
                <w:rFonts w:ascii="Arial Narrow" w:hAnsi="Arial Narrow"/>
                <w:color w:val="000000"/>
                <w:sz w:val="20"/>
                <w:szCs w:val="20"/>
                <w:lang w:val="en-US" w:eastAsia="en-US"/>
              </w:rPr>
              <w:t xml:space="preserve">v danom roku. Znižuje tak počet nevybavených vecí z minulých rokov. Podiel menší ako 1 indikuje nárast nevybavených vecí do ďalśieho obdobia.  </w:t>
            </w:r>
          </w:p>
        </w:tc>
      </w:tr>
      <w:tr w:rsidR="00D50DB8" w:rsidRPr="00D50DB8" w14:paraId="4F768E2B" w14:textId="77777777" w:rsidTr="00567771">
        <w:trPr>
          <w:trHeight w:val="300"/>
          <w:jc w:val="center"/>
        </w:trPr>
        <w:tc>
          <w:tcPr>
            <w:tcW w:w="1826" w:type="dxa"/>
            <w:vMerge/>
            <w:tcBorders>
              <w:top w:val="nil"/>
              <w:left w:val="nil"/>
              <w:bottom w:val="dotted" w:sz="4" w:space="0" w:color="000000"/>
              <w:right w:val="nil"/>
            </w:tcBorders>
            <w:vAlign w:val="center"/>
            <w:hideMark/>
          </w:tcPr>
          <w:p w14:paraId="47B6363C"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344B7FE7"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CEPEJ</w:t>
            </w:r>
          </w:p>
        </w:tc>
      </w:tr>
      <w:tr w:rsidR="00D50DB8" w:rsidRPr="00D50DB8" w14:paraId="08372F54" w14:textId="77777777" w:rsidTr="00567771">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1238EBE1"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 xml:space="preserve">Roky zdravého života </w:t>
            </w:r>
          </w:p>
        </w:tc>
        <w:tc>
          <w:tcPr>
            <w:tcW w:w="8380" w:type="dxa"/>
            <w:tcBorders>
              <w:top w:val="nil"/>
              <w:left w:val="nil"/>
              <w:bottom w:val="nil"/>
              <w:right w:val="nil"/>
            </w:tcBorders>
            <w:shd w:val="clear" w:color="auto" w:fill="auto"/>
            <w:vAlign w:val="center"/>
            <w:hideMark/>
          </w:tcPr>
          <w:p w14:paraId="2CBDCB90"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Počet rokov prežitých v dobrom zdravotnom stave, ktoré je možné očakávať pri narodení. Ukazovateľ kombinuje údaje o mortalite a morbidite v danej krajine. Dobrý zdravotný stav je definovaný neprítomnosťou invalidity alebo obmedzení v každodennom živote. Nazýva sa aj roky života bez hendikepu (disability-free life years, DFLY).</w:t>
            </w:r>
          </w:p>
        </w:tc>
      </w:tr>
      <w:tr w:rsidR="00D50DB8" w:rsidRPr="00D50DB8" w14:paraId="0551AB3F" w14:textId="77777777" w:rsidTr="00567771">
        <w:trPr>
          <w:trHeight w:val="300"/>
          <w:jc w:val="center"/>
        </w:trPr>
        <w:tc>
          <w:tcPr>
            <w:tcW w:w="1826" w:type="dxa"/>
            <w:vMerge/>
            <w:tcBorders>
              <w:top w:val="nil"/>
              <w:left w:val="nil"/>
              <w:bottom w:val="dotted" w:sz="4" w:space="0" w:color="000000"/>
              <w:right w:val="nil"/>
            </w:tcBorders>
            <w:vAlign w:val="center"/>
            <w:hideMark/>
          </w:tcPr>
          <w:p w14:paraId="481F5F17"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768FCA52"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Eurostat</w:t>
            </w:r>
          </w:p>
        </w:tc>
      </w:tr>
      <w:tr w:rsidR="00D50DB8" w:rsidRPr="00D50DB8" w14:paraId="36C94F6D" w14:textId="77777777" w:rsidTr="00567771">
        <w:trPr>
          <w:trHeight w:val="1200"/>
          <w:jc w:val="center"/>
        </w:trPr>
        <w:tc>
          <w:tcPr>
            <w:tcW w:w="1826" w:type="dxa"/>
            <w:vMerge w:val="restart"/>
            <w:tcBorders>
              <w:top w:val="nil"/>
              <w:left w:val="nil"/>
              <w:bottom w:val="dotted" w:sz="4" w:space="0" w:color="000000"/>
              <w:right w:val="nil"/>
            </w:tcBorders>
            <w:shd w:val="clear" w:color="auto" w:fill="auto"/>
            <w:vAlign w:val="center"/>
            <w:hideMark/>
          </w:tcPr>
          <w:p w14:paraId="29234251" w14:textId="77777777" w:rsidR="00D50DB8" w:rsidRPr="00AB3326" w:rsidRDefault="00D50DB8" w:rsidP="00D50DB8">
            <w:pPr>
              <w:spacing w:after="0" w:line="240" w:lineRule="auto"/>
              <w:rPr>
                <w:rFonts w:ascii="Arial Narrow" w:hAnsi="Arial Narrow"/>
                <w:b/>
                <w:bCs/>
                <w:color w:val="000000"/>
                <w:sz w:val="20"/>
                <w:szCs w:val="20"/>
                <w:lang w:eastAsia="en-US"/>
              </w:rPr>
            </w:pPr>
            <w:r w:rsidRPr="00AB3326">
              <w:rPr>
                <w:rFonts w:ascii="Arial Narrow" w:hAnsi="Arial Narrow"/>
                <w:b/>
                <w:bCs/>
                <w:color w:val="000000"/>
                <w:sz w:val="20"/>
                <w:szCs w:val="20"/>
                <w:lang w:eastAsia="en-US"/>
              </w:rPr>
              <w:lastRenderedPageBreak/>
              <w:t>Emisie skleníkových plynov mimo ETS</w:t>
            </w:r>
          </w:p>
        </w:tc>
        <w:tc>
          <w:tcPr>
            <w:tcW w:w="8380" w:type="dxa"/>
            <w:tcBorders>
              <w:top w:val="nil"/>
              <w:left w:val="nil"/>
              <w:bottom w:val="nil"/>
              <w:right w:val="nil"/>
            </w:tcBorders>
            <w:shd w:val="clear" w:color="auto" w:fill="auto"/>
            <w:vAlign w:val="center"/>
            <w:hideMark/>
          </w:tcPr>
          <w:p w14:paraId="48B3DA44" w14:textId="77777777" w:rsidR="00D50DB8" w:rsidRPr="00AB3326" w:rsidRDefault="00D50DB8" w:rsidP="00D50DB8">
            <w:pPr>
              <w:spacing w:after="0" w:line="240" w:lineRule="auto"/>
              <w:jc w:val="both"/>
              <w:rPr>
                <w:rFonts w:ascii="Arial Narrow" w:hAnsi="Arial Narrow"/>
                <w:color w:val="000000"/>
                <w:sz w:val="20"/>
                <w:szCs w:val="20"/>
                <w:lang w:eastAsia="en-US"/>
              </w:rPr>
            </w:pPr>
            <w:r w:rsidRPr="00AB3326">
              <w:rPr>
                <w:rFonts w:ascii="Arial Narrow" w:hAnsi="Arial Narrow"/>
                <w:color w:val="000000"/>
                <w:sz w:val="20"/>
                <w:szCs w:val="20"/>
                <w:lang w:eastAsia="en-US"/>
              </w:rPr>
              <w:t>Emisie skleníkových plynov mimo ETS ako CO</w:t>
            </w:r>
            <w:r w:rsidRPr="00AB3326">
              <w:rPr>
                <w:rFonts w:ascii="Arial Narrow" w:hAnsi="Arial Narrow"/>
                <w:color w:val="000000"/>
                <w:sz w:val="20"/>
                <w:szCs w:val="20"/>
                <w:vertAlign w:val="subscript"/>
                <w:lang w:eastAsia="en-US"/>
              </w:rPr>
              <w:t>2</w:t>
            </w:r>
            <w:r w:rsidRPr="00AB3326">
              <w:rPr>
                <w:rFonts w:ascii="Arial Narrow" w:hAnsi="Arial Narrow"/>
                <w:color w:val="000000"/>
                <w:sz w:val="20"/>
                <w:szCs w:val="20"/>
                <w:lang w:eastAsia="en-US"/>
              </w:rPr>
              <w:t xml:space="preserve"> ekvivalent vyjadrujú percentuálnu zmenu voči roku 2005). Indikátor vyjadruje trendy agregovaných antropogénnych emisií CO</w:t>
            </w:r>
            <w:r w:rsidRPr="00AB3326">
              <w:rPr>
                <w:rFonts w:ascii="Arial Narrow" w:hAnsi="Arial Narrow"/>
                <w:color w:val="000000"/>
                <w:sz w:val="20"/>
                <w:szCs w:val="20"/>
                <w:vertAlign w:val="subscript"/>
                <w:lang w:eastAsia="en-US"/>
              </w:rPr>
              <w:t>2</w:t>
            </w:r>
            <w:r w:rsidRPr="00AB3326">
              <w:rPr>
                <w:rFonts w:ascii="Arial Narrow" w:hAnsi="Arial Narrow"/>
                <w:color w:val="000000"/>
                <w:sz w:val="20"/>
                <w:szCs w:val="20"/>
                <w:lang w:eastAsia="en-US"/>
              </w:rPr>
              <w:t>, NO</w:t>
            </w:r>
            <w:r w:rsidRPr="00AB3326">
              <w:rPr>
                <w:rFonts w:ascii="Arial Narrow" w:hAnsi="Arial Narrow"/>
                <w:color w:val="000000"/>
                <w:sz w:val="20"/>
                <w:szCs w:val="20"/>
                <w:vertAlign w:val="subscript"/>
                <w:lang w:eastAsia="en-US"/>
              </w:rPr>
              <w:t>2</w:t>
            </w:r>
            <w:r w:rsidRPr="00AB3326">
              <w:rPr>
                <w:rFonts w:ascii="Arial Narrow" w:hAnsi="Arial Narrow"/>
                <w:color w:val="000000"/>
                <w:sz w:val="20"/>
                <w:szCs w:val="20"/>
                <w:lang w:eastAsia="en-US"/>
              </w:rPr>
              <w:t>, CH4, HFC, PFC a SF6 súhrnne nazývaných skleníkové plyny a vyjadrené ako CO</w:t>
            </w:r>
            <w:r w:rsidRPr="00AB3326">
              <w:rPr>
                <w:rFonts w:ascii="Arial Narrow" w:hAnsi="Arial Narrow"/>
                <w:color w:val="000000"/>
                <w:sz w:val="20"/>
                <w:szCs w:val="20"/>
                <w:vertAlign w:val="subscript"/>
                <w:lang w:eastAsia="en-US"/>
              </w:rPr>
              <w:t>2</w:t>
            </w:r>
            <w:r w:rsidRPr="00AB3326">
              <w:rPr>
                <w:rFonts w:ascii="Arial Narrow" w:hAnsi="Arial Narrow"/>
                <w:color w:val="000000"/>
                <w:sz w:val="20"/>
                <w:szCs w:val="20"/>
                <w:lang w:eastAsia="en-US"/>
              </w:rPr>
              <w:t xml:space="preserve"> ekvivalent. Celkové množstvo nezahŕňa emisie z využívania krajiny a lesov (LULUCF).</w:t>
            </w:r>
          </w:p>
        </w:tc>
      </w:tr>
      <w:tr w:rsidR="00D50DB8" w:rsidRPr="00D50DB8" w14:paraId="4917F569" w14:textId="77777777" w:rsidTr="00567771">
        <w:trPr>
          <w:trHeight w:val="300"/>
          <w:jc w:val="center"/>
        </w:trPr>
        <w:tc>
          <w:tcPr>
            <w:tcW w:w="1826" w:type="dxa"/>
            <w:vMerge/>
            <w:tcBorders>
              <w:top w:val="nil"/>
              <w:left w:val="nil"/>
              <w:bottom w:val="dotted" w:sz="4" w:space="0" w:color="000000"/>
              <w:right w:val="nil"/>
            </w:tcBorders>
            <w:vAlign w:val="center"/>
            <w:hideMark/>
          </w:tcPr>
          <w:p w14:paraId="63F8D193" w14:textId="77777777" w:rsidR="00D50DB8" w:rsidRPr="00811359" w:rsidRDefault="00D50DB8" w:rsidP="00D50DB8">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5B8CF175" w14:textId="43C60A0E" w:rsidR="00D50DB8" w:rsidRPr="00D50DB8" w:rsidRDefault="00D50DB8" w:rsidP="00567771">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 xml:space="preserve">Zdroj: </w:t>
            </w:r>
            <w:r w:rsidR="00567771">
              <w:rPr>
                <w:rFonts w:ascii="Arial Narrow" w:hAnsi="Arial Narrow"/>
                <w:color w:val="000000"/>
                <w:sz w:val="20"/>
                <w:szCs w:val="20"/>
                <w:lang w:val="en-US" w:eastAsia="en-US"/>
              </w:rPr>
              <w:t>SHMÚ</w:t>
            </w:r>
          </w:p>
        </w:tc>
      </w:tr>
      <w:tr w:rsidR="00567771" w:rsidRPr="00D50DB8" w14:paraId="674F08BE" w14:textId="77777777" w:rsidTr="00567771">
        <w:trPr>
          <w:trHeight w:val="1167"/>
          <w:jc w:val="center"/>
        </w:trPr>
        <w:tc>
          <w:tcPr>
            <w:tcW w:w="1826" w:type="dxa"/>
            <w:vMerge w:val="restart"/>
            <w:tcBorders>
              <w:top w:val="nil"/>
              <w:left w:val="nil"/>
              <w:right w:val="nil"/>
            </w:tcBorders>
            <w:shd w:val="clear" w:color="auto" w:fill="auto"/>
            <w:vAlign w:val="center"/>
            <w:hideMark/>
          </w:tcPr>
          <w:p w14:paraId="372EAA2B" w14:textId="77777777" w:rsidR="00567771" w:rsidRPr="00AB3326" w:rsidRDefault="00567771" w:rsidP="00D50DB8">
            <w:pPr>
              <w:spacing w:after="0" w:line="240" w:lineRule="auto"/>
              <w:rPr>
                <w:rFonts w:ascii="Arial Narrow" w:hAnsi="Arial Narrow"/>
                <w:b/>
                <w:bCs/>
                <w:color w:val="000000"/>
                <w:sz w:val="20"/>
                <w:szCs w:val="20"/>
                <w:lang w:eastAsia="en-US"/>
              </w:rPr>
            </w:pPr>
            <w:r w:rsidRPr="00AB3326">
              <w:rPr>
                <w:rFonts w:ascii="Arial Narrow" w:hAnsi="Arial Narrow"/>
                <w:b/>
                <w:bCs/>
                <w:color w:val="000000"/>
                <w:sz w:val="20"/>
                <w:szCs w:val="20"/>
                <w:lang w:eastAsia="en-US"/>
              </w:rPr>
              <w:t>Podiel OZE na hrubej konečnej spotrebe</w:t>
            </w:r>
          </w:p>
        </w:tc>
        <w:tc>
          <w:tcPr>
            <w:tcW w:w="8380" w:type="dxa"/>
            <w:tcBorders>
              <w:top w:val="nil"/>
              <w:left w:val="nil"/>
              <w:right w:val="nil"/>
            </w:tcBorders>
            <w:shd w:val="clear" w:color="auto" w:fill="auto"/>
            <w:vAlign w:val="center"/>
            <w:hideMark/>
          </w:tcPr>
          <w:p w14:paraId="1442F21D" w14:textId="1D62B8A8" w:rsidR="00567771" w:rsidRPr="00AB3326" w:rsidRDefault="00567771" w:rsidP="00567771">
            <w:pPr>
              <w:spacing w:after="0" w:line="240" w:lineRule="auto"/>
              <w:jc w:val="both"/>
              <w:rPr>
                <w:rFonts w:ascii="Arial Narrow" w:hAnsi="Arial Narrow"/>
                <w:color w:val="000000"/>
                <w:sz w:val="20"/>
                <w:szCs w:val="20"/>
                <w:lang w:eastAsia="en-US"/>
              </w:rPr>
            </w:pPr>
            <w:r w:rsidRPr="00AB3326">
              <w:rPr>
                <w:rFonts w:ascii="Arial Narrow" w:hAnsi="Arial Narrow"/>
                <w:color w:val="000000"/>
                <w:sz w:val="20"/>
                <w:szCs w:val="20"/>
                <w:lang w:eastAsia="en-US"/>
              </w:rPr>
              <w:t xml:space="preserve">Podiel konečnej energetickej spotreby z obnoviteľných zdrojov energie a hrubej konečnej energetickej spotreby. Konečná energetická spotreba z obnoviteľných zdrojov sa vypočíta ako súčet hrubej konečnej spotreby elektriny z obnoviteľných zdrojov energie, hrubej konečnej energetickej spotreby z obnoviteľných zdrojov energie určenej na výrobu tepla a chladu a konečnej energetickej spotreby z obnoviteľných zdrojov energie v doprave. </w:t>
            </w:r>
          </w:p>
        </w:tc>
      </w:tr>
      <w:tr w:rsidR="00567771" w:rsidRPr="00D50DB8" w14:paraId="29250600" w14:textId="77777777" w:rsidTr="00567771">
        <w:trPr>
          <w:trHeight w:val="417"/>
          <w:jc w:val="center"/>
        </w:trPr>
        <w:tc>
          <w:tcPr>
            <w:tcW w:w="1826" w:type="dxa"/>
            <w:vMerge/>
            <w:tcBorders>
              <w:left w:val="nil"/>
              <w:bottom w:val="dotted" w:sz="4" w:space="0" w:color="auto"/>
              <w:right w:val="nil"/>
            </w:tcBorders>
            <w:shd w:val="clear" w:color="auto" w:fill="auto"/>
            <w:vAlign w:val="center"/>
          </w:tcPr>
          <w:p w14:paraId="0AD72F6B" w14:textId="77777777" w:rsidR="00567771" w:rsidRPr="00811359" w:rsidRDefault="00567771" w:rsidP="00D50DB8">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tcPr>
          <w:p w14:paraId="7C42C8F9" w14:textId="7F7F7ABD" w:rsidR="00567771" w:rsidRPr="00D50DB8" w:rsidRDefault="00567771" w:rsidP="00567771">
            <w:pPr>
              <w:spacing w:after="0" w:line="240" w:lineRule="auto"/>
              <w:jc w:val="both"/>
              <w:rPr>
                <w:rFonts w:ascii="Arial Narrow" w:hAnsi="Arial Narrow"/>
                <w:color w:val="000000"/>
                <w:sz w:val="20"/>
                <w:szCs w:val="20"/>
                <w:lang w:val="en-US" w:eastAsia="en-US"/>
              </w:rPr>
            </w:pPr>
            <w:r w:rsidRPr="00567771">
              <w:rPr>
                <w:rFonts w:ascii="Arial Narrow" w:hAnsi="Arial Narrow"/>
                <w:color w:val="000000"/>
                <w:sz w:val="20"/>
                <w:szCs w:val="20"/>
                <w:lang w:val="en-US" w:eastAsia="en-US"/>
              </w:rPr>
              <w:t>Zdroj: Eurostat</w:t>
            </w:r>
          </w:p>
        </w:tc>
      </w:tr>
      <w:tr w:rsidR="00D50DB8" w:rsidRPr="00D50DB8" w14:paraId="2BE9B45A" w14:textId="77777777" w:rsidTr="00567771">
        <w:trPr>
          <w:trHeight w:val="1275"/>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5E0F426E" w14:textId="77777777" w:rsidR="00D50DB8" w:rsidRPr="00D50DB8" w:rsidRDefault="00D50DB8" w:rsidP="00D50DB8">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Konečná energetická spotreba</w:t>
            </w:r>
          </w:p>
        </w:tc>
        <w:tc>
          <w:tcPr>
            <w:tcW w:w="8380" w:type="dxa"/>
            <w:tcBorders>
              <w:top w:val="dotted" w:sz="4" w:space="0" w:color="auto"/>
              <w:left w:val="nil"/>
              <w:bottom w:val="nil"/>
              <w:right w:val="nil"/>
            </w:tcBorders>
            <w:shd w:val="clear" w:color="auto" w:fill="auto"/>
            <w:vAlign w:val="center"/>
            <w:hideMark/>
          </w:tcPr>
          <w:p w14:paraId="0A7454E6" w14:textId="0E6AC273"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Konečná energetická spotreba je rozdiel konečnej spotreby a konečnej neenergetickej spotreby. Konečná neenergetická spotreba sú energetické produkty použité ako suro</w:t>
            </w:r>
            <w:r w:rsidR="005C1A3D">
              <w:rPr>
                <w:rFonts w:ascii="Arial Narrow" w:hAnsi="Arial Narrow"/>
                <w:color w:val="000000"/>
                <w:sz w:val="20"/>
                <w:szCs w:val="20"/>
                <w:lang w:val="en-US" w:eastAsia="en-US"/>
              </w:rPr>
              <w:t xml:space="preserve">vina v rôznych odvetviach; tzn. </w:t>
            </w:r>
            <w:r w:rsidRPr="00D50DB8">
              <w:rPr>
                <w:rFonts w:ascii="Arial Narrow" w:hAnsi="Arial Narrow"/>
                <w:color w:val="000000"/>
                <w:sz w:val="20"/>
                <w:szCs w:val="20"/>
                <w:lang w:val="en-US" w:eastAsia="en-US"/>
              </w:rPr>
              <w:t xml:space="preserve">nespotrebované ako palivo alebo netransformované na iné palivo. Konečná spotreba sa vypočíta ako hrubá domáca spotreba – transformácia (vstup) + transformácia (výstup) + reklasifikácia a spätné toky – spotreba energetického odvetvia – straty pri prenose a v rozvodoch. </w:t>
            </w:r>
          </w:p>
        </w:tc>
      </w:tr>
      <w:tr w:rsidR="00D50DB8" w:rsidRPr="00D50DB8" w14:paraId="503E2527" w14:textId="77777777" w:rsidTr="00567771">
        <w:trPr>
          <w:trHeight w:val="300"/>
          <w:jc w:val="center"/>
        </w:trPr>
        <w:tc>
          <w:tcPr>
            <w:tcW w:w="1826" w:type="dxa"/>
            <w:vMerge/>
            <w:tcBorders>
              <w:top w:val="nil"/>
              <w:left w:val="nil"/>
              <w:bottom w:val="single" w:sz="4" w:space="0" w:color="auto"/>
              <w:right w:val="nil"/>
            </w:tcBorders>
            <w:vAlign w:val="center"/>
            <w:hideMark/>
          </w:tcPr>
          <w:p w14:paraId="3FB8AE65" w14:textId="77777777" w:rsidR="00D50DB8" w:rsidRPr="00D50DB8" w:rsidRDefault="00D50DB8" w:rsidP="00D50DB8">
            <w:pPr>
              <w:spacing w:after="0" w:line="240" w:lineRule="auto"/>
              <w:rPr>
                <w:rFonts w:ascii="Arial Narrow" w:hAnsi="Arial Narrow"/>
                <w:b/>
                <w:bCs/>
                <w:color w:val="000000"/>
                <w:sz w:val="20"/>
                <w:szCs w:val="20"/>
                <w:lang w:val="en-US" w:eastAsia="en-US"/>
              </w:rPr>
            </w:pPr>
          </w:p>
        </w:tc>
        <w:tc>
          <w:tcPr>
            <w:tcW w:w="8380" w:type="dxa"/>
            <w:tcBorders>
              <w:top w:val="nil"/>
              <w:left w:val="nil"/>
              <w:bottom w:val="single" w:sz="4" w:space="0" w:color="auto"/>
              <w:right w:val="nil"/>
            </w:tcBorders>
            <w:shd w:val="clear" w:color="auto" w:fill="auto"/>
            <w:vAlign w:val="center"/>
            <w:hideMark/>
          </w:tcPr>
          <w:p w14:paraId="2B074065" w14:textId="77777777" w:rsidR="00D50DB8" w:rsidRPr="00D50DB8" w:rsidRDefault="00D50DB8" w:rsidP="00D50DB8">
            <w:pPr>
              <w:spacing w:after="0" w:line="240" w:lineRule="auto"/>
              <w:jc w:val="both"/>
              <w:rPr>
                <w:rFonts w:ascii="Arial Narrow" w:hAnsi="Arial Narrow"/>
                <w:color w:val="000000"/>
                <w:sz w:val="20"/>
                <w:szCs w:val="20"/>
                <w:lang w:val="en-US" w:eastAsia="en-US"/>
              </w:rPr>
            </w:pPr>
            <w:r w:rsidRPr="00D50DB8">
              <w:rPr>
                <w:rFonts w:ascii="Arial Narrow" w:hAnsi="Arial Narrow"/>
                <w:color w:val="000000"/>
                <w:sz w:val="20"/>
                <w:szCs w:val="20"/>
                <w:lang w:val="en-US" w:eastAsia="en-US"/>
              </w:rPr>
              <w:t>Zdroj: vlastný výpočet MF SR zo zdrojov ŠÚ SR</w:t>
            </w:r>
          </w:p>
        </w:tc>
      </w:tr>
    </w:tbl>
    <w:p w14:paraId="7CB9FA77" w14:textId="66F85C19" w:rsidR="00420504" w:rsidRPr="00BA41D8" w:rsidRDefault="00420504" w:rsidP="00BA41D8">
      <w:pPr>
        <w:tabs>
          <w:tab w:val="left" w:pos="3600"/>
        </w:tabs>
        <w:rPr>
          <w:rFonts w:ascii="Arial Narrow" w:hAnsi="Arial Narrow" w:cs="Arial Narrow"/>
        </w:rPr>
      </w:pPr>
    </w:p>
    <w:sectPr w:rsidR="00420504" w:rsidRPr="00BA41D8" w:rsidSect="00917341">
      <w:type w:val="continuous"/>
      <w:pgSz w:w="11920" w:h="16840"/>
      <w:pgMar w:top="1559" w:right="1678" w:bottom="278" w:left="167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6523A" w14:textId="77777777" w:rsidR="000B5900" w:rsidRDefault="000B5900" w:rsidP="005B2D07">
      <w:pPr>
        <w:spacing w:after="0" w:line="240" w:lineRule="auto"/>
      </w:pPr>
      <w:r>
        <w:separator/>
      </w:r>
    </w:p>
  </w:endnote>
  <w:endnote w:type="continuationSeparator" w:id="0">
    <w:p w14:paraId="02DE11A6" w14:textId="77777777" w:rsidR="000B5900" w:rsidRDefault="000B5900" w:rsidP="005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NeueHaasGroteskDisp W02 Bd">
    <w:panose1 w:val="020B0804020202020204"/>
    <w:charset w:val="EE"/>
    <w:family w:val="swiss"/>
    <w:pitch w:val="variable"/>
    <w:sig w:usb0="800000AF" w:usb1="4000204A" w:usb2="00000000" w:usb3="00000000" w:csb0="00000093" w:csb1="00000000"/>
  </w:font>
  <w:font w:name="NeueHaasGroteskText W02">
    <w:panose1 w:val="020B0504020202020204"/>
    <w:charset w:val="EE"/>
    <w:family w:val="swiss"/>
    <w:pitch w:val="variable"/>
    <w:sig w:usb0="800000AF" w:usb1="4000204A" w:usb2="00000000" w:usb3="00000000" w:csb0="00000093" w:csb1="00000000"/>
  </w:font>
  <w:font w:name="PF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eueHaasGroteskDisp W02">
    <w:panose1 w:val="020B0504020202020204"/>
    <w:charset w:val="EE"/>
    <w:family w:val="swiss"/>
    <w:pitch w:val="variable"/>
    <w:sig w:usb0="800000AF" w:usb1="40002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77E7" w14:textId="77777777" w:rsidR="000B5900" w:rsidRPr="005B2D07" w:rsidRDefault="000B5900" w:rsidP="005B2D07">
    <w:pPr>
      <w:widowControl w:val="0"/>
      <w:autoSpaceDE w:val="0"/>
      <w:autoSpaceDN w:val="0"/>
      <w:adjustRightInd w:val="0"/>
      <w:spacing w:after="0" w:line="200" w:lineRule="exact"/>
      <w:ind w:left="7200" w:firstLine="720"/>
      <w:rPr>
        <w:rFonts w:ascii="NeueHaasGroteskDisp W02" w:hAnsi="NeueHaasGroteskDisp W02"/>
        <w:sz w:val="20"/>
        <w:szCs w:val="20"/>
      </w:rPr>
    </w:pPr>
    <w:r>
      <w:rPr>
        <w:rFonts w:ascii="NeueHaasGroteskDisp W02" w:hAnsi="NeueHaasGroteskDisp W02"/>
        <w:noProof/>
        <w:lang w:val="en-US" w:eastAsia="en-US"/>
      </w:rPr>
      <mc:AlternateContent>
        <mc:Choice Requires="wps">
          <w:drawing>
            <wp:anchor distT="0" distB="0" distL="114300" distR="114300" simplePos="0" relativeHeight="251661312" behindDoc="1" locked="0" layoutInCell="0" allowOverlap="1" wp14:anchorId="106AED51" wp14:editId="711EF1B2">
              <wp:simplePos x="0" y="0"/>
              <wp:positionH relativeFrom="page">
                <wp:posOffset>6960235</wp:posOffset>
              </wp:positionH>
              <wp:positionV relativeFrom="page">
                <wp:posOffset>10374630</wp:posOffset>
              </wp:positionV>
              <wp:extent cx="294640" cy="5905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9055"/>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2B8B" id="Rectangle 14" o:spid="_x0000_s1026" style="position:absolute;margin-left:548.05pt;margin-top:816.9pt;width:23.2pt;height: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" o:allowincell="f" fillcolor="#37abe1" stroked="f">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79030"/>
      <w:docPartObj>
        <w:docPartGallery w:val="Page Numbers (Bottom of Page)"/>
        <w:docPartUnique/>
      </w:docPartObj>
    </w:sdtPr>
    <w:sdtEndPr>
      <w:rPr>
        <w:rFonts w:ascii="Arial Narrow" w:hAnsi="Arial Narrow"/>
      </w:rPr>
    </w:sdtEndPr>
    <w:sdtContent>
      <w:p w14:paraId="24F8A583" w14:textId="77777777" w:rsidR="000B5900" w:rsidRPr="001C5F40" w:rsidRDefault="000B5900">
        <w:pPr>
          <w:pStyle w:val="Pta"/>
          <w:jc w:val="right"/>
          <w:rPr>
            <w:rFonts w:ascii="Arial Narrow" w:hAnsi="Arial Narrow"/>
          </w:rPr>
        </w:pPr>
        <w:r w:rsidRPr="001C5F40">
          <w:rPr>
            <w:rFonts w:ascii="Arial Narrow" w:hAnsi="Arial Narrow"/>
          </w:rPr>
          <w:fldChar w:fldCharType="begin"/>
        </w:r>
        <w:r w:rsidRPr="001C5F40">
          <w:rPr>
            <w:rFonts w:ascii="Arial Narrow" w:hAnsi="Arial Narrow"/>
          </w:rPr>
          <w:instrText>PAGE   \* MERGEFORMAT</w:instrText>
        </w:r>
        <w:r w:rsidRPr="001C5F40">
          <w:rPr>
            <w:rFonts w:ascii="Arial Narrow" w:hAnsi="Arial Narrow"/>
          </w:rPr>
          <w:fldChar w:fldCharType="separate"/>
        </w:r>
        <w:r w:rsidR="002E71B2">
          <w:rPr>
            <w:rFonts w:ascii="Arial Narrow" w:hAnsi="Arial Narrow"/>
            <w:noProof/>
          </w:rPr>
          <w:t>28</w:t>
        </w:r>
        <w:r w:rsidRPr="001C5F40">
          <w:rPr>
            <w:rFonts w:ascii="Arial Narrow" w:hAnsi="Arial Narrow"/>
          </w:rPr>
          <w:fldChar w:fldCharType="end"/>
        </w:r>
      </w:p>
    </w:sdtContent>
  </w:sdt>
  <w:p w14:paraId="607C8365" w14:textId="77777777" w:rsidR="000B5900" w:rsidRDefault="000B5900" w:rsidP="00FB62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386D" w14:textId="77777777" w:rsidR="000B5900" w:rsidRDefault="000B5900" w:rsidP="005B2D07">
      <w:pPr>
        <w:spacing w:after="0" w:line="240" w:lineRule="auto"/>
      </w:pPr>
      <w:r>
        <w:separator/>
      </w:r>
    </w:p>
  </w:footnote>
  <w:footnote w:type="continuationSeparator" w:id="0">
    <w:p w14:paraId="2923DA3D" w14:textId="77777777" w:rsidR="000B5900" w:rsidRDefault="000B5900" w:rsidP="005B2D07">
      <w:pPr>
        <w:spacing w:after="0" w:line="240" w:lineRule="auto"/>
      </w:pPr>
      <w:r>
        <w:continuationSeparator/>
      </w:r>
    </w:p>
  </w:footnote>
  <w:footnote w:id="1">
    <w:p w14:paraId="497B1968" w14:textId="2637603C" w:rsidR="000B5900" w:rsidRPr="00AB3326" w:rsidRDefault="000B5900" w:rsidP="004951FF">
      <w:pPr>
        <w:pStyle w:val="Textpoznmkypodiarou"/>
        <w:tabs>
          <w:tab w:val="right" w:pos="8564"/>
        </w:tabs>
        <w:rPr>
          <w:rFonts w:ascii="Arial Narrow" w:hAnsi="Arial Narrow"/>
          <w:sz w:val="16"/>
          <w:szCs w:val="16"/>
        </w:rPr>
      </w:pPr>
      <w:r w:rsidRPr="004951FF">
        <w:rPr>
          <w:rStyle w:val="Odkaznapoznmkupodiarou"/>
          <w:rFonts w:ascii="Arial Narrow" w:hAnsi="Arial Narrow"/>
          <w:sz w:val="16"/>
          <w:szCs w:val="16"/>
        </w:rPr>
        <w:footnoteRef/>
      </w:r>
      <w:r w:rsidRPr="004951FF">
        <w:rPr>
          <w:rFonts w:ascii="Arial Narrow" w:hAnsi="Arial Narrow"/>
          <w:sz w:val="16"/>
          <w:szCs w:val="16"/>
        </w:rPr>
        <w:t xml:space="preserve"> Tieto priority boli identifikované v aktualizácii metodiky i</w:t>
      </w:r>
      <w:r>
        <w:rPr>
          <w:rFonts w:ascii="Arial Narrow" w:hAnsi="Arial Narrow"/>
          <w:sz w:val="16"/>
          <w:szCs w:val="16"/>
        </w:rPr>
        <w:t xml:space="preserve">dentifikácie priorít Slovenska </w:t>
      </w:r>
      <w:r w:rsidRPr="004951FF">
        <w:rPr>
          <w:rFonts w:ascii="Arial Narrow" w:hAnsi="Arial Narrow"/>
          <w:sz w:val="16"/>
          <w:szCs w:val="16"/>
        </w:rPr>
        <w:t>(Lafférsová, 2017).</w:t>
      </w:r>
      <w:r>
        <w:rPr>
          <w:rFonts w:ascii="Arial Narrow" w:hAnsi="Arial Narrow"/>
          <w:sz w:val="16"/>
          <w:szCs w:val="16"/>
        </w:rPr>
        <w:tab/>
      </w:r>
    </w:p>
  </w:footnote>
  <w:footnote w:id="2">
    <w:p w14:paraId="04238B83" w14:textId="2FF62177" w:rsidR="000B5900" w:rsidRPr="00AB3326" w:rsidRDefault="000B5900" w:rsidP="00F015A6">
      <w:pPr>
        <w:pStyle w:val="Textpoznmkypodiarou"/>
        <w:jc w:val="both"/>
        <w:rPr>
          <w:rFonts w:ascii="Arial Narrow" w:hAnsi="Arial Narrow"/>
          <w:sz w:val="16"/>
          <w:szCs w:val="16"/>
        </w:rPr>
      </w:pPr>
      <w:r w:rsidRPr="00026106">
        <w:rPr>
          <w:rStyle w:val="Odkaznapoznmkupodiarou"/>
          <w:rFonts w:ascii="Arial Narrow" w:hAnsi="Arial Narrow"/>
          <w:sz w:val="18"/>
        </w:rPr>
        <w:footnoteRef/>
      </w:r>
      <w:r w:rsidRPr="00026106">
        <w:rPr>
          <w:rFonts w:ascii="Arial Narrow" w:hAnsi="Arial Narrow"/>
        </w:rPr>
        <w:t xml:space="preserve"> </w:t>
      </w:r>
      <w:r w:rsidRPr="00A51BA5">
        <w:rPr>
          <w:rFonts w:ascii="Arial Narrow" w:hAnsi="Arial Narrow"/>
          <w:sz w:val="16"/>
          <w:szCs w:val="16"/>
        </w:rPr>
        <w:t>Predchádzateľné úmrtia sú súčasťou komplexnejšieho indikátora – odvrátiteľná úmrtnosť. Odvrátiteľná úmrtnosť sa člení na predchádzateľné úmrtia (uv</w:t>
      </w:r>
      <w:r w:rsidRPr="00A65C28">
        <w:rPr>
          <w:rFonts w:ascii="Arial Narrow" w:hAnsi="Arial Narrow"/>
          <w:sz w:val="16"/>
          <w:szCs w:val="16"/>
        </w:rPr>
        <w:t>edené vyššie) a liečiteľné úmrtia. Predchádzateľné úmrtia je možné odvrátiť zásahmi verejného zdavotníctva, ako aj ďalšími politikami, ktoré sa sútredia na širšie determinanty zdravia súvisiace so správaním, životným štýlom, socio-ekonomickým postavením a </w:t>
      </w:r>
      <w:r w:rsidRPr="00AB3326">
        <w:rPr>
          <w:rFonts w:ascii="Arial Narrow" w:hAnsi="Arial Narrow"/>
          <w:sz w:val="16"/>
          <w:szCs w:val="16"/>
        </w:rPr>
        <w:t>prostredím. Liečiteľné úmrtia sa často používajú ako ukazovateľ kvality zdravotnej starostlivosti, pretože zahŕňajú úmrtia, ktoré je možné odvrátiť včasným a adekvátnym zásahom zdravotnej starostlivosti a liečbou.</w:t>
      </w:r>
    </w:p>
  </w:footnote>
  <w:footnote w:id="3">
    <w:p w14:paraId="128A93AF" w14:textId="77777777" w:rsidR="000B5900" w:rsidRPr="00AB3326" w:rsidRDefault="000B5900" w:rsidP="00BC2833">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Filko, M. a kol. (2012), Málo zdravia za veľa peňazí: Analýza efektívnosti slovenského zdravotníctva, Ekonomická analýza 28, Inštitút finančnej politiky, Ministerstvo financií SR</w:t>
      </w:r>
    </w:p>
  </w:footnote>
  <w:footnote w:id="4">
    <w:p w14:paraId="34D6E700" w14:textId="77777777" w:rsidR="000B5900" w:rsidRPr="00AB3326" w:rsidRDefault="000B5900" w:rsidP="00682C07">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Porovnanie cien v júni 2016 a decembri 2015. Medzi decembrom 2015 a marcom 2016 (pred referencovaním) sa ceny pomôcok nezmenili, preto tento pokles možno pripísať referencovaniu.</w:t>
      </w:r>
    </w:p>
  </w:footnote>
  <w:footnote w:id="5">
    <w:p w14:paraId="79CE1E96" w14:textId="23E0470E" w:rsidR="000B5900" w:rsidRPr="00AB3326" w:rsidRDefault="000B5900" w:rsidP="007F3264">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Spoločná štúdia MF SR a MPSVaR SR: </w:t>
      </w:r>
      <w:hyperlink r:id="rId1" w:history="1">
        <w:r w:rsidRPr="00AB3326">
          <w:rPr>
            <w:rStyle w:val="Hypertextovprepojenie"/>
            <w:rFonts w:ascii="Arial Narrow" w:hAnsi="Arial Narrow"/>
            <w:color w:val="2C9ADC"/>
            <w:sz w:val="16"/>
            <w:szCs w:val="16"/>
          </w:rPr>
          <w:t>Veľa práce na úradoch práce: Efektivita a účinnosť služieb zamestnanosti</w:t>
        </w:r>
      </w:hyperlink>
      <w:r w:rsidRPr="00AB3326">
        <w:rPr>
          <w:rStyle w:val="Hypertextovprepojenie"/>
          <w:rFonts w:ascii="Arial Narrow" w:hAnsi="Arial Narrow"/>
          <w:color w:val="2C9ADC"/>
          <w:sz w:val="16"/>
          <w:szCs w:val="16"/>
        </w:rPr>
        <w:t>.</w:t>
      </w:r>
    </w:p>
  </w:footnote>
  <w:footnote w:id="6">
    <w:p w14:paraId="2E00F3EA" w14:textId="6E12B707" w:rsidR="000B5900" w:rsidRPr="00AB3326" w:rsidRDefault="000B5900" w:rsidP="00880118">
      <w:pPr>
        <w:spacing w:after="0" w:line="240" w:lineRule="auto"/>
        <w:rPr>
          <w:rFonts w:ascii="Arial Narrow" w:hAnsi="Arial Narrow"/>
          <w:color w:val="1F497D"/>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hyperlink r:id="rId2" w:history="1">
        <w:r w:rsidRPr="00AB3326">
          <w:rPr>
            <w:rStyle w:val="Hypertextovprepojenie"/>
            <w:rFonts w:ascii="Arial Narrow" w:eastAsiaTheme="majorEastAsia" w:hAnsi="Arial Narrow"/>
            <w:color w:val="2C9ADC"/>
            <w:sz w:val="16"/>
            <w:szCs w:val="16"/>
          </w:rPr>
          <w:t>Akčný plán na posilnenie integrácie dlhodobo nezamestnaných na trh práce v SR</w:t>
        </w:r>
      </w:hyperlink>
      <w:r w:rsidRPr="00AB3326">
        <w:rPr>
          <w:rFonts w:ascii="Arial Narrow" w:hAnsi="Arial Narrow"/>
          <w:color w:val="2C9ADC"/>
          <w:sz w:val="16"/>
          <w:szCs w:val="16"/>
        </w:rPr>
        <w:t>.</w:t>
      </w:r>
    </w:p>
  </w:footnote>
  <w:footnote w:id="7">
    <w:p w14:paraId="7EF82140" w14:textId="77777777" w:rsidR="000B5900" w:rsidRPr="00AB3326" w:rsidRDefault="000B5900" w:rsidP="00402816">
      <w:pPr>
        <w:pStyle w:val="Textpoznmkypodiarou"/>
        <w:jc w:val="both"/>
        <w:rPr>
          <w:rFonts w:ascii="Arial Narrow" w:hAnsi="Arial Narrow"/>
          <w:sz w:val="16"/>
          <w:szCs w:val="16"/>
        </w:rPr>
      </w:pPr>
      <w:r w:rsidRPr="00A65C28">
        <w:rPr>
          <w:rStyle w:val="Odkaznapoznmkupodiarou"/>
          <w:rFonts w:ascii="Arial Narrow" w:hAnsi="Arial Narrow"/>
          <w:sz w:val="16"/>
          <w:szCs w:val="16"/>
        </w:rPr>
        <w:footnoteRef/>
      </w:r>
      <w:r w:rsidRPr="00A65C28">
        <w:rPr>
          <w:rFonts w:ascii="Arial Narrow" w:hAnsi="Arial Narrow"/>
          <w:sz w:val="16"/>
          <w:szCs w:val="16"/>
        </w:rPr>
        <w:t xml:space="preserve"> Projekty: </w:t>
      </w:r>
      <w:r w:rsidRPr="00A65C28">
        <w:rPr>
          <w:rFonts w:ascii="Arial Narrow" w:hAnsi="Arial Narrow"/>
          <w:i/>
          <w:sz w:val="16"/>
          <w:szCs w:val="16"/>
        </w:rPr>
        <w:t>Terénna sociálna práca v obciach I.</w:t>
      </w:r>
      <w:r w:rsidRPr="00A65C28">
        <w:rPr>
          <w:rFonts w:ascii="Arial Narrow" w:hAnsi="Arial Narrow"/>
          <w:sz w:val="16"/>
          <w:szCs w:val="16"/>
        </w:rPr>
        <w:t xml:space="preserve"> a </w:t>
      </w:r>
      <w:r w:rsidRPr="00A65C28">
        <w:rPr>
          <w:rFonts w:ascii="Arial Narrow" w:hAnsi="Arial Narrow"/>
          <w:i/>
          <w:sz w:val="16"/>
          <w:szCs w:val="16"/>
        </w:rPr>
        <w:t>Podpora vybraných sociálnych služieb krízovej intervencie na komunitnej úrovni</w:t>
      </w:r>
      <w:r w:rsidRPr="00AB3326">
        <w:rPr>
          <w:rFonts w:ascii="Arial Narrow" w:hAnsi="Arial Narrow"/>
          <w:sz w:val="16"/>
          <w:szCs w:val="16"/>
        </w:rPr>
        <w:t>.</w:t>
      </w:r>
    </w:p>
  </w:footnote>
  <w:footnote w:id="8">
    <w:p w14:paraId="441FC593" w14:textId="7566A174" w:rsidR="000B5900" w:rsidRPr="003F5541" w:rsidRDefault="000B5900">
      <w:pPr>
        <w:pStyle w:val="Textpoznmkypodiarou"/>
        <w:rPr>
          <w:rFonts w:ascii="Arial Narrow" w:hAnsi="Arial Narrow"/>
          <w:sz w:val="16"/>
          <w:szCs w:val="16"/>
        </w:rPr>
      </w:pPr>
      <w:r w:rsidRPr="003F5541">
        <w:rPr>
          <w:rStyle w:val="Odkaznapoznmkupodiarou"/>
          <w:rFonts w:ascii="Arial Narrow" w:hAnsi="Arial Narrow"/>
          <w:sz w:val="16"/>
          <w:szCs w:val="16"/>
        </w:rPr>
        <w:footnoteRef/>
      </w:r>
      <w:r w:rsidRPr="003F5541">
        <w:rPr>
          <w:rFonts w:ascii="Arial Narrow" w:hAnsi="Arial Narrow"/>
          <w:sz w:val="16"/>
          <w:szCs w:val="16"/>
        </w:rPr>
        <w:t xml:space="preserve"> </w:t>
      </w:r>
      <w:hyperlink r:id="rId3" w:history="1">
        <w:r w:rsidRPr="003F5541">
          <w:rPr>
            <w:rStyle w:val="Hypertextovprepojenie"/>
            <w:rFonts w:ascii="Arial Narrow" w:hAnsi="Arial Narrow"/>
            <w:color w:val="2C9ADC"/>
            <w:sz w:val="16"/>
            <w:szCs w:val="16"/>
          </w:rPr>
          <w:t>Strategické priority NKIVS</w:t>
        </w:r>
      </w:hyperlink>
    </w:p>
  </w:footnote>
  <w:footnote w:id="9">
    <w:p w14:paraId="0E4E2EC0" w14:textId="076CA8F5" w:rsidR="000B5900" w:rsidRPr="005B175A" w:rsidRDefault="000B5900">
      <w:pPr>
        <w:pStyle w:val="Textpoznmkypodiarou"/>
        <w:rPr>
          <w:rFonts w:ascii="Arial Narrow" w:hAnsi="Arial Narrow"/>
          <w:sz w:val="16"/>
          <w:szCs w:val="16"/>
        </w:rPr>
      </w:pPr>
      <w:r w:rsidRPr="005B175A">
        <w:rPr>
          <w:rStyle w:val="Odkaznapoznmkupodiarou"/>
          <w:rFonts w:ascii="Arial Narrow" w:hAnsi="Arial Narrow"/>
          <w:sz w:val="16"/>
          <w:szCs w:val="16"/>
        </w:rPr>
        <w:footnoteRef/>
      </w:r>
      <w:r w:rsidRPr="005B175A">
        <w:rPr>
          <w:rFonts w:ascii="Arial Narrow" w:hAnsi="Arial Narrow"/>
          <w:sz w:val="16"/>
          <w:szCs w:val="16"/>
        </w:rPr>
        <w:t xml:space="preserve"> Súčet všetkých dôchodkov (z I. a II. piliera, pozostalostného, invalidného, výsluhového alebo aj zo zahraničia).</w:t>
      </w:r>
    </w:p>
  </w:footnote>
  <w:footnote w:id="10">
    <w:p w14:paraId="1D34C1D9" w14:textId="4EDDF703" w:rsidR="000B5900" w:rsidRPr="005B175A" w:rsidRDefault="000B5900" w:rsidP="00F22BD1">
      <w:pPr>
        <w:pStyle w:val="Textpoznmkypodiarou"/>
        <w:jc w:val="both"/>
        <w:rPr>
          <w:rFonts w:ascii="Arial Narrow" w:hAnsi="Arial Narrow"/>
          <w:sz w:val="16"/>
          <w:szCs w:val="16"/>
        </w:rPr>
      </w:pPr>
      <w:r w:rsidRPr="005B175A">
        <w:rPr>
          <w:rStyle w:val="Odkaznapoznmkupodiarou"/>
          <w:rFonts w:ascii="Arial Narrow" w:hAnsi="Arial Narrow"/>
          <w:sz w:val="16"/>
          <w:szCs w:val="16"/>
        </w:rPr>
        <w:footnoteRef/>
      </w:r>
      <w:r w:rsidRPr="005B175A">
        <w:rPr>
          <w:rFonts w:ascii="Arial Narrow" w:hAnsi="Arial Narrow"/>
          <w:sz w:val="16"/>
          <w:szCs w:val="16"/>
        </w:rPr>
        <w:t xml:space="preserve"> Podľa stratégie MDV SR.</w:t>
      </w:r>
    </w:p>
  </w:footnote>
  <w:footnote w:id="11">
    <w:p w14:paraId="151CB711" w14:textId="1D676DA5" w:rsidR="000B5900" w:rsidRPr="00AB3326" w:rsidRDefault="000B5900" w:rsidP="00F22BD1">
      <w:pPr>
        <w:pStyle w:val="Textpoznmkypodiarou"/>
        <w:jc w:val="both"/>
        <w:rPr>
          <w:rFonts w:ascii="Arial Narrow" w:hAnsi="Arial Narrow"/>
          <w:sz w:val="16"/>
          <w:szCs w:val="16"/>
        </w:rPr>
      </w:pPr>
      <w:r w:rsidRPr="005B175A">
        <w:rPr>
          <w:rStyle w:val="Odkaznapoznmkupodiarou"/>
          <w:rFonts w:ascii="Arial Narrow" w:hAnsi="Arial Narrow"/>
          <w:sz w:val="16"/>
          <w:szCs w:val="16"/>
        </w:rPr>
        <w:footnoteRef/>
      </w:r>
      <w:r w:rsidRPr="005B175A">
        <w:rPr>
          <w:rFonts w:ascii="Arial Narrow" w:hAnsi="Arial Narrow"/>
          <w:sz w:val="16"/>
          <w:szCs w:val="16"/>
        </w:rPr>
        <w:t xml:space="preserve"> JASPERS je partner Európskej komisie a Európskej investičnej banky, asistuje krajinám s cieľom zvýšiť kvalitu investícií, ktoré sú financované cez EÚ fondy.</w:t>
      </w:r>
    </w:p>
  </w:footnote>
  <w:footnote w:id="12">
    <w:p w14:paraId="2E28F4A9" w14:textId="77777777" w:rsidR="000B5900" w:rsidRPr="00AB3326" w:rsidRDefault="000B5900" w:rsidP="008F3AF0">
      <w:pPr>
        <w:pStyle w:val="Textpoznmkypodiarou"/>
        <w:jc w:val="both"/>
        <w:rPr>
          <w:rFonts w:ascii="Arial Narrow" w:hAnsi="Arial Narrow"/>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Kritérium pre najmenej rozvinutý okres predstavuje miera evidovanej nezamestnanosti, ktorá aspoň v 9 z predchádzajúcich 12 štvrťrokov presahovala 1,6 násobok priemernej miery evidovanej nezamestnanosti na Slovensku (zákon č. 336/2015 Z. z. o podpore najmenej rozvinutých okresov s účinnosťou od decembra 2015).</w:t>
      </w:r>
    </w:p>
  </w:footnote>
  <w:footnote w:id="13">
    <w:p w14:paraId="4482FC98" w14:textId="7DFACFF6" w:rsidR="000B5900" w:rsidRPr="001E7BD9" w:rsidRDefault="000B5900" w:rsidP="00FC6A70">
      <w:pPr>
        <w:pStyle w:val="Textpoznmkypodiarou"/>
        <w:jc w:val="both"/>
        <w:rPr>
          <w:rFonts w:ascii="Arial Narrow" w:hAnsi="Arial Narrow"/>
          <w:sz w:val="16"/>
          <w:szCs w:val="16"/>
        </w:rPr>
      </w:pPr>
      <w:r w:rsidRPr="00C31D2B">
        <w:rPr>
          <w:rStyle w:val="Odkaznapoznmkupodiarou"/>
          <w:rFonts w:ascii="Arial Narrow" w:hAnsi="Arial Narrow"/>
          <w:sz w:val="16"/>
          <w:szCs w:val="16"/>
        </w:rPr>
        <w:footnoteRef/>
      </w:r>
      <w:r w:rsidRPr="00C31D2B">
        <w:rPr>
          <w:rFonts w:ascii="Arial Narrow" w:hAnsi="Arial Narrow"/>
          <w:sz w:val="16"/>
          <w:szCs w:val="16"/>
        </w:rPr>
        <w:t xml:space="preserve"> Kým</w:t>
      </w:r>
      <w:r w:rsidRPr="003831C5">
        <w:rPr>
          <w:rFonts w:ascii="Arial Narrow" w:hAnsi="Arial Narrow"/>
          <w:sz w:val="16"/>
          <w:szCs w:val="16"/>
        </w:rPr>
        <w:t xml:space="preserve"> priemerná miera zadlženosti v pomere k HDP dosahuje v EÚ 63,4 %, na Slovensku je to len 34,7 %. Pomer úverov domácností k ich disponibilným príjmom dosahuje v krajinách EÚ v</w:t>
      </w:r>
      <w:r>
        <w:rPr>
          <w:rFonts w:ascii="Arial Narrow" w:hAnsi="Arial Narrow"/>
          <w:sz w:val="16"/>
          <w:szCs w:val="16"/>
        </w:rPr>
        <w:t> </w:t>
      </w:r>
      <w:r w:rsidRPr="003831C5">
        <w:rPr>
          <w:rFonts w:ascii="Arial Narrow" w:hAnsi="Arial Narrow"/>
          <w:sz w:val="16"/>
          <w:szCs w:val="16"/>
        </w:rPr>
        <w:t>pri</w:t>
      </w:r>
      <w:r>
        <w:rPr>
          <w:rFonts w:ascii="Arial Narrow" w:hAnsi="Arial Narrow"/>
          <w:sz w:val="16"/>
          <w:szCs w:val="16"/>
        </w:rPr>
        <w:t>e</w:t>
      </w:r>
      <w:r w:rsidRPr="003831C5">
        <w:rPr>
          <w:rFonts w:ascii="Arial Narrow" w:hAnsi="Arial Narrow"/>
          <w:sz w:val="16"/>
          <w:szCs w:val="16"/>
        </w:rPr>
        <w:t>mere</w:t>
      </w:r>
      <w:r>
        <w:rPr>
          <w:rFonts w:ascii="Arial Narrow" w:hAnsi="Arial Narrow"/>
          <w:sz w:val="16"/>
          <w:szCs w:val="16"/>
        </w:rPr>
        <w:t xml:space="preserve"> </w:t>
      </w:r>
      <w:r w:rsidRPr="003831C5">
        <w:rPr>
          <w:rFonts w:ascii="Arial Narrow" w:hAnsi="Arial Narrow"/>
          <w:sz w:val="16"/>
          <w:szCs w:val="16"/>
        </w:rPr>
        <w:t>100 %, na Slovensku predstavuje tento pomer 57,5 %</w:t>
      </w:r>
      <w:r w:rsidRPr="001E7BD9">
        <w:rPr>
          <w:rFonts w:ascii="Arial Narrow" w:hAnsi="Arial Narrow"/>
          <w:sz w:val="16"/>
          <w:szCs w:val="16"/>
        </w:rPr>
        <w:t>.</w:t>
      </w:r>
    </w:p>
  </w:footnote>
  <w:footnote w:id="14">
    <w:p w14:paraId="375ED334" w14:textId="75EA5E4D" w:rsidR="000B5900" w:rsidRPr="00C31D2B" w:rsidRDefault="000B5900" w:rsidP="00E9605F">
      <w:pPr>
        <w:pStyle w:val="Textpoznmkypodiarou"/>
        <w:rPr>
          <w:rFonts w:ascii="Arial Narrow" w:hAnsi="Arial Narrow"/>
          <w:sz w:val="16"/>
          <w:szCs w:val="16"/>
        </w:rPr>
      </w:pPr>
      <w:r w:rsidRPr="00C31D2B">
        <w:rPr>
          <w:rStyle w:val="Odkaznapoznmkupodiarou"/>
          <w:rFonts w:ascii="Arial Narrow" w:hAnsi="Arial Narrow"/>
          <w:sz w:val="16"/>
          <w:szCs w:val="16"/>
        </w:rPr>
        <w:footnoteRef/>
      </w:r>
      <w:r w:rsidRPr="00C31D2B">
        <w:rPr>
          <w:rFonts w:ascii="Arial Narrow" w:hAnsi="Arial Narrow"/>
          <w:sz w:val="16"/>
          <w:szCs w:val="16"/>
        </w:rPr>
        <w:t xml:space="preserve"> Novela zákona č. 90/</w:t>
      </w:r>
      <w:r>
        <w:rPr>
          <w:rFonts w:ascii="Arial Narrow" w:hAnsi="Arial Narrow"/>
          <w:sz w:val="16"/>
          <w:szCs w:val="16"/>
        </w:rPr>
        <w:t xml:space="preserve">2016 Z. z. o úveroch na bývanie a </w:t>
      </w:r>
      <w:r w:rsidRPr="00C31D2B">
        <w:rPr>
          <w:rFonts w:ascii="Arial Narrow" w:hAnsi="Arial Narrow"/>
          <w:sz w:val="16"/>
          <w:szCs w:val="16"/>
        </w:rPr>
        <w:t>Opatrenie NBS z decembra 201</w:t>
      </w:r>
      <w:r>
        <w:rPr>
          <w:rFonts w:ascii="Arial Narrow" w:hAnsi="Arial Narrow"/>
          <w:sz w:val="16"/>
          <w:szCs w:val="16"/>
        </w:rPr>
        <w:t>6 s účinnosťou od januára 2017</w:t>
      </w:r>
      <w:r w:rsidRPr="00C31D2B">
        <w:rPr>
          <w:rFonts w:ascii="Arial Narrow" w:hAnsi="Arial Narrow"/>
          <w:sz w:val="16"/>
          <w:szCs w:val="16"/>
        </w:rPr>
        <w:t>.</w:t>
      </w:r>
    </w:p>
  </w:footnote>
  <w:footnote w:id="15">
    <w:p w14:paraId="15CA1C09" w14:textId="3437A65A" w:rsidR="000B5900" w:rsidRDefault="000B5900" w:rsidP="00E9605F">
      <w:pPr>
        <w:pStyle w:val="Textpoznmkypodiarou"/>
      </w:pPr>
      <w:r w:rsidRPr="00C31D2B">
        <w:rPr>
          <w:rStyle w:val="Odkaznapoznmkupodiarou"/>
          <w:rFonts w:ascii="Arial Narrow" w:hAnsi="Arial Narrow"/>
          <w:sz w:val="16"/>
          <w:szCs w:val="16"/>
        </w:rPr>
        <w:footnoteRef/>
      </w:r>
      <w:r w:rsidRPr="00C31D2B">
        <w:rPr>
          <w:rFonts w:ascii="Arial Narrow" w:hAnsi="Arial Narrow"/>
          <w:sz w:val="16"/>
          <w:szCs w:val="16"/>
        </w:rPr>
        <w:t xml:space="preserve"> Novela zákona č. 129/2010 Z. z. o spotrebiteľských úveroch  a</w:t>
      </w:r>
      <w:r>
        <w:rPr>
          <w:rFonts w:ascii="Arial Narrow" w:hAnsi="Arial Narrow"/>
          <w:sz w:val="16"/>
          <w:szCs w:val="16"/>
        </w:rPr>
        <w:t xml:space="preserve"> </w:t>
      </w:r>
      <w:r w:rsidRPr="00C31D2B">
        <w:rPr>
          <w:rFonts w:ascii="Arial Narrow" w:hAnsi="Arial Narrow"/>
          <w:sz w:val="16"/>
          <w:szCs w:val="16"/>
        </w:rPr>
        <w:t>o</w:t>
      </w:r>
      <w:r>
        <w:rPr>
          <w:rFonts w:ascii="Arial Narrow" w:hAnsi="Arial Narrow"/>
          <w:sz w:val="16"/>
          <w:szCs w:val="16"/>
        </w:rPr>
        <w:t> </w:t>
      </w:r>
      <w:r w:rsidRPr="00C31D2B">
        <w:rPr>
          <w:rFonts w:ascii="Arial Narrow" w:hAnsi="Arial Narrow"/>
          <w:sz w:val="16"/>
          <w:szCs w:val="16"/>
        </w:rPr>
        <w:t>iných</w:t>
      </w:r>
      <w:r>
        <w:rPr>
          <w:rFonts w:ascii="Arial Narrow" w:hAnsi="Arial Narrow"/>
          <w:sz w:val="16"/>
          <w:szCs w:val="16"/>
        </w:rPr>
        <w:t xml:space="preserve"> ú</w:t>
      </w:r>
      <w:r w:rsidRPr="00C31D2B">
        <w:rPr>
          <w:rFonts w:ascii="Arial Narrow" w:hAnsi="Arial Narrow"/>
          <w:sz w:val="16"/>
          <w:szCs w:val="16"/>
        </w:rPr>
        <w:t>veroch a</w:t>
      </w:r>
      <w:r>
        <w:rPr>
          <w:rFonts w:ascii="Arial Narrow" w:hAnsi="Arial Narrow"/>
          <w:sz w:val="16"/>
          <w:szCs w:val="16"/>
        </w:rPr>
        <w:t xml:space="preserve"> </w:t>
      </w:r>
      <w:r w:rsidRPr="00C31D2B">
        <w:rPr>
          <w:rFonts w:ascii="Arial Narrow" w:hAnsi="Arial Narrow"/>
          <w:sz w:val="16"/>
          <w:szCs w:val="16"/>
        </w:rPr>
        <w:t>pôžičkách pre spotrebiteľov</w:t>
      </w:r>
      <w:r>
        <w:rPr>
          <w:rFonts w:ascii="Arial Narrow" w:hAnsi="Arial Narrow"/>
          <w:sz w:val="16"/>
          <w:szCs w:val="16"/>
        </w:rPr>
        <w:t xml:space="preserve"> s účinnosťou od marca 2016</w:t>
      </w:r>
      <w:r w:rsidRPr="00C31D2B">
        <w:rPr>
          <w:rFonts w:ascii="Arial Narrow" w:hAnsi="Arial Narrow"/>
          <w:sz w:val="16"/>
          <w:szCs w:val="16"/>
        </w:rPr>
        <w:t>.</w:t>
      </w:r>
    </w:p>
  </w:footnote>
  <w:footnote w:id="16">
    <w:p w14:paraId="736EB279" w14:textId="31A905F2" w:rsidR="004D353B" w:rsidRPr="004D353B" w:rsidRDefault="004D353B">
      <w:pPr>
        <w:pStyle w:val="Textpoznmkypodiarou"/>
        <w:rPr>
          <w:rFonts w:ascii="Arial Narrow" w:hAnsi="Arial Narrow"/>
          <w:sz w:val="16"/>
          <w:szCs w:val="16"/>
        </w:rPr>
      </w:pPr>
      <w:r w:rsidRPr="004D353B">
        <w:rPr>
          <w:rStyle w:val="Odkaznapoznmkupodiarou"/>
          <w:rFonts w:ascii="Arial Narrow" w:hAnsi="Arial Narrow"/>
          <w:sz w:val="16"/>
          <w:szCs w:val="16"/>
        </w:rPr>
        <w:footnoteRef/>
      </w:r>
      <w:r w:rsidRPr="004D353B">
        <w:rPr>
          <w:rFonts w:ascii="Arial Narrow" w:hAnsi="Arial Narrow"/>
          <w:sz w:val="16"/>
          <w:szCs w:val="16"/>
        </w:rPr>
        <w:t xml:space="preserve"> Podľa konceptu národných účtov (ESA).</w:t>
      </w:r>
    </w:p>
  </w:footnote>
  <w:footnote w:id="17">
    <w:p w14:paraId="250C0FF8" w14:textId="7CA44F04" w:rsidR="000B5900" w:rsidRPr="00AB3326" w:rsidRDefault="000B5900" w:rsidP="00CC5DAE">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Údaje sú dostupné iba pre Slovensko.</w:t>
      </w:r>
    </w:p>
  </w:footnote>
  <w:footnote w:id="18">
    <w:p w14:paraId="6D8AD392" w14:textId="77777777" w:rsidR="000B5900" w:rsidRPr="00A51BA5" w:rsidRDefault="000B5900" w:rsidP="00CC5DAE">
      <w:pPr>
        <w:spacing w:after="0" w:line="240" w:lineRule="auto"/>
        <w:ind w:right="51"/>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r w:rsidRPr="00AB3326">
        <w:rPr>
          <w:rFonts w:ascii="Arial Narrow" w:hAnsi="Arial Narrow" w:cs="Arial"/>
          <w:color w:val="000000" w:themeColor="text1"/>
          <w:sz w:val="16"/>
          <w:szCs w:val="16"/>
        </w:rPr>
        <w:t xml:space="preserve">Index národných fiškálnych pravidiel zostavuje EK a pravidelne hodnotí efektívnosť viacerých dimenzií fiškálnych pravidiel (právny základ, priestor na zmenu cieľov a záväznosť pravidiel, monitorujúce inštitúcie, korekčné mechanizmy, odolnosť na udalosti mimo kontroly vlády), ktorých cieľom je zabezpečiť rozpočtovú disciplínu. </w:t>
      </w:r>
    </w:p>
  </w:footnote>
  <w:footnote w:id="19">
    <w:p w14:paraId="01E3827A" w14:textId="789051A3" w:rsidR="000B5900" w:rsidRPr="007764EF" w:rsidRDefault="000B5900" w:rsidP="00CC5DAE">
      <w:pPr>
        <w:spacing w:after="0" w:line="240" w:lineRule="auto"/>
        <w:ind w:right="53"/>
        <w:jc w:val="both"/>
        <w:rPr>
          <w:rFonts w:ascii="Arial Narrow" w:hAnsi="Arial Narrow"/>
          <w:sz w:val="16"/>
          <w:szCs w:val="16"/>
        </w:rPr>
      </w:pPr>
      <w:r w:rsidRPr="00AB3326">
        <w:rPr>
          <w:rStyle w:val="Odkaznapoznmkupodiarou"/>
          <w:rFonts w:ascii="Arial Narrow" w:hAnsi="Arial Narrow"/>
          <w:color w:val="000000" w:themeColor="text1"/>
          <w:sz w:val="16"/>
          <w:szCs w:val="16"/>
        </w:rPr>
        <w:footnoteRef/>
      </w:r>
      <w:r w:rsidRPr="00AB3326">
        <w:rPr>
          <w:rFonts w:ascii="Arial Narrow" w:hAnsi="Arial Narrow"/>
          <w:color w:val="000000" w:themeColor="text1"/>
          <w:sz w:val="16"/>
          <w:szCs w:val="16"/>
        </w:rPr>
        <w:t xml:space="preserve"> </w:t>
      </w:r>
      <w:r w:rsidRPr="00AB3326">
        <w:rPr>
          <w:rFonts w:ascii="Arial Narrow" w:hAnsi="Arial Narrow" w:cs="Arial"/>
          <w:color w:val="000000" w:themeColor="text1"/>
          <w:sz w:val="16"/>
          <w:szCs w:val="16"/>
        </w:rPr>
        <w:t xml:space="preserve">Ak celková suma dlhu obce alebo vyššieho územného celku dosiahne 60 % skutočných bežných príjmov predchádzajúceho rozpočtového roka alebo viac, obec alebo vyšší územný celok sú povinní zaplatiť pokutu, ktorú ukladá </w:t>
      </w:r>
      <w:r>
        <w:rPr>
          <w:rFonts w:ascii="Arial Narrow" w:hAnsi="Arial Narrow" w:cs="Arial"/>
          <w:color w:val="000000" w:themeColor="text1"/>
          <w:sz w:val="16"/>
          <w:szCs w:val="16"/>
        </w:rPr>
        <w:t xml:space="preserve">MF SR, </w:t>
      </w:r>
      <w:r w:rsidRPr="00AB3326">
        <w:rPr>
          <w:rFonts w:ascii="Arial Narrow" w:hAnsi="Arial Narrow" w:cs="Arial"/>
          <w:color w:val="000000" w:themeColor="text1"/>
          <w:sz w:val="16"/>
          <w:szCs w:val="16"/>
        </w:rPr>
        <w:t>a to vo výške 5 % z rozdielu medzi celkovou sumou dlhu a 60 % sku</w:t>
      </w:r>
      <w:r w:rsidRPr="00A51BA5">
        <w:rPr>
          <w:rFonts w:ascii="Arial Narrow" w:hAnsi="Arial Narrow" w:cs="Arial"/>
          <w:color w:val="000000" w:themeColor="text1"/>
          <w:sz w:val="16"/>
          <w:szCs w:val="16"/>
        </w:rPr>
        <w:t>točných bežných príjmov predchádzajúceho rozpočtového roka. Štát finančne nezabezpečuje platobnú schopnosť a nezodpovedá za platobnú schopnosť obce alebo vyššieho územného celku. </w:t>
      </w:r>
    </w:p>
  </w:footnote>
  <w:footnote w:id="20">
    <w:p w14:paraId="7E2A31B6" w14:textId="2A6A67C2" w:rsidR="000B5900" w:rsidRPr="00AB3326" w:rsidRDefault="000B5900" w:rsidP="00CC5DAE">
      <w:pPr>
        <w:pStyle w:val="Textpoznmkypodiarou"/>
        <w:jc w:val="both"/>
        <w:rPr>
          <w:rFonts w:ascii="Arial Narrow" w:hAnsi="Arial Narrow"/>
          <w:sz w:val="16"/>
          <w:szCs w:val="16"/>
        </w:rPr>
      </w:pPr>
      <w:r w:rsidRPr="00A65C28">
        <w:rPr>
          <w:rStyle w:val="Odkaznapoznmkupodiarou"/>
          <w:rFonts w:ascii="Arial Narrow" w:hAnsi="Arial Narrow"/>
          <w:sz w:val="16"/>
          <w:szCs w:val="16"/>
        </w:rPr>
        <w:footnoteRef/>
      </w:r>
      <w:r w:rsidRPr="00A65C28">
        <w:rPr>
          <w:rFonts w:ascii="Arial Narrow" w:hAnsi="Arial Narrow"/>
          <w:sz w:val="16"/>
          <w:szCs w:val="16"/>
        </w:rPr>
        <w:t xml:space="preserve"> </w:t>
      </w:r>
      <w:r w:rsidRPr="00A65C28">
        <w:rPr>
          <w:rFonts w:ascii="Arial Narrow" w:hAnsi="Arial Narrow" w:cs="Arial"/>
          <w:color w:val="000000" w:themeColor="text1"/>
          <w:sz w:val="16"/>
          <w:szCs w:val="16"/>
          <w:lang w:eastAsia="sk-SK"/>
        </w:rPr>
        <w:t xml:space="preserve">Strednodobé rozpočtové rámce umožňujú tvorbu fiškálnej politiky nad rámec jednoročného horizontu rozpočtu, ktorý neposkytuje dostatočný základ pre efektívne rozpočtové plánovanie. </w:t>
      </w:r>
      <w:r w:rsidRPr="00086608">
        <w:rPr>
          <w:rFonts w:ascii="Arial Narrow" w:hAnsi="Arial Narrow" w:cs="Arial"/>
          <w:color w:val="000000" w:themeColor="text1"/>
          <w:sz w:val="16"/>
          <w:szCs w:val="16"/>
          <w:lang w:eastAsia="sk-SK"/>
        </w:rPr>
        <w:t>Podľa novej metodiky tento pilier okrem iného hodnotí rozsah verejnej správy zahrnutý v strednodobom rozpočte, prepojenie cieľov medzi ročným rozpočtom a str</w:t>
      </w:r>
      <w:r>
        <w:rPr>
          <w:rFonts w:ascii="Arial Narrow" w:hAnsi="Arial Narrow" w:cs="Arial"/>
          <w:color w:val="000000" w:themeColor="text1"/>
          <w:sz w:val="16"/>
          <w:szCs w:val="16"/>
          <w:lang w:eastAsia="sk-SK"/>
        </w:rPr>
        <w:t>ednodobým rozpočtom, koordináciu</w:t>
      </w:r>
      <w:r w:rsidRPr="00086608">
        <w:rPr>
          <w:rFonts w:ascii="Arial Narrow" w:hAnsi="Arial Narrow" w:cs="Arial"/>
          <w:color w:val="000000" w:themeColor="text1"/>
          <w:sz w:val="16"/>
          <w:szCs w:val="16"/>
          <w:lang w:eastAsia="sk-SK"/>
        </w:rPr>
        <w:t xml:space="preserve"> rozpočtového procesu a začlenenie národného parlamentu a nezávislej rozpočtovej inštitúcie a úroveň spracovania strednodobých rozpočtových rámcov.</w:t>
      </w:r>
    </w:p>
  </w:footnote>
  <w:footnote w:id="21">
    <w:p w14:paraId="0A33C20F" w14:textId="77777777" w:rsidR="000B5900" w:rsidRPr="00AB3326" w:rsidRDefault="000B5900" w:rsidP="003F05A0">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Strednodobý rozpočtový rámec SR je premietnutý v Programe stability SR.</w:t>
      </w:r>
    </w:p>
  </w:footnote>
  <w:footnote w:id="22">
    <w:p w14:paraId="2EC9EDE1" w14:textId="77777777" w:rsidR="000B5900" w:rsidRPr="00AB3326" w:rsidRDefault="000B5900" w:rsidP="0005133E">
      <w:pPr>
        <w:spacing w:after="0" w:line="240" w:lineRule="auto"/>
        <w:jc w:val="both"/>
        <w:rPr>
          <w:rFonts w:ascii="Arial Narrow" w:hAnsi="Arial Narrow" w:cs="Segoe UI"/>
          <w:sz w:val="16"/>
          <w:szCs w:val="16"/>
        </w:rPr>
      </w:pPr>
      <w:r w:rsidRPr="00AB3326">
        <w:rPr>
          <w:rFonts w:ascii="Arial Narrow" w:hAnsi="Arial Narrow" w:cs="Segoe UI"/>
          <w:sz w:val="16"/>
          <w:szCs w:val="16"/>
          <w:vertAlign w:val="superscript"/>
        </w:rPr>
        <w:footnoteRef/>
      </w:r>
      <w:r w:rsidRPr="00AB3326">
        <w:rPr>
          <w:rFonts w:ascii="Arial Narrow" w:hAnsi="Arial Narrow" w:cs="Segoe UI"/>
          <w:sz w:val="16"/>
          <w:szCs w:val="16"/>
        </w:rPr>
        <w:t xml:space="preserve"> Vývoj elasticity DPPO voči makrozákladni je procyklický. V období finančnej krízy (2008 až 2012) efektívna daňová sadzba klesala, v ďalších rokoch s rastom ekonomiky stúpa.</w:t>
      </w:r>
    </w:p>
  </w:footnote>
  <w:footnote w:id="23">
    <w:p w14:paraId="13B79407" w14:textId="2A3DCA5D" w:rsidR="000B5900" w:rsidRPr="00894035" w:rsidRDefault="000B5900" w:rsidP="007426EF">
      <w:pPr>
        <w:spacing w:after="0" w:line="240" w:lineRule="auto"/>
        <w:jc w:val="both"/>
        <w:rPr>
          <w:rFonts w:ascii="Arial Narrow" w:hAnsi="Arial Narrow" w:cs="Segoe UI"/>
          <w:sz w:val="16"/>
          <w:szCs w:val="16"/>
        </w:rPr>
      </w:pPr>
      <w:r w:rsidRPr="00894035">
        <w:rPr>
          <w:rFonts w:ascii="Arial Narrow" w:hAnsi="Arial Narrow" w:cs="Segoe UI"/>
          <w:sz w:val="16"/>
          <w:szCs w:val="16"/>
          <w:vertAlign w:val="superscript"/>
        </w:rPr>
        <w:footnoteRef/>
      </w:r>
      <w:r w:rsidRPr="00894035">
        <w:rPr>
          <w:rFonts w:ascii="Arial Narrow" w:hAnsi="Arial Narrow" w:cs="Segoe UI"/>
          <w:sz w:val="16"/>
          <w:szCs w:val="16"/>
        </w:rPr>
        <w:t xml:space="preserve"> Zdaňovanie cigár a cigariek v závislosti od hmotnosti na rozdiel od počtu kusov.</w:t>
      </w:r>
      <w:r>
        <w:rPr>
          <w:rFonts w:ascii="Arial Narrow" w:hAnsi="Arial Narrow" w:cs="Segoe UI"/>
          <w:sz w:val="16"/>
          <w:szCs w:val="16"/>
        </w:rPr>
        <w:t xml:space="preserve"> </w:t>
      </w:r>
      <w:r w:rsidRPr="00845688">
        <w:rPr>
          <w:rFonts w:ascii="Arial Narrow" w:hAnsi="Arial Narrow"/>
          <w:sz w:val="16"/>
          <w:szCs w:val="16"/>
        </w:rPr>
        <w:t>Od mája 2017 sa zavádza sa nová spotrebná daň pre bezdymové tabakové výrobky, ktoré budú označené samostatnou kontrolnou známkou.</w:t>
      </w:r>
    </w:p>
  </w:footnote>
  <w:footnote w:id="24">
    <w:p w14:paraId="61DF47BB" w14:textId="44B845DC" w:rsidR="000B5900" w:rsidRPr="00A41C07" w:rsidRDefault="000B5900" w:rsidP="008918C8">
      <w:pPr>
        <w:pStyle w:val="Textpoznmkypodiarou"/>
        <w:rPr>
          <w:rFonts w:ascii="Arial Narrow" w:hAnsi="Arial Narrow"/>
          <w:sz w:val="16"/>
          <w:szCs w:val="16"/>
        </w:rPr>
      </w:pPr>
      <w:r w:rsidRPr="00894035">
        <w:rPr>
          <w:rStyle w:val="Odkaznapoznmkupodiarou"/>
          <w:rFonts w:ascii="Arial Narrow" w:hAnsi="Arial Narrow" w:cs="Segoe UI"/>
          <w:sz w:val="16"/>
          <w:szCs w:val="16"/>
        </w:rPr>
        <w:footnoteRef/>
      </w:r>
      <w:r w:rsidRPr="00894035">
        <w:rPr>
          <w:rFonts w:ascii="Arial Narrow" w:hAnsi="Arial Narrow" w:cs="Segoe UI"/>
          <w:sz w:val="16"/>
          <w:szCs w:val="16"/>
        </w:rPr>
        <w:t xml:space="preserve"> Uvedený zámer bude realizovaný v rámci OP </w:t>
      </w:r>
      <w:r w:rsidRPr="00A41C07">
        <w:rPr>
          <w:rFonts w:ascii="Arial Narrow" w:hAnsi="Arial Narrow" w:cs="Segoe UI"/>
          <w:sz w:val="16"/>
          <w:szCs w:val="16"/>
        </w:rPr>
        <w:t>programového obdobia 2014 – 2020, t.j. OP EVS a OP II.</w:t>
      </w:r>
    </w:p>
  </w:footnote>
  <w:footnote w:id="25">
    <w:p w14:paraId="241118D9" w14:textId="4B384933" w:rsidR="000B5900" w:rsidRDefault="000B5900">
      <w:pPr>
        <w:pStyle w:val="Textpoznmkypodiarou"/>
      </w:pPr>
      <w:r w:rsidRPr="00894035">
        <w:rPr>
          <w:rStyle w:val="Odkaznapoznmkupodiarou"/>
          <w:rFonts w:ascii="Arial Narrow" w:hAnsi="Arial Narrow"/>
          <w:sz w:val="16"/>
          <w:szCs w:val="16"/>
        </w:rPr>
        <w:footnoteRef/>
      </w:r>
      <w:r w:rsidRPr="00894035">
        <w:rPr>
          <w:rFonts w:ascii="Arial Narrow" w:hAnsi="Arial Narrow"/>
          <w:sz w:val="16"/>
          <w:szCs w:val="16"/>
        </w:rPr>
        <w:t xml:space="preserve"> Gestorom je MPSVR SR za spolupráce so Sociálnou poisťovňou a MF SR.</w:t>
      </w:r>
    </w:p>
  </w:footnote>
  <w:footnote w:id="26">
    <w:p w14:paraId="4F87EFAA" w14:textId="77777777" w:rsidR="000B5900" w:rsidRPr="00AB3326" w:rsidRDefault="000B5900" w:rsidP="00650180">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Duálne vzdelávanie a zvýšenie atraktivity a kvality odborného vzdelávania a prípravy, v novembri 2016 bola podpísaná zmluva o poskytnutí nenávratného finančného príspevku s realizátorom projektu (ŠIOV).</w:t>
      </w:r>
    </w:p>
  </w:footnote>
  <w:footnote w:id="27">
    <w:p w14:paraId="14B3C754" w14:textId="49D4DFCD" w:rsidR="000B5900" w:rsidRPr="00AB3326" w:rsidRDefault="000B5900" w:rsidP="00650180">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Lekcia z diskriminácie: Segregácia rómskych detí v základ</w:t>
      </w:r>
      <w:r w:rsidRPr="00A51BA5">
        <w:rPr>
          <w:rFonts w:ascii="Arial Narrow" w:hAnsi="Arial Narrow"/>
          <w:sz w:val="16"/>
          <w:szCs w:val="16"/>
        </w:rPr>
        <w:t>nom vzdelávaní v Slovenskej republike</w:t>
      </w:r>
      <w:r>
        <w:rPr>
          <w:rFonts w:ascii="Arial Narrow" w:hAnsi="Arial Narrow"/>
          <w:sz w:val="16"/>
          <w:szCs w:val="16"/>
        </w:rPr>
        <w:t xml:space="preserve">: </w:t>
      </w:r>
      <w:hyperlink r:id="rId4" w:history="1">
        <w:r w:rsidRPr="00AB3326">
          <w:rPr>
            <w:rStyle w:val="Hypertextovprepojenie"/>
            <w:rFonts w:ascii="Arial Narrow" w:hAnsi="Arial Narrow"/>
            <w:color w:val="2C9ADC"/>
            <w:sz w:val="16"/>
            <w:szCs w:val="16"/>
          </w:rPr>
          <w:t>http://www.errc.org/cms/upload/file/report-lesson-in-discrimination-slovak.pdf</w:t>
        </w:r>
      </w:hyperlink>
    </w:p>
  </w:footnote>
  <w:footnote w:id="28">
    <w:p w14:paraId="4FF2AFE4" w14:textId="416270D2" w:rsidR="000B5900" w:rsidRPr="00AB3326" w:rsidRDefault="000B5900" w:rsidP="00650180">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Style w:val="Odkaznapoznmkupodiarou"/>
          <w:rFonts w:ascii="Arial Narrow" w:hAnsi="Arial Narrow"/>
          <w:sz w:val="16"/>
          <w:szCs w:val="16"/>
        </w:rPr>
        <w:t xml:space="preserve"> </w:t>
      </w:r>
      <w:r w:rsidRPr="00AB3326">
        <w:rPr>
          <w:rFonts w:ascii="Arial Narrow" w:hAnsi="Arial Narrow"/>
          <w:sz w:val="16"/>
          <w:szCs w:val="16"/>
        </w:rPr>
        <w:t>Pribudla povinnosť diagnostické</w:t>
      </w:r>
      <w:r>
        <w:rPr>
          <w:rFonts w:ascii="Arial Narrow" w:hAnsi="Arial Narrow"/>
          <w:sz w:val="16"/>
          <w:szCs w:val="16"/>
        </w:rPr>
        <w:t>ho vyšetrenia Centra pedagogicko</w:t>
      </w:r>
      <w:r w:rsidRPr="00AB3326">
        <w:rPr>
          <w:rFonts w:ascii="Arial Narrow" w:hAnsi="Arial Narrow"/>
          <w:sz w:val="16"/>
          <w:szCs w:val="16"/>
        </w:rPr>
        <w:t>-psychologi</w:t>
      </w:r>
      <w:r>
        <w:rPr>
          <w:rFonts w:ascii="Arial Narrow" w:hAnsi="Arial Narrow"/>
          <w:sz w:val="16"/>
          <w:szCs w:val="16"/>
        </w:rPr>
        <w:t xml:space="preserve">ckého poradenstva a prevencie a </w:t>
      </w:r>
      <w:r w:rsidRPr="00AB3326">
        <w:rPr>
          <w:rFonts w:ascii="Arial Narrow" w:hAnsi="Arial Narrow"/>
          <w:sz w:val="16"/>
          <w:szCs w:val="16"/>
        </w:rPr>
        <w:t>jeho vyjadrenie, že žiak má špeciálne výchovno-vzdelávacie potreby vyplývajúce z jeho vývinu v sociálne znevýhodnenom prostredí.</w:t>
      </w:r>
    </w:p>
  </w:footnote>
  <w:footnote w:id="29">
    <w:p w14:paraId="2C529785" w14:textId="77777777" w:rsidR="000B5900" w:rsidRPr="00AB3326" w:rsidRDefault="000B5900" w:rsidP="00650180">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Style w:val="Odkaznapoznmkupodiarou"/>
          <w:rFonts w:ascii="Arial Narrow" w:hAnsi="Arial Narrow"/>
          <w:sz w:val="16"/>
          <w:szCs w:val="16"/>
        </w:rPr>
        <w:t xml:space="preserve"> </w:t>
      </w:r>
      <w:r w:rsidRPr="00AB3326">
        <w:rPr>
          <w:rStyle w:val="Hypertextovprepojenie"/>
          <w:rFonts w:ascii="Arial Narrow" w:hAnsi="Arial Narrow"/>
          <w:color w:val="2C9ADC"/>
          <w:sz w:val="16"/>
          <w:szCs w:val="16"/>
        </w:rPr>
        <w:t>https://www.minedu.sk/socialne-znevyhodnene-prostredie-prispevok/</w:t>
      </w:r>
    </w:p>
  </w:footnote>
  <w:footnote w:id="30">
    <w:p w14:paraId="5FC062D2" w14:textId="4394571D" w:rsidR="000B5900" w:rsidRDefault="000B5900">
      <w:pPr>
        <w:pStyle w:val="Textpoznmkypodiarou"/>
      </w:pPr>
      <w:r w:rsidRPr="00BE1798">
        <w:rPr>
          <w:rStyle w:val="Odkaznapoznmkupodiarou"/>
          <w:rFonts w:ascii="Arial Narrow" w:hAnsi="Arial Narrow"/>
          <w:sz w:val="16"/>
        </w:rPr>
        <w:footnoteRef/>
      </w:r>
      <w:r w:rsidRPr="00BE1798">
        <w:rPr>
          <w:rStyle w:val="Odkaznapoznmkupodiarou"/>
          <w:rFonts w:ascii="Arial Narrow" w:hAnsi="Arial Narrow"/>
          <w:sz w:val="16"/>
          <w:szCs w:val="16"/>
        </w:rPr>
        <w:t xml:space="preserve"> </w:t>
      </w:r>
      <w:r w:rsidR="00AE4520">
        <w:rPr>
          <w:rFonts w:ascii="Arial Narrow" w:hAnsi="Arial Narrow"/>
          <w:sz w:val="16"/>
          <w:szCs w:val="16"/>
        </w:rPr>
        <w:t>Nový n</w:t>
      </w:r>
      <w:r w:rsidRPr="00BE1798">
        <w:rPr>
          <w:rFonts w:ascii="Arial Narrow" w:hAnsi="Arial Narrow"/>
          <w:sz w:val="16"/>
          <w:szCs w:val="16"/>
        </w:rPr>
        <w:t xml:space="preserve">ázov </w:t>
      </w:r>
      <w:r>
        <w:rPr>
          <w:rFonts w:ascii="Arial Narrow" w:hAnsi="Arial Narrow"/>
          <w:sz w:val="16"/>
          <w:szCs w:val="16"/>
        </w:rPr>
        <w:t xml:space="preserve">reformovanej akreditačnej komisie bude </w:t>
      </w:r>
      <w:r w:rsidRPr="00BE1798">
        <w:rPr>
          <w:rFonts w:ascii="Arial Narrow" w:hAnsi="Arial Narrow"/>
          <w:sz w:val="16"/>
          <w:szCs w:val="16"/>
        </w:rPr>
        <w:t>Slovenská agentúra pre akreditáciu vysokého školstva</w:t>
      </w:r>
      <w:r>
        <w:rPr>
          <w:rFonts w:ascii="Arial Narrow" w:hAnsi="Arial Narrow"/>
          <w:sz w:val="16"/>
          <w:szCs w:val="16"/>
        </w:rPr>
        <w:t>.</w:t>
      </w:r>
    </w:p>
  </w:footnote>
  <w:footnote w:id="31">
    <w:p w14:paraId="4DCA7251" w14:textId="371E8DC6" w:rsidR="000B5900" w:rsidRPr="00E24676" w:rsidRDefault="000B5900" w:rsidP="005D0CF6">
      <w:pPr>
        <w:pStyle w:val="Textpoznmkypodiarou"/>
        <w:jc w:val="both"/>
        <w:rPr>
          <w:rFonts w:ascii="Arial Narrow" w:hAnsi="Arial Narrow"/>
        </w:rPr>
      </w:pPr>
      <w:r w:rsidRPr="00AB3326">
        <w:rPr>
          <w:rFonts w:ascii="Arial Narrow" w:hAnsi="Arial Narrow"/>
          <w:sz w:val="16"/>
          <w:szCs w:val="16"/>
          <w:vertAlign w:val="superscript"/>
        </w:rPr>
        <w:footnoteRef/>
      </w:r>
      <w:r>
        <w:rPr>
          <w:rFonts w:ascii="Arial Narrow" w:hAnsi="Arial Narrow"/>
          <w:sz w:val="16"/>
          <w:szCs w:val="16"/>
        </w:rPr>
        <w:t xml:space="preserve"> </w:t>
      </w:r>
      <w:r w:rsidRPr="00AB3326">
        <w:rPr>
          <w:rFonts w:ascii="Arial Narrow" w:hAnsi="Arial Narrow"/>
          <w:sz w:val="16"/>
          <w:szCs w:val="16"/>
        </w:rPr>
        <w:t>S možnosťou ukončenia projektov do roku 2015.</w:t>
      </w:r>
    </w:p>
  </w:footnote>
  <w:footnote w:id="32">
    <w:p w14:paraId="322E8CA3" w14:textId="13BAB9F6" w:rsidR="000B5900" w:rsidRPr="000C091F" w:rsidRDefault="000B5900">
      <w:pPr>
        <w:pStyle w:val="Textpoznmkypodiarou"/>
        <w:rPr>
          <w:rFonts w:ascii="Arial Narrow" w:hAnsi="Arial Narrow"/>
          <w:sz w:val="16"/>
          <w:szCs w:val="16"/>
        </w:rPr>
      </w:pPr>
      <w:r w:rsidRPr="000C091F">
        <w:rPr>
          <w:rStyle w:val="Odkaznapoznmkupodiarou"/>
          <w:rFonts w:ascii="Arial Narrow" w:hAnsi="Arial Narrow"/>
          <w:sz w:val="16"/>
          <w:szCs w:val="16"/>
        </w:rPr>
        <w:footnoteRef/>
      </w:r>
      <w:r w:rsidRPr="000C091F">
        <w:rPr>
          <w:rFonts w:ascii="Arial Narrow" w:hAnsi="Arial Narrow"/>
          <w:sz w:val="16"/>
          <w:szCs w:val="16"/>
        </w:rPr>
        <w:t xml:space="preserve"> Podľa konceptu národných účtov (ESA).</w:t>
      </w:r>
    </w:p>
  </w:footnote>
  <w:footnote w:id="33">
    <w:p w14:paraId="16110F11" w14:textId="07A1020C" w:rsidR="000B5900" w:rsidRPr="00B269DD" w:rsidRDefault="000B5900" w:rsidP="000124C7">
      <w:pPr>
        <w:pStyle w:val="Textpoznmkypodiarou"/>
        <w:rPr>
          <w:rFonts w:ascii="Arial Narrow" w:hAnsi="Arial Narrow"/>
          <w:color w:val="2C9ADC"/>
          <w:sz w:val="16"/>
          <w:szCs w:val="16"/>
        </w:rPr>
      </w:pPr>
      <w:r w:rsidRPr="00AB3326">
        <w:rPr>
          <w:rStyle w:val="Odkaznapoznmkupodiarou"/>
          <w:rFonts w:ascii="Arial Narrow" w:hAnsi="Arial Narrow"/>
          <w:color w:val="000000" w:themeColor="text1"/>
          <w:sz w:val="16"/>
          <w:szCs w:val="16"/>
        </w:rPr>
        <w:footnoteRef/>
      </w:r>
      <w:r w:rsidRPr="00AB3326">
        <w:rPr>
          <w:rFonts w:ascii="Arial Narrow" w:hAnsi="Arial Narrow"/>
          <w:color w:val="000000" w:themeColor="text1"/>
          <w:sz w:val="16"/>
          <w:szCs w:val="16"/>
        </w:rPr>
        <w:t xml:space="preserve"> </w:t>
      </w:r>
      <w:hyperlink r:id="rId5" w:history="1">
        <w:r w:rsidRPr="00B269DD">
          <w:rPr>
            <w:rStyle w:val="Hypertextovprepojenie"/>
            <w:rFonts w:ascii="Arial Narrow" w:hAnsi="Arial Narrow"/>
            <w:color w:val="2C9ADC"/>
            <w:sz w:val="16"/>
            <w:szCs w:val="16"/>
          </w:rPr>
          <w:t>UNDP-WB-European Commission regional Roma survey 2011</w:t>
        </w:r>
      </w:hyperlink>
    </w:p>
  </w:footnote>
  <w:footnote w:id="34">
    <w:p w14:paraId="0ED88DF0" w14:textId="373C4BA3" w:rsidR="000B5900" w:rsidRPr="00AB3326" w:rsidRDefault="000B5900">
      <w:pPr>
        <w:pStyle w:val="Textpoznmkypodiarou"/>
        <w:rPr>
          <w:rFonts w:ascii="Arial Narrow" w:hAnsi="Arial Narrow"/>
          <w:sz w:val="16"/>
          <w:szCs w:val="16"/>
        </w:rPr>
      </w:pPr>
      <w:r w:rsidRPr="00B269DD">
        <w:rPr>
          <w:rStyle w:val="Odkaznapoznmkupodiarou"/>
          <w:rFonts w:ascii="Arial Narrow" w:hAnsi="Arial Narrow"/>
          <w:color w:val="2C9ADC"/>
          <w:sz w:val="16"/>
          <w:szCs w:val="16"/>
        </w:rPr>
        <w:footnoteRef/>
      </w:r>
      <w:r w:rsidRPr="00B269DD">
        <w:rPr>
          <w:rFonts w:ascii="Arial Narrow" w:hAnsi="Arial Narrow"/>
          <w:color w:val="2C9ADC"/>
          <w:sz w:val="16"/>
          <w:szCs w:val="16"/>
        </w:rPr>
        <w:t xml:space="preserve"> </w:t>
      </w:r>
      <w:hyperlink r:id="rId6" w:history="1">
        <w:r w:rsidRPr="00B269DD">
          <w:rPr>
            <w:rStyle w:val="Hypertextovprepojenie"/>
            <w:rFonts w:ascii="Arial Narrow" w:hAnsi="Arial Narrow"/>
            <w:color w:val="2C9ADC"/>
            <w:sz w:val="16"/>
            <w:szCs w:val="16"/>
          </w:rPr>
          <w:t>Konjunkturálny prieskum v priemysle</w:t>
        </w:r>
      </w:hyperlink>
      <w:r w:rsidRPr="00B269DD">
        <w:rPr>
          <w:rStyle w:val="Hypertextovprepojenie"/>
          <w:rFonts w:ascii="Arial Narrow" w:hAnsi="Arial Narrow"/>
          <w:color w:val="2C9ADC"/>
          <w:sz w:val="16"/>
          <w:szCs w:val="16"/>
        </w:rPr>
        <w:t xml:space="preserve"> (ŠÚ SR, február 2017)</w:t>
      </w:r>
    </w:p>
  </w:footnote>
  <w:footnote w:id="35">
    <w:p w14:paraId="11CEB184" w14:textId="4621BDD4" w:rsidR="000B5900" w:rsidRPr="00190C85" w:rsidRDefault="000B5900" w:rsidP="002F43D4">
      <w:pPr>
        <w:pStyle w:val="Textpoznmkypodiarou"/>
        <w:jc w:val="both"/>
        <w:rPr>
          <w:rFonts w:ascii="Arial Narrow" w:hAnsi="Arial Narrow"/>
          <w:sz w:val="16"/>
          <w:szCs w:val="16"/>
        </w:rPr>
      </w:pPr>
      <w:r w:rsidRPr="00190C85">
        <w:rPr>
          <w:rStyle w:val="Odkaznapoznmkupodiarou"/>
          <w:rFonts w:ascii="Arial Narrow" w:hAnsi="Arial Narrow"/>
          <w:color w:val="000000" w:themeColor="text1"/>
          <w:sz w:val="16"/>
          <w:szCs w:val="16"/>
        </w:rPr>
        <w:footnoteRef/>
      </w:r>
      <w:r w:rsidRPr="00190C85">
        <w:rPr>
          <w:rFonts w:ascii="Arial Narrow" w:hAnsi="Arial Narrow"/>
          <w:color w:val="000000" w:themeColor="text1"/>
          <w:sz w:val="16"/>
          <w:szCs w:val="16"/>
        </w:rPr>
        <w:t xml:space="preserve"> Hodnota platí pre jednoduchý </w:t>
      </w:r>
      <w:r>
        <w:rPr>
          <w:rFonts w:ascii="Arial Narrow" w:hAnsi="Arial Narrow"/>
          <w:color w:val="000000" w:themeColor="text1"/>
          <w:sz w:val="16"/>
          <w:szCs w:val="16"/>
        </w:rPr>
        <w:t xml:space="preserve">aritmetický </w:t>
      </w:r>
      <w:r w:rsidRPr="00190C85">
        <w:rPr>
          <w:rFonts w:ascii="Arial Narrow" w:hAnsi="Arial Narrow"/>
          <w:color w:val="000000" w:themeColor="text1"/>
          <w:sz w:val="16"/>
          <w:szCs w:val="16"/>
        </w:rPr>
        <w:t xml:space="preserve">priemer krajín EÚ. </w:t>
      </w:r>
      <w:r>
        <w:rPr>
          <w:rFonts w:ascii="Arial Narrow" w:hAnsi="Arial Narrow"/>
          <w:color w:val="000000" w:themeColor="text1"/>
          <w:sz w:val="16"/>
          <w:szCs w:val="16"/>
        </w:rPr>
        <w:t>V</w:t>
      </w:r>
      <w:r w:rsidRPr="00190C85">
        <w:rPr>
          <w:rFonts w:ascii="Arial Narrow" w:hAnsi="Arial Narrow"/>
          <w:color w:val="000000" w:themeColor="text1"/>
          <w:sz w:val="16"/>
          <w:szCs w:val="16"/>
        </w:rPr>
        <w:t>ážený priemer</w:t>
      </w:r>
      <w:r>
        <w:rPr>
          <w:rFonts w:ascii="Arial Narrow" w:hAnsi="Arial Narrow"/>
          <w:color w:val="000000" w:themeColor="text1"/>
          <w:sz w:val="16"/>
          <w:szCs w:val="16"/>
        </w:rPr>
        <w:t xml:space="preserve"> ukazovateľa pre </w:t>
      </w:r>
      <w:r w:rsidRPr="00190C85">
        <w:rPr>
          <w:rFonts w:ascii="Arial Narrow" w:hAnsi="Arial Narrow"/>
          <w:color w:val="000000" w:themeColor="text1"/>
          <w:sz w:val="16"/>
          <w:szCs w:val="16"/>
        </w:rPr>
        <w:t>EÚ</w:t>
      </w:r>
      <w:r>
        <w:rPr>
          <w:rFonts w:ascii="Arial Narrow" w:hAnsi="Arial Narrow"/>
          <w:color w:val="000000" w:themeColor="text1"/>
          <w:sz w:val="16"/>
          <w:szCs w:val="16"/>
        </w:rPr>
        <w:t xml:space="preserve"> dosahuje 46,9 %</w:t>
      </w:r>
      <w:r w:rsidRPr="00190C85">
        <w:rPr>
          <w:rFonts w:ascii="Arial Narrow" w:hAnsi="Arial Narrow"/>
          <w:color w:val="000000" w:themeColor="text1"/>
          <w:sz w:val="16"/>
          <w:szCs w:val="16"/>
        </w:rPr>
        <w:t>.</w:t>
      </w:r>
    </w:p>
  </w:footnote>
  <w:footnote w:id="36">
    <w:p w14:paraId="142373DE" w14:textId="16321E78" w:rsidR="000B5900" w:rsidRPr="00AB3326" w:rsidRDefault="000B5900">
      <w:pPr>
        <w:pStyle w:val="Textpoznmkypodiarou"/>
        <w:rPr>
          <w:rFonts w:ascii="Arial Narrow" w:hAnsi="Arial Narrow"/>
          <w:color w:val="000000" w:themeColor="text1"/>
          <w:sz w:val="16"/>
          <w:szCs w:val="16"/>
        </w:rPr>
      </w:pPr>
      <w:r w:rsidRPr="00B269DD">
        <w:rPr>
          <w:rStyle w:val="Odkaznapoznmkupodiarou"/>
          <w:rFonts w:ascii="Arial Narrow" w:hAnsi="Arial Narrow"/>
          <w:sz w:val="16"/>
          <w:szCs w:val="16"/>
        </w:rPr>
        <w:footnoteRef/>
      </w:r>
      <w:r w:rsidRPr="00B269DD">
        <w:rPr>
          <w:rFonts w:ascii="Arial Narrow" w:hAnsi="Arial Narrow"/>
          <w:sz w:val="16"/>
          <w:szCs w:val="16"/>
        </w:rPr>
        <w:t xml:space="preserve"> </w:t>
      </w:r>
      <w:hyperlink r:id="rId7" w:history="1">
        <w:r w:rsidRPr="00B269DD">
          <w:rPr>
            <w:rStyle w:val="Hypertextovprepojenie"/>
            <w:rFonts w:ascii="Arial Narrow" w:hAnsi="Arial Narrow"/>
            <w:color w:val="2C9ADC"/>
            <w:sz w:val="16"/>
            <w:szCs w:val="16"/>
          </w:rPr>
          <w:t>OECD Pensions at a Glance</w:t>
        </w:r>
      </w:hyperlink>
      <w:r w:rsidRPr="00B269DD">
        <w:rPr>
          <w:rFonts w:ascii="Arial Narrow" w:hAnsi="Arial Narrow"/>
          <w:color w:val="2C9ADC"/>
          <w:sz w:val="16"/>
          <w:szCs w:val="16"/>
        </w:rPr>
        <w:t xml:space="preserve"> </w:t>
      </w:r>
      <w:r w:rsidRPr="00B269DD">
        <w:rPr>
          <w:rFonts w:ascii="Arial Narrow" w:hAnsi="Arial Narrow"/>
          <w:color w:val="000000" w:themeColor="text1"/>
          <w:sz w:val="16"/>
          <w:szCs w:val="16"/>
        </w:rPr>
        <w:t xml:space="preserve">(zdrojové údaje </w:t>
      </w:r>
      <w:hyperlink r:id="rId8" w:history="1">
        <w:r w:rsidRPr="00B269DD">
          <w:rPr>
            <w:rStyle w:val="Hypertextovprepojenie"/>
            <w:rFonts w:ascii="Arial Narrow" w:hAnsi="Arial Narrow"/>
            <w:color w:val="2C9ADC"/>
            <w:sz w:val="16"/>
            <w:szCs w:val="16"/>
          </w:rPr>
          <w:t>OECD</w:t>
        </w:r>
      </w:hyperlink>
      <w:r w:rsidRPr="00B269DD">
        <w:rPr>
          <w:rFonts w:ascii="Arial Narrow" w:hAnsi="Arial Narrow"/>
          <w:color w:val="000000" w:themeColor="text1"/>
          <w:sz w:val="16"/>
          <w:szCs w:val="16"/>
        </w:rPr>
        <w:t>).</w:t>
      </w:r>
    </w:p>
  </w:footnote>
  <w:footnote w:id="37">
    <w:p w14:paraId="0B749C76" w14:textId="5421614C" w:rsidR="000B5900" w:rsidRPr="00AB3326" w:rsidRDefault="000B5900" w:rsidP="00407492">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r>
        <w:rPr>
          <w:rFonts w:ascii="Arial Narrow" w:hAnsi="Arial Narrow"/>
          <w:sz w:val="16"/>
          <w:szCs w:val="16"/>
        </w:rPr>
        <w:t xml:space="preserve">OP: </w:t>
      </w:r>
      <w:r w:rsidRPr="00AB3326">
        <w:rPr>
          <w:rFonts w:ascii="Arial Narrow" w:hAnsi="Arial Narrow"/>
          <w:sz w:val="16"/>
          <w:szCs w:val="16"/>
        </w:rPr>
        <w:t xml:space="preserve">Integrovaný </w:t>
      </w:r>
      <w:r w:rsidRPr="00AB3326">
        <w:rPr>
          <w:rFonts w:ascii="Arial Narrow" w:hAnsi="Arial Narrow" w:cs="Arial Narrow"/>
          <w:color w:val="000000"/>
          <w:sz w:val="16"/>
          <w:szCs w:val="16"/>
        </w:rPr>
        <w:t xml:space="preserve">regionálny </w:t>
      </w:r>
      <w:r>
        <w:rPr>
          <w:rFonts w:ascii="Arial Narrow" w:hAnsi="Arial Narrow" w:cs="Arial Narrow"/>
          <w:color w:val="000000"/>
          <w:sz w:val="16"/>
          <w:szCs w:val="16"/>
        </w:rPr>
        <w:t xml:space="preserve">operačný program </w:t>
      </w:r>
      <w:r w:rsidRPr="00AB3326">
        <w:rPr>
          <w:rFonts w:ascii="Arial Narrow" w:hAnsi="Arial Narrow" w:cs="Arial Narrow"/>
          <w:color w:val="000000"/>
          <w:sz w:val="16"/>
          <w:szCs w:val="16"/>
        </w:rPr>
        <w:t>a</w:t>
      </w:r>
      <w:r>
        <w:rPr>
          <w:rFonts w:ascii="Arial Narrow" w:hAnsi="Arial Narrow" w:cs="Arial Narrow"/>
          <w:color w:val="000000"/>
          <w:sz w:val="16"/>
          <w:szCs w:val="16"/>
        </w:rPr>
        <w:t xml:space="preserve"> </w:t>
      </w:r>
      <w:r w:rsidRPr="00AB3326">
        <w:rPr>
          <w:rFonts w:ascii="Arial Narrow" w:hAnsi="Arial Narrow" w:cs="Arial Narrow"/>
          <w:color w:val="000000"/>
          <w:sz w:val="16"/>
          <w:szCs w:val="16"/>
        </w:rPr>
        <w:t>Ľudské zdroje.</w:t>
      </w:r>
      <w:r w:rsidRPr="00AB3326">
        <w:rPr>
          <w:rFonts w:ascii="Arial Narrow" w:hAnsi="Arial Narrow"/>
          <w:sz w:val="16"/>
          <w:szCs w:val="16"/>
        </w:rPr>
        <w:t xml:space="preserve"> </w:t>
      </w:r>
    </w:p>
  </w:footnote>
  <w:footnote w:id="38">
    <w:p w14:paraId="41415226" w14:textId="70B2E6E3" w:rsidR="000B5900" w:rsidRPr="00AB3326" w:rsidRDefault="000B5900" w:rsidP="00F21A7E">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Návrh zákona, ktorým sa mení a dopĺňa zákon č. 448/2008 Z. z. o sociálnych službách a o zmene a doplnení zákona č. 455/1991 Zb. o živnostenskom podnikaní.</w:t>
      </w:r>
    </w:p>
  </w:footnote>
  <w:footnote w:id="39">
    <w:p w14:paraId="46E290CE" w14:textId="4F9A51AA" w:rsidR="000B5900" w:rsidRPr="00AB3326" w:rsidRDefault="000B5900" w:rsidP="00F21A7E">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Upravené zákonom č. 447/</w:t>
      </w:r>
      <w:r>
        <w:rPr>
          <w:rFonts w:ascii="Arial Narrow" w:hAnsi="Arial Narrow"/>
          <w:sz w:val="16"/>
          <w:szCs w:val="16"/>
        </w:rPr>
        <w:t xml:space="preserve">2008 Z. </w:t>
      </w:r>
      <w:r w:rsidRPr="00AB3326">
        <w:rPr>
          <w:rFonts w:ascii="Arial Narrow" w:hAnsi="Arial Narrow"/>
          <w:sz w:val="16"/>
          <w:szCs w:val="16"/>
        </w:rPr>
        <w:t>z. o peňažných príspevkoch na kompenzáciu ťažkého zdravotného postihnutia.</w:t>
      </w:r>
    </w:p>
  </w:footnote>
  <w:footnote w:id="40">
    <w:p w14:paraId="0D8EFAA2" w14:textId="77777777" w:rsidR="000B5900" w:rsidRPr="00F854A1" w:rsidRDefault="000B5900" w:rsidP="005C1A3D">
      <w:pPr>
        <w:pStyle w:val="Textpoznmkypodiarou"/>
        <w:rPr>
          <w:rFonts w:ascii="Arial Narrow" w:hAnsi="Arial Narrow"/>
          <w:sz w:val="16"/>
          <w:szCs w:val="16"/>
        </w:rPr>
      </w:pPr>
      <w:r w:rsidRPr="00F854A1">
        <w:rPr>
          <w:rStyle w:val="Odkaznapoznmkupodiarou"/>
          <w:rFonts w:ascii="Arial Narrow" w:hAnsi="Arial Narrow"/>
          <w:sz w:val="16"/>
          <w:szCs w:val="16"/>
        </w:rPr>
        <w:footnoteRef/>
      </w:r>
      <w:r w:rsidRPr="00F854A1">
        <w:rPr>
          <w:rFonts w:ascii="Arial Narrow" w:hAnsi="Arial Narrow"/>
          <w:sz w:val="16"/>
          <w:szCs w:val="16"/>
        </w:rPr>
        <w:t xml:space="preserve"> V</w:t>
      </w:r>
      <w:r>
        <w:rPr>
          <w:rFonts w:ascii="Arial Narrow" w:hAnsi="Arial Narrow"/>
          <w:sz w:val="16"/>
          <w:szCs w:val="16"/>
        </w:rPr>
        <w:t xml:space="preserve"> roku 2016 MV SR podpísalo z</w:t>
      </w:r>
      <w:r w:rsidRPr="00F854A1">
        <w:rPr>
          <w:rFonts w:ascii="Arial Narrow" w:hAnsi="Arial Narrow"/>
          <w:sz w:val="16"/>
          <w:szCs w:val="16"/>
        </w:rPr>
        <w:t>mluvu o financovaní so Slovenskou záručnou rozvojovou bankou Asset Management a Slovenským investičným fondom</w:t>
      </w:r>
      <w:r>
        <w:rPr>
          <w:rFonts w:ascii="Arial Narrow" w:hAnsi="Arial Narrow"/>
          <w:sz w:val="16"/>
          <w:szCs w:val="16"/>
        </w:rPr>
        <w:t xml:space="preserve"> s finančnou </w:t>
      </w:r>
      <w:r w:rsidRPr="005C1A3D">
        <w:rPr>
          <w:rFonts w:ascii="Arial Narrow" w:hAnsi="Arial Narrow"/>
          <w:sz w:val="16"/>
          <w:szCs w:val="16"/>
        </w:rPr>
        <w:t>alokácia 11,5 mil. eur zo zdrojov EÚ</w:t>
      </w:r>
      <w:r>
        <w:rPr>
          <w:rFonts w:ascii="Arial Narrow" w:hAnsi="Arial Narrow"/>
          <w:sz w:val="16"/>
          <w:szCs w:val="16"/>
        </w:rPr>
        <w:t xml:space="preserve"> </w:t>
      </w:r>
    </w:p>
  </w:footnote>
  <w:footnote w:id="41">
    <w:p w14:paraId="3F12D5E5" w14:textId="543D9E62" w:rsidR="000B5900" w:rsidRPr="00AB3326" w:rsidRDefault="000B5900" w:rsidP="006A6284">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r w:rsidRPr="00AB3326">
        <w:rPr>
          <w:rFonts w:ascii="Arial Narrow" w:eastAsia="Times New Roman" w:hAnsi="Arial Narrow" w:cs="Times New Roman"/>
          <w:bCs/>
          <w:color w:val="000000"/>
          <w:sz w:val="16"/>
          <w:szCs w:val="16"/>
          <w:lang w:eastAsia="sk-SK"/>
        </w:rPr>
        <w:t>Do roku 2015 výdavky na železničnú osobnú dopravu zahŕňajú len prostriedky MDV SR na základe Zmluvy o dopravných službách vo verejnom záujme a na základe zmlúv o nenávratnom finančnom príspevku z</w:t>
      </w:r>
      <w:r>
        <w:rPr>
          <w:rFonts w:ascii="Arial Narrow" w:eastAsia="Times New Roman" w:hAnsi="Arial Narrow" w:cs="Times New Roman"/>
          <w:bCs/>
          <w:color w:val="000000"/>
          <w:sz w:val="16"/>
          <w:szCs w:val="16"/>
          <w:lang w:eastAsia="sk-SK"/>
        </w:rPr>
        <w:t xml:space="preserve"> OP </w:t>
      </w:r>
      <w:r w:rsidRPr="00AB3326">
        <w:rPr>
          <w:rFonts w:ascii="Arial Narrow" w:eastAsia="Times New Roman" w:hAnsi="Arial Narrow" w:cs="Times New Roman"/>
          <w:bCs/>
          <w:color w:val="000000"/>
          <w:sz w:val="16"/>
          <w:szCs w:val="16"/>
          <w:lang w:eastAsia="sk-SK"/>
        </w:rPr>
        <w:t>Doprava. Od roku 2016 bola ZSSK zaradená Eurostatom do sektora verejnej správy. Skutočnosť za rok 2016 a návrh rozpočtu na roky 2017 až 2019 preto zahŕňajú všetky výdavky na železničnú osobnú dopravu ZSSK (bez výdavkov na splácanie istín úverov – kategória 820).</w:t>
      </w:r>
    </w:p>
  </w:footnote>
  <w:footnote w:id="42">
    <w:p w14:paraId="7A51632A" w14:textId="77777777" w:rsidR="000B5900" w:rsidRPr="00A5414D" w:rsidRDefault="000B5900" w:rsidP="001E7F07">
      <w:pPr>
        <w:pStyle w:val="Textpoznmkypodiarou"/>
        <w:rPr>
          <w:rFonts w:ascii="Arial Narrow" w:hAnsi="Arial Narrow"/>
          <w:sz w:val="16"/>
          <w:szCs w:val="16"/>
        </w:rPr>
      </w:pPr>
      <w:r w:rsidRPr="00A5414D">
        <w:rPr>
          <w:rFonts w:ascii="Arial Narrow" w:hAnsi="Arial Narrow"/>
          <w:sz w:val="16"/>
          <w:szCs w:val="16"/>
          <w:vertAlign w:val="superscript"/>
        </w:rPr>
        <w:footnoteRef/>
      </w:r>
      <w:r w:rsidRPr="00A5414D">
        <w:rPr>
          <w:rFonts w:ascii="Arial Narrow" w:hAnsi="Arial Narrow"/>
          <w:sz w:val="16"/>
          <w:szCs w:val="16"/>
        </w:rPr>
        <w:t xml:space="preserve"> Kapitálové výdavky zahŕňajú výkup pozemkov a tvorbu hrubého fixného kapitálu (investície). </w:t>
      </w:r>
    </w:p>
  </w:footnote>
  <w:footnote w:id="43">
    <w:p w14:paraId="72DDED3B" w14:textId="77777777" w:rsidR="000B5900" w:rsidRPr="00A51BA5" w:rsidRDefault="000B5900" w:rsidP="006648AB">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51BA5">
        <w:rPr>
          <w:rStyle w:val="Odkaznapoznmkupodiarou"/>
          <w:rFonts w:ascii="Arial Narrow" w:hAnsi="Arial Narrow"/>
          <w:sz w:val="16"/>
          <w:szCs w:val="16"/>
        </w:rPr>
        <w:t xml:space="preserve"> </w:t>
      </w:r>
      <w:r w:rsidRPr="00A51BA5">
        <w:rPr>
          <w:rFonts w:ascii="Arial Narrow" w:hAnsi="Arial Narrow"/>
          <w:sz w:val="16"/>
          <w:szCs w:val="16"/>
        </w:rPr>
        <w:t>MDV SR a ŽSR a upresní odhad úspory 6 mil. eur ročne s potenciálnymi jednorazovými nákladmi vo výške maximálne 70 mil. eur.</w:t>
      </w:r>
    </w:p>
  </w:footnote>
  <w:footnote w:id="44">
    <w:p w14:paraId="7B35D354" w14:textId="77777777" w:rsidR="000B5900" w:rsidRPr="00AB3326" w:rsidRDefault="000B5900" w:rsidP="006648AB">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Prepočítané kurzom NBS aktuálnym k 1.1.2014.</w:t>
      </w:r>
    </w:p>
  </w:footnote>
  <w:footnote w:id="45">
    <w:p w14:paraId="2A4FF818" w14:textId="77777777" w:rsidR="000B5900" w:rsidRPr="00AB3326" w:rsidRDefault="000B5900" w:rsidP="006648AB">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Český dopravca využíva vozidlá viac (relatívne ku dĺžke tratí jazdí viac vlakov), sledujú sa náklady a nielen vlakové kilometre.</w:t>
      </w:r>
    </w:p>
  </w:footnote>
  <w:footnote w:id="46">
    <w:p w14:paraId="33AFB0B8" w14:textId="58034430" w:rsidR="000B5900" w:rsidRPr="00E24676" w:rsidRDefault="000B5900" w:rsidP="00A65ACE">
      <w:pPr>
        <w:pStyle w:val="Textpoznmkypodiarou"/>
        <w:jc w:val="both"/>
        <w:rPr>
          <w:rStyle w:val="Odkaznapoznmkupodiarou"/>
          <w:rFonts w:ascii="Arial Narrow" w:hAnsi="Arial Narrow"/>
          <w:sz w:val="16"/>
          <w:szCs w:val="16"/>
        </w:rPr>
      </w:pPr>
      <w:r w:rsidRPr="00AB3326">
        <w:rPr>
          <w:rStyle w:val="Odkaznapoznmkupodiarou"/>
          <w:rFonts w:ascii="Arial Narrow" w:hAnsi="Arial Narrow"/>
          <w:sz w:val="16"/>
          <w:szCs w:val="16"/>
        </w:rPr>
        <w:footnoteRef/>
      </w:r>
      <w:r w:rsidRPr="00AB3326">
        <w:rPr>
          <w:rStyle w:val="Odkaznapoznmkupodiarou"/>
          <w:rFonts w:ascii="Arial Narrow" w:hAnsi="Arial Narrow"/>
          <w:sz w:val="16"/>
          <w:szCs w:val="16"/>
        </w:rPr>
        <w:t xml:space="preserve"> </w:t>
      </w:r>
      <w:r w:rsidRPr="00AB3326">
        <w:rPr>
          <w:rFonts w:ascii="Arial Narrow" w:hAnsi="Arial Narrow"/>
          <w:sz w:val="16"/>
          <w:szCs w:val="16"/>
        </w:rPr>
        <w:t xml:space="preserve"> Počet kalendárnych dní od momenu podania žaloby  na súd až po zaplatenie pohľadávky. </w:t>
      </w:r>
    </w:p>
  </w:footnote>
  <w:footnote w:id="47">
    <w:p w14:paraId="465E2138" w14:textId="73FFF574" w:rsidR="000B5900" w:rsidRPr="00AB3326" w:rsidRDefault="000B5900" w:rsidP="00A65ACE">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Počet kalendárnych dní pokým veriteľ vymôže svoj dlh.</w:t>
      </w:r>
      <w:r w:rsidRPr="00AB3326">
        <w:rPr>
          <w:rFonts w:ascii="Arial Narrow" w:eastAsia="Times New Roman" w:hAnsi="Arial Narrow" w:cs="Arial"/>
          <w:color w:val="000000"/>
          <w:sz w:val="16"/>
          <w:szCs w:val="16"/>
          <w:shd w:val="clear" w:color="auto" w:fill="FFFFFF"/>
          <w:lang w:eastAsia="sk-SK"/>
        </w:rPr>
        <w:t xml:space="preserve"> </w:t>
      </w:r>
      <w:r w:rsidRPr="00AB3326">
        <w:rPr>
          <w:rFonts w:ascii="Arial Narrow" w:hAnsi="Arial Narrow"/>
          <w:sz w:val="16"/>
          <w:szCs w:val="16"/>
        </w:rPr>
        <w:t>Možné „taktiky zdržiavania " zo strany dlžníkov ako napr. odvolania, či žiadosti o predĺženie sú pri výpočte brané do úvahy.</w:t>
      </w:r>
    </w:p>
  </w:footnote>
  <w:footnote w:id="48">
    <w:p w14:paraId="698090A0" w14:textId="77777777" w:rsidR="000B5900" w:rsidRPr="00AB3326" w:rsidRDefault="000B5900" w:rsidP="00E56EAF">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Celé porovnanie sa týka súdov 1. stupňa. </w:t>
      </w:r>
    </w:p>
  </w:footnote>
  <w:footnote w:id="49">
    <w:p w14:paraId="03F0D7C9" w14:textId="2EBE386E" w:rsidR="000B5900" w:rsidRPr="00AB3326" w:rsidRDefault="000B5900" w:rsidP="007861FA">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Výpočet miery vybavenosti konaní a dĺžky konaní pre Slovensko odráža inú metodiku výpočtu akú používajú osta</w:t>
      </w:r>
      <w:r>
        <w:rPr>
          <w:rFonts w:ascii="Arial Narrow" w:hAnsi="Arial Narrow"/>
          <w:sz w:val="16"/>
          <w:szCs w:val="16"/>
        </w:rPr>
        <w:t xml:space="preserve">tné štáty, ktoré sleduje CEPEJ. </w:t>
      </w:r>
      <w:r w:rsidRPr="00AB3326">
        <w:rPr>
          <w:rFonts w:ascii="Arial Narrow" w:hAnsi="Arial Narrow"/>
          <w:sz w:val="16"/>
          <w:szCs w:val="16"/>
        </w:rPr>
        <w:t>Slovenská štatistika vybavených veci započítava až tie veci</w:t>
      </w:r>
      <w:r>
        <w:rPr>
          <w:rFonts w:ascii="Arial Narrow" w:hAnsi="Arial Narrow"/>
          <w:sz w:val="16"/>
          <w:szCs w:val="16"/>
        </w:rPr>
        <w:t xml:space="preserve">, ktoré sú definitívne vybavené – </w:t>
      </w:r>
      <w:r w:rsidRPr="00AB3326">
        <w:rPr>
          <w:rFonts w:ascii="Arial Narrow" w:hAnsi="Arial Narrow"/>
          <w:sz w:val="16"/>
          <w:szCs w:val="16"/>
        </w:rPr>
        <w:t>ak došlo k odvolaniu a potom sa rozhodlo vo veci alebo sa vec vrátila na pôvodný 1. stupňový súd a vo veci sa definitívne rozhodlo po opätovnom pojednávaní.</w:t>
      </w:r>
      <w:r>
        <w:rPr>
          <w:rFonts w:ascii="Arial Narrow" w:hAnsi="Arial Narrow"/>
          <w:sz w:val="16"/>
          <w:szCs w:val="16"/>
        </w:rPr>
        <w:t xml:space="preserve"> Ostatné krajiny </w:t>
      </w:r>
      <w:r w:rsidRPr="00AB3326">
        <w:rPr>
          <w:rFonts w:ascii="Arial Narrow" w:hAnsi="Arial Narrow"/>
          <w:sz w:val="16"/>
          <w:szCs w:val="16"/>
        </w:rPr>
        <w:t xml:space="preserve">započítavajú medzi vybavené veci všetky veci, ktoré súdnym rozhodnutím odídu z 1. stupňového súdu bez ohľadu na to, či sa rozhodnutie v danej veci zmenilo na inom súde. </w:t>
      </w:r>
    </w:p>
  </w:footnote>
  <w:footnote w:id="50">
    <w:p w14:paraId="1236E2C6" w14:textId="5287B2F9" w:rsidR="000B5900" w:rsidRPr="00AB3326" w:rsidRDefault="000B5900" w:rsidP="00107523">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hyperlink r:id="rId9" w:history="1">
        <w:r w:rsidRPr="00AB3326">
          <w:rPr>
            <w:rStyle w:val="Hypertextovprepojenie"/>
            <w:rFonts w:ascii="Arial Narrow" w:hAnsi="Arial Narrow"/>
            <w:color w:val="2C9ADC"/>
            <w:sz w:val="16"/>
            <w:szCs w:val="16"/>
          </w:rPr>
          <w:t>International Monetary Fund (2016): Corruption: Costs and Minitigating Strategies</w:t>
        </w:r>
      </w:hyperlink>
      <w:r w:rsidRPr="00056629">
        <w:rPr>
          <w:rStyle w:val="Hypertextovprepojenie"/>
          <w:rFonts w:ascii="Arial Narrow" w:hAnsi="Arial Narrow"/>
          <w:color w:val="000000" w:themeColor="text1"/>
          <w:sz w:val="16"/>
          <w:szCs w:val="16"/>
          <w:u w:val="none"/>
        </w:rPr>
        <w:t>.</w:t>
      </w:r>
    </w:p>
  </w:footnote>
  <w:footnote w:id="51">
    <w:p w14:paraId="3B86C8FD" w14:textId="4D1185E3" w:rsidR="000B5900" w:rsidRPr="00B12A26" w:rsidRDefault="000B5900">
      <w:pPr>
        <w:pStyle w:val="Textpoznmkypodiarou"/>
        <w:rPr>
          <w:rFonts w:ascii="Arial Narrow" w:hAnsi="Arial Narrow"/>
          <w:sz w:val="16"/>
          <w:szCs w:val="16"/>
        </w:rPr>
      </w:pPr>
      <w:r w:rsidRPr="00392EBF">
        <w:rPr>
          <w:rStyle w:val="Odkaznapoznmkupodiarou"/>
          <w:rFonts w:ascii="Arial Narrow" w:hAnsi="Arial Narrow"/>
          <w:sz w:val="16"/>
          <w:szCs w:val="16"/>
        </w:rPr>
        <w:footnoteRef/>
      </w:r>
      <w:r w:rsidRPr="00392EBF">
        <w:rPr>
          <w:rFonts w:ascii="Arial Narrow" w:hAnsi="Arial Narrow"/>
          <w:sz w:val="16"/>
          <w:szCs w:val="16"/>
        </w:rPr>
        <w:t xml:space="preserve"> Výkon správy zahŕňa najmä činnosť starostov, hlavných kontrolórov a poslancov obcí a miest.</w:t>
      </w:r>
    </w:p>
  </w:footnote>
  <w:footnote w:id="52">
    <w:p w14:paraId="16A9E19E" w14:textId="779D4FAD" w:rsidR="000B5900" w:rsidRPr="008E0FF3" w:rsidRDefault="000B5900">
      <w:pPr>
        <w:pStyle w:val="Textpoznmkypodiarou"/>
        <w:rPr>
          <w:rFonts w:ascii="Arial Narrow" w:hAnsi="Arial Narrow"/>
          <w:sz w:val="16"/>
          <w:szCs w:val="16"/>
        </w:rPr>
      </w:pPr>
      <w:r w:rsidRPr="008E0FF3">
        <w:rPr>
          <w:rStyle w:val="Odkaznapoznmkupodiarou"/>
          <w:rFonts w:ascii="Arial Narrow" w:hAnsi="Arial Narrow"/>
          <w:sz w:val="16"/>
          <w:szCs w:val="16"/>
        </w:rPr>
        <w:footnoteRef/>
      </w:r>
      <w:r w:rsidRPr="008E0FF3">
        <w:rPr>
          <w:rFonts w:ascii="Arial Narrow" w:hAnsi="Arial Narrow"/>
          <w:sz w:val="16"/>
          <w:szCs w:val="16"/>
        </w:rPr>
        <w:t xml:space="preserve"> </w:t>
      </w:r>
      <w:r w:rsidRPr="008E0FF3">
        <w:rPr>
          <w:rFonts w:ascii="Arial Narrow" w:hAnsi="Arial Narrow" w:cs="Arial"/>
          <w:sz w:val="16"/>
          <w:szCs w:val="16"/>
        </w:rPr>
        <w:t>The European Commission for the Efficiency of Justice.</w:t>
      </w:r>
    </w:p>
  </w:footnote>
  <w:footnote w:id="53">
    <w:p w14:paraId="18251E68" w14:textId="3B1C2B75" w:rsidR="000B5900" w:rsidRPr="00E24676" w:rsidRDefault="000B5900" w:rsidP="00B47D05">
      <w:pPr>
        <w:pStyle w:val="Textpoznmkypodiarou"/>
        <w:jc w:val="both"/>
        <w:rPr>
          <w:rFonts w:ascii="Arial Narrow" w:hAnsi="Arial Narrow"/>
          <w:sz w:val="16"/>
          <w:szCs w:val="16"/>
        </w:rPr>
      </w:pPr>
      <w:r w:rsidRPr="00B12A26">
        <w:rPr>
          <w:rStyle w:val="Odkaznapoznmkupodiarou"/>
          <w:rFonts w:ascii="Arial Narrow" w:hAnsi="Arial Narrow"/>
          <w:sz w:val="16"/>
          <w:szCs w:val="16"/>
        </w:rPr>
        <w:footnoteRef/>
      </w:r>
      <w:r w:rsidRPr="00E24676">
        <w:rPr>
          <w:rFonts w:ascii="Arial Narrow" w:hAnsi="Arial Narrow"/>
          <w:sz w:val="16"/>
          <w:szCs w:val="16"/>
        </w:rPr>
        <w:t xml:space="preserve"> </w:t>
      </w:r>
      <w:r w:rsidRPr="00AB3326">
        <w:rPr>
          <w:rFonts w:ascii="Arial Narrow" w:hAnsi="Arial Narrow"/>
          <w:sz w:val="16"/>
          <w:szCs w:val="16"/>
        </w:rPr>
        <w:t>Liečiteľné úmrt</w:t>
      </w:r>
      <w:r w:rsidRPr="00A51BA5">
        <w:rPr>
          <w:rFonts w:ascii="Arial Narrow" w:hAnsi="Arial Narrow"/>
          <w:sz w:val="16"/>
          <w:szCs w:val="16"/>
        </w:rPr>
        <w:t>ia sa často používajú ako ukazovateľ kvality zdravotnej starostlivosti, pretože zahŕňajú úmrtia, ktoré je možné odvrátiť včasným a adekvátnym zásahom zdravotnej starostlivosti a liečbou. Okrem liečiteľných úmrtí sa používa aj indikátor predchádzateľných úm</w:t>
      </w:r>
      <w:r w:rsidRPr="00B12A26">
        <w:rPr>
          <w:rFonts w:ascii="Arial Narrow" w:hAnsi="Arial Narrow"/>
          <w:sz w:val="16"/>
          <w:szCs w:val="16"/>
        </w:rPr>
        <w:t>rtí (uvedený v kapitole 1 Identifikácia výziev slovenskej ekonomiky), oba typy úmrti spolu predstavujú komplexný indikátor nazývaný odvrátiteľná úmrtnosť.</w:t>
      </w:r>
    </w:p>
  </w:footnote>
  <w:footnote w:id="54">
    <w:p w14:paraId="595476EE" w14:textId="77777777" w:rsidR="000B5900" w:rsidRPr="00A51BA5" w:rsidRDefault="000B5900" w:rsidP="0091345F">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51BA5">
        <w:rPr>
          <w:rFonts w:ascii="Arial Narrow" w:hAnsi="Arial Narrow"/>
          <w:sz w:val="16"/>
          <w:szCs w:val="16"/>
        </w:rPr>
        <w:t xml:space="preserve"> Výdavky zo ŠF, KF, Poľnohospodárske fondy, priame platby, cezhraničná spolupráca atď. </w:t>
      </w:r>
    </w:p>
  </w:footnote>
  <w:footnote w:id="55">
    <w:p w14:paraId="1D02F537" w14:textId="49392036" w:rsidR="000B5900" w:rsidRPr="005C1A3D" w:rsidRDefault="000B5900" w:rsidP="00D414B6">
      <w:pPr>
        <w:pStyle w:val="Textpoznmkypodiarou"/>
        <w:jc w:val="both"/>
        <w:rPr>
          <w:rFonts w:ascii="Arial Narrow" w:hAnsi="Arial Narrow"/>
          <w:sz w:val="16"/>
          <w:szCs w:val="16"/>
        </w:rPr>
      </w:pPr>
      <w:r w:rsidRPr="00CD5A7F">
        <w:rPr>
          <w:rStyle w:val="Odkaznapoznmkupodiarou"/>
          <w:rFonts w:ascii="Arial Narrow" w:hAnsi="Arial Narrow"/>
          <w:sz w:val="16"/>
          <w:szCs w:val="16"/>
        </w:rPr>
        <w:footnoteRef/>
      </w:r>
      <w:r w:rsidRPr="00CD5A7F">
        <w:rPr>
          <w:rFonts w:ascii="Arial Narrow" w:hAnsi="Arial Narrow"/>
          <w:sz w:val="16"/>
          <w:szCs w:val="16"/>
        </w:rPr>
        <w:t xml:space="preserve"> Prognóza do roku 2020 vychádza z predpokladu upraveného scenára nezmenných politik o ročný profil čerpania EÚ zdrojov v danom programovom období. Ročný profil čerpania </w:t>
      </w:r>
      <w:r w:rsidRPr="00845688">
        <w:rPr>
          <w:rFonts w:ascii="Arial Narrow" w:hAnsi="Arial Narrow"/>
          <w:sz w:val="16"/>
          <w:szCs w:val="16"/>
        </w:rPr>
        <w:t>EÚ zdrojov počas 3. programového obdobia je v prognóze podobný profilu toho predchádzajúceho. Konk</w:t>
      </w:r>
      <w:r w:rsidRPr="005C1A3D">
        <w:rPr>
          <w:rFonts w:ascii="Arial Narrow" w:hAnsi="Arial Narrow"/>
          <w:sz w:val="16"/>
          <w:szCs w:val="16"/>
        </w:rPr>
        <w:t>rétne výdavkové položky sú následne indexované prognózovaným rastom miezd, infláciou a nominálnym rastom HDP v súlade s aktuálnou prognźou MF SR.</w:t>
      </w:r>
    </w:p>
  </w:footnote>
  <w:footnote w:id="56">
    <w:p w14:paraId="315076EE" w14:textId="11C71170" w:rsidR="000B5900" w:rsidRPr="005C1A3D" w:rsidRDefault="000B5900" w:rsidP="004C2758">
      <w:pPr>
        <w:pStyle w:val="Textpoznmkypodiarou"/>
        <w:rPr>
          <w:rFonts w:ascii="Arial Narrow" w:hAnsi="Arial Narrow"/>
          <w:sz w:val="16"/>
          <w:szCs w:val="16"/>
        </w:rPr>
      </w:pPr>
      <w:r w:rsidRPr="005C1A3D">
        <w:rPr>
          <w:rStyle w:val="Odkaznapoznmkupodiarou"/>
          <w:rFonts w:ascii="Arial Narrow" w:hAnsi="Arial Narrow"/>
          <w:sz w:val="16"/>
          <w:szCs w:val="16"/>
        </w:rPr>
        <w:footnoteRef/>
      </w:r>
      <w:r w:rsidRPr="00CD5A7F">
        <w:rPr>
          <w:rFonts w:ascii="Arial Narrow" w:hAnsi="Arial Narrow"/>
          <w:sz w:val="16"/>
          <w:szCs w:val="16"/>
        </w:rPr>
        <w:t xml:space="preserve"> </w:t>
      </w:r>
      <w:r w:rsidRPr="005C1A3D">
        <w:rPr>
          <w:rFonts w:ascii="Arial Narrow" w:hAnsi="Arial Narrow"/>
          <w:sz w:val="16"/>
          <w:szCs w:val="16"/>
        </w:rPr>
        <w:t>Zverejnené na webovom sídle Partnerskej dohody SR na roky 2014 – 2020</w:t>
      </w:r>
      <w:r>
        <w:rPr>
          <w:rFonts w:ascii="Arial Narrow" w:hAnsi="Arial Narrow"/>
          <w:sz w:val="16"/>
          <w:szCs w:val="16"/>
        </w:rPr>
        <w:t>:</w:t>
      </w:r>
      <w:r w:rsidRPr="005C1A3D">
        <w:rPr>
          <w:rFonts w:ascii="Arial Narrow" w:hAnsi="Arial Narrow"/>
          <w:sz w:val="16"/>
          <w:szCs w:val="16"/>
        </w:rPr>
        <w:t xml:space="preserve"> </w:t>
      </w:r>
      <w:hyperlink r:id="rId10" w:history="1">
        <w:r w:rsidRPr="005C1A3D">
          <w:rPr>
            <w:rStyle w:val="Hypertextovprepojenie"/>
            <w:rFonts w:ascii="Arial Narrow" w:hAnsi="Arial Narrow"/>
            <w:color w:val="2C9ADC"/>
            <w:sz w:val="16"/>
            <w:szCs w:val="16"/>
          </w:rPr>
          <w:t>http://www.partnerskadohoda.gov.sk/hodnotenie-esif/</w:t>
        </w:r>
      </w:hyperlink>
    </w:p>
    <w:p w14:paraId="76EF509D" w14:textId="77777777" w:rsidR="000B5900" w:rsidRDefault="000B5900" w:rsidP="004C2758">
      <w:pPr>
        <w:pStyle w:val="Textpoznmkypodiarou"/>
      </w:pPr>
    </w:p>
  </w:footnote>
  <w:footnote w:id="57">
    <w:p w14:paraId="65FBA5FF" w14:textId="168BAD00" w:rsidR="000B5900" w:rsidRPr="00AB3326" w:rsidRDefault="000B5900" w:rsidP="001156B4">
      <w:pPr>
        <w:pStyle w:val="Textpoznmkypodiarou"/>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hyperlink r:id="rId11" w:history="1">
        <w:r w:rsidRPr="00AB3326">
          <w:rPr>
            <w:rStyle w:val="Hypertextovprepojenie"/>
            <w:rFonts w:ascii="Arial Narrow" w:hAnsi="Arial Narrow"/>
            <w:color w:val="2C9ADC"/>
            <w:sz w:val="16"/>
            <w:szCs w:val="16"/>
          </w:rPr>
          <w:t>Správa o krajine</w:t>
        </w:r>
      </w:hyperlink>
      <w:r w:rsidRPr="00AB3326">
        <w:rPr>
          <w:rFonts w:ascii="Arial Narrow" w:hAnsi="Arial Narrow"/>
          <w:sz w:val="16"/>
          <w:szCs w:val="16"/>
        </w:rPr>
        <w:t xml:space="preserve">, Slovensko 2017, SWD(2017)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6BD2" w14:textId="77777777" w:rsidR="000B5900" w:rsidRDefault="000B5900">
    <w:pPr>
      <w:pStyle w:val="Hlavika"/>
    </w:pPr>
    <w:r>
      <w:rPr>
        <w:noProof/>
        <w:lang w:val="en-US" w:eastAsia="en-US"/>
      </w:rPr>
      <mc:AlternateContent>
        <mc:Choice Requires="wps">
          <w:drawing>
            <wp:anchor distT="0" distB="0" distL="114300" distR="114300" simplePos="0" relativeHeight="251653120" behindDoc="1" locked="0" layoutInCell="0" allowOverlap="1" wp14:anchorId="0D356331" wp14:editId="542AFE4F">
              <wp:simplePos x="0" y="0"/>
              <wp:positionH relativeFrom="page">
                <wp:posOffset>-1905</wp:posOffset>
              </wp:positionH>
              <wp:positionV relativeFrom="page">
                <wp:posOffset>0</wp:posOffset>
              </wp:positionV>
              <wp:extent cx="1125220" cy="71120"/>
              <wp:effectExtent l="0" t="0" r="0" b="508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7112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533CC" id="Rectangle 15" o:spid="_x0000_s1026" style="position:absolute;margin-left:-.15pt;margin-top:0;width:88.6pt;height: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" o:allowincell="f" fillcolor="#37abe1"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F5"/>
    <w:multiLevelType w:val="hybridMultilevel"/>
    <w:tmpl w:val="DAFEF9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255379E"/>
    <w:multiLevelType w:val="hybridMultilevel"/>
    <w:tmpl w:val="EAE62948"/>
    <w:lvl w:ilvl="0" w:tplc="041B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607A3"/>
    <w:multiLevelType w:val="hybridMultilevel"/>
    <w:tmpl w:val="FC9C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C6B3F"/>
    <w:multiLevelType w:val="hybridMultilevel"/>
    <w:tmpl w:val="5682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E1AC1"/>
    <w:multiLevelType w:val="hybridMultilevel"/>
    <w:tmpl w:val="4814B4E4"/>
    <w:lvl w:ilvl="0" w:tplc="1A14F3D6">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221C4"/>
    <w:multiLevelType w:val="hybridMultilevel"/>
    <w:tmpl w:val="2AB0F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FA57E8"/>
    <w:multiLevelType w:val="hybridMultilevel"/>
    <w:tmpl w:val="E2487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D211B5"/>
    <w:multiLevelType w:val="hybridMultilevel"/>
    <w:tmpl w:val="0786F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8E32D5"/>
    <w:multiLevelType w:val="hybridMultilevel"/>
    <w:tmpl w:val="81ECB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AD60C1"/>
    <w:multiLevelType w:val="hybridMultilevel"/>
    <w:tmpl w:val="14BCE5E2"/>
    <w:lvl w:ilvl="0" w:tplc="871E30E4">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8DD5F07"/>
    <w:multiLevelType w:val="hybridMultilevel"/>
    <w:tmpl w:val="F36E7D22"/>
    <w:lvl w:ilvl="0" w:tplc="02CEE80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D95CE7"/>
    <w:multiLevelType w:val="hybridMultilevel"/>
    <w:tmpl w:val="014049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F9D4AAC"/>
    <w:multiLevelType w:val="hybridMultilevel"/>
    <w:tmpl w:val="C318EB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4F609DE"/>
    <w:multiLevelType w:val="hybridMultilevel"/>
    <w:tmpl w:val="51F6CA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5495FB1"/>
    <w:multiLevelType w:val="hybridMultilevel"/>
    <w:tmpl w:val="89F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744D6"/>
    <w:multiLevelType w:val="hybridMultilevel"/>
    <w:tmpl w:val="24320FA6"/>
    <w:lvl w:ilvl="0" w:tplc="041B000F">
      <w:start w:val="1"/>
      <w:numFmt w:val="decimal"/>
      <w:lvlText w:val="%1."/>
      <w:lvlJc w:val="left"/>
      <w:pPr>
        <w:ind w:left="360" w:hanging="360"/>
      </w:pPr>
      <w:rPr>
        <w:rFonts w:cs="Times New Roman" w:hint="default"/>
      </w:rPr>
    </w:lvl>
    <w:lvl w:ilvl="1" w:tplc="041B0019">
      <w:start w:val="1"/>
      <w:numFmt w:val="lowerLetter"/>
      <w:pStyle w:val="Nadpis7"/>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AC56327"/>
    <w:multiLevelType w:val="hybridMultilevel"/>
    <w:tmpl w:val="60422BB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D372EA1"/>
    <w:multiLevelType w:val="hybridMultilevel"/>
    <w:tmpl w:val="226A98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CE1716"/>
    <w:multiLevelType w:val="hybridMultilevel"/>
    <w:tmpl w:val="689A3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E03526"/>
    <w:multiLevelType w:val="hybridMultilevel"/>
    <w:tmpl w:val="859C5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C6A0D"/>
    <w:multiLevelType w:val="hybridMultilevel"/>
    <w:tmpl w:val="68C6EA26"/>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1" w15:restartNumberingAfterBreak="0">
    <w:nsid w:val="48400E46"/>
    <w:multiLevelType w:val="hybridMultilevel"/>
    <w:tmpl w:val="F0127780"/>
    <w:lvl w:ilvl="0" w:tplc="B4383F6E">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D080361"/>
    <w:multiLevelType w:val="hybridMultilevel"/>
    <w:tmpl w:val="97B46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3F26DC"/>
    <w:multiLevelType w:val="hybridMultilevel"/>
    <w:tmpl w:val="056EAD5C"/>
    <w:lvl w:ilvl="0" w:tplc="041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4342D3"/>
    <w:multiLevelType w:val="multilevel"/>
    <w:tmpl w:val="E8B4E6A8"/>
    <w:lvl w:ilvl="0">
      <w:start w:val="1"/>
      <w:numFmt w:val="decimal"/>
      <w:lvlText w:val="%1"/>
      <w:lvlJc w:val="left"/>
      <w:pPr>
        <w:ind w:left="862" w:hanging="720"/>
      </w:pPr>
      <w:rPr>
        <w:rFonts w:ascii="Arial Narrow" w:hAnsi="Arial Narrow" w:hint="default"/>
        <w:color w:val="000000" w:themeColor="text1"/>
        <w:sz w:val="32"/>
      </w:rPr>
    </w:lvl>
    <w:lvl w:ilvl="1">
      <w:start w:val="1"/>
      <w:numFmt w:val="decimal"/>
      <w:lvlText w:val="%1.%2"/>
      <w:lvlJc w:val="left"/>
      <w:pPr>
        <w:ind w:left="720" w:hanging="720"/>
      </w:pPr>
      <w:rPr>
        <w:rFonts w:ascii="Arial Narrow" w:hAnsi="Arial Narrow" w:hint="default"/>
        <w:i w:val="0"/>
        <w:color w:val="2C9ADC"/>
        <w:sz w:val="32"/>
        <w:szCs w:val="28"/>
      </w:rPr>
    </w:lvl>
    <w:lvl w:ilvl="2">
      <w:start w:val="1"/>
      <w:numFmt w:val="decimal"/>
      <w:lvlText w:val="%1.%2.%3"/>
      <w:lvlJc w:val="left"/>
      <w:pPr>
        <w:ind w:left="3697" w:hanging="720"/>
      </w:pPr>
      <w:rPr>
        <w:rFonts w:hint="default"/>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6901DB"/>
    <w:multiLevelType w:val="hybridMultilevel"/>
    <w:tmpl w:val="BB4C094C"/>
    <w:lvl w:ilvl="0" w:tplc="04090001">
      <w:start w:val="1"/>
      <w:numFmt w:val="bullet"/>
      <w:lvlText w:val=""/>
      <w:lvlJc w:val="left"/>
      <w:pPr>
        <w:ind w:left="-708" w:hanging="360"/>
      </w:pPr>
      <w:rPr>
        <w:rFonts w:ascii="Symbol" w:hAnsi="Symbol" w:hint="default"/>
      </w:rPr>
    </w:lvl>
    <w:lvl w:ilvl="1" w:tplc="041B0001">
      <w:start w:val="1"/>
      <w:numFmt w:val="bullet"/>
      <w:lvlText w:val=""/>
      <w:lvlJc w:val="left"/>
      <w:pPr>
        <w:ind w:left="12" w:hanging="360"/>
      </w:pPr>
      <w:rPr>
        <w:rFonts w:ascii="Symbol" w:hAnsi="Symbol" w:hint="default"/>
      </w:rPr>
    </w:lvl>
    <w:lvl w:ilvl="2" w:tplc="04090005">
      <w:start w:val="1"/>
      <w:numFmt w:val="bullet"/>
      <w:lvlText w:val=""/>
      <w:lvlJc w:val="left"/>
      <w:pPr>
        <w:ind w:left="732" w:hanging="360"/>
      </w:pPr>
      <w:rPr>
        <w:rFonts w:ascii="Wingdings" w:hAnsi="Wingdings" w:hint="default"/>
      </w:rPr>
    </w:lvl>
    <w:lvl w:ilvl="3" w:tplc="0409000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26" w15:restartNumberingAfterBreak="0">
    <w:nsid w:val="527E6E8D"/>
    <w:multiLevelType w:val="hybridMultilevel"/>
    <w:tmpl w:val="B9BE40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491DDA"/>
    <w:multiLevelType w:val="hybridMultilevel"/>
    <w:tmpl w:val="C8C85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2F5976"/>
    <w:multiLevelType w:val="hybridMultilevel"/>
    <w:tmpl w:val="CF3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B1998"/>
    <w:multiLevelType w:val="hybridMultilevel"/>
    <w:tmpl w:val="0DB88E0E"/>
    <w:lvl w:ilvl="0" w:tplc="D9121A3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9F962F1"/>
    <w:multiLevelType w:val="hybridMultilevel"/>
    <w:tmpl w:val="E5521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320DB5"/>
    <w:multiLevelType w:val="hybridMultilevel"/>
    <w:tmpl w:val="0F50C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F04F03"/>
    <w:multiLevelType w:val="hybridMultilevel"/>
    <w:tmpl w:val="37BECB80"/>
    <w:lvl w:ilvl="0" w:tplc="37D2E486">
      <w:start w:val="1"/>
      <w:numFmt w:val="decimal"/>
      <w:lvlText w:val="%1."/>
      <w:lvlJc w:val="left"/>
      <w:pPr>
        <w:ind w:left="720" w:hanging="360"/>
      </w:pPr>
      <w:rPr>
        <w:rFonts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B5431DE"/>
    <w:multiLevelType w:val="hybridMultilevel"/>
    <w:tmpl w:val="BE987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7977BC"/>
    <w:multiLevelType w:val="hybridMultilevel"/>
    <w:tmpl w:val="76006C58"/>
    <w:lvl w:ilvl="0" w:tplc="49769200">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EE586E"/>
    <w:multiLevelType w:val="hybridMultilevel"/>
    <w:tmpl w:val="773E0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D57CCA"/>
    <w:multiLevelType w:val="multilevel"/>
    <w:tmpl w:val="AFB2D3DE"/>
    <w:lvl w:ilvl="0">
      <w:start w:val="1"/>
      <w:numFmt w:val="decimal"/>
      <w:lvlText w:val="%1"/>
      <w:lvlJc w:val="left"/>
      <w:pPr>
        <w:ind w:left="644" w:hanging="360"/>
      </w:pPr>
      <w:rPr>
        <w:rFonts w:cs="Times New Roman" w:hint="default"/>
        <w:b/>
      </w:rPr>
    </w:lvl>
    <w:lvl w:ilvl="1">
      <w:start w:val="1"/>
      <w:numFmt w:val="decimal"/>
      <w:lvlText w:val="%1.%2"/>
      <w:lvlJc w:val="left"/>
      <w:pPr>
        <w:ind w:left="1080" w:hanging="360"/>
      </w:pPr>
      <w:rPr>
        <w:rFonts w:ascii="Arial Narrow" w:hAnsi="Arial Narrow" w:cs="Times New Roman" w:hint="default"/>
        <w:b/>
        <w:sz w:val="28"/>
      </w:rPr>
    </w:lvl>
    <w:lvl w:ilvl="2">
      <w:start w:val="1"/>
      <w:numFmt w:val="decimal"/>
      <w:lvlText w:val="%1.%2.%3"/>
      <w:lvlJc w:val="left"/>
      <w:pPr>
        <w:ind w:left="2421" w:hanging="720"/>
      </w:pPr>
      <w:rPr>
        <w:rFonts w:cs="Times New Roman" w:hint="default"/>
      </w:rPr>
    </w:lvl>
    <w:lvl w:ilvl="3">
      <w:start w:val="1"/>
      <w:numFmt w:val="decimal"/>
      <w:lvlText w:val="%1.%2.%3.%4"/>
      <w:lvlJc w:val="left"/>
      <w:pPr>
        <w:ind w:left="2880" w:hanging="720"/>
      </w:pPr>
      <w:rPr>
        <w:rFonts w:cs="Times New Roman" w:hint="default"/>
        <w:sz w:val="24"/>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755103C0"/>
    <w:multiLevelType w:val="hybridMultilevel"/>
    <w:tmpl w:val="440290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F74625"/>
    <w:multiLevelType w:val="hybridMultilevel"/>
    <w:tmpl w:val="5E3CA6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9934D4"/>
    <w:multiLevelType w:val="hybridMultilevel"/>
    <w:tmpl w:val="F1FA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D955EC"/>
    <w:multiLevelType w:val="hybridMultilevel"/>
    <w:tmpl w:val="FBF692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D0F04EA"/>
    <w:multiLevelType w:val="hybridMultilevel"/>
    <w:tmpl w:val="6FA80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5"/>
  </w:num>
  <w:num w:numId="4">
    <w:abstractNumId w:val="8"/>
  </w:num>
  <w:num w:numId="5">
    <w:abstractNumId w:val="22"/>
  </w:num>
  <w:num w:numId="6">
    <w:abstractNumId w:val="6"/>
  </w:num>
  <w:num w:numId="7">
    <w:abstractNumId w:val="5"/>
  </w:num>
  <w:num w:numId="8">
    <w:abstractNumId w:val="7"/>
  </w:num>
  <w:num w:numId="9">
    <w:abstractNumId w:val="41"/>
  </w:num>
  <w:num w:numId="10">
    <w:abstractNumId w:val="10"/>
  </w:num>
  <w:num w:numId="11">
    <w:abstractNumId w:val="29"/>
  </w:num>
  <w:num w:numId="12">
    <w:abstractNumId w:val="16"/>
  </w:num>
  <w:num w:numId="13">
    <w:abstractNumId w:val="26"/>
  </w:num>
  <w:num w:numId="14">
    <w:abstractNumId w:val="35"/>
  </w:num>
  <w:num w:numId="15">
    <w:abstractNumId w:val="2"/>
  </w:num>
  <w:num w:numId="16">
    <w:abstractNumId w:val="37"/>
  </w:num>
  <w:num w:numId="17">
    <w:abstractNumId w:val="18"/>
  </w:num>
  <w:num w:numId="18">
    <w:abstractNumId w:val="13"/>
  </w:num>
  <w:num w:numId="19">
    <w:abstractNumId w:val="32"/>
  </w:num>
  <w:num w:numId="20">
    <w:abstractNumId w:val="19"/>
  </w:num>
  <w:num w:numId="21">
    <w:abstractNumId w:val="32"/>
  </w:num>
  <w:num w:numId="22">
    <w:abstractNumId w:val="17"/>
  </w:num>
  <w:num w:numId="23">
    <w:abstractNumId w:val="40"/>
  </w:num>
  <w:num w:numId="24">
    <w:abstractNumId w:val="38"/>
  </w:num>
  <w:num w:numId="25">
    <w:abstractNumId w:val="21"/>
  </w:num>
  <w:num w:numId="26">
    <w:abstractNumId w:val="31"/>
  </w:num>
  <w:num w:numId="27">
    <w:abstractNumId w:val="3"/>
  </w:num>
  <w:num w:numId="28">
    <w:abstractNumId w:val="4"/>
  </w:num>
  <w:num w:numId="29">
    <w:abstractNumId w:val="9"/>
  </w:num>
  <w:num w:numId="30">
    <w:abstractNumId w:val="12"/>
  </w:num>
  <w:num w:numId="31">
    <w:abstractNumId w:val="11"/>
  </w:num>
  <w:num w:numId="32">
    <w:abstractNumId w:val="1"/>
  </w:num>
  <w:num w:numId="33">
    <w:abstractNumId w:val="28"/>
  </w:num>
  <w:num w:numId="34">
    <w:abstractNumId w:val="14"/>
  </w:num>
  <w:num w:numId="35">
    <w:abstractNumId w:val="20"/>
  </w:num>
  <w:num w:numId="36">
    <w:abstractNumId w:val="30"/>
  </w:num>
  <w:num w:numId="37">
    <w:abstractNumId w:val="27"/>
  </w:num>
  <w:num w:numId="38">
    <w:abstractNumId w:val="39"/>
  </w:num>
  <w:num w:numId="39">
    <w:abstractNumId w:val="23"/>
  </w:num>
  <w:num w:numId="40">
    <w:abstractNumId w:val="25"/>
  </w:num>
  <w:num w:numId="41">
    <w:abstractNumId w:val="34"/>
  </w:num>
  <w:num w:numId="42">
    <w:abstractNumId w:val="0"/>
  </w:num>
  <w:num w:numId="43">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5777">
      <o:colormru v:ext="edit" colors="#aab0f0,#aad3f2"/>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90"/>
    <w:rsid w:val="00000961"/>
    <w:rsid w:val="00000A4B"/>
    <w:rsid w:val="00001158"/>
    <w:rsid w:val="000015C5"/>
    <w:rsid w:val="00001707"/>
    <w:rsid w:val="00001DCC"/>
    <w:rsid w:val="000021CC"/>
    <w:rsid w:val="00002547"/>
    <w:rsid w:val="000031DE"/>
    <w:rsid w:val="00004322"/>
    <w:rsid w:val="000043EF"/>
    <w:rsid w:val="00005038"/>
    <w:rsid w:val="00005C28"/>
    <w:rsid w:val="00005EE9"/>
    <w:rsid w:val="00005FF8"/>
    <w:rsid w:val="00006361"/>
    <w:rsid w:val="000063EB"/>
    <w:rsid w:val="00006C70"/>
    <w:rsid w:val="0000705B"/>
    <w:rsid w:val="000071BD"/>
    <w:rsid w:val="00007C9E"/>
    <w:rsid w:val="00010376"/>
    <w:rsid w:val="00010B55"/>
    <w:rsid w:val="00011347"/>
    <w:rsid w:val="00011B56"/>
    <w:rsid w:val="000124C7"/>
    <w:rsid w:val="00012873"/>
    <w:rsid w:val="000133C6"/>
    <w:rsid w:val="000133D6"/>
    <w:rsid w:val="000134E7"/>
    <w:rsid w:val="0001482F"/>
    <w:rsid w:val="00014AC6"/>
    <w:rsid w:val="00015B99"/>
    <w:rsid w:val="0001663A"/>
    <w:rsid w:val="000175C3"/>
    <w:rsid w:val="0002068C"/>
    <w:rsid w:val="000209F1"/>
    <w:rsid w:val="000214C8"/>
    <w:rsid w:val="0002209D"/>
    <w:rsid w:val="00022D42"/>
    <w:rsid w:val="00022D83"/>
    <w:rsid w:val="00022F0F"/>
    <w:rsid w:val="00023897"/>
    <w:rsid w:val="00023F78"/>
    <w:rsid w:val="00024019"/>
    <w:rsid w:val="00025ADA"/>
    <w:rsid w:val="00025C6C"/>
    <w:rsid w:val="00025E58"/>
    <w:rsid w:val="00026106"/>
    <w:rsid w:val="000261D8"/>
    <w:rsid w:val="000264E0"/>
    <w:rsid w:val="00026911"/>
    <w:rsid w:val="00026CE0"/>
    <w:rsid w:val="00027EFA"/>
    <w:rsid w:val="00027F56"/>
    <w:rsid w:val="00027FB2"/>
    <w:rsid w:val="00030137"/>
    <w:rsid w:val="000305C9"/>
    <w:rsid w:val="000305DB"/>
    <w:rsid w:val="00030677"/>
    <w:rsid w:val="000308C9"/>
    <w:rsid w:val="00030B25"/>
    <w:rsid w:val="00030ECB"/>
    <w:rsid w:val="00030F8C"/>
    <w:rsid w:val="00031525"/>
    <w:rsid w:val="0003194C"/>
    <w:rsid w:val="00031AD5"/>
    <w:rsid w:val="0003220D"/>
    <w:rsid w:val="000324CC"/>
    <w:rsid w:val="00032B4C"/>
    <w:rsid w:val="00033ACF"/>
    <w:rsid w:val="000340EA"/>
    <w:rsid w:val="00034158"/>
    <w:rsid w:val="00034648"/>
    <w:rsid w:val="000348FF"/>
    <w:rsid w:val="00035F6A"/>
    <w:rsid w:val="000362F9"/>
    <w:rsid w:val="000365EC"/>
    <w:rsid w:val="00036F9D"/>
    <w:rsid w:val="000403F8"/>
    <w:rsid w:val="00040B43"/>
    <w:rsid w:val="00040F9A"/>
    <w:rsid w:val="00041175"/>
    <w:rsid w:val="0004153A"/>
    <w:rsid w:val="00041636"/>
    <w:rsid w:val="00041ACF"/>
    <w:rsid w:val="00042B46"/>
    <w:rsid w:val="00043495"/>
    <w:rsid w:val="00044663"/>
    <w:rsid w:val="0004476D"/>
    <w:rsid w:val="00044C02"/>
    <w:rsid w:val="000456C3"/>
    <w:rsid w:val="00045767"/>
    <w:rsid w:val="00045E9E"/>
    <w:rsid w:val="00046075"/>
    <w:rsid w:val="000462F7"/>
    <w:rsid w:val="000465A7"/>
    <w:rsid w:val="00046A90"/>
    <w:rsid w:val="000470F1"/>
    <w:rsid w:val="000471E5"/>
    <w:rsid w:val="000500A9"/>
    <w:rsid w:val="0005070C"/>
    <w:rsid w:val="00050D13"/>
    <w:rsid w:val="00050E74"/>
    <w:rsid w:val="00050EEF"/>
    <w:rsid w:val="0005111E"/>
    <w:rsid w:val="0005133E"/>
    <w:rsid w:val="000515BE"/>
    <w:rsid w:val="00051A0A"/>
    <w:rsid w:val="00051A73"/>
    <w:rsid w:val="000520D0"/>
    <w:rsid w:val="00052327"/>
    <w:rsid w:val="000530AF"/>
    <w:rsid w:val="0005492B"/>
    <w:rsid w:val="00054A81"/>
    <w:rsid w:val="0005522B"/>
    <w:rsid w:val="00055A82"/>
    <w:rsid w:val="00055F0E"/>
    <w:rsid w:val="00056629"/>
    <w:rsid w:val="00056B69"/>
    <w:rsid w:val="000579F0"/>
    <w:rsid w:val="00057EC5"/>
    <w:rsid w:val="0006043E"/>
    <w:rsid w:val="00060965"/>
    <w:rsid w:val="00060DAD"/>
    <w:rsid w:val="00060E8F"/>
    <w:rsid w:val="00061367"/>
    <w:rsid w:val="00061E58"/>
    <w:rsid w:val="0006233E"/>
    <w:rsid w:val="000623E1"/>
    <w:rsid w:val="00062912"/>
    <w:rsid w:val="00062ABA"/>
    <w:rsid w:val="00063A75"/>
    <w:rsid w:val="00063E16"/>
    <w:rsid w:val="00064265"/>
    <w:rsid w:val="00064831"/>
    <w:rsid w:val="00064E40"/>
    <w:rsid w:val="00065500"/>
    <w:rsid w:val="00065997"/>
    <w:rsid w:val="000659FE"/>
    <w:rsid w:val="00065D1E"/>
    <w:rsid w:val="00065E9D"/>
    <w:rsid w:val="00065F19"/>
    <w:rsid w:val="000663A0"/>
    <w:rsid w:val="00066ADF"/>
    <w:rsid w:val="00066EDA"/>
    <w:rsid w:val="0006726E"/>
    <w:rsid w:val="00067926"/>
    <w:rsid w:val="00067972"/>
    <w:rsid w:val="000708CB"/>
    <w:rsid w:val="000709B3"/>
    <w:rsid w:val="0007105B"/>
    <w:rsid w:val="00071ACD"/>
    <w:rsid w:val="000726BE"/>
    <w:rsid w:val="0007338D"/>
    <w:rsid w:val="000734D5"/>
    <w:rsid w:val="000736A4"/>
    <w:rsid w:val="00074EF8"/>
    <w:rsid w:val="00075430"/>
    <w:rsid w:val="00075480"/>
    <w:rsid w:val="000754CC"/>
    <w:rsid w:val="00075ADC"/>
    <w:rsid w:val="000765D0"/>
    <w:rsid w:val="000772CD"/>
    <w:rsid w:val="0007760B"/>
    <w:rsid w:val="00077707"/>
    <w:rsid w:val="00080306"/>
    <w:rsid w:val="00080BCA"/>
    <w:rsid w:val="00080F4D"/>
    <w:rsid w:val="000814B7"/>
    <w:rsid w:val="0008210A"/>
    <w:rsid w:val="000821B0"/>
    <w:rsid w:val="00082848"/>
    <w:rsid w:val="0008316E"/>
    <w:rsid w:val="00083F3C"/>
    <w:rsid w:val="000841F2"/>
    <w:rsid w:val="00084564"/>
    <w:rsid w:val="00084611"/>
    <w:rsid w:val="00084BF9"/>
    <w:rsid w:val="00084E37"/>
    <w:rsid w:val="00084FF8"/>
    <w:rsid w:val="00085D06"/>
    <w:rsid w:val="000860FF"/>
    <w:rsid w:val="00086504"/>
    <w:rsid w:val="00086608"/>
    <w:rsid w:val="000866B7"/>
    <w:rsid w:val="00087288"/>
    <w:rsid w:val="00087473"/>
    <w:rsid w:val="00087B31"/>
    <w:rsid w:val="00087EA9"/>
    <w:rsid w:val="00090CAE"/>
    <w:rsid w:val="00090E7D"/>
    <w:rsid w:val="000911DF"/>
    <w:rsid w:val="000912D6"/>
    <w:rsid w:val="0009197C"/>
    <w:rsid w:val="00092683"/>
    <w:rsid w:val="0009304A"/>
    <w:rsid w:val="0009312E"/>
    <w:rsid w:val="000934D9"/>
    <w:rsid w:val="00093B9E"/>
    <w:rsid w:val="000940CA"/>
    <w:rsid w:val="00094190"/>
    <w:rsid w:val="00094996"/>
    <w:rsid w:val="00094D9A"/>
    <w:rsid w:val="000951A6"/>
    <w:rsid w:val="000952A1"/>
    <w:rsid w:val="000955D3"/>
    <w:rsid w:val="00095A73"/>
    <w:rsid w:val="000962B6"/>
    <w:rsid w:val="000964C3"/>
    <w:rsid w:val="00096D1F"/>
    <w:rsid w:val="00096F4E"/>
    <w:rsid w:val="00097191"/>
    <w:rsid w:val="000A00E3"/>
    <w:rsid w:val="000A03CA"/>
    <w:rsid w:val="000A072C"/>
    <w:rsid w:val="000A0811"/>
    <w:rsid w:val="000A0BD4"/>
    <w:rsid w:val="000A1299"/>
    <w:rsid w:val="000A2333"/>
    <w:rsid w:val="000A26A5"/>
    <w:rsid w:val="000A3265"/>
    <w:rsid w:val="000A3601"/>
    <w:rsid w:val="000A3717"/>
    <w:rsid w:val="000A3D90"/>
    <w:rsid w:val="000A481C"/>
    <w:rsid w:val="000A51F6"/>
    <w:rsid w:val="000A61FF"/>
    <w:rsid w:val="000A6220"/>
    <w:rsid w:val="000A638B"/>
    <w:rsid w:val="000A6982"/>
    <w:rsid w:val="000A6ACE"/>
    <w:rsid w:val="000A6C41"/>
    <w:rsid w:val="000A7109"/>
    <w:rsid w:val="000A7C3A"/>
    <w:rsid w:val="000A7EC9"/>
    <w:rsid w:val="000B05C2"/>
    <w:rsid w:val="000B09CD"/>
    <w:rsid w:val="000B130E"/>
    <w:rsid w:val="000B1CF5"/>
    <w:rsid w:val="000B1E6E"/>
    <w:rsid w:val="000B2F3B"/>
    <w:rsid w:val="000B3611"/>
    <w:rsid w:val="000B3894"/>
    <w:rsid w:val="000B42E6"/>
    <w:rsid w:val="000B45C1"/>
    <w:rsid w:val="000B4A91"/>
    <w:rsid w:val="000B4C47"/>
    <w:rsid w:val="000B4FFE"/>
    <w:rsid w:val="000B5900"/>
    <w:rsid w:val="000B6077"/>
    <w:rsid w:val="000B7AD8"/>
    <w:rsid w:val="000B7F61"/>
    <w:rsid w:val="000B7F76"/>
    <w:rsid w:val="000C02CB"/>
    <w:rsid w:val="000C091F"/>
    <w:rsid w:val="000C0AAA"/>
    <w:rsid w:val="000C0EF7"/>
    <w:rsid w:val="000C117E"/>
    <w:rsid w:val="000C1C82"/>
    <w:rsid w:val="000C33F7"/>
    <w:rsid w:val="000C3A13"/>
    <w:rsid w:val="000C3BF3"/>
    <w:rsid w:val="000C3DFE"/>
    <w:rsid w:val="000C4687"/>
    <w:rsid w:val="000C46BD"/>
    <w:rsid w:val="000C493D"/>
    <w:rsid w:val="000C4969"/>
    <w:rsid w:val="000C5E31"/>
    <w:rsid w:val="000C5FA5"/>
    <w:rsid w:val="000C7929"/>
    <w:rsid w:val="000D0057"/>
    <w:rsid w:val="000D27A0"/>
    <w:rsid w:val="000D2938"/>
    <w:rsid w:val="000D2B0F"/>
    <w:rsid w:val="000D3630"/>
    <w:rsid w:val="000D43EF"/>
    <w:rsid w:val="000D5399"/>
    <w:rsid w:val="000D6D9B"/>
    <w:rsid w:val="000D6DED"/>
    <w:rsid w:val="000D6F3A"/>
    <w:rsid w:val="000D74C0"/>
    <w:rsid w:val="000D7DF6"/>
    <w:rsid w:val="000D7E3E"/>
    <w:rsid w:val="000E039C"/>
    <w:rsid w:val="000E0B03"/>
    <w:rsid w:val="000E14E0"/>
    <w:rsid w:val="000E1CF7"/>
    <w:rsid w:val="000E2C71"/>
    <w:rsid w:val="000E3032"/>
    <w:rsid w:val="000E36E8"/>
    <w:rsid w:val="000E37E6"/>
    <w:rsid w:val="000E3AD1"/>
    <w:rsid w:val="000E3B91"/>
    <w:rsid w:val="000E3FA4"/>
    <w:rsid w:val="000E40D0"/>
    <w:rsid w:val="000E4170"/>
    <w:rsid w:val="000E6129"/>
    <w:rsid w:val="000E6626"/>
    <w:rsid w:val="000E68A8"/>
    <w:rsid w:val="000E68CE"/>
    <w:rsid w:val="000E7D8D"/>
    <w:rsid w:val="000F04AD"/>
    <w:rsid w:val="000F0D64"/>
    <w:rsid w:val="000F0DC4"/>
    <w:rsid w:val="000F1066"/>
    <w:rsid w:val="000F19F6"/>
    <w:rsid w:val="000F1A3D"/>
    <w:rsid w:val="000F1B0C"/>
    <w:rsid w:val="000F23F6"/>
    <w:rsid w:val="000F26B2"/>
    <w:rsid w:val="000F349D"/>
    <w:rsid w:val="000F368B"/>
    <w:rsid w:val="000F468F"/>
    <w:rsid w:val="000F50AC"/>
    <w:rsid w:val="000F539F"/>
    <w:rsid w:val="000F563E"/>
    <w:rsid w:val="000F5A37"/>
    <w:rsid w:val="000F6268"/>
    <w:rsid w:val="000F660C"/>
    <w:rsid w:val="000F666A"/>
    <w:rsid w:val="000F69DD"/>
    <w:rsid w:val="000F79C5"/>
    <w:rsid w:val="0010058A"/>
    <w:rsid w:val="00101908"/>
    <w:rsid w:val="001021F3"/>
    <w:rsid w:val="001024C8"/>
    <w:rsid w:val="00102998"/>
    <w:rsid w:val="00102A59"/>
    <w:rsid w:val="00102A6C"/>
    <w:rsid w:val="00102A78"/>
    <w:rsid w:val="00102B75"/>
    <w:rsid w:val="00103171"/>
    <w:rsid w:val="001039D1"/>
    <w:rsid w:val="0010410C"/>
    <w:rsid w:val="0010477A"/>
    <w:rsid w:val="00105C1C"/>
    <w:rsid w:val="001060D6"/>
    <w:rsid w:val="00106671"/>
    <w:rsid w:val="00107059"/>
    <w:rsid w:val="001070A8"/>
    <w:rsid w:val="00107523"/>
    <w:rsid w:val="001076E6"/>
    <w:rsid w:val="0011049E"/>
    <w:rsid w:val="00110692"/>
    <w:rsid w:val="00110985"/>
    <w:rsid w:val="00110B06"/>
    <w:rsid w:val="00111C2F"/>
    <w:rsid w:val="00113202"/>
    <w:rsid w:val="0011491B"/>
    <w:rsid w:val="00115449"/>
    <w:rsid w:val="001156B4"/>
    <w:rsid w:val="00116E9B"/>
    <w:rsid w:val="00116F1A"/>
    <w:rsid w:val="00116FA9"/>
    <w:rsid w:val="0011758D"/>
    <w:rsid w:val="001176C6"/>
    <w:rsid w:val="0012061A"/>
    <w:rsid w:val="00120C7C"/>
    <w:rsid w:val="00120EE9"/>
    <w:rsid w:val="0012175E"/>
    <w:rsid w:val="00121B28"/>
    <w:rsid w:val="00121D57"/>
    <w:rsid w:val="001226AD"/>
    <w:rsid w:val="00122DA9"/>
    <w:rsid w:val="00122DB9"/>
    <w:rsid w:val="00122FE3"/>
    <w:rsid w:val="00123313"/>
    <w:rsid w:val="001236FB"/>
    <w:rsid w:val="0012420E"/>
    <w:rsid w:val="00124416"/>
    <w:rsid w:val="00124EA9"/>
    <w:rsid w:val="00124EC1"/>
    <w:rsid w:val="00125D18"/>
    <w:rsid w:val="00125F00"/>
    <w:rsid w:val="00126AD9"/>
    <w:rsid w:val="001278A7"/>
    <w:rsid w:val="00127F03"/>
    <w:rsid w:val="00130154"/>
    <w:rsid w:val="001305E5"/>
    <w:rsid w:val="00130743"/>
    <w:rsid w:val="00130902"/>
    <w:rsid w:val="00130E65"/>
    <w:rsid w:val="001327AC"/>
    <w:rsid w:val="00132F44"/>
    <w:rsid w:val="00132FAB"/>
    <w:rsid w:val="0013305E"/>
    <w:rsid w:val="0013368C"/>
    <w:rsid w:val="00133B20"/>
    <w:rsid w:val="00133DDF"/>
    <w:rsid w:val="001347E7"/>
    <w:rsid w:val="00134ACA"/>
    <w:rsid w:val="00134CFC"/>
    <w:rsid w:val="00136502"/>
    <w:rsid w:val="001365C0"/>
    <w:rsid w:val="001368D8"/>
    <w:rsid w:val="001377C0"/>
    <w:rsid w:val="00140026"/>
    <w:rsid w:val="001407DD"/>
    <w:rsid w:val="00141203"/>
    <w:rsid w:val="0014146E"/>
    <w:rsid w:val="0014252E"/>
    <w:rsid w:val="00142633"/>
    <w:rsid w:val="00142912"/>
    <w:rsid w:val="0014323C"/>
    <w:rsid w:val="001439D0"/>
    <w:rsid w:val="00143CA6"/>
    <w:rsid w:val="00144E03"/>
    <w:rsid w:val="00144E54"/>
    <w:rsid w:val="0014586B"/>
    <w:rsid w:val="00145944"/>
    <w:rsid w:val="00146150"/>
    <w:rsid w:val="001466F9"/>
    <w:rsid w:val="0014692E"/>
    <w:rsid w:val="00146AC9"/>
    <w:rsid w:val="00146CE4"/>
    <w:rsid w:val="00146E14"/>
    <w:rsid w:val="001474F4"/>
    <w:rsid w:val="00147848"/>
    <w:rsid w:val="00147879"/>
    <w:rsid w:val="001479A1"/>
    <w:rsid w:val="00147DC3"/>
    <w:rsid w:val="00147F2F"/>
    <w:rsid w:val="00150056"/>
    <w:rsid w:val="00150812"/>
    <w:rsid w:val="00150A83"/>
    <w:rsid w:val="00150B00"/>
    <w:rsid w:val="00150BA0"/>
    <w:rsid w:val="00151055"/>
    <w:rsid w:val="0015185F"/>
    <w:rsid w:val="00152128"/>
    <w:rsid w:val="00152498"/>
    <w:rsid w:val="00152EE6"/>
    <w:rsid w:val="0015322E"/>
    <w:rsid w:val="0015337A"/>
    <w:rsid w:val="0015387A"/>
    <w:rsid w:val="00154033"/>
    <w:rsid w:val="001549DB"/>
    <w:rsid w:val="001558BF"/>
    <w:rsid w:val="00155BF8"/>
    <w:rsid w:val="00156493"/>
    <w:rsid w:val="00156B2A"/>
    <w:rsid w:val="001600D7"/>
    <w:rsid w:val="00160626"/>
    <w:rsid w:val="00160D3B"/>
    <w:rsid w:val="0016140B"/>
    <w:rsid w:val="00161690"/>
    <w:rsid w:val="00162092"/>
    <w:rsid w:val="00162BAB"/>
    <w:rsid w:val="00162C8E"/>
    <w:rsid w:val="00162F2D"/>
    <w:rsid w:val="0016307C"/>
    <w:rsid w:val="00163D6B"/>
    <w:rsid w:val="00164B3B"/>
    <w:rsid w:val="001659FC"/>
    <w:rsid w:val="00165B63"/>
    <w:rsid w:val="00166B99"/>
    <w:rsid w:val="0016704B"/>
    <w:rsid w:val="00167798"/>
    <w:rsid w:val="001678B1"/>
    <w:rsid w:val="00170162"/>
    <w:rsid w:val="001702DA"/>
    <w:rsid w:val="00170942"/>
    <w:rsid w:val="00171805"/>
    <w:rsid w:val="00171999"/>
    <w:rsid w:val="00171ACB"/>
    <w:rsid w:val="00172710"/>
    <w:rsid w:val="001742EE"/>
    <w:rsid w:val="0017456C"/>
    <w:rsid w:val="0017485F"/>
    <w:rsid w:val="00175435"/>
    <w:rsid w:val="00175AF1"/>
    <w:rsid w:val="00175B64"/>
    <w:rsid w:val="00175CF7"/>
    <w:rsid w:val="00176FEA"/>
    <w:rsid w:val="00177483"/>
    <w:rsid w:val="00177D93"/>
    <w:rsid w:val="00180F9C"/>
    <w:rsid w:val="00181239"/>
    <w:rsid w:val="00181BB4"/>
    <w:rsid w:val="001823E2"/>
    <w:rsid w:val="00182B39"/>
    <w:rsid w:val="00182C88"/>
    <w:rsid w:val="00182CBE"/>
    <w:rsid w:val="00183662"/>
    <w:rsid w:val="0018393E"/>
    <w:rsid w:val="00183EE7"/>
    <w:rsid w:val="00185190"/>
    <w:rsid w:val="00185707"/>
    <w:rsid w:val="0018596C"/>
    <w:rsid w:val="00185D3C"/>
    <w:rsid w:val="00185F1C"/>
    <w:rsid w:val="00186486"/>
    <w:rsid w:val="001872D0"/>
    <w:rsid w:val="00187AC8"/>
    <w:rsid w:val="0019085B"/>
    <w:rsid w:val="00190C85"/>
    <w:rsid w:val="00190E04"/>
    <w:rsid w:val="00191D34"/>
    <w:rsid w:val="001928F9"/>
    <w:rsid w:val="00192988"/>
    <w:rsid w:val="00192B7E"/>
    <w:rsid w:val="00192EC2"/>
    <w:rsid w:val="00193A1F"/>
    <w:rsid w:val="00193AA3"/>
    <w:rsid w:val="001943A3"/>
    <w:rsid w:val="00194816"/>
    <w:rsid w:val="00194AB0"/>
    <w:rsid w:val="0019540B"/>
    <w:rsid w:val="0019620E"/>
    <w:rsid w:val="001972B7"/>
    <w:rsid w:val="001977C1"/>
    <w:rsid w:val="001A04B5"/>
    <w:rsid w:val="001A0C15"/>
    <w:rsid w:val="001A1687"/>
    <w:rsid w:val="001A1A86"/>
    <w:rsid w:val="001A1E0C"/>
    <w:rsid w:val="001A1E3B"/>
    <w:rsid w:val="001A222B"/>
    <w:rsid w:val="001A47F5"/>
    <w:rsid w:val="001A50A0"/>
    <w:rsid w:val="001A5C4E"/>
    <w:rsid w:val="001A64A9"/>
    <w:rsid w:val="001A6530"/>
    <w:rsid w:val="001A677B"/>
    <w:rsid w:val="001B04A1"/>
    <w:rsid w:val="001B07FE"/>
    <w:rsid w:val="001B1A52"/>
    <w:rsid w:val="001B1E31"/>
    <w:rsid w:val="001B2ED2"/>
    <w:rsid w:val="001B351B"/>
    <w:rsid w:val="001B4B09"/>
    <w:rsid w:val="001B5428"/>
    <w:rsid w:val="001B555F"/>
    <w:rsid w:val="001B5E46"/>
    <w:rsid w:val="001B5ED3"/>
    <w:rsid w:val="001B69DD"/>
    <w:rsid w:val="001B766C"/>
    <w:rsid w:val="001B7813"/>
    <w:rsid w:val="001B7859"/>
    <w:rsid w:val="001C023E"/>
    <w:rsid w:val="001C0614"/>
    <w:rsid w:val="001C0642"/>
    <w:rsid w:val="001C1205"/>
    <w:rsid w:val="001C1A32"/>
    <w:rsid w:val="001C1AFB"/>
    <w:rsid w:val="001C1B23"/>
    <w:rsid w:val="001C286D"/>
    <w:rsid w:val="001C3360"/>
    <w:rsid w:val="001C361C"/>
    <w:rsid w:val="001C3992"/>
    <w:rsid w:val="001C415C"/>
    <w:rsid w:val="001C4C92"/>
    <w:rsid w:val="001C577B"/>
    <w:rsid w:val="001C5E2B"/>
    <w:rsid w:val="001C5F40"/>
    <w:rsid w:val="001C6E2E"/>
    <w:rsid w:val="001C6F9B"/>
    <w:rsid w:val="001C71F8"/>
    <w:rsid w:val="001C77D5"/>
    <w:rsid w:val="001D04F0"/>
    <w:rsid w:val="001D17C9"/>
    <w:rsid w:val="001D1BE2"/>
    <w:rsid w:val="001D1C4B"/>
    <w:rsid w:val="001D24EA"/>
    <w:rsid w:val="001D2D31"/>
    <w:rsid w:val="001D2FD3"/>
    <w:rsid w:val="001D369A"/>
    <w:rsid w:val="001D3DE0"/>
    <w:rsid w:val="001D42CC"/>
    <w:rsid w:val="001D4883"/>
    <w:rsid w:val="001D4E8C"/>
    <w:rsid w:val="001D50E2"/>
    <w:rsid w:val="001D5F2B"/>
    <w:rsid w:val="001D643C"/>
    <w:rsid w:val="001D67AE"/>
    <w:rsid w:val="001D7426"/>
    <w:rsid w:val="001D76D3"/>
    <w:rsid w:val="001D7970"/>
    <w:rsid w:val="001D7E06"/>
    <w:rsid w:val="001E00FA"/>
    <w:rsid w:val="001E0231"/>
    <w:rsid w:val="001E031E"/>
    <w:rsid w:val="001E0542"/>
    <w:rsid w:val="001E0725"/>
    <w:rsid w:val="001E1438"/>
    <w:rsid w:val="001E2289"/>
    <w:rsid w:val="001E2483"/>
    <w:rsid w:val="001E36DB"/>
    <w:rsid w:val="001E39D2"/>
    <w:rsid w:val="001E40C3"/>
    <w:rsid w:val="001E4230"/>
    <w:rsid w:val="001E45C1"/>
    <w:rsid w:val="001E47AE"/>
    <w:rsid w:val="001E48BF"/>
    <w:rsid w:val="001E5334"/>
    <w:rsid w:val="001E55D9"/>
    <w:rsid w:val="001E5675"/>
    <w:rsid w:val="001E65F0"/>
    <w:rsid w:val="001E68CD"/>
    <w:rsid w:val="001E6BBC"/>
    <w:rsid w:val="001E6D10"/>
    <w:rsid w:val="001E6ED6"/>
    <w:rsid w:val="001E70C6"/>
    <w:rsid w:val="001E7B15"/>
    <w:rsid w:val="001E7BD9"/>
    <w:rsid w:val="001E7F07"/>
    <w:rsid w:val="001F01E9"/>
    <w:rsid w:val="001F0201"/>
    <w:rsid w:val="001F0607"/>
    <w:rsid w:val="001F0673"/>
    <w:rsid w:val="001F0CD6"/>
    <w:rsid w:val="001F1B01"/>
    <w:rsid w:val="001F1D20"/>
    <w:rsid w:val="001F200B"/>
    <w:rsid w:val="001F25B5"/>
    <w:rsid w:val="001F3876"/>
    <w:rsid w:val="001F3954"/>
    <w:rsid w:val="001F3F5B"/>
    <w:rsid w:val="001F3FBE"/>
    <w:rsid w:val="001F45AB"/>
    <w:rsid w:val="001F4990"/>
    <w:rsid w:val="001F52D9"/>
    <w:rsid w:val="001F5585"/>
    <w:rsid w:val="001F5F66"/>
    <w:rsid w:val="001F61AE"/>
    <w:rsid w:val="001F65A2"/>
    <w:rsid w:val="001F6649"/>
    <w:rsid w:val="001F7951"/>
    <w:rsid w:val="001F7D78"/>
    <w:rsid w:val="00200CEA"/>
    <w:rsid w:val="00200E58"/>
    <w:rsid w:val="00201244"/>
    <w:rsid w:val="0020129A"/>
    <w:rsid w:val="0020205D"/>
    <w:rsid w:val="00202B98"/>
    <w:rsid w:val="00202DC2"/>
    <w:rsid w:val="00202E76"/>
    <w:rsid w:val="00203A1A"/>
    <w:rsid w:val="00203B68"/>
    <w:rsid w:val="00204785"/>
    <w:rsid w:val="00204E19"/>
    <w:rsid w:val="002059B6"/>
    <w:rsid w:val="002067DA"/>
    <w:rsid w:val="002067EC"/>
    <w:rsid w:val="00206A4D"/>
    <w:rsid w:val="00206C6D"/>
    <w:rsid w:val="0020791E"/>
    <w:rsid w:val="00207C98"/>
    <w:rsid w:val="00210015"/>
    <w:rsid w:val="002102D0"/>
    <w:rsid w:val="00210418"/>
    <w:rsid w:val="00210DAC"/>
    <w:rsid w:val="00211BA1"/>
    <w:rsid w:val="00212056"/>
    <w:rsid w:val="0021339F"/>
    <w:rsid w:val="002137CB"/>
    <w:rsid w:val="00213EF8"/>
    <w:rsid w:val="0021448C"/>
    <w:rsid w:val="00214D3E"/>
    <w:rsid w:val="00215CB3"/>
    <w:rsid w:val="002160FF"/>
    <w:rsid w:val="00216A4C"/>
    <w:rsid w:val="00216CF6"/>
    <w:rsid w:val="00216E03"/>
    <w:rsid w:val="00217D99"/>
    <w:rsid w:val="002209A5"/>
    <w:rsid w:val="002211F6"/>
    <w:rsid w:val="002213A3"/>
    <w:rsid w:val="00221595"/>
    <w:rsid w:val="00222E90"/>
    <w:rsid w:val="0022327A"/>
    <w:rsid w:val="0022348C"/>
    <w:rsid w:val="00223DB2"/>
    <w:rsid w:val="00224B31"/>
    <w:rsid w:val="002252C5"/>
    <w:rsid w:val="00225793"/>
    <w:rsid w:val="00225B0E"/>
    <w:rsid w:val="002262E8"/>
    <w:rsid w:val="00227310"/>
    <w:rsid w:val="0022753C"/>
    <w:rsid w:val="00227691"/>
    <w:rsid w:val="00227C3F"/>
    <w:rsid w:val="002301E5"/>
    <w:rsid w:val="002301F5"/>
    <w:rsid w:val="0023101E"/>
    <w:rsid w:val="00231073"/>
    <w:rsid w:val="00231635"/>
    <w:rsid w:val="002324A5"/>
    <w:rsid w:val="002337CF"/>
    <w:rsid w:val="00233E80"/>
    <w:rsid w:val="002346A3"/>
    <w:rsid w:val="00235002"/>
    <w:rsid w:val="00235ABF"/>
    <w:rsid w:val="00236679"/>
    <w:rsid w:val="002366E9"/>
    <w:rsid w:val="0023785C"/>
    <w:rsid w:val="00237986"/>
    <w:rsid w:val="00240526"/>
    <w:rsid w:val="00240B08"/>
    <w:rsid w:val="00243792"/>
    <w:rsid w:val="0024415F"/>
    <w:rsid w:val="0024555A"/>
    <w:rsid w:val="00245598"/>
    <w:rsid w:val="0024609F"/>
    <w:rsid w:val="00246A51"/>
    <w:rsid w:val="00247222"/>
    <w:rsid w:val="002475AE"/>
    <w:rsid w:val="00247DE0"/>
    <w:rsid w:val="00247ED1"/>
    <w:rsid w:val="0025052A"/>
    <w:rsid w:val="00250A82"/>
    <w:rsid w:val="00251A17"/>
    <w:rsid w:val="00251B4E"/>
    <w:rsid w:val="00252A93"/>
    <w:rsid w:val="0025333D"/>
    <w:rsid w:val="002541A3"/>
    <w:rsid w:val="00254355"/>
    <w:rsid w:val="002543C4"/>
    <w:rsid w:val="00254BBD"/>
    <w:rsid w:val="00254D8A"/>
    <w:rsid w:val="0025503E"/>
    <w:rsid w:val="002551BF"/>
    <w:rsid w:val="00255736"/>
    <w:rsid w:val="002558E0"/>
    <w:rsid w:val="0025596E"/>
    <w:rsid w:val="00255F40"/>
    <w:rsid w:val="00256320"/>
    <w:rsid w:val="00256577"/>
    <w:rsid w:val="00256D89"/>
    <w:rsid w:val="00257018"/>
    <w:rsid w:val="002601F6"/>
    <w:rsid w:val="00262982"/>
    <w:rsid w:val="00262A00"/>
    <w:rsid w:val="00262B76"/>
    <w:rsid w:val="00263790"/>
    <w:rsid w:val="0026414F"/>
    <w:rsid w:val="00264BFF"/>
    <w:rsid w:val="0026522A"/>
    <w:rsid w:val="002652B5"/>
    <w:rsid w:val="002653C3"/>
    <w:rsid w:val="00265689"/>
    <w:rsid w:val="00265EC1"/>
    <w:rsid w:val="00266015"/>
    <w:rsid w:val="00270576"/>
    <w:rsid w:val="00270D45"/>
    <w:rsid w:val="00271900"/>
    <w:rsid w:val="00272FB8"/>
    <w:rsid w:val="00273582"/>
    <w:rsid w:val="00274185"/>
    <w:rsid w:val="00274E49"/>
    <w:rsid w:val="00274F46"/>
    <w:rsid w:val="00275758"/>
    <w:rsid w:val="00275AE5"/>
    <w:rsid w:val="00275FB1"/>
    <w:rsid w:val="002766E1"/>
    <w:rsid w:val="00276CF6"/>
    <w:rsid w:val="002779A0"/>
    <w:rsid w:val="00277C7B"/>
    <w:rsid w:val="0028067C"/>
    <w:rsid w:val="00280AB6"/>
    <w:rsid w:val="00281053"/>
    <w:rsid w:val="002812C0"/>
    <w:rsid w:val="00281D8F"/>
    <w:rsid w:val="002824ED"/>
    <w:rsid w:val="00282D89"/>
    <w:rsid w:val="0028324C"/>
    <w:rsid w:val="0028441F"/>
    <w:rsid w:val="00284768"/>
    <w:rsid w:val="0028478D"/>
    <w:rsid w:val="00284FA2"/>
    <w:rsid w:val="00284FFE"/>
    <w:rsid w:val="00285312"/>
    <w:rsid w:val="002865F5"/>
    <w:rsid w:val="0028691A"/>
    <w:rsid w:val="00286DC6"/>
    <w:rsid w:val="00290A46"/>
    <w:rsid w:val="00290A81"/>
    <w:rsid w:val="00290C30"/>
    <w:rsid w:val="00291060"/>
    <w:rsid w:val="0029124E"/>
    <w:rsid w:val="00291D63"/>
    <w:rsid w:val="002925D5"/>
    <w:rsid w:val="0029348A"/>
    <w:rsid w:val="00293F64"/>
    <w:rsid w:val="002940AA"/>
    <w:rsid w:val="0029450F"/>
    <w:rsid w:val="0029582C"/>
    <w:rsid w:val="00295A6E"/>
    <w:rsid w:val="00295E5E"/>
    <w:rsid w:val="00296ECE"/>
    <w:rsid w:val="00297E7A"/>
    <w:rsid w:val="002A0366"/>
    <w:rsid w:val="002A0AAC"/>
    <w:rsid w:val="002A1264"/>
    <w:rsid w:val="002A126D"/>
    <w:rsid w:val="002A17B8"/>
    <w:rsid w:val="002A1D8D"/>
    <w:rsid w:val="002A1DD2"/>
    <w:rsid w:val="002A23BA"/>
    <w:rsid w:val="002A2E62"/>
    <w:rsid w:val="002A3198"/>
    <w:rsid w:val="002A3694"/>
    <w:rsid w:val="002A370C"/>
    <w:rsid w:val="002A4147"/>
    <w:rsid w:val="002A4439"/>
    <w:rsid w:val="002A58B7"/>
    <w:rsid w:val="002A5915"/>
    <w:rsid w:val="002A5AAD"/>
    <w:rsid w:val="002A6B37"/>
    <w:rsid w:val="002A6C97"/>
    <w:rsid w:val="002A7E1C"/>
    <w:rsid w:val="002B00D2"/>
    <w:rsid w:val="002B1701"/>
    <w:rsid w:val="002B21C9"/>
    <w:rsid w:val="002B22AA"/>
    <w:rsid w:val="002B23AA"/>
    <w:rsid w:val="002B3240"/>
    <w:rsid w:val="002B4001"/>
    <w:rsid w:val="002B45B3"/>
    <w:rsid w:val="002B4B33"/>
    <w:rsid w:val="002B63CD"/>
    <w:rsid w:val="002B6B01"/>
    <w:rsid w:val="002B79C4"/>
    <w:rsid w:val="002B7EE0"/>
    <w:rsid w:val="002C01F7"/>
    <w:rsid w:val="002C0A77"/>
    <w:rsid w:val="002C107A"/>
    <w:rsid w:val="002C260F"/>
    <w:rsid w:val="002C368F"/>
    <w:rsid w:val="002C374C"/>
    <w:rsid w:val="002C3810"/>
    <w:rsid w:val="002C39C8"/>
    <w:rsid w:val="002C3E7B"/>
    <w:rsid w:val="002C473B"/>
    <w:rsid w:val="002C4760"/>
    <w:rsid w:val="002C47C3"/>
    <w:rsid w:val="002C47F4"/>
    <w:rsid w:val="002C49C6"/>
    <w:rsid w:val="002C4DC3"/>
    <w:rsid w:val="002C4F4C"/>
    <w:rsid w:val="002C5755"/>
    <w:rsid w:val="002C5A62"/>
    <w:rsid w:val="002C5B82"/>
    <w:rsid w:val="002C6C02"/>
    <w:rsid w:val="002C70B3"/>
    <w:rsid w:val="002C70E4"/>
    <w:rsid w:val="002C7916"/>
    <w:rsid w:val="002C7AF1"/>
    <w:rsid w:val="002C7D4B"/>
    <w:rsid w:val="002D0382"/>
    <w:rsid w:val="002D0C44"/>
    <w:rsid w:val="002D2287"/>
    <w:rsid w:val="002D275A"/>
    <w:rsid w:val="002D2BC0"/>
    <w:rsid w:val="002D3598"/>
    <w:rsid w:val="002D37FD"/>
    <w:rsid w:val="002D496C"/>
    <w:rsid w:val="002D5610"/>
    <w:rsid w:val="002D67D6"/>
    <w:rsid w:val="002D6C20"/>
    <w:rsid w:val="002D6C6C"/>
    <w:rsid w:val="002D6DC8"/>
    <w:rsid w:val="002D7A42"/>
    <w:rsid w:val="002D7AC7"/>
    <w:rsid w:val="002E0225"/>
    <w:rsid w:val="002E0B35"/>
    <w:rsid w:val="002E0EDC"/>
    <w:rsid w:val="002E0EF5"/>
    <w:rsid w:val="002E1C54"/>
    <w:rsid w:val="002E24DF"/>
    <w:rsid w:val="002E2A8D"/>
    <w:rsid w:val="002E2D4D"/>
    <w:rsid w:val="002E38AD"/>
    <w:rsid w:val="002E3C39"/>
    <w:rsid w:val="002E3E04"/>
    <w:rsid w:val="002E401E"/>
    <w:rsid w:val="002E5A81"/>
    <w:rsid w:val="002E6348"/>
    <w:rsid w:val="002E6783"/>
    <w:rsid w:val="002E68A6"/>
    <w:rsid w:val="002E71B2"/>
    <w:rsid w:val="002F0493"/>
    <w:rsid w:val="002F077D"/>
    <w:rsid w:val="002F1592"/>
    <w:rsid w:val="002F1B0E"/>
    <w:rsid w:val="002F203A"/>
    <w:rsid w:val="002F2110"/>
    <w:rsid w:val="002F2397"/>
    <w:rsid w:val="002F2F0A"/>
    <w:rsid w:val="002F3DEF"/>
    <w:rsid w:val="002F43D4"/>
    <w:rsid w:val="002F43F0"/>
    <w:rsid w:val="002F4AF8"/>
    <w:rsid w:val="002F57B5"/>
    <w:rsid w:val="002F65B6"/>
    <w:rsid w:val="0030060A"/>
    <w:rsid w:val="003011B0"/>
    <w:rsid w:val="003014C4"/>
    <w:rsid w:val="0030156A"/>
    <w:rsid w:val="003017FB"/>
    <w:rsid w:val="003018E3"/>
    <w:rsid w:val="00301A11"/>
    <w:rsid w:val="00301B71"/>
    <w:rsid w:val="003020D8"/>
    <w:rsid w:val="00302B42"/>
    <w:rsid w:val="00302C5E"/>
    <w:rsid w:val="0030322A"/>
    <w:rsid w:val="0030389D"/>
    <w:rsid w:val="00303A6E"/>
    <w:rsid w:val="00303E1F"/>
    <w:rsid w:val="003049E2"/>
    <w:rsid w:val="003058EF"/>
    <w:rsid w:val="0030590F"/>
    <w:rsid w:val="003074A0"/>
    <w:rsid w:val="0031049D"/>
    <w:rsid w:val="0031055E"/>
    <w:rsid w:val="0031068E"/>
    <w:rsid w:val="003111BC"/>
    <w:rsid w:val="003111C0"/>
    <w:rsid w:val="003113FD"/>
    <w:rsid w:val="0031176A"/>
    <w:rsid w:val="00311CAA"/>
    <w:rsid w:val="0031219D"/>
    <w:rsid w:val="00313A54"/>
    <w:rsid w:val="00313DFD"/>
    <w:rsid w:val="0031405B"/>
    <w:rsid w:val="0031456A"/>
    <w:rsid w:val="0031481B"/>
    <w:rsid w:val="003148DB"/>
    <w:rsid w:val="00314ABC"/>
    <w:rsid w:val="00315407"/>
    <w:rsid w:val="00315573"/>
    <w:rsid w:val="00316673"/>
    <w:rsid w:val="0031674C"/>
    <w:rsid w:val="00316834"/>
    <w:rsid w:val="0031744B"/>
    <w:rsid w:val="003176AD"/>
    <w:rsid w:val="00317729"/>
    <w:rsid w:val="0032006F"/>
    <w:rsid w:val="00320118"/>
    <w:rsid w:val="00320461"/>
    <w:rsid w:val="00320AC6"/>
    <w:rsid w:val="00320BE6"/>
    <w:rsid w:val="00320C4F"/>
    <w:rsid w:val="0032199C"/>
    <w:rsid w:val="003230E8"/>
    <w:rsid w:val="00325DCC"/>
    <w:rsid w:val="003261C4"/>
    <w:rsid w:val="00326611"/>
    <w:rsid w:val="0033045A"/>
    <w:rsid w:val="00331CDB"/>
    <w:rsid w:val="0033288C"/>
    <w:rsid w:val="00333877"/>
    <w:rsid w:val="00334F8E"/>
    <w:rsid w:val="00335639"/>
    <w:rsid w:val="00336472"/>
    <w:rsid w:val="00336546"/>
    <w:rsid w:val="003366FF"/>
    <w:rsid w:val="003367EA"/>
    <w:rsid w:val="00336A31"/>
    <w:rsid w:val="00336B15"/>
    <w:rsid w:val="0033710E"/>
    <w:rsid w:val="00337DB6"/>
    <w:rsid w:val="003406AA"/>
    <w:rsid w:val="00340BC9"/>
    <w:rsid w:val="00340CF1"/>
    <w:rsid w:val="003412C5"/>
    <w:rsid w:val="0034152A"/>
    <w:rsid w:val="003415F9"/>
    <w:rsid w:val="00341C2C"/>
    <w:rsid w:val="0034316E"/>
    <w:rsid w:val="003431B1"/>
    <w:rsid w:val="00343AB5"/>
    <w:rsid w:val="0034415F"/>
    <w:rsid w:val="0034432F"/>
    <w:rsid w:val="00344F85"/>
    <w:rsid w:val="00345215"/>
    <w:rsid w:val="00345703"/>
    <w:rsid w:val="00345D3F"/>
    <w:rsid w:val="00346545"/>
    <w:rsid w:val="003469ED"/>
    <w:rsid w:val="0034716F"/>
    <w:rsid w:val="00350AB7"/>
    <w:rsid w:val="00350B7B"/>
    <w:rsid w:val="00351357"/>
    <w:rsid w:val="00352876"/>
    <w:rsid w:val="00352AEF"/>
    <w:rsid w:val="0035343A"/>
    <w:rsid w:val="003535E7"/>
    <w:rsid w:val="00353601"/>
    <w:rsid w:val="00354B7A"/>
    <w:rsid w:val="00355240"/>
    <w:rsid w:val="003556EA"/>
    <w:rsid w:val="00355DA3"/>
    <w:rsid w:val="00356AB5"/>
    <w:rsid w:val="00356E52"/>
    <w:rsid w:val="00357373"/>
    <w:rsid w:val="00357CC8"/>
    <w:rsid w:val="00357F92"/>
    <w:rsid w:val="00360ED7"/>
    <w:rsid w:val="00360FD8"/>
    <w:rsid w:val="00361354"/>
    <w:rsid w:val="0036152C"/>
    <w:rsid w:val="00361C49"/>
    <w:rsid w:val="00361E4D"/>
    <w:rsid w:val="00362E13"/>
    <w:rsid w:val="003635AD"/>
    <w:rsid w:val="00363E0A"/>
    <w:rsid w:val="00364428"/>
    <w:rsid w:val="00364B29"/>
    <w:rsid w:val="003655BB"/>
    <w:rsid w:val="00365602"/>
    <w:rsid w:val="00365887"/>
    <w:rsid w:val="003658BF"/>
    <w:rsid w:val="00366843"/>
    <w:rsid w:val="00366C55"/>
    <w:rsid w:val="00366D4B"/>
    <w:rsid w:val="00366FCA"/>
    <w:rsid w:val="0037007E"/>
    <w:rsid w:val="00370278"/>
    <w:rsid w:val="003703BB"/>
    <w:rsid w:val="00370944"/>
    <w:rsid w:val="00370BDB"/>
    <w:rsid w:val="00371E4A"/>
    <w:rsid w:val="0037212B"/>
    <w:rsid w:val="003727C2"/>
    <w:rsid w:val="003738D6"/>
    <w:rsid w:val="00374194"/>
    <w:rsid w:val="003745A9"/>
    <w:rsid w:val="00374609"/>
    <w:rsid w:val="00374A33"/>
    <w:rsid w:val="00375113"/>
    <w:rsid w:val="003752AF"/>
    <w:rsid w:val="00375A58"/>
    <w:rsid w:val="00375C2A"/>
    <w:rsid w:val="0037629A"/>
    <w:rsid w:val="003764A8"/>
    <w:rsid w:val="00376C9D"/>
    <w:rsid w:val="00376F85"/>
    <w:rsid w:val="00380FAB"/>
    <w:rsid w:val="00381F4E"/>
    <w:rsid w:val="0038272D"/>
    <w:rsid w:val="00382C2D"/>
    <w:rsid w:val="00382F05"/>
    <w:rsid w:val="003831C5"/>
    <w:rsid w:val="00383B7F"/>
    <w:rsid w:val="00383E73"/>
    <w:rsid w:val="00385224"/>
    <w:rsid w:val="00385426"/>
    <w:rsid w:val="003857D3"/>
    <w:rsid w:val="003859F1"/>
    <w:rsid w:val="00386AB7"/>
    <w:rsid w:val="00386ABC"/>
    <w:rsid w:val="00386D80"/>
    <w:rsid w:val="0038741B"/>
    <w:rsid w:val="003874F2"/>
    <w:rsid w:val="00390004"/>
    <w:rsid w:val="00390BCE"/>
    <w:rsid w:val="003916B7"/>
    <w:rsid w:val="00391D78"/>
    <w:rsid w:val="00392EBF"/>
    <w:rsid w:val="0039373E"/>
    <w:rsid w:val="00393ADE"/>
    <w:rsid w:val="00393D73"/>
    <w:rsid w:val="00393DAB"/>
    <w:rsid w:val="0039463D"/>
    <w:rsid w:val="00394780"/>
    <w:rsid w:val="00394942"/>
    <w:rsid w:val="00394C53"/>
    <w:rsid w:val="00395962"/>
    <w:rsid w:val="00395D24"/>
    <w:rsid w:val="00396087"/>
    <w:rsid w:val="00396A55"/>
    <w:rsid w:val="00397DA7"/>
    <w:rsid w:val="00397E20"/>
    <w:rsid w:val="003A004B"/>
    <w:rsid w:val="003A01BB"/>
    <w:rsid w:val="003A0839"/>
    <w:rsid w:val="003A087F"/>
    <w:rsid w:val="003A08EA"/>
    <w:rsid w:val="003A0AB3"/>
    <w:rsid w:val="003A0B70"/>
    <w:rsid w:val="003A1312"/>
    <w:rsid w:val="003A1D16"/>
    <w:rsid w:val="003A2226"/>
    <w:rsid w:val="003A2F25"/>
    <w:rsid w:val="003A3359"/>
    <w:rsid w:val="003A3454"/>
    <w:rsid w:val="003A368F"/>
    <w:rsid w:val="003A3CDF"/>
    <w:rsid w:val="003A4144"/>
    <w:rsid w:val="003A46FD"/>
    <w:rsid w:val="003A4FB7"/>
    <w:rsid w:val="003A5C4B"/>
    <w:rsid w:val="003A5D69"/>
    <w:rsid w:val="003A5E50"/>
    <w:rsid w:val="003A68B9"/>
    <w:rsid w:val="003A6CA3"/>
    <w:rsid w:val="003A71FC"/>
    <w:rsid w:val="003B0064"/>
    <w:rsid w:val="003B0521"/>
    <w:rsid w:val="003B0893"/>
    <w:rsid w:val="003B0D58"/>
    <w:rsid w:val="003B2135"/>
    <w:rsid w:val="003B3DB4"/>
    <w:rsid w:val="003B45E0"/>
    <w:rsid w:val="003B4781"/>
    <w:rsid w:val="003B493E"/>
    <w:rsid w:val="003B4DDB"/>
    <w:rsid w:val="003B5644"/>
    <w:rsid w:val="003B5A7D"/>
    <w:rsid w:val="003B5C5D"/>
    <w:rsid w:val="003B5E38"/>
    <w:rsid w:val="003B6276"/>
    <w:rsid w:val="003B6463"/>
    <w:rsid w:val="003B6976"/>
    <w:rsid w:val="003B6F21"/>
    <w:rsid w:val="003B74FE"/>
    <w:rsid w:val="003B7944"/>
    <w:rsid w:val="003B7B60"/>
    <w:rsid w:val="003C04E8"/>
    <w:rsid w:val="003C0DD3"/>
    <w:rsid w:val="003C1D92"/>
    <w:rsid w:val="003C1DDF"/>
    <w:rsid w:val="003C1FDA"/>
    <w:rsid w:val="003C21E1"/>
    <w:rsid w:val="003C2381"/>
    <w:rsid w:val="003C291A"/>
    <w:rsid w:val="003C2B75"/>
    <w:rsid w:val="003C2DC9"/>
    <w:rsid w:val="003C37D5"/>
    <w:rsid w:val="003C3EAC"/>
    <w:rsid w:val="003C4FDA"/>
    <w:rsid w:val="003C5824"/>
    <w:rsid w:val="003C5A16"/>
    <w:rsid w:val="003C5FDC"/>
    <w:rsid w:val="003C5FFF"/>
    <w:rsid w:val="003C61BC"/>
    <w:rsid w:val="003C6E3E"/>
    <w:rsid w:val="003C7399"/>
    <w:rsid w:val="003C7924"/>
    <w:rsid w:val="003C7B04"/>
    <w:rsid w:val="003D0A48"/>
    <w:rsid w:val="003D0AB3"/>
    <w:rsid w:val="003D1199"/>
    <w:rsid w:val="003D18A1"/>
    <w:rsid w:val="003D1B19"/>
    <w:rsid w:val="003D1EF0"/>
    <w:rsid w:val="003D1F54"/>
    <w:rsid w:val="003D2333"/>
    <w:rsid w:val="003D2561"/>
    <w:rsid w:val="003D28C8"/>
    <w:rsid w:val="003D30E9"/>
    <w:rsid w:val="003D3976"/>
    <w:rsid w:val="003D3BA2"/>
    <w:rsid w:val="003D3D10"/>
    <w:rsid w:val="003D4779"/>
    <w:rsid w:val="003D4D6C"/>
    <w:rsid w:val="003D4D80"/>
    <w:rsid w:val="003D58D6"/>
    <w:rsid w:val="003D668A"/>
    <w:rsid w:val="003D7863"/>
    <w:rsid w:val="003E0D11"/>
    <w:rsid w:val="003E1313"/>
    <w:rsid w:val="003E1579"/>
    <w:rsid w:val="003E15E2"/>
    <w:rsid w:val="003E1657"/>
    <w:rsid w:val="003E180A"/>
    <w:rsid w:val="003E3283"/>
    <w:rsid w:val="003E32E7"/>
    <w:rsid w:val="003E36A5"/>
    <w:rsid w:val="003E3AED"/>
    <w:rsid w:val="003E3BDB"/>
    <w:rsid w:val="003E4531"/>
    <w:rsid w:val="003E53F8"/>
    <w:rsid w:val="003E5927"/>
    <w:rsid w:val="003E6828"/>
    <w:rsid w:val="003E68B3"/>
    <w:rsid w:val="003E6ED7"/>
    <w:rsid w:val="003E6F1C"/>
    <w:rsid w:val="003E6F91"/>
    <w:rsid w:val="003E7280"/>
    <w:rsid w:val="003E7BF0"/>
    <w:rsid w:val="003E7CF9"/>
    <w:rsid w:val="003E7D31"/>
    <w:rsid w:val="003F05A0"/>
    <w:rsid w:val="003F0CD4"/>
    <w:rsid w:val="003F1DBF"/>
    <w:rsid w:val="003F1FCD"/>
    <w:rsid w:val="003F2189"/>
    <w:rsid w:val="003F2E3C"/>
    <w:rsid w:val="003F36E5"/>
    <w:rsid w:val="003F3736"/>
    <w:rsid w:val="003F46AF"/>
    <w:rsid w:val="003F5541"/>
    <w:rsid w:val="003F5C29"/>
    <w:rsid w:val="003F63BF"/>
    <w:rsid w:val="003F7251"/>
    <w:rsid w:val="003F7C8B"/>
    <w:rsid w:val="003F7E5B"/>
    <w:rsid w:val="00400239"/>
    <w:rsid w:val="0040056D"/>
    <w:rsid w:val="00401AFA"/>
    <w:rsid w:val="00401BCF"/>
    <w:rsid w:val="00401D71"/>
    <w:rsid w:val="004020C7"/>
    <w:rsid w:val="004026A3"/>
    <w:rsid w:val="00402816"/>
    <w:rsid w:val="0040350B"/>
    <w:rsid w:val="00403CA0"/>
    <w:rsid w:val="00403D5A"/>
    <w:rsid w:val="00403EAB"/>
    <w:rsid w:val="004048D6"/>
    <w:rsid w:val="00404BD8"/>
    <w:rsid w:val="00405033"/>
    <w:rsid w:val="00405653"/>
    <w:rsid w:val="004060CF"/>
    <w:rsid w:val="0040676E"/>
    <w:rsid w:val="00406939"/>
    <w:rsid w:val="00406C1E"/>
    <w:rsid w:val="00407492"/>
    <w:rsid w:val="004074C7"/>
    <w:rsid w:val="00407C9B"/>
    <w:rsid w:val="00407D15"/>
    <w:rsid w:val="004100D4"/>
    <w:rsid w:val="004105CB"/>
    <w:rsid w:val="0041110E"/>
    <w:rsid w:val="00411151"/>
    <w:rsid w:val="00411B05"/>
    <w:rsid w:val="00411C5F"/>
    <w:rsid w:val="00411F0C"/>
    <w:rsid w:val="0041222F"/>
    <w:rsid w:val="00412361"/>
    <w:rsid w:val="004128D3"/>
    <w:rsid w:val="004137E5"/>
    <w:rsid w:val="00413B1C"/>
    <w:rsid w:val="00413B95"/>
    <w:rsid w:val="0041425D"/>
    <w:rsid w:val="00414812"/>
    <w:rsid w:val="00414B5A"/>
    <w:rsid w:val="00415035"/>
    <w:rsid w:val="00415D99"/>
    <w:rsid w:val="00416C3D"/>
    <w:rsid w:val="0041724F"/>
    <w:rsid w:val="00417766"/>
    <w:rsid w:val="00417B4B"/>
    <w:rsid w:val="00417BF5"/>
    <w:rsid w:val="00420342"/>
    <w:rsid w:val="004203B4"/>
    <w:rsid w:val="004204F2"/>
    <w:rsid w:val="00420504"/>
    <w:rsid w:val="00420B98"/>
    <w:rsid w:val="00421665"/>
    <w:rsid w:val="00421A33"/>
    <w:rsid w:val="00421C5D"/>
    <w:rsid w:val="00421E9E"/>
    <w:rsid w:val="0042212E"/>
    <w:rsid w:val="004222CE"/>
    <w:rsid w:val="0042244C"/>
    <w:rsid w:val="00422B04"/>
    <w:rsid w:val="0042473B"/>
    <w:rsid w:val="004249AE"/>
    <w:rsid w:val="0042506C"/>
    <w:rsid w:val="00426302"/>
    <w:rsid w:val="00426BE7"/>
    <w:rsid w:val="00427CBC"/>
    <w:rsid w:val="0043038A"/>
    <w:rsid w:val="00430A5A"/>
    <w:rsid w:val="00430AB2"/>
    <w:rsid w:val="00430FEB"/>
    <w:rsid w:val="004312E9"/>
    <w:rsid w:val="004314A1"/>
    <w:rsid w:val="00431A11"/>
    <w:rsid w:val="00431B0C"/>
    <w:rsid w:val="0043208B"/>
    <w:rsid w:val="00432653"/>
    <w:rsid w:val="00432B41"/>
    <w:rsid w:val="00432CC8"/>
    <w:rsid w:val="00432F04"/>
    <w:rsid w:val="00433015"/>
    <w:rsid w:val="00433B13"/>
    <w:rsid w:val="004340E5"/>
    <w:rsid w:val="0043493D"/>
    <w:rsid w:val="00434D9E"/>
    <w:rsid w:val="00435B59"/>
    <w:rsid w:val="00435B68"/>
    <w:rsid w:val="004360D5"/>
    <w:rsid w:val="00436A49"/>
    <w:rsid w:val="004379AD"/>
    <w:rsid w:val="00437C2B"/>
    <w:rsid w:val="00437D6B"/>
    <w:rsid w:val="004403AB"/>
    <w:rsid w:val="00440E2E"/>
    <w:rsid w:val="004410F1"/>
    <w:rsid w:val="0044119E"/>
    <w:rsid w:val="00441C61"/>
    <w:rsid w:val="00441E6A"/>
    <w:rsid w:val="004426E5"/>
    <w:rsid w:val="00442BF0"/>
    <w:rsid w:val="0044317F"/>
    <w:rsid w:val="00444376"/>
    <w:rsid w:val="00444745"/>
    <w:rsid w:val="00445A5C"/>
    <w:rsid w:val="004461C4"/>
    <w:rsid w:val="004464F1"/>
    <w:rsid w:val="004466AC"/>
    <w:rsid w:val="00450882"/>
    <w:rsid w:val="00451A15"/>
    <w:rsid w:val="00451B3A"/>
    <w:rsid w:val="00451DF3"/>
    <w:rsid w:val="00452324"/>
    <w:rsid w:val="004524F2"/>
    <w:rsid w:val="00453308"/>
    <w:rsid w:val="00453975"/>
    <w:rsid w:val="004545B7"/>
    <w:rsid w:val="00455265"/>
    <w:rsid w:val="0045526D"/>
    <w:rsid w:val="00455C9B"/>
    <w:rsid w:val="00455DBF"/>
    <w:rsid w:val="004561B0"/>
    <w:rsid w:val="00456CFD"/>
    <w:rsid w:val="0046081B"/>
    <w:rsid w:val="00461628"/>
    <w:rsid w:val="00461EDF"/>
    <w:rsid w:val="00461F6A"/>
    <w:rsid w:val="00462047"/>
    <w:rsid w:val="0046262E"/>
    <w:rsid w:val="004628DD"/>
    <w:rsid w:val="00462A42"/>
    <w:rsid w:val="00462E4E"/>
    <w:rsid w:val="00463996"/>
    <w:rsid w:val="00463F86"/>
    <w:rsid w:val="00464B47"/>
    <w:rsid w:val="00464F4E"/>
    <w:rsid w:val="0046505C"/>
    <w:rsid w:val="00466790"/>
    <w:rsid w:val="004667B0"/>
    <w:rsid w:val="00466ABC"/>
    <w:rsid w:val="00467046"/>
    <w:rsid w:val="00467A98"/>
    <w:rsid w:val="004702AB"/>
    <w:rsid w:val="00471AAD"/>
    <w:rsid w:val="00471B03"/>
    <w:rsid w:val="0047218D"/>
    <w:rsid w:val="00472821"/>
    <w:rsid w:val="004730EB"/>
    <w:rsid w:val="004735C1"/>
    <w:rsid w:val="0047367E"/>
    <w:rsid w:val="00473CEF"/>
    <w:rsid w:val="00473D1B"/>
    <w:rsid w:val="00474775"/>
    <w:rsid w:val="00474A21"/>
    <w:rsid w:val="00474DAC"/>
    <w:rsid w:val="00474F92"/>
    <w:rsid w:val="00474FC8"/>
    <w:rsid w:val="004752AA"/>
    <w:rsid w:val="0047598B"/>
    <w:rsid w:val="00475F4A"/>
    <w:rsid w:val="00476E84"/>
    <w:rsid w:val="0047742F"/>
    <w:rsid w:val="004778D7"/>
    <w:rsid w:val="00477A43"/>
    <w:rsid w:val="004803A1"/>
    <w:rsid w:val="00480DA6"/>
    <w:rsid w:val="00482415"/>
    <w:rsid w:val="00482A48"/>
    <w:rsid w:val="00482F89"/>
    <w:rsid w:val="00483556"/>
    <w:rsid w:val="00483C6A"/>
    <w:rsid w:val="00484585"/>
    <w:rsid w:val="0048459C"/>
    <w:rsid w:val="00484A29"/>
    <w:rsid w:val="00485090"/>
    <w:rsid w:val="00485BEA"/>
    <w:rsid w:val="00486179"/>
    <w:rsid w:val="00486361"/>
    <w:rsid w:val="00486DB3"/>
    <w:rsid w:val="00486EAD"/>
    <w:rsid w:val="0048711A"/>
    <w:rsid w:val="00490692"/>
    <w:rsid w:val="0049098B"/>
    <w:rsid w:val="00490B47"/>
    <w:rsid w:val="00490CF3"/>
    <w:rsid w:val="00491572"/>
    <w:rsid w:val="0049181D"/>
    <w:rsid w:val="00491C39"/>
    <w:rsid w:val="00491DBB"/>
    <w:rsid w:val="0049222A"/>
    <w:rsid w:val="0049232A"/>
    <w:rsid w:val="00492DA4"/>
    <w:rsid w:val="00493453"/>
    <w:rsid w:val="00493A26"/>
    <w:rsid w:val="004941D7"/>
    <w:rsid w:val="0049436C"/>
    <w:rsid w:val="00494A3C"/>
    <w:rsid w:val="004950A2"/>
    <w:rsid w:val="0049510E"/>
    <w:rsid w:val="004951FF"/>
    <w:rsid w:val="004958E2"/>
    <w:rsid w:val="00495D58"/>
    <w:rsid w:val="00495DAF"/>
    <w:rsid w:val="00496145"/>
    <w:rsid w:val="004961D7"/>
    <w:rsid w:val="00496601"/>
    <w:rsid w:val="00496D76"/>
    <w:rsid w:val="00497109"/>
    <w:rsid w:val="004A09E4"/>
    <w:rsid w:val="004A0FD3"/>
    <w:rsid w:val="004A1C61"/>
    <w:rsid w:val="004A1ECB"/>
    <w:rsid w:val="004A1F7D"/>
    <w:rsid w:val="004A1FBC"/>
    <w:rsid w:val="004A20C8"/>
    <w:rsid w:val="004A33BB"/>
    <w:rsid w:val="004A4117"/>
    <w:rsid w:val="004A44AA"/>
    <w:rsid w:val="004A474A"/>
    <w:rsid w:val="004A4767"/>
    <w:rsid w:val="004A5209"/>
    <w:rsid w:val="004A5396"/>
    <w:rsid w:val="004A5F8B"/>
    <w:rsid w:val="004A6A2E"/>
    <w:rsid w:val="004A71BE"/>
    <w:rsid w:val="004A72B5"/>
    <w:rsid w:val="004B05FB"/>
    <w:rsid w:val="004B0627"/>
    <w:rsid w:val="004B194B"/>
    <w:rsid w:val="004B194F"/>
    <w:rsid w:val="004B21BD"/>
    <w:rsid w:val="004B2461"/>
    <w:rsid w:val="004B27EE"/>
    <w:rsid w:val="004B2A30"/>
    <w:rsid w:val="004B2C0F"/>
    <w:rsid w:val="004B2F6B"/>
    <w:rsid w:val="004B3955"/>
    <w:rsid w:val="004B43F5"/>
    <w:rsid w:val="004B48B2"/>
    <w:rsid w:val="004B543B"/>
    <w:rsid w:val="004B5A5E"/>
    <w:rsid w:val="004B5FDB"/>
    <w:rsid w:val="004B657F"/>
    <w:rsid w:val="004B6A42"/>
    <w:rsid w:val="004B6F5E"/>
    <w:rsid w:val="004B7358"/>
    <w:rsid w:val="004B7840"/>
    <w:rsid w:val="004B7F25"/>
    <w:rsid w:val="004C00A7"/>
    <w:rsid w:val="004C105B"/>
    <w:rsid w:val="004C13B4"/>
    <w:rsid w:val="004C2191"/>
    <w:rsid w:val="004C2261"/>
    <w:rsid w:val="004C2758"/>
    <w:rsid w:val="004C2DD4"/>
    <w:rsid w:val="004C3757"/>
    <w:rsid w:val="004C409F"/>
    <w:rsid w:val="004C5378"/>
    <w:rsid w:val="004C59C6"/>
    <w:rsid w:val="004C6FB0"/>
    <w:rsid w:val="004C729B"/>
    <w:rsid w:val="004C760E"/>
    <w:rsid w:val="004C7D3D"/>
    <w:rsid w:val="004D099A"/>
    <w:rsid w:val="004D15CC"/>
    <w:rsid w:val="004D1965"/>
    <w:rsid w:val="004D353B"/>
    <w:rsid w:val="004D3541"/>
    <w:rsid w:val="004D358F"/>
    <w:rsid w:val="004D3FB2"/>
    <w:rsid w:val="004D51C1"/>
    <w:rsid w:val="004D552D"/>
    <w:rsid w:val="004D5809"/>
    <w:rsid w:val="004D6418"/>
    <w:rsid w:val="004D69F9"/>
    <w:rsid w:val="004E0220"/>
    <w:rsid w:val="004E0604"/>
    <w:rsid w:val="004E12D1"/>
    <w:rsid w:val="004E1A5A"/>
    <w:rsid w:val="004E1F5C"/>
    <w:rsid w:val="004E1FBA"/>
    <w:rsid w:val="004E25D7"/>
    <w:rsid w:val="004E2BA8"/>
    <w:rsid w:val="004E3895"/>
    <w:rsid w:val="004E3A72"/>
    <w:rsid w:val="004E4B0A"/>
    <w:rsid w:val="004E53BC"/>
    <w:rsid w:val="004E5415"/>
    <w:rsid w:val="004E5B56"/>
    <w:rsid w:val="004E6849"/>
    <w:rsid w:val="004E72BB"/>
    <w:rsid w:val="004E758F"/>
    <w:rsid w:val="004E783A"/>
    <w:rsid w:val="004F0137"/>
    <w:rsid w:val="004F138C"/>
    <w:rsid w:val="004F1DB6"/>
    <w:rsid w:val="004F2191"/>
    <w:rsid w:val="004F23EA"/>
    <w:rsid w:val="004F39D5"/>
    <w:rsid w:val="004F42C9"/>
    <w:rsid w:val="004F6949"/>
    <w:rsid w:val="004F6B23"/>
    <w:rsid w:val="004F6CF6"/>
    <w:rsid w:val="004F6DC4"/>
    <w:rsid w:val="004F7FC4"/>
    <w:rsid w:val="00500714"/>
    <w:rsid w:val="005009DF"/>
    <w:rsid w:val="00501E5A"/>
    <w:rsid w:val="00501EF7"/>
    <w:rsid w:val="00501FBE"/>
    <w:rsid w:val="005032F5"/>
    <w:rsid w:val="00505A6B"/>
    <w:rsid w:val="005078DF"/>
    <w:rsid w:val="00507B6B"/>
    <w:rsid w:val="00507CB2"/>
    <w:rsid w:val="00507CDC"/>
    <w:rsid w:val="00510AF5"/>
    <w:rsid w:val="00510BAC"/>
    <w:rsid w:val="00511CE4"/>
    <w:rsid w:val="00511F52"/>
    <w:rsid w:val="00512042"/>
    <w:rsid w:val="00513027"/>
    <w:rsid w:val="00513131"/>
    <w:rsid w:val="005131ED"/>
    <w:rsid w:val="0051396A"/>
    <w:rsid w:val="00513DDE"/>
    <w:rsid w:val="00514018"/>
    <w:rsid w:val="0051456A"/>
    <w:rsid w:val="00515208"/>
    <w:rsid w:val="005166D4"/>
    <w:rsid w:val="00516ADD"/>
    <w:rsid w:val="00517535"/>
    <w:rsid w:val="005175F7"/>
    <w:rsid w:val="00517B02"/>
    <w:rsid w:val="00517C73"/>
    <w:rsid w:val="00517E3D"/>
    <w:rsid w:val="0052036B"/>
    <w:rsid w:val="0052068C"/>
    <w:rsid w:val="00520E29"/>
    <w:rsid w:val="005213AA"/>
    <w:rsid w:val="005216B7"/>
    <w:rsid w:val="00521B15"/>
    <w:rsid w:val="005221AF"/>
    <w:rsid w:val="00522436"/>
    <w:rsid w:val="00522741"/>
    <w:rsid w:val="00522CAE"/>
    <w:rsid w:val="00523A96"/>
    <w:rsid w:val="00523E19"/>
    <w:rsid w:val="00524BE7"/>
    <w:rsid w:val="00524C75"/>
    <w:rsid w:val="00525031"/>
    <w:rsid w:val="005250BD"/>
    <w:rsid w:val="00525155"/>
    <w:rsid w:val="005254D6"/>
    <w:rsid w:val="005255DB"/>
    <w:rsid w:val="0052676B"/>
    <w:rsid w:val="00527078"/>
    <w:rsid w:val="00527C49"/>
    <w:rsid w:val="005307B6"/>
    <w:rsid w:val="00530A8E"/>
    <w:rsid w:val="00531A1B"/>
    <w:rsid w:val="005321A9"/>
    <w:rsid w:val="0053290F"/>
    <w:rsid w:val="00533A8C"/>
    <w:rsid w:val="0053404D"/>
    <w:rsid w:val="00534352"/>
    <w:rsid w:val="0053542C"/>
    <w:rsid w:val="00535C4D"/>
    <w:rsid w:val="00535C7E"/>
    <w:rsid w:val="00535FB2"/>
    <w:rsid w:val="0053673F"/>
    <w:rsid w:val="005368BD"/>
    <w:rsid w:val="00536937"/>
    <w:rsid w:val="00540D31"/>
    <w:rsid w:val="00541219"/>
    <w:rsid w:val="005415B2"/>
    <w:rsid w:val="005415FF"/>
    <w:rsid w:val="005419B4"/>
    <w:rsid w:val="00541CFC"/>
    <w:rsid w:val="00542239"/>
    <w:rsid w:val="0054253F"/>
    <w:rsid w:val="005428A6"/>
    <w:rsid w:val="00542A46"/>
    <w:rsid w:val="005438EA"/>
    <w:rsid w:val="0054402B"/>
    <w:rsid w:val="0054440A"/>
    <w:rsid w:val="00544766"/>
    <w:rsid w:val="0054543A"/>
    <w:rsid w:val="005454C6"/>
    <w:rsid w:val="005457F5"/>
    <w:rsid w:val="0054662F"/>
    <w:rsid w:val="0054701B"/>
    <w:rsid w:val="00550173"/>
    <w:rsid w:val="0055174D"/>
    <w:rsid w:val="005521CA"/>
    <w:rsid w:val="005523BB"/>
    <w:rsid w:val="00552849"/>
    <w:rsid w:val="00552ADB"/>
    <w:rsid w:val="00553352"/>
    <w:rsid w:val="00553F87"/>
    <w:rsid w:val="00554EA8"/>
    <w:rsid w:val="005558BC"/>
    <w:rsid w:val="00555CC3"/>
    <w:rsid w:val="00555CF3"/>
    <w:rsid w:val="00556469"/>
    <w:rsid w:val="005577C7"/>
    <w:rsid w:val="00557C09"/>
    <w:rsid w:val="005603BD"/>
    <w:rsid w:val="005609BB"/>
    <w:rsid w:val="00560DAD"/>
    <w:rsid w:val="00560F6F"/>
    <w:rsid w:val="00561A9A"/>
    <w:rsid w:val="00563A45"/>
    <w:rsid w:val="005645E9"/>
    <w:rsid w:val="005648C2"/>
    <w:rsid w:val="00564986"/>
    <w:rsid w:val="00565031"/>
    <w:rsid w:val="0056589D"/>
    <w:rsid w:val="005661BA"/>
    <w:rsid w:val="005669CC"/>
    <w:rsid w:val="00566C7D"/>
    <w:rsid w:val="00566D40"/>
    <w:rsid w:val="00566D5F"/>
    <w:rsid w:val="00567771"/>
    <w:rsid w:val="00567869"/>
    <w:rsid w:val="005678F2"/>
    <w:rsid w:val="005706DD"/>
    <w:rsid w:val="00570C61"/>
    <w:rsid w:val="00571219"/>
    <w:rsid w:val="005719EB"/>
    <w:rsid w:val="00572133"/>
    <w:rsid w:val="00572624"/>
    <w:rsid w:val="005727CE"/>
    <w:rsid w:val="00572B4E"/>
    <w:rsid w:val="005733C9"/>
    <w:rsid w:val="0057362E"/>
    <w:rsid w:val="005747BB"/>
    <w:rsid w:val="00574E52"/>
    <w:rsid w:val="00575141"/>
    <w:rsid w:val="00575F3F"/>
    <w:rsid w:val="00576182"/>
    <w:rsid w:val="005763B5"/>
    <w:rsid w:val="00576729"/>
    <w:rsid w:val="00576B92"/>
    <w:rsid w:val="005778B4"/>
    <w:rsid w:val="005802EA"/>
    <w:rsid w:val="005804CE"/>
    <w:rsid w:val="005827B8"/>
    <w:rsid w:val="005829E2"/>
    <w:rsid w:val="00583474"/>
    <w:rsid w:val="00583668"/>
    <w:rsid w:val="005836AC"/>
    <w:rsid w:val="00583BD2"/>
    <w:rsid w:val="0058424D"/>
    <w:rsid w:val="005843AA"/>
    <w:rsid w:val="00584ECB"/>
    <w:rsid w:val="00585651"/>
    <w:rsid w:val="005859A6"/>
    <w:rsid w:val="00585BF7"/>
    <w:rsid w:val="00585CA4"/>
    <w:rsid w:val="005868F1"/>
    <w:rsid w:val="0058694C"/>
    <w:rsid w:val="00586D58"/>
    <w:rsid w:val="00587538"/>
    <w:rsid w:val="0059012E"/>
    <w:rsid w:val="00590379"/>
    <w:rsid w:val="00590431"/>
    <w:rsid w:val="005904A6"/>
    <w:rsid w:val="00590ABA"/>
    <w:rsid w:val="00591147"/>
    <w:rsid w:val="0059172D"/>
    <w:rsid w:val="0059202E"/>
    <w:rsid w:val="005922CD"/>
    <w:rsid w:val="00592857"/>
    <w:rsid w:val="00594799"/>
    <w:rsid w:val="005949E2"/>
    <w:rsid w:val="005951D1"/>
    <w:rsid w:val="005954F9"/>
    <w:rsid w:val="00595F1A"/>
    <w:rsid w:val="00596754"/>
    <w:rsid w:val="00597321"/>
    <w:rsid w:val="00597425"/>
    <w:rsid w:val="005975C0"/>
    <w:rsid w:val="00597DFC"/>
    <w:rsid w:val="005A1171"/>
    <w:rsid w:val="005A17A6"/>
    <w:rsid w:val="005A1B26"/>
    <w:rsid w:val="005A1F0C"/>
    <w:rsid w:val="005A27CD"/>
    <w:rsid w:val="005A2966"/>
    <w:rsid w:val="005A36BD"/>
    <w:rsid w:val="005A3C8D"/>
    <w:rsid w:val="005A4704"/>
    <w:rsid w:val="005A53EB"/>
    <w:rsid w:val="005A5872"/>
    <w:rsid w:val="005A6334"/>
    <w:rsid w:val="005B0676"/>
    <w:rsid w:val="005B0ACF"/>
    <w:rsid w:val="005B175A"/>
    <w:rsid w:val="005B1BA8"/>
    <w:rsid w:val="005B1FA6"/>
    <w:rsid w:val="005B2292"/>
    <w:rsid w:val="005B263F"/>
    <w:rsid w:val="005B27E8"/>
    <w:rsid w:val="005B2BB8"/>
    <w:rsid w:val="005B2D07"/>
    <w:rsid w:val="005B3FAC"/>
    <w:rsid w:val="005B48D0"/>
    <w:rsid w:val="005B4B57"/>
    <w:rsid w:val="005B4D0C"/>
    <w:rsid w:val="005B50A8"/>
    <w:rsid w:val="005B5155"/>
    <w:rsid w:val="005B6B1C"/>
    <w:rsid w:val="005B7163"/>
    <w:rsid w:val="005B7F1C"/>
    <w:rsid w:val="005B7FC6"/>
    <w:rsid w:val="005C071C"/>
    <w:rsid w:val="005C12A0"/>
    <w:rsid w:val="005C151A"/>
    <w:rsid w:val="005C1A3D"/>
    <w:rsid w:val="005C1C60"/>
    <w:rsid w:val="005C1FB0"/>
    <w:rsid w:val="005C2B23"/>
    <w:rsid w:val="005C3D16"/>
    <w:rsid w:val="005C3FF2"/>
    <w:rsid w:val="005C4E07"/>
    <w:rsid w:val="005C53D1"/>
    <w:rsid w:val="005C5A44"/>
    <w:rsid w:val="005C5B88"/>
    <w:rsid w:val="005C5C93"/>
    <w:rsid w:val="005C694D"/>
    <w:rsid w:val="005C6B15"/>
    <w:rsid w:val="005C6BDF"/>
    <w:rsid w:val="005C6BE4"/>
    <w:rsid w:val="005C6F06"/>
    <w:rsid w:val="005C754E"/>
    <w:rsid w:val="005C7711"/>
    <w:rsid w:val="005C7C46"/>
    <w:rsid w:val="005C7C4E"/>
    <w:rsid w:val="005D0113"/>
    <w:rsid w:val="005D05B2"/>
    <w:rsid w:val="005D0A22"/>
    <w:rsid w:val="005D0CAE"/>
    <w:rsid w:val="005D0CF6"/>
    <w:rsid w:val="005D174F"/>
    <w:rsid w:val="005D29C8"/>
    <w:rsid w:val="005D46B7"/>
    <w:rsid w:val="005D71D4"/>
    <w:rsid w:val="005D72D8"/>
    <w:rsid w:val="005D7801"/>
    <w:rsid w:val="005D78E4"/>
    <w:rsid w:val="005D7E82"/>
    <w:rsid w:val="005E0021"/>
    <w:rsid w:val="005E0828"/>
    <w:rsid w:val="005E095E"/>
    <w:rsid w:val="005E12FE"/>
    <w:rsid w:val="005E14BA"/>
    <w:rsid w:val="005E1E9A"/>
    <w:rsid w:val="005E1F7C"/>
    <w:rsid w:val="005E24CA"/>
    <w:rsid w:val="005E277C"/>
    <w:rsid w:val="005E28B3"/>
    <w:rsid w:val="005E3875"/>
    <w:rsid w:val="005E3E48"/>
    <w:rsid w:val="005E407C"/>
    <w:rsid w:val="005E4521"/>
    <w:rsid w:val="005E4E29"/>
    <w:rsid w:val="005E52C7"/>
    <w:rsid w:val="005E579E"/>
    <w:rsid w:val="005E61B2"/>
    <w:rsid w:val="005E6651"/>
    <w:rsid w:val="005E6B5F"/>
    <w:rsid w:val="005E6DAB"/>
    <w:rsid w:val="005F08AE"/>
    <w:rsid w:val="005F11C3"/>
    <w:rsid w:val="005F1611"/>
    <w:rsid w:val="005F18CD"/>
    <w:rsid w:val="005F2339"/>
    <w:rsid w:val="005F2547"/>
    <w:rsid w:val="005F303B"/>
    <w:rsid w:val="005F3680"/>
    <w:rsid w:val="005F482B"/>
    <w:rsid w:val="005F4CBB"/>
    <w:rsid w:val="005F4DCF"/>
    <w:rsid w:val="005F515A"/>
    <w:rsid w:val="005F5942"/>
    <w:rsid w:val="005F6C27"/>
    <w:rsid w:val="005F72FC"/>
    <w:rsid w:val="005F77FB"/>
    <w:rsid w:val="005F783C"/>
    <w:rsid w:val="006008BA"/>
    <w:rsid w:val="00600E61"/>
    <w:rsid w:val="00600EFE"/>
    <w:rsid w:val="00601B2F"/>
    <w:rsid w:val="00602540"/>
    <w:rsid w:val="006036E5"/>
    <w:rsid w:val="00603985"/>
    <w:rsid w:val="00603C22"/>
    <w:rsid w:val="00603CD6"/>
    <w:rsid w:val="00603CDA"/>
    <w:rsid w:val="00604199"/>
    <w:rsid w:val="00604711"/>
    <w:rsid w:val="006050E4"/>
    <w:rsid w:val="00605777"/>
    <w:rsid w:val="0060748E"/>
    <w:rsid w:val="00607514"/>
    <w:rsid w:val="006075E9"/>
    <w:rsid w:val="00607623"/>
    <w:rsid w:val="00610076"/>
    <w:rsid w:val="00611B5B"/>
    <w:rsid w:val="00612353"/>
    <w:rsid w:val="006128CF"/>
    <w:rsid w:val="006129A5"/>
    <w:rsid w:val="00612A74"/>
    <w:rsid w:val="00613555"/>
    <w:rsid w:val="00613AE0"/>
    <w:rsid w:val="00613DE8"/>
    <w:rsid w:val="00613F6F"/>
    <w:rsid w:val="006142DA"/>
    <w:rsid w:val="006148CD"/>
    <w:rsid w:val="006153B6"/>
    <w:rsid w:val="00615972"/>
    <w:rsid w:val="0061716B"/>
    <w:rsid w:val="006179F6"/>
    <w:rsid w:val="00617C87"/>
    <w:rsid w:val="00617EAD"/>
    <w:rsid w:val="00620934"/>
    <w:rsid w:val="00620CF7"/>
    <w:rsid w:val="00621116"/>
    <w:rsid w:val="00621290"/>
    <w:rsid w:val="00621414"/>
    <w:rsid w:val="0062237C"/>
    <w:rsid w:val="006228F8"/>
    <w:rsid w:val="00623566"/>
    <w:rsid w:val="0062425F"/>
    <w:rsid w:val="0062468F"/>
    <w:rsid w:val="006248CD"/>
    <w:rsid w:val="00624FD3"/>
    <w:rsid w:val="00625291"/>
    <w:rsid w:val="00625529"/>
    <w:rsid w:val="00625A12"/>
    <w:rsid w:val="006260B3"/>
    <w:rsid w:val="0062775D"/>
    <w:rsid w:val="006278BD"/>
    <w:rsid w:val="00630324"/>
    <w:rsid w:val="0063132A"/>
    <w:rsid w:val="0063148D"/>
    <w:rsid w:val="006317A3"/>
    <w:rsid w:val="006328B6"/>
    <w:rsid w:val="006328F9"/>
    <w:rsid w:val="00633609"/>
    <w:rsid w:val="00633830"/>
    <w:rsid w:val="0063390C"/>
    <w:rsid w:val="0063394B"/>
    <w:rsid w:val="006352CB"/>
    <w:rsid w:val="00635CD6"/>
    <w:rsid w:val="006365BC"/>
    <w:rsid w:val="00636CF8"/>
    <w:rsid w:val="006378A9"/>
    <w:rsid w:val="0063792B"/>
    <w:rsid w:val="00637E41"/>
    <w:rsid w:val="006402CE"/>
    <w:rsid w:val="0064106E"/>
    <w:rsid w:val="006411AC"/>
    <w:rsid w:val="006416DF"/>
    <w:rsid w:val="006419A3"/>
    <w:rsid w:val="0064231A"/>
    <w:rsid w:val="0064258E"/>
    <w:rsid w:val="006426CB"/>
    <w:rsid w:val="006427FD"/>
    <w:rsid w:val="0064285B"/>
    <w:rsid w:val="00642C4A"/>
    <w:rsid w:val="00642FFE"/>
    <w:rsid w:val="0064370D"/>
    <w:rsid w:val="00643802"/>
    <w:rsid w:val="0064401B"/>
    <w:rsid w:val="0064421A"/>
    <w:rsid w:val="00644FD4"/>
    <w:rsid w:val="00644FD7"/>
    <w:rsid w:val="00645370"/>
    <w:rsid w:val="0064579C"/>
    <w:rsid w:val="0064702A"/>
    <w:rsid w:val="00647432"/>
    <w:rsid w:val="00650180"/>
    <w:rsid w:val="006504CE"/>
    <w:rsid w:val="00650FAB"/>
    <w:rsid w:val="006510EB"/>
    <w:rsid w:val="00651AF3"/>
    <w:rsid w:val="0065254D"/>
    <w:rsid w:val="0065312A"/>
    <w:rsid w:val="006532C5"/>
    <w:rsid w:val="00653B3C"/>
    <w:rsid w:val="0065415F"/>
    <w:rsid w:val="00655DD0"/>
    <w:rsid w:val="006568E2"/>
    <w:rsid w:val="00656C1F"/>
    <w:rsid w:val="00656DDD"/>
    <w:rsid w:val="006574D1"/>
    <w:rsid w:val="00660202"/>
    <w:rsid w:val="00660431"/>
    <w:rsid w:val="0066079D"/>
    <w:rsid w:val="0066107C"/>
    <w:rsid w:val="006611AF"/>
    <w:rsid w:val="0066127D"/>
    <w:rsid w:val="006613F9"/>
    <w:rsid w:val="006616AA"/>
    <w:rsid w:val="00661920"/>
    <w:rsid w:val="00661FC0"/>
    <w:rsid w:val="00662106"/>
    <w:rsid w:val="006630A1"/>
    <w:rsid w:val="00663E34"/>
    <w:rsid w:val="00664554"/>
    <w:rsid w:val="0066483A"/>
    <w:rsid w:val="006648AB"/>
    <w:rsid w:val="0066553E"/>
    <w:rsid w:val="00666501"/>
    <w:rsid w:val="00666731"/>
    <w:rsid w:val="00667009"/>
    <w:rsid w:val="00667956"/>
    <w:rsid w:val="00667B29"/>
    <w:rsid w:val="0067045D"/>
    <w:rsid w:val="0067098B"/>
    <w:rsid w:val="00670DB8"/>
    <w:rsid w:val="006711E4"/>
    <w:rsid w:val="0067142D"/>
    <w:rsid w:val="006721C3"/>
    <w:rsid w:val="006724D0"/>
    <w:rsid w:val="00673185"/>
    <w:rsid w:val="0067490C"/>
    <w:rsid w:val="00674DB2"/>
    <w:rsid w:val="006750AD"/>
    <w:rsid w:val="006751F5"/>
    <w:rsid w:val="006758B4"/>
    <w:rsid w:val="00675C31"/>
    <w:rsid w:val="00676018"/>
    <w:rsid w:val="0067602E"/>
    <w:rsid w:val="00677CA5"/>
    <w:rsid w:val="00677CC7"/>
    <w:rsid w:val="00680FA6"/>
    <w:rsid w:val="00682154"/>
    <w:rsid w:val="006822C6"/>
    <w:rsid w:val="0068245F"/>
    <w:rsid w:val="0068254B"/>
    <w:rsid w:val="00682C07"/>
    <w:rsid w:val="00684272"/>
    <w:rsid w:val="0068437D"/>
    <w:rsid w:val="00684952"/>
    <w:rsid w:val="00685B67"/>
    <w:rsid w:val="00686F3F"/>
    <w:rsid w:val="0068701A"/>
    <w:rsid w:val="00687494"/>
    <w:rsid w:val="00690328"/>
    <w:rsid w:val="006903A1"/>
    <w:rsid w:val="0069051A"/>
    <w:rsid w:val="0069053A"/>
    <w:rsid w:val="006905A9"/>
    <w:rsid w:val="006907F7"/>
    <w:rsid w:val="00690827"/>
    <w:rsid w:val="00690A38"/>
    <w:rsid w:val="00690A9C"/>
    <w:rsid w:val="00690DE5"/>
    <w:rsid w:val="00691B3B"/>
    <w:rsid w:val="00691F74"/>
    <w:rsid w:val="006923D8"/>
    <w:rsid w:val="00693D19"/>
    <w:rsid w:val="00693DBE"/>
    <w:rsid w:val="006943B7"/>
    <w:rsid w:val="006944D2"/>
    <w:rsid w:val="00695405"/>
    <w:rsid w:val="00695DEC"/>
    <w:rsid w:val="0069626F"/>
    <w:rsid w:val="006966F7"/>
    <w:rsid w:val="006968BE"/>
    <w:rsid w:val="006977BD"/>
    <w:rsid w:val="006977F4"/>
    <w:rsid w:val="006A03CC"/>
    <w:rsid w:val="006A06E1"/>
    <w:rsid w:val="006A0EC8"/>
    <w:rsid w:val="006A145D"/>
    <w:rsid w:val="006A19AB"/>
    <w:rsid w:val="006A1DBD"/>
    <w:rsid w:val="006A2083"/>
    <w:rsid w:val="006A26AF"/>
    <w:rsid w:val="006A2A92"/>
    <w:rsid w:val="006A362A"/>
    <w:rsid w:val="006A4358"/>
    <w:rsid w:val="006A5040"/>
    <w:rsid w:val="006A51FA"/>
    <w:rsid w:val="006A5C0D"/>
    <w:rsid w:val="006A6208"/>
    <w:rsid w:val="006A6284"/>
    <w:rsid w:val="006A7557"/>
    <w:rsid w:val="006A75D6"/>
    <w:rsid w:val="006A7CC8"/>
    <w:rsid w:val="006A7D99"/>
    <w:rsid w:val="006B004C"/>
    <w:rsid w:val="006B0AE9"/>
    <w:rsid w:val="006B1075"/>
    <w:rsid w:val="006B1132"/>
    <w:rsid w:val="006B1278"/>
    <w:rsid w:val="006B2F49"/>
    <w:rsid w:val="006B3EE9"/>
    <w:rsid w:val="006B570C"/>
    <w:rsid w:val="006B5F58"/>
    <w:rsid w:val="006B6E2F"/>
    <w:rsid w:val="006B70C6"/>
    <w:rsid w:val="006B763A"/>
    <w:rsid w:val="006B77D2"/>
    <w:rsid w:val="006B7B9B"/>
    <w:rsid w:val="006B7CE4"/>
    <w:rsid w:val="006C0F28"/>
    <w:rsid w:val="006C1751"/>
    <w:rsid w:val="006C28D2"/>
    <w:rsid w:val="006C2A25"/>
    <w:rsid w:val="006C388F"/>
    <w:rsid w:val="006C4282"/>
    <w:rsid w:val="006C475E"/>
    <w:rsid w:val="006C5DC0"/>
    <w:rsid w:val="006C5F32"/>
    <w:rsid w:val="006C75C7"/>
    <w:rsid w:val="006C7883"/>
    <w:rsid w:val="006D01EC"/>
    <w:rsid w:val="006D0900"/>
    <w:rsid w:val="006D0CA0"/>
    <w:rsid w:val="006D1439"/>
    <w:rsid w:val="006D1466"/>
    <w:rsid w:val="006D1505"/>
    <w:rsid w:val="006D170B"/>
    <w:rsid w:val="006D2048"/>
    <w:rsid w:val="006D218E"/>
    <w:rsid w:val="006D2B88"/>
    <w:rsid w:val="006D3319"/>
    <w:rsid w:val="006D38D8"/>
    <w:rsid w:val="006D5330"/>
    <w:rsid w:val="006D547C"/>
    <w:rsid w:val="006D6722"/>
    <w:rsid w:val="006D6AD3"/>
    <w:rsid w:val="006D6D7D"/>
    <w:rsid w:val="006D7360"/>
    <w:rsid w:val="006D7617"/>
    <w:rsid w:val="006D79C9"/>
    <w:rsid w:val="006D7B0D"/>
    <w:rsid w:val="006D7CD5"/>
    <w:rsid w:val="006D7DC2"/>
    <w:rsid w:val="006E097C"/>
    <w:rsid w:val="006E0D94"/>
    <w:rsid w:val="006E12D4"/>
    <w:rsid w:val="006E1522"/>
    <w:rsid w:val="006E2439"/>
    <w:rsid w:val="006E2E0B"/>
    <w:rsid w:val="006E30C4"/>
    <w:rsid w:val="006E38A2"/>
    <w:rsid w:val="006E3C06"/>
    <w:rsid w:val="006E3CAC"/>
    <w:rsid w:val="006E3CEF"/>
    <w:rsid w:val="006E3D45"/>
    <w:rsid w:val="006E3D5D"/>
    <w:rsid w:val="006E3FD3"/>
    <w:rsid w:val="006E43E2"/>
    <w:rsid w:val="006E50F8"/>
    <w:rsid w:val="006E567D"/>
    <w:rsid w:val="006E57E9"/>
    <w:rsid w:val="006E693D"/>
    <w:rsid w:val="006E7240"/>
    <w:rsid w:val="006E7986"/>
    <w:rsid w:val="006F0162"/>
    <w:rsid w:val="006F10F9"/>
    <w:rsid w:val="006F1154"/>
    <w:rsid w:val="006F135F"/>
    <w:rsid w:val="006F16EA"/>
    <w:rsid w:val="006F1A8C"/>
    <w:rsid w:val="006F23F2"/>
    <w:rsid w:val="006F2C23"/>
    <w:rsid w:val="006F34A0"/>
    <w:rsid w:val="006F3EA6"/>
    <w:rsid w:val="006F407B"/>
    <w:rsid w:val="006F4EC0"/>
    <w:rsid w:val="006F571B"/>
    <w:rsid w:val="006F586F"/>
    <w:rsid w:val="006F5B2A"/>
    <w:rsid w:val="006F5F68"/>
    <w:rsid w:val="006F63F3"/>
    <w:rsid w:val="006F6C7F"/>
    <w:rsid w:val="006F6F40"/>
    <w:rsid w:val="006F7F48"/>
    <w:rsid w:val="00700206"/>
    <w:rsid w:val="007006F5"/>
    <w:rsid w:val="00700BD3"/>
    <w:rsid w:val="007020DD"/>
    <w:rsid w:val="00702409"/>
    <w:rsid w:val="007025DA"/>
    <w:rsid w:val="00702E81"/>
    <w:rsid w:val="00703751"/>
    <w:rsid w:val="00703E83"/>
    <w:rsid w:val="00703FD5"/>
    <w:rsid w:val="00704A3F"/>
    <w:rsid w:val="00704F38"/>
    <w:rsid w:val="007054C2"/>
    <w:rsid w:val="00705551"/>
    <w:rsid w:val="0070570A"/>
    <w:rsid w:val="00706971"/>
    <w:rsid w:val="00707809"/>
    <w:rsid w:val="00707B3C"/>
    <w:rsid w:val="007107D3"/>
    <w:rsid w:val="007112AD"/>
    <w:rsid w:val="007114AE"/>
    <w:rsid w:val="007127E7"/>
    <w:rsid w:val="007130C6"/>
    <w:rsid w:val="00713242"/>
    <w:rsid w:val="00713F1A"/>
    <w:rsid w:val="00714075"/>
    <w:rsid w:val="007144E9"/>
    <w:rsid w:val="0071473C"/>
    <w:rsid w:val="00714B3A"/>
    <w:rsid w:val="00714F0F"/>
    <w:rsid w:val="00714FB6"/>
    <w:rsid w:val="00715255"/>
    <w:rsid w:val="007154DA"/>
    <w:rsid w:val="007158C3"/>
    <w:rsid w:val="00715ACA"/>
    <w:rsid w:val="00715CB3"/>
    <w:rsid w:val="00716B71"/>
    <w:rsid w:val="007173C0"/>
    <w:rsid w:val="00717770"/>
    <w:rsid w:val="00721ED5"/>
    <w:rsid w:val="00722240"/>
    <w:rsid w:val="00722AFD"/>
    <w:rsid w:val="00722EFF"/>
    <w:rsid w:val="0072370C"/>
    <w:rsid w:val="007241CD"/>
    <w:rsid w:val="0072482D"/>
    <w:rsid w:val="00724A74"/>
    <w:rsid w:val="00724E57"/>
    <w:rsid w:val="007265DB"/>
    <w:rsid w:val="00726D86"/>
    <w:rsid w:val="00727053"/>
    <w:rsid w:val="007308D2"/>
    <w:rsid w:val="00730A92"/>
    <w:rsid w:val="00730ACC"/>
    <w:rsid w:val="00731F04"/>
    <w:rsid w:val="00732099"/>
    <w:rsid w:val="007323CF"/>
    <w:rsid w:val="007324D9"/>
    <w:rsid w:val="00732A16"/>
    <w:rsid w:val="007334F8"/>
    <w:rsid w:val="00733933"/>
    <w:rsid w:val="00734D07"/>
    <w:rsid w:val="00734E13"/>
    <w:rsid w:val="00735962"/>
    <w:rsid w:val="00735F55"/>
    <w:rsid w:val="00735F7A"/>
    <w:rsid w:val="007361F5"/>
    <w:rsid w:val="00736AA2"/>
    <w:rsid w:val="00736FEA"/>
    <w:rsid w:val="00737464"/>
    <w:rsid w:val="00737708"/>
    <w:rsid w:val="0073784B"/>
    <w:rsid w:val="007379C8"/>
    <w:rsid w:val="00740099"/>
    <w:rsid w:val="007401B2"/>
    <w:rsid w:val="0074094C"/>
    <w:rsid w:val="00740C03"/>
    <w:rsid w:val="00740FA3"/>
    <w:rsid w:val="00741B46"/>
    <w:rsid w:val="007421DC"/>
    <w:rsid w:val="007426EF"/>
    <w:rsid w:val="00742995"/>
    <w:rsid w:val="0074317A"/>
    <w:rsid w:val="00743303"/>
    <w:rsid w:val="0074331F"/>
    <w:rsid w:val="007440C9"/>
    <w:rsid w:val="007440E4"/>
    <w:rsid w:val="00744133"/>
    <w:rsid w:val="007442F6"/>
    <w:rsid w:val="00744B4A"/>
    <w:rsid w:val="00744E67"/>
    <w:rsid w:val="007451BA"/>
    <w:rsid w:val="00745832"/>
    <w:rsid w:val="00745B43"/>
    <w:rsid w:val="007462CE"/>
    <w:rsid w:val="00746A14"/>
    <w:rsid w:val="007512FC"/>
    <w:rsid w:val="0075142E"/>
    <w:rsid w:val="00753580"/>
    <w:rsid w:val="00753C5C"/>
    <w:rsid w:val="00753CF2"/>
    <w:rsid w:val="00754136"/>
    <w:rsid w:val="007542E2"/>
    <w:rsid w:val="00754759"/>
    <w:rsid w:val="00754F58"/>
    <w:rsid w:val="007552BA"/>
    <w:rsid w:val="00755730"/>
    <w:rsid w:val="00755C57"/>
    <w:rsid w:val="007560CD"/>
    <w:rsid w:val="00756205"/>
    <w:rsid w:val="007569CA"/>
    <w:rsid w:val="00756E25"/>
    <w:rsid w:val="007576AE"/>
    <w:rsid w:val="00757758"/>
    <w:rsid w:val="0076122D"/>
    <w:rsid w:val="00761E9D"/>
    <w:rsid w:val="00763862"/>
    <w:rsid w:val="00764535"/>
    <w:rsid w:val="0076467D"/>
    <w:rsid w:val="00764EAC"/>
    <w:rsid w:val="007651D7"/>
    <w:rsid w:val="007657E4"/>
    <w:rsid w:val="00765DC3"/>
    <w:rsid w:val="00766057"/>
    <w:rsid w:val="007666EB"/>
    <w:rsid w:val="00767333"/>
    <w:rsid w:val="0076759A"/>
    <w:rsid w:val="0076788B"/>
    <w:rsid w:val="00767949"/>
    <w:rsid w:val="00770C17"/>
    <w:rsid w:val="0077138F"/>
    <w:rsid w:val="00771A26"/>
    <w:rsid w:val="0077294C"/>
    <w:rsid w:val="00773B8C"/>
    <w:rsid w:val="0077422F"/>
    <w:rsid w:val="0077463A"/>
    <w:rsid w:val="00774ECE"/>
    <w:rsid w:val="007751E1"/>
    <w:rsid w:val="0077532C"/>
    <w:rsid w:val="007756AF"/>
    <w:rsid w:val="00775955"/>
    <w:rsid w:val="00775E64"/>
    <w:rsid w:val="0077628E"/>
    <w:rsid w:val="007764EF"/>
    <w:rsid w:val="0077655B"/>
    <w:rsid w:val="0077720F"/>
    <w:rsid w:val="007776F6"/>
    <w:rsid w:val="007804A6"/>
    <w:rsid w:val="0078101C"/>
    <w:rsid w:val="007815DB"/>
    <w:rsid w:val="00781803"/>
    <w:rsid w:val="00781C51"/>
    <w:rsid w:val="00781F67"/>
    <w:rsid w:val="00782506"/>
    <w:rsid w:val="00782FD0"/>
    <w:rsid w:val="007835E5"/>
    <w:rsid w:val="00784BA4"/>
    <w:rsid w:val="00784F3D"/>
    <w:rsid w:val="00785DF3"/>
    <w:rsid w:val="0078608A"/>
    <w:rsid w:val="007860BD"/>
    <w:rsid w:val="007861FA"/>
    <w:rsid w:val="00786C06"/>
    <w:rsid w:val="00786DF9"/>
    <w:rsid w:val="00787AA4"/>
    <w:rsid w:val="00787DD8"/>
    <w:rsid w:val="007913F6"/>
    <w:rsid w:val="007917AE"/>
    <w:rsid w:val="00791E65"/>
    <w:rsid w:val="0079221B"/>
    <w:rsid w:val="00792B4F"/>
    <w:rsid w:val="0079468C"/>
    <w:rsid w:val="0079497E"/>
    <w:rsid w:val="007956FB"/>
    <w:rsid w:val="00796684"/>
    <w:rsid w:val="00796965"/>
    <w:rsid w:val="00796EAB"/>
    <w:rsid w:val="00797369"/>
    <w:rsid w:val="007A0A10"/>
    <w:rsid w:val="007A0B31"/>
    <w:rsid w:val="007A1645"/>
    <w:rsid w:val="007A1935"/>
    <w:rsid w:val="007A2530"/>
    <w:rsid w:val="007A28A1"/>
    <w:rsid w:val="007A2D56"/>
    <w:rsid w:val="007A2E6B"/>
    <w:rsid w:val="007A3591"/>
    <w:rsid w:val="007A4AF6"/>
    <w:rsid w:val="007A4CB5"/>
    <w:rsid w:val="007A50D7"/>
    <w:rsid w:val="007A55F2"/>
    <w:rsid w:val="007A5C79"/>
    <w:rsid w:val="007A60BC"/>
    <w:rsid w:val="007A62FD"/>
    <w:rsid w:val="007A6B73"/>
    <w:rsid w:val="007A7A31"/>
    <w:rsid w:val="007A7B3A"/>
    <w:rsid w:val="007B0549"/>
    <w:rsid w:val="007B0C57"/>
    <w:rsid w:val="007B197E"/>
    <w:rsid w:val="007B2CC3"/>
    <w:rsid w:val="007B2E0C"/>
    <w:rsid w:val="007B307E"/>
    <w:rsid w:val="007B3151"/>
    <w:rsid w:val="007B32E3"/>
    <w:rsid w:val="007B4A2D"/>
    <w:rsid w:val="007B503E"/>
    <w:rsid w:val="007B5099"/>
    <w:rsid w:val="007B563B"/>
    <w:rsid w:val="007B5D4A"/>
    <w:rsid w:val="007B6EF5"/>
    <w:rsid w:val="007B749C"/>
    <w:rsid w:val="007B74AA"/>
    <w:rsid w:val="007B7EDC"/>
    <w:rsid w:val="007C018B"/>
    <w:rsid w:val="007C0935"/>
    <w:rsid w:val="007C1541"/>
    <w:rsid w:val="007C1C4A"/>
    <w:rsid w:val="007C2F95"/>
    <w:rsid w:val="007C347A"/>
    <w:rsid w:val="007C35CF"/>
    <w:rsid w:val="007C3D64"/>
    <w:rsid w:val="007C402B"/>
    <w:rsid w:val="007C4B80"/>
    <w:rsid w:val="007C4F02"/>
    <w:rsid w:val="007C516D"/>
    <w:rsid w:val="007C57C6"/>
    <w:rsid w:val="007C59DD"/>
    <w:rsid w:val="007C5E93"/>
    <w:rsid w:val="007C744A"/>
    <w:rsid w:val="007C79AE"/>
    <w:rsid w:val="007D0E1D"/>
    <w:rsid w:val="007D15F8"/>
    <w:rsid w:val="007D1620"/>
    <w:rsid w:val="007D1ED3"/>
    <w:rsid w:val="007D20EE"/>
    <w:rsid w:val="007D2F0B"/>
    <w:rsid w:val="007D3392"/>
    <w:rsid w:val="007D3492"/>
    <w:rsid w:val="007D364F"/>
    <w:rsid w:val="007D38F3"/>
    <w:rsid w:val="007D3D37"/>
    <w:rsid w:val="007D4147"/>
    <w:rsid w:val="007D4596"/>
    <w:rsid w:val="007D4A9B"/>
    <w:rsid w:val="007D4AF8"/>
    <w:rsid w:val="007D4E28"/>
    <w:rsid w:val="007D57BC"/>
    <w:rsid w:val="007D5A1F"/>
    <w:rsid w:val="007D5E28"/>
    <w:rsid w:val="007D60C1"/>
    <w:rsid w:val="007D610E"/>
    <w:rsid w:val="007D697C"/>
    <w:rsid w:val="007D7576"/>
    <w:rsid w:val="007D7B2F"/>
    <w:rsid w:val="007E00B2"/>
    <w:rsid w:val="007E0644"/>
    <w:rsid w:val="007E0B5A"/>
    <w:rsid w:val="007E2C5A"/>
    <w:rsid w:val="007E35C9"/>
    <w:rsid w:val="007E3805"/>
    <w:rsid w:val="007E3925"/>
    <w:rsid w:val="007E3D48"/>
    <w:rsid w:val="007E4A68"/>
    <w:rsid w:val="007E5668"/>
    <w:rsid w:val="007E5734"/>
    <w:rsid w:val="007E5E48"/>
    <w:rsid w:val="007E5F2E"/>
    <w:rsid w:val="007E600C"/>
    <w:rsid w:val="007E6460"/>
    <w:rsid w:val="007E6629"/>
    <w:rsid w:val="007E6AB3"/>
    <w:rsid w:val="007E6EFB"/>
    <w:rsid w:val="007E7007"/>
    <w:rsid w:val="007E7161"/>
    <w:rsid w:val="007E787F"/>
    <w:rsid w:val="007E7F81"/>
    <w:rsid w:val="007F0859"/>
    <w:rsid w:val="007F10EF"/>
    <w:rsid w:val="007F149B"/>
    <w:rsid w:val="007F18AB"/>
    <w:rsid w:val="007F19E4"/>
    <w:rsid w:val="007F1E02"/>
    <w:rsid w:val="007F2655"/>
    <w:rsid w:val="007F2B27"/>
    <w:rsid w:val="007F303F"/>
    <w:rsid w:val="007F3264"/>
    <w:rsid w:val="007F3617"/>
    <w:rsid w:val="007F41C8"/>
    <w:rsid w:val="007F4532"/>
    <w:rsid w:val="007F557E"/>
    <w:rsid w:val="007F5942"/>
    <w:rsid w:val="007F5D63"/>
    <w:rsid w:val="007F66B5"/>
    <w:rsid w:val="007F714D"/>
    <w:rsid w:val="007F770F"/>
    <w:rsid w:val="00800040"/>
    <w:rsid w:val="008001B0"/>
    <w:rsid w:val="00800640"/>
    <w:rsid w:val="00800AD0"/>
    <w:rsid w:val="00800E83"/>
    <w:rsid w:val="00801CFB"/>
    <w:rsid w:val="00801E9B"/>
    <w:rsid w:val="008022C3"/>
    <w:rsid w:val="00802484"/>
    <w:rsid w:val="00802A81"/>
    <w:rsid w:val="008034FA"/>
    <w:rsid w:val="0080396F"/>
    <w:rsid w:val="008039E8"/>
    <w:rsid w:val="00803EDD"/>
    <w:rsid w:val="00804381"/>
    <w:rsid w:val="00805FCE"/>
    <w:rsid w:val="00806196"/>
    <w:rsid w:val="00807619"/>
    <w:rsid w:val="00810345"/>
    <w:rsid w:val="00810CDA"/>
    <w:rsid w:val="00810E8B"/>
    <w:rsid w:val="00811359"/>
    <w:rsid w:val="00811A6C"/>
    <w:rsid w:val="00811F69"/>
    <w:rsid w:val="00813B5D"/>
    <w:rsid w:val="00813C91"/>
    <w:rsid w:val="00814091"/>
    <w:rsid w:val="00814421"/>
    <w:rsid w:val="0081496B"/>
    <w:rsid w:val="00814C1C"/>
    <w:rsid w:val="00815AAE"/>
    <w:rsid w:val="0081617A"/>
    <w:rsid w:val="008161D8"/>
    <w:rsid w:val="00816D65"/>
    <w:rsid w:val="00820536"/>
    <w:rsid w:val="0082177D"/>
    <w:rsid w:val="00821847"/>
    <w:rsid w:val="00822F58"/>
    <w:rsid w:val="008238F4"/>
    <w:rsid w:val="00823BE9"/>
    <w:rsid w:val="00823F17"/>
    <w:rsid w:val="00824078"/>
    <w:rsid w:val="008245CF"/>
    <w:rsid w:val="00824C2F"/>
    <w:rsid w:val="00824DE1"/>
    <w:rsid w:val="008250B4"/>
    <w:rsid w:val="0082529B"/>
    <w:rsid w:val="0082541C"/>
    <w:rsid w:val="00825C88"/>
    <w:rsid w:val="00826F88"/>
    <w:rsid w:val="00827618"/>
    <w:rsid w:val="00827D7C"/>
    <w:rsid w:val="00830B18"/>
    <w:rsid w:val="00830BF2"/>
    <w:rsid w:val="0083195B"/>
    <w:rsid w:val="00832512"/>
    <w:rsid w:val="0083314E"/>
    <w:rsid w:val="00833EA2"/>
    <w:rsid w:val="0083401E"/>
    <w:rsid w:val="00834022"/>
    <w:rsid w:val="008344EB"/>
    <w:rsid w:val="008348C9"/>
    <w:rsid w:val="008355F4"/>
    <w:rsid w:val="0083563A"/>
    <w:rsid w:val="00836F4C"/>
    <w:rsid w:val="00837197"/>
    <w:rsid w:val="00840043"/>
    <w:rsid w:val="00840753"/>
    <w:rsid w:val="00840A44"/>
    <w:rsid w:val="00840DB9"/>
    <w:rsid w:val="00840E28"/>
    <w:rsid w:val="008414F0"/>
    <w:rsid w:val="00841E20"/>
    <w:rsid w:val="008423BB"/>
    <w:rsid w:val="0084247A"/>
    <w:rsid w:val="008434F0"/>
    <w:rsid w:val="00843514"/>
    <w:rsid w:val="00843763"/>
    <w:rsid w:val="0084437E"/>
    <w:rsid w:val="00844901"/>
    <w:rsid w:val="00844A3A"/>
    <w:rsid w:val="00844C2F"/>
    <w:rsid w:val="00845472"/>
    <w:rsid w:val="00845688"/>
    <w:rsid w:val="00845B4B"/>
    <w:rsid w:val="008460E6"/>
    <w:rsid w:val="008461BE"/>
    <w:rsid w:val="008461C8"/>
    <w:rsid w:val="00846CF9"/>
    <w:rsid w:val="00846EE9"/>
    <w:rsid w:val="008473A1"/>
    <w:rsid w:val="008502D1"/>
    <w:rsid w:val="00850973"/>
    <w:rsid w:val="00851067"/>
    <w:rsid w:val="0085240E"/>
    <w:rsid w:val="00853701"/>
    <w:rsid w:val="00853F21"/>
    <w:rsid w:val="00854422"/>
    <w:rsid w:val="00854596"/>
    <w:rsid w:val="00855167"/>
    <w:rsid w:val="00855C7A"/>
    <w:rsid w:val="008560AB"/>
    <w:rsid w:val="00856493"/>
    <w:rsid w:val="008568B4"/>
    <w:rsid w:val="00856E7E"/>
    <w:rsid w:val="00860299"/>
    <w:rsid w:val="00860EDD"/>
    <w:rsid w:val="00861EFA"/>
    <w:rsid w:val="0086276A"/>
    <w:rsid w:val="00862D0C"/>
    <w:rsid w:val="00862DF3"/>
    <w:rsid w:val="00862F6F"/>
    <w:rsid w:val="008635DD"/>
    <w:rsid w:val="00863AB3"/>
    <w:rsid w:val="00863B23"/>
    <w:rsid w:val="00865016"/>
    <w:rsid w:val="0086502E"/>
    <w:rsid w:val="00865E21"/>
    <w:rsid w:val="00866CF9"/>
    <w:rsid w:val="008670F2"/>
    <w:rsid w:val="00870709"/>
    <w:rsid w:val="00872049"/>
    <w:rsid w:val="008723A9"/>
    <w:rsid w:val="00872807"/>
    <w:rsid w:val="00872FD2"/>
    <w:rsid w:val="00874BE6"/>
    <w:rsid w:val="00874CCD"/>
    <w:rsid w:val="008750FA"/>
    <w:rsid w:val="00875A15"/>
    <w:rsid w:val="008760B2"/>
    <w:rsid w:val="0087623A"/>
    <w:rsid w:val="00876716"/>
    <w:rsid w:val="008769EA"/>
    <w:rsid w:val="00876CF8"/>
    <w:rsid w:val="00876E2C"/>
    <w:rsid w:val="008773AD"/>
    <w:rsid w:val="00877889"/>
    <w:rsid w:val="00880118"/>
    <w:rsid w:val="0088073A"/>
    <w:rsid w:val="00881106"/>
    <w:rsid w:val="008820B5"/>
    <w:rsid w:val="0088253F"/>
    <w:rsid w:val="0088389F"/>
    <w:rsid w:val="00883E97"/>
    <w:rsid w:val="008844AD"/>
    <w:rsid w:val="0088515B"/>
    <w:rsid w:val="0088556B"/>
    <w:rsid w:val="00885AAA"/>
    <w:rsid w:val="008863AE"/>
    <w:rsid w:val="008870CD"/>
    <w:rsid w:val="008871EC"/>
    <w:rsid w:val="00887F34"/>
    <w:rsid w:val="0089000C"/>
    <w:rsid w:val="0089051B"/>
    <w:rsid w:val="00890533"/>
    <w:rsid w:val="00890546"/>
    <w:rsid w:val="008906EB"/>
    <w:rsid w:val="00890D18"/>
    <w:rsid w:val="00890D64"/>
    <w:rsid w:val="00891219"/>
    <w:rsid w:val="00891683"/>
    <w:rsid w:val="008918C8"/>
    <w:rsid w:val="00891CC0"/>
    <w:rsid w:val="00891EA1"/>
    <w:rsid w:val="00891EBD"/>
    <w:rsid w:val="00892998"/>
    <w:rsid w:val="0089313B"/>
    <w:rsid w:val="0089335B"/>
    <w:rsid w:val="00893D25"/>
    <w:rsid w:val="00894035"/>
    <w:rsid w:val="0089436F"/>
    <w:rsid w:val="00894482"/>
    <w:rsid w:val="0089450F"/>
    <w:rsid w:val="00894895"/>
    <w:rsid w:val="00894A92"/>
    <w:rsid w:val="00896F85"/>
    <w:rsid w:val="008971DE"/>
    <w:rsid w:val="008977F6"/>
    <w:rsid w:val="00897BEA"/>
    <w:rsid w:val="008A06AD"/>
    <w:rsid w:val="008A0716"/>
    <w:rsid w:val="008A15A6"/>
    <w:rsid w:val="008A16D7"/>
    <w:rsid w:val="008A2256"/>
    <w:rsid w:val="008A229E"/>
    <w:rsid w:val="008A236D"/>
    <w:rsid w:val="008A2945"/>
    <w:rsid w:val="008A2CC2"/>
    <w:rsid w:val="008A36CE"/>
    <w:rsid w:val="008A3A7B"/>
    <w:rsid w:val="008A5287"/>
    <w:rsid w:val="008A590B"/>
    <w:rsid w:val="008A5914"/>
    <w:rsid w:val="008A5CD5"/>
    <w:rsid w:val="008A6881"/>
    <w:rsid w:val="008A6C4E"/>
    <w:rsid w:val="008B00BC"/>
    <w:rsid w:val="008B0491"/>
    <w:rsid w:val="008B0855"/>
    <w:rsid w:val="008B0DCA"/>
    <w:rsid w:val="008B2A0E"/>
    <w:rsid w:val="008B2D6C"/>
    <w:rsid w:val="008B3F93"/>
    <w:rsid w:val="008B3FB6"/>
    <w:rsid w:val="008B4C75"/>
    <w:rsid w:val="008B4EF2"/>
    <w:rsid w:val="008B5516"/>
    <w:rsid w:val="008B638C"/>
    <w:rsid w:val="008B6933"/>
    <w:rsid w:val="008B6E59"/>
    <w:rsid w:val="008B7286"/>
    <w:rsid w:val="008B73FA"/>
    <w:rsid w:val="008B7857"/>
    <w:rsid w:val="008C0055"/>
    <w:rsid w:val="008C03F8"/>
    <w:rsid w:val="008C0560"/>
    <w:rsid w:val="008C136D"/>
    <w:rsid w:val="008C1A1F"/>
    <w:rsid w:val="008C211E"/>
    <w:rsid w:val="008C25AD"/>
    <w:rsid w:val="008C2AF6"/>
    <w:rsid w:val="008C2D75"/>
    <w:rsid w:val="008C389D"/>
    <w:rsid w:val="008C3BE0"/>
    <w:rsid w:val="008C4E05"/>
    <w:rsid w:val="008C514E"/>
    <w:rsid w:val="008C58AE"/>
    <w:rsid w:val="008C7348"/>
    <w:rsid w:val="008C775C"/>
    <w:rsid w:val="008C78CA"/>
    <w:rsid w:val="008C7B56"/>
    <w:rsid w:val="008C7CF9"/>
    <w:rsid w:val="008D0398"/>
    <w:rsid w:val="008D068B"/>
    <w:rsid w:val="008D0824"/>
    <w:rsid w:val="008D0BD4"/>
    <w:rsid w:val="008D1AF0"/>
    <w:rsid w:val="008D2650"/>
    <w:rsid w:val="008D44E6"/>
    <w:rsid w:val="008D45C7"/>
    <w:rsid w:val="008D5759"/>
    <w:rsid w:val="008D587E"/>
    <w:rsid w:val="008D5EF8"/>
    <w:rsid w:val="008D6A8B"/>
    <w:rsid w:val="008D77A1"/>
    <w:rsid w:val="008D794C"/>
    <w:rsid w:val="008E03DF"/>
    <w:rsid w:val="008E04CF"/>
    <w:rsid w:val="008E097F"/>
    <w:rsid w:val="008E0AC1"/>
    <w:rsid w:val="008E0FF3"/>
    <w:rsid w:val="008E188E"/>
    <w:rsid w:val="008E3970"/>
    <w:rsid w:val="008E4BFF"/>
    <w:rsid w:val="008E50EF"/>
    <w:rsid w:val="008E53B0"/>
    <w:rsid w:val="008E62EB"/>
    <w:rsid w:val="008E64DD"/>
    <w:rsid w:val="008E657F"/>
    <w:rsid w:val="008E70D7"/>
    <w:rsid w:val="008E717B"/>
    <w:rsid w:val="008E78BE"/>
    <w:rsid w:val="008F0912"/>
    <w:rsid w:val="008F0BC4"/>
    <w:rsid w:val="008F0F85"/>
    <w:rsid w:val="008F107B"/>
    <w:rsid w:val="008F134C"/>
    <w:rsid w:val="008F13E1"/>
    <w:rsid w:val="008F15CB"/>
    <w:rsid w:val="008F15D6"/>
    <w:rsid w:val="008F2804"/>
    <w:rsid w:val="008F29DB"/>
    <w:rsid w:val="008F33D2"/>
    <w:rsid w:val="008F3AF0"/>
    <w:rsid w:val="008F54BE"/>
    <w:rsid w:val="008F5770"/>
    <w:rsid w:val="008F58EC"/>
    <w:rsid w:val="008F58F7"/>
    <w:rsid w:val="008F5A8F"/>
    <w:rsid w:val="008F5E10"/>
    <w:rsid w:val="008F609B"/>
    <w:rsid w:val="008F6141"/>
    <w:rsid w:val="008F62AE"/>
    <w:rsid w:val="008F6935"/>
    <w:rsid w:val="008F6CA0"/>
    <w:rsid w:val="008F744D"/>
    <w:rsid w:val="008F7A9C"/>
    <w:rsid w:val="008F7B04"/>
    <w:rsid w:val="008F7F44"/>
    <w:rsid w:val="00900264"/>
    <w:rsid w:val="00900304"/>
    <w:rsid w:val="0090049F"/>
    <w:rsid w:val="009004A9"/>
    <w:rsid w:val="00900C20"/>
    <w:rsid w:val="0090101F"/>
    <w:rsid w:val="009014D3"/>
    <w:rsid w:val="00901A66"/>
    <w:rsid w:val="0090211D"/>
    <w:rsid w:val="009026C6"/>
    <w:rsid w:val="0090271E"/>
    <w:rsid w:val="00902949"/>
    <w:rsid w:val="00902F8F"/>
    <w:rsid w:val="0090303F"/>
    <w:rsid w:val="009030E3"/>
    <w:rsid w:val="00903919"/>
    <w:rsid w:val="00903EF4"/>
    <w:rsid w:val="009040F3"/>
    <w:rsid w:val="00904645"/>
    <w:rsid w:val="00904930"/>
    <w:rsid w:val="00906426"/>
    <w:rsid w:val="00906478"/>
    <w:rsid w:val="00907266"/>
    <w:rsid w:val="009107ED"/>
    <w:rsid w:val="00910ED6"/>
    <w:rsid w:val="009126B8"/>
    <w:rsid w:val="0091279B"/>
    <w:rsid w:val="0091345B"/>
    <w:rsid w:val="0091345F"/>
    <w:rsid w:val="009135D4"/>
    <w:rsid w:val="00913643"/>
    <w:rsid w:val="00913CF1"/>
    <w:rsid w:val="00914B6C"/>
    <w:rsid w:val="009151B8"/>
    <w:rsid w:val="0091524D"/>
    <w:rsid w:val="0091558B"/>
    <w:rsid w:val="00915BD5"/>
    <w:rsid w:val="00916011"/>
    <w:rsid w:val="0091687D"/>
    <w:rsid w:val="00917341"/>
    <w:rsid w:val="00917AB9"/>
    <w:rsid w:val="00917FAE"/>
    <w:rsid w:val="0092074F"/>
    <w:rsid w:val="009216F8"/>
    <w:rsid w:val="0092197E"/>
    <w:rsid w:val="00921ADE"/>
    <w:rsid w:val="00921BA0"/>
    <w:rsid w:val="00921C22"/>
    <w:rsid w:val="009223B4"/>
    <w:rsid w:val="009223E4"/>
    <w:rsid w:val="0092346D"/>
    <w:rsid w:val="009235E6"/>
    <w:rsid w:val="00923890"/>
    <w:rsid w:val="009239D8"/>
    <w:rsid w:val="009240AA"/>
    <w:rsid w:val="00925AB8"/>
    <w:rsid w:val="00925F4E"/>
    <w:rsid w:val="00926300"/>
    <w:rsid w:val="00926BBC"/>
    <w:rsid w:val="00926F12"/>
    <w:rsid w:val="00927AA3"/>
    <w:rsid w:val="00927DA1"/>
    <w:rsid w:val="009301C6"/>
    <w:rsid w:val="00930A5D"/>
    <w:rsid w:val="009314BB"/>
    <w:rsid w:val="009322F1"/>
    <w:rsid w:val="009328C5"/>
    <w:rsid w:val="00932A35"/>
    <w:rsid w:val="00933174"/>
    <w:rsid w:val="009332F0"/>
    <w:rsid w:val="00933D33"/>
    <w:rsid w:val="00933E3C"/>
    <w:rsid w:val="009343F3"/>
    <w:rsid w:val="00934483"/>
    <w:rsid w:val="009347B0"/>
    <w:rsid w:val="00934A3F"/>
    <w:rsid w:val="00935E0D"/>
    <w:rsid w:val="00935EC6"/>
    <w:rsid w:val="00936078"/>
    <w:rsid w:val="00936EB7"/>
    <w:rsid w:val="00937DD1"/>
    <w:rsid w:val="009405C8"/>
    <w:rsid w:val="00940B7B"/>
    <w:rsid w:val="00940E74"/>
    <w:rsid w:val="00941357"/>
    <w:rsid w:val="0094189E"/>
    <w:rsid w:val="009429ED"/>
    <w:rsid w:val="00942DEF"/>
    <w:rsid w:val="009432E6"/>
    <w:rsid w:val="0094330B"/>
    <w:rsid w:val="00943764"/>
    <w:rsid w:val="00944B23"/>
    <w:rsid w:val="00945BA4"/>
    <w:rsid w:val="00945C46"/>
    <w:rsid w:val="00946120"/>
    <w:rsid w:val="00946EB0"/>
    <w:rsid w:val="00950157"/>
    <w:rsid w:val="00951529"/>
    <w:rsid w:val="009518C9"/>
    <w:rsid w:val="00951964"/>
    <w:rsid w:val="00951B31"/>
    <w:rsid w:val="00951C08"/>
    <w:rsid w:val="00951C6C"/>
    <w:rsid w:val="0095213E"/>
    <w:rsid w:val="00952310"/>
    <w:rsid w:val="009525B4"/>
    <w:rsid w:val="00952B56"/>
    <w:rsid w:val="00952BEC"/>
    <w:rsid w:val="00953159"/>
    <w:rsid w:val="009532FC"/>
    <w:rsid w:val="00953FAA"/>
    <w:rsid w:val="009544D2"/>
    <w:rsid w:val="00954ED1"/>
    <w:rsid w:val="00955241"/>
    <w:rsid w:val="009558AA"/>
    <w:rsid w:val="00955EEF"/>
    <w:rsid w:val="00955F07"/>
    <w:rsid w:val="009563DF"/>
    <w:rsid w:val="00956846"/>
    <w:rsid w:val="0095716A"/>
    <w:rsid w:val="0095729F"/>
    <w:rsid w:val="00960011"/>
    <w:rsid w:val="0096019B"/>
    <w:rsid w:val="009602AE"/>
    <w:rsid w:val="009605B6"/>
    <w:rsid w:val="00960871"/>
    <w:rsid w:val="00961215"/>
    <w:rsid w:val="00961858"/>
    <w:rsid w:val="00961C8B"/>
    <w:rsid w:val="00961ECE"/>
    <w:rsid w:val="0096201F"/>
    <w:rsid w:val="0096408E"/>
    <w:rsid w:val="00964734"/>
    <w:rsid w:val="009653D0"/>
    <w:rsid w:val="009656A4"/>
    <w:rsid w:val="00967804"/>
    <w:rsid w:val="009725D4"/>
    <w:rsid w:val="00972B22"/>
    <w:rsid w:val="00972EE7"/>
    <w:rsid w:val="00973046"/>
    <w:rsid w:val="0097325D"/>
    <w:rsid w:val="00973747"/>
    <w:rsid w:val="009740EC"/>
    <w:rsid w:val="00975D00"/>
    <w:rsid w:val="009762B7"/>
    <w:rsid w:val="00976401"/>
    <w:rsid w:val="00976545"/>
    <w:rsid w:val="00976684"/>
    <w:rsid w:val="00976AA4"/>
    <w:rsid w:val="00976F5E"/>
    <w:rsid w:val="0097720E"/>
    <w:rsid w:val="0097763E"/>
    <w:rsid w:val="00977E2E"/>
    <w:rsid w:val="00977FE4"/>
    <w:rsid w:val="00980B27"/>
    <w:rsid w:val="00980E21"/>
    <w:rsid w:val="00981D2D"/>
    <w:rsid w:val="00982C74"/>
    <w:rsid w:val="00982E08"/>
    <w:rsid w:val="0098430E"/>
    <w:rsid w:val="00984BE5"/>
    <w:rsid w:val="00986137"/>
    <w:rsid w:val="0098717F"/>
    <w:rsid w:val="009873AC"/>
    <w:rsid w:val="00990059"/>
    <w:rsid w:val="0099015C"/>
    <w:rsid w:val="0099066E"/>
    <w:rsid w:val="009908ED"/>
    <w:rsid w:val="009911A7"/>
    <w:rsid w:val="009912DC"/>
    <w:rsid w:val="0099141F"/>
    <w:rsid w:val="009916C3"/>
    <w:rsid w:val="009926C2"/>
    <w:rsid w:val="00992851"/>
    <w:rsid w:val="009928E7"/>
    <w:rsid w:val="00992F55"/>
    <w:rsid w:val="009936AE"/>
    <w:rsid w:val="00993A98"/>
    <w:rsid w:val="00994010"/>
    <w:rsid w:val="00994202"/>
    <w:rsid w:val="00994C37"/>
    <w:rsid w:val="00995B27"/>
    <w:rsid w:val="00996AB4"/>
    <w:rsid w:val="00996AC1"/>
    <w:rsid w:val="00996C4C"/>
    <w:rsid w:val="0099716B"/>
    <w:rsid w:val="009971AC"/>
    <w:rsid w:val="00997219"/>
    <w:rsid w:val="009975E0"/>
    <w:rsid w:val="0099790F"/>
    <w:rsid w:val="00997D9B"/>
    <w:rsid w:val="009A1CFF"/>
    <w:rsid w:val="009A257D"/>
    <w:rsid w:val="009A299D"/>
    <w:rsid w:val="009A3916"/>
    <w:rsid w:val="009A41D3"/>
    <w:rsid w:val="009A5037"/>
    <w:rsid w:val="009A53DD"/>
    <w:rsid w:val="009A551F"/>
    <w:rsid w:val="009A5EA6"/>
    <w:rsid w:val="009A5F91"/>
    <w:rsid w:val="009A6D64"/>
    <w:rsid w:val="009A7A0B"/>
    <w:rsid w:val="009B024B"/>
    <w:rsid w:val="009B073A"/>
    <w:rsid w:val="009B0EBF"/>
    <w:rsid w:val="009B17AC"/>
    <w:rsid w:val="009B1E47"/>
    <w:rsid w:val="009B2169"/>
    <w:rsid w:val="009B2B79"/>
    <w:rsid w:val="009B2B89"/>
    <w:rsid w:val="009B3196"/>
    <w:rsid w:val="009B3564"/>
    <w:rsid w:val="009B39B4"/>
    <w:rsid w:val="009B3AB4"/>
    <w:rsid w:val="009B3FB5"/>
    <w:rsid w:val="009B5856"/>
    <w:rsid w:val="009B5AF9"/>
    <w:rsid w:val="009B6217"/>
    <w:rsid w:val="009B643F"/>
    <w:rsid w:val="009B66DC"/>
    <w:rsid w:val="009B70A9"/>
    <w:rsid w:val="009C0CCC"/>
    <w:rsid w:val="009C0F4E"/>
    <w:rsid w:val="009C1479"/>
    <w:rsid w:val="009C1C61"/>
    <w:rsid w:val="009C1E73"/>
    <w:rsid w:val="009C1F68"/>
    <w:rsid w:val="009C22A6"/>
    <w:rsid w:val="009C267A"/>
    <w:rsid w:val="009C26B4"/>
    <w:rsid w:val="009C2E4B"/>
    <w:rsid w:val="009C3551"/>
    <w:rsid w:val="009C4AB4"/>
    <w:rsid w:val="009C4B08"/>
    <w:rsid w:val="009C4ED9"/>
    <w:rsid w:val="009C4F98"/>
    <w:rsid w:val="009C51D2"/>
    <w:rsid w:val="009C6672"/>
    <w:rsid w:val="009C6813"/>
    <w:rsid w:val="009C694F"/>
    <w:rsid w:val="009C6A21"/>
    <w:rsid w:val="009C73C1"/>
    <w:rsid w:val="009C77EE"/>
    <w:rsid w:val="009C7C1F"/>
    <w:rsid w:val="009C7EEA"/>
    <w:rsid w:val="009D013D"/>
    <w:rsid w:val="009D01B4"/>
    <w:rsid w:val="009D0405"/>
    <w:rsid w:val="009D0CCC"/>
    <w:rsid w:val="009D12C4"/>
    <w:rsid w:val="009D134B"/>
    <w:rsid w:val="009D2E9C"/>
    <w:rsid w:val="009D3ECC"/>
    <w:rsid w:val="009D3F0B"/>
    <w:rsid w:val="009D4848"/>
    <w:rsid w:val="009D4926"/>
    <w:rsid w:val="009D4A24"/>
    <w:rsid w:val="009D5485"/>
    <w:rsid w:val="009D5B46"/>
    <w:rsid w:val="009D5F35"/>
    <w:rsid w:val="009D62B5"/>
    <w:rsid w:val="009D77A5"/>
    <w:rsid w:val="009D7A1F"/>
    <w:rsid w:val="009D7D39"/>
    <w:rsid w:val="009E00F7"/>
    <w:rsid w:val="009E0131"/>
    <w:rsid w:val="009E1514"/>
    <w:rsid w:val="009E18F1"/>
    <w:rsid w:val="009E1C41"/>
    <w:rsid w:val="009E1F03"/>
    <w:rsid w:val="009E2E3D"/>
    <w:rsid w:val="009E2F6D"/>
    <w:rsid w:val="009E30C0"/>
    <w:rsid w:val="009E444F"/>
    <w:rsid w:val="009E48B9"/>
    <w:rsid w:val="009E4934"/>
    <w:rsid w:val="009E581A"/>
    <w:rsid w:val="009E5908"/>
    <w:rsid w:val="009E66E3"/>
    <w:rsid w:val="009E6961"/>
    <w:rsid w:val="009E7321"/>
    <w:rsid w:val="009E79EF"/>
    <w:rsid w:val="009F0CC1"/>
    <w:rsid w:val="009F1848"/>
    <w:rsid w:val="009F1E28"/>
    <w:rsid w:val="009F27FF"/>
    <w:rsid w:val="009F289B"/>
    <w:rsid w:val="009F3386"/>
    <w:rsid w:val="009F41B5"/>
    <w:rsid w:val="009F481E"/>
    <w:rsid w:val="009F4923"/>
    <w:rsid w:val="009F6BF4"/>
    <w:rsid w:val="009F6E4D"/>
    <w:rsid w:val="009F74B2"/>
    <w:rsid w:val="009F7C0B"/>
    <w:rsid w:val="00A0005C"/>
    <w:rsid w:val="00A01291"/>
    <w:rsid w:val="00A017E0"/>
    <w:rsid w:val="00A029E3"/>
    <w:rsid w:val="00A03058"/>
    <w:rsid w:val="00A03D3C"/>
    <w:rsid w:val="00A04120"/>
    <w:rsid w:val="00A05E22"/>
    <w:rsid w:val="00A07010"/>
    <w:rsid w:val="00A07254"/>
    <w:rsid w:val="00A073B5"/>
    <w:rsid w:val="00A104D1"/>
    <w:rsid w:val="00A106A7"/>
    <w:rsid w:val="00A1090E"/>
    <w:rsid w:val="00A10BF8"/>
    <w:rsid w:val="00A11759"/>
    <w:rsid w:val="00A11885"/>
    <w:rsid w:val="00A124FD"/>
    <w:rsid w:val="00A12849"/>
    <w:rsid w:val="00A12BFD"/>
    <w:rsid w:val="00A130CF"/>
    <w:rsid w:val="00A13140"/>
    <w:rsid w:val="00A131E5"/>
    <w:rsid w:val="00A13515"/>
    <w:rsid w:val="00A13C5D"/>
    <w:rsid w:val="00A14761"/>
    <w:rsid w:val="00A14ADA"/>
    <w:rsid w:val="00A14ADE"/>
    <w:rsid w:val="00A14B53"/>
    <w:rsid w:val="00A14D26"/>
    <w:rsid w:val="00A14F9D"/>
    <w:rsid w:val="00A1511E"/>
    <w:rsid w:val="00A1543B"/>
    <w:rsid w:val="00A15A20"/>
    <w:rsid w:val="00A175C9"/>
    <w:rsid w:val="00A17C74"/>
    <w:rsid w:val="00A21143"/>
    <w:rsid w:val="00A214ED"/>
    <w:rsid w:val="00A221E2"/>
    <w:rsid w:val="00A222D3"/>
    <w:rsid w:val="00A22BE1"/>
    <w:rsid w:val="00A23384"/>
    <w:rsid w:val="00A23DA2"/>
    <w:rsid w:val="00A23FCC"/>
    <w:rsid w:val="00A242CD"/>
    <w:rsid w:val="00A24615"/>
    <w:rsid w:val="00A252E3"/>
    <w:rsid w:val="00A256AC"/>
    <w:rsid w:val="00A2590F"/>
    <w:rsid w:val="00A263FA"/>
    <w:rsid w:val="00A265A8"/>
    <w:rsid w:val="00A26D7D"/>
    <w:rsid w:val="00A27232"/>
    <w:rsid w:val="00A272AB"/>
    <w:rsid w:val="00A278AF"/>
    <w:rsid w:val="00A27AAD"/>
    <w:rsid w:val="00A3023D"/>
    <w:rsid w:val="00A3042A"/>
    <w:rsid w:val="00A309B5"/>
    <w:rsid w:val="00A3112D"/>
    <w:rsid w:val="00A32678"/>
    <w:rsid w:val="00A3400E"/>
    <w:rsid w:val="00A340BD"/>
    <w:rsid w:val="00A342A2"/>
    <w:rsid w:val="00A35257"/>
    <w:rsid w:val="00A35F00"/>
    <w:rsid w:val="00A360AE"/>
    <w:rsid w:val="00A36CB4"/>
    <w:rsid w:val="00A37B72"/>
    <w:rsid w:val="00A4000E"/>
    <w:rsid w:val="00A40A0E"/>
    <w:rsid w:val="00A41190"/>
    <w:rsid w:val="00A41C07"/>
    <w:rsid w:val="00A41E65"/>
    <w:rsid w:val="00A42ED1"/>
    <w:rsid w:val="00A4338B"/>
    <w:rsid w:val="00A43452"/>
    <w:rsid w:val="00A43CCD"/>
    <w:rsid w:val="00A44DBA"/>
    <w:rsid w:val="00A455A6"/>
    <w:rsid w:val="00A45EB5"/>
    <w:rsid w:val="00A4609A"/>
    <w:rsid w:val="00A4642C"/>
    <w:rsid w:val="00A46A67"/>
    <w:rsid w:val="00A46D83"/>
    <w:rsid w:val="00A46EDF"/>
    <w:rsid w:val="00A47899"/>
    <w:rsid w:val="00A47F7E"/>
    <w:rsid w:val="00A51BA5"/>
    <w:rsid w:val="00A51FE9"/>
    <w:rsid w:val="00A5414D"/>
    <w:rsid w:val="00A5430C"/>
    <w:rsid w:val="00A543B9"/>
    <w:rsid w:val="00A54A1C"/>
    <w:rsid w:val="00A555F2"/>
    <w:rsid w:val="00A5595F"/>
    <w:rsid w:val="00A55C1E"/>
    <w:rsid w:val="00A55D0B"/>
    <w:rsid w:val="00A55FB8"/>
    <w:rsid w:val="00A56290"/>
    <w:rsid w:val="00A563F6"/>
    <w:rsid w:val="00A567EB"/>
    <w:rsid w:val="00A56A34"/>
    <w:rsid w:val="00A577AA"/>
    <w:rsid w:val="00A57ADF"/>
    <w:rsid w:val="00A57BA5"/>
    <w:rsid w:val="00A60E27"/>
    <w:rsid w:val="00A612BC"/>
    <w:rsid w:val="00A621CA"/>
    <w:rsid w:val="00A62ADB"/>
    <w:rsid w:val="00A6390F"/>
    <w:rsid w:val="00A63A82"/>
    <w:rsid w:val="00A64084"/>
    <w:rsid w:val="00A64366"/>
    <w:rsid w:val="00A64A73"/>
    <w:rsid w:val="00A64D9D"/>
    <w:rsid w:val="00A655ED"/>
    <w:rsid w:val="00A656E7"/>
    <w:rsid w:val="00A6593F"/>
    <w:rsid w:val="00A65ACE"/>
    <w:rsid w:val="00A65C28"/>
    <w:rsid w:val="00A66124"/>
    <w:rsid w:val="00A66203"/>
    <w:rsid w:val="00A662C2"/>
    <w:rsid w:val="00A66DBE"/>
    <w:rsid w:val="00A702E3"/>
    <w:rsid w:val="00A70968"/>
    <w:rsid w:val="00A70CA3"/>
    <w:rsid w:val="00A70D24"/>
    <w:rsid w:val="00A70D89"/>
    <w:rsid w:val="00A713F9"/>
    <w:rsid w:val="00A714B7"/>
    <w:rsid w:val="00A717E8"/>
    <w:rsid w:val="00A7233A"/>
    <w:rsid w:val="00A7244B"/>
    <w:rsid w:val="00A72694"/>
    <w:rsid w:val="00A72C72"/>
    <w:rsid w:val="00A7308D"/>
    <w:rsid w:val="00A73B36"/>
    <w:rsid w:val="00A73B88"/>
    <w:rsid w:val="00A750FD"/>
    <w:rsid w:val="00A75437"/>
    <w:rsid w:val="00A76E96"/>
    <w:rsid w:val="00A772FE"/>
    <w:rsid w:val="00A77635"/>
    <w:rsid w:val="00A77F06"/>
    <w:rsid w:val="00A80AC7"/>
    <w:rsid w:val="00A80D02"/>
    <w:rsid w:val="00A816D8"/>
    <w:rsid w:val="00A821F2"/>
    <w:rsid w:val="00A8263B"/>
    <w:rsid w:val="00A82B8A"/>
    <w:rsid w:val="00A83236"/>
    <w:rsid w:val="00A83E23"/>
    <w:rsid w:val="00A8483D"/>
    <w:rsid w:val="00A84B68"/>
    <w:rsid w:val="00A84DBF"/>
    <w:rsid w:val="00A84EA2"/>
    <w:rsid w:val="00A85396"/>
    <w:rsid w:val="00A85990"/>
    <w:rsid w:val="00A87138"/>
    <w:rsid w:val="00A87252"/>
    <w:rsid w:val="00A87462"/>
    <w:rsid w:val="00A87CD6"/>
    <w:rsid w:val="00A87F6B"/>
    <w:rsid w:val="00A9168C"/>
    <w:rsid w:val="00A917EA"/>
    <w:rsid w:val="00A92003"/>
    <w:rsid w:val="00A9213F"/>
    <w:rsid w:val="00A9290A"/>
    <w:rsid w:val="00A93248"/>
    <w:rsid w:val="00A9429E"/>
    <w:rsid w:val="00A94968"/>
    <w:rsid w:val="00A9499D"/>
    <w:rsid w:val="00A94B7A"/>
    <w:rsid w:val="00A94BB7"/>
    <w:rsid w:val="00A94E2C"/>
    <w:rsid w:val="00A96240"/>
    <w:rsid w:val="00A964B2"/>
    <w:rsid w:val="00A96D16"/>
    <w:rsid w:val="00AA0295"/>
    <w:rsid w:val="00AA02EA"/>
    <w:rsid w:val="00AA04EF"/>
    <w:rsid w:val="00AA0564"/>
    <w:rsid w:val="00AA1181"/>
    <w:rsid w:val="00AA239C"/>
    <w:rsid w:val="00AA2448"/>
    <w:rsid w:val="00AA256C"/>
    <w:rsid w:val="00AA26CC"/>
    <w:rsid w:val="00AA2AB2"/>
    <w:rsid w:val="00AA32D9"/>
    <w:rsid w:val="00AA361B"/>
    <w:rsid w:val="00AA3A28"/>
    <w:rsid w:val="00AA3FA3"/>
    <w:rsid w:val="00AA401C"/>
    <w:rsid w:val="00AA4367"/>
    <w:rsid w:val="00AA447A"/>
    <w:rsid w:val="00AA5332"/>
    <w:rsid w:val="00AA5843"/>
    <w:rsid w:val="00AA5A67"/>
    <w:rsid w:val="00AA744E"/>
    <w:rsid w:val="00AA77E0"/>
    <w:rsid w:val="00AA7B07"/>
    <w:rsid w:val="00AB02F8"/>
    <w:rsid w:val="00AB03D0"/>
    <w:rsid w:val="00AB0BC9"/>
    <w:rsid w:val="00AB0D8C"/>
    <w:rsid w:val="00AB1645"/>
    <w:rsid w:val="00AB212F"/>
    <w:rsid w:val="00AB24A0"/>
    <w:rsid w:val="00AB29AB"/>
    <w:rsid w:val="00AB3326"/>
    <w:rsid w:val="00AB3482"/>
    <w:rsid w:val="00AB3B1D"/>
    <w:rsid w:val="00AB497A"/>
    <w:rsid w:val="00AB5806"/>
    <w:rsid w:val="00AB5FD4"/>
    <w:rsid w:val="00AB617D"/>
    <w:rsid w:val="00AB6424"/>
    <w:rsid w:val="00AB6DB6"/>
    <w:rsid w:val="00AB713D"/>
    <w:rsid w:val="00AB7445"/>
    <w:rsid w:val="00AB7EC0"/>
    <w:rsid w:val="00AC1234"/>
    <w:rsid w:val="00AC1401"/>
    <w:rsid w:val="00AC1757"/>
    <w:rsid w:val="00AC1793"/>
    <w:rsid w:val="00AC306A"/>
    <w:rsid w:val="00AC36D9"/>
    <w:rsid w:val="00AC37CD"/>
    <w:rsid w:val="00AC3A0D"/>
    <w:rsid w:val="00AC3E1A"/>
    <w:rsid w:val="00AC44EC"/>
    <w:rsid w:val="00AC50F6"/>
    <w:rsid w:val="00AC5160"/>
    <w:rsid w:val="00AC5493"/>
    <w:rsid w:val="00AC566A"/>
    <w:rsid w:val="00AC5DCC"/>
    <w:rsid w:val="00AC6196"/>
    <w:rsid w:val="00AC620F"/>
    <w:rsid w:val="00AC674C"/>
    <w:rsid w:val="00AC685A"/>
    <w:rsid w:val="00AC74EA"/>
    <w:rsid w:val="00AC76F1"/>
    <w:rsid w:val="00AC7BD2"/>
    <w:rsid w:val="00AC7E49"/>
    <w:rsid w:val="00AD1029"/>
    <w:rsid w:val="00AD1B44"/>
    <w:rsid w:val="00AD3892"/>
    <w:rsid w:val="00AD4525"/>
    <w:rsid w:val="00AD5512"/>
    <w:rsid w:val="00AD60B6"/>
    <w:rsid w:val="00AD71AF"/>
    <w:rsid w:val="00AD7C8C"/>
    <w:rsid w:val="00AE008D"/>
    <w:rsid w:val="00AE025A"/>
    <w:rsid w:val="00AE025D"/>
    <w:rsid w:val="00AE0427"/>
    <w:rsid w:val="00AE137C"/>
    <w:rsid w:val="00AE15DE"/>
    <w:rsid w:val="00AE22EE"/>
    <w:rsid w:val="00AE35E3"/>
    <w:rsid w:val="00AE415E"/>
    <w:rsid w:val="00AE4520"/>
    <w:rsid w:val="00AE488C"/>
    <w:rsid w:val="00AE4A55"/>
    <w:rsid w:val="00AE5786"/>
    <w:rsid w:val="00AE5B49"/>
    <w:rsid w:val="00AE5F25"/>
    <w:rsid w:val="00AE673C"/>
    <w:rsid w:val="00AE69D8"/>
    <w:rsid w:val="00AE7019"/>
    <w:rsid w:val="00AE7952"/>
    <w:rsid w:val="00AE7D2A"/>
    <w:rsid w:val="00AE7F6D"/>
    <w:rsid w:val="00AF0215"/>
    <w:rsid w:val="00AF0613"/>
    <w:rsid w:val="00AF0EA2"/>
    <w:rsid w:val="00AF10EB"/>
    <w:rsid w:val="00AF1625"/>
    <w:rsid w:val="00AF1D70"/>
    <w:rsid w:val="00AF2225"/>
    <w:rsid w:val="00AF3D75"/>
    <w:rsid w:val="00AF4850"/>
    <w:rsid w:val="00AF4A45"/>
    <w:rsid w:val="00AF4E54"/>
    <w:rsid w:val="00AF5A1B"/>
    <w:rsid w:val="00AF5B6D"/>
    <w:rsid w:val="00AF5D7C"/>
    <w:rsid w:val="00AF6117"/>
    <w:rsid w:val="00AF62F7"/>
    <w:rsid w:val="00AF63EE"/>
    <w:rsid w:val="00AF66B6"/>
    <w:rsid w:val="00AF6F6A"/>
    <w:rsid w:val="00AF79E4"/>
    <w:rsid w:val="00AF7A38"/>
    <w:rsid w:val="00AF7B1E"/>
    <w:rsid w:val="00B002DF"/>
    <w:rsid w:val="00B010F7"/>
    <w:rsid w:val="00B014D6"/>
    <w:rsid w:val="00B017DB"/>
    <w:rsid w:val="00B01A23"/>
    <w:rsid w:val="00B01A86"/>
    <w:rsid w:val="00B01CEB"/>
    <w:rsid w:val="00B027C4"/>
    <w:rsid w:val="00B03377"/>
    <w:rsid w:val="00B03A9F"/>
    <w:rsid w:val="00B03F68"/>
    <w:rsid w:val="00B03FC9"/>
    <w:rsid w:val="00B04C2A"/>
    <w:rsid w:val="00B04E90"/>
    <w:rsid w:val="00B065A2"/>
    <w:rsid w:val="00B065B2"/>
    <w:rsid w:val="00B06C81"/>
    <w:rsid w:val="00B07B28"/>
    <w:rsid w:val="00B07E1B"/>
    <w:rsid w:val="00B106BD"/>
    <w:rsid w:val="00B10DF6"/>
    <w:rsid w:val="00B1241C"/>
    <w:rsid w:val="00B12A26"/>
    <w:rsid w:val="00B130F8"/>
    <w:rsid w:val="00B14D90"/>
    <w:rsid w:val="00B14DD0"/>
    <w:rsid w:val="00B160D7"/>
    <w:rsid w:val="00B1670A"/>
    <w:rsid w:val="00B16886"/>
    <w:rsid w:val="00B16C5C"/>
    <w:rsid w:val="00B175F0"/>
    <w:rsid w:val="00B17F46"/>
    <w:rsid w:val="00B20825"/>
    <w:rsid w:val="00B21507"/>
    <w:rsid w:val="00B21A2B"/>
    <w:rsid w:val="00B225AC"/>
    <w:rsid w:val="00B24227"/>
    <w:rsid w:val="00B24657"/>
    <w:rsid w:val="00B2546E"/>
    <w:rsid w:val="00B25970"/>
    <w:rsid w:val="00B25F67"/>
    <w:rsid w:val="00B265F2"/>
    <w:rsid w:val="00B26770"/>
    <w:rsid w:val="00B269DD"/>
    <w:rsid w:val="00B2738A"/>
    <w:rsid w:val="00B27ABE"/>
    <w:rsid w:val="00B27CA5"/>
    <w:rsid w:val="00B27E8B"/>
    <w:rsid w:val="00B304F0"/>
    <w:rsid w:val="00B30630"/>
    <w:rsid w:val="00B31E81"/>
    <w:rsid w:val="00B329B5"/>
    <w:rsid w:val="00B3393F"/>
    <w:rsid w:val="00B33BFE"/>
    <w:rsid w:val="00B33E69"/>
    <w:rsid w:val="00B346F2"/>
    <w:rsid w:val="00B35931"/>
    <w:rsid w:val="00B36351"/>
    <w:rsid w:val="00B3735D"/>
    <w:rsid w:val="00B37782"/>
    <w:rsid w:val="00B37C66"/>
    <w:rsid w:val="00B37F77"/>
    <w:rsid w:val="00B40495"/>
    <w:rsid w:val="00B4050C"/>
    <w:rsid w:val="00B408FD"/>
    <w:rsid w:val="00B411E1"/>
    <w:rsid w:val="00B4138D"/>
    <w:rsid w:val="00B42F82"/>
    <w:rsid w:val="00B42FDE"/>
    <w:rsid w:val="00B4351D"/>
    <w:rsid w:val="00B4362E"/>
    <w:rsid w:val="00B4382F"/>
    <w:rsid w:val="00B4383F"/>
    <w:rsid w:val="00B43E30"/>
    <w:rsid w:val="00B43FC0"/>
    <w:rsid w:val="00B44291"/>
    <w:rsid w:val="00B443B8"/>
    <w:rsid w:val="00B44556"/>
    <w:rsid w:val="00B4518F"/>
    <w:rsid w:val="00B45861"/>
    <w:rsid w:val="00B4786C"/>
    <w:rsid w:val="00B47D05"/>
    <w:rsid w:val="00B505F2"/>
    <w:rsid w:val="00B50664"/>
    <w:rsid w:val="00B50CB9"/>
    <w:rsid w:val="00B514B3"/>
    <w:rsid w:val="00B51BEE"/>
    <w:rsid w:val="00B52468"/>
    <w:rsid w:val="00B52741"/>
    <w:rsid w:val="00B528C9"/>
    <w:rsid w:val="00B52957"/>
    <w:rsid w:val="00B52CC0"/>
    <w:rsid w:val="00B532FC"/>
    <w:rsid w:val="00B541A6"/>
    <w:rsid w:val="00B543A3"/>
    <w:rsid w:val="00B552D3"/>
    <w:rsid w:val="00B5622A"/>
    <w:rsid w:val="00B566C0"/>
    <w:rsid w:val="00B56A10"/>
    <w:rsid w:val="00B5796C"/>
    <w:rsid w:val="00B60DE7"/>
    <w:rsid w:val="00B610E3"/>
    <w:rsid w:val="00B61602"/>
    <w:rsid w:val="00B61C50"/>
    <w:rsid w:val="00B62674"/>
    <w:rsid w:val="00B62749"/>
    <w:rsid w:val="00B62B59"/>
    <w:rsid w:val="00B63E29"/>
    <w:rsid w:val="00B646DA"/>
    <w:rsid w:val="00B654AB"/>
    <w:rsid w:val="00B66823"/>
    <w:rsid w:val="00B66C0F"/>
    <w:rsid w:val="00B6799A"/>
    <w:rsid w:val="00B701F1"/>
    <w:rsid w:val="00B70263"/>
    <w:rsid w:val="00B70339"/>
    <w:rsid w:val="00B70CD5"/>
    <w:rsid w:val="00B72432"/>
    <w:rsid w:val="00B742D2"/>
    <w:rsid w:val="00B74754"/>
    <w:rsid w:val="00B7779A"/>
    <w:rsid w:val="00B77AB7"/>
    <w:rsid w:val="00B80EA2"/>
    <w:rsid w:val="00B811EA"/>
    <w:rsid w:val="00B81472"/>
    <w:rsid w:val="00B81B7E"/>
    <w:rsid w:val="00B822DF"/>
    <w:rsid w:val="00B82F97"/>
    <w:rsid w:val="00B83B6A"/>
    <w:rsid w:val="00B83FC2"/>
    <w:rsid w:val="00B8401C"/>
    <w:rsid w:val="00B8428E"/>
    <w:rsid w:val="00B848F6"/>
    <w:rsid w:val="00B84AF8"/>
    <w:rsid w:val="00B84D08"/>
    <w:rsid w:val="00B8508D"/>
    <w:rsid w:val="00B854A5"/>
    <w:rsid w:val="00B854F6"/>
    <w:rsid w:val="00B85B75"/>
    <w:rsid w:val="00B85E19"/>
    <w:rsid w:val="00B86898"/>
    <w:rsid w:val="00B874CE"/>
    <w:rsid w:val="00B8751F"/>
    <w:rsid w:val="00B90119"/>
    <w:rsid w:val="00B90182"/>
    <w:rsid w:val="00B908B0"/>
    <w:rsid w:val="00B90E10"/>
    <w:rsid w:val="00B910E9"/>
    <w:rsid w:val="00B9153E"/>
    <w:rsid w:val="00B9188E"/>
    <w:rsid w:val="00B9227F"/>
    <w:rsid w:val="00B92A42"/>
    <w:rsid w:val="00B92CF2"/>
    <w:rsid w:val="00B92EE7"/>
    <w:rsid w:val="00B932B9"/>
    <w:rsid w:val="00B939B7"/>
    <w:rsid w:val="00B93D45"/>
    <w:rsid w:val="00B93DA9"/>
    <w:rsid w:val="00B93DDD"/>
    <w:rsid w:val="00B94795"/>
    <w:rsid w:val="00B947B6"/>
    <w:rsid w:val="00B94EF2"/>
    <w:rsid w:val="00B95210"/>
    <w:rsid w:val="00B9576F"/>
    <w:rsid w:val="00B95B9D"/>
    <w:rsid w:val="00B95F8F"/>
    <w:rsid w:val="00B96D4C"/>
    <w:rsid w:val="00B97403"/>
    <w:rsid w:val="00B97726"/>
    <w:rsid w:val="00B978D2"/>
    <w:rsid w:val="00BA0E8B"/>
    <w:rsid w:val="00BA1DDB"/>
    <w:rsid w:val="00BA2DC8"/>
    <w:rsid w:val="00BA2DF0"/>
    <w:rsid w:val="00BA2EEF"/>
    <w:rsid w:val="00BA32FE"/>
    <w:rsid w:val="00BA3AB4"/>
    <w:rsid w:val="00BA41D8"/>
    <w:rsid w:val="00BA4556"/>
    <w:rsid w:val="00BA4C8C"/>
    <w:rsid w:val="00BA60D7"/>
    <w:rsid w:val="00BA64E2"/>
    <w:rsid w:val="00BA6A7F"/>
    <w:rsid w:val="00BA6B18"/>
    <w:rsid w:val="00BA6BAA"/>
    <w:rsid w:val="00BA6DC0"/>
    <w:rsid w:val="00BA772D"/>
    <w:rsid w:val="00BB03A4"/>
    <w:rsid w:val="00BB041F"/>
    <w:rsid w:val="00BB1774"/>
    <w:rsid w:val="00BB17D3"/>
    <w:rsid w:val="00BB19F6"/>
    <w:rsid w:val="00BB2182"/>
    <w:rsid w:val="00BB21D9"/>
    <w:rsid w:val="00BB2BDD"/>
    <w:rsid w:val="00BB3223"/>
    <w:rsid w:val="00BB325C"/>
    <w:rsid w:val="00BB36BF"/>
    <w:rsid w:val="00BB3A07"/>
    <w:rsid w:val="00BB3F0F"/>
    <w:rsid w:val="00BB4CC5"/>
    <w:rsid w:val="00BB4FED"/>
    <w:rsid w:val="00BB5ACE"/>
    <w:rsid w:val="00BB60FB"/>
    <w:rsid w:val="00BB63C5"/>
    <w:rsid w:val="00BB7F23"/>
    <w:rsid w:val="00BC02DC"/>
    <w:rsid w:val="00BC08F2"/>
    <w:rsid w:val="00BC1038"/>
    <w:rsid w:val="00BC15D1"/>
    <w:rsid w:val="00BC16AA"/>
    <w:rsid w:val="00BC229B"/>
    <w:rsid w:val="00BC24BE"/>
    <w:rsid w:val="00BC264E"/>
    <w:rsid w:val="00BC2833"/>
    <w:rsid w:val="00BC306F"/>
    <w:rsid w:val="00BC4214"/>
    <w:rsid w:val="00BC431B"/>
    <w:rsid w:val="00BC449A"/>
    <w:rsid w:val="00BC44A4"/>
    <w:rsid w:val="00BC5258"/>
    <w:rsid w:val="00BC5609"/>
    <w:rsid w:val="00BC5ED9"/>
    <w:rsid w:val="00BC60A9"/>
    <w:rsid w:val="00BC6638"/>
    <w:rsid w:val="00BC6696"/>
    <w:rsid w:val="00BC694A"/>
    <w:rsid w:val="00BC6A8C"/>
    <w:rsid w:val="00BC764B"/>
    <w:rsid w:val="00BC788C"/>
    <w:rsid w:val="00BC7909"/>
    <w:rsid w:val="00BC795B"/>
    <w:rsid w:val="00BC7981"/>
    <w:rsid w:val="00BC7BAA"/>
    <w:rsid w:val="00BD08EB"/>
    <w:rsid w:val="00BD0D18"/>
    <w:rsid w:val="00BD0F31"/>
    <w:rsid w:val="00BD11D1"/>
    <w:rsid w:val="00BD19EC"/>
    <w:rsid w:val="00BD1D9B"/>
    <w:rsid w:val="00BD2A56"/>
    <w:rsid w:val="00BD2A75"/>
    <w:rsid w:val="00BD2F47"/>
    <w:rsid w:val="00BD3830"/>
    <w:rsid w:val="00BD3C5E"/>
    <w:rsid w:val="00BD4D19"/>
    <w:rsid w:val="00BD585C"/>
    <w:rsid w:val="00BD6592"/>
    <w:rsid w:val="00BD67B5"/>
    <w:rsid w:val="00BD7525"/>
    <w:rsid w:val="00BD7A6E"/>
    <w:rsid w:val="00BE05AF"/>
    <w:rsid w:val="00BE069D"/>
    <w:rsid w:val="00BE08AB"/>
    <w:rsid w:val="00BE102C"/>
    <w:rsid w:val="00BE1179"/>
    <w:rsid w:val="00BE1798"/>
    <w:rsid w:val="00BE1980"/>
    <w:rsid w:val="00BE1B7D"/>
    <w:rsid w:val="00BE1C3D"/>
    <w:rsid w:val="00BE2C9E"/>
    <w:rsid w:val="00BE2F00"/>
    <w:rsid w:val="00BE3354"/>
    <w:rsid w:val="00BE50DC"/>
    <w:rsid w:val="00BE524F"/>
    <w:rsid w:val="00BE56D5"/>
    <w:rsid w:val="00BE67F8"/>
    <w:rsid w:val="00BE6B3D"/>
    <w:rsid w:val="00BE72BE"/>
    <w:rsid w:val="00BE76E8"/>
    <w:rsid w:val="00BE789D"/>
    <w:rsid w:val="00BE7924"/>
    <w:rsid w:val="00BE79E1"/>
    <w:rsid w:val="00BE7C24"/>
    <w:rsid w:val="00BF0135"/>
    <w:rsid w:val="00BF0187"/>
    <w:rsid w:val="00BF02C4"/>
    <w:rsid w:val="00BF055C"/>
    <w:rsid w:val="00BF0C11"/>
    <w:rsid w:val="00BF0F45"/>
    <w:rsid w:val="00BF1277"/>
    <w:rsid w:val="00BF1470"/>
    <w:rsid w:val="00BF1E58"/>
    <w:rsid w:val="00BF2075"/>
    <w:rsid w:val="00BF2174"/>
    <w:rsid w:val="00BF243C"/>
    <w:rsid w:val="00BF2AFB"/>
    <w:rsid w:val="00BF3BB0"/>
    <w:rsid w:val="00BF3BCB"/>
    <w:rsid w:val="00BF3C5F"/>
    <w:rsid w:val="00BF58FB"/>
    <w:rsid w:val="00BF59D8"/>
    <w:rsid w:val="00BF5A99"/>
    <w:rsid w:val="00BF5D6C"/>
    <w:rsid w:val="00BF5D89"/>
    <w:rsid w:val="00BF5EFD"/>
    <w:rsid w:val="00BF646D"/>
    <w:rsid w:val="00BF77E5"/>
    <w:rsid w:val="00BF7847"/>
    <w:rsid w:val="00BF79DD"/>
    <w:rsid w:val="00BF7EA4"/>
    <w:rsid w:val="00C00315"/>
    <w:rsid w:val="00C00DAC"/>
    <w:rsid w:val="00C01221"/>
    <w:rsid w:val="00C012C4"/>
    <w:rsid w:val="00C0178D"/>
    <w:rsid w:val="00C01A69"/>
    <w:rsid w:val="00C01F0A"/>
    <w:rsid w:val="00C02224"/>
    <w:rsid w:val="00C03719"/>
    <w:rsid w:val="00C03D1E"/>
    <w:rsid w:val="00C03FC8"/>
    <w:rsid w:val="00C045C6"/>
    <w:rsid w:val="00C0479E"/>
    <w:rsid w:val="00C04BCD"/>
    <w:rsid w:val="00C04E27"/>
    <w:rsid w:val="00C05373"/>
    <w:rsid w:val="00C055DA"/>
    <w:rsid w:val="00C0600F"/>
    <w:rsid w:val="00C064D5"/>
    <w:rsid w:val="00C0725B"/>
    <w:rsid w:val="00C074C6"/>
    <w:rsid w:val="00C07D29"/>
    <w:rsid w:val="00C110C9"/>
    <w:rsid w:val="00C11512"/>
    <w:rsid w:val="00C11DA0"/>
    <w:rsid w:val="00C12D1C"/>
    <w:rsid w:val="00C1337A"/>
    <w:rsid w:val="00C138C2"/>
    <w:rsid w:val="00C1443B"/>
    <w:rsid w:val="00C146BD"/>
    <w:rsid w:val="00C14D88"/>
    <w:rsid w:val="00C15C0C"/>
    <w:rsid w:val="00C15C3F"/>
    <w:rsid w:val="00C15F8D"/>
    <w:rsid w:val="00C1642C"/>
    <w:rsid w:val="00C1682B"/>
    <w:rsid w:val="00C16EAC"/>
    <w:rsid w:val="00C179C5"/>
    <w:rsid w:val="00C20D27"/>
    <w:rsid w:val="00C22587"/>
    <w:rsid w:val="00C2280B"/>
    <w:rsid w:val="00C228B7"/>
    <w:rsid w:val="00C23150"/>
    <w:rsid w:val="00C2325A"/>
    <w:rsid w:val="00C23886"/>
    <w:rsid w:val="00C238DE"/>
    <w:rsid w:val="00C23F2C"/>
    <w:rsid w:val="00C243C2"/>
    <w:rsid w:val="00C24553"/>
    <w:rsid w:val="00C24F26"/>
    <w:rsid w:val="00C25195"/>
    <w:rsid w:val="00C252E0"/>
    <w:rsid w:val="00C25337"/>
    <w:rsid w:val="00C256F3"/>
    <w:rsid w:val="00C25E11"/>
    <w:rsid w:val="00C269CB"/>
    <w:rsid w:val="00C26EB5"/>
    <w:rsid w:val="00C27289"/>
    <w:rsid w:val="00C27D84"/>
    <w:rsid w:val="00C27E18"/>
    <w:rsid w:val="00C30253"/>
    <w:rsid w:val="00C307B8"/>
    <w:rsid w:val="00C30D73"/>
    <w:rsid w:val="00C31012"/>
    <w:rsid w:val="00C31345"/>
    <w:rsid w:val="00C31D2B"/>
    <w:rsid w:val="00C32714"/>
    <w:rsid w:val="00C32756"/>
    <w:rsid w:val="00C329C1"/>
    <w:rsid w:val="00C32E06"/>
    <w:rsid w:val="00C32F4D"/>
    <w:rsid w:val="00C33507"/>
    <w:rsid w:val="00C337BB"/>
    <w:rsid w:val="00C35FEA"/>
    <w:rsid w:val="00C361A2"/>
    <w:rsid w:val="00C365F0"/>
    <w:rsid w:val="00C36A8B"/>
    <w:rsid w:val="00C37274"/>
    <w:rsid w:val="00C404CE"/>
    <w:rsid w:val="00C411C7"/>
    <w:rsid w:val="00C41413"/>
    <w:rsid w:val="00C419CD"/>
    <w:rsid w:val="00C41A85"/>
    <w:rsid w:val="00C421F6"/>
    <w:rsid w:val="00C42C84"/>
    <w:rsid w:val="00C42D89"/>
    <w:rsid w:val="00C43D6B"/>
    <w:rsid w:val="00C4440D"/>
    <w:rsid w:val="00C44469"/>
    <w:rsid w:val="00C44E93"/>
    <w:rsid w:val="00C4591F"/>
    <w:rsid w:val="00C45CEC"/>
    <w:rsid w:val="00C4663C"/>
    <w:rsid w:val="00C46654"/>
    <w:rsid w:val="00C46843"/>
    <w:rsid w:val="00C46C0B"/>
    <w:rsid w:val="00C4714F"/>
    <w:rsid w:val="00C47972"/>
    <w:rsid w:val="00C47FA7"/>
    <w:rsid w:val="00C50F79"/>
    <w:rsid w:val="00C511BC"/>
    <w:rsid w:val="00C517B3"/>
    <w:rsid w:val="00C51A93"/>
    <w:rsid w:val="00C51DEF"/>
    <w:rsid w:val="00C51E30"/>
    <w:rsid w:val="00C520A5"/>
    <w:rsid w:val="00C53149"/>
    <w:rsid w:val="00C53B1F"/>
    <w:rsid w:val="00C53FD4"/>
    <w:rsid w:val="00C54482"/>
    <w:rsid w:val="00C545B4"/>
    <w:rsid w:val="00C549FA"/>
    <w:rsid w:val="00C54AED"/>
    <w:rsid w:val="00C54D41"/>
    <w:rsid w:val="00C54E0D"/>
    <w:rsid w:val="00C54FF9"/>
    <w:rsid w:val="00C552B6"/>
    <w:rsid w:val="00C5533C"/>
    <w:rsid w:val="00C55589"/>
    <w:rsid w:val="00C56154"/>
    <w:rsid w:val="00C56172"/>
    <w:rsid w:val="00C561B4"/>
    <w:rsid w:val="00C56361"/>
    <w:rsid w:val="00C567BB"/>
    <w:rsid w:val="00C56F11"/>
    <w:rsid w:val="00C57214"/>
    <w:rsid w:val="00C57819"/>
    <w:rsid w:val="00C60560"/>
    <w:rsid w:val="00C605EE"/>
    <w:rsid w:val="00C60C19"/>
    <w:rsid w:val="00C60F51"/>
    <w:rsid w:val="00C61222"/>
    <w:rsid w:val="00C61413"/>
    <w:rsid w:val="00C619C1"/>
    <w:rsid w:val="00C61E2A"/>
    <w:rsid w:val="00C6211A"/>
    <w:rsid w:val="00C62275"/>
    <w:rsid w:val="00C62525"/>
    <w:rsid w:val="00C62837"/>
    <w:rsid w:val="00C6286B"/>
    <w:rsid w:val="00C632EE"/>
    <w:rsid w:val="00C63E52"/>
    <w:rsid w:val="00C63EE7"/>
    <w:rsid w:val="00C6453A"/>
    <w:rsid w:val="00C645F8"/>
    <w:rsid w:val="00C64681"/>
    <w:rsid w:val="00C658D4"/>
    <w:rsid w:val="00C65DBC"/>
    <w:rsid w:val="00C66049"/>
    <w:rsid w:val="00C667C1"/>
    <w:rsid w:val="00C6698C"/>
    <w:rsid w:val="00C66A0D"/>
    <w:rsid w:val="00C66B84"/>
    <w:rsid w:val="00C66E33"/>
    <w:rsid w:val="00C677DC"/>
    <w:rsid w:val="00C701CE"/>
    <w:rsid w:val="00C713EE"/>
    <w:rsid w:val="00C7301B"/>
    <w:rsid w:val="00C73291"/>
    <w:rsid w:val="00C735CF"/>
    <w:rsid w:val="00C73B8D"/>
    <w:rsid w:val="00C74143"/>
    <w:rsid w:val="00C7420B"/>
    <w:rsid w:val="00C74BC4"/>
    <w:rsid w:val="00C74F26"/>
    <w:rsid w:val="00C75147"/>
    <w:rsid w:val="00C753C6"/>
    <w:rsid w:val="00C76742"/>
    <w:rsid w:val="00C76C0C"/>
    <w:rsid w:val="00C76F23"/>
    <w:rsid w:val="00C77042"/>
    <w:rsid w:val="00C777BD"/>
    <w:rsid w:val="00C80F9E"/>
    <w:rsid w:val="00C81685"/>
    <w:rsid w:val="00C819F4"/>
    <w:rsid w:val="00C82B94"/>
    <w:rsid w:val="00C82F53"/>
    <w:rsid w:val="00C835E7"/>
    <w:rsid w:val="00C836BB"/>
    <w:rsid w:val="00C83C2D"/>
    <w:rsid w:val="00C83F39"/>
    <w:rsid w:val="00C84552"/>
    <w:rsid w:val="00C84DA5"/>
    <w:rsid w:val="00C84E5A"/>
    <w:rsid w:val="00C859A0"/>
    <w:rsid w:val="00C85A4B"/>
    <w:rsid w:val="00C865A0"/>
    <w:rsid w:val="00C86B23"/>
    <w:rsid w:val="00C86FCA"/>
    <w:rsid w:val="00C87118"/>
    <w:rsid w:val="00C87330"/>
    <w:rsid w:val="00C875C6"/>
    <w:rsid w:val="00C877C1"/>
    <w:rsid w:val="00C87BBD"/>
    <w:rsid w:val="00C87EBC"/>
    <w:rsid w:val="00C90EDA"/>
    <w:rsid w:val="00C90FDD"/>
    <w:rsid w:val="00C912E5"/>
    <w:rsid w:val="00C9264C"/>
    <w:rsid w:val="00C926E3"/>
    <w:rsid w:val="00C927EA"/>
    <w:rsid w:val="00C9290B"/>
    <w:rsid w:val="00C93ED3"/>
    <w:rsid w:val="00C94AC8"/>
    <w:rsid w:val="00C953C2"/>
    <w:rsid w:val="00C964BA"/>
    <w:rsid w:val="00C96E17"/>
    <w:rsid w:val="00C9760D"/>
    <w:rsid w:val="00C97621"/>
    <w:rsid w:val="00C97C8D"/>
    <w:rsid w:val="00CA03B1"/>
    <w:rsid w:val="00CA2DE7"/>
    <w:rsid w:val="00CA2EAD"/>
    <w:rsid w:val="00CA3BDB"/>
    <w:rsid w:val="00CA417A"/>
    <w:rsid w:val="00CA4332"/>
    <w:rsid w:val="00CA4651"/>
    <w:rsid w:val="00CA4D0A"/>
    <w:rsid w:val="00CA4EF7"/>
    <w:rsid w:val="00CA505B"/>
    <w:rsid w:val="00CA735C"/>
    <w:rsid w:val="00CA73E4"/>
    <w:rsid w:val="00CA7564"/>
    <w:rsid w:val="00CA7860"/>
    <w:rsid w:val="00CB09B0"/>
    <w:rsid w:val="00CB0F2F"/>
    <w:rsid w:val="00CB1820"/>
    <w:rsid w:val="00CB24B5"/>
    <w:rsid w:val="00CB2631"/>
    <w:rsid w:val="00CB2CA6"/>
    <w:rsid w:val="00CB32AE"/>
    <w:rsid w:val="00CB38F0"/>
    <w:rsid w:val="00CB4A00"/>
    <w:rsid w:val="00CB4AF1"/>
    <w:rsid w:val="00CB4F18"/>
    <w:rsid w:val="00CB4F3A"/>
    <w:rsid w:val="00CB5F58"/>
    <w:rsid w:val="00CB6DDA"/>
    <w:rsid w:val="00CB7D3F"/>
    <w:rsid w:val="00CB7F99"/>
    <w:rsid w:val="00CC0996"/>
    <w:rsid w:val="00CC0D8C"/>
    <w:rsid w:val="00CC10F8"/>
    <w:rsid w:val="00CC2807"/>
    <w:rsid w:val="00CC2D87"/>
    <w:rsid w:val="00CC41C4"/>
    <w:rsid w:val="00CC5326"/>
    <w:rsid w:val="00CC5ACF"/>
    <w:rsid w:val="00CC5DAE"/>
    <w:rsid w:val="00CC5F6A"/>
    <w:rsid w:val="00CC61F6"/>
    <w:rsid w:val="00CC644A"/>
    <w:rsid w:val="00CC667A"/>
    <w:rsid w:val="00CC66BB"/>
    <w:rsid w:val="00CC6AA7"/>
    <w:rsid w:val="00CC6EE8"/>
    <w:rsid w:val="00CC7257"/>
    <w:rsid w:val="00CC7B53"/>
    <w:rsid w:val="00CC7F05"/>
    <w:rsid w:val="00CD013B"/>
    <w:rsid w:val="00CD0359"/>
    <w:rsid w:val="00CD059D"/>
    <w:rsid w:val="00CD0676"/>
    <w:rsid w:val="00CD15D5"/>
    <w:rsid w:val="00CD2553"/>
    <w:rsid w:val="00CD3B1E"/>
    <w:rsid w:val="00CD3BF5"/>
    <w:rsid w:val="00CD3E5E"/>
    <w:rsid w:val="00CD40EC"/>
    <w:rsid w:val="00CD45B2"/>
    <w:rsid w:val="00CD5778"/>
    <w:rsid w:val="00CD5A7F"/>
    <w:rsid w:val="00CD5EB3"/>
    <w:rsid w:val="00CD62E9"/>
    <w:rsid w:val="00CD6C15"/>
    <w:rsid w:val="00CD7252"/>
    <w:rsid w:val="00CD74B9"/>
    <w:rsid w:val="00CD79B4"/>
    <w:rsid w:val="00CD79DF"/>
    <w:rsid w:val="00CE0327"/>
    <w:rsid w:val="00CE045C"/>
    <w:rsid w:val="00CE09D9"/>
    <w:rsid w:val="00CE0C74"/>
    <w:rsid w:val="00CE0FB2"/>
    <w:rsid w:val="00CE10A7"/>
    <w:rsid w:val="00CE1161"/>
    <w:rsid w:val="00CE1565"/>
    <w:rsid w:val="00CE1C99"/>
    <w:rsid w:val="00CE1DF2"/>
    <w:rsid w:val="00CE2145"/>
    <w:rsid w:val="00CE30CF"/>
    <w:rsid w:val="00CE449A"/>
    <w:rsid w:val="00CE4584"/>
    <w:rsid w:val="00CE4E3F"/>
    <w:rsid w:val="00CE507E"/>
    <w:rsid w:val="00CE5B71"/>
    <w:rsid w:val="00CE5D6C"/>
    <w:rsid w:val="00CE6524"/>
    <w:rsid w:val="00CE71D7"/>
    <w:rsid w:val="00CF034B"/>
    <w:rsid w:val="00CF1739"/>
    <w:rsid w:val="00CF1996"/>
    <w:rsid w:val="00CF1A87"/>
    <w:rsid w:val="00CF1DE1"/>
    <w:rsid w:val="00CF20CA"/>
    <w:rsid w:val="00CF2BF5"/>
    <w:rsid w:val="00CF2ED8"/>
    <w:rsid w:val="00CF3A41"/>
    <w:rsid w:val="00CF3C26"/>
    <w:rsid w:val="00CF3C86"/>
    <w:rsid w:val="00CF3EFE"/>
    <w:rsid w:val="00CF44B0"/>
    <w:rsid w:val="00CF48BF"/>
    <w:rsid w:val="00CF5595"/>
    <w:rsid w:val="00CF6776"/>
    <w:rsid w:val="00CF6BBF"/>
    <w:rsid w:val="00CF6C9F"/>
    <w:rsid w:val="00CF7164"/>
    <w:rsid w:val="00CF7622"/>
    <w:rsid w:val="00D004BD"/>
    <w:rsid w:val="00D015DD"/>
    <w:rsid w:val="00D02764"/>
    <w:rsid w:val="00D04AD8"/>
    <w:rsid w:val="00D055E3"/>
    <w:rsid w:val="00D05BBF"/>
    <w:rsid w:val="00D05BF0"/>
    <w:rsid w:val="00D06038"/>
    <w:rsid w:val="00D0619D"/>
    <w:rsid w:val="00D064EA"/>
    <w:rsid w:val="00D10A93"/>
    <w:rsid w:val="00D10F68"/>
    <w:rsid w:val="00D113E7"/>
    <w:rsid w:val="00D1214D"/>
    <w:rsid w:val="00D12475"/>
    <w:rsid w:val="00D13422"/>
    <w:rsid w:val="00D142C5"/>
    <w:rsid w:val="00D144B0"/>
    <w:rsid w:val="00D14FBB"/>
    <w:rsid w:val="00D159BE"/>
    <w:rsid w:val="00D159EE"/>
    <w:rsid w:val="00D15EF0"/>
    <w:rsid w:val="00D15F44"/>
    <w:rsid w:val="00D17400"/>
    <w:rsid w:val="00D179C4"/>
    <w:rsid w:val="00D17A95"/>
    <w:rsid w:val="00D17C41"/>
    <w:rsid w:val="00D17D16"/>
    <w:rsid w:val="00D17D99"/>
    <w:rsid w:val="00D21EAF"/>
    <w:rsid w:val="00D21F44"/>
    <w:rsid w:val="00D22C07"/>
    <w:rsid w:val="00D2321D"/>
    <w:rsid w:val="00D23F61"/>
    <w:rsid w:val="00D24275"/>
    <w:rsid w:val="00D25870"/>
    <w:rsid w:val="00D25F39"/>
    <w:rsid w:val="00D27893"/>
    <w:rsid w:val="00D27A42"/>
    <w:rsid w:val="00D27F1A"/>
    <w:rsid w:val="00D30408"/>
    <w:rsid w:val="00D309F6"/>
    <w:rsid w:val="00D3154B"/>
    <w:rsid w:val="00D32A62"/>
    <w:rsid w:val="00D33D23"/>
    <w:rsid w:val="00D33D2D"/>
    <w:rsid w:val="00D33DEE"/>
    <w:rsid w:val="00D33F28"/>
    <w:rsid w:val="00D3430B"/>
    <w:rsid w:val="00D3439E"/>
    <w:rsid w:val="00D3484D"/>
    <w:rsid w:val="00D35938"/>
    <w:rsid w:val="00D35AEF"/>
    <w:rsid w:val="00D35F19"/>
    <w:rsid w:val="00D3629F"/>
    <w:rsid w:val="00D3640B"/>
    <w:rsid w:val="00D36BB0"/>
    <w:rsid w:val="00D36DB6"/>
    <w:rsid w:val="00D371EC"/>
    <w:rsid w:val="00D37C70"/>
    <w:rsid w:val="00D37C8E"/>
    <w:rsid w:val="00D37E9D"/>
    <w:rsid w:val="00D4070F"/>
    <w:rsid w:val="00D40DD3"/>
    <w:rsid w:val="00D414B6"/>
    <w:rsid w:val="00D41B63"/>
    <w:rsid w:val="00D41F6F"/>
    <w:rsid w:val="00D42005"/>
    <w:rsid w:val="00D42097"/>
    <w:rsid w:val="00D423AB"/>
    <w:rsid w:val="00D4266E"/>
    <w:rsid w:val="00D42A65"/>
    <w:rsid w:val="00D42B95"/>
    <w:rsid w:val="00D43A01"/>
    <w:rsid w:val="00D43A3C"/>
    <w:rsid w:val="00D43A6B"/>
    <w:rsid w:val="00D44D4D"/>
    <w:rsid w:val="00D456D8"/>
    <w:rsid w:val="00D461B3"/>
    <w:rsid w:val="00D4679E"/>
    <w:rsid w:val="00D46A4A"/>
    <w:rsid w:val="00D47027"/>
    <w:rsid w:val="00D4706F"/>
    <w:rsid w:val="00D47358"/>
    <w:rsid w:val="00D475A8"/>
    <w:rsid w:val="00D478F8"/>
    <w:rsid w:val="00D47B1E"/>
    <w:rsid w:val="00D47DD5"/>
    <w:rsid w:val="00D503A5"/>
    <w:rsid w:val="00D5056D"/>
    <w:rsid w:val="00D50DB8"/>
    <w:rsid w:val="00D50F23"/>
    <w:rsid w:val="00D5257A"/>
    <w:rsid w:val="00D52716"/>
    <w:rsid w:val="00D527EC"/>
    <w:rsid w:val="00D5342F"/>
    <w:rsid w:val="00D5385E"/>
    <w:rsid w:val="00D54242"/>
    <w:rsid w:val="00D5427A"/>
    <w:rsid w:val="00D554CB"/>
    <w:rsid w:val="00D55694"/>
    <w:rsid w:val="00D55940"/>
    <w:rsid w:val="00D56906"/>
    <w:rsid w:val="00D57316"/>
    <w:rsid w:val="00D57AEC"/>
    <w:rsid w:val="00D6026B"/>
    <w:rsid w:val="00D63415"/>
    <w:rsid w:val="00D63987"/>
    <w:rsid w:val="00D642A9"/>
    <w:rsid w:val="00D645F8"/>
    <w:rsid w:val="00D64BE7"/>
    <w:rsid w:val="00D655D4"/>
    <w:rsid w:val="00D65B0C"/>
    <w:rsid w:val="00D662AB"/>
    <w:rsid w:val="00D67268"/>
    <w:rsid w:val="00D67447"/>
    <w:rsid w:val="00D67628"/>
    <w:rsid w:val="00D67752"/>
    <w:rsid w:val="00D677D3"/>
    <w:rsid w:val="00D70554"/>
    <w:rsid w:val="00D70614"/>
    <w:rsid w:val="00D70938"/>
    <w:rsid w:val="00D70EEC"/>
    <w:rsid w:val="00D71CA0"/>
    <w:rsid w:val="00D7304B"/>
    <w:rsid w:val="00D739F2"/>
    <w:rsid w:val="00D74364"/>
    <w:rsid w:val="00D74D56"/>
    <w:rsid w:val="00D75740"/>
    <w:rsid w:val="00D75A63"/>
    <w:rsid w:val="00D75BB4"/>
    <w:rsid w:val="00D75F22"/>
    <w:rsid w:val="00D764E3"/>
    <w:rsid w:val="00D767A5"/>
    <w:rsid w:val="00D769EC"/>
    <w:rsid w:val="00D77003"/>
    <w:rsid w:val="00D773BC"/>
    <w:rsid w:val="00D77687"/>
    <w:rsid w:val="00D77BC3"/>
    <w:rsid w:val="00D77D68"/>
    <w:rsid w:val="00D80F6F"/>
    <w:rsid w:val="00D8155C"/>
    <w:rsid w:val="00D8170E"/>
    <w:rsid w:val="00D821C2"/>
    <w:rsid w:val="00D82C4D"/>
    <w:rsid w:val="00D82CC1"/>
    <w:rsid w:val="00D82EEC"/>
    <w:rsid w:val="00D836C3"/>
    <w:rsid w:val="00D83B23"/>
    <w:rsid w:val="00D83D37"/>
    <w:rsid w:val="00D851C8"/>
    <w:rsid w:val="00D85481"/>
    <w:rsid w:val="00D857F3"/>
    <w:rsid w:val="00D859E4"/>
    <w:rsid w:val="00D85BFC"/>
    <w:rsid w:val="00D85EBF"/>
    <w:rsid w:val="00D85F90"/>
    <w:rsid w:val="00D860C6"/>
    <w:rsid w:val="00D86928"/>
    <w:rsid w:val="00D87790"/>
    <w:rsid w:val="00D87D5F"/>
    <w:rsid w:val="00D9006E"/>
    <w:rsid w:val="00D904AC"/>
    <w:rsid w:val="00D905DF"/>
    <w:rsid w:val="00D9146A"/>
    <w:rsid w:val="00D9152C"/>
    <w:rsid w:val="00D91798"/>
    <w:rsid w:val="00D91F99"/>
    <w:rsid w:val="00D92708"/>
    <w:rsid w:val="00D92F8D"/>
    <w:rsid w:val="00D935E4"/>
    <w:rsid w:val="00D9407E"/>
    <w:rsid w:val="00D9433C"/>
    <w:rsid w:val="00D94557"/>
    <w:rsid w:val="00D951D2"/>
    <w:rsid w:val="00D9562A"/>
    <w:rsid w:val="00D95AA4"/>
    <w:rsid w:val="00D96432"/>
    <w:rsid w:val="00D96BCE"/>
    <w:rsid w:val="00D9727A"/>
    <w:rsid w:val="00D9793F"/>
    <w:rsid w:val="00D97E17"/>
    <w:rsid w:val="00DA0BA6"/>
    <w:rsid w:val="00DA0C73"/>
    <w:rsid w:val="00DA150F"/>
    <w:rsid w:val="00DA1C19"/>
    <w:rsid w:val="00DA2976"/>
    <w:rsid w:val="00DA30DA"/>
    <w:rsid w:val="00DA3AE6"/>
    <w:rsid w:val="00DA4571"/>
    <w:rsid w:val="00DA5456"/>
    <w:rsid w:val="00DA6917"/>
    <w:rsid w:val="00DA76C8"/>
    <w:rsid w:val="00DA7E93"/>
    <w:rsid w:val="00DA7EDE"/>
    <w:rsid w:val="00DA7F4F"/>
    <w:rsid w:val="00DB0E5D"/>
    <w:rsid w:val="00DB19DB"/>
    <w:rsid w:val="00DB1F4C"/>
    <w:rsid w:val="00DB229A"/>
    <w:rsid w:val="00DB2309"/>
    <w:rsid w:val="00DB39F6"/>
    <w:rsid w:val="00DB4159"/>
    <w:rsid w:val="00DB4DE2"/>
    <w:rsid w:val="00DB4FA5"/>
    <w:rsid w:val="00DB5281"/>
    <w:rsid w:val="00DB67D5"/>
    <w:rsid w:val="00DB68D6"/>
    <w:rsid w:val="00DB698D"/>
    <w:rsid w:val="00DB6D89"/>
    <w:rsid w:val="00DB7A38"/>
    <w:rsid w:val="00DB7D3A"/>
    <w:rsid w:val="00DB7D77"/>
    <w:rsid w:val="00DC01C9"/>
    <w:rsid w:val="00DC07DD"/>
    <w:rsid w:val="00DC0931"/>
    <w:rsid w:val="00DC0C3A"/>
    <w:rsid w:val="00DC2268"/>
    <w:rsid w:val="00DC22B0"/>
    <w:rsid w:val="00DC22EB"/>
    <w:rsid w:val="00DC230A"/>
    <w:rsid w:val="00DC2491"/>
    <w:rsid w:val="00DC2676"/>
    <w:rsid w:val="00DC32C3"/>
    <w:rsid w:val="00DC33F1"/>
    <w:rsid w:val="00DC3638"/>
    <w:rsid w:val="00DC3CF1"/>
    <w:rsid w:val="00DC42CC"/>
    <w:rsid w:val="00DC5200"/>
    <w:rsid w:val="00DC5316"/>
    <w:rsid w:val="00DC5EB4"/>
    <w:rsid w:val="00DC6353"/>
    <w:rsid w:val="00DC6B16"/>
    <w:rsid w:val="00DC71FE"/>
    <w:rsid w:val="00DC7B0C"/>
    <w:rsid w:val="00DC7C6C"/>
    <w:rsid w:val="00DD0FDA"/>
    <w:rsid w:val="00DD20C9"/>
    <w:rsid w:val="00DD2259"/>
    <w:rsid w:val="00DD3C1D"/>
    <w:rsid w:val="00DD3C42"/>
    <w:rsid w:val="00DD3F4F"/>
    <w:rsid w:val="00DD4755"/>
    <w:rsid w:val="00DD4C44"/>
    <w:rsid w:val="00DD4C73"/>
    <w:rsid w:val="00DD4FFF"/>
    <w:rsid w:val="00DD51DD"/>
    <w:rsid w:val="00DD61CF"/>
    <w:rsid w:val="00DD6E5F"/>
    <w:rsid w:val="00DD7F4E"/>
    <w:rsid w:val="00DE011F"/>
    <w:rsid w:val="00DE0EAB"/>
    <w:rsid w:val="00DE11AB"/>
    <w:rsid w:val="00DE12AB"/>
    <w:rsid w:val="00DE12D6"/>
    <w:rsid w:val="00DE1599"/>
    <w:rsid w:val="00DE2628"/>
    <w:rsid w:val="00DE2717"/>
    <w:rsid w:val="00DE3832"/>
    <w:rsid w:val="00DE3EBB"/>
    <w:rsid w:val="00DE4043"/>
    <w:rsid w:val="00DE45D0"/>
    <w:rsid w:val="00DE4674"/>
    <w:rsid w:val="00DE60C9"/>
    <w:rsid w:val="00DE618C"/>
    <w:rsid w:val="00DE6B34"/>
    <w:rsid w:val="00DE72CF"/>
    <w:rsid w:val="00DE7591"/>
    <w:rsid w:val="00DF1952"/>
    <w:rsid w:val="00DF21DA"/>
    <w:rsid w:val="00DF21F4"/>
    <w:rsid w:val="00DF2257"/>
    <w:rsid w:val="00DF2686"/>
    <w:rsid w:val="00DF2990"/>
    <w:rsid w:val="00DF30FF"/>
    <w:rsid w:val="00DF3265"/>
    <w:rsid w:val="00DF32C2"/>
    <w:rsid w:val="00DF3989"/>
    <w:rsid w:val="00DF3AD4"/>
    <w:rsid w:val="00DF3EA8"/>
    <w:rsid w:val="00DF4209"/>
    <w:rsid w:val="00DF4530"/>
    <w:rsid w:val="00DF4EA2"/>
    <w:rsid w:val="00DF5977"/>
    <w:rsid w:val="00DF5983"/>
    <w:rsid w:val="00DF65C7"/>
    <w:rsid w:val="00DF6974"/>
    <w:rsid w:val="00DF6DC9"/>
    <w:rsid w:val="00DF7F9A"/>
    <w:rsid w:val="00E00B26"/>
    <w:rsid w:val="00E00F66"/>
    <w:rsid w:val="00E0139C"/>
    <w:rsid w:val="00E01809"/>
    <w:rsid w:val="00E025E4"/>
    <w:rsid w:val="00E02B36"/>
    <w:rsid w:val="00E0392D"/>
    <w:rsid w:val="00E04364"/>
    <w:rsid w:val="00E04704"/>
    <w:rsid w:val="00E055EB"/>
    <w:rsid w:val="00E05CDB"/>
    <w:rsid w:val="00E05F42"/>
    <w:rsid w:val="00E0603B"/>
    <w:rsid w:val="00E067AE"/>
    <w:rsid w:val="00E0714A"/>
    <w:rsid w:val="00E07A00"/>
    <w:rsid w:val="00E07F68"/>
    <w:rsid w:val="00E10494"/>
    <w:rsid w:val="00E10625"/>
    <w:rsid w:val="00E10890"/>
    <w:rsid w:val="00E11414"/>
    <w:rsid w:val="00E1149F"/>
    <w:rsid w:val="00E12010"/>
    <w:rsid w:val="00E12632"/>
    <w:rsid w:val="00E12949"/>
    <w:rsid w:val="00E149B0"/>
    <w:rsid w:val="00E15325"/>
    <w:rsid w:val="00E15476"/>
    <w:rsid w:val="00E158B9"/>
    <w:rsid w:val="00E1600B"/>
    <w:rsid w:val="00E165C2"/>
    <w:rsid w:val="00E16A32"/>
    <w:rsid w:val="00E16B44"/>
    <w:rsid w:val="00E16BBF"/>
    <w:rsid w:val="00E200F4"/>
    <w:rsid w:val="00E20469"/>
    <w:rsid w:val="00E2157A"/>
    <w:rsid w:val="00E218AC"/>
    <w:rsid w:val="00E218E2"/>
    <w:rsid w:val="00E2196C"/>
    <w:rsid w:val="00E21EB3"/>
    <w:rsid w:val="00E222C3"/>
    <w:rsid w:val="00E232E7"/>
    <w:rsid w:val="00E233F4"/>
    <w:rsid w:val="00E24676"/>
    <w:rsid w:val="00E2501F"/>
    <w:rsid w:val="00E2597D"/>
    <w:rsid w:val="00E259C2"/>
    <w:rsid w:val="00E260D6"/>
    <w:rsid w:val="00E263E0"/>
    <w:rsid w:val="00E3030B"/>
    <w:rsid w:val="00E303D1"/>
    <w:rsid w:val="00E3068E"/>
    <w:rsid w:val="00E30A7C"/>
    <w:rsid w:val="00E30BF7"/>
    <w:rsid w:val="00E31110"/>
    <w:rsid w:val="00E3141D"/>
    <w:rsid w:val="00E315C2"/>
    <w:rsid w:val="00E31875"/>
    <w:rsid w:val="00E31B8D"/>
    <w:rsid w:val="00E31D07"/>
    <w:rsid w:val="00E32D01"/>
    <w:rsid w:val="00E32E9F"/>
    <w:rsid w:val="00E32EA7"/>
    <w:rsid w:val="00E334DA"/>
    <w:rsid w:val="00E33A27"/>
    <w:rsid w:val="00E3414D"/>
    <w:rsid w:val="00E34750"/>
    <w:rsid w:val="00E34762"/>
    <w:rsid w:val="00E348BD"/>
    <w:rsid w:val="00E34AE0"/>
    <w:rsid w:val="00E34E45"/>
    <w:rsid w:val="00E34E77"/>
    <w:rsid w:val="00E35039"/>
    <w:rsid w:val="00E35595"/>
    <w:rsid w:val="00E36193"/>
    <w:rsid w:val="00E36BB5"/>
    <w:rsid w:val="00E36DD0"/>
    <w:rsid w:val="00E37212"/>
    <w:rsid w:val="00E378DA"/>
    <w:rsid w:val="00E4021F"/>
    <w:rsid w:val="00E40D79"/>
    <w:rsid w:val="00E40F27"/>
    <w:rsid w:val="00E416C6"/>
    <w:rsid w:val="00E41B7F"/>
    <w:rsid w:val="00E424F8"/>
    <w:rsid w:val="00E42989"/>
    <w:rsid w:val="00E42FE9"/>
    <w:rsid w:val="00E4310A"/>
    <w:rsid w:val="00E437EF"/>
    <w:rsid w:val="00E43AFB"/>
    <w:rsid w:val="00E4432C"/>
    <w:rsid w:val="00E44BA6"/>
    <w:rsid w:val="00E4518F"/>
    <w:rsid w:val="00E4531F"/>
    <w:rsid w:val="00E4549F"/>
    <w:rsid w:val="00E45940"/>
    <w:rsid w:val="00E460F2"/>
    <w:rsid w:val="00E46DD0"/>
    <w:rsid w:val="00E471E6"/>
    <w:rsid w:val="00E479CB"/>
    <w:rsid w:val="00E47C24"/>
    <w:rsid w:val="00E516BB"/>
    <w:rsid w:val="00E51B52"/>
    <w:rsid w:val="00E526FD"/>
    <w:rsid w:val="00E52D1C"/>
    <w:rsid w:val="00E52F1D"/>
    <w:rsid w:val="00E533D0"/>
    <w:rsid w:val="00E546D9"/>
    <w:rsid w:val="00E54C7F"/>
    <w:rsid w:val="00E55A2F"/>
    <w:rsid w:val="00E55C1A"/>
    <w:rsid w:val="00E55F1F"/>
    <w:rsid w:val="00E56DEE"/>
    <w:rsid w:val="00E56EAF"/>
    <w:rsid w:val="00E57AEA"/>
    <w:rsid w:val="00E6029A"/>
    <w:rsid w:val="00E621C3"/>
    <w:rsid w:val="00E62B8E"/>
    <w:rsid w:val="00E62D82"/>
    <w:rsid w:val="00E63DA4"/>
    <w:rsid w:val="00E64FC5"/>
    <w:rsid w:val="00E654FE"/>
    <w:rsid w:val="00E65AB4"/>
    <w:rsid w:val="00E66111"/>
    <w:rsid w:val="00E67304"/>
    <w:rsid w:val="00E67E57"/>
    <w:rsid w:val="00E67FBF"/>
    <w:rsid w:val="00E702DF"/>
    <w:rsid w:val="00E70C37"/>
    <w:rsid w:val="00E71049"/>
    <w:rsid w:val="00E7155B"/>
    <w:rsid w:val="00E717A3"/>
    <w:rsid w:val="00E72573"/>
    <w:rsid w:val="00E7270B"/>
    <w:rsid w:val="00E72B60"/>
    <w:rsid w:val="00E72D97"/>
    <w:rsid w:val="00E72FA6"/>
    <w:rsid w:val="00E7376C"/>
    <w:rsid w:val="00E74281"/>
    <w:rsid w:val="00E743BD"/>
    <w:rsid w:val="00E7443F"/>
    <w:rsid w:val="00E7491C"/>
    <w:rsid w:val="00E75BB8"/>
    <w:rsid w:val="00E76A4C"/>
    <w:rsid w:val="00E76F3D"/>
    <w:rsid w:val="00E80622"/>
    <w:rsid w:val="00E80C8A"/>
    <w:rsid w:val="00E815CD"/>
    <w:rsid w:val="00E817C7"/>
    <w:rsid w:val="00E8180C"/>
    <w:rsid w:val="00E81A57"/>
    <w:rsid w:val="00E81DE6"/>
    <w:rsid w:val="00E8295D"/>
    <w:rsid w:val="00E82A7E"/>
    <w:rsid w:val="00E82CBB"/>
    <w:rsid w:val="00E83C52"/>
    <w:rsid w:val="00E83CAF"/>
    <w:rsid w:val="00E83F18"/>
    <w:rsid w:val="00E861A1"/>
    <w:rsid w:val="00E8638F"/>
    <w:rsid w:val="00E86A47"/>
    <w:rsid w:val="00E87C87"/>
    <w:rsid w:val="00E90141"/>
    <w:rsid w:val="00E90706"/>
    <w:rsid w:val="00E90C9B"/>
    <w:rsid w:val="00E91AA9"/>
    <w:rsid w:val="00E91B34"/>
    <w:rsid w:val="00E9200B"/>
    <w:rsid w:val="00E92146"/>
    <w:rsid w:val="00E9215C"/>
    <w:rsid w:val="00E92515"/>
    <w:rsid w:val="00E9269B"/>
    <w:rsid w:val="00E93408"/>
    <w:rsid w:val="00E934E9"/>
    <w:rsid w:val="00E93712"/>
    <w:rsid w:val="00E93B86"/>
    <w:rsid w:val="00E93C64"/>
    <w:rsid w:val="00E93DA2"/>
    <w:rsid w:val="00E94289"/>
    <w:rsid w:val="00E94861"/>
    <w:rsid w:val="00E958F5"/>
    <w:rsid w:val="00E95AAC"/>
    <w:rsid w:val="00E95D01"/>
    <w:rsid w:val="00E95EC3"/>
    <w:rsid w:val="00E9605F"/>
    <w:rsid w:val="00EA0388"/>
    <w:rsid w:val="00EA0BE6"/>
    <w:rsid w:val="00EA0D36"/>
    <w:rsid w:val="00EA2173"/>
    <w:rsid w:val="00EA2EB2"/>
    <w:rsid w:val="00EA2EC6"/>
    <w:rsid w:val="00EA37A0"/>
    <w:rsid w:val="00EA37CC"/>
    <w:rsid w:val="00EA4065"/>
    <w:rsid w:val="00EA474F"/>
    <w:rsid w:val="00EA5177"/>
    <w:rsid w:val="00EA524B"/>
    <w:rsid w:val="00EA5378"/>
    <w:rsid w:val="00EA537E"/>
    <w:rsid w:val="00EA5883"/>
    <w:rsid w:val="00EA6FBB"/>
    <w:rsid w:val="00EA7542"/>
    <w:rsid w:val="00EB059C"/>
    <w:rsid w:val="00EB1D28"/>
    <w:rsid w:val="00EB28B5"/>
    <w:rsid w:val="00EB2965"/>
    <w:rsid w:val="00EB51D6"/>
    <w:rsid w:val="00EB5590"/>
    <w:rsid w:val="00EB55E9"/>
    <w:rsid w:val="00EB619E"/>
    <w:rsid w:val="00EB67F0"/>
    <w:rsid w:val="00EB6E64"/>
    <w:rsid w:val="00EB7B15"/>
    <w:rsid w:val="00EB7C81"/>
    <w:rsid w:val="00EB7CD8"/>
    <w:rsid w:val="00EC008B"/>
    <w:rsid w:val="00EC020E"/>
    <w:rsid w:val="00EC0EDB"/>
    <w:rsid w:val="00EC1055"/>
    <w:rsid w:val="00EC1530"/>
    <w:rsid w:val="00EC1588"/>
    <w:rsid w:val="00EC27C7"/>
    <w:rsid w:val="00EC2C05"/>
    <w:rsid w:val="00EC3497"/>
    <w:rsid w:val="00EC612F"/>
    <w:rsid w:val="00EC6806"/>
    <w:rsid w:val="00EC6D87"/>
    <w:rsid w:val="00EC7D58"/>
    <w:rsid w:val="00ED022D"/>
    <w:rsid w:val="00ED0609"/>
    <w:rsid w:val="00ED0BEF"/>
    <w:rsid w:val="00ED15CD"/>
    <w:rsid w:val="00ED1C39"/>
    <w:rsid w:val="00ED1DD5"/>
    <w:rsid w:val="00ED22A9"/>
    <w:rsid w:val="00ED2702"/>
    <w:rsid w:val="00ED2948"/>
    <w:rsid w:val="00ED31DD"/>
    <w:rsid w:val="00ED35B8"/>
    <w:rsid w:val="00ED3D0E"/>
    <w:rsid w:val="00ED47BD"/>
    <w:rsid w:val="00ED4923"/>
    <w:rsid w:val="00ED5213"/>
    <w:rsid w:val="00ED6AB3"/>
    <w:rsid w:val="00ED6B71"/>
    <w:rsid w:val="00ED79CB"/>
    <w:rsid w:val="00ED7F60"/>
    <w:rsid w:val="00EE086E"/>
    <w:rsid w:val="00EE096B"/>
    <w:rsid w:val="00EE32CE"/>
    <w:rsid w:val="00EE32F8"/>
    <w:rsid w:val="00EE339D"/>
    <w:rsid w:val="00EE3663"/>
    <w:rsid w:val="00EE36EB"/>
    <w:rsid w:val="00EE42F0"/>
    <w:rsid w:val="00EE51FE"/>
    <w:rsid w:val="00EE58BD"/>
    <w:rsid w:val="00EE616E"/>
    <w:rsid w:val="00EE6993"/>
    <w:rsid w:val="00EE6A40"/>
    <w:rsid w:val="00EE6A41"/>
    <w:rsid w:val="00EE6BB0"/>
    <w:rsid w:val="00EE6D78"/>
    <w:rsid w:val="00EE6DE6"/>
    <w:rsid w:val="00EE76A8"/>
    <w:rsid w:val="00EF06CE"/>
    <w:rsid w:val="00EF094A"/>
    <w:rsid w:val="00EF1392"/>
    <w:rsid w:val="00EF156D"/>
    <w:rsid w:val="00EF17B8"/>
    <w:rsid w:val="00EF18D9"/>
    <w:rsid w:val="00EF200D"/>
    <w:rsid w:val="00EF22F1"/>
    <w:rsid w:val="00EF2685"/>
    <w:rsid w:val="00EF2F71"/>
    <w:rsid w:val="00EF30BD"/>
    <w:rsid w:val="00EF3592"/>
    <w:rsid w:val="00EF45A0"/>
    <w:rsid w:val="00EF4F82"/>
    <w:rsid w:val="00EF4FBD"/>
    <w:rsid w:val="00EF60E5"/>
    <w:rsid w:val="00EF67FB"/>
    <w:rsid w:val="00EF6D18"/>
    <w:rsid w:val="00EF7E0D"/>
    <w:rsid w:val="00EF7E6F"/>
    <w:rsid w:val="00EF7EC0"/>
    <w:rsid w:val="00EF7EF2"/>
    <w:rsid w:val="00F00339"/>
    <w:rsid w:val="00F010F7"/>
    <w:rsid w:val="00F01311"/>
    <w:rsid w:val="00F015A6"/>
    <w:rsid w:val="00F01913"/>
    <w:rsid w:val="00F01A76"/>
    <w:rsid w:val="00F01CC4"/>
    <w:rsid w:val="00F01D97"/>
    <w:rsid w:val="00F01F55"/>
    <w:rsid w:val="00F02398"/>
    <w:rsid w:val="00F02F81"/>
    <w:rsid w:val="00F03AE0"/>
    <w:rsid w:val="00F03CBE"/>
    <w:rsid w:val="00F03FC6"/>
    <w:rsid w:val="00F045D1"/>
    <w:rsid w:val="00F04948"/>
    <w:rsid w:val="00F05312"/>
    <w:rsid w:val="00F058E7"/>
    <w:rsid w:val="00F0685A"/>
    <w:rsid w:val="00F06B26"/>
    <w:rsid w:val="00F0708C"/>
    <w:rsid w:val="00F07B50"/>
    <w:rsid w:val="00F1108E"/>
    <w:rsid w:val="00F118CF"/>
    <w:rsid w:val="00F123FB"/>
    <w:rsid w:val="00F12820"/>
    <w:rsid w:val="00F12DEC"/>
    <w:rsid w:val="00F12FD8"/>
    <w:rsid w:val="00F1308E"/>
    <w:rsid w:val="00F136B7"/>
    <w:rsid w:val="00F139B8"/>
    <w:rsid w:val="00F13C0A"/>
    <w:rsid w:val="00F13D31"/>
    <w:rsid w:val="00F14948"/>
    <w:rsid w:val="00F14CE7"/>
    <w:rsid w:val="00F150FB"/>
    <w:rsid w:val="00F156C1"/>
    <w:rsid w:val="00F15EF1"/>
    <w:rsid w:val="00F1651A"/>
    <w:rsid w:val="00F1651B"/>
    <w:rsid w:val="00F174FE"/>
    <w:rsid w:val="00F17F29"/>
    <w:rsid w:val="00F20442"/>
    <w:rsid w:val="00F2077D"/>
    <w:rsid w:val="00F20796"/>
    <w:rsid w:val="00F20EB6"/>
    <w:rsid w:val="00F20EDB"/>
    <w:rsid w:val="00F215D5"/>
    <w:rsid w:val="00F21A7E"/>
    <w:rsid w:val="00F21DF2"/>
    <w:rsid w:val="00F21F8F"/>
    <w:rsid w:val="00F2216E"/>
    <w:rsid w:val="00F221E9"/>
    <w:rsid w:val="00F22BD1"/>
    <w:rsid w:val="00F22DFB"/>
    <w:rsid w:val="00F23237"/>
    <w:rsid w:val="00F23EE4"/>
    <w:rsid w:val="00F245AB"/>
    <w:rsid w:val="00F25211"/>
    <w:rsid w:val="00F2536B"/>
    <w:rsid w:val="00F26420"/>
    <w:rsid w:val="00F2655C"/>
    <w:rsid w:val="00F26A07"/>
    <w:rsid w:val="00F26D3D"/>
    <w:rsid w:val="00F2724A"/>
    <w:rsid w:val="00F277EB"/>
    <w:rsid w:val="00F27F21"/>
    <w:rsid w:val="00F308BF"/>
    <w:rsid w:val="00F31ACF"/>
    <w:rsid w:val="00F31E82"/>
    <w:rsid w:val="00F320D4"/>
    <w:rsid w:val="00F321DE"/>
    <w:rsid w:val="00F322B3"/>
    <w:rsid w:val="00F325AF"/>
    <w:rsid w:val="00F325E2"/>
    <w:rsid w:val="00F32F2A"/>
    <w:rsid w:val="00F32F33"/>
    <w:rsid w:val="00F330B5"/>
    <w:rsid w:val="00F33BAB"/>
    <w:rsid w:val="00F3438F"/>
    <w:rsid w:val="00F35167"/>
    <w:rsid w:val="00F36046"/>
    <w:rsid w:val="00F36729"/>
    <w:rsid w:val="00F36DB2"/>
    <w:rsid w:val="00F36EE8"/>
    <w:rsid w:val="00F372D4"/>
    <w:rsid w:val="00F376A3"/>
    <w:rsid w:val="00F413BE"/>
    <w:rsid w:val="00F42372"/>
    <w:rsid w:val="00F424AF"/>
    <w:rsid w:val="00F42899"/>
    <w:rsid w:val="00F42963"/>
    <w:rsid w:val="00F42B31"/>
    <w:rsid w:val="00F439CE"/>
    <w:rsid w:val="00F44936"/>
    <w:rsid w:val="00F45C24"/>
    <w:rsid w:val="00F4601C"/>
    <w:rsid w:val="00F46AD8"/>
    <w:rsid w:val="00F46F02"/>
    <w:rsid w:val="00F47D16"/>
    <w:rsid w:val="00F50BF1"/>
    <w:rsid w:val="00F50CD6"/>
    <w:rsid w:val="00F50E31"/>
    <w:rsid w:val="00F510B4"/>
    <w:rsid w:val="00F51324"/>
    <w:rsid w:val="00F51847"/>
    <w:rsid w:val="00F523F7"/>
    <w:rsid w:val="00F52433"/>
    <w:rsid w:val="00F52C88"/>
    <w:rsid w:val="00F53976"/>
    <w:rsid w:val="00F53C9E"/>
    <w:rsid w:val="00F54550"/>
    <w:rsid w:val="00F54E69"/>
    <w:rsid w:val="00F55336"/>
    <w:rsid w:val="00F55AC0"/>
    <w:rsid w:val="00F55B92"/>
    <w:rsid w:val="00F55EAC"/>
    <w:rsid w:val="00F5615C"/>
    <w:rsid w:val="00F56BA5"/>
    <w:rsid w:val="00F5730F"/>
    <w:rsid w:val="00F57B95"/>
    <w:rsid w:val="00F57DD3"/>
    <w:rsid w:val="00F605AA"/>
    <w:rsid w:val="00F60846"/>
    <w:rsid w:val="00F60996"/>
    <w:rsid w:val="00F63640"/>
    <w:rsid w:val="00F64D91"/>
    <w:rsid w:val="00F65909"/>
    <w:rsid w:val="00F65C4F"/>
    <w:rsid w:val="00F6657D"/>
    <w:rsid w:val="00F66C06"/>
    <w:rsid w:val="00F66E51"/>
    <w:rsid w:val="00F67454"/>
    <w:rsid w:val="00F67D3F"/>
    <w:rsid w:val="00F67E8E"/>
    <w:rsid w:val="00F67EFE"/>
    <w:rsid w:val="00F70800"/>
    <w:rsid w:val="00F70D7D"/>
    <w:rsid w:val="00F71006"/>
    <w:rsid w:val="00F71552"/>
    <w:rsid w:val="00F7299C"/>
    <w:rsid w:val="00F72DC7"/>
    <w:rsid w:val="00F72E77"/>
    <w:rsid w:val="00F73CA3"/>
    <w:rsid w:val="00F73F90"/>
    <w:rsid w:val="00F7453F"/>
    <w:rsid w:val="00F746D0"/>
    <w:rsid w:val="00F749C4"/>
    <w:rsid w:val="00F75410"/>
    <w:rsid w:val="00F757B7"/>
    <w:rsid w:val="00F761B8"/>
    <w:rsid w:val="00F76B3B"/>
    <w:rsid w:val="00F779FB"/>
    <w:rsid w:val="00F77EA6"/>
    <w:rsid w:val="00F77FA7"/>
    <w:rsid w:val="00F81639"/>
    <w:rsid w:val="00F81B4A"/>
    <w:rsid w:val="00F82A48"/>
    <w:rsid w:val="00F82F3D"/>
    <w:rsid w:val="00F8409C"/>
    <w:rsid w:val="00F844BF"/>
    <w:rsid w:val="00F85165"/>
    <w:rsid w:val="00F8537F"/>
    <w:rsid w:val="00F854A1"/>
    <w:rsid w:val="00F856A5"/>
    <w:rsid w:val="00F856D0"/>
    <w:rsid w:val="00F85B66"/>
    <w:rsid w:val="00F85C5D"/>
    <w:rsid w:val="00F85CFF"/>
    <w:rsid w:val="00F86FA4"/>
    <w:rsid w:val="00F870EE"/>
    <w:rsid w:val="00F904B9"/>
    <w:rsid w:val="00F90F02"/>
    <w:rsid w:val="00F91084"/>
    <w:rsid w:val="00F91428"/>
    <w:rsid w:val="00F91B18"/>
    <w:rsid w:val="00F9241F"/>
    <w:rsid w:val="00F92599"/>
    <w:rsid w:val="00F925D5"/>
    <w:rsid w:val="00F925E1"/>
    <w:rsid w:val="00F92F5A"/>
    <w:rsid w:val="00F9391B"/>
    <w:rsid w:val="00F9440D"/>
    <w:rsid w:val="00F94759"/>
    <w:rsid w:val="00F95B48"/>
    <w:rsid w:val="00F97028"/>
    <w:rsid w:val="00F97BD9"/>
    <w:rsid w:val="00FA0115"/>
    <w:rsid w:val="00FA04A3"/>
    <w:rsid w:val="00FA05BD"/>
    <w:rsid w:val="00FA1210"/>
    <w:rsid w:val="00FA1719"/>
    <w:rsid w:val="00FA29E7"/>
    <w:rsid w:val="00FA38E2"/>
    <w:rsid w:val="00FA5155"/>
    <w:rsid w:val="00FA57CF"/>
    <w:rsid w:val="00FA5833"/>
    <w:rsid w:val="00FA5992"/>
    <w:rsid w:val="00FA5BB8"/>
    <w:rsid w:val="00FA61A6"/>
    <w:rsid w:val="00FA697F"/>
    <w:rsid w:val="00FA6A30"/>
    <w:rsid w:val="00FA7AC4"/>
    <w:rsid w:val="00FA7CC5"/>
    <w:rsid w:val="00FB0CE2"/>
    <w:rsid w:val="00FB0DCF"/>
    <w:rsid w:val="00FB0E55"/>
    <w:rsid w:val="00FB0F1D"/>
    <w:rsid w:val="00FB1CC6"/>
    <w:rsid w:val="00FB294F"/>
    <w:rsid w:val="00FB2F11"/>
    <w:rsid w:val="00FB325E"/>
    <w:rsid w:val="00FB3C06"/>
    <w:rsid w:val="00FB4392"/>
    <w:rsid w:val="00FB43F1"/>
    <w:rsid w:val="00FB4742"/>
    <w:rsid w:val="00FB48D0"/>
    <w:rsid w:val="00FB520F"/>
    <w:rsid w:val="00FB590F"/>
    <w:rsid w:val="00FB625E"/>
    <w:rsid w:val="00FB643A"/>
    <w:rsid w:val="00FB645E"/>
    <w:rsid w:val="00FB66B5"/>
    <w:rsid w:val="00FB6A89"/>
    <w:rsid w:val="00FB6AD0"/>
    <w:rsid w:val="00FC05DC"/>
    <w:rsid w:val="00FC0A44"/>
    <w:rsid w:val="00FC0E2E"/>
    <w:rsid w:val="00FC19C0"/>
    <w:rsid w:val="00FC1D2A"/>
    <w:rsid w:val="00FC241B"/>
    <w:rsid w:val="00FC2990"/>
    <w:rsid w:val="00FC2D48"/>
    <w:rsid w:val="00FC33C4"/>
    <w:rsid w:val="00FC35C6"/>
    <w:rsid w:val="00FC3A29"/>
    <w:rsid w:val="00FC437D"/>
    <w:rsid w:val="00FC4944"/>
    <w:rsid w:val="00FC4A33"/>
    <w:rsid w:val="00FC4A85"/>
    <w:rsid w:val="00FC4C4A"/>
    <w:rsid w:val="00FC4C9E"/>
    <w:rsid w:val="00FC52EB"/>
    <w:rsid w:val="00FC5717"/>
    <w:rsid w:val="00FC5729"/>
    <w:rsid w:val="00FC6248"/>
    <w:rsid w:val="00FC6A70"/>
    <w:rsid w:val="00FC6AE2"/>
    <w:rsid w:val="00FC6B42"/>
    <w:rsid w:val="00FC6EA7"/>
    <w:rsid w:val="00FC7F54"/>
    <w:rsid w:val="00FD0715"/>
    <w:rsid w:val="00FD08B4"/>
    <w:rsid w:val="00FD09DA"/>
    <w:rsid w:val="00FD1404"/>
    <w:rsid w:val="00FD152F"/>
    <w:rsid w:val="00FD20D4"/>
    <w:rsid w:val="00FD3120"/>
    <w:rsid w:val="00FD317C"/>
    <w:rsid w:val="00FD35C1"/>
    <w:rsid w:val="00FD3B05"/>
    <w:rsid w:val="00FD4BE6"/>
    <w:rsid w:val="00FD5CEC"/>
    <w:rsid w:val="00FD6B79"/>
    <w:rsid w:val="00FD6C39"/>
    <w:rsid w:val="00FD6D56"/>
    <w:rsid w:val="00FD71BD"/>
    <w:rsid w:val="00FD74DC"/>
    <w:rsid w:val="00FD78EF"/>
    <w:rsid w:val="00FD7B17"/>
    <w:rsid w:val="00FE01AC"/>
    <w:rsid w:val="00FE0C21"/>
    <w:rsid w:val="00FE10F8"/>
    <w:rsid w:val="00FE1462"/>
    <w:rsid w:val="00FE161C"/>
    <w:rsid w:val="00FE2902"/>
    <w:rsid w:val="00FE2CE3"/>
    <w:rsid w:val="00FE4087"/>
    <w:rsid w:val="00FE4A9B"/>
    <w:rsid w:val="00FE4B36"/>
    <w:rsid w:val="00FE5606"/>
    <w:rsid w:val="00FE5E9A"/>
    <w:rsid w:val="00FE62A7"/>
    <w:rsid w:val="00FE6791"/>
    <w:rsid w:val="00FE6E3C"/>
    <w:rsid w:val="00FE77C1"/>
    <w:rsid w:val="00FE7BEC"/>
    <w:rsid w:val="00FF0D55"/>
    <w:rsid w:val="00FF0E73"/>
    <w:rsid w:val="00FF169E"/>
    <w:rsid w:val="00FF2038"/>
    <w:rsid w:val="00FF21D6"/>
    <w:rsid w:val="00FF30B0"/>
    <w:rsid w:val="00FF326E"/>
    <w:rsid w:val="00FF3459"/>
    <w:rsid w:val="00FF39A8"/>
    <w:rsid w:val="00FF43A1"/>
    <w:rsid w:val="00FF4995"/>
    <w:rsid w:val="00FF4D99"/>
    <w:rsid w:val="00FF4F72"/>
    <w:rsid w:val="00FF503C"/>
    <w:rsid w:val="00FF5088"/>
    <w:rsid w:val="00FF5D5C"/>
    <w:rsid w:val="00FF7003"/>
    <w:rsid w:val="00FF7B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colormru v:ext="edit" colors="#aab0f0,#aad3f2"/>
    </o:shapedefaults>
    <o:shapelayout v:ext="edit">
      <o:idmap v:ext="edit" data="1"/>
    </o:shapelayout>
  </w:shapeDefaults>
  <w:decimalSymbol w:val=","/>
  <w:listSeparator w:val=";"/>
  <w14:docId w14:val="6251C554"/>
  <w15:docId w15:val="{C0C4D3BE-D676-439D-9D39-0F8C5F0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325A"/>
    <w:pPr>
      <w:spacing w:after="200" w:line="276" w:lineRule="auto"/>
    </w:pPr>
    <w:rPr>
      <w:sz w:val="22"/>
      <w:szCs w:val="22"/>
    </w:rPr>
  </w:style>
  <w:style w:type="paragraph" w:styleId="Nadpis1">
    <w:name w:val="heading 1"/>
    <w:basedOn w:val="Normlny"/>
    <w:next w:val="Normlny"/>
    <w:link w:val="Nadpis1Char"/>
    <w:uiPriority w:val="9"/>
    <w:qFormat/>
    <w:rsid w:val="008670F2"/>
    <w:pPr>
      <w:keepNext/>
      <w:keepLines/>
      <w:spacing w:before="480" w:after="0"/>
      <w:outlineLvl w:val="0"/>
    </w:pPr>
    <w:rPr>
      <w:rFonts w:asciiTheme="majorHAnsi" w:eastAsiaTheme="majorEastAsia" w:hAnsiTheme="majorHAnsi" w:cstheme="majorBidi"/>
      <w:b/>
      <w:bCs/>
      <w:color w:val="2C9ADC"/>
      <w:sz w:val="28"/>
      <w:szCs w:val="28"/>
    </w:rPr>
  </w:style>
  <w:style w:type="paragraph" w:styleId="Nadpis2">
    <w:name w:val="heading 2"/>
    <w:basedOn w:val="Normlny"/>
    <w:next w:val="Normlny"/>
    <w:link w:val="Nadpis2Char"/>
    <w:uiPriority w:val="9"/>
    <w:unhideWhenUsed/>
    <w:qFormat/>
    <w:rsid w:val="00867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81D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2761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Odsekzoznamu"/>
    <w:next w:val="Normlny"/>
    <w:link w:val="Nadpis7Char"/>
    <w:uiPriority w:val="9"/>
    <w:qFormat/>
    <w:rsid w:val="00EC6D87"/>
    <w:pPr>
      <w:numPr>
        <w:ilvl w:val="1"/>
        <w:numId w:val="3"/>
      </w:numPr>
      <w:tabs>
        <w:tab w:val="left" w:pos="426"/>
      </w:tabs>
      <w:ind w:left="284" w:hanging="284"/>
      <w:outlineLvl w:val="6"/>
    </w:pPr>
    <w:rPr>
      <w:rFonts w:ascii="Arial Narrow" w:hAnsi="Arial Narrow"/>
      <w:b/>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70F2"/>
    <w:rPr>
      <w:rFonts w:asciiTheme="majorHAnsi" w:eastAsiaTheme="majorEastAsia" w:hAnsiTheme="majorHAnsi" w:cstheme="majorBidi"/>
      <w:b/>
      <w:bCs/>
      <w:color w:val="2C9ADC"/>
      <w:sz w:val="28"/>
      <w:szCs w:val="28"/>
    </w:rPr>
  </w:style>
  <w:style w:type="character" w:customStyle="1" w:styleId="Nadpis2Char">
    <w:name w:val="Nadpis 2 Char"/>
    <w:basedOn w:val="Predvolenpsmoodseku"/>
    <w:link w:val="Nadpis2"/>
    <w:uiPriority w:val="9"/>
    <w:rsid w:val="008670F2"/>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5B2D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D07"/>
    <w:rPr>
      <w:sz w:val="22"/>
      <w:szCs w:val="22"/>
    </w:rPr>
  </w:style>
  <w:style w:type="paragraph" w:styleId="Pta">
    <w:name w:val="footer"/>
    <w:basedOn w:val="Normlny"/>
    <w:link w:val="PtaChar"/>
    <w:uiPriority w:val="99"/>
    <w:unhideWhenUsed/>
    <w:rsid w:val="005B2D07"/>
    <w:pPr>
      <w:tabs>
        <w:tab w:val="center" w:pos="4536"/>
        <w:tab w:val="right" w:pos="9072"/>
      </w:tabs>
      <w:spacing w:after="0" w:line="240" w:lineRule="auto"/>
    </w:pPr>
  </w:style>
  <w:style w:type="character" w:customStyle="1" w:styleId="PtaChar">
    <w:name w:val="Päta Char"/>
    <w:basedOn w:val="Predvolenpsmoodseku"/>
    <w:link w:val="Pta"/>
    <w:uiPriority w:val="99"/>
    <w:rsid w:val="005B2D07"/>
    <w:rPr>
      <w:sz w:val="22"/>
      <w:szCs w:val="22"/>
    </w:rPr>
  </w:style>
  <w:style w:type="paragraph" w:styleId="Textbubliny">
    <w:name w:val="Balloon Text"/>
    <w:basedOn w:val="Normlny"/>
    <w:link w:val="TextbublinyChar"/>
    <w:uiPriority w:val="99"/>
    <w:semiHidden/>
    <w:unhideWhenUsed/>
    <w:rsid w:val="00C976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7621"/>
    <w:rPr>
      <w:rFonts w:ascii="Tahoma" w:hAnsi="Tahoma" w:cs="Tahoma"/>
      <w:sz w:val="16"/>
      <w:szCs w:val="16"/>
    </w:rPr>
  </w:style>
  <w:style w:type="paragraph" w:styleId="Hlavikaobsahu">
    <w:name w:val="TOC Heading"/>
    <w:basedOn w:val="Nadpis1"/>
    <w:next w:val="Normlny"/>
    <w:uiPriority w:val="39"/>
    <w:unhideWhenUsed/>
    <w:qFormat/>
    <w:rsid w:val="00D371EC"/>
    <w:pPr>
      <w:outlineLvl w:val="9"/>
    </w:pPr>
    <w:rPr>
      <w:color w:val="365F91" w:themeColor="accent1" w:themeShade="BF"/>
      <w:lang w:eastAsia="en-US"/>
    </w:rPr>
  </w:style>
  <w:style w:type="paragraph" w:styleId="Obsah1">
    <w:name w:val="toc 1"/>
    <w:basedOn w:val="Normlny"/>
    <w:next w:val="Normlny"/>
    <w:autoRedefine/>
    <w:uiPriority w:val="39"/>
    <w:unhideWhenUsed/>
    <w:rsid w:val="0089051B"/>
    <w:pPr>
      <w:tabs>
        <w:tab w:val="left" w:pos="284"/>
        <w:tab w:val="right" w:leader="dot" w:pos="8550"/>
      </w:tabs>
      <w:spacing w:after="120" w:line="240" w:lineRule="auto"/>
    </w:pPr>
    <w:rPr>
      <w:rFonts w:ascii="NeueHaasGroteskDisp W02 Bd" w:hAnsi="NeueHaasGroteskDisp W02 Bd"/>
      <w:noProof/>
    </w:rPr>
  </w:style>
  <w:style w:type="paragraph" w:styleId="Obsah2">
    <w:name w:val="toc 2"/>
    <w:basedOn w:val="Normlny"/>
    <w:next w:val="Normlny"/>
    <w:autoRedefine/>
    <w:uiPriority w:val="39"/>
    <w:unhideWhenUsed/>
    <w:rsid w:val="00CD6C15"/>
    <w:pPr>
      <w:tabs>
        <w:tab w:val="left" w:pos="709"/>
        <w:tab w:val="right" w:leader="dot" w:pos="8554"/>
      </w:tabs>
      <w:spacing w:after="100"/>
      <w:ind w:left="220"/>
    </w:pPr>
    <w:rPr>
      <w:rFonts w:ascii="NeueHaasGroteskText W02" w:hAnsi="NeueHaasGroteskText W02"/>
      <w:noProof/>
    </w:rPr>
  </w:style>
  <w:style w:type="character" w:styleId="Hypertextovprepojenie">
    <w:name w:val="Hyperlink"/>
    <w:basedOn w:val="Predvolenpsmoodseku"/>
    <w:uiPriority w:val="99"/>
    <w:unhideWhenUsed/>
    <w:rsid w:val="00D371EC"/>
    <w:rPr>
      <w:color w:val="0000FF" w:themeColor="hyperlink"/>
      <w:u w:val="single"/>
    </w:rPr>
  </w:style>
  <w:style w:type="paragraph" w:styleId="Odsekzoznamu">
    <w:name w:val="List Paragraph"/>
    <w:aliases w:val="body,Odsek zoznamu2"/>
    <w:basedOn w:val="Normlny"/>
    <w:link w:val="OdsekzoznamuChar"/>
    <w:uiPriority w:val="34"/>
    <w:qFormat/>
    <w:rsid w:val="00727053"/>
    <w:pPr>
      <w:ind w:left="720"/>
      <w:contextualSpacing/>
    </w:pPr>
  </w:style>
  <w:style w:type="character" w:customStyle="1" w:styleId="OdsekzoznamuChar">
    <w:name w:val="Odsek zoznamu Char"/>
    <w:aliases w:val="body Char,Odsek zoznamu2 Char"/>
    <w:basedOn w:val="Predvolenpsmoodseku"/>
    <w:link w:val="Odsekzoznamu"/>
    <w:uiPriority w:val="34"/>
    <w:rsid w:val="00C04E27"/>
    <w:rPr>
      <w:sz w:val="22"/>
      <w:szCs w:val="22"/>
      <w:lang w:val="en-GB"/>
    </w:rPr>
  </w:style>
  <w:style w:type="table" w:styleId="Mriekatabuky">
    <w:name w:val="Table Grid"/>
    <w:basedOn w:val="Normlnatabuka"/>
    <w:uiPriority w:val="59"/>
    <w:rsid w:val="00CF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f"/>
    <w:basedOn w:val="Normlny"/>
    <w:link w:val="TextpoznmkypodiarouChar"/>
    <w:uiPriority w:val="99"/>
    <w:unhideWhenUsed/>
    <w:qFormat/>
    <w:rsid w:val="008E03DF"/>
    <w:pPr>
      <w:spacing w:after="0" w:line="240" w:lineRule="auto"/>
    </w:pPr>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f Char"/>
    <w:basedOn w:val="Predvolenpsmoodseku"/>
    <w:link w:val="Textpoznmkypodiarou"/>
    <w:uiPriority w:val="99"/>
    <w:rsid w:val="008E03DF"/>
    <w:rPr>
      <w:rFonts w:asciiTheme="minorHAnsi" w:eastAsiaTheme="minorHAnsi" w:hAnsiTheme="minorHAnsi" w:cstheme="minorBidi"/>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E03DF"/>
    <w:rPr>
      <w:vertAlign w:val="superscript"/>
    </w:rPr>
  </w:style>
  <w:style w:type="character" w:styleId="Odkaznakomentr">
    <w:name w:val="annotation reference"/>
    <w:basedOn w:val="Predvolenpsmoodseku"/>
    <w:uiPriority w:val="99"/>
    <w:unhideWhenUsed/>
    <w:rsid w:val="00395962"/>
    <w:rPr>
      <w:sz w:val="16"/>
      <w:szCs w:val="16"/>
    </w:rPr>
  </w:style>
  <w:style w:type="paragraph" w:styleId="Textkomentra">
    <w:name w:val="annotation text"/>
    <w:basedOn w:val="Normlny"/>
    <w:link w:val="TextkomentraChar"/>
    <w:uiPriority w:val="99"/>
    <w:unhideWhenUsed/>
    <w:rsid w:val="00395962"/>
    <w:pPr>
      <w:spacing w:line="240" w:lineRule="auto"/>
    </w:pPr>
    <w:rPr>
      <w:sz w:val="20"/>
      <w:szCs w:val="20"/>
    </w:rPr>
  </w:style>
  <w:style w:type="character" w:customStyle="1" w:styleId="TextkomentraChar">
    <w:name w:val="Text komentára Char"/>
    <w:basedOn w:val="Predvolenpsmoodseku"/>
    <w:link w:val="Textkomentra"/>
    <w:uiPriority w:val="99"/>
    <w:rsid w:val="00395962"/>
    <w:rPr>
      <w:lang w:val="en-GB"/>
    </w:rPr>
  </w:style>
  <w:style w:type="paragraph" w:styleId="Predmetkomentra">
    <w:name w:val="annotation subject"/>
    <w:basedOn w:val="Textkomentra"/>
    <w:next w:val="Textkomentra"/>
    <w:link w:val="PredmetkomentraChar"/>
    <w:uiPriority w:val="99"/>
    <w:semiHidden/>
    <w:unhideWhenUsed/>
    <w:rsid w:val="00395962"/>
    <w:rPr>
      <w:b/>
      <w:bCs/>
    </w:rPr>
  </w:style>
  <w:style w:type="character" w:customStyle="1" w:styleId="PredmetkomentraChar">
    <w:name w:val="Predmet komentára Char"/>
    <w:basedOn w:val="TextkomentraChar"/>
    <w:link w:val="Predmetkomentra"/>
    <w:uiPriority w:val="99"/>
    <w:semiHidden/>
    <w:rsid w:val="00395962"/>
    <w:rPr>
      <w:b/>
      <w:bCs/>
      <w:lang w:val="en-GB"/>
    </w:rPr>
  </w:style>
  <w:style w:type="paragraph" w:styleId="Nzov">
    <w:name w:val="Title"/>
    <w:basedOn w:val="Normlny"/>
    <w:next w:val="Normlny"/>
    <w:link w:val="NzovChar"/>
    <w:uiPriority w:val="10"/>
    <w:qFormat/>
    <w:rsid w:val="0095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95213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0E0B03"/>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F04948"/>
    <w:rPr>
      <w:sz w:val="22"/>
      <w:szCs w:val="22"/>
      <w:lang w:val="en-GB"/>
    </w:rPr>
  </w:style>
  <w:style w:type="paragraph" w:customStyle="1" w:styleId="Pa2">
    <w:name w:val="Pa2"/>
    <w:basedOn w:val="Default"/>
    <w:next w:val="Default"/>
    <w:uiPriority w:val="99"/>
    <w:rsid w:val="00BF055C"/>
    <w:pPr>
      <w:spacing w:line="631" w:lineRule="atLeast"/>
    </w:pPr>
    <w:rPr>
      <w:rFonts w:ascii="PF Square Sans Pro" w:eastAsiaTheme="minorHAnsi" w:hAnsi="PF Square Sans Pro" w:cstheme="minorBidi"/>
      <w:color w:val="auto"/>
      <w:lang w:eastAsia="en-US"/>
    </w:rPr>
  </w:style>
  <w:style w:type="character" w:styleId="CitciaHTML">
    <w:name w:val="HTML Cite"/>
    <w:basedOn w:val="Predvolenpsmoodseku"/>
    <w:uiPriority w:val="99"/>
    <w:semiHidden/>
    <w:unhideWhenUsed/>
    <w:rsid w:val="00CE449A"/>
    <w:rPr>
      <w:i/>
      <w:iCs/>
    </w:rPr>
  </w:style>
  <w:style w:type="character" w:customStyle="1" w:styleId="slug-pub-date">
    <w:name w:val="slug-pub-date"/>
    <w:basedOn w:val="Predvolenpsmoodseku"/>
    <w:rsid w:val="00CE449A"/>
  </w:style>
  <w:style w:type="character" w:customStyle="1" w:styleId="slug-vol">
    <w:name w:val="slug-vol"/>
    <w:basedOn w:val="Predvolenpsmoodseku"/>
    <w:rsid w:val="00CE449A"/>
  </w:style>
  <w:style w:type="character" w:customStyle="1" w:styleId="slug-issue">
    <w:name w:val="slug-issue"/>
    <w:basedOn w:val="Predvolenpsmoodseku"/>
    <w:rsid w:val="00CE449A"/>
  </w:style>
  <w:style w:type="character" w:customStyle="1" w:styleId="slug-pages">
    <w:name w:val="slug-pages"/>
    <w:basedOn w:val="Predvolenpsmoodseku"/>
    <w:rsid w:val="00CE449A"/>
  </w:style>
  <w:style w:type="paragraph" w:styleId="Revzia">
    <w:name w:val="Revision"/>
    <w:hidden/>
    <w:uiPriority w:val="99"/>
    <w:semiHidden/>
    <w:rsid w:val="00FC6AE2"/>
    <w:rPr>
      <w:sz w:val="22"/>
      <w:szCs w:val="22"/>
      <w:lang w:val="en-GB"/>
    </w:rPr>
  </w:style>
  <w:style w:type="character" w:customStyle="1" w:styleId="Nadpis3Char">
    <w:name w:val="Nadpis 3 Char"/>
    <w:basedOn w:val="Predvolenpsmoodseku"/>
    <w:link w:val="Nadpis3"/>
    <w:uiPriority w:val="9"/>
    <w:semiHidden/>
    <w:rsid w:val="00E81DE6"/>
    <w:rPr>
      <w:rFonts w:asciiTheme="majorHAnsi" w:eastAsiaTheme="majorEastAsia" w:hAnsiTheme="majorHAnsi" w:cstheme="majorBidi"/>
      <w:b/>
      <w:bCs/>
      <w:color w:val="4F81BD" w:themeColor="accent1"/>
      <w:sz w:val="22"/>
      <w:szCs w:val="22"/>
      <w:lang w:val="en-GB"/>
    </w:rPr>
  </w:style>
  <w:style w:type="character" w:customStyle="1" w:styleId="Nadpis4Char">
    <w:name w:val="Nadpis 4 Char"/>
    <w:basedOn w:val="Predvolenpsmoodseku"/>
    <w:link w:val="Nadpis4"/>
    <w:uiPriority w:val="9"/>
    <w:semiHidden/>
    <w:rsid w:val="00827618"/>
    <w:rPr>
      <w:rFonts w:asciiTheme="majorHAnsi" w:eastAsiaTheme="majorEastAsia" w:hAnsiTheme="majorHAnsi" w:cstheme="majorBidi"/>
      <w:b/>
      <w:bCs/>
      <w:i/>
      <w:iCs/>
      <w:color w:val="4F81BD" w:themeColor="accent1"/>
      <w:sz w:val="22"/>
      <w:szCs w:val="22"/>
      <w:lang w:val="en-GB"/>
    </w:rPr>
  </w:style>
  <w:style w:type="character" w:customStyle="1" w:styleId="Nadpis7Char">
    <w:name w:val="Nadpis 7 Char"/>
    <w:basedOn w:val="Predvolenpsmoodseku"/>
    <w:link w:val="Nadpis7"/>
    <w:uiPriority w:val="9"/>
    <w:rsid w:val="00EC6D87"/>
    <w:rPr>
      <w:rFonts w:ascii="Arial Narrow" w:hAnsi="Arial Narrow"/>
      <w:b/>
      <w:sz w:val="28"/>
      <w:szCs w:val="28"/>
      <w:lang w:eastAsia="en-US"/>
    </w:rPr>
  </w:style>
  <w:style w:type="paragraph" w:styleId="Zkladntext">
    <w:name w:val="Body Text"/>
    <w:basedOn w:val="Normlny"/>
    <w:link w:val="ZkladntextChar"/>
    <w:uiPriority w:val="99"/>
    <w:semiHidden/>
    <w:unhideWhenUsed/>
    <w:rsid w:val="00D87D5F"/>
    <w:pPr>
      <w:spacing w:before="120" w:after="120" w:line="240" w:lineRule="auto"/>
      <w:jc w:val="both"/>
    </w:pPr>
    <w:rPr>
      <w:rFonts w:eastAsia="Calibri"/>
      <w:sz w:val="20"/>
      <w:szCs w:val="20"/>
      <w:lang w:eastAsia="en-US"/>
    </w:rPr>
  </w:style>
  <w:style w:type="character" w:customStyle="1" w:styleId="ZkladntextChar">
    <w:name w:val="Základný text Char"/>
    <w:basedOn w:val="Predvolenpsmoodseku"/>
    <w:link w:val="Zkladntext"/>
    <w:uiPriority w:val="99"/>
    <w:semiHidden/>
    <w:rsid w:val="00D87D5F"/>
    <w:rPr>
      <w:rFonts w:eastAsia="Calibri"/>
      <w:lang w:eastAsia="en-US"/>
    </w:rPr>
  </w:style>
  <w:style w:type="paragraph" w:customStyle="1" w:styleId="titulok">
    <w:name w:val="titulok"/>
    <w:basedOn w:val="Normlny"/>
    <w:uiPriority w:val="99"/>
    <w:rsid w:val="00C1642C"/>
    <w:pPr>
      <w:spacing w:before="100" w:beforeAutospacing="1" w:after="100" w:afterAutospacing="1" w:line="240" w:lineRule="auto"/>
      <w:jc w:val="center"/>
    </w:pPr>
    <w:rPr>
      <w:rFonts w:ascii="Arial" w:eastAsia="Calibri" w:hAnsi="Arial" w:cs="Arial"/>
      <w:b/>
      <w:bCs/>
      <w:color w:val="007060"/>
      <w:sz w:val="24"/>
      <w:szCs w:val="24"/>
    </w:rPr>
  </w:style>
  <w:style w:type="paragraph" w:customStyle="1" w:styleId="Point0number">
    <w:name w:val="Point 0 (number)"/>
    <w:basedOn w:val="Normlny"/>
    <w:uiPriority w:val="99"/>
    <w:rsid w:val="00C1642C"/>
    <w:pPr>
      <w:spacing w:before="120" w:after="120" w:line="240" w:lineRule="auto"/>
      <w:jc w:val="both"/>
    </w:pPr>
    <w:rPr>
      <w:rFonts w:ascii="Times New Roman" w:hAnsi="Times New Roman"/>
      <w:sz w:val="24"/>
      <w:szCs w:val="24"/>
      <w:lang w:val="en-GB" w:eastAsia="en-US"/>
    </w:rPr>
  </w:style>
  <w:style w:type="paragraph" w:styleId="Popis">
    <w:name w:val="caption"/>
    <w:basedOn w:val="Normlny"/>
    <w:next w:val="Normlny"/>
    <w:uiPriority w:val="35"/>
    <w:unhideWhenUsed/>
    <w:qFormat/>
    <w:rsid w:val="00227691"/>
    <w:pPr>
      <w:spacing w:after="0" w:line="240" w:lineRule="auto"/>
    </w:pPr>
    <w:rPr>
      <w:rFonts w:ascii="Arial Narrow" w:hAnsi="Arial Narrow"/>
      <w:b/>
      <w:bCs/>
      <w:color w:val="2C9ADC"/>
      <w:sz w:val="20"/>
      <w:szCs w:val="18"/>
    </w:rPr>
  </w:style>
  <w:style w:type="paragraph" w:styleId="Podtitul">
    <w:name w:val="Subtitle"/>
    <w:aliases w:val="graf"/>
    <w:basedOn w:val="Normlny"/>
    <w:next w:val="Normlny"/>
    <w:link w:val="PodtitulChar"/>
    <w:uiPriority w:val="11"/>
    <w:qFormat/>
    <w:rsid w:val="00227691"/>
    <w:pPr>
      <w:numPr>
        <w:ilvl w:val="1"/>
      </w:numPr>
      <w:spacing w:after="0"/>
    </w:pPr>
    <w:rPr>
      <w:rFonts w:ascii="Arial Narrow" w:eastAsiaTheme="majorEastAsia" w:hAnsi="Arial Narrow" w:cstheme="majorBidi"/>
      <w:b/>
      <w:iCs/>
      <w:color w:val="2C9ADC"/>
      <w:spacing w:val="15"/>
      <w:sz w:val="20"/>
      <w:szCs w:val="24"/>
    </w:rPr>
  </w:style>
  <w:style w:type="character" w:customStyle="1" w:styleId="PodtitulChar">
    <w:name w:val="Podtitul Char"/>
    <w:aliases w:val="graf Char"/>
    <w:basedOn w:val="Predvolenpsmoodseku"/>
    <w:link w:val="Podtitul"/>
    <w:uiPriority w:val="11"/>
    <w:rsid w:val="00227691"/>
    <w:rPr>
      <w:rFonts w:ascii="Arial Narrow" w:eastAsiaTheme="majorEastAsia" w:hAnsi="Arial Narrow" w:cstheme="majorBidi"/>
      <w:b/>
      <w:iCs/>
      <w:color w:val="2C9ADC"/>
      <w:spacing w:val="15"/>
      <w:szCs w:val="24"/>
    </w:rPr>
  </w:style>
  <w:style w:type="paragraph" w:customStyle="1" w:styleId="CharChar1">
    <w:name w:val="Char Char1"/>
    <w:basedOn w:val="Normlny"/>
    <w:rsid w:val="00A22BE1"/>
    <w:pPr>
      <w:spacing w:after="160" w:line="240" w:lineRule="exact"/>
    </w:pPr>
    <w:rPr>
      <w:rFonts w:ascii="Tahoma" w:hAnsi="Tahoma" w:cs="Tahoma"/>
      <w:sz w:val="20"/>
      <w:szCs w:val="20"/>
      <w:lang w:val="en-US" w:eastAsia="en-US"/>
    </w:rPr>
  </w:style>
  <w:style w:type="table" w:customStyle="1" w:styleId="Mriekatabuky6">
    <w:name w:val="Mriežka tabuľky6"/>
    <w:basedOn w:val="Normlnatabuka"/>
    <w:next w:val="Mriekatabuky"/>
    <w:uiPriority w:val="59"/>
    <w:locked/>
    <w:rsid w:val="006E3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6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7E7007"/>
  </w:style>
  <w:style w:type="paragraph" w:styleId="Zoznamobrzkov">
    <w:name w:val="table of figures"/>
    <w:basedOn w:val="Normlny"/>
    <w:next w:val="Normlny"/>
    <w:uiPriority w:val="99"/>
    <w:unhideWhenUsed/>
    <w:rsid w:val="005D29C8"/>
    <w:pPr>
      <w:spacing w:after="0"/>
    </w:pPr>
  </w:style>
  <w:style w:type="character" w:styleId="PouitHypertextovPrepojenie">
    <w:name w:val="FollowedHyperlink"/>
    <w:basedOn w:val="Predvolenpsmoodseku"/>
    <w:uiPriority w:val="99"/>
    <w:semiHidden/>
    <w:unhideWhenUsed/>
    <w:rsid w:val="002A1264"/>
    <w:rPr>
      <w:color w:val="800080" w:themeColor="followedHyperlink"/>
      <w:u w:val="single"/>
    </w:rPr>
  </w:style>
  <w:style w:type="character" w:styleId="Zstupntext">
    <w:name w:val="Placeholder Text"/>
    <w:basedOn w:val="Predvolenpsmoodseku"/>
    <w:uiPriority w:val="99"/>
    <w:semiHidden/>
    <w:rsid w:val="00AC44EC"/>
    <w:rPr>
      <w:rFonts w:ascii="Times New Roman" w:hAnsi="Times New Roman" w:cs="Times New Roman"/>
      <w:color w:val="000000"/>
    </w:rPr>
  </w:style>
  <w:style w:type="paragraph" w:customStyle="1" w:styleId="CharChar12">
    <w:name w:val="Char Char12"/>
    <w:basedOn w:val="Normlny"/>
    <w:rsid w:val="000362F9"/>
    <w:pPr>
      <w:spacing w:after="160" w:line="240" w:lineRule="exact"/>
    </w:pPr>
    <w:rPr>
      <w:rFonts w:ascii="Tahoma" w:hAnsi="Tahoma" w:cs="Tahoma"/>
      <w:sz w:val="20"/>
      <w:szCs w:val="20"/>
      <w:lang w:val="en-US" w:eastAsia="en-US"/>
    </w:rPr>
  </w:style>
  <w:style w:type="paragraph" w:customStyle="1" w:styleId="CharChar11">
    <w:name w:val="Char Char11"/>
    <w:basedOn w:val="Normlny"/>
    <w:rsid w:val="000736A4"/>
    <w:pPr>
      <w:spacing w:after="160" w:line="240" w:lineRule="exact"/>
    </w:pPr>
    <w:rPr>
      <w:rFonts w:ascii="Tahoma" w:hAnsi="Tahoma" w:cs="Tahoma"/>
      <w:sz w:val="20"/>
      <w:szCs w:val="20"/>
      <w:lang w:val="en-US" w:eastAsia="en-US"/>
    </w:rPr>
  </w:style>
  <w:style w:type="character" w:styleId="Jemnodkaz">
    <w:name w:val="Subtle Reference"/>
    <w:uiPriority w:val="31"/>
    <w:qFormat/>
    <w:rsid w:val="00682C07"/>
    <w:rPr>
      <w:rFonts w:eastAsia="Times New Roman" w:cs="Times New Roman"/>
      <w:bCs/>
      <w:i/>
      <w:sz w:val="18"/>
      <w:lang w:eastAsia="zh-TW"/>
    </w:rPr>
  </w:style>
  <w:style w:type="paragraph" w:customStyle="1" w:styleId="Tabuka">
    <w:name w:val="Tabuľka"/>
    <w:basedOn w:val="Podtitul"/>
    <w:qFormat/>
    <w:rsid w:val="00682C07"/>
    <w:pPr>
      <w:numPr>
        <w:ilvl w:val="0"/>
      </w:numPr>
      <w:pBdr>
        <w:top w:val="nil"/>
        <w:left w:val="nil"/>
        <w:bottom w:val="nil"/>
        <w:right w:val="nil"/>
        <w:between w:val="nil"/>
        <w:bar w:val="nil"/>
      </w:pBdr>
      <w:spacing w:after="200" w:line="240" w:lineRule="auto"/>
    </w:pPr>
    <w:rPr>
      <w:rFonts w:eastAsia="Arial Narrow" w:cs="Arial Narrow"/>
      <w:bCs/>
      <w:iCs w:val="0"/>
      <w:color w:val="4F81BD" w:themeColor="accent1"/>
      <w:spacing w:val="0"/>
      <w:szCs w:val="20"/>
      <w:bdr w:val="nil"/>
    </w:rPr>
  </w:style>
  <w:style w:type="paragraph" w:customStyle="1" w:styleId="Graf">
    <w:name w:val="Graf"/>
    <w:qFormat/>
    <w:rsid w:val="009135D4"/>
    <w:pPr>
      <w:spacing w:after="200" w:line="276" w:lineRule="auto"/>
    </w:pPr>
    <w:rPr>
      <w:rFonts w:ascii="Arial Narrow" w:eastAsia="Arial Narrow" w:hAnsi="Arial Narrow" w:cs="Arial Narrow"/>
      <w:b/>
      <w:bCs/>
      <w:color w:val="4F81BD" w:themeColor="accent1"/>
      <w:szCs w:val="36"/>
      <w:lang w:eastAsia="en-US"/>
    </w:rPr>
  </w:style>
  <w:style w:type="table" w:customStyle="1" w:styleId="Mriekatabuky1">
    <w:name w:val="Mriežka tabuľky1"/>
    <w:basedOn w:val="Normlnatabuka"/>
    <w:uiPriority w:val="59"/>
    <w:rsid w:val="009E732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826">
      <w:bodyDiv w:val="1"/>
      <w:marLeft w:val="0"/>
      <w:marRight w:val="0"/>
      <w:marTop w:val="0"/>
      <w:marBottom w:val="0"/>
      <w:divBdr>
        <w:top w:val="none" w:sz="0" w:space="0" w:color="auto"/>
        <w:left w:val="none" w:sz="0" w:space="0" w:color="auto"/>
        <w:bottom w:val="none" w:sz="0" w:space="0" w:color="auto"/>
        <w:right w:val="none" w:sz="0" w:space="0" w:color="auto"/>
      </w:divBdr>
    </w:div>
    <w:div w:id="46229332">
      <w:bodyDiv w:val="1"/>
      <w:marLeft w:val="0"/>
      <w:marRight w:val="0"/>
      <w:marTop w:val="0"/>
      <w:marBottom w:val="0"/>
      <w:divBdr>
        <w:top w:val="none" w:sz="0" w:space="0" w:color="auto"/>
        <w:left w:val="none" w:sz="0" w:space="0" w:color="auto"/>
        <w:bottom w:val="none" w:sz="0" w:space="0" w:color="auto"/>
        <w:right w:val="none" w:sz="0" w:space="0" w:color="auto"/>
      </w:divBdr>
    </w:div>
    <w:div w:id="50202551">
      <w:bodyDiv w:val="1"/>
      <w:marLeft w:val="0"/>
      <w:marRight w:val="0"/>
      <w:marTop w:val="0"/>
      <w:marBottom w:val="0"/>
      <w:divBdr>
        <w:top w:val="none" w:sz="0" w:space="0" w:color="auto"/>
        <w:left w:val="none" w:sz="0" w:space="0" w:color="auto"/>
        <w:bottom w:val="none" w:sz="0" w:space="0" w:color="auto"/>
        <w:right w:val="none" w:sz="0" w:space="0" w:color="auto"/>
      </w:divBdr>
    </w:div>
    <w:div w:id="51658179">
      <w:bodyDiv w:val="1"/>
      <w:marLeft w:val="0"/>
      <w:marRight w:val="0"/>
      <w:marTop w:val="0"/>
      <w:marBottom w:val="0"/>
      <w:divBdr>
        <w:top w:val="none" w:sz="0" w:space="0" w:color="auto"/>
        <w:left w:val="none" w:sz="0" w:space="0" w:color="auto"/>
        <w:bottom w:val="none" w:sz="0" w:space="0" w:color="auto"/>
        <w:right w:val="none" w:sz="0" w:space="0" w:color="auto"/>
      </w:divBdr>
    </w:div>
    <w:div w:id="64381552">
      <w:bodyDiv w:val="1"/>
      <w:marLeft w:val="0"/>
      <w:marRight w:val="0"/>
      <w:marTop w:val="0"/>
      <w:marBottom w:val="0"/>
      <w:divBdr>
        <w:top w:val="none" w:sz="0" w:space="0" w:color="auto"/>
        <w:left w:val="none" w:sz="0" w:space="0" w:color="auto"/>
        <w:bottom w:val="none" w:sz="0" w:space="0" w:color="auto"/>
        <w:right w:val="none" w:sz="0" w:space="0" w:color="auto"/>
      </w:divBdr>
    </w:div>
    <w:div w:id="64453973">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86191208">
      <w:bodyDiv w:val="1"/>
      <w:marLeft w:val="0"/>
      <w:marRight w:val="0"/>
      <w:marTop w:val="0"/>
      <w:marBottom w:val="0"/>
      <w:divBdr>
        <w:top w:val="none" w:sz="0" w:space="0" w:color="auto"/>
        <w:left w:val="none" w:sz="0" w:space="0" w:color="auto"/>
        <w:bottom w:val="none" w:sz="0" w:space="0" w:color="auto"/>
        <w:right w:val="none" w:sz="0" w:space="0" w:color="auto"/>
      </w:divBdr>
    </w:div>
    <w:div w:id="93480981">
      <w:bodyDiv w:val="1"/>
      <w:marLeft w:val="0"/>
      <w:marRight w:val="0"/>
      <w:marTop w:val="0"/>
      <w:marBottom w:val="0"/>
      <w:divBdr>
        <w:top w:val="none" w:sz="0" w:space="0" w:color="auto"/>
        <w:left w:val="none" w:sz="0" w:space="0" w:color="auto"/>
        <w:bottom w:val="none" w:sz="0" w:space="0" w:color="auto"/>
        <w:right w:val="none" w:sz="0" w:space="0" w:color="auto"/>
      </w:divBdr>
    </w:div>
    <w:div w:id="97068301">
      <w:bodyDiv w:val="1"/>
      <w:marLeft w:val="0"/>
      <w:marRight w:val="0"/>
      <w:marTop w:val="0"/>
      <w:marBottom w:val="0"/>
      <w:divBdr>
        <w:top w:val="none" w:sz="0" w:space="0" w:color="auto"/>
        <w:left w:val="none" w:sz="0" w:space="0" w:color="auto"/>
        <w:bottom w:val="none" w:sz="0" w:space="0" w:color="auto"/>
        <w:right w:val="none" w:sz="0" w:space="0" w:color="auto"/>
      </w:divBdr>
    </w:div>
    <w:div w:id="124126478">
      <w:bodyDiv w:val="1"/>
      <w:marLeft w:val="0"/>
      <w:marRight w:val="0"/>
      <w:marTop w:val="0"/>
      <w:marBottom w:val="0"/>
      <w:divBdr>
        <w:top w:val="none" w:sz="0" w:space="0" w:color="auto"/>
        <w:left w:val="none" w:sz="0" w:space="0" w:color="auto"/>
        <w:bottom w:val="none" w:sz="0" w:space="0" w:color="auto"/>
        <w:right w:val="none" w:sz="0" w:space="0" w:color="auto"/>
      </w:divBdr>
    </w:div>
    <w:div w:id="138304733">
      <w:bodyDiv w:val="1"/>
      <w:marLeft w:val="0"/>
      <w:marRight w:val="0"/>
      <w:marTop w:val="0"/>
      <w:marBottom w:val="0"/>
      <w:divBdr>
        <w:top w:val="none" w:sz="0" w:space="0" w:color="auto"/>
        <w:left w:val="none" w:sz="0" w:space="0" w:color="auto"/>
        <w:bottom w:val="none" w:sz="0" w:space="0" w:color="auto"/>
        <w:right w:val="none" w:sz="0" w:space="0" w:color="auto"/>
      </w:divBdr>
    </w:div>
    <w:div w:id="138497150">
      <w:bodyDiv w:val="1"/>
      <w:marLeft w:val="0"/>
      <w:marRight w:val="0"/>
      <w:marTop w:val="0"/>
      <w:marBottom w:val="0"/>
      <w:divBdr>
        <w:top w:val="none" w:sz="0" w:space="0" w:color="auto"/>
        <w:left w:val="none" w:sz="0" w:space="0" w:color="auto"/>
        <w:bottom w:val="none" w:sz="0" w:space="0" w:color="auto"/>
        <w:right w:val="none" w:sz="0" w:space="0" w:color="auto"/>
      </w:divBdr>
    </w:div>
    <w:div w:id="139345510">
      <w:bodyDiv w:val="1"/>
      <w:marLeft w:val="0"/>
      <w:marRight w:val="0"/>
      <w:marTop w:val="0"/>
      <w:marBottom w:val="0"/>
      <w:divBdr>
        <w:top w:val="none" w:sz="0" w:space="0" w:color="auto"/>
        <w:left w:val="none" w:sz="0" w:space="0" w:color="auto"/>
        <w:bottom w:val="none" w:sz="0" w:space="0" w:color="auto"/>
        <w:right w:val="none" w:sz="0" w:space="0" w:color="auto"/>
      </w:divBdr>
    </w:div>
    <w:div w:id="149492367">
      <w:bodyDiv w:val="1"/>
      <w:marLeft w:val="0"/>
      <w:marRight w:val="0"/>
      <w:marTop w:val="0"/>
      <w:marBottom w:val="0"/>
      <w:divBdr>
        <w:top w:val="none" w:sz="0" w:space="0" w:color="auto"/>
        <w:left w:val="none" w:sz="0" w:space="0" w:color="auto"/>
        <w:bottom w:val="none" w:sz="0" w:space="0" w:color="auto"/>
        <w:right w:val="none" w:sz="0" w:space="0" w:color="auto"/>
      </w:divBdr>
    </w:div>
    <w:div w:id="156389291">
      <w:bodyDiv w:val="1"/>
      <w:marLeft w:val="0"/>
      <w:marRight w:val="0"/>
      <w:marTop w:val="0"/>
      <w:marBottom w:val="0"/>
      <w:divBdr>
        <w:top w:val="none" w:sz="0" w:space="0" w:color="auto"/>
        <w:left w:val="none" w:sz="0" w:space="0" w:color="auto"/>
        <w:bottom w:val="none" w:sz="0" w:space="0" w:color="auto"/>
        <w:right w:val="none" w:sz="0" w:space="0" w:color="auto"/>
      </w:divBdr>
    </w:div>
    <w:div w:id="164976842">
      <w:bodyDiv w:val="1"/>
      <w:marLeft w:val="0"/>
      <w:marRight w:val="0"/>
      <w:marTop w:val="0"/>
      <w:marBottom w:val="0"/>
      <w:divBdr>
        <w:top w:val="none" w:sz="0" w:space="0" w:color="auto"/>
        <w:left w:val="none" w:sz="0" w:space="0" w:color="auto"/>
        <w:bottom w:val="none" w:sz="0" w:space="0" w:color="auto"/>
        <w:right w:val="none" w:sz="0" w:space="0" w:color="auto"/>
      </w:divBdr>
    </w:div>
    <w:div w:id="167642583">
      <w:bodyDiv w:val="1"/>
      <w:marLeft w:val="0"/>
      <w:marRight w:val="0"/>
      <w:marTop w:val="0"/>
      <w:marBottom w:val="0"/>
      <w:divBdr>
        <w:top w:val="none" w:sz="0" w:space="0" w:color="auto"/>
        <w:left w:val="none" w:sz="0" w:space="0" w:color="auto"/>
        <w:bottom w:val="none" w:sz="0" w:space="0" w:color="auto"/>
        <w:right w:val="none" w:sz="0" w:space="0" w:color="auto"/>
      </w:divBdr>
    </w:div>
    <w:div w:id="168256279">
      <w:bodyDiv w:val="1"/>
      <w:marLeft w:val="0"/>
      <w:marRight w:val="0"/>
      <w:marTop w:val="0"/>
      <w:marBottom w:val="0"/>
      <w:divBdr>
        <w:top w:val="none" w:sz="0" w:space="0" w:color="auto"/>
        <w:left w:val="none" w:sz="0" w:space="0" w:color="auto"/>
        <w:bottom w:val="none" w:sz="0" w:space="0" w:color="auto"/>
        <w:right w:val="none" w:sz="0" w:space="0" w:color="auto"/>
      </w:divBdr>
    </w:div>
    <w:div w:id="171146235">
      <w:bodyDiv w:val="1"/>
      <w:marLeft w:val="0"/>
      <w:marRight w:val="0"/>
      <w:marTop w:val="0"/>
      <w:marBottom w:val="0"/>
      <w:divBdr>
        <w:top w:val="none" w:sz="0" w:space="0" w:color="auto"/>
        <w:left w:val="none" w:sz="0" w:space="0" w:color="auto"/>
        <w:bottom w:val="none" w:sz="0" w:space="0" w:color="auto"/>
        <w:right w:val="none" w:sz="0" w:space="0" w:color="auto"/>
      </w:divBdr>
    </w:div>
    <w:div w:id="187528923">
      <w:bodyDiv w:val="1"/>
      <w:marLeft w:val="0"/>
      <w:marRight w:val="0"/>
      <w:marTop w:val="0"/>
      <w:marBottom w:val="0"/>
      <w:divBdr>
        <w:top w:val="none" w:sz="0" w:space="0" w:color="auto"/>
        <w:left w:val="none" w:sz="0" w:space="0" w:color="auto"/>
        <w:bottom w:val="none" w:sz="0" w:space="0" w:color="auto"/>
        <w:right w:val="none" w:sz="0" w:space="0" w:color="auto"/>
      </w:divBdr>
    </w:div>
    <w:div w:id="223297073">
      <w:bodyDiv w:val="1"/>
      <w:marLeft w:val="0"/>
      <w:marRight w:val="0"/>
      <w:marTop w:val="0"/>
      <w:marBottom w:val="0"/>
      <w:divBdr>
        <w:top w:val="none" w:sz="0" w:space="0" w:color="auto"/>
        <w:left w:val="none" w:sz="0" w:space="0" w:color="auto"/>
        <w:bottom w:val="none" w:sz="0" w:space="0" w:color="auto"/>
        <w:right w:val="none" w:sz="0" w:space="0" w:color="auto"/>
      </w:divBdr>
    </w:div>
    <w:div w:id="243876793">
      <w:bodyDiv w:val="1"/>
      <w:marLeft w:val="0"/>
      <w:marRight w:val="0"/>
      <w:marTop w:val="0"/>
      <w:marBottom w:val="0"/>
      <w:divBdr>
        <w:top w:val="none" w:sz="0" w:space="0" w:color="auto"/>
        <w:left w:val="none" w:sz="0" w:space="0" w:color="auto"/>
        <w:bottom w:val="none" w:sz="0" w:space="0" w:color="auto"/>
        <w:right w:val="none" w:sz="0" w:space="0" w:color="auto"/>
      </w:divBdr>
    </w:div>
    <w:div w:id="288367599">
      <w:bodyDiv w:val="1"/>
      <w:marLeft w:val="0"/>
      <w:marRight w:val="0"/>
      <w:marTop w:val="0"/>
      <w:marBottom w:val="0"/>
      <w:divBdr>
        <w:top w:val="none" w:sz="0" w:space="0" w:color="auto"/>
        <w:left w:val="none" w:sz="0" w:space="0" w:color="auto"/>
        <w:bottom w:val="none" w:sz="0" w:space="0" w:color="auto"/>
        <w:right w:val="none" w:sz="0" w:space="0" w:color="auto"/>
      </w:divBdr>
    </w:div>
    <w:div w:id="302540889">
      <w:bodyDiv w:val="1"/>
      <w:marLeft w:val="0"/>
      <w:marRight w:val="0"/>
      <w:marTop w:val="0"/>
      <w:marBottom w:val="0"/>
      <w:divBdr>
        <w:top w:val="none" w:sz="0" w:space="0" w:color="auto"/>
        <w:left w:val="none" w:sz="0" w:space="0" w:color="auto"/>
        <w:bottom w:val="none" w:sz="0" w:space="0" w:color="auto"/>
        <w:right w:val="none" w:sz="0" w:space="0" w:color="auto"/>
      </w:divBdr>
    </w:div>
    <w:div w:id="312607635">
      <w:bodyDiv w:val="1"/>
      <w:marLeft w:val="0"/>
      <w:marRight w:val="0"/>
      <w:marTop w:val="0"/>
      <w:marBottom w:val="0"/>
      <w:divBdr>
        <w:top w:val="none" w:sz="0" w:space="0" w:color="auto"/>
        <w:left w:val="none" w:sz="0" w:space="0" w:color="auto"/>
        <w:bottom w:val="none" w:sz="0" w:space="0" w:color="auto"/>
        <w:right w:val="none" w:sz="0" w:space="0" w:color="auto"/>
      </w:divBdr>
    </w:div>
    <w:div w:id="328874386">
      <w:bodyDiv w:val="1"/>
      <w:marLeft w:val="0"/>
      <w:marRight w:val="0"/>
      <w:marTop w:val="0"/>
      <w:marBottom w:val="0"/>
      <w:divBdr>
        <w:top w:val="none" w:sz="0" w:space="0" w:color="auto"/>
        <w:left w:val="none" w:sz="0" w:space="0" w:color="auto"/>
        <w:bottom w:val="none" w:sz="0" w:space="0" w:color="auto"/>
        <w:right w:val="none" w:sz="0" w:space="0" w:color="auto"/>
      </w:divBdr>
    </w:div>
    <w:div w:id="369645178">
      <w:bodyDiv w:val="1"/>
      <w:marLeft w:val="0"/>
      <w:marRight w:val="0"/>
      <w:marTop w:val="0"/>
      <w:marBottom w:val="0"/>
      <w:divBdr>
        <w:top w:val="none" w:sz="0" w:space="0" w:color="auto"/>
        <w:left w:val="none" w:sz="0" w:space="0" w:color="auto"/>
        <w:bottom w:val="none" w:sz="0" w:space="0" w:color="auto"/>
        <w:right w:val="none" w:sz="0" w:space="0" w:color="auto"/>
      </w:divBdr>
    </w:div>
    <w:div w:id="369841202">
      <w:bodyDiv w:val="1"/>
      <w:marLeft w:val="0"/>
      <w:marRight w:val="0"/>
      <w:marTop w:val="0"/>
      <w:marBottom w:val="0"/>
      <w:divBdr>
        <w:top w:val="none" w:sz="0" w:space="0" w:color="auto"/>
        <w:left w:val="none" w:sz="0" w:space="0" w:color="auto"/>
        <w:bottom w:val="none" w:sz="0" w:space="0" w:color="auto"/>
        <w:right w:val="none" w:sz="0" w:space="0" w:color="auto"/>
      </w:divBdr>
    </w:div>
    <w:div w:id="382146434">
      <w:bodyDiv w:val="1"/>
      <w:marLeft w:val="0"/>
      <w:marRight w:val="0"/>
      <w:marTop w:val="0"/>
      <w:marBottom w:val="0"/>
      <w:divBdr>
        <w:top w:val="none" w:sz="0" w:space="0" w:color="auto"/>
        <w:left w:val="none" w:sz="0" w:space="0" w:color="auto"/>
        <w:bottom w:val="none" w:sz="0" w:space="0" w:color="auto"/>
        <w:right w:val="none" w:sz="0" w:space="0" w:color="auto"/>
      </w:divBdr>
    </w:div>
    <w:div w:id="390035940">
      <w:bodyDiv w:val="1"/>
      <w:marLeft w:val="0"/>
      <w:marRight w:val="0"/>
      <w:marTop w:val="0"/>
      <w:marBottom w:val="0"/>
      <w:divBdr>
        <w:top w:val="none" w:sz="0" w:space="0" w:color="auto"/>
        <w:left w:val="none" w:sz="0" w:space="0" w:color="auto"/>
        <w:bottom w:val="none" w:sz="0" w:space="0" w:color="auto"/>
        <w:right w:val="none" w:sz="0" w:space="0" w:color="auto"/>
      </w:divBdr>
    </w:div>
    <w:div w:id="398868016">
      <w:bodyDiv w:val="1"/>
      <w:marLeft w:val="0"/>
      <w:marRight w:val="0"/>
      <w:marTop w:val="0"/>
      <w:marBottom w:val="0"/>
      <w:divBdr>
        <w:top w:val="none" w:sz="0" w:space="0" w:color="auto"/>
        <w:left w:val="none" w:sz="0" w:space="0" w:color="auto"/>
        <w:bottom w:val="none" w:sz="0" w:space="0" w:color="auto"/>
        <w:right w:val="none" w:sz="0" w:space="0" w:color="auto"/>
      </w:divBdr>
    </w:div>
    <w:div w:id="432752997">
      <w:bodyDiv w:val="1"/>
      <w:marLeft w:val="0"/>
      <w:marRight w:val="0"/>
      <w:marTop w:val="0"/>
      <w:marBottom w:val="0"/>
      <w:divBdr>
        <w:top w:val="none" w:sz="0" w:space="0" w:color="auto"/>
        <w:left w:val="none" w:sz="0" w:space="0" w:color="auto"/>
        <w:bottom w:val="none" w:sz="0" w:space="0" w:color="auto"/>
        <w:right w:val="none" w:sz="0" w:space="0" w:color="auto"/>
      </w:divBdr>
    </w:div>
    <w:div w:id="466975151">
      <w:bodyDiv w:val="1"/>
      <w:marLeft w:val="0"/>
      <w:marRight w:val="0"/>
      <w:marTop w:val="0"/>
      <w:marBottom w:val="0"/>
      <w:divBdr>
        <w:top w:val="none" w:sz="0" w:space="0" w:color="auto"/>
        <w:left w:val="none" w:sz="0" w:space="0" w:color="auto"/>
        <w:bottom w:val="none" w:sz="0" w:space="0" w:color="auto"/>
        <w:right w:val="none" w:sz="0" w:space="0" w:color="auto"/>
      </w:divBdr>
    </w:div>
    <w:div w:id="473718995">
      <w:bodyDiv w:val="1"/>
      <w:marLeft w:val="0"/>
      <w:marRight w:val="0"/>
      <w:marTop w:val="0"/>
      <w:marBottom w:val="0"/>
      <w:divBdr>
        <w:top w:val="none" w:sz="0" w:space="0" w:color="auto"/>
        <w:left w:val="none" w:sz="0" w:space="0" w:color="auto"/>
        <w:bottom w:val="none" w:sz="0" w:space="0" w:color="auto"/>
        <w:right w:val="none" w:sz="0" w:space="0" w:color="auto"/>
      </w:divBdr>
    </w:div>
    <w:div w:id="496774463">
      <w:bodyDiv w:val="1"/>
      <w:marLeft w:val="0"/>
      <w:marRight w:val="0"/>
      <w:marTop w:val="0"/>
      <w:marBottom w:val="0"/>
      <w:divBdr>
        <w:top w:val="none" w:sz="0" w:space="0" w:color="auto"/>
        <w:left w:val="none" w:sz="0" w:space="0" w:color="auto"/>
        <w:bottom w:val="none" w:sz="0" w:space="0" w:color="auto"/>
        <w:right w:val="none" w:sz="0" w:space="0" w:color="auto"/>
      </w:divBdr>
    </w:div>
    <w:div w:id="524682723">
      <w:bodyDiv w:val="1"/>
      <w:marLeft w:val="0"/>
      <w:marRight w:val="0"/>
      <w:marTop w:val="0"/>
      <w:marBottom w:val="0"/>
      <w:divBdr>
        <w:top w:val="none" w:sz="0" w:space="0" w:color="auto"/>
        <w:left w:val="none" w:sz="0" w:space="0" w:color="auto"/>
        <w:bottom w:val="none" w:sz="0" w:space="0" w:color="auto"/>
        <w:right w:val="none" w:sz="0" w:space="0" w:color="auto"/>
      </w:divBdr>
    </w:div>
    <w:div w:id="548151667">
      <w:bodyDiv w:val="1"/>
      <w:marLeft w:val="0"/>
      <w:marRight w:val="0"/>
      <w:marTop w:val="0"/>
      <w:marBottom w:val="0"/>
      <w:divBdr>
        <w:top w:val="none" w:sz="0" w:space="0" w:color="auto"/>
        <w:left w:val="none" w:sz="0" w:space="0" w:color="auto"/>
        <w:bottom w:val="none" w:sz="0" w:space="0" w:color="auto"/>
        <w:right w:val="none" w:sz="0" w:space="0" w:color="auto"/>
      </w:divBdr>
    </w:div>
    <w:div w:id="549146789">
      <w:bodyDiv w:val="1"/>
      <w:marLeft w:val="0"/>
      <w:marRight w:val="0"/>
      <w:marTop w:val="0"/>
      <w:marBottom w:val="0"/>
      <w:divBdr>
        <w:top w:val="none" w:sz="0" w:space="0" w:color="auto"/>
        <w:left w:val="none" w:sz="0" w:space="0" w:color="auto"/>
        <w:bottom w:val="none" w:sz="0" w:space="0" w:color="auto"/>
        <w:right w:val="none" w:sz="0" w:space="0" w:color="auto"/>
      </w:divBdr>
    </w:div>
    <w:div w:id="569925616">
      <w:bodyDiv w:val="1"/>
      <w:marLeft w:val="0"/>
      <w:marRight w:val="0"/>
      <w:marTop w:val="0"/>
      <w:marBottom w:val="0"/>
      <w:divBdr>
        <w:top w:val="none" w:sz="0" w:space="0" w:color="auto"/>
        <w:left w:val="none" w:sz="0" w:space="0" w:color="auto"/>
        <w:bottom w:val="none" w:sz="0" w:space="0" w:color="auto"/>
        <w:right w:val="none" w:sz="0" w:space="0" w:color="auto"/>
      </w:divBdr>
    </w:div>
    <w:div w:id="610891568">
      <w:bodyDiv w:val="1"/>
      <w:marLeft w:val="0"/>
      <w:marRight w:val="0"/>
      <w:marTop w:val="0"/>
      <w:marBottom w:val="0"/>
      <w:divBdr>
        <w:top w:val="none" w:sz="0" w:space="0" w:color="auto"/>
        <w:left w:val="none" w:sz="0" w:space="0" w:color="auto"/>
        <w:bottom w:val="none" w:sz="0" w:space="0" w:color="auto"/>
        <w:right w:val="none" w:sz="0" w:space="0" w:color="auto"/>
      </w:divBdr>
    </w:div>
    <w:div w:id="632298900">
      <w:bodyDiv w:val="1"/>
      <w:marLeft w:val="0"/>
      <w:marRight w:val="0"/>
      <w:marTop w:val="0"/>
      <w:marBottom w:val="0"/>
      <w:divBdr>
        <w:top w:val="none" w:sz="0" w:space="0" w:color="auto"/>
        <w:left w:val="none" w:sz="0" w:space="0" w:color="auto"/>
        <w:bottom w:val="none" w:sz="0" w:space="0" w:color="auto"/>
        <w:right w:val="none" w:sz="0" w:space="0" w:color="auto"/>
      </w:divBdr>
    </w:div>
    <w:div w:id="642538748">
      <w:bodyDiv w:val="1"/>
      <w:marLeft w:val="0"/>
      <w:marRight w:val="0"/>
      <w:marTop w:val="0"/>
      <w:marBottom w:val="0"/>
      <w:divBdr>
        <w:top w:val="none" w:sz="0" w:space="0" w:color="auto"/>
        <w:left w:val="none" w:sz="0" w:space="0" w:color="auto"/>
        <w:bottom w:val="none" w:sz="0" w:space="0" w:color="auto"/>
        <w:right w:val="none" w:sz="0" w:space="0" w:color="auto"/>
      </w:divBdr>
    </w:div>
    <w:div w:id="646933938">
      <w:bodyDiv w:val="1"/>
      <w:marLeft w:val="0"/>
      <w:marRight w:val="0"/>
      <w:marTop w:val="0"/>
      <w:marBottom w:val="0"/>
      <w:divBdr>
        <w:top w:val="none" w:sz="0" w:space="0" w:color="auto"/>
        <w:left w:val="none" w:sz="0" w:space="0" w:color="auto"/>
        <w:bottom w:val="none" w:sz="0" w:space="0" w:color="auto"/>
        <w:right w:val="none" w:sz="0" w:space="0" w:color="auto"/>
      </w:divBdr>
    </w:div>
    <w:div w:id="659575363">
      <w:bodyDiv w:val="1"/>
      <w:marLeft w:val="0"/>
      <w:marRight w:val="0"/>
      <w:marTop w:val="0"/>
      <w:marBottom w:val="0"/>
      <w:divBdr>
        <w:top w:val="none" w:sz="0" w:space="0" w:color="auto"/>
        <w:left w:val="none" w:sz="0" w:space="0" w:color="auto"/>
        <w:bottom w:val="none" w:sz="0" w:space="0" w:color="auto"/>
        <w:right w:val="none" w:sz="0" w:space="0" w:color="auto"/>
      </w:divBdr>
    </w:div>
    <w:div w:id="707337909">
      <w:bodyDiv w:val="1"/>
      <w:marLeft w:val="0"/>
      <w:marRight w:val="0"/>
      <w:marTop w:val="0"/>
      <w:marBottom w:val="0"/>
      <w:divBdr>
        <w:top w:val="none" w:sz="0" w:space="0" w:color="auto"/>
        <w:left w:val="none" w:sz="0" w:space="0" w:color="auto"/>
        <w:bottom w:val="none" w:sz="0" w:space="0" w:color="auto"/>
        <w:right w:val="none" w:sz="0" w:space="0" w:color="auto"/>
      </w:divBdr>
    </w:div>
    <w:div w:id="711803803">
      <w:bodyDiv w:val="1"/>
      <w:marLeft w:val="0"/>
      <w:marRight w:val="0"/>
      <w:marTop w:val="0"/>
      <w:marBottom w:val="0"/>
      <w:divBdr>
        <w:top w:val="none" w:sz="0" w:space="0" w:color="auto"/>
        <w:left w:val="none" w:sz="0" w:space="0" w:color="auto"/>
        <w:bottom w:val="none" w:sz="0" w:space="0" w:color="auto"/>
        <w:right w:val="none" w:sz="0" w:space="0" w:color="auto"/>
      </w:divBdr>
    </w:div>
    <w:div w:id="725878544">
      <w:bodyDiv w:val="1"/>
      <w:marLeft w:val="0"/>
      <w:marRight w:val="0"/>
      <w:marTop w:val="0"/>
      <w:marBottom w:val="0"/>
      <w:divBdr>
        <w:top w:val="none" w:sz="0" w:space="0" w:color="auto"/>
        <w:left w:val="none" w:sz="0" w:space="0" w:color="auto"/>
        <w:bottom w:val="none" w:sz="0" w:space="0" w:color="auto"/>
        <w:right w:val="none" w:sz="0" w:space="0" w:color="auto"/>
      </w:divBdr>
    </w:div>
    <w:div w:id="741609971">
      <w:bodyDiv w:val="1"/>
      <w:marLeft w:val="0"/>
      <w:marRight w:val="0"/>
      <w:marTop w:val="0"/>
      <w:marBottom w:val="0"/>
      <w:divBdr>
        <w:top w:val="none" w:sz="0" w:space="0" w:color="auto"/>
        <w:left w:val="none" w:sz="0" w:space="0" w:color="auto"/>
        <w:bottom w:val="none" w:sz="0" w:space="0" w:color="auto"/>
        <w:right w:val="none" w:sz="0" w:space="0" w:color="auto"/>
      </w:divBdr>
    </w:div>
    <w:div w:id="742138619">
      <w:bodyDiv w:val="1"/>
      <w:marLeft w:val="0"/>
      <w:marRight w:val="0"/>
      <w:marTop w:val="0"/>
      <w:marBottom w:val="0"/>
      <w:divBdr>
        <w:top w:val="none" w:sz="0" w:space="0" w:color="auto"/>
        <w:left w:val="none" w:sz="0" w:space="0" w:color="auto"/>
        <w:bottom w:val="none" w:sz="0" w:space="0" w:color="auto"/>
        <w:right w:val="none" w:sz="0" w:space="0" w:color="auto"/>
      </w:divBdr>
    </w:div>
    <w:div w:id="742918124">
      <w:bodyDiv w:val="1"/>
      <w:marLeft w:val="0"/>
      <w:marRight w:val="0"/>
      <w:marTop w:val="0"/>
      <w:marBottom w:val="0"/>
      <w:divBdr>
        <w:top w:val="none" w:sz="0" w:space="0" w:color="auto"/>
        <w:left w:val="none" w:sz="0" w:space="0" w:color="auto"/>
        <w:bottom w:val="none" w:sz="0" w:space="0" w:color="auto"/>
        <w:right w:val="none" w:sz="0" w:space="0" w:color="auto"/>
      </w:divBdr>
    </w:div>
    <w:div w:id="744113090">
      <w:bodyDiv w:val="1"/>
      <w:marLeft w:val="0"/>
      <w:marRight w:val="0"/>
      <w:marTop w:val="0"/>
      <w:marBottom w:val="0"/>
      <w:divBdr>
        <w:top w:val="none" w:sz="0" w:space="0" w:color="auto"/>
        <w:left w:val="none" w:sz="0" w:space="0" w:color="auto"/>
        <w:bottom w:val="none" w:sz="0" w:space="0" w:color="auto"/>
        <w:right w:val="none" w:sz="0" w:space="0" w:color="auto"/>
      </w:divBdr>
    </w:div>
    <w:div w:id="760567759">
      <w:bodyDiv w:val="1"/>
      <w:marLeft w:val="0"/>
      <w:marRight w:val="0"/>
      <w:marTop w:val="0"/>
      <w:marBottom w:val="0"/>
      <w:divBdr>
        <w:top w:val="none" w:sz="0" w:space="0" w:color="auto"/>
        <w:left w:val="none" w:sz="0" w:space="0" w:color="auto"/>
        <w:bottom w:val="none" w:sz="0" w:space="0" w:color="auto"/>
        <w:right w:val="none" w:sz="0" w:space="0" w:color="auto"/>
      </w:divBdr>
    </w:div>
    <w:div w:id="779035355">
      <w:bodyDiv w:val="1"/>
      <w:marLeft w:val="0"/>
      <w:marRight w:val="0"/>
      <w:marTop w:val="0"/>
      <w:marBottom w:val="0"/>
      <w:divBdr>
        <w:top w:val="none" w:sz="0" w:space="0" w:color="auto"/>
        <w:left w:val="none" w:sz="0" w:space="0" w:color="auto"/>
        <w:bottom w:val="none" w:sz="0" w:space="0" w:color="auto"/>
        <w:right w:val="none" w:sz="0" w:space="0" w:color="auto"/>
      </w:divBdr>
    </w:div>
    <w:div w:id="808519982">
      <w:bodyDiv w:val="1"/>
      <w:marLeft w:val="0"/>
      <w:marRight w:val="0"/>
      <w:marTop w:val="0"/>
      <w:marBottom w:val="0"/>
      <w:divBdr>
        <w:top w:val="none" w:sz="0" w:space="0" w:color="auto"/>
        <w:left w:val="none" w:sz="0" w:space="0" w:color="auto"/>
        <w:bottom w:val="none" w:sz="0" w:space="0" w:color="auto"/>
        <w:right w:val="none" w:sz="0" w:space="0" w:color="auto"/>
      </w:divBdr>
    </w:div>
    <w:div w:id="812450771">
      <w:bodyDiv w:val="1"/>
      <w:marLeft w:val="0"/>
      <w:marRight w:val="0"/>
      <w:marTop w:val="0"/>
      <w:marBottom w:val="0"/>
      <w:divBdr>
        <w:top w:val="none" w:sz="0" w:space="0" w:color="auto"/>
        <w:left w:val="none" w:sz="0" w:space="0" w:color="auto"/>
        <w:bottom w:val="none" w:sz="0" w:space="0" w:color="auto"/>
        <w:right w:val="none" w:sz="0" w:space="0" w:color="auto"/>
      </w:divBdr>
    </w:div>
    <w:div w:id="823811317">
      <w:bodyDiv w:val="1"/>
      <w:marLeft w:val="0"/>
      <w:marRight w:val="0"/>
      <w:marTop w:val="0"/>
      <w:marBottom w:val="0"/>
      <w:divBdr>
        <w:top w:val="none" w:sz="0" w:space="0" w:color="auto"/>
        <w:left w:val="none" w:sz="0" w:space="0" w:color="auto"/>
        <w:bottom w:val="none" w:sz="0" w:space="0" w:color="auto"/>
        <w:right w:val="none" w:sz="0" w:space="0" w:color="auto"/>
      </w:divBdr>
    </w:div>
    <w:div w:id="830633446">
      <w:bodyDiv w:val="1"/>
      <w:marLeft w:val="0"/>
      <w:marRight w:val="0"/>
      <w:marTop w:val="0"/>
      <w:marBottom w:val="0"/>
      <w:divBdr>
        <w:top w:val="none" w:sz="0" w:space="0" w:color="auto"/>
        <w:left w:val="none" w:sz="0" w:space="0" w:color="auto"/>
        <w:bottom w:val="none" w:sz="0" w:space="0" w:color="auto"/>
        <w:right w:val="none" w:sz="0" w:space="0" w:color="auto"/>
      </w:divBdr>
    </w:div>
    <w:div w:id="841550746">
      <w:bodyDiv w:val="1"/>
      <w:marLeft w:val="0"/>
      <w:marRight w:val="0"/>
      <w:marTop w:val="0"/>
      <w:marBottom w:val="0"/>
      <w:divBdr>
        <w:top w:val="none" w:sz="0" w:space="0" w:color="auto"/>
        <w:left w:val="none" w:sz="0" w:space="0" w:color="auto"/>
        <w:bottom w:val="none" w:sz="0" w:space="0" w:color="auto"/>
        <w:right w:val="none" w:sz="0" w:space="0" w:color="auto"/>
      </w:divBdr>
    </w:div>
    <w:div w:id="878739403">
      <w:bodyDiv w:val="1"/>
      <w:marLeft w:val="0"/>
      <w:marRight w:val="0"/>
      <w:marTop w:val="0"/>
      <w:marBottom w:val="0"/>
      <w:divBdr>
        <w:top w:val="none" w:sz="0" w:space="0" w:color="auto"/>
        <w:left w:val="none" w:sz="0" w:space="0" w:color="auto"/>
        <w:bottom w:val="none" w:sz="0" w:space="0" w:color="auto"/>
        <w:right w:val="none" w:sz="0" w:space="0" w:color="auto"/>
      </w:divBdr>
    </w:div>
    <w:div w:id="894514571">
      <w:bodyDiv w:val="1"/>
      <w:marLeft w:val="0"/>
      <w:marRight w:val="0"/>
      <w:marTop w:val="0"/>
      <w:marBottom w:val="0"/>
      <w:divBdr>
        <w:top w:val="none" w:sz="0" w:space="0" w:color="auto"/>
        <w:left w:val="none" w:sz="0" w:space="0" w:color="auto"/>
        <w:bottom w:val="none" w:sz="0" w:space="0" w:color="auto"/>
        <w:right w:val="none" w:sz="0" w:space="0" w:color="auto"/>
      </w:divBdr>
    </w:div>
    <w:div w:id="918831205">
      <w:bodyDiv w:val="1"/>
      <w:marLeft w:val="0"/>
      <w:marRight w:val="0"/>
      <w:marTop w:val="0"/>
      <w:marBottom w:val="0"/>
      <w:divBdr>
        <w:top w:val="none" w:sz="0" w:space="0" w:color="auto"/>
        <w:left w:val="none" w:sz="0" w:space="0" w:color="auto"/>
        <w:bottom w:val="none" w:sz="0" w:space="0" w:color="auto"/>
        <w:right w:val="none" w:sz="0" w:space="0" w:color="auto"/>
      </w:divBdr>
    </w:div>
    <w:div w:id="919948141">
      <w:bodyDiv w:val="1"/>
      <w:marLeft w:val="0"/>
      <w:marRight w:val="0"/>
      <w:marTop w:val="0"/>
      <w:marBottom w:val="0"/>
      <w:divBdr>
        <w:top w:val="none" w:sz="0" w:space="0" w:color="auto"/>
        <w:left w:val="none" w:sz="0" w:space="0" w:color="auto"/>
        <w:bottom w:val="none" w:sz="0" w:space="0" w:color="auto"/>
        <w:right w:val="none" w:sz="0" w:space="0" w:color="auto"/>
      </w:divBdr>
    </w:div>
    <w:div w:id="928123594">
      <w:bodyDiv w:val="1"/>
      <w:marLeft w:val="0"/>
      <w:marRight w:val="0"/>
      <w:marTop w:val="0"/>
      <w:marBottom w:val="0"/>
      <w:divBdr>
        <w:top w:val="none" w:sz="0" w:space="0" w:color="auto"/>
        <w:left w:val="none" w:sz="0" w:space="0" w:color="auto"/>
        <w:bottom w:val="none" w:sz="0" w:space="0" w:color="auto"/>
        <w:right w:val="none" w:sz="0" w:space="0" w:color="auto"/>
      </w:divBdr>
    </w:div>
    <w:div w:id="960188176">
      <w:bodyDiv w:val="1"/>
      <w:marLeft w:val="0"/>
      <w:marRight w:val="0"/>
      <w:marTop w:val="0"/>
      <w:marBottom w:val="0"/>
      <w:divBdr>
        <w:top w:val="none" w:sz="0" w:space="0" w:color="auto"/>
        <w:left w:val="none" w:sz="0" w:space="0" w:color="auto"/>
        <w:bottom w:val="none" w:sz="0" w:space="0" w:color="auto"/>
        <w:right w:val="none" w:sz="0" w:space="0" w:color="auto"/>
      </w:divBdr>
    </w:div>
    <w:div w:id="965696661">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980426976">
      <w:bodyDiv w:val="1"/>
      <w:marLeft w:val="0"/>
      <w:marRight w:val="0"/>
      <w:marTop w:val="0"/>
      <w:marBottom w:val="0"/>
      <w:divBdr>
        <w:top w:val="none" w:sz="0" w:space="0" w:color="auto"/>
        <w:left w:val="none" w:sz="0" w:space="0" w:color="auto"/>
        <w:bottom w:val="none" w:sz="0" w:space="0" w:color="auto"/>
        <w:right w:val="none" w:sz="0" w:space="0" w:color="auto"/>
      </w:divBdr>
    </w:div>
    <w:div w:id="989865874">
      <w:bodyDiv w:val="1"/>
      <w:marLeft w:val="0"/>
      <w:marRight w:val="0"/>
      <w:marTop w:val="0"/>
      <w:marBottom w:val="0"/>
      <w:divBdr>
        <w:top w:val="none" w:sz="0" w:space="0" w:color="auto"/>
        <w:left w:val="none" w:sz="0" w:space="0" w:color="auto"/>
        <w:bottom w:val="none" w:sz="0" w:space="0" w:color="auto"/>
        <w:right w:val="none" w:sz="0" w:space="0" w:color="auto"/>
      </w:divBdr>
    </w:div>
    <w:div w:id="1004165521">
      <w:bodyDiv w:val="1"/>
      <w:marLeft w:val="0"/>
      <w:marRight w:val="0"/>
      <w:marTop w:val="0"/>
      <w:marBottom w:val="0"/>
      <w:divBdr>
        <w:top w:val="none" w:sz="0" w:space="0" w:color="auto"/>
        <w:left w:val="none" w:sz="0" w:space="0" w:color="auto"/>
        <w:bottom w:val="none" w:sz="0" w:space="0" w:color="auto"/>
        <w:right w:val="none" w:sz="0" w:space="0" w:color="auto"/>
      </w:divBdr>
    </w:div>
    <w:div w:id="1022976524">
      <w:bodyDiv w:val="1"/>
      <w:marLeft w:val="0"/>
      <w:marRight w:val="0"/>
      <w:marTop w:val="0"/>
      <w:marBottom w:val="0"/>
      <w:divBdr>
        <w:top w:val="none" w:sz="0" w:space="0" w:color="auto"/>
        <w:left w:val="none" w:sz="0" w:space="0" w:color="auto"/>
        <w:bottom w:val="none" w:sz="0" w:space="0" w:color="auto"/>
        <w:right w:val="none" w:sz="0" w:space="0" w:color="auto"/>
      </w:divBdr>
    </w:div>
    <w:div w:id="1026710475">
      <w:bodyDiv w:val="1"/>
      <w:marLeft w:val="0"/>
      <w:marRight w:val="0"/>
      <w:marTop w:val="0"/>
      <w:marBottom w:val="0"/>
      <w:divBdr>
        <w:top w:val="none" w:sz="0" w:space="0" w:color="auto"/>
        <w:left w:val="none" w:sz="0" w:space="0" w:color="auto"/>
        <w:bottom w:val="none" w:sz="0" w:space="0" w:color="auto"/>
        <w:right w:val="none" w:sz="0" w:space="0" w:color="auto"/>
      </w:divBdr>
    </w:div>
    <w:div w:id="1028488413">
      <w:bodyDiv w:val="1"/>
      <w:marLeft w:val="0"/>
      <w:marRight w:val="0"/>
      <w:marTop w:val="0"/>
      <w:marBottom w:val="0"/>
      <w:divBdr>
        <w:top w:val="none" w:sz="0" w:space="0" w:color="auto"/>
        <w:left w:val="none" w:sz="0" w:space="0" w:color="auto"/>
        <w:bottom w:val="none" w:sz="0" w:space="0" w:color="auto"/>
        <w:right w:val="none" w:sz="0" w:space="0" w:color="auto"/>
      </w:divBdr>
    </w:div>
    <w:div w:id="1042176012">
      <w:bodyDiv w:val="1"/>
      <w:marLeft w:val="0"/>
      <w:marRight w:val="0"/>
      <w:marTop w:val="0"/>
      <w:marBottom w:val="0"/>
      <w:divBdr>
        <w:top w:val="none" w:sz="0" w:space="0" w:color="auto"/>
        <w:left w:val="none" w:sz="0" w:space="0" w:color="auto"/>
        <w:bottom w:val="none" w:sz="0" w:space="0" w:color="auto"/>
        <w:right w:val="none" w:sz="0" w:space="0" w:color="auto"/>
      </w:divBdr>
    </w:div>
    <w:div w:id="1043751407">
      <w:bodyDiv w:val="1"/>
      <w:marLeft w:val="0"/>
      <w:marRight w:val="0"/>
      <w:marTop w:val="0"/>
      <w:marBottom w:val="0"/>
      <w:divBdr>
        <w:top w:val="none" w:sz="0" w:space="0" w:color="auto"/>
        <w:left w:val="none" w:sz="0" w:space="0" w:color="auto"/>
        <w:bottom w:val="none" w:sz="0" w:space="0" w:color="auto"/>
        <w:right w:val="none" w:sz="0" w:space="0" w:color="auto"/>
      </w:divBdr>
    </w:div>
    <w:div w:id="1072508285">
      <w:bodyDiv w:val="1"/>
      <w:marLeft w:val="0"/>
      <w:marRight w:val="0"/>
      <w:marTop w:val="0"/>
      <w:marBottom w:val="0"/>
      <w:divBdr>
        <w:top w:val="none" w:sz="0" w:space="0" w:color="auto"/>
        <w:left w:val="none" w:sz="0" w:space="0" w:color="auto"/>
        <w:bottom w:val="none" w:sz="0" w:space="0" w:color="auto"/>
        <w:right w:val="none" w:sz="0" w:space="0" w:color="auto"/>
      </w:divBdr>
    </w:div>
    <w:div w:id="1088962054">
      <w:bodyDiv w:val="1"/>
      <w:marLeft w:val="0"/>
      <w:marRight w:val="0"/>
      <w:marTop w:val="0"/>
      <w:marBottom w:val="0"/>
      <w:divBdr>
        <w:top w:val="none" w:sz="0" w:space="0" w:color="auto"/>
        <w:left w:val="none" w:sz="0" w:space="0" w:color="auto"/>
        <w:bottom w:val="none" w:sz="0" w:space="0" w:color="auto"/>
        <w:right w:val="none" w:sz="0" w:space="0" w:color="auto"/>
      </w:divBdr>
    </w:div>
    <w:div w:id="1104572319">
      <w:bodyDiv w:val="1"/>
      <w:marLeft w:val="0"/>
      <w:marRight w:val="0"/>
      <w:marTop w:val="0"/>
      <w:marBottom w:val="0"/>
      <w:divBdr>
        <w:top w:val="none" w:sz="0" w:space="0" w:color="auto"/>
        <w:left w:val="none" w:sz="0" w:space="0" w:color="auto"/>
        <w:bottom w:val="none" w:sz="0" w:space="0" w:color="auto"/>
        <w:right w:val="none" w:sz="0" w:space="0" w:color="auto"/>
      </w:divBdr>
    </w:div>
    <w:div w:id="1110661558">
      <w:bodyDiv w:val="1"/>
      <w:marLeft w:val="0"/>
      <w:marRight w:val="0"/>
      <w:marTop w:val="0"/>
      <w:marBottom w:val="0"/>
      <w:divBdr>
        <w:top w:val="none" w:sz="0" w:space="0" w:color="auto"/>
        <w:left w:val="none" w:sz="0" w:space="0" w:color="auto"/>
        <w:bottom w:val="none" w:sz="0" w:space="0" w:color="auto"/>
        <w:right w:val="none" w:sz="0" w:space="0" w:color="auto"/>
      </w:divBdr>
    </w:div>
    <w:div w:id="1110977457">
      <w:bodyDiv w:val="1"/>
      <w:marLeft w:val="0"/>
      <w:marRight w:val="0"/>
      <w:marTop w:val="0"/>
      <w:marBottom w:val="0"/>
      <w:divBdr>
        <w:top w:val="none" w:sz="0" w:space="0" w:color="auto"/>
        <w:left w:val="none" w:sz="0" w:space="0" w:color="auto"/>
        <w:bottom w:val="none" w:sz="0" w:space="0" w:color="auto"/>
        <w:right w:val="none" w:sz="0" w:space="0" w:color="auto"/>
      </w:divBdr>
    </w:div>
    <w:div w:id="1112095475">
      <w:bodyDiv w:val="1"/>
      <w:marLeft w:val="0"/>
      <w:marRight w:val="0"/>
      <w:marTop w:val="0"/>
      <w:marBottom w:val="0"/>
      <w:divBdr>
        <w:top w:val="none" w:sz="0" w:space="0" w:color="auto"/>
        <w:left w:val="none" w:sz="0" w:space="0" w:color="auto"/>
        <w:bottom w:val="none" w:sz="0" w:space="0" w:color="auto"/>
        <w:right w:val="none" w:sz="0" w:space="0" w:color="auto"/>
      </w:divBdr>
    </w:div>
    <w:div w:id="1115826755">
      <w:bodyDiv w:val="1"/>
      <w:marLeft w:val="0"/>
      <w:marRight w:val="0"/>
      <w:marTop w:val="0"/>
      <w:marBottom w:val="0"/>
      <w:divBdr>
        <w:top w:val="none" w:sz="0" w:space="0" w:color="auto"/>
        <w:left w:val="none" w:sz="0" w:space="0" w:color="auto"/>
        <w:bottom w:val="none" w:sz="0" w:space="0" w:color="auto"/>
        <w:right w:val="none" w:sz="0" w:space="0" w:color="auto"/>
      </w:divBdr>
      <w:divsChild>
        <w:div w:id="963270614">
          <w:marLeft w:val="446"/>
          <w:marRight w:val="0"/>
          <w:marTop w:val="120"/>
          <w:marBottom w:val="0"/>
          <w:divBdr>
            <w:top w:val="none" w:sz="0" w:space="0" w:color="auto"/>
            <w:left w:val="none" w:sz="0" w:space="0" w:color="auto"/>
            <w:bottom w:val="none" w:sz="0" w:space="0" w:color="auto"/>
            <w:right w:val="none" w:sz="0" w:space="0" w:color="auto"/>
          </w:divBdr>
        </w:div>
      </w:divsChild>
    </w:div>
    <w:div w:id="1130172584">
      <w:bodyDiv w:val="1"/>
      <w:marLeft w:val="0"/>
      <w:marRight w:val="0"/>
      <w:marTop w:val="0"/>
      <w:marBottom w:val="0"/>
      <w:divBdr>
        <w:top w:val="none" w:sz="0" w:space="0" w:color="auto"/>
        <w:left w:val="none" w:sz="0" w:space="0" w:color="auto"/>
        <w:bottom w:val="none" w:sz="0" w:space="0" w:color="auto"/>
        <w:right w:val="none" w:sz="0" w:space="0" w:color="auto"/>
      </w:divBdr>
    </w:div>
    <w:div w:id="1144542266">
      <w:bodyDiv w:val="1"/>
      <w:marLeft w:val="0"/>
      <w:marRight w:val="0"/>
      <w:marTop w:val="0"/>
      <w:marBottom w:val="0"/>
      <w:divBdr>
        <w:top w:val="none" w:sz="0" w:space="0" w:color="auto"/>
        <w:left w:val="none" w:sz="0" w:space="0" w:color="auto"/>
        <w:bottom w:val="none" w:sz="0" w:space="0" w:color="auto"/>
        <w:right w:val="none" w:sz="0" w:space="0" w:color="auto"/>
      </w:divBdr>
    </w:div>
    <w:div w:id="1147164202">
      <w:bodyDiv w:val="1"/>
      <w:marLeft w:val="0"/>
      <w:marRight w:val="0"/>
      <w:marTop w:val="0"/>
      <w:marBottom w:val="0"/>
      <w:divBdr>
        <w:top w:val="none" w:sz="0" w:space="0" w:color="auto"/>
        <w:left w:val="none" w:sz="0" w:space="0" w:color="auto"/>
        <w:bottom w:val="none" w:sz="0" w:space="0" w:color="auto"/>
        <w:right w:val="none" w:sz="0" w:space="0" w:color="auto"/>
      </w:divBdr>
    </w:div>
    <w:div w:id="1151210327">
      <w:bodyDiv w:val="1"/>
      <w:marLeft w:val="0"/>
      <w:marRight w:val="0"/>
      <w:marTop w:val="0"/>
      <w:marBottom w:val="0"/>
      <w:divBdr>
        <w:top w:val="none" w:sz="0" w:space="0" w:color="auto"/>
        <w:left w:val="none" w:sz="0" w:space="0" w:color="auto"/>
        <w:bottom w:val="none" w:sz="0" w:space="0" w:color="auto"/>
        <w:right w:val="none" w:sz="0" w:space="0" w:color="auto"/>
      </w:divBdr>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27062741">
      <w:bodyDiv w:val="1"/>
      <w:marLeft w:val="0"/>
      <w:marRight w:val="0"/>
      <w:marTop w:val="0"/>
      <w:marBottom w:val="0"/>
      <w:divBdr>
        <w:top w:val="none" w:sz="0" w:space="0" w:color="auto"/>
        <w:left w:val="none" w:sz="0" w:space="0" w:color="auto"/>
        <w:bottom w:val="none" w:sz="0" w:space="0" w:color="auto"/>
        <w:right w:val="none" w:sz="0" w:space="0" w:color="auto"/>
      </w:divBdr>
    </w:div>
    <w:div w:id="1237398545">
      <w:bodyDiv w:val="1"/>
      <w:marLeft w:val="0"/>
      <w:marRight w:val="0"/>
      <w:marTop w:val="0"/>
      <w:marBottom w:val="0"/>
      <w:divBdr>
        <w:top w:val="none" w:sz="0" w:space="0" w:color="auto"/>
        <w:left w:val="none" w:sz="0" w:space="0" w:color="auto"/>
        <w:bottom w:val="none" w:sz="0" w:space="0" w:color="auto"/>
        <w:right w:val="none" w:sz="0" w:space="0" w:color="auto"/>
      </w:divBdr>
    </w:div>
    <w:div w:id="1255631887">
      <w:bodyDiv w:val="1"/>
      <w:marLeft w:val="0"/>
      <w:marRight w:val="0"/>
      <w:marTop w:val="0"/>
      <w:marBottom w:val="0"/>
      <w:divBdr>
        <w:top w:val="none" w:sz="0" w:space="0" w:color="auto"/>
        <w:left w:val="none" w:sz="0" w:space="0" w:color="auto"/>
        <w:bottom w:val="none" w:sz="0" w:space="0" w:color="auto"/>
        <w:right w:val="none" w:sz="0" w:space="0" w:color="auto"/>
      </w:divBdr>
    </w:div>
    <w:div w:id="1257329096">
      <w:bodyDiv w:val="1"/>
      <w:marLeft w:val="0"/>
      <w:marRight w:val="0"/>
      <w:marTop w:val="0"/>
      <w:marBottom w:val="0"/>
      <w:divBdr>
        <w:top w:val="none" w:sz="0" w:space="0" w:color="auto"/>
        <w:left w:val="none" w:sz="0" w:space="0" w:color="auto"/>
        <w:bottom w:val="none" w:sz="0" w:space="0" w:color="auto"/>
        <w:right w:val="none" w:sz="0" w:space="0" w:color="auto"/>
      </w:divBdr>
    </w:div>
    <w:div w:id="1263297116">
      <w:bodyDiv w:val="1"/>
      <w:marLeft w:val="0"/>
      <w:marRight w:val="0"/>
      <w:marTop w:val="0"/>
      <w:marBottom w:val="0"/>
      <w:divBdr>
        <w:top w:val="none" w:sz="0" w:space="0" w:color="auto"/>
        <w:left w:val="none" w:sz="0" w:space="0" w:color="auto"/>
        <w:bottom w:val="none" w:sz="0" w:space="0" w:color="auto"/>
        <w:right w:val="none" w:sz="0" w:space="0" w:color="auto"/>
      </w:divBdr>
    </w:div>
    <w:div w:id="1263876208">
      <w:bodyDiv w:val="1"/>
      <w:marLeft w:val="0"/>
      <w:marRight w:val="0"/>
      <w:marTop w:val="0"/>
      <w:marBottom w:val="0"/>
      <w:divBdr>
        <w:top w:val="none" w:sz="0" w:space="0" w:color="auto"/>
        <w:left w:val="none" w:sz="0" w:space="0" w:color="auto"/>
        <w:bottom w:val="none" w:sz="0" w:space="0" w:color="auto"/>
        <w:right w:val="none" w:sz="0" w:space="0" w:color="auto"/>
      </w:divBdr>
    </w:div>
    <w:div w:id="1288514178">
      <w:bodyDiv w:val="1"/>
      <w:marLeft w:val="0"/>
      <w:marRight w:val="0"/>
      <w:marTop w:val="0"/>
      <w:marBottom w:val="0"/>
      <w:divBdr>
        <w:top w:val="none" w:sz="0" w:space="0" w:color="auto"/>
        <w:left w:val="none" w:sz="0" w:space="0" w:color="auto"/>
        <w:bottom w:val="none" w:sz="0" w:space="0" w:color="auto"/>
        <w:right w:val="none" w:sz="0" w:space="0" w:color="auto"/>
      </w:divBdr>
    </w:div>
    <w:div w:id="1299648526">
      <w:bodyDiv w:val="1"/>
      <w:marLeft w:val="0"/>
      <w:marRight w:val="0"/>
      <w:marTop w:val="0"/>
      <w:marBottom w:val="0"/>
      <w:divBdr>
        <w:top w:val="none" w:sz="0" w:space="0" w:color="auto"/>
        <w:left w:val="none" w:sz="0" w:space="0" w:color="auto"/>
        <w:bottom w:val="none" w:sz="0" w:space="0" w:color="auto"/>
        <w:right w:val="none" w:sz="0" w:space="0" w:color="auto"/>
      </w:divBdr>
    </w:div>
    <w:div w:id="1320886654">
      <w:bodyDiv w:val="1"/>
      <w:marLeft w:val="0"/>
      <w:marRight w:val="0"/>
      <w:marTop w:val="0"/>
      <w:marBottom w:val="0"/>
      <w:divBdr>
        <w:top w:val="none" w:sz="0" w:space="0" w:color="auto"/>
        <w:left w:val="none" w:sz="0" w:space="0" w:color="auto"/>
        <w:bottom w:val="none" w:sz="0" w:space="0" w:color="auto"/>
        <w:right w:val="none" w:sz="0" w:space="0" w:color="auto"/>
      </w:divBdr>
    </w:div>
    <w:div w:id="1331904123">
      <w:bodyDiv w:val="1"/>
      <w:marLeft w:val="0"/>
      <w:marRight w:val="0"/>
      <w:marTop w:val="0"/>
      <w:marBottom w:val="0"/>
      <w:divBdr>
        <w:top w:val="none" w:sz="0" w:space="0" w:color="auto"/>
        <w:left w:val="none" w:sz="0" w:space="0" w:color="auto"/>
        <w:bottom w:val="none" w:sz="0" w:space="0" w:color="auto"/>
        <w:right w:val="none" w:sz="0" w:space="0" w:color="auto"/>
      </w:divBdr>
    </w:div>
    <w:div w:id="1357341517">
      <w:bodyDiv w:val="1"/>
      <w:marLeft w:val="0"/>
      <w:marRight w:val="0"/>
      <w:marTop w:val="0"/>
      <w:marBottom w:val="0"/>
      <w:divBdr>
        <w:top w:val="none" w:sz="0" w:space="0" w:color="auto"/>
        <w:left w:val="none" w:sz="0" w:space="0" w:color="auto"/>
        <w:bottom w:val="none" w:sz="0" w:space="0" w:color="auto"/>
        <w:right w:val="none" w:sz="0" w:space="0" w:color="auto"/>
      </w:divBdr>
    </w:div>
    <w:div w:id="1378434630">
      <w:bodyDiv w:val="1"/>
      <w:marLeft w:val="0"/>
      <w:marRight w:val="0"/>
      <w:marTop w:val="0"/>
      <w:marBottom w:val="0"/>
      <w:divBdr>
        <w:top w:val="none" w:sz="0" w:space="0" w:color="auto"/>
        <w:left w:val="none" w:sz="0" w:space="0" w:color="auto"/>
        <w:bottom w:val="none" w:sz="0" w:space="0" w:color="auto"/>
        <w:right w:val="none" w:sz="0" w:space="0" w:color="auto"/>
      </w:divBdr>
    </w:div>
    <w:div w:id="1392339352">
      <w:bodyDiv w:val="1"/>
      <w:marLeft w:val="0"/>
      <w:marRight w:val="0"/>
      <w:marTop w:val="0"/>
      <w:marBottom w:val="0"/>
      <w:divBdr>
        <w:top w:val="none" w:sz="0" w:space="0" w:color="auto"/>
        <w:left w:val="none" w:sz="0" w:space="0" w:color="auto"/>
        <w:bottom w:val="none" w:sz="0" w:space="0" w:color="auto"/>
        <w:right w:val="none" w:sz="0" w:space="0" w:color="auto"/>
      </w:divBdr>
    </w:div>
    <w:div w:id="1398630825">
      <w:bodyDiv w:val="1"/>
      <w:marLeft w:val="0"/>
      <w:marRight w:val="0"/>
      <w:marTop w:val="0"/>
      <w:marBottom w:val="0"/>
      <w:divBdr>
        <w:top w:val="none" w:sz="0" w:space="0" w:color="auto"/>
        <w:left w:val="none" w:sz="0" w:space="0" w:color="auto"/>
        <w:bottom w:val="none" w:sz="0" w:space="0" w:color="auto"/>
        <w:right w:val="none" w:sz="0" w:space="0" w:color="auto"/>
      </w:divBdr>
    </w:div>
    <w:div w:id="1422677650">
      <w:bodyDiv w:val="1"/>
      <w:marLeft w:val="0"/>
      <w:marRight w:val="0"/>
      <w:marTop w:val="0"/>
      <w:marBottom w:val="0"/>
      <w:divBdr>
        <w:top w:val="none" w:sz="0" w:space="0" w:color="auto"/>
        <w:left w:val="none" w:sz="0" w:space="0" w:color="auto"/>
        <w:bottom w:val="none" w:sz="0" w:space="0" w:color="auto"/>
        <w:right w:val="none" w:sz="0" w:space="0" w:color="auto"/>
      </w:divBdr>
    </w:div>
    <w:div w:id="1461531867">
      <w:bodyDiv w:val="1"/>
      <w:marLeft w:val="0"/>
      <w:marRight w:val="0"/>
      <w:marTop w:val="0"/>
      <w:marBottom w:val="0"/>
      <w:divBdr>
        <w:top w:val="none" w:sz="0" w:space="0" w:color="auto"/>
        <w:left w:val="none" w:sz="0" w:space="0" w:color="auto"/>
        <w:bottom w:val="none" w:sz="0" w:space="0" w:color="auto"/>
        <w:right w:val="none" w:sz="0" w:space="0" w:color="auto"/>
      </w:divBdr>
    </w:div>
    <w:div w:id="1476413924">
      <w:bodyDiv w:val="1"/>
      <w:marLeft w:val="0"/>
      <w:marRight w:val="0"/>
      <w:marTop w:val="0"/>
      <w:marBottom w:val="0"/>
      <w:divBdr>
        <w:top w:val="none" w:sz="0" w:space="0" w:color="auto"/>
        <w:left w:val="none" w:sz="0" w:space="0" w:color="auto"/>
        <w:bottom w:val="none" w:sz="0" w:space="0" w:color="auto"/>
        <w:right w:val="none" w:sz="0" w:space="0" w:color="auto"/>
      </w:divBdr>
    </w:div>
    <w:div w:id="1499269554">
      <w:bodyDiv w:val="1"/>
      <w:marLeft w:val="0"/>
      <w:marRight w:val="0"/>
      <w:marTop w:val="0"/>
      <w:marBottom w:val="0"/>
      <w:divBdr>
        <w:top w:val="none" w:sz="0" w:space="0" w:color="auto"/>
        <w:left w:val="none" w:sz="0" w:space="0" w:color="auto"/>
        <w:bottom w:val="none" w:sz="0" w:space="0" w:color="auto"/>
        <w:right w:val="none" w:sz="0" w:space="0" w:color="auto"/>
      </w:divBdr>
    </w:div>
    <w:div w:id="1509561773">
      <w:bodyDiv w:val="1"/>
      <w:marLeft w:val="0"/>
      <w:marRight w:val="0"/>
      <w:marTop w:val="0"/>
      <w:marBottom w:val="0"/>
      <w:divBdr>
        <w:top w:val="none" w:sz="0" w:space="0" w:color="auto"/>
        <w:left w:val="none" w:sz="0" w:space="0" w:color="auto"/>
        <w:bottom w:val="none" w:sz="0" w:space="0" w:color="auto"/>
        <w:right w:val="none" w:sz="0" w:space="0" w:color="auto"/>
      </w:divBdr>
    </w:div>
    <w:div w:id="1533179546">
      <w:bodyDiv w:val="1"/>
      <w:marLeft w:val="0"/>
      <w:marRight w:val="0"/>
      <w:marTop w:val="0"/>
      <w:marBottom w:val="0"/>
      <w:divBdr>
        <w:top w:val="none" w:sz="0" w:space="0" w:color="auto"/>
        <w:left w:val="none" w:sz="0" w:space="0" w:color="auto"/>
        <w:bottom w:val="none" w:sz="0" w:space="0" w:color="auto"/>
        <w:right w:val="none" w:sz="0" w:space="0" w:color="auto"/>
      </w:divBdr>
    </w:div>
    <w:div w:id="1537305253">
      <w:bodyDiv w:val="1"/>
      <w:marLeft w:val="0"/>
      <w:marRight w:val="0"/>
      <w:marTop w:val="0"/>
      <w:marBottom w:val="0"/>
      <w:divBdr>
        <w:top w:val="none" w:sz="0" w:space="0" w:color="auto"/>
        <w:left w:val="none" w:sz="0" w:space="0" w:color="auto"/>
        <w:bottom w:val="none" w:sz="0" w:space="0" w:color="auto"/>
        <w:right w:val="none" w:sz="0" w:space="0" w:color="auto"/>
      </w:divBdr>
    </w:div>
    <w:div w:id="1576014242">
      <w:bodyDiv w:val="1"/>
      <w:marLeft w:val="0"/>
      <w:marRight w:val="0"/>
      <w:marTop w:val="0"/>
      <w:marBottom w:val="0"/>
      <w:divBdr>
        <w:top w:val="none" w:sz="0" w:space="0" w:color="auto"/>
        <w:left w:val="none" w:sz="0" w:space="0" w:color="auto"/>
        <w:bottom w:val="none" w:sz="0" w:space="0" w:color="auto"/>
        <w:right w:val="none" w:sz="0" w:space="0" w:color="auto"/>
      </w:divBdr>
    </w:div>
    <w:div w:id="1585452259">
      <w:bodyDiv w:val="1"/>
      <w:marLeft w:val="0"/>
      <w:marRight w:val="0"/>
      <w:marTop w:val="0"/>
      <w:marBottom w:val="0"/>
      <w:divBdr>
        <w:top w:val="none" w:sz="0" w:space="0" w:color="auto"/>
        <w:left w:val="none" w:sz="0" w:space="0" w:color="auto"/>
        <w:bottom w:val="none" w:sz="0" w:space="0" w:color="auto"/>
        <w:right w:val="none" w:sz="0" w:space="0" w:color="auto"/>
      </w:divBdr>
    </w:div>
    <w:div w:id="1588344734">
      <w:bodyDiv w:val="1"/>
      <w:marLeft w:val="0"/>
      <w:marRight w:val="0"/>
      <w:marTop w:val="0"/>
      <w:marBottom w:val="0"/>
      <w:divBdr>
        <w:top w:val="none" w:sz="0" w:space="0" w:color="auto"/>
        <w:left w:val="none" w:sz="0" w:space="0" w:color="auto"/>
        <w:bottom w:val="none" w:sz="0" w:space="0" w:color="auto"/>
        <w:right w:val="none" w:sz="0" w:space="0" w:color="auto"/>
      </w:divBdr>
    </w:div>
    <w:div w:id="1604728539">
      <w:bodyDiv w:val="1"/>
      <w:marLeft w:val="0"/>
      <w:marRight w:val="0"/>
      <w:marTop w:val="0"/>
      <w:marBottom w:val="0"/>
      <w:divBdr>
        <w:top w:val="none" w:sz="0" w:space="0" w:color="auto"/>
        <w:left w:val="none" w:sz="0" w:space="0" w:color="auto"/>
        <w:bottom w:val="none" w:sz="0" w:space="0" w:color="auto"/>
        <w:right w:val="none" w:sz="0" w:space="0" w:color="auto"/>
      </w:divBdr>
    </w:div>
    <w:div w:id="1606420090">
      <w:bodyDiv w:val="1"/>
      <w:marLeft w:val="0"/>
      <w:marRight w:val="0"/>
      <w:marTop w:val="0"/>
      <w:marBottom w:val="0"/>
      <w:divBdr>
        <w:top w:val="none" w:sz="0" w:space="0" w:color="auto"/>
        <w:left w:val="none" w:sz="0" w:space="0" w:color="auto"/>
        <w:bottom w:val="none" w:sz="0" w:space="0" w:color="auto"/>
        <w:right w:val="none" w:sz="0" w:space="0" w:color="auto"/>
      </w:divBdr>
    </w:div>
    <w:div w:id="1619605373">
      <w:bodyDiv w:val="1"/>
      <w:marLeft w:val="0"/>
      <w:marRight w:val="0"/>
      <w:marTop w:val="0"/>
      <w:marBottom w:val="0"/>
      <w:divBdr>
        <w:top w:val="none" w:sz="0" w:space="0" w:color="auto"/>
        <w:left w:val="none" w:sz="0" w:space="0" w:color="auto"/>
        <w:bottom w:val="none" w:sz="0" w:space="0" w:color="auto"/>
        <w:right w:val="none" w:sz="0" w:space="0" w:color="auto"/>
      </w:divBdr>
    </w:div>
    <w:div w:id="1629697317">
      <w:bodyDiv w:val="1"/>
      <w:marLeft w:val="0"/>
      <w:marRight w:val="0"/>
      <w:marTop w:val="0"/>
      <w:marBottom w:val="0"/>
      <w:divBdr>
        <w:top w:val="none" w:sz="0" w:space="0" w:color="auto"/>
        <w:left w:val="none" w:sz="0" w:space="0" w:color="auto"/>
        <w:bottom w:val="none" w:sz="0" w:space="0" w:color="auto"/>
        <w:right w:val="none" w:sz="0" w:space="0" w:color="auto"/>
      </w:divBdr>
    </w:div>
    <w:div w:id="1652519978">
      <w:bodyDiv w:val="1"/>
      <w:marLeft w:val="0"/>
      <w:marRight w:val="0"/>
      <w:marTop w:val="0"/>
      <w:marBottom w:val="0"/>
      <w:divBdr>
        <w:top w:val="none" w:sz="0" w:space="0" w:color="auto"/>
        <w:left w:val="none" w:sz="0" w:space="0" w:color="auto"/>
        <w:bottom w:val="none" w:sz="0" w:space="0" w:color="auto"/>
        <w:right w:val="none" w:sz="0" w:space="0" w:color="auto"/>
      </w:divBdr>
    </w:div>
    <w:div w:id="1659924527">
      <w:bodyDiv w:val="1"/>
      <w:marLeft w:val="0"/>
      <w:marRight w:val="0"/>
      <w:marTop w:val="0"/>
      <w:marBottom w:val="0"/>
      <w:divBdr>
        <w:top w:val="none" w:sz="0" w:space="0" w:color="auto"/>
        <w:left w:val="none" w:sz="0" w:space="0" w:color="auto"/>
        <w:bottom w:val="none" w:sz="0" w:space="0" w:color="auto"/>
        <w:right w:val="none" w:sz="0" w:space="0" w:color="auto"/>
      </w:divBdr>
    </w:div>
    <w:div w:id="1676493580">
      <w:bodyDiv w:val="1"/>
      <w:marLeft w:val="0"/>
      <w:marRight w:val="0"/>
      <w:marTop w:val="0"/>
      <w:marBottom w:val="0"/>
      <w:divBdr>
        <w:top w:val="none" w:sz="0" w:space="0" w:color="auto"/>
        <w:left w:val="none" w:sz="0" w:space="0" w:color="auto"/>
        <w:bottom w:val="none" w:sz="0" w:space="0" w:color="auto"/>
        <w:right w:val="none" w:sz="0" w:space="0" w:color="auto"/>
      </w:divBdr>
    </w:div>
    <w:div w:id="1693726683">
      <w:bodyDiv w:val="1"/>
      <w:marLeft w:val="0"/>
      <w:marRight w:val="0"/>
      <w:marTop w:val="0"/>
      <w:marBottom w:val="0"/>
      <w:divBdr>
        <w:top w:val="none" w:sz="0" w:space="0" w:color="auto"/>
        <w:left w:val="none" w:sz="0" w:space="0" w:color="auto"/>
        <w:bottom w:val="none" w:sz="0" w:space="0" w:color="auto"/>
        <w:right w:val="none" w:sz="0" w:space="0" w:color="auto"/>
      </w:divBdr>
    </w:div>
    <w:div w:id="1740907214">
      <w:bodyDiv w:val="1"/>
      <w:marLeft w:val="0"/>
      <w:marRight w:val="0"/>
      <w:marTop w:val="0"/>
      <w:marBottom w:val="0"/>
      <w:divBdr>
        <w:top w:val="none" w:sz="0" w:space="0" w:color="auto"/>
        <w:left w:val="none" w:sz="0" w:space="0" w:color="auto"/>
        <w:bottom w:val="none" w:sz="0" w:space="0" w:color="auto"/>
        <w:right w:val="none" w:sz="0" w:space="0" w:color="auto"/>
      </w:divBdr>
    </w:div>
    <w:div w:id="1744334951">
      <w:bodyDiv w:val="1"/>
      <w:marLeft w:val="0"/>
      <w:marRight w:val="0"/>
      <w:marTop w:val="0"/>
      <w:marBottom w:val="0"/>
      <w:divBdr>
        <w:top w:val="none" w:sz="0" w:space="0" w:color="auto"/>
        <w:left w:val="none" w:sz="0" w:space="0" w:color="auto"/>
        <w:bottom w:val="none" w:sz="0" w:space="0" w:color="auto"/>
        <w:right w:val="none" w:sz="0" w:space="0" w:color="auto"/>
      </w:divBdr>
    </w:div>
    <w:div w:id="1758861080">
      <w:bodyDiv w:val="1"/>
      <w:marLeft w:val="0"/>
      <w:marRight w:val="0"/>
      <w:marTop w:val="0"/>
      <w:marBottom w:val="0"/>
      <w:divBdr>
        <w:top w:val="none" w:sz="0" w:space="0" w:color="auto"/>
        <w:left w:val="none" w:sz="0" w:space="0" w:color="auto"/>
        <w:bottom w:val="none" w:sz="0" w:space="0" w:color="auto"/>
        <w:right w:val="none" w:sz="0" w:space="0" w:color="auto"/>
      </w:divBdr>
    </w:div>
    <w:div w:id="1766917071">
      <w:bodyDiv w:val="1"/>
      <w:marLeft w:val="0"/>
      <w:marRight w:val="0"/>
      <w:marTop w:val="0"/>
      <w:marBottom w:val="0"/>
      <w:divBdr>
        <w:top w:val="none" w:sz="0" w:space="0" w:color="auto"/>
        <w:left w:val="none" w:sz="0" w:space="0" w:color="auto"/>
        <w:bottom w:val="none" w:sz="0" w:space="0" w:color="auto"/>
        <w:right w:val="none" w:sz="0" w:space="0" w:color="auto"/>
      </w:divBdr>
    </w:div>
    <w:div w:id="1771318528">
      <w:bodyDiv w:val="1"/>
      <w:marLeft w:val="0"/>
      <w:marRight w:val="0"/>
      <w:marTop w:val="0"/>
      <w:marBottom w:val="0"/>
      <w:divBdr>
        <w:top w:val="none" w:sz="0" w:space="0" w:color="auto"/>
        <w:left w:val="none" w:sz="0" w:space="0" w:color="auto"/>
        <w:bottom w:val="none" w:sz="0" w:space="0" w:color="auto"/>
        <w:right w:val="none" w:sz="0" w:space="0" w:color="auto"/>
      </w:divBdr>
    </w:div>
    <w:div w:id="1811358594">
      <w:bodyDiv w:val="1"/>
      <w:marLeft w:val="0"/>
      <w:marRight w:val="0"/>
      <w:marTop w:val="0"/>
      <w:marBottom w:val="0"/>
      <w:divBdr>
        <w:top w:val="none" w:sz="0" w:space="0" w:color="auto"/>
        <w:left w:val="none" w:sz="0" w:space="0" w:color="auto"/>
        <w:bottom w:val="none" w:sz="0" w:space="0" w:color="auto"/>
        <w:right w:val="none" w:sz="0" w:space="0" w:color="auto"/>
      </w:divBdr>
    </w:div>
    <w:div w:id="1816751666">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24005050">
      <w:bodyDiv w:val="1"/>
      <w:marLeft w:val="0"/>
      <w:marRight w:val="0"/>
      <w:marTop w:val="0"/>
      <w:marBottom w:val="0"/>
      <w:divBdr>
        <w:top w:val="none" w:sz="0" w:space="0" w:color="auto"/>
        <w:left w:val="none" w:sz="0" w:space="0" w:color="auto"/>
        <w:bottom w:val="none" w:sz="0" w:space="0" w:color="auto"/>
        <w:right w:val="none" w:sz="0" w:space="0" w:color="auto"/>
      </w:divBdr>
    </w:div>
    <w:div w:id="1827240169">
      <w:bodyDiv w:val="1"/>
      <w:marLeft w:val="0"/>
      <w:marRight w:val="0"/>
      <w:marTop w:val="0"/>
      <w:marBottom w:val="0"/>
      <w:divBdr>
        <w:top w:val="none" w:sz="0" w:space="0" w:color="auto"/>
        <w:left w:val="none" w:sz="0" w:space="0" w:color="auto"/>
        <w:bottom w:val="none" w:sz="0" w:space="0" w:color="auto"/>
        <w:right w:val="none" w:sz="0" w:space="0" w:color="auto"/>
      </w:divBdr>
    </w:div>
    <w:div w:id="1851941684">
      <w:bodyDiv w:val="1"/>
      <w:marLeft w:val="0"/>
      <w:marRight w:val="0"/>
      <w:marTop w:val="0"/>
      <w:marBottom w:val="0"/>
      <w:divBdr>
        <w:top w:val="none" w:sz="0" w:space="0" w:color="auto"/>
        <w:left w:val="none" w:sz="0" w:space="0" w:color="auto"/>
        <w:bottom w:val="none" w:sz="0" w:space="0" w:color="auto"/>
        <w:right w:val="none" w:sz="0" w:space="0" w:color="auto"/>
      </w:divBdr>
    </w:div>
    <w:div w:id="1855534941">
      <w:bodyDiv w:val="1"/>
      <w:marLeft w:val="0"/>
      <w:marRight w:val="0"/>
      <w:marTop w:val="0"/>
      <w:marBottom w:val="0"/>
      <w:divBdr>
        <w:top w:val="none" w:sz="0" w:space="0" w:color="auto"/>
        <w:left w:val="none" w:sz="0" w:space="0" w:color="auto"/>
        <w:bottom w:val="none" w:sz="0" w:space="0" w:color="auto"/>
        <w:right w:val="none" w:sz="0" w:space="0" w:color="auto"/>
      </w:divBdr>
    </w:div>
    <w:div w:id="1855804349">
      <w:bodyDiv w:val="1"/>
      <w:marLeft w:val="0"/>
      <w:marRight w:val="0"/>
      <w:marTop w:val="0"/>
      <w:marBottom w:val="0"/>
      <w:divBdr>
        <w:top w:val="none" w:sz="0" w:space="0" w:color="auto"/>
        <w:left w:val="none" w:sz="0" w:space="0" w:color="auto"/>
        <w:bottom w:val="none" w:sz="0" w:space="0" w:color="auto"/>
        <w:right w:val="none" w:sz="0" w:space="0" w:color="auto"/>
      </w:divBdr>
    </w:div>
    <w:div w:id="1860318653">
      <w:bodyDiv w:val="1"/>
      <w:marLeft w:val="0"/>
      <w:marRight w:val="0"/>
      <w:marTop w:val="0"/>
      <w:marBottom w:val="0"/>
      <w:divBdr>
        <w:top w:val="none" w:sz="0" w:space="0" w:color="auto"/>
        <w:left w:val="none" w:sz="0" w:space="0" w:color="auto"/>
        <w:bottom w:val="none" w:sz="0" w:space="0" w:color="auto"/>
        <w:right w:val="none" w:sz="0" w:space="0" w:color="auto"/>
      </w:divBdr>
    </w:div>
    <w:div w:id="1863593765">
      <w:bodyDiv w:val="1"/>
      <w:marLeft w:val="0"/>
      <w:marRight w:val="0"/>
      <w:marTop w:val="0"/>
      <w:marBottom w:val="0"/>
      <w:divBdr>
        <w:top w:val="none" w:sz="0" w:space="0" w:color="auto"/>
        <w:left w:val="none" w:sz="0" w:space="0" w:color="auto"/>
        <w:bottom w:val="none" w:sz="0" w:space="0" w:color="auto"/>
        <w:right w:val="none" w:sz="0" w:space="0" w:color="auto"/>
      </w:divBdr>
    </w:div>
    <w:div w:id="1863594376">
      <w:bodyDiv w:val="1"/>
      <w:marLeft w:val="0"/>
      <w:marRight w:val="0"/>
      <w:marTop w:val="0"/>
      <w:marBottom w:val="0"/>
      <w:divBdr>
        <w:top w:val="none" w:sz="0" w:space="0" w:color="auto"/>
        <w:left w:val="none" w:sz="0" w:space="0" w:color="auto"/>
        <w:bottom w:val="none" w:sz="0" w:space="0" w:color="auto"/>
        <w:right w:val="none" w:sz="0" w:space="0" w:color="auto"/>
      </w:divBdr>
    </w:div>
    <w:div w:id="1881091570">
      <w:bodyDiv w:val="1"/>
      <w:marLeft w:val="0"/>
      <w:marRight w:val="0"/>
      <w:marTop w:val="0"/>
      <w:marBottom w:val="0"/>
      <w:divBdr>
        <w:top w:val="none" w:sz="0" w:space="0" w:color="auto"/>
        <w:left w:val="none" w:sz="0" w:space="0" w:color="auto"/>
        <w:bottom w:val="none" w:sz="0" w:space="0" w:color="auto"/>
        <w:right w:val="none" w:sz="0" w:space="0" w:color="auto"/>
      </w:divBdr>
    </w:div>
    <w:div w:id="1899241341">
      <w:bodyDiv w:val="1"/>
      <w:marLeft w:val="0"/>
      <w:marRight w:val="0"/>
      <w:marTop w:val="0"/>
      <w:marBottom w:val="0"/>
      <w:divBdr>
        <w:top w:val="none" w:sz="0" w:space="0" w:color="auto"/>
        <w:left w:val="none" w:sz="0" w:space="0" w:color="auto"/>
        <w:bottom w:val="none" w:sz="0" w:space="0" w:color="auto"/>
        <w:right w:val="none" w:sz="0" w:space="0" w:color="auto"/>
      </w:divBdr>
    </w:div>
    <w:div w:id="1905337279">
      <w:bodyDiv w:val="1"/>
      <w:marLeft w:val="0"/>
      <w:marRight w:val="0"/>
      <w:marTop w:val="0"/>
      <w:marBottom w:val="0"/>
      <w:divBdr>
        <w:top w:val="none" w:sz="0" w:space="0" w:color="auto"/>
        <w:left w:val="none" w:sz="0" w:space="0" w:color="auto"/>
        <w:bottom w:val="none" w:sz="0" w:space="0" w:color="auto"/>
        <w:right w:val="none" w:sz="0" w:space="0" w:color="auto"/>
      </w:divBdr>
    </w:div>
    <w:div w:id="1926109949">
      <w:bodyDiv w:val="1"/>
      <w:marLeft w:val="0"/>
      <w:marRight w:val="0"/>
      <w:marTop w:val="0"/>
      <w:marBottom w:val="0"/>
      <w:divBdr>
        <w:top w:val="none" w:sz="0" w:space="0" w:color="auto"/>
        <w:left w:val="none" w:sz="0" w:space="0" w:color="auto"/>
        <w:bottom w:val="none" w:sz="0" w:space="0" w:color="auto"/>
        <w:right w:val="none" w:sz="0" w:space="0" w:color="auto"/>
      </w:divBdr>
    </w:div>
    <w:div w:id="1935672066">
      <w:bodyDiv w:val="1"/>
      <w:marLeft w:val="0"/>
      <w:marRight w:val="0"/>
      <w:marTop w:val="0"/>
      <w:marBottom w:val="0"/>
      <w:divBdr>
        <w:top w:val="none" w:sz="0" w:space="0" w:color="auto"/>
        <w:left w:val="none" w:sz="0" w:space="0" w:color="auto"/>
        <w:bottom w:val="none" w:sz="0" w:space="0" w:color="auto"/>
        <w:right w:val="none" w:sz="0" w:space="0" w:color="auto"/>
      </w:divBdr>
    </w:div>
    <w:div w:id="1950620678">
      <w:bodyDiv w:val="1"/>
      <w:marLeft w:val="0"/>
      <w:marRight w:val="0"/>
      <w:marTop w:val="0"/>
      <w:marBottom w:val="0"/>
      <w:divBdr>
        <w:top w:val="none" w:sz="0" w:space="0" w:color="auto"/>
        <w:left w:val="none" w:sz="0" w:space="0" w:color="auto"/>
        <w:bottom w:val="none" w:sz="0" w:space="0" w:color="auto"/>
        <w:right w:val="none" w:sz="0" w:space="0" w:color="auto"/>
      </w:divBdr>
    </w:div>
    <w:div w:id="1952205580">
      <w:bodyDiv w:val="1"/>
      <w:marLeft w:val="0"/>
      <w:marRight w:val="0"/>
      <w:marTop w:val="0"/>
      <w:marBottom w:val="0"/>
      <w:divBdr>
        <w:top w:val="none" w:sz="0" w:space="0" w:color="auto"/>
        <w:left w:val="none" w:sz="0" w:space="0" w:color="auto"/>
        <w:bottom w:val="none" w:sz="0" w:space="0" w:color="auto"/>
        <w:right w:val="none" w:sz="0" w:space="0" w:color="auto"/>
      </w:divBdr>
    </w:div>
    <w:div w:id="1989237476">
      <w:bodyDiv w:val="1"/>
      <w:marLeft w:val="0"/>
      <w:marRight w:val="0"/>
      <w:marTop w:val="0"/>
      <w:marBottom w:val="0"/>
      <w:divBdr>
        <w:top w:val="none" w:sz="0" w:space="0" w:color="auto"/>
        <w:left w:val="none" w:sz="0" w:space="0" w:color="auto"/>
        <w:bottom w:val="none" w:sz="0" w:space="0" w:color="auto"/>
        <w:right w:val="none" w:sz="0" w:space="0" w:color="auto"/>
      </w:divBdr>
    </w:div>
    <w:div w:id="2016568957">
      <w:bodyDiv w:val="1"/>
      <w:marLeft w:val="0"/>
      <w:marRight w:val="0"/>
      <w:marTop w:val="0"/>
      <w:marBottom w:val="0"/>
      <w:divBdr>
        <w:top w:val="none" w:sz="0" w:space="0" w:color="auto"/>
        <w:left w:val="none" w:sz="0" w:space="0" w:color="auto"/>
        <w:bottom w:val="none" w:sz="0" w:space="0" w:color="auto"/>
        <w:right w:val="none" w:sz="0" w:space="0" w:color="auto"/>
      </w:divBdr>
    </w:div>
    <w:div w:id="2017615960">
      <w:bodyDiv w:val="1"/>
      <w:marLeft w:val="0"/>
      <w:marRight w:val="0"/>
      <w:marTop w:val="0"/>
      <w:marBottom w:val="0"/>
      <w:divBdr>
        <w:top w:val="none" w:sz="0" w:space="0" w:color="auto"/>
        <w:left w:val="none" w:sz="0" w:space="0" w:color="auto"/>
        <w:bottom w:val="none" w:sz="0" w:space="0" w:color="auto"/>
        <w:right w:val="none" w:sz="0" w:space="0" w:color="auto"/>
      </w:divBdr>
    </w:div>
    <w:div w:id="2020884512">
      <w:bodyDiv w:val="1"/>
      <w:marLeft w:val="0"/>
      <w:marRight w:val="0"/>
      <w:marTop w:val="0"/>
      <w:marBottom w:val="0"/>
      <w:divBdr>
        <w:top w:val="none" w:sz="0" w:space="0" w:color="auto"/>
        <w:left w:val="none" w:sz="0" w:space="0" w:color="auto"/>
        <w:bottom w:val="none" w:sz="0" w:space="0" w:color="auto"/>
        <w:right w:val="none" w:sz="0" w:space="0" w:color="auto"/>
      </w:divBdr>
      <w:divsChild>
        <w:div w:id="905142742">
          <w:marLeft w:val="446"/>
          <w:marRight w:val="0"/>
          <w:marTop w:val="120"/>
          <w:marBottom w:val="0"/>
          <w:divBdr>
            <w:top w:val="none" w:sz="0" w:space="0" w:color="auto"/>
            <w:left w:val="none" w:sz="0" w:space="0" w:color="auto"/>
            <w:bottom w:val="none" w:sz="0" w:space="0" w:color="auto"/>
            <w:right w:val="none" w:sz="0" w:space="0" w:color="auto"/>
          </w:divBdr>
        </w:div>
      </w:divsChild>
    </w:div>
    <w:div w:id="2061703457">
      <w:bodyDiv w:val="1"/>
      <w:marLeft w:val="0"/>
      <w:marRight w:val="0"/>
      <w:marTop w:val="0"/>
      <w:marBottom w:val="0"/>
      <w:divBdr>
        <w:top w:val="none" w:sz="0" w:space="0" w:color="auto"/>
        <w:left w:val="none" w:sz="0" w:space="0" w:color="auto"/>
        <w:bottom w:val="none" w:sz="0" w:space="0" w:color="auto"/>
        <w:right w:val="none" w:sz="0" w:space="0" w:color="auto"/>
      </w:divBdr>
    </w:div>
    <w:div w:id="2069450141">
      <w:bodyDiv w:val="1"/>
      <w:marLeft w:val="0"/>
      <w:marRight w:val="0"/>
      <w:marTop w:val="0"/>
      <w:marBottom w:val="0"/>
      <w:divBdr>
        <w:top w:val="none" w:sz="0" w:space="0" w:color="auto"/>
        <w:left w:val="none" w:sz="0" w:space="0" w:color="auto"/>
        <w:bottom w:val="none" w:sz="0" w:space="0" w:color="auto"/>
        <w:right w:val="none" w:sz="0" w:space="0" w:color="auto"/>
      </w:divBdr>
    </w:div>
    <w:div w:id="2093962342">
      <w:bodyDiv w:val="1"/>
      <w:marLeft w:val="0"/>
      <w:marRight w:val="0"/>
      <w:marTop w:val="0"/>
      <w:marBottom w:val="0"/>
      <w:divBdr>
        <w:top w:val="none" w:sz="0" w:space="0" w:color="auto"/>
        <w:left w:val="none" w:sz="0" w:space="0" w:color="auto"/>
        <w:bottom w:val="none" w:sz="0" w:space="0" w:color="auto"/>
        <w:right w:val="none" w:sz="0" w:space="0" w:color="auto"/>
      </w:divBdr>
    </w:div>
    <w:div w:id="21300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yperlink" Target="http://goo.gl/gO3Ngd" TargetMode="External"/><Relationship Id="rId5" Type="http://schemas.openxmlformats.org/officeDocument/2006/relationships/webSettings" Target="webSettings.xml"/><Relationship Id="rId15" Type="http://schemas.openxmlformats.org/officeDocument/2006/relationships/hyperlink" Target="http://ec.europa.eu/economy_finance/db_indicators/fiscal_governance/fiscal_rules/index_en.htm" TargetMode="Externa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49" Type="http://schemas.openxmlformats.org/officeDocument/2006/relationships/chart" Target="charts/chart35.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www.finance.gov.sk/Default.aspx?CatID=11228" TargetMode="Externa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4.xm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787/888932907756" TargetMode="External"/><Relationship Id="rId3" Type="http://schemas.openxmlformats.org/officeDocument/2006/relationships/hyperlink" Target="http://www.informatizacia.sk/strategicke-priority-erf/24190c" TargetMode="External"/><Relationship Id="rId7" Type="http://schemas.openxmlformats.org/officeDocument/2006/relationships/hyperlink" Target="http://www.oecd.org/pensions/public-pensions/OECDPensionsAtAGlance2013.pdf" TargetMode="External"/><Relationship Id="rId2" Type="http://schemas.openxmlformats.org/officeDocument/2006/relationships/hyperlink" Target="https://www.mpsvr.sk/files/slovensky/apdn_06122016_sk_final.pdf" TargetMode="External"/><Relationship Id="rId1" Type="http://schemas.openxmlformats.org/officeDocument/2006/relationships/hyperlink" Target="http://www.finance.gov.sk/Default.aspx?CatID=5947" TargetMode="External"/><Relationship Id="rId6" Type="http://schemas.openxmlformats.org/officeDocument/2006/relationships/hyperlink" Target="https://slovak.statistics.sk/wps/portal/ext/products/informationmessages/inf_sprava_detail/45128efc-214d-4a4e-801d-680191835b10/!ut/p/b1/hZLZlqIwEIafZR7AptgELgEx0CbIGoUbjrSKbA2OsujTj73MheMZO3c5-b5U_UkxMbNm4vdNn2ebc968b6qPfTxNXMmSNY1VATTMg_W68G1Tn3MoFG9AdAPgP0uFe1-2PQOsQHWQ9yqwIPz1nwAf_tx3OFURkD7zlvPbsc7JPp5yAOy3ryPVFCQMIGMkgqWaoae4PA8q_-lT7Hxdv_RDFSzbs0QdazzCf-s_KXDnyyZhwZpjhzpGwHoUvv0nwH3-ha7f6ovBTKQ276jwkP8BuPdFCW7HfghAffDh0X8Afsi_YtZFNGqzhmSGQZ2Bx3ph0Fl15ZB00FAbRuUsN0clD5Us7hP5kPZTqBynpW92AUcHbUck5x1ZpFWviuuoBFLmyjoVKO2WF7s97pdytzhYo6MuiZ2VrkXSrVKuE5Yc7fO4zU9m9Tuv-6SMFCdvnN2VlweiuZ45_fdtH5v_YTZXTPyJPJuOT-DZ-P40gPF9F8gM5VuTGiCkYBZ06V_g8Ydss6l3THTDpP-mYSUmYNYgJH5xaa1refWKqzvagX_xDRazRXixjXfPDkvwtyuWzDQCQTgr2w2anza1H0Vo8rte5k2jFn0batmvX8wrE-dp_TK81S_wIskS8JIkC5ygTEWeZ2gRidhorMFQqUPkzs2jxVw6j5KKXD6jmlsacmWJSYquoNXKtmcvkE68aTwMxH2zOy46L7gpHub8ks-NWrf6bH_Ko9qJVFWSlEyoOj6R9CF1F3JQ-NjOXkm6x4EBkyPxddPfZXp32etvK5oew7Y7GOOWKsdFCU22ob7S7XaTY1_Fmya4rk9jvR3qQz7LmgnJudiUWLLeaJZ9KjnDSnJ6Waah0lb7gEvOHb4qwy1_W4dfq8dTz_Bke0_UPxCrZ1c!/dl4/d5/L2dBISEvZ0FBIS9nQSEh/" TargetMode="External"/><Relationship Id="rId11" Type="http://schemas.openxmlformats.org/officeDocument/2006/relationships/hyperlink" Target="https://ec.europa.eu/info/publications/2017-european-semester-country-reports_en" TargetMode="External"/><Relationship Id="rId5" Type="http://schemas.openxmlformats.org/officeDocument/2006/relationships/hyperlink" Target="http://www.eurasia.undp.org/content/rbec/en/home/ourwork/sustainable-development/development-planning-and-inclusive-sustainable-growth/roma-in-central-and-southeast-europe/roma-data.html" TargetMode="External"/><Relationship Id="rId10" Type="http://schemas.openxmlformats.org/officeDocument/2006/relationships/hyperlink" Target="http://www.partnerskadohoda.gov.sk/hodnotenie-esif/" TargetMode="External"/><Relationship Id="rId4" Type="http://schemas.openxmlformats.org/officeDocument/2006/relationships/hyperlink" Target="http://www.errc.org/cms/upload/file/report-lesson-in-discrimination-slovak.pdf" TargetMode="External"/><Relationship Id="rId9" Type="http://schemas.openxmlformats.org/officeDocument/2006/relationships/hyperlink" Target="https://www.imf.org/external/pubs/ft/sdn/2016/sdn1605.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4.xml"/><Relationship Id="rId4"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7_NPR\!Data_a_grafy\NPR%202017%20grafy%20doprava.xlsx" TargetMode="External"/><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2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2.xml"/></Relationships>
</file>

<file path=word/charts/_rels/chart2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3.xml"/></Relationships>
</file>

<file path=word/charts/_rels/chart2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4.xml"/></Relationships>
</file>

<file path=word/charts/_rels/chart2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7.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NULL" TargetMode="External"/></Relationships>
</file>

<file path=word/charts/_rels/chart3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9.xml"/></Relationships>
</file>

<file path=word/charts/_rels/chart3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0.xml"/></Relationships>
</file>

<file path=word/charts/_rels/chart3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1.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zlaffersova\Documents\04_NPR\_skolstvo%202017\2017\NPR%202017%20grafy%20skolstvo.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91336930105958991"/>
          <c:h val="0.4896897954869735"/>
        </c:manualLayout>
      </c:layout>
      <c:barChart>
        <c:barDir val="col"/>
        <c:grouping val="clustered"/>
        <c:varyColors val="0"/>
        <c:ser>
          <c:idx val="0"/>
          <c:order val="0"/>
          <c:spPr>
            <a:solidFill>
              <a:srgbClr val="2C9ADC"/>
            </a:solidFill>
          </c:spPr>
          <c:invertIfNegative val="0"/>
          <c:cat>
            <c:strRef>
              <c:f>'Tabuľky a grafy'!$A$90:$A$101</c:f>
              <c:strCache>
                <c:ptCount val="12"/>
                <c:pt idx="0">
                  <c:v>Základné školstvo </c:v>
                </c:pt>
                <c:pt idx="1">
                  <c:v>Trh práce</c:v>
                </c:pt>
                <c:pt idx="2">
                  <c:v>Zdravie</c:v>
                </c:pt>
                <c:pt idx="3">
                  <c:v>Kvalita výskumu a VŠ</c:v>
                </c:pt>
                <c:pt idx="4">
                  <c:v>Environmentálna udržateľnosť</c:v>
                </c:pt>
                <c:pt idx="5">
                  <c:v>Doprava</c:v>
                </c:pt>
                <c:pt idx="6">
                  <c:v>Príjem a bohatstvo</c:v>
                </c:pt>
                <c:pt idx="7">
                  <c:v>Bezpečnosť</c:v>
                </c:pt>
                <c:pt idx="8">
                  <c:v>Inovačná výkonnosť</c:v>
                </c:pt>
                <c:pt idx="9">
                  <c:v>Podnikateľské prostredie</c:v>
                </c:pt>
                <c:pt idx="10">
                  <c:v>Fiškálna udržateľnosť</c:v>
                </c:pt>
                <c:pt idx="11">
                  <c:v>Sociálna udržateľnosť</c:v>
                </c:pt>
              </c:strCache>
            </c:strRef>
          </c:cat>
          <c:val>
            <c:numRef>
              <c:f>'Tabuľky a grafy'!$B$90:$B$101</c:f>
              <c:numCache>
                <c:formatCode>0.00</c:formatCode>
                <c:ptCount val="12"/>
                <c:pt idx="0">
                  <c:v>-1.1178533993257116</c:v>
                </c:pt>
                <c:pt idx="1">
                  <c:v>-0.85717972546279464</c:v>
                </c:pt>
                <c:pt idx="2">
                  <c:v>-0.76</c:v>
                </c:pt>
                <c:pt idx="3">
                  <c:v>-0.74302525579964984</c:v>
                </c:pt>
                <c:pt idx="4">
                  <c:v>-0.62</c:v>
                </c:pt>
                <c:pt idx="5">
                  <c:v>-0.58904415408244826</c:v>
                </c:pt>
                <c:pt idx="6">
                  <c:v>-0.50300377914099514</c:v>
                </c:pt>
                <c:pt idx="7">
                  <c:v>-0.43636195405379341</c:v>
                </c:pt>
                <c:pt idx="8">
                  <c:v>-0.39753545523366157</c:v>
                </c:pt>
                <c:pt idx="9">
                  <c:v>-0.34129624846194606</c:v>
                </c:pt>
                <c:pt idx="10">
                  <c:v>-0.15696989897699035</c:v>
                </c:pt>
                <c:pt idx="11">
                  <c:v>0.87925951016732073</c:v>
                </c:pt>
              </c:numCache>
            </c:numRef>
          </c:val>
        </c:ser>
        <c:dLbls>
          <c:showLegendKey val="0"/>
          <c:showVal val="0"/>
          <c:showCatName val="0"/>
          <c:showSerName val="0"/>
          <c:showPercent val="0"/>
          <c:showBubbleSize val="0"/>
        </c:dLbls>
        <c:gapWidth val="150"/>
        <c:axId val="137895000"/>
        <c:axId val="113974616"/>
      </c:barChart>
      <c:catAx>
        <c:axId val="137895000"/>
        <c:scaling>
          <c:orientation val="minMax"/>
        </c:scaling>
        <c:delete val="0"/>
        <c:axPos val="b"/>
        <c:numFmt formatCode="General" sourceLinked="1"/>
        <c:majorTickMark val="in"/>
        <c:minorTickMark val="out"/>
        <c:tickLblPos val="low"/>
        <c:txPr>
          <a:bodyPr rot="-5400000" vert="horz"/>
          <a:lstStyle/>
          <a:p>
            <a:pPr>
              <a:defRPr/>
            </a:pPr>
            <a:endParaRPr lang="en-US"/>
          </a:p>
        </c:txPr>
        <c:crossAx val="113974616"/>
        <c:crosses val="autoZero"/>
        <c:auto val="1"/>
        <c:lblAlgn val="ctr"/>
        <c:lblOffset val="100"/>
        <c:noMultiLvlLbl val="0"/>
      </c:catAx>
      <c:valAx>
        <c:axId val="113974616"/>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137895000"/>
        <c:crosses val="autoZero"/>
        <c:crossBetween val="between"/>
      </c:valAx>
    </c:plotArea>
    <c:plotVisOnly val="1"/>
    <c:dispBlanksAs val="gap"/>
    <c:showDLblsOverMax val="0"/>
  </c:chart>
  <c:spPr>
    <a:ln>
      <a:noFill/>
    </a:ln>
  </c:spPr>
  <c:txPr>
    <a:bodyPr/>
    <a:lstStyle/>
    <a:p>
      <a:pPr>
        <a:defRPr sz="800">
          <a:solidFill>
            <a:sysClr val="windowText" lastClr="000000"/>
          </a:solidFill>
          <a:latin typeface="Arial Narrow"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'42 vzdelávanie'!$B$74</c:f>
              <c:strCache>
                <c:ptCount val="1"/>
                <c:pt idx="0">
                  <c:v>Reálny priemerný plat </c:v>
                </c:pt>
              </c:strCache>
            </c:strRef>
          </c:tx>
          <c:spPr>
            <a:solidFill>
              <a:srgbClr val="AAD3F2"/>
            </a:solidFill>
          </c:spPr>
          <c:invertIfNegative val="0"/>
          <c:dPt>
            <c:idx val="15"/>
            <c:invertIfNegative val="0"/>
            <c:bubble3D val="0"/>
            <c:spPr>
              <a:solidFill>
                <a:sysClr val="windowText" lastClr="000000"/>
              </a:solidFill>
            </c:spPr>
          </c:dPt>
          <c:dPt>
            <c:idx val="25"/>
            <c:invertIfNegative val="0"/>
            <c:bubble3D val="0"/>
            <c:spPr>
              <a:solidFill>
                <a:srgbClr val="2C9ADC"/>
              </a:solidFill>
            </c:spPr>
          </c:dPt>
          <c:cat>
            <c:strRef>
              <c:f>'42 vzdelávanie'!$A$75:$A$101</c:f>
              <c:strCache>
                <c:ptCount val="27"/>
                <c:pt idx="0">
                  <c:v>LU</c:v>
                </c:pt>
                <c:pt idx="1">
                  <c:v>GR</c:v>
                </c:pt>
                <c:pt idx="2">
                  <c:v>IL </c:v>
                </c:pt>
                <c:pt idx="3">
                  <c:v>FI</c:v>
                </c:pt>
                <c:pt idx="4">
                  <c:v>DE</c:v>
                </c:pt>
                <c:pt idx="5">
                  <c:v>UK</c:v>
                </c:pt>
                <c:pt idx="6">
                  <c:v>FR</c:v>
                </c:pt>
                <c:pt idx="7">
                  <c:v>BE (Fl.)</c:v>
                </c:pt>
                <c:pt idx="8">
                  <c:v>EE</c:v>
                </c:pt>
                <c:pt idx="9">
                  <c:v>SI</c:v>
                </c:pt>
                <c:pt idx="10">
                  <c:v>DK</c:v>
                </c:pt>
                <c:pt idx="11">
                  <c:v>NZ</c:v>
                </c:pt>
                <c:pt idx="12">
                  <c:v>AT</c:v>
                </c:pt>
                <c:pt idx="13">
                  <c:v>NL</c:v>
                </c:pt>
                <c:pt idx="14">
                  <c:v>AU</c:v>
                </c:pt>
                <c:pt idx="15">
                  <c:v>OECD</c:v>
                </c:pt>
                <c:pt idx="16">
                  <c:v>BE (Fr.)</c:v>
                </c:pt>
                <c:pt idx="17">
                  <c:v>SE</c:v>
                </c:pt>
                <c:pt idx="18">
                  <c:v>UK (Scot.)</c:v>
                </c:pt>
                <c:pt idx="19">
                  <c:v>PL</c:v>
                </c:pt>
                <c:pt idx="20">
                  <c:v>CL</c:v>
                </c:pt>
                <c:pt idx="21">
                  <c:v>HU</c:v>
                </c:pt>
                <c:pt idx="22">
                  <c:v>NO</c:v>
                </c:pt>
                <c:pt idx="23">
                  <c:v>IT</c:v>
                </c:pt>
                <c:pt idx="24">
                  <c:v>US</c:v>
                </c:pt>
                <c:pt idx="25">
                  <c:v>SK</c:v>
                </c:pt>
                <c:pt idx="26">
                  <c:v>CZ</c:v>
                </c:pt>
              </c:strCache>
            </c:strRef>
          </c:cat>
          <c:val>
            <c:numRef>
              <c:f>'42 vzdelávanie'!$B$75:$B$101</c:f>
              <c:numCache>
                <c:formatCode>0.00\ </c:formatCode>
                <c:ptCount val="27"/>
                <c:pt idx="0">
                  <c:v>1.2348189742338613</c:v>
                </c:pt>
                <c:pt idx="1">
                  <c:v>1.0701116148090657</c:v>
                </c:pt>
                <c:pt idx="2">
                  <c:v>0.99234070955946585</c:v>
                </c:pt>
                <c:pt idx="3">
                  <c:v>0.97737819216616317</c:v>
                </c:pt>
                <c:pt idx="4">
                  <c:v>0.97604295524280338</c:v>
                </c:pt>
                <c:pt idx="5">
                  <c:v>0.9078006060792061</c:v>
                </c:pt>
                <c:pt idx="6">
                  <c:v>0.89727729525299804</c:v>
                </c:pt>
                <c:pt idx="7">
                  <c:v>0.88512370609870716</c:v>
                </c:pt>
                <c:pt idx="8">
                  <c:v>0.87985059987309877</c:v>
                </c:pt>
                <c:pt idx="9">
                  <c:v>0.87830201920701367</c:v>
                </c:pt>
                <c:pt idx="10">
                  <c:v>0.8763198573529144</c:v>
                </c:pt>
                <c:pt idx="11">
                  <c:v>0.86974405998609772</c:v>
                </c:pt>
                <c:pt idx="12">
                  <c:v>0.86462310882280979</c:v>
                </c:pt>
                <c:pt idx="13">
                  <c:v>0.85282052225592464</c:v>
                </c:pt>
                <c:pt idx="14">
                  <c:v>0.85148226171930796</c:v>
                </c:pt>
                <c:pt idx="15" formatCode="0.00">
                  <c:v>0.84729434914979462</c:v>
                </c:pt>
                <c:pt idx="16">
                  <c:v>0.83814952989552227</c:v>
                </c:pt>
                <c:pt idx="17">
                  <c:v>0.83613850688377123</c:v>
                </c:pt>
                <c:pt idx="18">
                  <c:v>0.82958451249393816</c:v>
                </c:pt>
                <c:pt idx="19">
                  <c:v>0.82913621080081223</c:v>
                </c:pt>
                <c:pt idx="20">
                  <c:v>0.72844915050115611</c:v>
                </c:pt>
                <c:pt idx="21">
                  <c:v>0.7102040892650171</c:v>
                </c:pt>
                <c:pt idx="22">
                  <c:v>0.69947136146360389</c:v>
                </c:pt>
                <c:pt idx="23">
                  <c:v>0.68909750563830152</c:v>
                </c:pt>
                <c:pt idx="24">
                  <c:v>0.68830303008233396</c:v>
                </c:pt>
                <c:pt idx="25">
                  <c:v>0.6114798854129454</c:v>
                </c:pt>
                <c:pt idx="26">
                  <c:v>0.55560281279782697</c:v>
                </c:pt>
              </c:numCache>
            </c:numRef>
          </c:val>
        </c:ser>
        <c:dLbls>
          <c:showLegendKey val="0"/>
          <c:showVal val="0"/>
          <c:showCatName val="0"/>
          <c:showSerName val="0"/>
          <c:showPercent val="0"/>
          <c:showBubbleSize val="0"/>
        </c:dLbls>
        <c:gapWidth val="150"/>
        <c:axId val="138767264"/>
        <c:axId val="138767656"/>
      </c:barChart>
      <c:catAx>
        <c:axId val="138767264"/>
        <c:scaling>
          <c:orientation val="minMax"/>
        </c:scaling>
        <c:delete val="0"/>
        <c:axPos val="b"/>
        <c:numFmt formatCode="General" sourceLinked="1"/>
        <c:majorTickMark val="out"/>
        <c:minorTickMark val="none"/>
        <c:tickLblPos val="nextTo"/>
        <c:crossAx val="138767656"/>
        <c:crosses val="autoZero"/>
        <c:auto val="1"/>
        <c:lblAlgn val="ctr"/>
        <c:lblOffset val="100"/>
        <c:tickLblSkip val="1"/>
        <c:noMultiLvlLbl val="0"/>
      </c:catAx>
      <c:valAx>
        <c:axId val="138767656"/>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13876726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3.447500569278155E-2"/>
          <c:w val="0.91819511922711794"/>
          <c:h val="0.7913163839594678"/>
        </c:manualLayout>
      </c:layout>
      <c:lineChart>
        <c:grouping val="standard"/>
        <c:varyColors val="0"/>
        <c:ser>
          <c:idx val="3"/>
          <c:order val="0"/>
          <c:tx>
            <c:strRef>
              <c:f>'42 vzdelávanie'!$A$15</c:f>
              <c:strCache>
                <c:ptCount val="1"/>
                <c:pt idx="0">
                  <c:v>Výdavky na R&amp;D</c:v>
                </c:pt>
              </c:strCache>
            </c:strRef>
          </c:tx>
          <c:spPr>
            <a:ln w="22225">
              <a:solidFill>
                <a:srgbClr val="2C9ADC"/>
              </a:solidFill>
              <a:prstDash val="solid"/>
            </a:ln>
          </c:spPr>
          <c:marker>
            <c:symbol val="none"/>
          </c:marker>
          <c:cat>
            <c:strRef>
              <c:f>'42 vzdelávanie'!$B$17:$J$17</c:f>
              <c:strCache>
                <c:ptCount val="9"/>
                <c:pt idx="0">
                  <c:v>2007</c:v>
                </c:pt>
                <c:pt idx="1">
                  <c:v>2008</c:v>
                </c:pt>
                <c:pt idx="2">
                  <c:v>2009</c:v>
                </c:pt>
                <c:pt idx="3">
                  <c:v>2010</c:v>
                </c:pt>
                <c:pt idx="4">
                  <c:v>2011</c:v>
                </c:pt>
                <c:pt idx="5">
                  <c:v>2012</c:v>
                </c:pt>
                <c:pt idx="6">
                  <c:v>2013</c:v>
                </c:pt>
                <c:pt idx="7">
                  <c:v>2014</c:v>
                </c:pt>
                <c:pt idx="8">
                  <c:v>2015</c:v>
                </c:pt>
              </c:strCache>
            </c:strRef>
          </c:cat>
          <c:val>
            <c:numRef>
              <c:f>'42 vzdelávanie'!$B$23:$J$23</c:f>
              <c:numCache>
                <c:formatCode>0%</c:formatCode>
                <c:ptCount val="9"/>
                <c:pt idx="0">
                  <c:v>0.47703180212014135</c:v>
                </c:pt>
                <c:pt idx="1">
                  <c:v>0.48936170212765961</c:v>
                </c:pt>
                <c:pt idx="2">
                  <c:v>0.45483870967741941</c:v>
                </c:pt>
                <c:pt idx="3">
                  <c:v>0.57943925233644855</c:v>
                </c:pt>
                <c:pt idx="4">
                  <c:v>0.56571428571428573</c:v>
                </c:pt>
                <c:pt idx="5">
                  <c:v>0.61068702290076338</c:v>
                </c:pt>
                <c:pt idx="6">
                  <c:v>0.59134615384615374</c:v>
                </c:pt>
                <c:pt idx="7">
                  <c:v>0.61826697892271654</c:v>
                </c:pt>
                <c:pt idx="8">
                  <c:v>0.81755196304849875</c:v>
                </c:pt>
              </c:numCache>
            </c:numRef>
          </c:val>
          <c:smooth val="0"/>
        </c:ser>
        <c:ser>
          <c:idx val="5"/>
          <c:order val="1"/>
          <c:tx>
            <c:strRef>
              <c:f>'42 vzdelávanie'!$A$25</c:f>
              <c:strCache>
                <c:ptCount val="1"/>
                <c:pt idx="0">
                  <c:v>Výskumníci (na ob.)</c:v>
                </c:pt>
              </c:strCache>
            </c:strRef>
          </c:tx>
          <c:spPr>
            <a:ln w="22225">
              <a:solidFill>
                <a:sysClr val="windowText" lastClr="000000"/>
              </a:solidFill>
              <a:prstDash val="solid"/>
            </a:ln>
          </c:spPr>
          <c:marker>
            <c:symbol val="none"/>
          </c:marker>
          <c:cat>
            <c:strRef>
              <c:f>'42 vzdelávanie'!$B$17:$J$17</c:f>
              <c:strCache>
                <c:ptCount val="9"/>
                <c:pt idx="0">
                  <c:v>2007</c:v>
                </c:pt>
                <c:pt idx="1">
                  <c:v>2008</c:v>
                </c:pt>
                <c:pt idx="2">
                  <c:v>2009</c:v>
                </c:pt>
                <c:pt idx="3">
                  <c:v>2010</c:v>
                </c:pt>
                <c:pt idx="4">
                  <c:v>2011</c:v>
                </c:pt>
                <c:pt idx="5">
                  <c:v>2012</c:v>
                </c:pt>
                <c:pt idx="6">
                  <c:v>2013</c:v>
                </c:pt>
                <c:pt idx="7">
                  <c:v>2014</c:v>
                </c:pt>
                <c:pt idx="8">
                  <c:v>2015</c:v>
                </c:pt>
              </c:strCache>
            </c:strRef>
          </c:cat>
          <c:val>
            <c:numRef>
              <c:f>'42 vzdelávanie'!$B$32:$J$32</c:f>
              <c:numCache>
                <c:formatCode>0%</c:formatCode>
                <c:ptCount val="9"/>
                <c:pt idx="0">
                  <c:v>1.1368763343059352</c:v>
                </c:pt>
                <c:pt idx="1">
                  <c:v>1.1051395834179776</c:v>
                </c:pt>
                <c:pt idx="2">
                  <c:v>1.1599012512099309</c:v>
                </c:pt>
                <c:pt idx="3">
                  <c:v>1.2732682616343294</c:v>
                </c:pt>
                <c:pt idx="4">
                  <c:v>1.2351047036421285</c:v>
                </c:pt>
                <c:pt idx="5">
                  <c:v>1.160467345984467</c:v>
                </c:pt>
                <c:pt idx="6">
                  <c:v>1.0672435755478842</c:v>
                </c:pt>
                <c:pt idx="7">
                  <c:v>1.0046642537003208</c:v>
                </c:pt>
                <c:pt idx="8">
                  <c:v>0.91630367589534489</c:v>
                </c:pt>
              </c:numCache>
            </c:numRef>
          </c:val>
          <c:smooth val="0"/>
        </c:ser>
        <c:ser>
          <c:idx val="0"/>
          <c:order val="2"/>
          <c:tx>
            <c:strRef>
              <c:f>'42 vzdelávanie'!$A$34</c:f>
              <c:strCache>
                <c:ptCount val="1"/>
                <c:pt idx="0">
                  <c:v>Publikácie (na ob.)</c:v>
                </c:pt>
              </c:strCache>
            </c:strRef>
          </c:tx>
          <c:spPr>
            <a:ln w="19050">
              <a:solidFill>
                <a:srgbClr val="0070C0"/>
              </a:solidFill>
              <a:prstDash val="dash"/>
            </a:ln>
          </c:spPr>
          <c:marker>
            <c:symbol val="none"/>
          </c:marker>
          <c:cat>
            <c:strRef>
              <c:f>'42 vzdelávanie'!$B$17:$J$17</c:f>
              <c:strCache>
                <c:ptCount val="9"/>
                <c:pt idx="0">
                  <c:v>2007</c:v>
                </c:pt>
                <c:pt idx="1">
                  <c:v>2008</c:v>
                </c:pt>
                <c:pt idx="2">
                  <c:v>2009</c:v>
                </c:pt>
                <c:pt idx="3">
                  <c:v>2010</c:v>
                </c:pt>
                <c:pt idx="4">
                  <c:v>2011</c:v>
                </c:pt>
                <c:pt idx="5">
                  <c:v>2012</c:v>
                </c:pt>
                <c:pt idx="6">
                  <c:v>2013</c:v>
                </c:pt>
                <c:pt idx="7">
                  <c:v>2014</c:v>
                </c:pt>
                <c:pt idx="8">
                  <c:v>2015</c:v>
                </c:pt>
              </c:strCache>
            </c:strRef>
          </c:cat>
          <c:val>
            <c:numRef>
              <c:f>'42 vzdelávanie'!$B$41:$J$41</c:f>
              <c:numCache>
                <c:formatCode>0%</c:formatCode>
                <c:ptCount val="9"/>
                <c:pt idx="0">
                  <c:v>0.81944219047064537</c:v>
                </c:pt>
                <c:pt idx="1">
                  <c:v>0.8797984660833621</c:v>
                </c:pt>
                <c:pt idx="2">
                  <c:v>0.82496649952022305</c:v>
                </c:pt>
                <c:pt idx="3">
                  <c:v>0.87369028022473005</c:v>
                </c:pt>
                <c:pt idx="4">
                  <c:v>0.87696263576639943</c:v>
                </c:pt>
                <c:pt idx="5">
                  <c:v>0.9160301159656512</c:v>
                </c:pt>
                <c:pt idx="6">
                  <c:v>0.95115735660970147</c:v>
                </c:pt>
                <c:pt idx="7">
                  <c:v>1.0252528296413432</c:v>
                </c:pt>
                <c:pt idx="8">
                  <c:v>0.90466965187544712</c:v>
                </c:pt>
              </c:numCache>
            </c:numRef>
          </c:val>
          <c:smooth val="0"/>
        </c:ser>
        <c:ser>
          <c:idx val="1"/>
          <c:order val="3"/>
          <c:tx>
            <c:strRef>
              <c:f>'42 vzdelávanie'!$A$43</c:f>
              <c:strCache>
                <c:ptCount val="1"/>
                <c:pt idx="0">
                  <c:v>Citácie (na 1 publikáciu)</c:v>
                </c:pt>
              </c:strCache>
            </c:strRef>
          </c:tx>
          <c:spPr>
            <a:ln w="19050">
              <a:solidFill>
                <a:srgbClr val="8064A2">
                  <a:lumMod val="60000"/>
                  <a:lumOff val="40000"/>
                </a:srgbClr>
              </a:solidFill>
            </a:ln>
          </c:spPr>
          <c:marker>
            <c:symbol val="none"/>
          </c:marker>
          <c:cat>
            <c:strRef>
              <c:f>'42 vzdelávanie'!$B$17:$J$17</c:f>
              <c:strCache>
                <c:ptCount val="9"/>
                <c:pt idx="0">
                  <c:v>2007</c:v>
                </c:pt>
                <c:pt idx="1">
                  <c:v>2008</c:v>
                </c:pt>
                <c:pt idx="2">
                  <c:v>2009</c:v>
                </c:pt>
                <c:pt idx="3">
                  <c:v>2010</c:v>
                </c:pt>
                <c:pt idx="4">
                  <c:v>2011</c:v>
                </c:pt>
                <c:pt idx="5">
                  <c:v>2012</c:v>
                </c:pt>
                <c:pt idx="6">
                  <c:v>2013</c:v>
                </c:pt>
                <c:pt idx="7">
                  <c:v>2014</c:v>
                </c:pt>
                <c:pt idx="8">
                  <c:v>2015</c:v>
                </c:pt>
              </c:strCache>
            </c:strRef>
          </c:cat>
          <c:val>
            <c:numRef>
              <c:f>'42 vzdelávanie'!$B$50:$J$50</c:f>
              <c:numCache>
                <c:formatCode>0%</c:formatCode>
                <c:ptCount val="9"/>
                <c:pt idx="0">
                  <c:v>0.89412490927825239</c:v>
                </c:pt>
                <c:pt idx="1">
                  <c:v>0.86344779984728326</c:v>
                </c:pt>
                <c:pt idx="2">
                  <c:v>0.81024681104221941</c:v>
                </c:pt>
                <c:pt idx="3">
                  <c:v>0.80285733017546412</c:v>
                </c:pt>
                <c:pt idx="4">
                  <c:v>0.77520935844211714</c:v>
                </c:pt>
                <c:pt idx="5">
                  <c:v>0.83384233201123981</c:v>
                </c:pt>
                <c:pt idx="6">
                  <c:v>0.76272257407462773</c:v>
                </c:pt>
                <c:pt idx="7">
                  <c:v>0.65447386287122256</c:v>
                </c:pt>
                <c:pt idx="8">
                  <c:v>0.75074722438474839</c:v>
                </c:pt>
              </c:numCache>
            </c:numRef>
          </c:val>
          <c:smooth val="0"/>
        </c:ser>
        <c:dLbls>
          <c:showLegendKey val="0"/>
          <c:showVal val="0"/>
          <c:showCatName val="0"/>
          <c:showSerName val="0"/>
          <c:showPercent val="0"/>
          <c:showBubbleSize val="0"/>
        </c:dLbls>
        <c:smooth val="0"/>
        <c:axId val="138768440"/>
        <c:axId val="138768832"/>
      </c:lineChart>
      <c:catAx>
        <c:axId val="138768440"/>
        <c:scaling>
          <c:orientation val="minMax"/>
        </c:scaling>
        <c:delete val="0"/>
        <c:axPos val="b"/>
        <c:numFmt formatCode="General" sourceLinked="0"/>
        <c:majorTickMark val="out"/>
        <c:minorTickMark val="none"/>
        <c:tickLblPos val="low"/>
        <c:txPr>
          <a:bodyPr rot="-5400000" vert="horz"/>
          <a:lstStyle/>
          <a:p>
            <a:pPr>
              <a:defRPr sz="1000"/>
            </a:pPr>
            <a:endParaRPr lang="en-US"/>
          </a:p>
        </c:txPr>
        <c:crossAx val="138768832"/>
        <c:crosses val="autoZero"/>
        <c:auto val="1"/>
        <c:lblAlgn val="ctr"/>
        <c:lblOffset val="100"/>
        <c:noMultiLvlLbl val="0"/>
      </c:catAx>
      <c:valAx>
        <c:axId val="138768832"/>
        <c:scaling>
          <c:orientation val="minMax"/>
          <c:max val="1.5"/>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138768440"/>
        <c:crosses val="autoZero"/>
        <c:crossBetween val="between"/>
        <c:majorUnit val="0.25"/>
      </c:valAx>
    </c:plotArea>
    <c:legend>
      <c:legendPos val="l"/>
      <c:layout>
        <c:manualLayout>
          <c:xMode val="edge"/>
          <c:yMode val="edge"/>
          <c:x val="0.41031945733393288"/>
          <c:y val="0.57779919301132132"/>
          <c:w val="0.58311940459497347"/>
          <c:h val="0.23258592675915507"/>
        </c:manualLayout>
      </c:layout>
      <c:overlay val="1"/>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61189038346596"/>
          <c:y val="6.4545328963066223E-2"/>
          <c:w val="0.86669065452880845"/>
          <c:h val="0.65758291789661649"/>
        </c:manualLayout>
      </c:layout>
      <c:lineChart>
        <c:grouping val="standard"/>
        <c:varyColors val="0"/>
        <c:ser>
          <c:idx val="0"/>
          <c:order val="0"/>
          <c:tx>
            <c:strRef>
              <c:f>'42 vzdelávanie'!$A$54</c:f>
              <c:strCache>
                <c:ptCount val="1"/>
                <c:pt idx="0">
                  <c:v>Slovensko</c:v>
                </c:pt>
              </c:strCache>
            </c:strRef>
          </c:tx>
          <c:spPr>
            <a:ln w="19050" cap="rnd">
              <a:solidFill>
                <a:srgbClr val="2C9ADC"/>
              </a:solidFill>
              <a:round/>
            </a:ln>
            <a:effectLst/>
          </c:spPr>
          <c:marker>
            <c:symbol val="circle"/>
            <c:size val="5"/>
            <c:spPr>
              <a:solidFill>
                <a:srgbClr val="2C9ADC"/>
              </a:solidFill>
              <a:ln w="9525">
                <a:solidFill>
                  <a:srgbClr val="2C9ADC"/>
                </a:solidFill>
              </a:ln>
              <a:effectLst/>
            </c:spPr>
          </c:marker>
          <c:cat>
            <c:numRef>
              <c:f>'42 vzdelávanie'!$B$53:$E$53</c:f>
              <c:numCache>
                <c:formatCode>General</c:formatCode>
                <c:ptCount val="4"/>
                <c:pt idx="0">
                  <c:v>2006</c:v>
                </c:pt>
                <c:pt idx="1">
                  <c:v>2009</c:v>
                </c:pt>
                <c:pt idx="2">
                  <c:v>2012</c:v>
                </c:pt>
                <c:pt idx="3">
                  <c:v>2015</c:v>
                </c:pt>
              </c:numCache>
            </c:numRef>
          </c:cat>
          <c:val>
            <c:numRef>
              <c:f>'42 vzdelávanie'!$B$54:$E$54</c:f>
              <c:numCache>
                <c:formatCode>0</c:formatCode>
                <c:ptCount val="4"/>
                <c:pt idx="0">
                  <c:v>482</c:v>
                </c:pt>
                <c:pt idx="1">
                  <c:v>488</c:v>
                </c:pt>
                <c:pt idx="2">
                  <c:v>472.01080638581669</c:v>
                </c:pt>
                <c:pt idx="3">
                  <c:v>463</c:v>
                </c:pt>
              </c:numCache>
            </c:numRef>
          </c:val>
          <c:smooth val="0"/>
        </c:ser>
        <c:ser>
          <c:idx val="1"/>
          <c:order val="1"/>
          <c:tx>
            <c:strRef>
              <c:f>'42 vzdelávanie'!$A$55</c:f>
              <c:strCache>
                <c:ptCount val="1"/>
                <c:pt idx="0">
                  <c:v>V3</c:v>
                </c:pt>
              </c:strCache>
            </c:strRef>
          </c:tx>
          <c:spPr>
            <a:ln w="19050" cap="rnd">
              <a:solidFill>
                <a:srgbClr val="002060"/>
              </a:solidFill>
              <a:round/>
            </a:ln>
            <a:effectLst/>
          </c:spPr>
          <c:marker>
            <c:symbol val="circle"/>
            <c:size val="5"/>
            <c:spPr>
              <a:solidFill>
                <a:srgbClr val="002060"/>
              </a:solidFill>
              <a:ln w="9525">
                <a:solidFill>
                  <a:srgbClr val="002060"/>
                </a:solidFill>
              </a:ln>
              <a:effectLst/>
            </c:spPr>
          </c:marker>
          <c:cat>
            <c:numRef>
              <c:f>'42 vzdelávanie'!$B$53:$E$53</c:f>
              <c:numCache>
                <c:formatCode>General</c:formatCode>
                <c:ptCount val="4"/>
                <c:pt idx="0">
                  <c:v>2006</c:v>
                </c:pt>
                <c:pt idx="1">
                  <c:v>2009</c:v>
                </c:pt>
                <c:pt idx="2">
                  <c:v>2012</c:v>
                </c:pt>
                <c:pt idx="3">
                  <c:v>2015</c:v>
                </c:pt>
              </c:numCache>
            </c:numRef>
          </c:cat>
          <c:val>
            <c:numRef>
              <c:f>'42 vzdelávanie'!$B$55:$E$55</c:f>
              <c:numCache>
                <c:formatCode>0</c:formatCode>
                <c:ptCount val="4"/>
                <c:pt idx="0">
                  <c:v>498.26942788118077</c:v>
                </c:pt>
                <c:pt idx="1">
                  <c:v>495.66666666666669</c:v>
                </c:pt>
                <c:pt idx="2">
                  <c:v>502.41415528757881</c:v>
                </c:pt>
                <c:pt idx="3">
                  <c:v>489.66666666666669</c:v>
                </c:pt>
              </c:numCache>
            </c:numRef>
          </c:val>
          <c:smooth val="0"/>
        </c:ser>
        <c:ser>
          <c:idx val="2"/>
          <c:order val="2"/>
          <c:tx>
            <c:strRef>
              <c:f>'42 vzdelávanie'!$A$56</c:f>
              <c:strCache>
                <c:ptCount val="1"/>
                <c:pt idx="0">
                  <c:v>OECD priemer</c:v>
                </c:pt>
              </c:strCache>
            </c:strRef>
          </c:tx>
          <c:spPr>
            <a:ln w="19050" cap="rnd">
              <a:solidFill>
                <a:srgbClr val="AAD3F2"/>
              </a:solidFill>
              <a:round/>
            </a:ln>
            <a:effectLst/>
          </c:spPr>
          <c:marker>
            <c:symbol val="circle"/>
            <c:size val="5"/>
            <c:spPr>
              <a:solidFill>
                <a:srgbClr val="AAD3F2"/>
              </a:solidFill>
              <a:ln w="9525">
                <a:solidFill>
                  <a:srgbClr val="AAD3F2"/>
                </a:solidFill>
              </a:ln>
              <a:effectLst/>
            </c:spPr>
          </c:marker>
          <c:cat>
            <c:numRef>
              <c:f>'42 vzdelávanie'!$B$53:$E$53</c:f>
              <c:numCache>
                <c:formatCode>General</c:formatCode>
                <c:ptCount val="4"/>
                <c:pt idx="0">
                  <c:v>2006</c:v>
                </c:pt>
                <c:pt idx="1">
                  <c:v>2009</c:v>
                </c:pt>
                <c:pt idx="2">
                  <c:v>2012</c:v>
                </c:pt>
                <c:pt idx="3">
                  <c:v>2015</c:v>
                </c:pt>
              </c:numCache>
            </c:numRef>
          </c:cat>
          <c:val>
            <c:numRef>
              <c:f>'42 vzdelávanie'!$B$56:$E$56</c:f>
              <c:numCache>
                <c:formatCode>0</c:formatCode>
                <c:ptCount val="4"/>
                <c:pt idx="0">
                  <c:v>495.64868387022716</c:v>
                </c:pt>
                <c:pt idx="1">
                  <c:v>498.33333333333331</c:v>
                </c:pt>
                <c:pt idx="2">
                  <c:v>498.66666666666669</c:v>
                </c:pt>
                <c:pt idx="3">
                  <c:v>493.66666666666669</c:v>
                </c:pt>
              </c:numCache>
            </c:numRef>
          </c:val>
          <c:smooth val="0"/>
        </c:ser>
        <c:ser>
          <c:idx val="3"/>
          <c:order val="3"/>
          <c:tx>
            <c:strRef>
              <c:f>'42 vzdelávanie'!$A$57</c:f>
              <c:strCache>
                <c:ptCount val="1"/>
                <c:pt idx="0">
                  <c:v>Rumunsko</c:v>
                </c:pt>
              </c:strCache>
            </c:strRef>
          </c:tx>
          <c:spPr>
            <a:ln w="19050" cap="rnd">
              <a:solidFill>
                <a:sysClr val="window" lastClr="FFFFFF">
                  <a:lumMod val="65000"/>
                </a:sysClr>
              </a:solidFill>
              <a:round/>
            </a:ln>
            <a:effectLst/>
          </c:spPr>
          <c:marker>
            <c:symbol val="circle"/>
            <c:size val="5"/>
            <c:spPr>
              <a:solidFill>
                <a:sysClr val="window" lastClr="FFFFFF">
                  <a:lumMod val="65000"/>
                </a:sysClr>
              </a:solidFill>
              <a:ln w="9525">
                <a:solidFill>
                  <a:sysClr val="window" lastClr="FFFFFF">
                    <a:lumMod val="65000"/>
                  </a:sysClr>
                </a:solidFill>
              </a:ln>
              <a:effectLst/>
            </c:spPr>
          </c:marker>
          <c:cat>
            <c:numRef>
              <c:f>'42 vzdelávanie'!$B$53:$E$53</c:f>
              <c:numCache>
                <c:formatCode>General</c:formatCode>
                <c:ptCount val="4"/>
                <c:pt idx="0">
                  <c:v>2006</c:v>
                </c:pt>
                <c:pt idx="1">
                  <c:v>2009</c:v>
                </c:pt>
                <c:pt idx="2">
                  <c:v>2012</c:v>
                </c:pt>
                <c:pt idx="3">
                  <c:v>2015</c:v>
                </c:pt>
              </c:numCache>
            </c:numRef>
          </c:cat>
          <c:val>
            <c:numRef>
              <c:f>'42 vzdelávanie'!$B$57:$E$57</c:f>
              <c:numCache>
                <c:formatCode>0</c:formatCode>
                <c:ptCount val="4"/>
                <c:pt idx="0">
                  <c:v>409.66666666666669</c:v>
                </c:pt>
                <c:pt idx="1">
                  <c:v>426.33333333333331</c:v>
                </c:pt>
                <c:pt idx="2">
                  <c:v>440.47191244875438</c:v>
                </c:pt>
                <c:pt idx="3">
                  <c:v>437.66666666666669</c:v>
                </c:pt>
              </c:numCache>
            </c:numRef>
          </c:val>
          <c:smooth val="0"/>
        </c:ser>
        <c:ser>
          <c:idx val="4"/>
          <c:order val="4"/>
          <c:tx>
            <c:strRef>
              <c:f>'42 vzdelávanie'!$A$58</c:f>
              <c:strCache>
                <c:ptCount val="1"/>
                <c:pt idx="0">
                  <c:v>Bulharsko</c:v>
                </c:pt>
              </c:strCache>
            </c:strRef>
          </c:tx>
          <c:spPr>
            <a:ln w="190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numRef>
              <c:f>'42 vzdelávanie'!$B$53:$E$53</c:f>
              <c:numCache>
                <c:formatCode>General</c:formatCode>
                <c:ptCount val="4"/>
                <c:pt idx="0">
                  <c:v>2006</c:v>
                </c:pt>
                <c:pt idx="1">
                  <c:v>2009</c:v>
                </c:pt>
                <c:pt idx="2">
                  <c:v>2012</c:v>
                </c:pt>
                <c:pt idx="3">
                  <c:v>2015</c:v>
                </c:pt>
              </c:numCache>
            </c:numRef>
          </c:cat>
          <c:val>
            <c:numRef>
              <c:f>'42 vzdelávanie'!$B$58:$E$58</c:f>
              <c:numCache>
                <c:formatCode>0</c:formatCode>
                <c:ptCount val="4"/>
                <c:pt idx="0">
                  <c:v>416.33333333333331</c:v>
                </c:pt>
                <c:pt idx="1">
                  <c:v>431.93154130796034</c:v>
                </c:pt>
                <c:pt idx="2">
                  <c:v>440.34904823906385</c:v>
                </c:pt>
                <c:pt idx="3">
                  <c:v>439.66666666666669</c:v>
                </c:pt>
              </c:numCache>
            </c:numRef>
          </c:val>
          <c:smooth val="0"/>
        </c:ser>
        <c:dLbls>
          <c:showLegendKey val="0"/>
          <c:showVal val="0"/>
          <c:showCatName val="0"/>
          <c:showSerName val="0"/>
          <c:showPercent val="0"/>
          <c:showBubbleSize val="0"/>
        </c:dLbls>
        <c:marker val="1"/>
        <c:smooth val="0"/>
        <c:axId val="138769616"/>
        <c:axId val="138770008"/>
      </c:lineChart>
      <c:catAx>
        <c:axId val="138769616"/>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50000"/>
                <a:lumOff val="50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38770008"/>
        <c:crosses val="autoZero"/>
        <c:auto val="1"/>
        <c:lblAlgn val="ctr"/>
        <c:lblOffset val="100"/>
        <c:noMultiLvlLbl val="0"/>
      </c:catAx>
      <c:valAx>
        <c:axId val="138770008"/>
        <c:scaling>
          <c:orientation val="minMax"/>
          <c:min val="390"/>
        </c:scaling>
        <c:delete val="0"/>
        <c:axPos val="l"/>
        <c:majorGridlines>
          <c:spPr>
            <a:ln w="9525" cap="flat" cmpd="sng" algn="ctr">
              <a:solidFill>
                <a:schemeClr val="tx1">
                  <a:lumMod val="15000"/>
                  <a:lumOff val="85000"/>
                </a:schemeClr>
              </a:solidFill>
              <a:prstDash val="sysDash"/>
              <a:round/>
            </a:ln>
            <a:effectLst/>
          </c:spPr>
        </c:majorGridlines>
        <c:numFmt formatCode="0" sourceLinked="1"/>
        <c:majorTickMark val="out"/>
        <c:minorTickMark val="none"/>
        <c:tickLblPos val="nextTo"/>
        <c:spPr>
          <a:noFill/>
          <a:ln>
            <a:solidFill>
              <a:sysClr val="windowText" lastClr="000000">
                <a:lumMod val="50000"/>
                <a:lumOff val="50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38769616"/>
        <c:crosses val="autoZero"/>
        <c:crossBetween val="between"/>
      </c:valAx>
      <c:spPr>
        <a:noFill/>
        <a:ln>
          <a:noFill/>
        </a:ln>
        <a:effectLst/>
      </c:spPr>
    </c:plotArea>
    <c:legend>
      <c:legendPos val="b"/>
      <c:layout>
        <c:manualLayout>
          <c:xMode val="edge"/>
          <c:yMode val="edge"/>
          <c:x val="5.1254865038290631E-2"/>
          <c:y val="0.83178230409777998"/>
          <c:w val="0.90256730094572146"/>
          <c:h val="0.1682176959022200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079754451169919E-2"/>
          <c:y val="9.0749402593332557E-2"/>
          <c:w val="0.86729890381349395"/>
          <c:h val="0.70662327923295298"/>
        </c:manualLayout>
      </c:layout>
      <c:lineChart>
        <c:grouping val="standard"/>
        <c:varyColors val="0"/>
        <c:ser>
          <c:idx val="3"/>
          <c:order val="0"/>
          <c:tx>
            <c:strRef>
              <c:f>'43 zamestnanosť'!$A$4</c:f>
              <c:strCache>
                <c:ptCount val="1"/>
                <c:pt idx="0">
                  <c:v>SK</c:v>
                </c:pt>
              </c:strCache>
            </c:strRef>
          </c:tx>
          <c:spPr>
            <a:ln w="22225">
              <a:solidFill>
                <a:srgbClr val="2C9ADC"/>
              </a:solidFill>
              <a:prstDash val="solid"/>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zamestnanosť'!$B$4:$AK$4</c:f>
              <c:numCache>
                <c:formatCode>General</c:formatCode>
                <c:ptCount val="36"/>
                <c:pt idx="0">
                  <c:v>10.3</c:v>
                </c:pt>
                <c:pt idx="1">
                  <c:v>10.1</c:v>
                </c:pt>
                <c:pt idx="2">
                  <c:v>9.1</c:v>
                </c:pt>
                <c:pt idx="3">
                  <c:v>8.9</c:v>
                </c:pt>
                <c:pt idx="4">
                  <c:v>10.199999999999999</c:v>
                </c:pt>
                <c:pt idx="5">
                  <c:v>11.4</c:v>
                </c:pt>
                <c:pt idx="6">
                  <c:v>12.8</c:v>
                </c:pt>
                <c:pt idx="7">
                  <c:v>14.1</c:v>
                </c:pt>
                <c:pt idx="8">
                  <c:v>14.8</c:v>
                </c:pt>
                <c:pt idx="9">
                  <c:v>14.6</c:v>
                </c:pt>
                <c:pt idx="10">
                  <c:v>14.4</c:v>
                </c:pt>
                <c:pt idx="11">
                  <c:v>14</c:v>
                </c:pt>
                <c:pt idx="12">
                  <c:v>13.7</c:v>
                </c:pt>
                <c:pt idx="13">
                  <c:v>13.5</c:v>
                </c:pt>
                <c:pt idx="14">
                  <c:v>13.6</c:v>
                </c:pt>
                <c:pt idx="15">
                  <c:v>14</c:v>
                </c:pt>
                <c:pt idx="16">
                  <c:v>13.7</c:v>
                </c:pt>
                <c:pt idx="17">
                  <c:v>13.8</c:v>
                </c:pt>
                <c:pt idx="18">
                  <c:v>14</c:v>
                </c:pt>
                <c:pt idx="19">
                  <c:v>14.3</c:v>
                </c:pt>
                <c:pt idx="20">
                  <c:v>14.2</c:v>
                </c:pt>
                <c:pt idx="21">
                  <c:v>14.3</c:v>
                </c:pt>
                <c:pt idx="22">
                  <c:v>14.3</c:v>
                </c:pt>
                <c:pt idx="23">
                  <c:v>14.2</c:v>
                </c:pt>
                <c:pt idx="24">
                  <c:v>13.8</c:v>
                </c:pt>
                <c:pt idx="25">
                  <c:v>13.4</c:v>
                </c:pt>
                <c:pt idx="26">
                  <c:v>13</c:v>
                </c:pt>
                <c:pt idx="27">
                  <c:v>12.6</c:v>
                </c:pt>
                <c:pt idx="28">
                  <c:v>12.2</c:v>
                </c:pt>
                <c:pt idx="29">
                  <c:v>11.5</c:v>
                </c:pt>
                <c:pt idx="30">
                  <c:v>11.3</c:v>
                </c:pt>
                <c:pt idx="31">
                  <c:v>10.9</c:v>
                </c:pt>
                <c:pt idx="32">
                  <c:v>10.199999999999999</c:v>
                </c:pt>
                <c:pt idx="33">
                  <c:v>9.9</c:v>
                </c:pt>
                <c:pt idx="34">
                  <c:v>9.5</c:v>
                </c:pt>
                <c:pt idx="35">
                  <c:v>9</c:v>
                </c:pt>
              </c:numCache>
            </c:numRef>
          </c:val>
          <c:smooth val="0"/>
        </c:ser>
        <c:ser>
          <c:idx val="5"/>
          <c:order val="1"/>
          <c:tx>
            <c:strRef>
              <c:f>'43 zamestnanosť'!$A$5</c:f>
              <c:strCache>
                <c:ptCount val="1"/>
                <c:pt idx="0">
                  <c:v>CZ</c:v>
                </c:pt>
              </c:strCache>
            </c:strRef>
          </c:tx>
          <c:spPr>
            <a:ln w="22225">
              <a:solidFill>
                <a:srgbClr val="333F50"/>
              </a:solidFill>
              <a:prstDash val="dash"/>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zamestnanosť'!$B$5:$AK$5</c:f>
              <c:numCache>
                <c:formatCode>General</c:formatCode>
                <c:ptCount val="36"/>
                <c:pt idx="0">
                  <c:v>4.5</c:v>
                </c:pt>
                <c:pt idx="1">
                  <c:v>4.3</c:v>
                </c:pt>
                <c:pt idx="2">
                  <c:v>4.3</c:v>
                </c:pt>
                <c:pt idx="3">
                  <c:v>4.4000000000000004</c:v>
                </c:pt>
                <c:pt idx="4">
                  <c:v>5.6</c:v>
                </c:pt>
                <c:pt idx="5">
                  <c:v>6.5</c:v>
                </c:pt>
                <c:pt idx="6">
                  <c:v>7.3</c:v>
                </c:pt>
                <c:pt idx="7">
                  <c:v>7.4</c:v>
                </c:pt>
                <c:pt idx="8">
                  <c:v>7.7</c:v>
                </c:pt>
                <c:pt idx="9">
                  <c:v>7.3</c:v>
                </c:pt>
                <c:pt idx="10">
                  <c:v>7.1</c:v>
                </c:pt>
                <c:pt idx="11">
                  <c:v>7</c:v>
                </c:pt>
                <c:pt idx="12">
                  <c:v>6.9</c:v>
                </c:pt>
                <c:pt idx="13">
                  <c:v>6.9</c:v>
                </c:pt>
                <c:pt idx="14">
                  <c:v>6.6</c:v>
                </c:pt>
                <c:pt idx="15">
                  <c:v>6.5</c:v>
                </c:pt>
                <c:pt idx="16">
                  <c:v>6.8</c:v>
                </c:pt>
                <c:pt idx="17">
                  <c:v>6.9</c:v>
                </c:pt>
                <c:pt idx="18">
                  <c:v>7</c:v>
                </c:pt>
                <c:pt idx="19">
                  <c:v>7.2</c:v>
                </c:pt>
                <c:pt idx="20">
                  <c:v>7.2</c:v>
                </c:pt>
                <c:pt idx="21">
                  <c:v>7</c:v>
                </c:pt>
                <c:pt idx="22">
                  <c:v>6.9</c:v>
                </c:pt>
                <c:pt idx="23">
                  <c:v>6.8</c:v>
                </c:pt>
                <c:pt idx="24">
                  <c:v>6.6</c:v>
                </c:pt>
                <c:pt idx="25">
                  <c:v>6.2</c:v>
                </c:pt>
                <c:pt idx="26">
                  <c:v>5.9</c:v>
                </c:pt>
                <c:pt idx="27">
                  <c:v>5.8</c:v>
                </c:pt>
                <c:pt idx="28">
                  <c:v>5.8</c:v>
                </c:pt>
                <c:pt idx="29">
                  <c:v>5.0999999999999996</c:v>
                </c:pt>
                <c:pt idx="30">
                  <c:v>4.8</c:v>
                </c:pt>
                <c:pt idx="31">
                  <c:v>4.5</c:v>
                </c:pt>
                <c:pt idx="32">
                  <c:v>4.2</c:v>
                </c:pt>
                <c:pt idx="33">
                  <c:v>4</c:v>
                </c:pt>
                <c:pt idx="34">
                  <c:v>4</c:v>
                </c:pt>
                <c:pt idx="35">
                  <c:v>3.6</c:v>
                </c:pt>
              </c:numCache>
            </c:numRef>
          </c:val>
          <c:smooth val="0"/>
        </c:ser>
        <c:ser>
          <c:idx val="0"/>
          <c:order val="2"/>
          <c:tx>
            <c:strRef>
              <c:f>'43 zamestnanosť'!$A$6</c:f>
              <c:strCache>
                <c:ptCount val="1"/>
                <c:pt idx="0">
                  <c:v>HU</c:v>
                </c:pt>
              </c:strCache>
            </c:strRef>
          </c:tx>
          <c:spPr>
            <a:ln w="19050">
              <a:solidFill>
                <a:srgbClr val="2C9ADC"/>
              </a:solidFill>
              <a:prstDash val="dash"/>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zamestnanosť'!$B$6:$AK$6</c:f>
              <c:numCache>
                <c:formatCode>General</c:formatCode>
                <c:ptCount val="36"/>
                <c:pt idx="0">
                  <c:v>7.7</c:v>
                </c:pt>
                <c:pt idx="1">
                  <c:v>7.6</c:v>
                </c:pt>
                <c:pt idx="2">
                  <c:v>7.7</c:v>
                </c:pt>
                <c:pt idx="3">
                  <c:v>8.1999999999999993</c:v>
                </c:pt>
                <c:pt idx="4">
                  <c:v>9.3000000000000007</c:v>
                </c:pt>
                <c:pt idx="5">
                  <c:v>9.6999999999999993</c:v>
                </c:pt>
                <c:pt idx="6">
                  <c:v>10.4</c:v>
                </c:pt>
                <c:pt idx="7">
                  <c:v>10.7</c:v>
                </c:pt>
                <c:pt idx="8">
                  <c:v>11.3</c:v>
                </c:pt>
                <c:pt idx="9">
                  <c:v>11.3</c:v>
                </c:pt>
                <c:pt idx="10">
                  <c:v>11.1</c:v>
                </c:pt>
                <c:pt idx="11">
                  <c:v>11</c:v>
                </c:pt>
                <c:pt idx="12">
                  <c:v>11.3</c:v>
                </c:pt>
                <c:pt idx="13">
                  <c:v>11</c:v>
                </c:pt>
                <c:pt idx="14">
                  <c:v>11</c:v>
                </c:pt>
                <c:pt idx="15">
                  <c:v>11</c:v>
                </c:pt>
                <c:pt idx="16">
                  <c:v>11.5</c:v>
                </c:pt>
                <c:pt idx="17">
                  <c:v>11.1</c:v>
                </c:pt>
                <c:pt idx="18">
                  <c:v>10.6</c:v>
                </c:pt>
                <c:pt idx="19">
                  <c:v>10.9</c:v>
                </c:pt>
                <c:pt idx="20">
                  <c:v>11</c:v>
                </c:pt>
                <c:pt idx="21">
                  <c:v>10.3</c:v>
                </c:pt>
                <c:pt idx="22">
                  <c:v>10</c:v>
                </c:pt>
                <c:pt idx="23">
                  <c:v>9.1</c:v>
                </c:pt>
                <c:pt idx="24">
                  <c:v>8.1</c:v>
                </c:pt>
                <c:pt idx="25">
                  <c:v>8.1</c:v>
                </c:pt>
                <c:pt idx="26">
                  <c:v>7.5</c:v>
                </c:pt>
                <c:pt idx="27">
                  <c:v>7.3</c:v>
                </c:pt>
                <c:pt idx="28">
                  <c:v>7.5</c:v>
                </c:pt>
                <c:pt idx="29">
                  <c:v>6.9</c:v>
                </c:pt>
                <c:pt idx="30">
                  <c:v>6.6</c:v>
                </c:pt>
                <c:pt idx="31">
                  <c:v>6.3</c:v>
                </c:pt>
                <c:pt idx="32">
                  <c:v>5.8</c:v>
                </c:pt>
                <c:pt idx="33">
                  <c:v>5.2</c:v>
                </c:pt>
                <c:pt idx="34">
                  <c:v>4.9000000000000004</c:v>
                </c:pt>
              </c:numCache>
            </c:numRef>
          </c:val>
          <c:smooth val="0"/>
        </c:ser>
        <c:ser>
          <c:idx val="1"/>
          <c:order val="3"/>
          <c:tx>
            <c:strRef>
              <c:f>'43 zamestnanosť'!$A$7</c:f>
              <c:strCache>
                <c:ptCount val="1"/>
                <c:pt idx="0">
                  <c:v>PL</c:v>
                </c:pt>
              </c:strCache>
            </c:strRef>
          </c:tx>
          <c:spPr>
            <a:ln w="22225">
              <a:solidFill>
                <a:srgbClr val="AAD3F2"/>
              </a:solidFill>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zamestnanosť'!$B$7:$AK$7</c:f>
              <c:numCache>
                <c:formatCode>General</c:formatCode>
                <c:ptCount val="36"/>
                <c:pt idx="0">
                  <c:v>7.5</c:v>
                </c:pt>
                <c:pt idx="1">
                  <c:v>7.1</c:v>
                </c:pt>
                <c:pt idx="2">
                  <c:v>6.8</c:v>
                </c:pt>
                <c:pt idx="3">
                  <c:v>6.8</c:v>
                </c:pt>
                <c:pt idx="4">
                  <c:v>7.7</c:v>
                </c:pt>
                <c:pt idx="5">
                  <c:v>7.9</c:v>
                </c:pt>
                <c:pt idx="6">
                  <c:v>8.3000000000000007</c:v>
                </c:pt>
                <c:pt idx="7">
                  <c:v>8.6</c:v>
                </c:pt>
                <c:pt idx="8">
                  <c:v>9.9</c:v>
                </c:pt>
                <c:pt idx="9">
                  <c:v>9.6999999999999993</c:v>
                </c:pt>
                <c:pt idx="10">
                  <c:v>9.5</c:v>
                </c:pt>
                <c:pt idx="11">
                  <c:v>9.5</c:v>
                </c:pt>
                <c:pt idx="12">
                  <c:v>9.4</c:v>
                </c:pt>
                <c:pt idx="13">
                  <c:v>9.6</c:v>
                </c:pt>
                <c:pt idx="14">
                  <c:v>9.6999999999999993</c:v>
                </c:pt>
                <c:pt idx="15">
                  <c:v>9.9</c:v>
                </c:pt>
                <c:pt idx="16">
                  <c:v>9.8000000000000007</c:v>
                </c:pt>
                <c:pt idx="17">
                  <c:v>10</c:v>
                </c:pt>
                <c:pt idx="18">
                  <c:v>10.3</c:v>
                </c:pt>
                <c:pt idx="19">
                  <c:v>10.3</c:v>
                </c:pt>
                <c:pt idx="20">
                  <c:v>10.5</c:v>
                </c:pt>
                <c:pt idx="21">
                  <c:v>10.6</c:v>
                </c:pt>
                <c:pt idx="22">
                  <c:v>10.3</c:v>
                </c:pt>
                <c:pt idx="23">
                  <c:v>10</c:v>
                </c:pt>
                <c:pt idx="24">
                  <c:v>9.9</c:v>
                </c:pt>
                <c:pt idx="25">
                  <c:v>9.3000000000000007</c:v>
                </c:pt>
                <c:pt idx="26">
                  <c:v>8.5</c:v>
                </c:pt>
                <c:pt idx="27">
                  <c:v>8.3000000000000007</c:v>
                </c:pt>
                <c:pt idx="28">
                  <c:v>8</c:v>
                </c:pt>
                <c:pt idx="29">
                  <c:v>7.5</c:v>
                </c:pt>
                <c:pt idx="30">
                  <c:v>7.4</c:v>
                </c:pt>
                <c:pt idx="31">
                  <c:v>7.1</c:v>
                </c:pt>
                <c:pt idx="32">
                  <c:v>6.5</c:v>
                </c:pt>
                <c:pt idx="33">
                  <c:v>6.3</c:v>
                </c:pt>
                <c:pt idx="34">
                  <c:v>6.2</c:v>
                </c:pt>
                <c:pt idx="35">
                  <c:v>6</c:v>
                </c:pt>
              </c:numCache>
            </c:numRef>
          </c:val>
          <c:smooth val="0"/>
        </c:ser>
        <c:ser>
          <c:idx val="2"/>
          <c:order val="4"/>
          <c:tx>
            <c:strRef>
              <c:f>'43 zamestnanosť'!$A$8</c:f>
              <c:strCache>
                <c:ptCount val="1"/>
                <c:pt idx="0">
                  <c:v>EZ</c:v>
                </c:pt>
              </c:strCache>
            </c:strRef>
          </c:tx>
          <c:spPr>
            <a:ln w="22225">
              <a:solidFill>
                <a:sysClr val="window" lastClr="FFFFFF">
                  <a:lumMod val="50000"/>
                </a:sysClr>
              </a:solidFill>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zamestnanosť'!$B$8:$AK$8</c:f>
              <c:numCache>
                <c:formatCode>General</c:formatCode>
                <c:ptCount val="36"/>
                <c:pt idx="0">
                  <c:v>7.3</c:v>
                </c:pt>
                <c:pt idx="1">
                  <c:v>7.4</c:v>
                </c:pt>
                <c:pt idx="2">
                  <c:v>7.6</c:v>
                </c:pt>
                <c:pt idx="3">
                  <c:v>8.1</c:v>
                </c:pt>
                <c:pt idx="4">
                  <c:v>9</c:v>
                </c:pt>
                <c:pt idx="5">
                  <c:v>9.6</c:v>
                </c:pt>
                <c:pt idx="6">
                  <c:v>9.9</c:v>
                </c:pt>
                <c:pt idx="7">
                  <c:v>10.1</c:v>
                </c:pt>
                <c:pt idx="8">
                  <c:v>10.199999999999999</c:v>
                </c:pt>
                <c:pt idx="9">
                  <c:v>10.3</c:v>
                </c:pt>
                <c:pt idx="10">
                  <c:v>10.199999999999999</c:v>
                </c:pt>
                <c:pt idx="11">
                  <c:v>10.199999999999999</c:v>
                </c:pt>
                <c:pt idx="12">
                  <c:v>10</c:v>
                </c:pt>
                <c:pt idx="13">
                  <c:v>10</c:v>
                </c:pt>
                <c:pt idx="14">
                  <c:v>10.199999999999999</c:v>
                </c:pt>
                <c:pt idx="15">
                  <c:v>10.6</c:v>
                </c:pt>
                <c:pt idx="16">
                  <c:v>10.9</c:v>
                </c:pt>
                <c:pt idx="17">
                  <c:v>11.3</c:v>
                </c:pt>
                <c:pt idx="18">
                  <c:v>11.5</c:v>
                </c:pt>
                <c:pt idx="19">
                  <c:v>11.8</c:v>
                </c:pt>
                <c:pt idx="20">
                  <c:v>12</c:v>
                </c:pt>
                <c:pt idx="21">
                  <c:v>12.1</c:v>
                </c:pt>
                <c:pt idx="22">
                  <c:v>12</c:v>
                </c:pt>
                <c:pt idx="23">
                  <c:v>11.9</c:v>
                </c:pt>
                <c:pt idx="24">
                  <c:v>11.8</c:v>
                </c:pt>
                <c:pt idx="25">
                  <c:v>11.6</c:v>
                </c:pt>
                <c:pt idx="26">
                  <c:v>11.5</c:v>
                </c:pt>
                <c:pt idx="27">
                  <c:v>11.5</c:v>
                </c:pt>
                <c:pt idx="28">
                  <c:v>11.2</c:v>
                </c:pt>
                <c:pt idx="29">
                  <c:v>11</c:v>
                </c:pt>
                <c:pt idx="30">
                  <c:v>10.7</c:v>
                </c:pt>
                <c:pt idx="31">
                  <c:v>10.5</c:v>
                </c:pt>
                <c:pt idx="32">
                  <c:v>10.3</c:v>
                </c:pt>
                <c:pt idx="33">
                  <c:v>10.1</c:v>
                </c:pt>
                <c:pt idx="34">
                  <c:v>9.9</c:v>
                </c:pt>
                <c:pt idx="35">
                  <c:v>9.6999999999999993</c:v>
                </c:pt>
              </c:numCache>
            </c:numRef>
          </c:val>
          <c:smooth val="0"/>
        </c:ser>
        <c:ser>
          <c:idx val="4"/>
          <c:order val="5"/>
          <c:tx>
            <c:strRef>
              <c:f>'43 zamestnanosť'!$A$9</c:f>
              <c:strCache>
                <c:ptCount val="1"/>
                <c:pt idx="0">
                  <c:v>EÚ</c:v>
                </c:pt>
              </c:strCache>
            </c:strRef>
          </c:tx>
          <c:spPr>
            <a:ln w="22225">
              <a:solidFill>
                <a:sysClr val="windowText" lastClr="000000"/>
              </a:solidFill>
              <a:prstDash val="solid"/>
            </a:ln>
          </c:spPr>
          <c:marker>
            <c:symbol val="none"/>
          </c:marker>
          <c:cat>
            <c:strRef>
              <c:f>'43 zamestnanosť'!$B$3:$AK$3</c:f>
              <c:strCache>
                <c:ptCount val="36"/>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strCache>
            </c:strRef>
          </c:cat>
          <c:val>
            <c:numRef>
              <c:f>'43 zamestnanosť'!$B$9:$AK$9</c:f>
              <c:numCache>
                <c:formatCode>General</c:formatCode>
                <c:ptCount val="36"/>
                <c:pt idx="0">
                  <c:v>6.8</c:v>
                </c:pt>
                <c:pt idx="1">
                  <c:v>6.9</c:v>
                </c:pt>
                <c:pt idx="2">
                  <c:v>7</c:v>
                </c:pt>
                <c:pt idx="3">
                  <c:v>7.4</c:v>
                </c:pt>
                <c:pt idx="4">
                  <c:v>8.3000000000000007</c:v>
                </c:pt>
                <c:pt idx="5">
                  <c:v>8.9</c:v>
                </c:pt>
                <c:pt idx="6">
                  <c:v>9.1999999999999993</c:v>
                </c:pt>
                <c:pt idx="7">
                  <c:v>9.4</c:v>
                </c:pt>
                <c:pt idx="8">
                  <c:v>9.6999999999999993</c:v>
                </c:pt>
                <c:pt idx="9">
                  <c:v>9.6999999999999993</c:v>
                </c:pt>
                <c:pt idx="10">
                  <c:v>9.6</c:v>
                </c:pt>
                <c:pt idx="11">
                  <c:v>9.6</c:v>
                </c:pt>
                <c:pt idx="12">
                  <c:v>9.5</c:v>
                </c:pt>
                <c:pt idx="13">
                  <c:v>9.5</c:v>
                </c:pt>
                <c:pt idx="14">
                  <c:v>9.6999999999999993</c:v>
                </c:pt>
                <c:pt idx="15">
                  <c:v>10</c:v>
                </c:pt>
                <c:pt idx="16">
                  <c:v>10.199999999999999</c:v>
                </c:pt>
                <c:pt idx="17">
                  <c:v>10.4</c:v>
                </c:pt>
                <c:pt idx="18">
                  <c:v>10.6</c:v>
                </c:pt>
                <c:pt idx="19">
                  <c:v>10.8</c:v>
                </c:pt>
                <c:pt idx="20">
                  <c:v>10.9</c:v>
                </c:pt>
                <c:pt idx="21">
                  <c:v>11</c:v>
                </c:pt>
                <c:pt idx="22">
                  <c:v>10.9</c:v>
                </c:pt>
                <c:pt idx="23">
                  <c:v>10.7</c:v>
                </c:pt>
                <c:pt idx="24">
                  <c:v>10.5</c:v>
                </c:pt>
                <c:pt idx="25">
                  <c:v>10.3</c:v>
                </c:pt>
                <c:pt idx="26">
                  <c:v>10.1</c:v>
                </c:pt>
                <c:pt idx="27">
                  <c:v>10</c:v>
                </c:pt>
                <c:pt idx="28">
                  <c:v>9.6999999999999993</c:v>
                </c:pt>
                <c:pt idx="29">
                  <c:v>9.6</c:v>
                </c:pt>
                <c:pt idx="30">
                  <c:v>9.3000000000000007</c:v>
                </c:pt>
                <c:pt idx="31">
                  <c:v>9</c:v>
                </c:pt>
                <c:pt idx="32">
                  <c:v>8.8000000000000007</c:v>
                </c:pt>
                <c:pt idx="33">
                  <c:v>8.6</c:v>
                </c:pt>
                <c:pt idx="34">
                  <c:v>8.5</c:v>
                </c:pt>
                <c:pt idx="35">
                  <c:v>8.1999999999999993</c:v>
                </c:pt>
              </c:numCache>
            </c:numRef>
          </c:val>
          <c:smooth val="0"/>
        </c:ser>
        <c:dLbls>
          <c:showLegendKey val="0"/>
          <c:showVal val="0"/>
          <c:showCatName val="0"/>
          <c:showSerName val="0"/>
          <c:showPercent val="0"/>
          <c:showBubbleSize val="0"/>
        </c:dLbls>
        <c:smooth val="0"/>
        <c:axId val="138770792"/>
        <c:axId val="138771184"/>
      </c:lineChart>
      <c:catAx>
        <c:axId val="138770792"/>
        <c:scaling>
          <c:orientation val="minMax"/>
        </c:scaling>
        <c:delete val="0"/>
        <c:axPos val="b"/>
        <c:numFmt formatCode="General" sourceLinked="0"/>
        <c:majorTickMark val="out"/>
        <c:minorTickMark val="none"/>
        <c:tickLblPos val="low"/>
        <c:txPr>
          <a:bodyPr rot="-5400000" vert="horz"/>
          <a:lstStyle/>
          <a:p>
            <a:pPr>
              <a:defRPr sz="800"/>
            </a:pPr>
            <a:endParaRPr lang="en-US"/>
          </a:p>
        </c:txPr>
        <c:crossAx val="138771184"/>
        <c:crosses val="autoZero"/>
        <c:auto val="1"/>
        <c:lblAlgn val="ctr"/>
        <c:lblOffset val="100"/>
        <c:tickLblSkip val="2"/>
        <c:noMultiLvlLbl val="0"/>
      </c:catAx>
      <c:valAx>
        <c:axId val="138771184"/>
        <c:scaling>
          <c:orientation val="minMax"/>
          <c:min val="2"/>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1000"/>
            </a:pPr>
            <a:endParaRPr lang="en-US"/>
          </a:p>
        </c:txPr>
        <c:crossAx val="138770792"/>
        <c:crosses val="autoZero"/>
        <c:crossBetween val="between"/>
      </c:valAx>
    </c:plotArea>
    <c:legend>
      <c:legendPos val="l"/>
      <c:layout>
        <c:manualLayout>
          <c:xMode val="edge"/>
          <c:yMode val="edge"/>
          <c:x val="9.4627142195460853E-2"/>
          <c:y val="9.3777234156410087E-3"/>
          <c:w val="0.90137679481241295"/>
          <c:h val="0.13281205520951669"/>
        </c:manualLayout>
      </c:layout>
      <c:overlay val="1"/>
      <c:spPr>
        <a:solidFill>
          <a:sysClr val="window" lastClr="FFFFFF"/>
        </a:solidFill>
      </c:spPr>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89673722177659176"/>
          <c:h val="0.87780149903942417"/>
        </c:manualLayout>
      </c:layout>
      <c:barChart>
        <c:barDir val="col"/>
        <c:grouping val="clustered"/>
        <c:varyColors val="0"/>
        <c:ser>
          <c:idx val="0"/>
          <c:order val="0"/>
          <c:tx>
            <c:strRef>
              <c:f>'43 zamestnanosť'!$B$79</c:f>
              <c:strCache>
                <c:ptCount val="1"/>
                <c:pt idx="0">
                  <c:v>3Q 2015 - ľavá os</c:v>
                </c:pt>
              </c:strCache>
            </c:strRef>
          </c:tx>
          <c:spPr>
            <a:solidFill>
              <a:srgbClr val="2C9ADC"/>
            </a:solidFill>
          </c:spPr>
          <c:invertIfNegative val="0"/>
          <c:cat>
            <c:strRef>
              <c:f>'43 zamestnanosť'!$A$80:$A$84</c:f>
              <c:strCache>
                <c:ptCount val="5"/>
                <c:pt idx="0">
                  <c:v>SK</c:v>
                </c:pt>
                <c:pt idx="1">
                  <c:v>CZ</c:v>
                </c:pt>
                <c:pt idx="2">
                  <c:v>HU</c:v>
                </c:pt>
                <c:pt idx="3">
                  <c:v>PL</c:v>
                </c:pt>
                <c:pt idx="4">
                  <c:v>EÚ</c:v>
                </c:pt>
              </c:strCache>
            </c:strRef>
          </c:cat>
          <c:val>
            <c:numRef>
              <c:f>'43 zamestnanosť'!$B$80:$B$84</c:f>
              <c:numCache>
                <c:formatCode>#\ ##0.0</c:formatCode>
                <c:ptCount val="5"/>
                <c:pt idx="0">
                  <c:v>7.6</c:v>
                </c:pt>
                <c:pt idx="1">
                  <c:v>2.4</c:v>
                </c:pt>
                <c:pt idx="2">
                  <c:v>3</c:v>
                </c:pt>
                <c:pt idx="3">
                  <c:v>2.7</c:v>
                </c:pt>
                <c:pt idx="4">
                  <c:v>4.3</c:v>
                </c:pt>
              </c:numCache>
            </c:numRef>
          </c:val>
        </c:ser>
        <c:ser>
          <c:idx val="2"/>
          <c:order val="1"/>
          <c:tx>
            <c:strRef>
              <c:f>'43 zamestnanosť'!$C$79</c:f>
              <c:strCache>
                <c:ptCount val="1"/>
                <c:pt idx="0">
                  <c:v>3Q 2016 - ľavá os</c:v>
                </c:pt>
              </c:strCache>
            </c:strRef>
          </c:tx>
          <c:spPr>
            <a:solidFill>
              <a:srgbClr val="AAD3F2"/>
            </a:solidFill>
          </c:spPr>
          <c:invertIfNegative val="0"/>
          <c:cat>
            <c:strRef>
              <c:f>'43 zamestnanosť'!$A$80:$A$84</c:f>
              <c:strCache>
                <c:ptCount val="5"/>
                <c:pt idx="0">
                  <c:v>SK</c:v>
                </c:pt>
                <c:pt idx="1">
                  <c:v>CZ</c:v>
                </c:pt>
                <c:pt idx="2">
                  <c:v>HU</c:v>
                </c:pt>
                <c:pt idx="3">
                  <c:v>PL</c:v>
                </c:pt>
                <c:pt idx="4">
                  <c:v>EÚ</c:v>
                </c:pt>
              </c:strCache>
            </c:strRef>
          </c:cat>
          <c:val>
            <c:numRef>
              <c:f>'43 zamestnanosť'!$C$80:$C$84</c:f>
              <c:numCache>
                <c:formatCode>#\ ##0.0</c:formatCode>
                <c:ptCount val="5"/>
                <c:pt idx="0">
                  <c:v>5.6</c:v>
                </c:pt>
                <c:pt idx="1">
                  <c:v>1.6</c:v>
                </c:pt>
                <c:pt idx="2">
                  <c:v>2.2000000000000002</c:v>
                </c:pt>
                <c:pt idx="3">
                  <c:v>2</c:v>
                </c:pt>
                <c:pt idx="4">
                  <c:v>3.8</c:v>
                </c:pt>
              </c:numCache>
            </c:numRef>
          </c:val>
        </c:ser>
        <c:dLbls>
          <c:showLegendKey val="0"/>
          <c:showVal val="0"/>
          <c:showCatName val="0"/>
          <c:showSerName val="0"/>
          <c:showPercent val="0"/>
          <c:showBubbleSize val="0"/>
        </c:dLbls>
        <c:gapWidth val="150"/>
        <c:axId val="252583784"/>
        <c:axId val="252584176"/>
      </c:barChart>
      <c:lineChart>
        <c:grouping val="standard"/>
        <c:varyColors val="0"/>
        <c:ser>
          <c:idx val="1"/>
          <c:order val="2"/>
          <c:tx>
            <c:strRef>
              <c:f>'43 zamestnanosť'!$D$79</c:f>
              <c:strCache>
                <c:ptCount val="1"/>
                <c:pt idx="0">
                  <c:v>% podiel na celk. miere nezamestnanosti (3Q 2015)</c:v>
                </c:pt>
              </c:strCache>
            </c:strRef>
          </c:tx>
          <c:spPr>
            <a:ln w="28575">
              <a:noFill/>
            </a:ln>
          </c:spPr>
          <c:marker>
            <c:symbol val="diamond"/>
            <c:size val="7"/>
            <c:spPr>
              <a:solidFill>
                <a:srgbClr val="333F50"/>
              </a:solidFill>
              <a:ln>
                <a:solidFill>
                  <a:srgbClr val="333F50"/>
                </a:solidFill>
              </a:ln>
            </c:spPr>
          </c:marker>
          <c:cat>
            <c:strRef>
              <c:f>'43 zamestnanosť'!$A$80:$A$84</c:f>
              <c:strCache>
                <c:ptCount val="5"/>
                <c:pt idx="0">
                  <c:v>SK</c:v>
                </c:pt>
                <c:pt idx="1">
                  <c:v>CZ</c:v>
                </c:pt>
                <c:pt idx="2">
                  <c:v>HU</c:v>
                </c:pt>
                <c:pt idx="3">
                  <c:v>PL</c:v>
                </c:pt>
                <c:pt idx="4">
                  <c:v>EÚ</c:v>
                </c:pt>
              </c:strCache>
            </c:strRef>
          </c:cat>
          <c:val>
            <c:numRef>
              <c:f>'43 zamestnanosť'!$D$80:$D$84</c:f>
              <c:numCache>
                <c:formatCode>0.00</c:formatCode>
                <c:ptCount val="5"/>
                <c:pt idx="0">
                  <c:v>67</c:v>
                </c:pt>
                <c:pt idx="1">
                  <c:v>48.5</c:v>
                </c:pt>
                <c:pt idx="2">
                  <c:v>47.4</c:v>
                </c:pt>
                <c:pt idx="3">
                  <c:v>45.6</c:v>
                </c:pt>
                <c:pt idx="4">
                  <c:v>47.8</c:v>
                </c:pt>
              </c:numCache>
            </c:numRef>
          </c:val>
          <c:smooth val="0"/>
        </c:ser>
        <c:ser>
          <c:idx val="3"/>
          <c:order val="3"/>
          <c:tx>
            <c:strRef>
              <c:f>'43 zamestnanosť'!$E$79</c:f>
              <c:strCache>
                <c:ptCount val="1"/>
                <c:pt idx="0">
                  <c:v>% podiel na celk. miere nezamestnanosti (3Q 2016)</c:v>
                </c:pt>
              </c:strCache>
            </c:strRef>
          </c:tx>
          <c:spPr>
            <a:ln w="28575">
              <a:noFill/>
            </a:ln>
          </c:spPr>
          <c:marker>
            <c:symbol val="x"/>
            <c:size val="5"/>
          </c:marker>
          <c:cat>
            <c:strRef>
              <c:f>'43 zamestnanosť'!$A$80:$A$84</c:f>
              <c:strCache>
                <c:ptCount val="5"/>
                <c:pt idx="0">
                  <c:v>SK</c:v>
                </c:pt>
                <c:pt idx="1">
                  <c:v>CZ</c:v>
                </c:pt>
                <c:pt idx="2">
                  <c:v>HU</c:v>
                </c:pt>
                <c:pt idx="3">
                  <c:v>PL</c:v>
                </c:pt>
                <c:pt idx="4">
                  <c:v>EÚ</c:v>
                </c:pt>
              </c:strCache>
            </c:strRef>
          </c:cat>
          <c:val>
            <c:numRef>
              <c:f>'43 zamestnanosť'!$E$80:$E$84</c:f>
              <c:numCache>
                <c:formatCode>0.00</c:formatCode>
                <c:ptCount val="5"/>
                <c:pt idx="0">
                  <c:v>59</c:v>
                </c:pt>
                <c:pt idx="1">
                  <c:v>39.299999999999997</c:v>
                </c:pt>
                <c:pt idx="2">
                  <c:v>45.6</c:v>
                </c:pt>
                <c:pt idx="3">
                  <c:v>33.700000000000003</c:v>
                </c:pt>
                <c:pt idx="4">
                  <c:v>46.2</c:v>
                </c:pt>
              </c:numCache>
            </c:numRef>
          </c:val>
          <c:smooth val="0"/>
        </c:ser>
        <c:dLbls>
          <c:showLegendKey val="0"/>
          <c:showVal val="0"/>
          <c:showCatName val="0"/>
          <c:showSerName val="0"/>
          <c:showPercent val="0"/>
          <c:showBubbleSize val="0"/>
        </c:dLbls>
        <c:marker val="1"/>
        <c:smooth val="0"/>
        <c:axId val="252584568"/>
        <c:axId val="252584960"/>
      </c:lineChart>
      <c:catAx>
        <c:axId val="252583784"/>
        <c:scaling>
          <c:orientation val="minMax"/>
        </c:scaling>
        <c:delete val="0"/>
        <c:axPos val="b"/>
        <c:numFmt formatCode="General" sourceLinked="1"/>
        <c:majorTickMark val="out"/>
        <c:minorTickMark val="none"/>
        <c:tickLblPos val="nextTo"/>
        <c:crossAx val="252584176"/>
        <c:crosses val="autoZero"/>
        <c:auto val="1"/>
        <c:lblAlgn val="ctr"/>
        <c:lblOffset val="100"/>
        <c:noMultiLvlLbl val="0"/>
      </c:catAx>
      <c:valAx>
        <c:axId val="25258417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2583784"/>
        <c:crosses val="autoZero"/>
        <c:crossBetween val="between"/>
      </c:valAx>
      <c:catAx>
        <c:axId val="252584568"/>
        <c:scaling>
          <c:orientation val="minMax"/>
        </c:scaling>
        <c:delete val="1"/>
        <c:axPos val="b"/>
        <c:numFmt formatCode="General" sourceLinked="1"/>
        <c:majorTickMark val="out"/>
        <c:minorTickMark val="none"/>
        <c:tickLblPos val="nextTo"/>
        <c:crossAx val="252584960"/>
        <c:crosses val="autoZero"/>
        <c:auto val="1"/>
        <c:lblAlgn val="ctr"/>
        <c:lblOffset val="100"/>
        <c:noMultiLvlLbl val="0"/>
      </c:catAx>
      <c:valAx>
        <c:axId val="252584960"/>
        <c:scaling>
          <c:orientation val="minMax"/>
        </c:scaling>
        <c:delete val="0"/>
        <c:axPos val="r"/>
        <c:numFmt formatCode="#,##0" sourceLinked="0"/>
        <c:majorTickMark val="out"/>
        <c:minorTickMark val="none"/>
        <c:tickLblPos val="nextTo"/>
        <c:crossAx val="252584568"/>
        <c:crosses val="max"/>
        <c:crossBetween val="between"/>
      </c:valAx>
    </c:plotArea>
    <c:legend>
      <c:legendPos val="r"/>
      <c:layout>
        <c:manualLayout>
          <c:xMode val="edge"/>
          <c:yMode val="edge"/>
          <c:x val="0.22081665364348541"/>
          <c:y val="1.6241036880699191E-2"/>
          <c:w val="0.68656448478291354"/>
          <c:h val="0.32661782948773194"/>
        </c:manualLayout>
      </c:layout>
      <c:overlay val="0"/>
      <c:spPr>
        <a:solidFill>
          <a:sysClr val="window" lastClr="FFFFFF"/>
        </a:solidFill>
      </c:spPr>
      <c:txPr>
        <a:bodyPr/>
        <a:lstStyle/>
        <a:p>
          <a:pPr>
            <a:defRPr sz="600"/>
          </a:pPr>
          <a:endParaRPr lang="en-US"/>
        </a:p>
      </c:txPr>
    </c:legend>
    <c:plotVisOnly val="1"/>
    <c:dispBlanksAs val="gap"/>
    <c:showDLblsOverMax val="0"/>
  </c:chart>
  <c:spPr>
    <a:ln>
      <a:noFill/>
    </a:ln>
  </c:spPr>
  <c:txPr>
    <a:bodyPr/>
    <a:lstStyle/>
    <a:p>
      <a:pPr>
        <a:defRPr sz="800">
          <a:latin typeface="Arial Narrow"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2155711718831"/>
          <c:y val="5.5734528669191721E-2"/>
          <c:w val="0.78892783563344893"/>
          <c:h val="0.78078424746262931"/>
        </c:manualLayout>
      </c:layout>
      <c:scatterChart>
        <c:scatterStyle val="lineMarker"/>
        <c:varyColors val="0"/>
        <c:ser>
          <c:idx val="0"/>
          <c:order val="0"/>
          <c:spPr>
            <a:ln w="28575">
              <a:noFill/>
            </a:ln>
          </c:spPr>
          <c:marker>
            <c:symbol val="circle"/>
            <c:size val="7"/>
            <c:spPr>
              <a:solidFill>
                <a:srgbClr val="2C9ADC"/>
              </a:solidFill>
              <a:ln>
                <a:noFill/>
              </a:ln>
            </c:spPr>
          </c:marker>
          <c:dPt>
            <c:idx val="0"/>
            <c:marker>
              <c:symbol val="circle"/>
              <c:size val="12"/>
            </c:marker>
            <c:bubble3D val="0"/>
          </c:dPt>
          <c:dPt>
            <c:idx val="11"/>
            <c:marker>
              <c:spPr>
                <a:solidFill>
                  <a:schemeClr val="tx1"/>
                </a:solidFill>
                <a:ln>
                  <a:noFill/>
                </a:ln>
              </c:spPr>
            </c:marker>
            <c:bubble3D val="0"/>
          </c:dPt>
          <c:dPt>
            <c:idx val="23"/>
            <c:marker>
              <c:spPr>
                <a:solidFill>
                  <a:schemeClr val="tx1"/>
                </a:solidFill>
                <a:ln>
                  <a:noFill/>
                </a:ln>
              </c:spPr>
            </c:marker>
            <c:bubble3D val="0"/>
          </c:dPt>
          <c:dPt>
            <c:idx val="35"/>
            <c:marker>
              <c:spPr>
                <a:solidFill>
                  <a:schemeClr val="tx1"/>
                </a:solidFill>
                <a:ln>
                  <a:noFill/>
                </a:ln>
              </c:spPr>
            </c:marker>
            <c:bubble3D val="0"/>
          </c:dPt>
          <c:dPt>
            <c:idx val="46"/>
            <c:marker>
              <c:spPr>
                <a:solidFill>
                  <a:schemeClr val="tx1"/>
                </a:solidFill>
                <a:ln>
                  <a:noFill/>
                </a:ln>
              </c:spPr>
            </c:marker>
            <c:bubble3D val="0"/>
          </c:dPt>
          <c:dPt>
            <c:idx val="57"/>
            <c:marker>
              <c:symbol val="circle"/>
              <c:size val="8"/>
            </c:marker>
            <c:bubble3D val="0"/>
          </c:dPt>
          <c:dPt>
            <c:idx val="58"/>
            <c:bubble3D val="0"/>
          </c:dPt>
          <c:dPt>
            <c:idx val="68"/>
            <c:marker>
              <c:symbol val="circle"/>
              <c:size val="12"/>
            </c:marker>
            <c:bubble3D val="0"/>
          </c:dPt>
          <c:dPt>
            <c:idx val="69"/>
            <c:marker>
              <c:symbol val="circle"/>
              <c:size val="8"/>
            </c:marker>
            <c:bubble3D val="0"/>
          </c:dPt>
          <c:dPt>
            <c:idx val="71"/>
            <c:marker>
              <c:symbol val="circle"/>
              <c:size val="8"/>
            </c:marker>
            <c:bubble3D val="0"/>
          </c:dPt>
          <c:dPt>
            <c:idx val="73"/>
            <c:bubble3D val="0"/>
          </c:dPt>
          <c:dPt>
            <c:idx val="75"/>
            <c:bubble3D val="0"/>
          </c:dPt>
          <c:dPt>
            <c:idx val="78"/>
            <c:bubble3D val="0"/>
          </c:dPt>
          <c:dPt>
            <c:idx val="79"/>
            <c:bubble3D val="0"/>
          </c:dPt>
          <c:dPt>
            <c:idx val="80"/>
            <c:bubble3D val="0"/>
          </c:dPt>
          <c:dPt>
            <c:idx val="81"/>
            <c:bubble3D val="0"/>
          </c:dPt>
          <c:dPt>
            <c:idx val="82"/>
            <c:bubble3D val="0"/>
          </c:dPt>
          <c:dPt>
            <c:idx val="83"/>
            <c:bubble3D val="0"/>
          </c:dPt>
          <c:dPt>
            <c:idx val="84"/>
            <c:bubble3D val="0"/>
          </c:dPt>
          <c:dPt>
            <c:idx val="86"/>
            <c:bubble3D val="0"/>
          </c:dPt>
          <c:dPt>
            <c:idx val="87"/>
            <c:bubble3D val="0"/>
          </c:dPt>
          <c:dPt>
            <c:idx val="88"/>
            <c:bubble3D val="0"/>
          </c:dPt>
          <c:dPt>
            <c:idx val="89"/>
            <c:bubble3D val="0"/>
          </c:dPt>
          <c:dPt>
            <c:idx val="93"/>
            <c:bubble3D val="0"/>
          </c:dPt>
          <c:dPt>
            <c:idx val="97"/>
            <c:marker>
              <c:symbol val="circle"/>
              <c:size val="8"/>
            </c:marker>
            <c:bubble3D val="0"/>
          </c:dPt>
          <c:dPt>
            <c:idx val="107"/>
            <c:marker>
              <c:spPr>
                <a:solidFill>
                  <a:schemeClr val="tx1"/>
                </a:solidFill>
                <a:ln>
                  <a:noFill/>
                </a:ln>
              </c:spPr>
            </c:marker>
            <c:bubble3D val="0"/>
          </c:dPt>
          <c:dPt>
            <c:idx val="119"/>
            <c:marker>
              <c:spPr>
                <a:solidFill>
                  <a:schemeClr val="tx1"/>
                </a:solidFill>
                <a:ln>
                  <a:noFill/>
                </a:ln>
              </c:spPr>
            </c:marker>
            <c:bubble3D val="0"/>
          </c:dPt>
          <c:dPt>
            <c:idx val="123"/>
            <c:bubble3D val="0"/>
          </c:dPt>
          <c:dPt>
            <c:idx val="124"/>
            <c:bubble3D val="0"/>
          </c:dPt>
          <c:dPt>
            <c:idx val="125"/>
            <c:bubble3D val="0"/>
          </c:dPt>
          <c:dPt>
            <c:idx val="127"/>
            <c:bubble3D val="0"/>
          </c:dPt>
          <c:dPt>
            <c:idx val="128"/>
            <c:bubble3D val="0"/>
          </c:dPt>
          <c:dPt>
            <c:idx val="129"/>
            <c:bubble3D val="0"/>
          </c:dPt>
          <c:dPt>
            <c:idx val="130"/>
            <c:bubble3D val="0"/>
          </c:dPt>
          <c:dPt>
            <c:idx val="131"/>
            <c:marker>
              <c:spPr>
                <a:solidFill>
                  <a:schemeClr val="tx1"/>
                </a:solidFill>
                <a:ln>
                  <a:noFill/>
                </a:ln>
              </c:spPr>
            </c:marker>
            <c:bubble3D val="0"/>
          </c:dPt>
          <c:dPt>
            <c:idx val="132"/>
            <c:bubble3D val="0"/>
          </c:dPt>
          <c:dPt>
            <c:idx val="133"/>
            <c:marker>
              <c:spPr>
                <a:solidFill>
                  <a:srgbClr val="FF0000"/>
                </a:solidFill>
                <a:ln>
                  <a:noFill/>
                </a:ln>
              </c:spPr>
            </c:marker>
            <c:bubble3D val="0"/>
          </c:dPt>
          <c:xVal>
            <c:numRef>
              <c:f>'Monthly data'!$AJ$161:$AJ$294</c:f>
              <c:numCache>
                <c:formatCode>0.0</c:formatCode>
                <c:ptCount val="134"/>
                <c:pt idx="0">
                  <c:v>11.124045636974277</c:v>
                </c:pt>
                <c:pt idx="1">
                  <c:v>11.056388021027219</c:v>
                </c:pt>
                <c:pt idx="2">
                  <c:v>10.998421985058403</c:v>
                </c:pt>
                <c:pt idx="3">
                  <c:v>10.933071192140901</c:v>
                </c:pt>
                <c:pt idx="4">
                  <c:v>10.737187063490943</c:v>
                </c:pt>
                <c:pt idx="5">
                  <c:v>10.544806420073735</c:v>
                </c:pt>
                <c:pt idx="6">
                  <c:v>10.351783472839797</c:v>
                </c:pt>
                <c:pt idx="7">
                  <c:v>10.119033589403442</c:v>
                </c:pt>
                <c:pt idx="8">
                  <c:v>9.8575025338603712</c:v>
                </c:pt>
                <c:pt idx="9">
                  <c:v>9.6203943494064355</c:v>
                </c:pt>
                <c:pt idx="10">
                  <c:v>9.447284430113962</c:v>
                </c:pt>
                <c:pt idx="11">
                  <c:v>9.2739493724567694</c:v>
                </c:pt>
                <c:pt idx="12">
                  <c:v>8.9554125585638751</c:v>
                </c:pt>
                <c:pt idx="13">
                  <c:v>8.7837614107407447</c:v>
                </c:pt>
                <c:pt idx="14">
                  <c:v>8.612778454671032</c:v>
                </c:pt>
                <c:pt idx="15">
                  <c:v>8.4745886969633855</c:v>
                </c:pt>
                <c:pt idx="16">
                  <c:v>8.5130718585046186</c:v>
                </c:pt>
                <c:pt idx="17">
                  <c:v>8.4405030966542629</c:v>
                </c:pt>
                <c:pt idx="18">
                  <c:v>8.3808789076685599</c:v>
                </c:pt>
                <c:pt idx="19">
                  <c:v>8.3821709063008711</c:v>
                </c:pt>
                <c:pt idx="20">
                  <c:v>8.336735589859007</c:v>
                </c:pt>
                <c:pt idx="21">
                  <c:v>8.2143205596868505</c:v>
                </c:pt>
                <c:pt idx="22">
                  <c:v>8.0812483982216765</c:v>
                </c:pt>
                <c:pt idx="23">
                  <c:v>7.9393093497119702</c:v>
                </c:pt>
                <c:pt idx="24">
                  <c:v>7.6817468408356824</c:v>
                </c:pt>
                <c:pt idx="25">
                  <c:v>7.5039026711239538</c:v>
                </c:pt>
                <c:pt idx="26">
                  <c:v>7.2900113435536067</c:v>
                </c:pt>
                <c:pt idx="27">
                  <c:v>7.3677432728138923</c:v>
                </c:pt>
                <c:pt idx="28">
                  <c:v>7.5801222753244417</c:v>
                </c:pt>
                <c:pt idx="29">
                  <c:v>7.4427648889473748</c:v>
                </c:pt>
                <c:pt idx="30">
                  <c:v>7.4819215942695321</c:v>
                </c:pt>
                <c:pt idx="31">
                  <c:v>7.5338667852567012</c:v>
                </c:pt>
                <c:pt idx="32">
                  <c:v>7.5743875088912418</c:v>
                </c:pt>
                <c:pt idx="33">
                  <c:v>7.7878932061247896</c:v>
                </c:pt>
                <c:pt idx="34">
                  <c:v>8.1272234463031552</c:v>
                </c:pt>
                <c:pt idx="35">
                  <c:v>8.4205180005029536</c:v>
                </c:pt>
                <c:pt idx="36">
                  <c:v>8.7146032983767157</c:v>
                </c:pt>
                <c:pt idx="37">
                  <c:v>9.403397144744071</c:v>
                </c:pt>
                <c:pt idx="38">
                  <c:v>10.072037996617281</c:v>
                </c:pt>
                <c:pt idx="39">
                  <c:v>10.832576905475436</c:v>
                </c:pt>
                <c:pt idx="40">
                  <c:v>11.520287840789614</c:v>
                </c:pt>
                <c:pt idx="41">
                  <c:v>11.816178488474858</c:v>
                </c:pt>
                <c:pt idx="42">
                  <c:v>12.073075231682855</c:v>
                </c:pt>
                <c:pt idx="43">
                  <c:v>12.241824591104484</c:v>
                </c:pt>
                <c:pt idx="44">
                  <c:v>12.483957683962894</c:v>
                </c:pt>
                <c:pt idx="45">
                  <c:v>12.642924461696008</c:v>
                </c:pt>
                <c:pt idx="46">
                  <c:v>12.710895701879965</c:v>
                </c:pt>
                <c:pt idx="47">
                  <c:v>12.717177383368176</c:v>
                </c:pt>
                <c:pt idx="48">
                  <c:v>12.601293902273762</c:v>
                </c:pt>
                <c:pt idx="49">
                  <c:v>12.626456670573582</c:v>
                </c:pt>
                <c:pt idx="50">
                  <c:v>12.569857606694335</c:v>
                </c:pt>
                <c:pt idx="51">
                  <c:v>12.460179986887917</c:v>
                </c:pt>
                <c:pt idx="52">
                  <c:v>12.38210517303863</c:v>
                </c:pt>
                <c:pt idx="53">
                  <c:v>12.369153229703787</c:v>
                </c:pt>
                <c:pt idx="54">
                  <c:v>12.368141373753019</c:v>
                </c:pt>
                <c:pt idx="55">
                  <c:v>12.403310200909029</c:v>
                </c:pt>
                <c:pt idx="56">
                  <c:v>12.469599863654278</c:v>
                </c:pt>
                <c:pt idx="57">
                  <c:v>12.498451941111176</c:v>
                </c:pt>
                <c:pt idx="58">
                  <c:v>12.475028912479683</c:v>
                </c:pt>
                <c:pt idx="59">
                  <c:v>12.496679337214818</c:v>
                </c:pt>
                <c:pt idx="60">
                  <c:v>12.672067816483887</c:v>
                </c:pt>
                <c:pt idx="61">
                  <c:v>12.785073995296598</c:v>
                </c:pt>
                <c:pt idx="62">
                  <c:v>12.84169723940555</c:v>
                </c:pt>
                <c:pt idx="63">
                  <c:v>12.880711273587139</c:v>
                </c:pt>
                <c:pt idx="64">
                  <c:v>12.997544426747007</c:v>
                </c:pt>
                <c:pt idx="65">
                  <c:v>13.048896606056434</c:v>
                </c:pt>
                <c:pt idx="66">
                  <c:v>13.251909501280052</c:v>
                </c:pt>
                <c:pt idx="67">
                  <c:v>13.350216111983357</c:v>
                </c:pt>
                <c:pt idx="68">
                  <c:v>13.422269271188336</c:v>
                </c:pt>
                <c:pt idx="69">
                  <c:v>13.471429475479663</c:v>
                </c:pt>
                <c:pt idx="70">
                  <c:v>13.520441849049897</c:v>
                </c:pt>
                <c:pt idx="71">
                  <c:v>13.567706457061831</c:v>
                </c:pt>
                <c:pt idx="72">
                  <c:v>13.377257079480263</c:v>
                </c:pt>
                <c:pt idx="73">
                  <c:v>13.389628432729349</c:v>
                </c:pt>
                <c:pt idx="74">
                  <c:v>13.414287544281628</c:v>
                </c:pt>
                <c:pt idx="75">
                  <c:v>13.385209261232381</c:v>
                </c:pt>
                <c:pt idx="76">
                  <c:v>13.359721791968008</c:v>
                </c:pt>
                <c:pt idx="77">
                  <c:v>13.426515073960148</c:v>
                </c:pt>
                <c:pt idx="78">
                  <c:v>13.42098004583524</c:v>
                </c:pt>
                <c:pt idx="79">
                  <c:v>13.407293873436219</c:v>
                </c:pt>
                <c:pt idx="80">
                  <c:v>13.497550952245454</c:v>
                </c:pt>
                <c:pt idx="81">
                  <c:v>13.828409322482301</c:v>
                </c:pt>
                <c:pt idx="82">
                  <c:v>14.062764217991838</c:v>
                </c:pt>
                <c:pt idx="83">
                  <c:v>14.380985319136597</c:v>
                </c:pt>
                <c:pt idx="84">
                  <c:v>14.486874854819135</c:v>
                </c:pt>
                <c:pt idx="85">
                  <c:v>14.380769404462148</c:v>
                </c:pt>
                <c:pt idx="86">
                  <c:v>14.427479063874433</c:v>
                </c:pt>
                <c:pt idx="87">
                  <c:v>14.474846096404889</c:v>
                </c:pt>
                <c:pt idx="88">
                  <c:v>14.444803736248762</c:v>
                </c:pt>
                <c:pt idx="89">
                  <c:v>14.342116135941177</c:v>
                </c:pt>
                <c:pt idx="90">
                  <c:v>14.132010344732443</c:v>
                </c:pt>
                <c:pt idx="91">
                  <c:v>13.869827245644345</c:v>
                </c:pt>
                <c:pt idx="92">
                  <c:v>13.86718283570093</c:v>
                </c:pt>
                <c:pt idx="93">
                  <c:v>13.755938951015576</c:v>
                </c:pt>
                <c:pt idx="94">
                  <c:v>13.577283198047564</c:v>
                </c:pt>
                <c:pt idx="95">
                  <c:v>13.426202567451989</c:v>
                </c:pt>
                <c:pt idx="96">
                  <c:v>13.331640355304716</c:v>
                </c:pt>
                <c:pt idx="97">
                  <c:v>13.212314887614825</c:v>
                </c:pt>
                <c:pt idx="98">
                  <c:v>13.129547703073458</c:v>
                </c:pt>
                <c:pt idx="99">
                  <c:v>13.030701275910078</c:v>
                </c:pt>
                <c:pt idx="100">
                  <c:v>12.998153643989841</c:v>
                </c:pt>
                <c:pt idx="101">
                  <c:v>12.871922293497528</c:v>
                </c:pt>
                <c:pt idx="102">
                  <c:v>12.774938783514386</c:v>
                </c:pt>
                <c:pt idx="103">
                  <c:v>12.667574228515125</c:v>
                </c:pt>
                <c:pt idx="104">
                  <c:v>12.425261472518047</c:v>
                </c:pt>
                <c:pt idx="105">
                  <c:v>12.393902545995113</c:v>
                </c:pt>
                <c:pt idx="106">
                  <c:v>12.302782330777752</c:v>
                </c:pt>
                <c:pt idx="107">
                  <c:v>12.218868011514425</c:v>
                </c:pt>
                <c:pt idx="108">
                  <c:v>12.165201361315267</c:v>
                </c:pt>
                <c:pt idx="109">
                  <c:v>12.097599794077784</c:v>
                </c:pt>
                <c:pt idx="110">
                  <c:v>11.954731339026772</c:v>
                </c:pt>
                <c:pt idx="111">
                  <c:v>11.817573973002753</c:v>
                </c:pt>
                <c:pt idx="112">
                  <c:v>11.695993322536358</c:v>
                </c:pt>
                <c:pt idx="113">
                  <c:v>11.636178894733979</c:v>
                </c:pt>
                <c:pt idx="114">
                  <c:v>11.516777737303972</c:v>
                </c:pt>
                <c:pt idx="115">
                  <c:v>11.368414973374158</c:v>
                </c:pt>
                <c:pt idx="116">
                  <c:v>11.308144645643004</c:v>
                </c:pt>
                <c:pt idx="117">
                  <c:v>10.982450102859739</c:v>
                </c:pt>
                <c:pt idx="118">
                  <c:v>10.812507362987938</c:v>
                </c:pt>
                <c:pt idx="119">
                  <c:v>10.55684108201778</c:v>
                </c:pt>
                <c:pt idx="120">
                  <c:v>10.212608558171478</c:v>
                </c:pt>
                <c:pt idx="121">
                  <c:v>9.9381777811690419</c:v>
                </c:pt>
                <c:pt idx="122">
                  <c:v>9.8108732558262624</c:v>
                </c:pt>
                <c:pt idx="123">
                  <c:v>9.8198782484660896</c:v>
                </c:pt>
                <c:pt idx="124">
                  <c:v>9.6865261584223834</c:v>
                </c:pt>
                <c:pt idx="125">
                  <c:v>9.5403090564966355</c:v>
                </c:pt>
                <c:pt idx="126">
                  <c:v>9.4610639686659912</c:v>
                </c:pt>
                <c:pt idx="127">
                  <c:v>9.449374175573567</c:v>
                </c:pt>
                <c:pt idx="128">
                  <c:v>9.2986020972824761</c:v>
                </c:pt>
                <c:pt idx="129">
                  <c:v>9.042773184113619</c:v>
                </c:pt>
                <c:pt idx="130">
                  <c:v>8.8154953886128862</c:v>
                </c:pt>
                <c:pt idx="131">
                  <c:v>8.6785334723499243</c:v>
                </c:pt>
                <c:pt idx="132">
                  <c:v>8.4768425183831901</c:v>
                </c:pt>
                <c:pt idx="133">
                  <c:v>8.2788927577064371</c:v>
                </c:pt>
              </c:numCache>
            </c:numRef>
          </c:xVal>
          <c:yVal>
            <c:numRef>
              <c:f>'Monthly data'!$AQ$161:$AQ$294</c:f>
              <c:numCache>
                <c:formatCode>0.0</c:formatCode>
                <c:ptCount val="134"/>
                <c:pt idx="0">
                  <c:v>0.6665750870530206</c:v>
                </c:pt>
                <c:pt idx="1">
                  <c:v>0.67533629040665621</c:v>
                </c:pt>
                <c:pt idx="2">
                  <c:v>0.75325664763450773</c:v>
                </c:pt>
                <c:pt idx="3">
                  <c:v>0.84505168573495681</c:v>
                </c:pt>
                <c:pt idx="4">
                  <c:v>0.92338507819144655</c:v>
                </c:pt>
                <c:pt idx="5">
                  <c:v>0.96783120275682821</c:v>
                </c:pt>
                <c:pt idx="6">
                  <c:v>0.97480182884050048</c:v>
                </c:pt>
                <c:pt idx="7">
                  <c:v>0.99050192639756474</c:v>
                </c:pt>
                <c:pt idx="8">
                  <c:v>1.0282617042208206</c:v>
                </c:pt>
                <c:pt idx="9">
                  <c:v>1.0923646657172561</c:v>
                </c:pt>
                <c:pt idx="10">
                  <c:v>1.0772771820726854</c:v>
                </c:pt>
                <c:pt idx="11">
                  <c:v>1.0962678084687258</c:v>
                </c:pt>
                <c:pt idx="12">
                  <c:v>1.1147443918131594</c:v>
                </c:pt>
                <c:pt idx="13">
                  <c:v>1.1238818900856495</c:v>
                </c:pt>
                <c:pt idx="14">
                  <c:v>1.1455194422863979</c:v>
                </c:pt>
                <c:pt idx="15">
                  <c:v>1.0376388784257244</c:v>
                </c:pt>
                <c:pt idx="16">
                  <c:v>1.0343151745617634</c:v>
                </c:pt>
                <c:pt idx="17">
                  <c:v>1.1077471632021119</c:v>
                </c:pt>
                <c:pt idx="18">
                  <c:v>1.0649843377542083</c:v>
                </c:pt>
                <c:pt idx="19">
                  <c:v>1.0183050511862757</c:v>
                </c:pt>
                <c:pt idx="20">
                  <c:v>1.0101695931275327</c:v>
                </c:pt>
                <c:pt idx="21">
                  <c:v>0.97529454769494894</c:v>
                </c:pt>
                <c:pt idx="22">
                  <c:v>1.0144109920645676</c:v>
                </c:pt>
                <c:pt idx="23">
                  <c:v>1.0068919663174707</c:v>
                </c:pt>
                <c:pt idx="24">
                  <c:v>0.98840013772636526</c:v>
                </c:pt>
                <c:pt idx="25">
                  <c:v>1.0288211215403489</c:v>
                </c:pt>
                <c:pt idx="26">
                  <c:v>0.86831687140065605</c:v>
                </c:pt>
                <c:pt idx="27">
                  <c:v>0.85865963140526347</c:v>
                </c:pt>
                <c:pt idx="28">
                  <c:v>0.82496016320221399</c:v>
                </c:pt>
                <c:pt idx="29">
                  <c:v>0.75582825577714896</c:v>
                </c:pt>
                <c:pt idx="30">
                  <c:v>0.69916009273797208</c:v>
                </c:pt>
                <c:pt idx="31">
                  <c:v>0.69252425499300818</c:v>
                </c:pt>
                <c:pt idx="32">
                  <c:v>0.65210038139073945</c:v>
                </c:pt>
                <c:pt idx="33">
                  <c:v>0.62250842277214502</c:v>
                </c:pt>
                <c:pt idx="34">
                  <c:v>0.54849926067443477</c:v>
                </c:pt>
                <c:pt idx="35">
                  <c:v>0.48744856307219203</c:v>
                </c:pt>
                <c:pt idx="36">
                  <c:v>0.40104172602583849</c:v>
                </c:pt>
                <c:pt idx="37">
                  <c:v>0.39017123965357708</c:v>
                </c:pt>
                <c:pt idx="38">
                  <c:v>0.32617809343816034</c:v>
                </c:pt>
                <c:pt idx="39">
                  <c:v>0.29981573945187096</c:v>
                </c:pt>
                <c:pt idx="40">
                  <c:v>0.26799790293022413</c:v>
                </c:pt>
                <c:pt idx="41">
                  <c:v>0.24182497048955434</c:v>
                </c:pt>
                <c:pt idx="42">
                  <c:v>0.24591083307290346</c:v>
                </c:pt>
                <c:pt idx="43">
                  <c:v>0.25208985101984416</c:v>
                </c:pt>
                <c:pt idx="44">
                  <c:v>0.24609865149618151</c:v>
                </c:pt>
                <c:pt idx="45">
                  <c:v>0.21519436838546785</c:v>
                </c:pt>
                <c:pt idx="46">
                  <c:v>0.20944411664086615</c:v>
                </c:pt>
                <c:pt idx="47">
                  <c:v>0.2189305200218272</c:v>
                </c:pt>
                <c:pt idx="48">
                  <c:v>0.21248343679236881</c:v>
                </c:pt>
                <c:pt idx="49">
                  <c:v>0.20593694743453039</c:v>
                </c:pt>
                <c:pt idx="50">
                  <c:v>0.2444268016167136</c:v>
                </c:pt>
                <c:pt idx="51">
                  <c:v>0.24391198970928618</c:v>
                </c:pt>
                <c:pt idx="52">
                  <c:v>0.23694714145294057</c:v>
                </c:pt>
                <c:pt idx="53">
                  <c:v>0.2390903159613498</c:v>
                </c:pt>
                <c:pt idx="54">
                  <c:v>0.24889860932676011</c:v>
                </c:pt>
                <c:pt idx="55">
                  <c:v>0.25659543492237469</c:v>
                </c:pt>
                <c:pt idx="56">
                  <c:v>0.25149373688305943</c:v>
                </c:pt>
                <c:pt idx="57">
                  <c:v>0.24222200833864338</c:v>
                </c:pt>
                <c:pt idx="58">
                  <c:v>0.29229252733633898</c:v>
                </c:pt>
                <c:pt idx="59">
                  <c:v>0.3067241889233665</c:v>
                </c:pt>
                <c:pt idx="60">
                  <c:v>0.31576701193670936</c:v>
                </c:pt>
                <c:pt idx="61">
                  <c:v>0.32002322438527414</c:v>
                </c:pt>
                <c:pt idx="62">
                  <c:v>0.35269833889086061</c:v>
                </c:pt>
                <c:pt idx="63">
                  <c:v>0.33058530855160417</c:v>
                </c:pt>
                <c:pt idx="64">
                  <c:v>0.3274458770548242</c:v>
                </c:pt>
                <c:pt idx="65">
                  <c:v>0.3193302165318761</c:v>
                </c:pt>
                <c:pt idx="66">
                  <c:v>0.26438132062187086</c:v>
                </c:pt>
                <c:pt idx="67">
                  <c:v>0.27139661421607086</c:v>
                </c:pt>
                <c:pt idx="68">
                  <c:v>0.30634608350895304</c:v>
                </c:pt>
                <c:pt idx="69">
                  <c:v>0.30344369285896616</c:v>
                </c:pt>
                <c:pt idx="70">
                  <c:v>0.31026710711427263</c:v>
                </c:pt>
                <c:pt idx="71">
                  <c:v>0.28945997292149406</c:v>
                </c:pt>
                <c:pt idx="72">
                  <c:v>0.27808661194607626</c:v>
                </c:pt>
                <c:pt idx="73">
                  <c:v>0.25502586532412652</c:v>
                </c:pt>
                <c:pt idx="74">
                  <c:v>0.22357132397332699</c:v>
                </c:pt>
                <c:pt idx="75">
                  <c:v>0.21672442494136734</c:v>
                </c:pt>
                <c:pt idx="76">
                  <c:v>0.20930023047698812</c:v>
                </c:pt>
                <c:pt idx="77">
                  <c:v>0.20171417040889009</c:v>
                </c:pt>
                <c:pt idx="78">
                  <c:v>0.20784340192147119</c:v>
                </c:pt>
                <c:pt idx="79">
                  <c:v>0.21740127321607711</c:v>
                </c:pt>
                <c:pt idx="80">
                  <c:v>0.17772243443582664</c:v>
                </c:pt>
                <c:pt idx="81">
                  <c:v>0.16744218078382633</c:v>
                </c:pt>
                <c:pt idx="82">
                  <c:v>0.15606590510760834</c:v>
                </c:pt>
                <c:pt idx="83">
                  <c:v>0.16477179651786311</c:v>
                </c:pt>
                <c:pt idx="84">
                  <c:v>0.17525105298548851</c:v>
                </c:pt>
                <c:pt idx="85">
                  <c:v>0.18803724411579795</c:v>
                </c:pt>
                <c:pt idx="86">
                  <c:v>0.18976624387430527</c:v>
                </c:pt>
                <c:pt idx="87">
                  <c:v>0.20167757403280751</c:v>
                </c:pt>
                <c:pt idx="88">
                  <c:v>0.20069209527146153</c:v>
                </c:pt>
                <c:pt idx="89">
                  <c:v>0.20562295104583544</c:v>
                </c:pt>
                <c:pt idx="90">
                  <c:v>0.22121567976600703</c:v>
                </c:pt>
                <c:pt idx="91">
                  <c:v>0.20321880431073761</c:v>
                </c:pt>
                <c:pt idx="92">
                  <c:v>0.2128574208957186</c:v>
                </c:pt>
                <c:pt idx="93">
                  <c:v>0.23524159460415064</c:v>
                </c:pt>
                <c:pt idx="94">
                  <c:v>0.23928897804917554</c:v>
                </c:pt>
                <c:pt idx="95">
                  <c:v>0.24736567169487636</c:v>
                </c:pt>
                <c:pt idx="96">
                  <c:v>0.1796086235719852</c:v>
                </c:pt>
                <c:pt idx="97">
                  <c:v>0.19668121832909718</c:v>
                </c:pt>
                <c:pt idx="98">
                  <c:v>0.19433517955738425</c:v>
                </c:pt>
                <c:pt idx="99">
                  <c:v>0.23761789311524464</c:v>
                </c:pt>
                <c:pt idx="100">
                  <c:v>0.29723947832454001</c:v>
                </c:pt>
                <c:pt idx="101">
                  <c:v>0.30274391711842746</c:v>
                </c:pt>
                <c:pt idx="102">
                  <c:v>0.31620964339093433</c:v>
                </c:pt>
                <c:pt idx="103">
                  <c:v>0.35679699336464576</c:v>
                </c:pt>
                <c:pt idx="104">
                  <c:v>0.36748521736837769</c:v>
                </c:pt>
                <c:pt idx="105">
                  <c:v>0.39359094430775493</c:v>
                </c:pt>
                <c:pt idx="106">
                  <c:v>0.39959465852023035</c:v>
                </c:pt>
                <c:pt idx="107">
                  <c:v>0.42025942909757658</c:v>
                </c:pt>
                <c:pt idx="108" formatCode="0.00">
                  <c:v>0.42313286352286783</c:v>
                </c:pt>
                <c:pt idx="109" formatCode="0.00">
                  <c:v>0.50556357214079828</c:v>
                </c:pt>
                <c:pt idx="110" formatCode="0.00">
                  <c:v>0.61383992110644026</c:v>
                </c:pt>
                <c:pt idx="111" formatCode="0.00">
                  <c:v>0.63376398623092001</c:v>
                </c:pt>
                <c:pt idx="112" formatCode="0.00">
                  <c:v>0.76888861161763311</c:v>
                </c:pt>
                <c:pt idx="113" formatCode="0.00">
                  <c:v>0.86031094161639099</c:v>
                </c:pt>
                <c:pt idx="114" formatCode="0.00">
                  <c:v>0.92178339028872891</c:v>
                </c:pt>
                <c:pt idx="115" formatCode="0.00">
                  <c:v>0.95195120579559478</c:v>
                </c:pt>
                <c:pt idx="116" formatCode="0.00">
                  <c:v>1.0682525867999648</c:v>
                </c:pt>
                <c:pt idx="117" formatCode="0.00">
                  <c:v>1.134069462315288</c:v>
                </c:pt>
                <c:pt idx="118" formatCode="0.00">
                  <c:v>1.3019935196217889</c:v>
                </c:pt>
                <c:pt idx="119" formatCode="0.00">
                  <c:v>1.2657914841667273</c:v>
                </c:pt>
                <c:pt idx="120" formatCode="0.00">
                  <c:v>1.3496697849274835</c:v>
                </c:pt>
                <c:pt idx="121" formatCode="0.00">
                  <c:v>1.4576944501588778</c:v>
                </c:pt>
                <c:pt idx="122" formatCode="0.00">
                  <c:v>1.3960162334351771</c:v>
                </c:pt>
                <c:pt idx="123" formatCode="0.00">
                  <c:v>1.5077295920618261</c:v>
                </c:pt>
                <c:pt idx="124" formatCode="0.00">
                  <c:v>1.4178683589042511</c:v>
                </c:pt>
                <c:pt idx="125" formatCode="0.00">
                  <c:v>1.3606263992076282</c:v>
                </c:pt>
                <c:pt idx="126" formatCode="0.00">
                  <c:v>1.3021804079032879</c:v>
                </c:pt>
                <c:pt idx="127" formatCode="0.00">
                  <c:v>1.3584016250209954</c:v>
                </c:pt>
                <c:pt idx="128" formatCode="0.00">
                  <c:v>1.3951952869162207</c:v>
                </c:pt>
                <c:pt idx="129" formatCode="0.00">
                  <c:v>1.4069356590133415</c:v>
                </c:pt>
                <c:pt idx="130" formatCode="0.00">
                  <c:v>1.3777277686346632</c:v>
                </c:pt>
                <c:pt idx="131" formatCode="0.00">
                  <c:v>1.6015702485959671</c:v>
                </c:pt>
                <c:pt idx="132" formatCode="0.00">
                  <c:v>1.633420846537927</c:v>
                </c:pt>
                <c:pt idx="133" formatCode="0.00">
                  <c:v>1.7235542421855554</c:v>
                </c:pt>
              </c:numCache>
            </c:numRef>
          </c:yVal>
          <c:smooth val="0"/>
        </c:ser>
        <c:dLbls>
          <c:showLegendKey val="0"/>
          <c:showVal val="0"/>
          <c:showCatName val="0"/>
          <c:showSerName val="0"/>
          <c:showPercent val="0"/>
          <c:showBubbleSize val="0"/>
        </c:dLbls>
        <c:axId val="252585744"/>
        <c:axId val="252586136"/>
      </c:scatterChart>
      <c:valAx>
        <c:axId val="252585744"/>
        <c:scaling>
          <c:orientation val="minMax"/>
          <c:min val="7"/>
        </c:scaling>
        <c:delete val="0"/>
        <c:axPos val="b"/>
        <c:majorGridlines>
          <c:spPr>
            <a:ln>
              <a:solidFill>
                <a:schemeClr val="bg1">
                  <a:lumMod val="85000"/>
                </a:schemeClr>
              </a:solidFill>
            </a:ln>
          </c:spPr>
        </c:majorGridlines>
        <c:title>
          <c:tx>
            <c:rich>
              <a:bodyPr/>
              <a:lstStyle/>
              <a:p>
                <a:pPr>
                  <a:defRPr/>
                </a:pPr>
                <a:r>
                  <a:rPr lang="sk-SK"/>
                  <a:t>Disponibilná</a:t>
                </a:r>
                <a:r>
                  <a:rPr lang="sk-SK" baseline="0"/>
                  <a:t> miera nezamestnanosti, SA IFP</a:t>
                </a:r>
                <a:endParaRPr lang="en-US"/>
              </a:p>
            </c:rich>
          </c:tx>
          <c:layout/>
          <c:overlay val="0"/>
        </c:title>
        <c:numFmt formatCode="0" sourceLinked="0"/>
        <c:majorTickMark val="out"/>
        <c:minorTickMark val="none"/>
        <c:tickLblPos val="nextTo"/>
        <c:txPr>
          <a:bodyPr rot="0" vert="horz"/>
          <a:lstStyle/>
          <a:p>
            <a:pPr>
              <a:defRPr/>
            </a:pPr>
            <a:endParaRPr lang="en-US"/>
          </a:p>
        </c:txPr>
        <c:crossAx val="252586136"/>
        <c:crosses val="autoZero"/>
        <c:crossBetween val="midCat"/>
      </c:valAx>
      <c:valAx>
        <c:axId val="252586136"/>
        <c:scaling>
          <c:orientation val="minMax"/>
        </c:scaling>
        <c:delete val="0"/>
        <c:axPos val="l"/>
        <c:majorGridlines>
          <c:spPr>
            <a:ln>
              <a:solidFill>
                <a:schemeClr val="bg1">
                  <a:lumMod val="85000"/>
                </a:schemeClr>
              </a:solidFill>
              <a:prstDash val="sysDot"/>
            </a:ln>
          </c:spPr>
        </c:majorGridlines>
        <c:title>
          <c:tx>
            <c:rich>
              <a:bodyPr rot="-5400000" vert="horz"/>
              <a:lstStyle/>
              <a:p>
                <a:pPr>
                  <a:defRPr/>
                </a:pPr>
                <a:r>
                  <a:rPr lang="sk-SK"/>
                  <a:t>Miera voľných pracovných miest, SA IFP</a:t>
                </a:r>
                <a:endParaRPr lang="en-US"/>
              </a:p>
            </c:rich>
          </c:tx>
          <c:layout/>
          <c:overlay val="0"/>
        </c:title>
        <c:numFmt formatCode="0.0" sourceLinked="1"/>
        <c:majorTickMark val="out"/>
        <c:minorTickMark val="none"/>
        <c:tickLblPos val="nextTo"/>
        <c:txPr>
          <a:bodyPr rot="0" vert="horz"/>
          <a:lstStyle/>
          <a:p>
            <a:pPr>
              <a:defRPr/>
            </a:pPr>
            <a:endParaRPr lang="en-US"/>
          </a:p>
        </c:txPr>
        <c:crossAx val="252585744"/>
        <c:crosses val="autoZero"/>
        <c:crossBetween val="midCat"/>
      </c:valAx>
    </c:plotArea>
    <c:plotVisOnly val="1"/>
    <c:dispBlanksAs val="gap"/>
    <c:showDLblsOverMax val="0"/>
  </c:chart>
  <c:spPr>
    <a:ln>
      <a:noFill/>
    </a:ln>
  </c:spPr>
  <c:txPr>
    <a:bodyPr/>
    <a:lstStyle/>
    <a:p>
      <a:pPr algn="ctr">
        <a:spcAft>
          <a:spcPts val="0"/>
        </a:spcAft>
        <a:defRPr sz="800" b="0" i="0" u="none" strike="noStrike" baseline="0">
          <a:solidFill>
            <a:srgbClr val="000000"/>
          </a:solidFill>
          <a:latin typeface="Arial Narrow"/>
          <a:ea typeface="Arial Narrow"/>
          <a:cs typeface="Arial Narrow"/>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7658594562475"/>
          <c:y val="2.7984251968503938E-2"/>
          <c:w val="0.80986995493487834"/>
          <c:h val="0.80825590551181115"/>
        </c:manualLayout>
      </c:layout>
      <c:scatterChart>
        <c:scatterStyle val="lineMarker"/>
        <c:varyColors val="0"/>
        <c:ser>
          <c:idx val="0"/>
          <c:order val="0"/>
          <c:spPr>
            <a:ln w="25400" cap="rnd">
              <a:noFill/>
              <a:round/>
            </a:ln>
            <a:effectLst/>
          </c:spPr>
          <c:marker>
            <c:symbol val="circle"/>
            <c:size val="6"/>
            <c:spPr>
              <a:solidFill>
                <a:srgbClr val="7F7F7F"/>
              </a:solidFill>
              <a:ln w="9525">
                <a:solidFill>
                  <a:srgbClr val="7F7F7F"/>
                </a:solidFill>
              </a:ln>
              <a:effectLst/>
            </c:spPr>
          </c:marker>
          <c:dPt>
            <c:idx val="0"/>
            <c:marker>
              <c:symbol val="circle"/>
              <c:size val="6"/>
              <c:spPr>
                <a:solidFill>
                  <a:srgbClr val="2C9ADC"/>
                </a:solidFill>
                <a:ln w="9525">
                  <a:solidFill>
                    <a:srgbClr val="2C9ADC"/>
                  </a:solidFill>
                </a:ln>
                <a:effectLst/>
              </c:spPr>
            </c:marker>
            <c:bubble3D val="0"/>
          </c:dPt>
          <c:dPt>
            <c:idx val="1"/>
            <c:marker>
              <c:symbol val="circle"/>
              <c:size val="6"/>
              <c:spPr>
                <a:solidFill>
                  <a:srgbClr val="2C9ADC"/>
                </a:solidFill>
                <a:ln w="9525">
                  <a:solidFill>
                    <a:srgbClr val="2C9ADC"/>
                  </a:solidFill>
                </a:ln>
                <a:effectLst/>
              </c:spPr>
            </c:marker>
            <c:bubble3D val="0"/>
          </c:dPt>
          <c:dPt>
            <c:idx val="2"/>
            <c:marker>
              <c:symbol val="circle"/>
              <c:size val="6"/>
              <c:spPr>
                <a:solidFill>
                  <a:srgbClr val="2C9ADC"/>
                </a:solidFill>
                <a:ln w="9525">
                  <a:solidFill>
                    <a:srgbClr val="2C9ADC"/>
                  </a:solidFill>
                </a:ln>
                <a:effectLst/>
              </c:spPr>
            </c:marker>
            <c:bubble3D val="0"/>
          </c:dPt>
          <c:dPt>
            <c:idx val="3"/>
            <c:marker>
              <c:symbol val="circle"/>
              <c:size val="6"/>
              <c:spPr>
                <a:solidFill>
                  <a:srgbClr val="2C9ADC"/>
                </a:solidFill>
                <a:ln w="9525">
                  <a:solidFill>
                    <a:srgbClr val="2C9ADC"/>
                  </a:solidFill>
                </a:ln>
                <a:effectLst/>
              </c:spPr>
            </c:marker>
            <c:bubble3D val="0"/>
          </c:dPt>
          <c:dPt>
            <c:idx val="4"/>
            <c:marker>
              <c:symbol val="circle"/>
              <c:size val="6"/>
              <c:spPr>
                <a:solidFill>
                  <a:srgbClr val="2C9ADC"/>
                </a:solidFill>
                <a:ln w="9525">
                  <a:solidFill>
                    <a:srgbClr val="2C9ADC"/>
                  </a:solidFill>
                </a:ln>
                <a:effectLst/>
              </c:spPr>
            </c:marker>
            <c:bubble3D val="0"/>
          </c:dPt>
          <c:trendline>
            <c:spPr>
              <a:ln w="19050" cap="rnd">
                <a:solidFill>
                  <a:schemeClr val="tx1"/>
                </a:solidFill>
                <a:prstDash val="sysDot"/>
              </a:ln>
              <a:effectLst/>
            </c:spPr>
            <c:trendlineType val="power"/>
            <c:dispRSqr val="0"/>
            <c:dispEq val="0"/>
          </c:trendline>
          <c:xVal>
            <c:numRef>
              <c:f>vacancy_rate_201612!$I$2:$I$80</c:f>
              <c:numCache>
                <c:formatCode>General</c:formatCode>
                <c:ptCount val="79"/>
                <c:pt idx="0">
                  <c:v>4.1099897615913417</c:v>
                </c:pt>
                <c:pt idx="1">
                  <c:v>4.8251492628244179</c:v>
                </c:pt>
                <c:pt idx="2">
                  <c:v>4.6927286327309945</c:v>
                </c:pt>
                <c:pt idx="3">
                  <c:v>3.5055952981685414</c:v>
                </c:pt>
                <c:pt idx="4">
                  <c:v>6.2543186989129511</c:v>
                </c:pt>
                <c:pt idx="5">
                  <c:v>4.4612384202827888</c:v>
                </c:pt>
                <c:pt idx="6">
                  <c:v>4.6987087517934008</c:v>
                </c:pt>
                <c:pt idx="7">
                  <c:v>4.7489696515548889</c:v>
                </c:pt>
                <c:pt idx="8">
                  <c:v>6.5352923224484449</c:v>
                </c:pt>
                <c:pt idx="9">
                  <c:v>3.2949663613520306</c:v>
                </c:pt>
                <c:pt idx="10">
                  <c:v>6.0838471646618819</c:v>
                </c:pt>
                <c:pt idx="11">
                  <c:v>22.595645740858171</c:v>
                </c:pt>
                <c:pt idx="12">
                  <c:v>16.792063046749469</c:v>
                </c:pt>
                <c:pt idx="13">
                  <c:v>4.8530570881657473</c:v>
                </c:pt>
                <c:pt idx="14">
                  <c:v>4.8695596640802119</c:v>
                </c:pt>
                <c:pt idx="15">
                  <c:v>5.3561965326671208</c:v>
                </c:pt>
                <c:pt idx="16">
                  <c:v>8.1304918695081305</c:v>
                </c:pt>
                <c:pt idx="17">
                  <c:v>8.3435861520698076</c:v>
                </c:pt>
                <c:pt idx="18">
                  <c:v>9.5541990381058088</c:v>
                </c:pt>
                <c:pt idx="19">
                  <c:v>4.5236363636363635</c:v>
                </c:pt>
                <c:pt idx="20">
                  <c:v>6.4190249105854305</c:v>
                </c:pt>
                <c:pt idx="21">
                  <c:v>8.2519294079550978</c:v>
                </c:pt>
                <c:pt idx="22">
                  <c:v>5.2152438138588924</c:v>
                </c:pt>
                <c:pt idx="23">
                  <c:v>8.5971711884028785</c:v>
                </c:pt>
                <c:pt idx="24">
                  <c:v>3.294785075278202</c:v>
                </c:pt>
                <c:pt idx="25">
                  <c:v>4.8746575062364537</c:v>
                </c:pt>
                <c:pt idx="26">
                  <c:v>9.762069950618292</c:v>
                </c:pt>
                <c:pt idx="27">
                  <c:v>18.337677381986676</c:v>
                </c:pt>
                <c:pt idx="28">
                  <c:v>3.4560930749818213</c:v>
                </c:pt>
                <c:pt idx="29">
                  <c:v>3.8946988820771731</c:v>
                </c:pt>
                <c:pt idx="30">
                  <c:v>12.223254373742066</c:v>
                </c:pt>
                <c:pt idx="31">
                  <c:v>7.1041557075223567</c:v>
                </c:pt>
                <c:pt idx="32">
                  <c:v>6.3705697622252133</c:v>
                </c:pt>
                <c:pt idx="33">
                  <c:v>4.4293239683933274</c:v>
                </c:pt>
                <c:pt idx="34">
                  <c:v>4.7097775478530775</c:v>
                </c:pt>
                <c:pt idx="35">
                  <c:v>13.208927918038786</c:v>
                </c:pt>
                <c:pt idx="36">
                  <c:v>13.408186115949242</c:v>
                </c:pt>
                <c:pt idx="37">
                  <c:v>5.4620916896366003</c:v>
                </c:pt>
                <c:pt idx="38">
                  <c:v>7.4044731549759284</c:v>
                </c:pt>
                <c:pt idx="39">
                  <c:v>4.4554542729693036</c:v>
                </c:pt>
                <c:pt idx="40">
                  <c:v>6.0905478879130071</c:v>
                </c:pt>
                <c:pt idx="41">
                  <c:v>9.1086233202816231</c:v>
                </c:pt>
                <c:pt idx="42">
                  <c:v>11.311567373499383</c:v>
                </c:pt>
                <c:pt idx="43">
                  <c:v>4.8495407031992404</c:v>
                </c:pt>
                <c:pt idx="44">
                  <c:v>13.767658432641463</c:v>
                </c:pt>
                <c:pt idx="45">
                  <c:v>7.8777764990217518</c:v>
                </c:pt>
                <c:pt idx="46">
                  <c:v>7.4110174820777264</c:v>
                </c:pt>
                <c:pt idx="47">
                  <c:v>10.539907513062278</c:v>
                </c:pt>
                <c:pt idx="48">
                  <c:v>14.12248042110669</c:v>
                </c:pt>
                <c:pt idx="49">
                  <c:v>8.626760563380282</c:v>
                </c:pt>
                <c:pt idx="50">
                  <c:v>8.5967714814192036</c:v>
                </c:pt>
                <c:pt idx="51">
                  <c:v>9.8376560377724598</c:v>
                </c:pt>
                <c:pt idx="52">
                  <c:v>6.3921282798833818</c:v>
                </c:pt>
                <c:pt idx="53">
                  <c:v>8.7606112054329373</c:v>
                </c:pt>
                <c:pt idx="54">
                  <c:v>6.9466295534309568</c:v>
                </c:pt>
                <c:pt idx="55">
                  <c:v>6.9583286532629449</c:v>
                </c:pt>
                <c:pt idx="56">
                  <c:v>17.801060664855775</c:v>
                </c:pt>
                <c:pt idx="57">
                  <c:v>15.256288356815627</c:v>
                </c:pt>
                <c:pt idx="58">
                  <c:v>20.530679933665009</c:v>
                </c:pt>
                <c:pt idx="59">
                  <c:v>7.1734266038104764</c:v>
                </c:pt>
                <c:pt idx="60">
                  <c:v>8.7636208247275835</c:v>
                </c:pt>
                <c:pt idx="61">
                  <c:v>6.7809996615141603</c:v>
                </c:pt>
                <c:pt idx="62">
                  <c:v>20.927471222665655</c:v>
                </c:pt>
                <c:pt idx="63">
                  <c:v>11.217948717948719</c:v>
                </c:pt>
                <c:pt idx="64">
                  <c:v>5.6532112772069922</c:v>
                </c:pt>
                <c:pt idx="65">
                  <c:v>7.3106510403221634</c:v>
                </c:pt>
                <c:pt idx="66">
                  <c:v>15.024838316618238</c:v>
                </c:pt>
                <c:pt idx="67">
                  <c:v>17.045091141669332</c:v>
                </c:pt>
                <c:pt idx="68">
                  <c:v>7.8521146912379098</c:v>
                </c:pt>
                <c:pt idx="69">
                  <c:v>16.446161274746498</c:v>
                </c:pt>
                <c:pt idx="70">
                  <c:v>24.578265500755531</c:v>
                </c:pt>
                <c:pt idx="71">
                  <c:v>15.483395610757327</c:v>
                </c:pt>
                <c:pt idx="72">
                  <c:v>16.982531617401627</c:v>
                </c:pt>
                <c:pt idx="73">
                  <c:v>13.736288953141493</c:v>
                </c:pt>
                <c:pt idx="74">
                  <c:v>14.953071672354948</c:v>
                </c:pt>
                <c:pt idx="75">
                  <c:v>17.51432664756447</c:v>
                </c:pt>
                <c:pt idx="76">
                  <c:v>17.507109004739334</c:v>
                </c:pt>
                <c:pt idx="77">
                  <c:v>5.5165122209092612</c:v>
                </c:pt>
                <c:pt idx="78">
                  <c:v>14.664886515353807</c:v>
                </c:pt>
              </c:numCache>
            </c:numRef>
          </c:xVal>
          <c:yVal>
            <c:numRef>
              <c:f>vacancy_rate_201612!$L$2:$L$80</c:f>
              <c:numCache>
                <c:formatCode>General</c:formatCode>
                <c:ptCount val="79"/>
                <c:pt idx="0">
                  <c:v>5.5482424065135785</c:v>
                </c:pt>
                <c:pt idx="1">
                  <c:v>4.2463750456927007</c:v>
                </c:pt>
                <c:pt idx="2">
                  <c:v>4.1533797881973156</c:v>
                </c:pt>
                <c:pt idx="3">
                  <c:v>3.9567811451809196</c:v>
                </c:pt>
                <c:pt idx="4">
                  <c:v>2.9678941602763969</c:v>
                </c:pt>
                <c:pt idx="5">
                  <c:v>2.5326399046535566</c:v>
                </c:pt>
                <c:pt idx="6">
                  <c:v>2.2887203661952586</c:v>
                </c:pt>
                <c:pt idx="7">
                  <c:v>2.1949544148869737</c:v>
                </c:pt>
                <c:pt idx="8">
                  <c:v>2.1711644940489165</c:v>
                </c:pt>
                <c:pt idx="9">
                  <c:v>1.9777903866418094</c:v>
                </c:pt>
                <c:pt idx="10">
                  <c:v>1.9698271505104621</c:v>
                </c:pt>
                <c:pt idx="11">
                  <c:v>1.8125132107376878</c:v>
                </c:pt>
                <c:pt idx="12">
                  <c:v>1.7725522201535362</c:v>
                </c:pt>
                <c:pt idx="13">
                  <c:v>1.7424839545096276</c:v>
                </c:pt>
                <c:pt idx="14">
                  <c:v>1.6859852476290831</c:v>
                </c:pt>
                <c:pt idx="15">
                  <c:v>1.6579604814898932</c:v>
                </c:pt>
                <c:pt idx="16">
                  <c:v>1.6361983638016362</c:v>
                </c:pt>
                <c:pt idx="17">
                  <c:v>1.625939315931934</c:v>
                </c:pt>
                <c:pt idx="18">
                  <c:v>1.6185719570847208</c:v>
                </c:pt>
                <c:pt idx="19">
                  <c:v>1.6</c:v>
                </c:pt>
                <c:pt idx="20">
                  <c:v>1.4776934178327163</c:v>
                </c:pt>
                <c:pt idx="21">
                  <c:v>1.4247935668411678</c:v>
                </c:pt>
                <c:pt idx="22">
                  <c:v>1.2977579778218973</c:v>
                </c:pt>
                <c:pt idx="23">
                  <c:v>1.2533346755926913</c:v>
                </c:pt>
                <c:pt idx="24">
                  <c:v>1.2187899379695146</c:v>
                </c:pt>
                <c:pt idx="25">
                  <c:v>1.1941275099169837</c:v>
                </c:pt>
                <c:pt idx="26">
                  <c:v>1.183528547524793</c:v>
                </c:pt>
                <c:pt idx="27">
                  <c:v>1.175789168838691</c:v>
                </c:pt>
                <c:pt idx="28">
                  <c:v>1.1677146156807392</c:v>
                </c:pt>
                <c:pt idx="29">
                  <c:v>1.1470498488168881</c:v>
                </c:pt>
                <c:pt idx="30">
                  <c:v>1.1224647778293855</c:v>
                </c:pt>
                <c:pt idx="31">
                  <c:v>1.0967911625460285</c:v>
                </c:pt>
                <c:pt idx="32">
                  <c:v>1.0804546134290414</c:v>
                </c:pt>
                <c:pt idx="33">
                  <c:v>1.0755048287971904</c:v>
                </c:pt>
                <c:pt idx="34">
                  <c:v>1.0739782721158819</c:v>
                </c:pt>
                <c:pt idx="35">
                  <c:v>1.0733016221490426</c:v>
                </c:pt>
                <c:pt idx="36">
                  <c:v>1.0543667578999751</c:v>
                </c:pt>
                <c:pt idx="37">
                  <c:v>1.0439438583151157</c:v>
                </c:pt>
                <c:pt idx="38">
                  <c:v>0.93241513803400577</c:v>
                </c:pt>
                <c:pt idx="39">
                  <c:v>0.92035897526314869</c:v>
                </c:pt>
                <c:pt idx="40">
                  <c:v>0.91488916771225426</c:v>
                </c:pt>
                <c:pt idx="41">
                  <c:v>0.91361973565690546</c:v>
                </c:pt>
                <c:pt idx="42">
                  <c:v>0.89083361382250648</c:v>
                </c:pt>
                <c:pt idx="43">
                  <c:v>0.88691796008869184</c:v>
                </c:pt>
                <c:pt idx="44">
                  <c:v>0.86615105358693079</c:v>
                </c:pt>
                <c:pt idx="45">
                  <c:v>0.84014270917251699</c:v>
                </c:pt>
                <c:pt idx="46">
                  <c:v>0.77663187020500568</c:v>
                </c:pt>
                <c:pt idx="47">
                  <c:v>0.76511921205933575</c:v>
                </c:pt>
                <c:pt idx="48">
                  <c:v>0.75105918603158306</c:v>
                </c:pt>
                <c:pt idx="49">
                  <c:v>0.74015521701638398</c:v>
                </c:pt>
                <c:pt idx="50">
                  <c:v>0.7356650411972423</c:v>
                </c:pt>
                <c:pt idx="51">
                  <c:v>0.71470150701765733</c:v>
                </c:pt>
                <c:pt idx="52">
                  <c:v>0.69241982507288635</c:v>
                </c:pt>
                <c:pt idx="53">
                  <c:v>0.67232597623089985</c:v>
                </c:pt>
                <c:pt idx="54">
                  <c:v>0.64141353019484448</c:v>
                </c:pt>
                <c:pt idx="55">
                  <c:v>0.60934516455127485</c:v>
                </c:pt>
                <c:pt idx="56">
                  <c:v>0.58724615185616358</c:v>
                </c:pt>
                <c:pt idx="57">
                  <c:v>0.55896505027804189</c:v>
                </c:pt>
                <c:pt idx="58">
                  <c:v>0.54274084124830391</c:v>
                </c:pt>
                <c:pt idx="59">
                  <c:v>0.51921531142056443</c:v>
                </c:pt>
                <c:pt idx="60">
                  <c:v>0.50922298981554015</c:v>
                </c:pt>
                <c:pt idx="61">
                  <c:v>0.50772876001353939</c:v>
                </c:pt>
                <c:pt idx="62">
                  <c:v>0.4947392724034434</c:v>
                </c:pt>
                <c:pt idx="63">
                  <c:v>0.48693293885601574</c:v>
                </c:pt>
                <c:pt idx="64">
                  <c:v>0.48205677557579002</c:v>
                </c:pt>
                <c:pt idx="65">
                  <c:v>0.4388455779854406</c:v>
                </c:pt>
                <c:pt idx="66">
                  <c:v>0.4311556846939732</c:v>
                </c:pt>
                <c:pt idx="67">
                  <c:v>0.41373520946594178</c:v>
                </c:pt>
                <c:pt idx="68">
                  <c:v>0.40061809649173014</c:v>
                </c:pt>
                <c:pt idx="69">
                  <c:v>0.3766296475132786</c:v>
                </c:pt>
                <c:pt idx="70">
                  <c:v>0.35423220788228588</c:v>
                </c:pt>
                <c:pt idx="71">
                  <c:v>0.34208725856533867</c:v>
                </c:pt>
                <c:pt idx="72">
                  <c:v>0.28928531691577347</c:v>
                </c:pt>
                <c:pt idx="73">
                  <c:v>0.27077883335628067</c:v>
                </c:pt>
                <c:pt idx="74">
                  <c:v>0.19908987485779292</c:v>
                </c:pt>
                <c:pt idx="75">
                  <c:v>0.17908309455587393</c:v>
                </c:pt>
                <c:pt idx="76">
                  <c:v>0.12322274881516589</c:v>
                </c:pt>
                <c:pt idx="77">
                  <c:v>6.841221468996829E-2</c:v>
                </c:pt>
                <c:pt idx="78">
                  <c:v>4.8064085447263018E-2</c:v>
                </c:pt>
              </c:numCache>
            </c:numRef>
          </c:yVal>
          <c:smooth val="0"/>
        </c:ser>
        <c:dLbls>
          <c:showLegendKey val="0"/>
          <c:showVal val="0"/>
          <c:showCatName val="0"/>
          <c:showSerName val="0"/>
          <c:showPercent val="0"/>
          <c:showBubbleSize val="0"/>
        </c:dLbls>
        <c:axId val="252586920"/>
        <c:axId val="252587312"/>
      </c:scatterChart>
      <c:valAx>
        <c:axId val="252586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sz="800" b="0" i="0" u="none" strike="noStrike" baseline="0">
                    <a:solidFill>
                      <a:schemeClr val="tx1"/>
                    </a:solidFill>
                    <a:effectLst/>
                    <a:latin typeface="Arial Narrow" panose="020B0606020202030204" pitchFamily="34" charset="0"/>
                  </a:rPr>
                  <a:t>Disponibilná miera nezamestnanosti</a:t>
                </a:r>
                <a:endParaRPr lang="en-US" sz="800">
                  <a:solidFill>
                    <a:schemeClr val="tx1"/>
                  </a:solidFill>
                  <a:latin typeface="Arial Narrow" panose="020B0606020202030204" pitchFamily="34" charset="0"/>
                </a:endParaRP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252587312"/>
        <c:crosses val="autoZero"/>
        <c:crossBetween val="midCat"/>
      </c:valAx>
      <c:valAx>
        <c:axId val="25258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sk-SK" sz="800" b="0" i="0" u="none" strike="noStrike" baseline="0">
                    <a:solidFill>
                      <a:schemeClr val="tx1"/>
                    </a:solidFill>
                    <a:effectLst/>
                    <a:latin typeface="Arial Narrow" panose="020B0606020202030204" pitchFamily="34" charset="0"/>
                  </a:rPr>
                  <a:t>Miera voľných pracovných miest</a:t>
                </a:r>
                <a:endParaRPr lang="en-US" sz="800">
                  <a:solidFill>
                    <a:schemeClr val="tx1"/>
                  </a:solidFill>
                  <a:latin typeface="Arial Narrow" panose="020B0606020202030204" pitchFamily="34" charset="0"/>
                </a:endParaRPr>
              </a:p>
            </c:rich>
          </c:tx>
          <c:layout>
            <c:manualLayout>
              <c:xMode val="edge"/>
              <c:yMode val="edge"/>
              <c:x val="9.157232704402515E-3"/>
              <c:y val="0.1548622047244094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25258692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spcAft>
          <a:spcPts val="100"/>
        </a:spcAft>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06674165729286"/>
          <c:y val="4.5128205128205132E-2"/>
          <c:w val="0.80910166716965259"/>
          <c:h val="0.79469574671366916"/>
        </c:manualLayout>
      </c:layout>
      <c:scatterChart>
        <c:scatterStyle val="lineMarker"/>
        <c:varyColors val="0"/>
        <c:ser>
          <c:idx val="0"/>
          <c:order val="0"/>
          <c:spPr>
            <a:ln w="25400" cap="rnd">
              <a:noFill/>
              <a:round/>
            </a:ln>
            <a:effectLst/>
          </c:spPr>
          <c:marker>
            <c:symbol val="circle"/>
            <c:size val="5"/>
            <c:spPr>
              <a:solidFill>
                <a:sysClr val="window" lastClr="FFFFFF">
                  <a:lumMod val="50000"/>
                </a:sysClr>
              </a:solidFill>
              <a:ln w="9525">
                <a:solidFill>
                  <a:sysClr val="window" lastClr="FFFFFF">
                    <a:lumMod val="50000"/>
                  </a:sysClr>
                </a:solidFill>
              </a:ln>
              <a:effectLst/>
            </c:spPr>
          </c:marker>
          <c:dPt>
            <c:idx val="2"/>
            <c:marker>
              <c:symbol val="circle"/>
              <c:size val="5"/>
              <c:spPr>
                <a:solidFill>
                  <a:sysClr val="windowText" lastClr="000000"/>
                </a:solidFill>
                <a:ln w="9525">
                  <a:solidFill>
                    <a:sysClr val="windowText" lastClr="000000"/>
                  </a:solidFill>
                </a:ln>
                <a:effectLst/>
              </c:spPr>
            </c:marker>
            <c:bubble3D val="0"/>
          </c:dPt>
          <c:dPt>
            <c:idx val="16"/>
            <c:marker>
              <c:symbol val="circle"/>
              <c:size val="5"/>
              <c:spPr>
                <a:solidFill>
                  <a:sysClr val="windowText" lastClr="000000"/>
                </a:solidFill>
                <a:ln w="9525">
                  <a:solidFill>
                    <a:sysClr val="windowText" lastClr="000000"/>
                  </a:solidFill>
                </a:ln>
                <a:effectLst/>
              </c:spPr>
            </c:marker>
            <c:bubble3D val="0"/>
          </c:dPt>
          <c:dPt>
            <c:idx val="20"/>
            <c:marker>
              <c:symbol val="circle"/>
              <c:size val="5"/>
              <c:spPr>
                <a:solidFill>
                  <a:sysClr val="windowText" lastClr="000000"/>
                </a:solidFill>
                <a:ln w="9525">
                  <a:solidFill>
                    <a:sysClr val="windowText" lastClr="000000"/>
                  </a:solidFill>
                </a:ln>
                <a:effectLst/>
              </c:spPr>
            </c:marker>
            <c:bubble3D val="0"/>
          </c:dPt>
          <c:dPt>
            <c:idx val="24"/>
            <c:marker>
              <c:symbol val="circle"/>
              <c:size val="5"/>
              <c:spPr>
                <a:solidFill>
                  <a:srgbClr val="2C9ADC"/>
                </a:solidFill>
                <a:ln w="9525">
                  <a:solidFill>
                    <a:srgbClr val="2C9ADC"/>
                  </a:solidFill>
                </a:ln>
                <a:effectLst/>
              </c:spPr>
            </c:marker>
            <c:bubble3D val="0"/>
          </c:dPt>
          <c:xVal>
            <c:numRef>
              <c:f>'43 zamestnanosť'!$N$151:$N$178</c:f>
              <c:numCache>
                <c:formatCode>#\ ##0.0</c:formatCode>
                <c:ptCount val="28"/>
                <c:pt idx="0">
                  <c:v>43.4</c:v>
                </c:pt>
                <c:pt idx="1">
                  <c:v>39.799999999999997</c:v>
                </c:pt>
                <c:pt idx="2">
                  <c:v>29</c:v>
                </c:pt>
                <c:pt idx="3">
                  <c:v>60.3</c:v>
                </c:pt>
                <c:pt idx="4">
                  <c:v>52.1</c:v>
                </c:pt>
                <c:pt idx="5">
                  <c:v>42.8</c:v>
                </c:pt>
                <c:pt idx="6">
                  <c:v>42.5</c:v>
                </c:pt>
                <c:pt idx="7">
                  <c:v>54.5</c:v>
                </c:pt>
                <c:pt idx="8">
                  <c:v>67.099999999999994</c:v>
                </c:pt>
                <c:pt idx="9">
                  <c:v>48.4</c:v>
                </c:pt>
                <c:pt idx="10">
                  <c:v>36.5</c:v>
                </c:pt>
                <c:pt idx="11">
                  <c:v>50.2</c:v>
                </c:pt>
                <c:pt idx="12">
                  <c:v>50.4</c:v>
                </c:pt>
                <c:pt idx="13">
                  <c:v>44.6</c:v>
                </c:pt>
                <c:pt idx="14">
                  <c:v>27.3</c:v>
                </c:pt>
                <c:pt idx="15">
                  <c:v>52.4</c:v>
                </c:pt>
                <c:pt idx="16">
                  <c:v>41.1</c:v>
                </c:pt>
                <c:pt idx="17">
                  <c:v>57.1</c:v>
                </c:pt>
                <c:pt idx="18">
                  <c:v>64.3</c:v>
                </c:pt>
                <c:pt idx="19">
                  <c:v>53.4</c:v>
                </c:pt>
                <c:pt idx="20">
                  <c:v>28.2</c:v>
                </c:pt>
                <c:pt idx="21">
                  <c:v>65.599999999999994</c:v>
                </c:pt>
                <c:pt idx="22">
                  <c:v>46.9</c:v>
                </c:pt>
                <c:pt idx="23">
                  <c:v>41.8</c:v>
                </c:pt>
                <c:pt idx="24">
                  <c:v>29.4</c:v>
                </c:pt>
                <c:pt idx="25">
                  <c:v>46.7</c:v>
                </c:pt>
                <c:pt idx="26">
                  <c:v>57.3</c:v>
                </c:pt>
                <c:pt idx="27">
                  <c:v>62.2</c:v>
                </c:pt>
              </c:numCache>
            </c:numRef>
          </c:xVal>
          <c:yVal>
            <c:numRef>
              <c:f>'43 zamestnanosť'!$O$151:$O$178</c:f>
              <c:numCache>
                <c:formatCode>#\ ##0.0</c:formatCode>
                <c:ptCount val="28"/>
                <c:pt idx="0">
                  <c:v>17</c:v>
                </c:pt>
                <c:pt idx="1">
                  <c:v>25.5</c:v>
                </c:pt>
                <c:pt idx="2">
                  <c:v>23.1</c:v>
                </c:pt>
                <c:pt idx="3">
                  <c:v>10</c:v>
                </c:pt>
                <c:pt idx="4">
                  <c:v>11.4</c:v>
                </c:pt>
                <c:pt idx="5">
                  <c:v>13.8</c:v>
                </c:pt>
                <c:pt idx="6">
                  <c:v>17.600000000000001</c:v>
                </c:pt>
                <c:pt idx="7">
                  <c:v>27.2</c:v>
                </c:pt>
                <c:pt idx="8">
                  <c:v>31.2</c:v>
                </c:pt>
                <c:pt idx="9">
                  <c:v>17.8</c:v>
                </c:pt>
                <c:pt idx="10">
                  <c:v>22.8</c:v>
                </c:pt>
                <c:pt idx="11">
                  <c:v>15.9</c:v>
                </c:pt>
                <c:pt idx="12">
                  <c:v>19.399999999999999</c:v>
                </c:pt>
                <c:pt idx="13">
                  <c:v>22.3</c:v>
                </c:pt>
                <c:pt idx="14">
                  <c:v>27.3</c:v>
                </c:pt>
                <c:pt idx="15">
                  <c:v>10.7</c:v>
                </c:pt>
                <c:pt idx="16">
                  <c:v>17.399999999999999</c:v>
                </c:pt>
                <c:pt idx="17">
                  <c:v>8.8000000000000007</c:v>
                </c:pt>
                <c:pt idx="18">
                  <c:v>11.3</c:v>
                </c:pt>
                <c:pt idx="19">
                  <c:v>11.5</c:v>
                </c:pt>
                <c:pt idx="20">
                  <c:v>17.3</c:v>
                </c:pt>
                <c:pt idx="21">
                  <c:v>14.2</c:v>
                </c:pt>
                <c:pt idx="22">
                  <c:v>9.1</c:v>
                </c:pt>
                <c:pt idx="23">
                  <c:v>14.6</c:v>
                </c:pt>
                <c:pt idx="24">
                  <c:v>37.700000000000003</c:v>
                </c:pt>
                <c:pt idx="25">
                  <c:v>18.7</c:v>
                </c:pt>
                <c:pt idx="26">
                  <c:v>19.7</c:v>
                </c:pt>
                <c:pt idx="27">
                  <c:v>10</c:v>
                </c:pt>
              </c:numCache>
            </c:numRef>
          </c:yVal>
          <c:smooth val="0"/>
        </c:ser>
        <c:dLbls>
          <c:showLegendKey val="0"/>
          <c:showVal val="0"/>
          <c:showCatName val="0"/>
          <c:showSerName val="0"/>
          <c:showPercent val="0"/>
          <c:showBubbleSize val="0"/>
        </c:dLbls>
        <c:axId val="252588096"/>
        <c:axId val="252588488"/>
      </c:scatterChart>
      <c:valAx>
        <c:axId val="252588096"/>
        <c:scaling>
          <c:orientation val="minMax"/>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b="0">
                    <a:solidFill>
                      <a:sysClr val="windowText" lastClr="000000"/>
                    </a:solidFill>
                  </a:rPr>
                  <a:t>Miera</a:t>
                </a:r>
                <a:r>
                  <a:rPr lang="sk-SK" sz="800" b="0" baseline="0">
                    <a:solidFill>
                      <a:sysClr val="windowText" lastClr="000000"/>
                    </a:solidFill>
                  </a:rPr>
                  <a:t> aktivity (15-64 r., ISCED 0-2)</a:t>
                </a:r>
                <a:endParaRPr lang="en-US" sz="800" b="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588488"/>
        <c:crosses val="autoZero"/>
        <c:crossBetween val="midCat"/>
      </c:valAx>
      <c:valAx>
        <c:axId val="252588488"/>
        <c:scaling>
          <c:orientation val="minMax"/>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b="0">
                    <a:solidFill>
                      <a:sysClr val="windowText" lastClr="000000"/>
                    </a:solidFill>
                  </a:rPr>
                  <a:t>Miera</a:t>
                </a:r>
                <a:r>
                  <a:rPr lang="sk-SK" sz="800" b="0" baseline="0">
                    <a:solidFill>
                      <a:sysClr val="windowText" lastClr="000000"/>
                    </a:solidFill>
                  </a:rPr>
                  <a:t> nezamestnanosti (15-64 r., ISCED 0-2)</a:t>
                </a:r>
                <a:endParaRPr lang="en-US" sz="800" b="0">
                  <a:solidFill>
                    <a:sysClr val="windowText" lastClr="000000"/>
                  </a:solidFill>
                </a:endParaRPr>
              </a:p>
            </c:rich>
          </c:tx>
          <c:layout>
            <c:manualLayout>
              <c:xMode val="edge"/>
              <c:yMode val="edge"/>
              <c:x val="2.7441135075506858E-3"/>
              <c:y val="5.6626143489386008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5880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4">
    <c:autoUpdate val="0"/>
  </c:externalData>
  <c:userShapes r:id="rId5"/>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7526465441819774E-2"/>
          <c:y val="3.3511956838728485E-2"/>
          <c:w val="0.92930621172353434"/>
          <c:h val="0.76358404990171214"/>
        </c:manualLayout>
      </c:layout>
      <c:lineChart>
        <c:grouping val="standard"/>
        <c:varyColors val="0"/>
        <c:ser>
          <c:idx val="3"/>
          <c:order val="0"/>
          <c:tx>
            <c:strRef>
              <c:f>All!$A$3</c:f>
              <c:strCache>
                <c:ptCount val="1"/>
                <c:pt idx="0">
                  <c:v>EÚ</c:v>
                </c:pt>
              </c:strCache>
            </c:strRef>
          </c:tx>
          <c:spPr>
            <a:ln w="19050">
              <a:solidFill>
                <a:sysClr val="windowText" lastClr="000000"/>
              </a:solidFill>
              <a:prstDash val="solid"/>
            </a:ln>
          </c:spPr>
          <c:marker>
            <c:symbol val="none"/>
          </c:marker>
          <c:cat>
            <c:strRef>
              <c:f>All!$B$2:$K$2</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All!$B$3:$K$3</c:f>
              <c:numCache>
                <c:formatCode>General</c:formatCode>
                <c:ptCount val="10"/>
                <c:pt idx="0" formatCode="#\ ##0.0">
                  <c:v>14.4</c:v>
                </c:pt>
                <c:pt idx="1">
                  <c:v>60.4</c:v>
                </c:pt>
                <c:pt idx="2">
                  <c:v>67.3</c:v>
                </c:pt>
                <c:pt idx="3">
                  <c:v>70.7</c:v>
                </c:pt>
                <c:pt idx="4">
                  <c:v>73.3</c:v>
                </c:pt>
                <c:pt idx="5">
                  <c:v>74.8</c:v>
                </c:pt>
                <c:pt idx="6">
                  <c:v>74.7</c:v>
                </c:pt>
                <c:pt idx="7">
                  <c:v>71.7</c:v>
                </c:pt>
                <c:pt idx="8">
                  <c:v>60.8</c:v>
                </c:pt>
                <c:pt idx="9">
                  <c:v>31.8</c:v>
                </c:pt>
              </c:numCache>
            </c:numRef>
          </c:val>
          <c:smooth val="0"/>
        </c:ser>
        <c:ser>
          <c:idx val="5"/>
          <c:order val="1"/>
          <c:tx>
            <c:strRef>
              <c:f>All!$A$4</c:f>
              <c:strCache>
                <c:ptCount val="1"/>
                <c:pt idx="0">
                  <c:v>SK</c:v>
                </c:pt>
              </c:strCache>
            </c:strRef>
          </c:tx>
          <c:spPr>
            <a:ln w="19050">
              <a:solidFill>
                <a:srgbClr val="2C9ADC"/>
              </a:solidFill>
              <a:prstDash val="solid"/>
            </a:ln>
          </c:spPr>
          <c:marker>
            <c:symbol val="none"/>
          </c:marker>
          <c:cat>
            <c:strRef>
              <c:f>All!$B$2:$K$2</c:f>
              <c:strCache>
                <c:ptCount val="10"/>
                <c:pt idx="0">
                  <c:v>15-19</c:v>
                </c:pt>
                <c:pt idx="1">
                  <c:v>20-24</c:v>
                </c:pt>
                <c:pt idx="2">
                  <c:v>25-29</c:v>
                </c:pt>
                <c:pt idx="3">
                  <c:v>30-34</c:v>
                </c:pt>
                <c:pt idx="4">
                  <c:v>35-39</c:v>
                </c:pt>
                <c:pt idx="5">
                  <c:v>40-44</c:v>
                </c:pt>
                <c:pt idx="6">
                  <c:v>45-49</c:v>
                </c:pt>
                <c:pt idx="7">
                  <c:v>50-54</c:v>
                </c:pt>
                <c:pt idx="8">
                  <c:v>55-59</c:v>
                </c:pt>
                <c:pt idx="9">
                  <c:v>60-64</c:v>
                </c:pt>
              </c:strCache>
            </c:strRef>
          </c:cat>
          <c:val>
            <c:numRef>
              <c:f>All!$B$4:$K$4</c:f>
              <c:numCache>
                <c:formatCode>General</c:formatCode>
                <c:ptCount val="10"/>
                <c:pt idx="0" formatCode="#\ ##0.0">
                  <c:v>2.2000000000000002</c:v>
                </c:pt>
                <c:pt idx="1">
                  <c:v>55.9</c:v>
                </c:pt>
                <c:pt idx="2">
                  <c:v>61.5</c:v>
                </c:pt>
                <c:pt idx="3">
                  <c:v>58.7</c:v>
                </c:pt>
                <c:pt idx="4">
                  <c:v>70.400000000000006</c:v>
                </c:pt>
                <c:pt idx="5">
                  <c:v>80.599999999999994</c:v>
                </c:pt>
                <c:pt idx="6">
                  <c:v>81.5</c:v>
                </c:pt>
                <c:pt idx="7">
                  <c:v>75.599999999999994</c:v>
                </c:pt>
                <c:pt idx="8">
                  <c:v>65.400000000000006</c:v>
                </c:pt>
                <c:pt idx="9">
                  <c:v>15.8</c:v>
                </c:pt>
              </c:numCache>
            </c:numRef>
          </c:val>
          <c:smooth val="0"/>
        </c:ser>
        <c:dLbls>
          <c:showLegendKey val="0"/>
          <c:showVal val="0"/>
          <c:showCatName val="0"/>
          <c:showSerName val="0"/>
          <c:showPercent val="0"/>
          <c:showBubbleSize val="0"/>
        </c:dLbls>
        <c:smooth val="0"/>
        <c:axId val="252589272"/>
        <c:axId val="252589664"/>
      </c:lineChart>
      <c:catAx>
        <c:axId val="252589272"/>
        <c:scaling>
          <c:orientation val="minMax"/>
        </c:scaling>
        <c:delete val="0"/>
        <c:axPos val="b"/>
        <c:title>
          <c:tx>
            <c:rich>
              <a:bodyPr/>
              <a:lstStyle/>
              <a:p>
                <a:pPr>
                  <a:defRPr/>
                </a:pPr>
                <a:r>
                  <a:rPr lang="sk-SK"/>
                  <a:t>Veková</a:t>
                </a:r>
                <a:r>
                  <a:rPr lang="sk-SK" baseline="0"/>
                  <a:t> skupina</a:t>
                </a:r>
                <a:endParaRPr lang="en-US"/>
              </a:p>
            </c:rich>
          </c:tx>
          <c:layout>
            <c:manualLayout>
              <c:xMode val="edge"/>
              <c:yMode val="edge"/>
              <c:x val="0.41011903032416153"/>
              <c:y val="0.92653378578723666"/>
            </c:manualLayout>
          </c:layout>
          <c:overlay val="0"/>
        </c:title>
        <c:numFmt formatCode="General" sourceLinked="0"/>
        <c:majorTickMark val="out"/>
        <c:minorTickMark val="none"/>
        <c:tickLblPos val="low"/>
        <c:txPr>
          <a:bodyPr rot="-5400000" vert="horz"/>
          <a:lstStyle/>
          <a:p>
            <a:pPr>
              <a:defRPr/>
            </a:pPr>
            <a:endParaRPr lang="en-US"/>
          </a:p>
        </c:txPr>
        <c:crossAx val="252589664"/>
        <c:crosses val="autoZero"/>
        <c:auto val="1"/>
        <c:lblAlgn val="ctr"/>
        <c:lblOffset val="100"/>
        <c:noMultiLvlLbl val="0"/>
      </c:catAx>
      <c:valAx>
        <c:axId val="25258966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252589272"/>
        <c:crosses val="autoZero"/>
        <c:crossBetween val="between"/>
      </c:valAx>
    </c:plotArea>
    <c:legend>
      <c:legendPos val="l"/>
      <c:layout>
        <c:manualLayout>
          <c:xMode val="edge"/>
          <c:yMode val="edge"/>
          <c:x val="6.6666666666666666E-2"/>
          <c:y val="3.0446923301254009E-2"/>
          <c:w val="0.47353149606299211"/>
          <c:h val="9.4406532516768754E-2"/>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90125558629496"/>
          <c:y val="4.7774158523344191E-2"/>
          <c:w val="0.83954919486415547"/>
          <c:h val="0.68190617866577763"/>
        </c:manualLayout>
      </c:layout>
      <c:barChart>
        <c:barDir val="col"/>
        <c:grouping val="stacked"/>
        <c:varyColors val="0"/>
        <c:ser>
          <c:idx val="0"/>
          <c:order val="0"/>
          <c:tx>
            <c:strRef>
              <c:f>doprava!$A$7</c:f>
              <c:strCache>
                <c:ptCount val="1"/>
                <c:pt idx="0">
                  <c:v>Diaľnice a RC (NDS)* </c:v>
                </c:pt>
              </c:strCache>
            </c:strRef>
          </c:tx>
          <c:spPr>
            <a:solidFill>
              <a:srgbClr val="2C9ADC"/>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doprava!$B$7:$G$7</c:f>
              <c:numCache>
                <c:formatCode>General</c:formatCode>
                <c:ptCount val="6"/>
                <c:pt idx="0">
                  <c:v>765</c:v>
                </c:pt>
                <c:pt idx="1">
                  <c:v>1052</c:v>
                </c:pt>
                <c:pt idx="2">
                  <c:v>881</c:v>
                </c:pt>
                <c:pt idx="3">
                  <c:v>954</c:v>
                </c:pt>
                <c:pt idx="4">
                  <c:v>832</c:v>
                </c:pt>
                <c:pt idx="5">
                  <c:v>524</c:v>
                </c:pt>
              </c:numCache>
            </c:numRef>
          </c:val>
        </c:ser>
        <c:ser>
          <c:idx val="3"/>
          <c:order val="1"/>
          <c:tx>
            <c:strRef>
              <c:f>doprava!$A$8</c:f>
              <c:strCache>
                <c:ptCount val="1"/>
                <c:pt idx="0">
                  <c:v>Cesty I. triedy</c:v>
                </c:pt>
              </c:strCache>
            </c:strRef>
          </c:tx>
          <c:spPr>
            <a:solidFill>
              <a:srgbClr val="AAD3F2"/>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doprava!$B$8:$G$8</c:f>
              <c:numCache>
                <c:formatCode>General</c:formatCode>
                <c:ptCount val="6"/>
                <c:pt idx="0">
                  <c:v>134</c:v>
                </c:pt>
                <c:pt idx="1">
                  <c:v>356</c:v>
                </c:pt>
                <c:pt idx="2">
                  <c:v>137</c:v>
                </c:pt>
                <c:pt idx="3">
                  <c:v>219</c:v>
                </c:pt>
                <c:pt idx="4">
                  <c:v>237</c:v>
                </c:pt>
                <c:pt idx="5">
                  <c:v>250</c:v>
                </c:pt>
              </c:numCache>
            </c:numRef>
          </c:val>
        </c:ser>
        <c:ser>
          <c:idx val="1"/>
          <c:order val="2"/>
          <c:tx>
            <c:strRef>
              <c:f>doprava!$A$9</c:f>
              <c:strCache>
                <c:ptCount val="1"/>
                <c:pt idx="0">
                  <c:v>ŽSR*</c:v>
                </c:pt>
              </c:strCache>
            </c:strRef>
          </c:tx>
          <c:spPr>
            <a:solidFill>
              <a:schemeClr val="tx1">
                <a:lumMod val="65000"/>
                <a:lumOff val="35000"/>
              </a:schemeClr>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doprava!$B$9:$G$9</c:f>
              <c:numCache>
                <c:formatCode>General</c:formatCode>
                <c:ptCount val="6"/>
                <c:pt idx="0">
                  <c:v>800</c:v>
                </c:pt>
                <c:pt idx="1">
                  <c:v>867</c:v>
                </c:pt>
                <c:pt idx="2">
                  <c:v>563</c:v>
                </c:pt>
                <c:pt idx="3">
                  <c:v>716</c:v>
                </c:pt>
                <c:pt idx="4">
                  <c:v>840</c:v>
                </c:pt>
                <c:pt idx="5">
                  <c:v>562</c:v>
                </c:pt>
              </c:numCache>
            </c:numRef>
          </c:val>
        </c:ser>
        <c:ser>
          <c:idx val="2"/>
          <c:order val="3"/>
          <c:tx>
            <c:strRef>
              <c:f>doprava!$A$10</c:f>
              <c:strCache>
                <c:ptCount val="1"/>
                <c:pt idx="0">
                  <c:v>ZSSK*</c:v>
                </c:pt>
              </c:strCache>
            </c:strRef>
          </c:tx>
          <c:spPr>
            <a:solidFill>
              <a:schemeClr val="bg1">
                <a:lumMod val="75000"/>
              </a:schemeClr>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doprava!$B$10:$G$10</c:f>
              <c:numCache>
                <c:formatCode>General</c:formatCode>
                <c:ptCount val="6"/>
                <c:pt idx="0">
                  <c:v>327</c:v>
                </c:pt>
                <c:pt idx="1">
                  <c:v>432</c:v>
                </c:pt>
                <c:pt idx="2">
                  <c:v>358</c:v>
                </c:pt>
                <c:pt idx="3">
                  <c:v>374</c:v>
                </c:pt>
                <c:pt idx="4">
                  <c:v>436</c:v>
                </c:pt>
                <c:pt idx="5">
                  <c:v>367</c:v>
                </c:pt>
              </c:numCache>
            </c:numRef>
          </c:val>
        </c:ser>
        <c:ser>
          <c:idx val="4"/>
          <c:order val="4"/>
          <c:tx>
            <c:strRef>
              <c:f>doprava!$A$11</c:f>
              <c:strCache>
                <c:ptCount val="1"/>
                <c:pt idx="0">
                  <c:v>PPP projekty</c:v>
                </c:pt>
              </c:strCache>
            </c:strRef>
          </c:tx>
          <c:spPr>
            <a:solidFill>
              <a:srgbClr val="002060"/>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doprava!$B$11:$G$11</c:f>
              <c:numCache>
                <c:formatCode>General</c:formatCode>
                <c:ptCount val="6"/>
                <c:pt idx="0">
                  <c:v>124</c:v>
                </c:pt>
                <c:pt idx="1">
                  <c:v>129</c:v>
                </c:pt>
                <c:pt idx="2">
                  <c:v>131</c:v>
                </c:pt>
                <c:pt idx="3">
                  <c:v>134</c:v>
                </c:pt>
                <c:pt idx="4">
                  <c:v>134</c:v>
                </c:pt>
                <c:pt idx="5">
                  <c:v>134</c:v>
                </c:pt>
              </c:numCache>
            </c:numRef>
          </c:val>
        </c:ser>
        <c:ser>
          <c:idx val="5"/>
          <c:order val="5"/>
          <c:tx>
            <c:strRef>
              <c:f>doprava!$A$12</c:f>
              <c:strCache>
                <c:ptCount val="1"/>
                <c:pt idx="0">
                  <c:v>Iné</c:v>
                </c:pt>
              </c:strCache>
            </c:strRef>
          </c:tx>
          <c:spPr>
            <a:solidFill>
              <a:srgbClr val="4BACC6"/>
            </a:solidFill>
            <a:ln>
              <a:noFill/>
            </a:ln>
            <a:effectLst/>
          </c:spPr>
          <c:invertIfNegative val="0"/>
          <c:cat>
            <c:strRef>
              <c:f>doprava!$B$6:$G$6</c:f>
              <c:strCache>
                <c:ptCount val="6"/>
                <c:pt idx="0">
                  <c:v>2014 S</c:v>
                </c:pt>
                <c:pt idx="1">
                  <c:v>2015 S</c:v>
                </c:pt>
                <c:pt idx="2">
                  <c:v>2016 S</c:v>
                </c:pt>
                <c:pt idx="3">
                  <c:v>2017 N</c:v>
                </c:pt>
                <c:pt idx="4">
                  <c:v>2018 N</c:v>
                </c:pt>
                <c:pt idx="5">
                  <c:v>2019 N</c:v>
                </c:pt>
              </c:strCache>
            </c:strRef>
          </c:cat>
          <c:val>
            <c:numRef>
              <c:f>doprava!$B$12:$G$12</c:f>
              <c:numCache>
                <c:formatCode>General</c:formatCode>
                <c:ptCount val="6"/>
                <c:pt idx="0">
                  <c:v>15</c:v>
                </c:pt>
                <c:pt idx="1">
                  <c:v>14</c:v>
                </c:pt>
                <c:pt idx="2" formatCode="0">
                  <c:v>12.644649469999999</c:v>
                </c:pt>
                <c:pt idx="3">
                  <c:v>12</c:v>
                </c:pt>
                <c:pt idx="4">
                  <c:v>13</c:v>
                </c:pt>
                <c:pt idx="5">
                  <c:v>16</c:v>
                </c:pt>
              </c:numCache>
            </c:numRef>
          </c:val>
        </c:ser>
        <c:dLbls>
          <c:showLegendKey val="0"/>
          <c:showVal val="0"/>
          <c:showCatName val="0"/>
          <c:showSerName val="0"/>
          <c:showPercent val="0"/>
          <c:showBubbleSize val="0"/>
        </c:dLbls>
        <c:gapWidth val="101"/>
        <c:overlap val="100"/>
        <c:axId val="252590840"/>
        <c:axId val="252591232"/>
      </c:barChart>
      <c:catAx>
        <c:axId val="252590840"/>
        <c:scaling>
          <c:orientation val="minMax"/>
        </c:scaling>
        <c:delete val="0"/>
        <c:axPos val="b"/>
        <c:numFmt formatCode="General" sourceLinked="1"/>
        <c:majorTickMark val="none"/>
        <c:minorTickMark val="none"/>
        <c:tickLblPos val="nextTo"/>
        <c:spPr>
          <a:noFill/>
          <a:ln w="9525" cap="flat" cmpd="sng" algn="ctr">
            <a:solidFill>
              <a:srgbClr val="868686"/>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591232"/>
        <c:crosses val="autoZero"/>
        <c:auto val="1"/>
        <c:lblAlgn val="ctr"/>
        <c:lblOffset val="100"/>
        <c:noMultiLvlLbl val="0"/>
      </c:catAx>
      <c:valAx>
        <c:axId val="252591232"/>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0" sourceLinked="0"/>
        <c:majorTickMark val="none"/>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590840"/>
        <c:crosses val="autoZero"/>
        <c:crossBetween val="between"/>
        <c:dispUnits>
          <c:builtInUnit val="thousands"/>
        </c:dispUnits>
      </c:valAx>
      <c:spPr>
        <a:noFill/>
        <a:ln>
          <a:noFill/>
        </a:ln>
        <a:effectLst/>
      </c:spPr>
    </c:plotArea>
    <c:legend>
      <c:legendPos val="b"/>
      <c:layout>
        <c:manualLayout>
          <c:xMode val="edge"/>
          <c:yMode val="edge"/>
          <c:x val="4.0118070347589532E-2"/>
          <c:y val="0.82179657510237936"/>
          <c:w val="0.91976385930482096"/>
          <c:h val="0.1526440790992331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21570367084397"/>
          <c:y val="2.2792452830188679E-2"/>
          <c:w val="0.72183394329229977"/>
          <c:h val="0.82268548506908323"/>
        </c:manualLayout>
      </c:layout>
      <c:scatterChart>
        <c:scatterStyle val="lineMarker"/>
        <c:varyColors val="0"/>
        <c:ser>
          <c:idx val="0"/>
          <c:order val="0"/>
          <c:spPr>
            <a:ln w="28575" cap="rnd">
              <a:noFill/>
              <a:round/>
            </a:ln>
            <a:effectLst/>
          </c:spPr>
          <c:marker>
            <c:symbol val="diamond"/>
            <c:size val="5"/>
            <c:spPr>
              <a:solidFill>
                <a:srgbClr val="2C9ADC"/>
              </a:solidFill>
              <a:ln w="9525">
                <a:solidFill>
                  <a:schemeClr val="tx1"/>
                </a:solidFill>
              </a:ln>
              <a:effectLst/>
            </c:spPr>
          </c:marker>
          <c:dPt>
            <c:idx val="15"/>
            <c:marker>
              <c:symbol val="diamond"/>
              <c:size val="5"/>
              <c:spPr>
                <a:solidFill>
                  <a:srgbClr val="2C9ADC"/>
                </a:solidFill>
                <a:ln w="9525">
                  <a:solidFill>
                    <a:schemeClr val="tx1"/>
                  </a:solidFill>
                </a:ln>
                <a:effectLst/>
              </c:spPr>
            </c:marker>
            <c:bubble3D val="0"/>
          </c:dPt>
          <c:dPt>
            <c:idx val="16"/>
            <c:marker>
              <c:symbol val="diamond"/>
              <c:size val="5"/>
              <c:spPr>
                <a:solidFill>
                  <a:srgbClr val="FF0000"/>
                </a:solidFill>
                <a:ln w="9525">
                  <a:solidFill>
                    <a:schemeClr val="tx1"/>
                  </a:solidFill>
                </a:ln>
                <a:effectLst/>
              </c:spPr>
            </c:marker>
            <c:bubble3D val="0"/>
          </c:dPt>
          <c:dPt>
            <c:idx val="23"/>
            <c:marker>
              <c:symbol val="diamond"/>
              <c:size val="5"/>
              <c:spPr>
                <a:solidFill>
                  <a:srgbClr val="2C9ADC"/>
                </a:solidFill>
                <a:ln w="9525">
                  <a:solidFill>
                    <a:schemeClr val="tx1"/>
                  </a:solidFill>
                </a:ln>
                <a:effectLst/>
              </c:spPr>
            </c:marker>
            <c:bubble3D val="0"/>
          </c:dPt>
          <c:dPt>
            <c:idx val="59"/>
            <c:marker>
              <c:symbol val="diamond"/>
              <c:size val="5"/>
              <c:spPr>
                <a:solidFill>
                  <a:srgbClr val="2C9ADC"/>
                </a:solidFill>
                <a:ln w="9525">
                  <a:solidFill>
                    <a:schemeClr val="tx1"/>
                  </a:solidFill>
                </a:ln>
                <a:effectLst/>
              </c:spPr>
            </c:marker>
            <c:bubble3D val="0"/>
          </c:dPt>
          <c:dPt>
            <c:idx val="60"/>
            <c:marker>
              <c:symbol val="diamond"/>
              <c:size val="5"/>
              <c:spPr>
                <a:solidFill>
                  <a:srgbClr val="2C9ADC"/>
                </a:solidFill>
                <a:ln w="9525">
                  <a:solidFill>
                    <a:schemeClr val="tx1"/>
                  </a:solidFill>
                </a:ln>
                <a:effectLst/>
              </c:spPr>
            </c:marker>
            <c:bubble3D val="0"/>
          </c:dPt>
          <c:dPt>
            <c:idx val="61"/>
            <c:marker>
              <c:symbol val="diamond"/>
              <c:size val="5"/>
              <c:spPr>
                <a:solidFill>
                  <a:srgbClr val="FF0000"/>
                </a:solidFill>
                <a:ln w="9525">
                  <a:solidFill>
                    <a:schemeClr val="tx1"/>
                  </a:solidFill>
                </a:ln>
                <a:effectLst/>
              </c:spPr>
            </c:marker>
            <c:bubble3D val="0"/>
          </c:dPt>
          <c:dPt>
            <c:idx val="76"/>
            <c:marker>
              <c:symbol val="diamond"/>
              <c:size val="5"/>
              <c:spPr>
                <a:solidFill>
                  <a:srgbClr val="2C9ADC"/>
                </a:solidFill>
                <a:ln w="9525">
                  <a:solidFill>
                    <a:schemeClr val="tx1"/>
                  </a:solidFill>
                </a:ln>
                <a:effectLst/>
              </c:spPr>
            </c:marker>
            <c:bubble3D val="0"/>
          </c:dPt>
          <c:dPt>
            <c:idx val="77"/>
            <c:marker>
              <c:symbol val="diamond"/>
              <c:size val="5"/>
              <c:spPr>
                <a:solidFill>
                  <a:srgbClr val="FF0000"/>
                </a:solidFill>
                <a:ln w="9525">
                  <a:solidFill>
                    <a:schemeClr val="tx1"/>
                  </a:solidFill>
                </a:ln>
                <a:effectLst/>
              </c:spPr>
            </c:marker>
            <c:bubble3D val="0"/>
          </c:dPt>
          <c:xVal>
            <c:numRef>
              <c:f>('Tabuľky a grafy'!$B$2:$B$28,'Tabuľky a grafy'!$B$31:$B$48,'Tabuľky a grafy'!$B$51:$B$86)</c:f>
              <c:numCache>
                <c:formatCode>0.00</c:formatCode>
                <c:ptCount val="81"/>
                <c:pt idx="0">
                  <c:v>-0.34129624846194606</c:v>
                </c:pt>
                <c:pt idx="1">
                  <c:v>-0.34129624846194606</c:v>
                </c:pt>
                <c:pt idx="2">
                  <c:v>-0.34129624846194606</c:v>
                </c:pt>
                <c:pt idx="3">
                  <c:v>-0.34129624846194606</c:v>
                </c:pt>
                <c:pt idx="4">
                  <c:v>-0.34129624846194606</c:v>
                </c:pt>
                <c:pt idx="5">
                  <c:v>-0.34129624846194606</c:v>
                </c:pt>
                <c:pt idx="6">
                  <c:v>-0.34129624846194606</c:v>
                </c:pt>
                <c:pt idx="7">
                  <c:v>-0.34129624846194606</c:v>
                </c:pt>
                <c:pt idx="8">
                  <c:v>-0.34129624846194606</c:v>
                </c:pt>
                <c:pt idx="9">
                  <c:v>-0.34129624846194606</c:v>
                </c:pt>
                <c:pt idx="10">
                  <c:v>-0.39753545523366157</c:v>
                </c:pt>
                <c:pt idx="11">
                  <c:v>-0.39753545523366157</c:v>
                </c:pt>
                <c:pt idx="12">
                  <c:v>-0.74302525579964984</c:v>
                </c:pt>
                <c:pt idx="13">
                  <c:v>-0.74302525579964984</c:v>
                </c:pt>
                <c:pt idx="14">
                  <c:v>-0.74302525579964984</c:v>
                </c:pt>
                <c:pt idx="15">
                  <c:v>-1.1178533993257116</c:v>
                </c:pt>
                <c:pt idx="16">
                  <c:v>-1.1178533993257116</c:v>
                </c:pt>
                <c:pt idx="17">
                  <c:v>-1.1178533993257116</c:v>
                </c:pt>
                <c:pt idx="18">
                  <c:v>-1.1178533993257116</c:v>
                </c:pt>
                <c:pt idx="19">
                  <c:v>-1.1178533993257116</c:v>
                </c:pt>
                <c:pt idx="20">
                  <c:v>-1.1178533993257116</c:v>
                </c:pt>
                <c:pt idx="21">
                  <c:v>-0.58904415408244826</c:v>
                </c:pt>
                <c:pt idx="22">
                  <c:v>-0.58904415408244826</c:v>
                </c:pt>
                <c:pt idx="23">
                  <c:v>-0.58904415408244826</c:v>
                </c:pt>
                <c:pt idx="24">
                  <c:v>-0.58904415408244826</c:v>
                </c:pt>
                <c:pt idx="25">
                  <c:v>-0.58904415408244826</c:v>
                </c:pt>
                <c:pt idx="26">
                  <c:v>-0.58904415408244826</c:v>
                </c:pt>
                <c:pt idx="27">
                  <c:v>-0.15696989897699035</c:v>
                </c:pt>
                <c:pt idx="28">
                  <c:v>-0.15696989897699035</c:v>
                </c:pt>
                <c:pt idx="29">
                  <c:v>-0.15696989897699035</c:v>
                </c:pt>
                <c:pt idx="30">
                  <c:v>-0.15696989897699035</c:v>
                </c:pt>
                <c:pt idx="31">
                  <c:v>-0.15696989897699035</c:v>
                </c:pt>
                <c:pt idx="32">
                  <c:v>0.87925951016732073</c:v>
                </c:pt>
                <c:pt idx="33">
                  <c:v>0.87925951016732073</c:v>
                </c:pt>
                <c:pt idx="34">
                  <c:v>0.87925951016732073</c:v>
                </c:pt>
                <c:pt idx="35">
                  <c:v>0.87925951016732073</c:v>
                </c:pt>
                <c:pt idx="36">
                  <c:v>0.87925951016732073</c:v>
                </c:pt>
                <c:pt idx="37">
                  <c:v>-0.62</c:v>
                </c:pt>
                <c:pt idx="38">
                  <c:v>-0.62</c:v>
                </c:pt>
                <c:pt idx="39">
                  <c:v>-0.62</c:v>
                </c:pt>
                <c:pt idx="40">
                  <c:v>-0.62</c:v>
                </c:pt>
                <c:pt idx="41">
                  <c:v>-0.62</c:v>
                </c:pt>
                <c:pt idx="42">
                  <c:v>-0.62</c:v>
                </c:pt>
                <c:pt idx="43">
                  <c:v>-0.62</c:v>
                </c:pt>
                <c:pt idx="44">
                  <c:v>-0.62</c:v>
                </c:pt>
                <c:pt idx="45">
                  <c:v>-0.50300377914099514</c:v>
                </c:pt>
                <c:pt idx="46">
                  <c:v>-0.50300377914099514</c:v>
                </c:pt>
                <c:pt idx="47">
                  <c:v>-0.50300377914099514</c:v>
                </c:pt>
                <c:pt idx="48">
                  <c:v>-0.85717972546279464</c:v>
                </c:pt>
                <c:pt idx="49">
                  <c:v>-0.85717972546279464</c:v>
                </c:pt>
                <c:pt idx="50">
                  <c:v>-0.85717972546279464</c:v>
                </c:pt>
                <c:pt idx="51">
                  <c:v>-0.85717972546279464</c:v>
                </c:pt>
                <c:pt idx="52">
                  <c:v>-0.85717972546279464</c:v>
                </c:pt>
                <c:pt idx="53">
                  <c:v>-0.85717972546279464</c:v>
                </c:pt>
                <c:pt idx="54">
                  <c:v>-0.85717972546279464</c:v>
                </c:pt>
                <c:pt idx="55">
                  <c:v>-0.85717972546279464</c:v>
                </c:pt>
                <c:pt idx="56">
                  <c:v>-0.85717972546279464</c:v>
                </c:pt>
                <c:pt idx="57">
                  <c:v>-0.85717972546279464</c:v>
                </c:pt>
                <c:pt idx="58">
                  <c:v>-0.85717972546279464</c:v>
                </c:pt>
                <c:pt idx="59">
                  <c:v>-0.85717972546279464</c:v>
                </c:pt>
                <c:pt idx="60">
                  <c:v>-0.85717972546279464</c:v>
                </c:pt>
                <c:pt idx="61">
                  <c:v>-0.85717972546279464</c:v>
                </c:pt>
                <c:pt idx="62">
                  <c:v>-0.85717972546279464</c:v>
                </c:pt>
                <c:pt idx="63">
                  <c:v>-0.85717972546279464</c:v>
                </c:pt>
                <c:pt idx="64">
                  <c:v>-0.85717972546279464</c:v>
                </c:pt>
                <c:pt idx="65">
                  <c:v>-0.85717972546279464</c:v>
                </c:pt>
                <c:pt idx="66">
                  <c:v>-0.85717972546279464</c:v>
                </c:pt>
                <c:pt idx="67">
                  <c:v>-0.85717972546279464</c:v>
                </c:pt>
                <c:pt idx="68">
                  <c:v>-0.85717972546279464</c:v>
                </c:pt>
                <c:pt idx="69">
                  <c:v>-0.85717972546279464</c:v>
                </c:pt>
                <c:pt idx="70">
                  <c:v>-0.85717972546279464</c:v>
                </c:pt>
                <c:pt idx="71">
                  <c:v>-0.76343211653274889</c:v>
                </c:pt>
                <c:pt idx="72">
                  <c:v>-0.76343211653274889</c:v>
                </c:pt>
                <c:pt idx="73">
                  <c:v>-0.76343211653274889</c:v>
                </c:pt>
                <c:pt idx="74">
                  <c:v>-0.76343211653274889</c:v>
                </c:pt>
                <c:pt idx="75">
                  <c:v>-0.76343211653274889</c:v>
                </c:pt>
                <c:pt idx="76">
                  <c:v>-0.76343211653274889</c:v>
                </c:pt>
                <c:pt idx="77">
                  <c:v>-0.76343211653274889</c:v>
                </c:pt>
                <c:pt idx="78">
                  <c:v>-0.43636195405379341</c:v>
                </c:pt>
                <c:pt idx="79">
                  <c:v>-0.43636195405379341</c:v>
                </c:pt>
                <c:pt idx="80">
                  <c:v>-0.43636195405379341</c:v>
                </c:pt>
              </c:numCache>
            </c:numRef>
          </c:xVal>
          <c:yVal>
            <c:numRef>
              <c:f>('Tabuľky a grafy'!$D$2:$D$28,'Tabuľky a grafy'!$D$31:$D$48,'Tabuľky a grafy'!$D$51:$D$86)</c:f>
              <c:numCache>
                <c:formatCode>0.00</c:formatCode>
                <c:ptCount val="81"/>
                <c:pt idx="0">
                  <c:v>-0.62771405849655637</c:v>
                </c:pt>
                <c:pt idx="1">
                  <c:v>-1.2857902715964569</c:v>
                </c:pt>
                <c:pt idx="2">
                  <c:v>-0.38847245933465907</c:v>
                </c:pt>
                <c:pt idx="3">
                  <c:v>1.3152757404814794</c:v>
                </c:pt>
                <c:pt idx="4">
                  <c:v>9.6422004042641882E-2</c:v>
                </c:pt>
                <c:pt idx="5">
                  <c:v>-1.3109462368525153</c:v>
                </c:pt>
                <c:pt idx="6">
                  <c:v>-0.17997059460657894</c:v>
                </c:pt>
                <c:pt idx="7">
                  <c:v>0.8552505215449957</c:v>
                </c:pt>
                <c:pt idx="8">
                  <c:v>-1.0634102009455171</c:v>
                </c:pt>
                <c:pt idx="9">
                  <c:v>-0.35774847551084077</c:v>
                </c:pt>
                <c:pt idx="10">
                  <c:v>-0.93474272378578338</c:v>
                </c:pt>
                <c:pt idx="11">
                  <c:v>-1.2532909446494056</c:v>
                </c:pt>
                <c:pt idx="12">
                  <c:v>0.95718433198438801</c:v>
                </c:pt>
                <c:pt idx="13">
                  <c:v>-0.82603243845485852</c:v>
                </c:pt>
                <c:pt idx="14">
                  <c:v>-0.52930261313032667</c:v>
                </c:pt>
                <c:pt idx="15">
                  <c:v>-0.77</c:v>
                </c:pt>
                <c:pt idx="16">
                  <c:v>-1.681015158236244</c:v>
                </c:pt>
                <c:pt idx="17">
                  <c:v>-0.79058887431848923</c:v>
                </c:pt>
                <c:pt idx="18">
                  <c:v>-0.69049008792301358</c:v>
                </c:pt>
                <c:pt idx="19">
                  <c:v>-1.6234721085383845</c:v>
                </c:pt>
                <c:pt idx="20">
                  <c:v>0.62579301270874754</c:v>
                </c:pt>
                <c:pt idx="21">
                  <c:v>4.9055152989036538E-2</c:v>
                </c:pt>
                <c:pt idx="22">
                  <c:v>0.90404038186946134</c:v>
                </c:pt>
                <c:pt idx="23">
                  <c:v>0.75214000762568056</c:v>
                </c:pt>
                <c:pt idx="24">
                  <c:v>-1.6269282262438998</c:v>
                </c:pt>
                <c:pt idx="25">
                  <c:v>-1.2447303591914096</c:v>
                </c:pt>
                <c:pt idx="26">
                  <c:v>0.14121696854025681</c:v>
                </c:pt>
                <c:pt idx="27">
                  <c:v>0.65346683398606298</c:v>
                </c:pt>
                <c:pt idx="28">
                  <c:v>-0.57155639989243201</c:v>
                </c:pt>
                <c:pt idx="29">
                  <c:v>-0.21362765576084089</c:v>
                </c:pt>
                <c:pt idx="30">
                  <c:v>0.24263367073101832</c:v>
                </c:pt>
                <c:pt idx="31">
                  <c:v>-1.3100834513808848</c:v>
                </c:pt>
                <c:pt idx="32">
                  <c:v>-0.50730097494910742</c:v>
                </c:pt>
                <c:pt idx="33">
                  <c:v>-1.5158381451524832</c:v>
                </c:pt>
                <c:pt idx="34">
                  <c:v>0.69259394730949886</c:v>
                </c:pt>
                <c:pt idx="35">
                  <c:v>0.63943227270368463</c:v>
                </c:pt>
                <c:pt idx="36">
                  <c:v>0.15</c:v>
                </c:pt>
                <c:pt idx="37">
                  <c:v>-1.43</c:v>
                </c:pt>
                <c:pt idx="38">
                  <c:v>0.75160000000000005</c:v>
                </c:pt>
                <c:pt idx="39">
                  <c:v>1.1216579974483825</c:v>
                </c:pt>
                <c:pt idx="40">
                  <c:v>-0.73737909792366496</c:v>
                </c:pt>
                <c:pt idx="41">
                  <c:v>-0.31134371237150338</c:v>
                </c:pt>
                <c:pt idx="42" formatCode="#,##0.00">
                  <c:v>0.35591647167518509</c:v>
                </c:pt>
                <c:pt idx="43" formatCode="#,##0.00">
                  <c:v>0.20861087863966307</c:v>
                </c:pt>
                <c:pt idx="44" formatCode="#,##0.00">
                  <c:v>-0.91622036355089298</c:v>
                </c:pt>
                <c:pt idx="45">
                  <c:v>0.99471544824218527</c:v>
                </c:pt>
                <c:pt idx="46">
                  <c:v>-1.1234681952584127</c:v>
                </c:pt>
                <c:pt idx="47">
                  <c:v>-0.72422173192069306</c:v>
                </c:pt>
                <c:pt idx="48" formatCode="#,##0.00">
                  <c:v>-0.3215173795267639</c:v>
                </c:pt>
                <c:pt idx="49" formatCode="#,##0.00">
                  <c:v>2.89841236833401E-2</c:v>
                </c:pt>
                <c:pt idx="50" formatCode="#,##0.00">
                  <c:v>-0.63924473573174712</c:v>
                </c:pt>
                <c:pt idx="51" formatCode="#,##0.00">
                  <c:v>-0.48340967952992175</c:v>
                </c:pt>
                <c:pt idx="52" formatCode="#,##0.00">
                  <c:v>-0.36685462113795314</c:v>
                </c:pt>
                <c:pt idx="53" formatCode="#,##0.00">
                  <c:v>-0.48925050917540175</c:v>
                </c:pt>
                <c:pt idx="54" formatCode="#,##0.00">
                  <c:v>-0.26629558958671062</c:v>
                </c:pt>
                <c:pt idx="55" formatCode="#,##0.00">
                  <c:v>-0.16345745330707911</c:v>
                </c:pt>
                <c:pt idx="56" formatCode="#,##0.00">
                  <c:v>1.6560947591568442</c:v>
                </c:pt>
                <c:pt idx="57" formatCode="#,##0.00">
                  <c:v>-0.19062054376137796</c:v>
                </c:pt>
                <c:pt idx="58" formatCode="#,##0.00">
                  <c:v>1.8102729281703067</c:v>
                </c:pt>
                <c:pt idx="59" formatCode="#,##0.00">
                  <c:v>-0.51523569916729317</c:v>
                </c:pt>
                <c:pt idx="60" formatCode="#,##0.00">
                  <c:v>-0.87700285115046595</c:v>
                </c:pt>
                <c:pt idx="61" formatCode="#,##0.00">
                  <c:v>-2.7814279920575786</c:v>
                </c:pt>
                <c:pt idx="62" formatCode="#,##0.00">
                  <c:v>-0.16311516663216524</c:v>
                </c:pt>
                <c:pt idx="63" formatCode="#,##0.00">
                  <c:v>-0.14756208933816614</c:v>
                </c:pt>
                <c:pt idx="64" formatCode="#,##0.00">
                  <c:v>-1.495565360610789</c:v>
                </c:pt>
                <c:pt idx="65" formatCode="#,##0.00">
                  <c:v>0.74285459012757504</c:v>
                </c:pt>
                <c:pt idx="66" formatCode="#,##0.00">
                  <c:v>-0.74619194258222699</c:v>
                </c:pt>
                <c:pt idx="67">
                  <c:v>-1.0409702012422812</c:v>
                </c:pt>
                <c:pt idx="68" formatCode="#,##0.00">
                  <c:v>-2.1921727032219454</c:v>
                </c:pt>
                <c:pt idx="69" formatCode="#,##0.00">
                  <c:v>-1.6234721085383845</c:v>
                </c:pt>
                <c:pt idx="70">
                  <c:v>-0.7557772730575586</c:v>
                </c:pt>
                <c:pt idx="71">
                  <c:v>-0.8916558985613191</c:v>
                </c:pt>
                <c:pt idx="72">
                  <c:v>0.29622167257060283</c:v>
                </c:pt>
                <c:pt idx="73">
                  <c:v>-0.44473810251762202</c:v>
                </c:pt>
                <c:pt idx="74">
                  <c:v>-0.89940512430728281</c:v>
                </c:pt>
                <c:pt idx="75">
                  <c:v>-0.55209121186572396</c:v>
                </c:pt>
                <c:pt idx="76">
                  <c:v>-1.164186302738109</c:v>
                </c:pt>
                <c:pt idx="77">
                  <c:v>-1.2618443189299897</c:v>
                </c:pt>
                <c:pt idx="78">
                  <c:v>0.10304205907914342</c:v>
                </c:pt>
                <c:pt idx="79">
                  <c:v>0.69310359670059285</c:v>
                </c:pt>
                <c:pt idx="80">
                  <c:v>-0.92572142317926021</c:v>
                </c:pt>
              </c:numCache>
            </c:numRef>
          </c:yVal>
          <c:smooth val="0"/>
        </c:ser>
        <c:dLbls>
          <c:showLegendKey val="0"/>
          <c:showVal val="0"/>
          <c:showCatName val="0"/>
          <c:showSerName val="0"/>
          <c:showPercent val="0"/>
          <c:showBubbleSize val="0"/>
        </c:dLbls>
        <c:axId val="3225864"/>
        <c:axId val="138351712"/>
      </c:scatterChart>
      <c:valAx>
        <c:axId val="3225864"/>
        <c:scaling>
          <c:orientation val="minMax"/>
          <c:max val="1"/>
          <c:min val="-1.3"/>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en-US" sz="800"/>
                  <a:t>Sk</a:t>
                </a:r>
                <a:r>
                  <a:rPr lang="sk-SK" sz="800"/>
                  <a:t>óre</a:t>
                </a:r>
                <a:r>
                  <a:rPr lang="sk-SK" sz="800" baseline="0"/>
                  <a:t> výsledkového indikátora</a:t>
                </a:r>
                <a:endParaRPr lang="sk-SK" sz="800"/>
              </a:p>
            </c:rich>
          </c:tx>
          <c:layout>
            <c:manualLayout>
              <c:xMode val="edge"/>
              <c:yMode val="edge"/>
              <c:x val="0.26362473921529039"/>
              <c:y val="0.9310093596790964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138351712"/>
        <c:crosses val="autoZero"/>
        <c:crossBetween val="midCat"/>
      </c:valAx>
      <c:valAx>
        <c:axId val="13835171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Skóre</a:t>
                </a:r>
                <a:r>
                  <a:rPr lang="sk-SK" sz="800" baseline="0"/>
                  <a:t> doplnkového indikátora</a:t>
                </a:r>
                <a:endParaRPr lang="sk-SK" sz="800"/>
              </a:p>
            </c:rich>
          </c:tx>
          <c:layout>
            <c:manualLayout>
              <c:xMode val="edge"/>
              <c:yMode val="edge"/>
              <c:x val="2.2654860450136038E-2"/>
              <c:y val="0.1701274699153171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high"/>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32258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userShapes r:id="rId5"/>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914260717410323E-2"/>
          <c:y val="5.0925925925925923E-2"/>
          <c:w val="0.87753018372703417"/>
          <c:h val="0.67008994565334501"/>
        </c:manualLayout>
      </c:layout>
      <c:barChart>
        <c:barDir val="col"/>
        <c:grouping val="stacked"/>
        <c:varyColors val="0"/>
        <c:ser>
          <c:idx val="0"/>
          <c:order val="0"/>
          <c:tx>
            <c:strRef>
              <c:f>doprava!$A$20</c:f>
              <c:strCache>
                <c:ptCount val="1"/>
                <c:pt idx="0">
                  <c:v>NDS kapitálové výdavky</c:v>
                </c:pt>
              </c:strCache>
            </c:strRef>
          </c:tx>
          <c:spPr>
            <a:solidFill>
              <a:srgbClr val="2C9ADC"/>
            </a:solidFill>
            <a:ln>
              <a:noFill/>
            </a:ln>
            <a:effectLst/>
          </c:spPr>
          <c:invertIfNegative val="0"/>
          <c:cat>
            <c:strRef>
              <c:f>doprava!$B$19:$G$19</c:f>
              <c:strCache>
                <c:ptCount val="6"/>
                <c:pt idx="0">
                  <c:v>2014 S</c:v>
                </c:pt>
                <c:pt idx="1">
                  <c:v>2015 S</c:v>
                </c:pt>
                <c:pt idx="2">
                  <c:v>2016 S</c:v>
                </c:pt>
                <c:pt idx="3">
                  <c:v>2017 N</c:v>
                </c:pt>
                <c:pt idx="4">
                  <c:v>2018 N</c:v>
                </c:pt>
                <c:pt idx="5">
                  <c:v>2019 N</c:v>
                </c:pt>
              </c:strCache>
            </c:strRef>
          </c:cat>
          <c:val>
            <c:numRef>
              <c:f>doprava!$B$20:$G$20</c:f>
              <c:numCache>
                <c:formatCode>General</c:formatCode>
                <c:ptCount val="6"/>
                <c:pt idx="0">
                  <c:v>473</c:v>
                </c:pt>
                <c:pt idx="1">
                  <c:v>848</c:v>
                </c:pt>
                <c:pt idx="2">
                  <c:v>711</c:v>
                </c:pt>
                <c:pt idx="3">
                  <c:v>760</c:v>
                </c:pt>
                <c:pt idx="4">
                  <c:v>624</c:v>
                </c:pt>
                <c:pt idx="5">
                  <c:v>316</c:v>
                </c:pt>
              </c:numCache>
            </c:numRef>
          </c:val>
        </c:ser>
        <c:ser>
          <c:idx val="1"/>
          <c:order val="1"/>
          <c:tx>
            <c:strRef>
              <c:f>doprava!$A$21</c:f>
              <c:strCache>
                <c:ptCount val="1"/>
                <c:pt idx="0">
                  <c:v>ŽSR kapitálové výdavky</c:v>
                </c:pt>
              </c:strCache>
            </c:strRef>
          </c:tx>
          <c:spPr>
            <a:solidFill>
              <a:srgbClr val="AAD3F2"/>
            </a:solidFill>
            <a:ln>
              <a:noFill/>
            </a:ln>
            <a:effectLst/>
          </c:spPr>
          <c:invertIfNegative val="0"/>
          <c:cat>
            <c:strRef>
              <c:f>doprava!$B$19:$G$19</c:f>
              <c:strCache>
                <c:ptCount val="6"/>
                <c:pt idx="0">
                  <c:v>2014 S</c:v>
                </c:pt>
                <c:pt idx="1">
                  <c:v>2015 S</c:v>
                </c:pt>
                <c:pt idx="2">
                  <c:v>2016 S</c:v>
                </c:pt>
                <c:pt idx="3">
                  <c:v>2017 N</c:v>
                </c:pt>
                <c:pt idx="4">
                  <c:v>2018 N</c:v>
                </c:pt>
                <c:pt idx="5">
                  <c:v>2019 N</c:v>
                </c:pt>
              </c:strCache>
            </c:strRef>
          </c:cat>
          <c:val>
            <c:numRef>
              <c:f>doprava!$B$21:$G$21</c:f>
              <c:numCache>
                <c:formatCode>General</c:formatCode>
                <c:ptCount val="6"/>
                <c:pt idx="0">
                  <c:v>380</c:v>
                </c:pt>
                <c:pt idx="1">
                  <c:v>469</c:v>
                </c:pt>
                <c:pt idx="2">
                  <c:v>142</c:v>
                </c:pt>
                <c:pt idx="3">
                  <c:v>275</c:v>
                </c:pt>
                <c:pt idx="4">
                  <c:v>406</c:v>
                </c:pt>
                <c:pt idx="5">
                  <c:v>128</c:v>
                </c:pt>
              </c:numCache>
            </c:numRef>
          </c:val>
        </c:ser>
        <c:ser>
          <c:idx val="2"/>
          <c:order val="2"/>
          <c:tx>
            <c:strRef>
              <c:f>doprava!$A$22</c:f>
              <c:strCache>
                <c:ptCount val="1"/>
                <c:pt idx="0">
                  <c:v>PPP projekty</c:v>
                </c:pt>
              </c:strCache>
            </c:strRef>
          </c:tx>
          <c:spPr>
            <a:solidFill>
              <a:schemeClr val="tx1">
                <a:lumMod val="65000"/>
                <a:lumOff val="35000"/>
              </a:schemeClr>
            </a:solidFill>
            <a:ln>
              <a:noFill/>
            </a:ln>
            <a:effectLst/>
          </c:spPr>
          <c:invertIfNegative val="0"/>
          <c:cat>
            <c:strRef>
              <c:f>doprava!$B$19:$G$19</c:f>
              <c:strCache>
                <c:ptCount val="6"/>
                <c:pt idx="0">
                  <c:v>2014 S</c:v>
                </c:pt>
                <c:pt idx="1">
                  <c:v>2015 S</c:v>
                </c:pt>
                <c:pt idx="2">
                  <c:v>2016 S</c:v>
                </c:pt>
                <c:pt idx="3">
                  <c:v>2017 N</c:v>
                </c:pt>
                <c:pt idx="4">
                  <c:v>2018 N</c:v>
                </c:pt>
                <c:pt idx="5">
                  <c:v>2019 N</c:v>
                </c:pt>
              </c:strCache>
            </c:strRef>
          </c:cat>
          <c:val>
            <c:numRef>
              <c:f>doprava!$B$22:$G$22</c:f>
              <c:numCache>
                <c:formatCode>General</c:formatCode>
                <c:ptCount val="6"/>
                <c:pt idx="0">
                  <c:v>124</c:v>
                </c:pt>
                <c:pt idx="1">
                  <c:v>129</c:v>
                </c:pt>
                <c:pt idx="2">
                  <c:v>131</c:v>
                </c:pt>
                <c:pt idx="3">
                  <c:v>134</c:v>
                </c:pt>
                <c:pt idx="4">
                  <c:v>134</c:v>
                </c:pt>
                <c:pt idx="5">
                  <c:v>134</c:v>
                </c:pt>
              </c:numCache>
            </c:numRef>
          </c:val>
        </c:ser>
        <c:dLbls>
          <c:showLegendKey val="0"/>
          <c:showVal val="0"/>
          <c:showCatName val="0"/>
          <c:showSerName val="0"/>
          <c:showPercent val="0"/>
          <c:showBubbleSize val="0"/>
        </c:dLbls>
        <c:gapWidth val="116"/>
        <c:overlap val="100"/>
        <c:axId val="252980664"/>
        <c:axId val="252981056"/>
      </c:barChart>
      <c:catAx>
        <c:axId val="252980664"/>
        <c:scaling>
          <c:orientation val="minMax"/>
        </c:scaling>
        <c:delete val="0"/>
        <c:axPos val="b"/>
        <c:numFmt formatCode="General" sourceLinked="1"/>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1056"/>
        <c:crosses val="autoZero"/>
        <c:auto val="1"/>
        <c:lblAlgn val="ctr"/>
        <c:lblOffset val="100"/>
        <c:noMultiLvlLbl val="0"/>
      </c:catAx>
      <c:valAx>
        <c:axId val="252981056"/>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0" sourceLinked="0"/>
        <c:majorTickMark val="none"/>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0664"/>
        <c:crosses val="autoZero"/>
        <c:crossBetween val="between"/>
        <c:dispUnits>
          <c:builtInUnit val="thousands"/>
        </c:dispUnits>
      </c:valAx>
      <c:spPr>
        <a:noFill/>
        <a:ln>
          <a:noFill/>
        </a:ln>
        <a:effectLst/>
      </c:spPr>
    </c:plotArea>
    <c:legend>
      <c:legendPos val="b"/>
      <c:layout>
        <c:manualLayout>
          <c:xMode val="edge"/>
          <c:yMode val="edge"/>
          <c:x val="2.215414363446646E-2"/>
          <c:y val="0.83209512604027946"/>
          <c:w val="0.92075246271780287"/>
          <c:h val="0.1679048739597205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91336930105958991"/>
          <c:h val="0.8640557685391369"/>
        </c:manualLayout>
      </c:layout>
      <c:barChart>
        <c:barDir val="col"/>
        <c:grouping val="clustered"/>
        <c:varyColors val="0"/>
        <c:ser>
          <c:idx val="0"/>
          <c:order val="0"/>
          <c:tx>
            <c:strRef>
              <c:f>doprava!$A$56</c:f>
              <c:strCache>
                <c:ptCount val="1"/>
                <c:pt idx="0">
                  <c:v>Začatá výstavba</c:v>
                </c:pt>
              </c:strCache>
            </c:strRef>
          </c:tx>
          <c:spPr>
            <a:solidFill>
              <a:srgbClr val="2C9ADC"/>
            </a:solidFill>
          </c:spPr>
          <c:invertIfNegative val="0"/>
          <c:cat>
            <c:strRef>
              <c:f>doprava!$B$54:$M$54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doprava!$B$56:$M$56</c:f>
              <c:numCache>
                <c:formatCode>General</c:formatCode>
                <c:ptCount val="12"/>
                <c:pt idx="0">
                  <c:v>32.536000000000001</c:v>
                </c:pt>
                <c:pt idx="1">
                  <c:v>11.308</c:v>
                </c:pt>
                <c:pt idx="2">
                  <c:v>4.5730000000000004</c:v>
                </c:pt>
                <c:pt idx="3">
                  <c:v>39.164000000000001</c:v>
                </c:pt>
                <c:pt idx="4">
                  <c:v>62.033000000000001</c:v>
                </c:pt>
                <c:pt idx="5">
                  <c:v>14.19</c:v>
                </c:pt>
                <c:pt idx="6">
                  <c:v>36.6</c:v>
                </c:pt>
                <c:pt idx="7">
                  <c:v>15.26</c:v>
                </c:pt>
                <c:pt idx="8">
                  <c:v>37.68</c:v>
                </c:pt>
                <c:pt idx="9">
                  <c:v>46.5</c:v>
                </c:pt>
                <c:pt idx="10">
                  <c:v>3.0819999999999999</c:v>
                </c:pt>
                <c:pt idx="11">
                  <c:v>52.192999999999998</c:v>
                </c:pt>
              </c:numCache>
            </c:numRef>
          </c:val>
          <c:extLst xmlns:c16r2="http://schemas.microsoft.com/office/drawing/2015/06/chart">
            <c:ext xmlns:c16="http://schemas.microsoft.com/office/drawing/2014/chart" uri="{C3380CC4-5D6E-409C-BE32-E72D297353CC}">
              <c16:uniqueId val="{00000000-0D45-4132-A8A7-9EC0C1925A1C}"/>
            </c:ext>
          </c:extLst>
        </c:ser>
        <c:ser>
          <c:idx val="2"/>
          <c:order val="1"/>
          <c:tx>
            <c:strRef>
              <c:f>doprava!$A$55</c:f>
              <c:strCache>
                <c:ptCount val="1"/>
                <c:pt idx="0">
                  <c:v>Dokončená výstavba</c:v>
                </c:pt>
              </c:strCache>
            </c:strRef>
          </c:tx>
          <c:spPr>
            <a:solidFill>
              <a:schemeClr val="tx2">
                <a:lumMod val="20000"/>
                <a:lumOff val="80000"/>
              </a:schemeClr>
            </a:solidFill>
          </c:spPr>
          <c:invertIfNegative val="0"/>
          <c:cat>
            <c:strRef>
              <c:f>doprava!$B$54:$M$54</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doprava!$B$55:$M$55</c:f>
              <c:numCache>
                <c:formatCode>General</c:formatCode>
                <c:ptCount val="12"/>
                <c:pt idx="0">
                  <c:v>19.957000000000001</c:v>
                </c:pt>
                <c:pt idx="1">
                  <c:v>31.18</c:v>
                </c:pt>
                <c:pt idx="2">
                  <c:v>42.841999999999999</c:v>
                </c:pt>
                <c:pt idx="3">
                  <c:v>21.158000000000001</c:v>
                </c:pt>
                <c:pt idx="4">
                  <c:v>20.175000000000001</c:v>
                </c:pt>
                <c:pt idx="5">
                  <c:v>38.796999999999997</c:v>
                </c:pt>
                <c:pt idx="6">
                  <c:v>57.5</c:v>
                </c:pt>
                <c:pt idx="7">
                  <c:v>5.21</c:v>
                </c:pt>
                <c:pt idx="8">
                  <c:v>14.2</c:v>
                </c:pt>
                <c:pt idx="9">
                  <c:v>5.8</c:v>
                </c:pt>
                <c:pt idx="10">
                  <c:v>56.7</c:v>
                </c:pt>
                <c:pt idx="11">
                  <c:v>9.6</c:v>
                </c:pt>
              </c:numCache>
            </c:numRef>
          </c:val>
          <c:extLst xmlns:c16r2="http://schemas.microsoft.com/office/drawing/2015/06/chart">
            <c:ext xmlns:c16="http://schemas.microsoft.com/office/drawing/2014/chart" uri="{C3380CC4-5D6E-409C-BE32-E72D297353CC}">
              <c16:uniqueId val="{00000001-0D45-4132-A8A7-9EC0C1925A1C}"/>
            </c:ext>
          </c:extLst>
        </c:ser>
        <c:dLbls>
          <c:showLegendKey val="0"/>
          <c:showVal val="0"/>
          <c:showCatName val="0"/>
          <c:showSerName val="0"/>
          <c:showPercent val="0"/>
          <c:showBubbleSize val="0"/>
        </c:dLbls>
        <c:gapWidth val="150"/>
        <c:axId val="252981840"/>
        <c:axId val="252982232"/>
      </c:barChart>
      <c:catAx>
        <c:axId val="252981840"/>
        <c:scaling>
          <c:orientation val="minMax"/>
        </c:scaling>
        <c:delete val="0"/>
        <c:axPos val="b"/>
        <c:numFmt formatCode="General" sourceLinked="1"/>
        <c:majorTickMark val="out"/>
        <c:minorTickMark val="none"/>
        <c:tickLblPos val="nextTo"/>
        <c:txPr>
          <a:bodyPr rot="-5400000" vert="horz"/>
          <a:lstStyle/>
          <a:p>
            <a:pPr>
              <a:defRPr sz="900"/>
            </a:pPr>
            <a:endParaRPr lang="en-US"/>
          </a:p>
        </c:txPr>
        <c:crossAx val="252982232"/>
        <c:crosses val="autoZero"/>
        <c:auto val="1"/>
        <c:lblAlgn val="ctr"/>
        <c:lblOffset val="100"/>
        <c:noMultiLvlLbl val="0"/>
      </c:catAx>
      <c:valAx>
        <c:axId val="252982232"/>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a:lstStyle/>
          <a:p>
            <a:pPr>
              <a:defRPr sz="900"/>
            </a:pPr>
            <a:endParaRPr lang="en-US"/>
          </a:p>
        </c:txPr>
        <c:crossAx val="252981840"/>
        <c:crosses val="autoZero"/>
        <c:crossBetween val="between"/>
      </c:valAx>
    </c:plotArea>
    <c:legend>
      <c:legendPos val="r"/>
      <c:layout>
        <c:manualLayout>
          <c:xMode val="edge"/>
          <c:yMode val="edge"/>
          <c:x val="9.2317729733498693E-2"/>
          <c:y val="5.005786832699724E-2"/>
          <c:w val="0.87686160032095994"/>
          <c:h val="0.1126800293461075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86853740597861"/>
          <c:y val="5.0925925925925923E-2"/>
          <c:w val="0.72279553981926759"/>
          <c:h val="0.5921937882764654"/>
        </c:manualLayout>
      </c:layout>
      <c:barChart>
        <c:barDir val="col"/>
        <c:grouping val="stacked"/>
        <c:varyColors val="0"/>
        <c:ser>
          <c:idx val="0"/>
          <c:order val="0"/>
          <c:tx>
            <c:strRef>
              <c:f>doprava!$E$40</c:f>
              <c:strCache>
                <c:ptCount val="1"/>
                <c:pt idx="0">
                  <c:v>Bežné výdavky (opravy, údržba, prevádzka)</c:v>
                </c:pt>
              </c:strCache>
            </c:strRef>
          </c:tx>
          <c:spPr>
            <a:solidFill>
              <a:srgbClr val="2C9ADC"/>
            </a:solidFill>
            <a:ln>
              <a:noFill/>
            </a:ln>
            <a:effectLst/>
          </c:spPr>
          <c:invertIfNegative val="0"/>
          <c:cat>
            <c:strRef>
              <c:f>doprava!$F$39:$P$39</c:f>
              <c:strCache>
                <c:ptCount val="11"/>
                <c:pt idx="0">
                  <c:v>2009</c:v>
                </c:pt>
                <c:pt idx="1">
                  <c:v>2010</c:v>
                </c:pt>
                <c:pt idx="2">
                  <c:v>2011</c:v>
                </c:pt>
                <c:pt idx="3">
                  <c:v>2012</c:v>
                </c:pt>
                <c:pt idx="4">
                  <c:v>2013</c:v>
                </c:pt>
                <c:pt idx="5">
                  <c:v>2014</c:v>
                </c:pt>
                <c:pt idx="6">
                  <c:v>2015</c:v>
                </c:pt>
                <c:pt idx="7">
                  <c:v>2016 S</c:v>
                </c:pt>
                <c:pt idx="8">
                  <c:v>2017 R</c:v>
                </c:pt>
                <c:pt idx="9">
                  <c:v>2018 R</c:v>
                </c:pt>
                <c:pt idx="10">
                  <c:v>2019 R</c:v>
                </c:pt>
              </c:strCache>
            </c:strRef>
          </c:cat>
          <c:val>
            <c:numRef>
              <c:f>doprava!$F$40:$P$40</c:f>
              <c:numCache>
                <c:formatCode>#\ ##0\ _€</c:formatCode>
                <c:ptCount val="11"/>
                <c:pt idx="0">
                  <c:v>62</c:v>
                </c:pt>
                <c:pt idx="1">
                  <c:v>40</c:v>
                </c:pt>
                <c:pt idx="2">
                  <c:v>60</c:v>
                </c:pt>
                <c:pt idx="3">
                  <c:v>48</c:v>
                </c:pt>
                <c:pt idx="4">
                  <c:v>65</c:v>
                </c:pt>
                <c:pt idx="5">
                  <c:v>45</c:v>
                </c:pt>
                <c:pt idx="6">
                  <c:v>50</c:v>
                </c:pt>
                <c:pt idx="7">
                  <c:v>45.8</c:v>
                </c:pt>
                <c:pt idx="8">
                  <c:v>48</c:v>
                </c:pt>
                <c:pt idx="9">
                  <c:v>48</c:v>
                </c:pt>
                <c:pt idx="10">
                  <c:v>48</c:v>
                </c:pt>
              </c:numCache>
            </c:numRef>
          </c:val>
        </c:ser>
        <c:ser>
          <c:idx val="1"/>
          <c:order val="1"/>
          <c:tx>
            <c:strRef>
              <c:f>doprava!$E$41</c:f>
              <c:strCache>
                <c:ptCount val="1"/>
                <c:pt idx="0">
                  <c:v>Kapitálové výdavky </c:v>
                </c:pt>
              </c:strCache>
            </c:strRef>
          </c:tx>
          <c:spPr>
            <a:solidFill>
              <a:srgbClr val="C6D9F1"/>
            </a:solidFill>
            <a:ln>
              <a:noFill/>
            </a:ln>
            <a:effectLst/>
          </c:spPr>
          <c:invertIfNegative val="0"/>
          <c:cat>
            <c:strRef>
              <c:f>doprava!$F$39:$P$39</c:f>
              <c:strCache>
                <c:ptCount val="11"/>
                <c:pt idx="0">
                  <c:v>2009</c:v>
                </c:pt>
                <c:pt idx="1">
                  <c:v>2010</c:v>
                </c:pt>
                <c:pt idx="2">
                  <c:v>2011</c:v>
                </c:pt>
                <c:pt idx="3">
                  <c:v>2012</c:v>
                </c:pt>
                <c:pt idx="4">
                  <c:v>2013</c:v>
                </c:pt>
                <c:pt idx="5">
                  <c:v>2014</c:v>
                </c:pt>
                <c:pt idx="6">
                  <c:v>2015</c:v>
                </c:pt>
                <c:pt idx="7">
                  <c:v>2016 S</c:v>
                </c:pt>
                <c:pt idx="8">
                  <c:v>2017 R</c:v>
                </c:pt>
                <c:pt idx="9">
                  <c:v>2018 R</c:v>
                </c:pt>
                <c:pt idx="10">
                  <c:v>2019 R</c:v>
                </c:pt>
              </c:strCache>
            </c:strRef>
          </c:cat>
          <c:val>
            <c:numRef>
              <c:f>doprava!$F$41:$P$41</c:f>
              <c:numCache>
                <c:formatCode>#\ ##0\ _€</c:formatCode>
                <c:ptCount val="11"/>
                <c:pt idx="0">
                  <c:v>83</c:v>
                </c:pt>
                <c:pt idx="1">
                  <c:v>59</c:v>
                </c:pt>
                <c:pt idx="2">
                  <c:v>96</c:v>
                </c:pt>
                <c:pt idx="3">
                  <c:v>122</c:v>
                </c:pt>
                <c:pt idx="4">
                  <c:v>75</c:v>
                </c:pt>
                <c:pt idx="5">
                  <c:v>89</c:v>
                </c:pt>
                <c:pt idx="6">
                  <c:v>306</c:v>
                </c:pt>
                <c:pt idx="7">
                  <c:v>91.96</c:v>
                </c:pt>
                <c:pt idx="8">
                  <c:v>170</c:v>
                </c:pt>
                <c:pt idx="9">
                  <c:v>189</c:v>
                </c:pt>
                <c:pt idx="10">
                  <c:v>202</c:v>
                </c:pt>
              </c:numCache>
            </c:numRef>
          </c:val>
        </c:ser>
        <c:dLbls>
          <c:showLegendKey val="0"/>
          <c:showVal val="0"/>
          <c:showCatName val="0"/>
          <c:showSerName val="0"/>
          <c:showPercent val="0"/>
          <c:showBubbleSize val="0"/>
        </c:dLbls>
        <c:gapWidth val="123"/>
        <c:overlap val="100"/>
        <c:axId val="252983016"/>
        <c:axId val="252983408"/>
      </c:barChart>
      <c:lineChart>
        <c:grouping val="standard"/>
        <c:varyColors val="0"/>
        <c:ser>
          <c:idx val="2"/>
          <c:order val="2"/>
          <c:tx>
            <c:strRef>
              <c:f>doprava!$E$42</c:f>
              <c:strCache>
                <c:ptCount val="1"/>
                <c:pt idx="0">
                  <c:v>Cesty v nevyhovujúcom a havarijnom stave (pravá os)</c:v>
                </c:pt>
              </c:strCache>
            </c:strRef>
          </c:tx>
          <c:spPr>
            <a:ln w="19050" cap="rnd">
              <a:solidFill>
                <a:schemeClr val="tx1"/>
              </a:solidFill>
              <a:prstDash val="sysDash"/>
              <a:round/>
            </a:ln>
            <a:effectLst/>
          </c:spPr>
          <c:marker>
            <c:symbol val="none"/>
          </c:marker>
          <c:cat>
            <c:strRef>
              <c:f>doprava!$F$39:$P$39</c:f>
              <c:strCache>
                <c:ptCount val="11"/>
                <c:pt idx="0">
                  <c:v>2009</c:v>
                </c:pt>
                <c:pt idx="1">
                  <c:v>2010</c:v>
                </c:pt>
                <c:pt idx="2">
                  <c:v>2011</c:v>
                </c:pt>
                <c:pt idx="3">
                  <c:v>2012</c:v>
                </c:pt>
                <c:pt idx="4">
                  <c:v>2013</c:v>
                </c:pt>
                <c:pt idx="5">
                  <c:v>2014</c:v>
                </c:pt>
                <c:pt idx="6">
                  <c:v>2015</c:v>
                </c:pt>
                <c:pt idx="7">
                  <c:v>2016 S</c:v>
                </c:pt>
                <c:pt idx="8">
                  <c:v>2017 R</c:v>
                </c:pt>
                <c:pt idx="9">
                  <c:v>2018 R</c:v>
                </c:pt>
                <c:pt idx="10">
                  <c:v>2019 R</c:v>
                </c:pt>
              </c:strCache>
            </c:strRef>
          </c:cat>
          <c:val>
            <c:numRef>
              <c:f>doprava!$F$42:$P$42</c:f>
              <c:numCache>
                <c:formatCode>0.0</c:formatCode>
                <c:ptCount val="11"/>
                <c:pt idx="0">
                  <c:v>0.37799999999999995</c:v>
                </c:pt>
                <c:pt idx="1">
                  <c:v>0.41399999999999998</c:v>
                </c:pt>
                <c:pt idx="2">
                  <c:v>0.52700000000000002</c:v>
                </c:pt>
                <c:pt idx="3">
                  <c:v>0.53400000000000003</c:v>
                </c:pt>
                <c:pt idx="4">
                  <c:v>0.47100000000000009</c:v>
                </c:pt>
                <c:pt idx="5">
                  <c:v>0.41100000000000003</c:v>
                </c:pt>
                <c:pt idx="6">
                  <c:v>0.44799999999999995</c:v>
                </c:pt>
              </c:numCache>
            </c:numRef>
          </c:val>
          <c:smooth val="0"/>
        </c:ser>
        <c:dLbls>
          <c:showLegendKey val="0"/>
          <c:showVal val="0"/>
          <c:showCatName val="0"/>
          <c:showSerName val="0"/>
          <c:showPercent val="0"/>
          <c:showBubbleSize val="0"/>
        </c:dLbls>
        <c:marker val="1"/>
        <c:smooth val="0"/>
        <c:axId val="252984192"/>
        <c:axId val="252983800"/>
      </c:lineChart>
      <c:catAx>
        <c:axId val="252983016"/>
        <c:scaling>
          <c:orientation val="minMax"/>
        </c:scaling>
        <c:delete val="0"/>
        <c:axPos val="b"/>
        <c:numFmt formatCode="General" sourceLinked="1"/>
        <c:majorTickMark val="none"/>
        <c:minorTickMark val="none"/>
        <c:tickLblPos val="nextTo"/>
        <c:spPr>
          <a:noFill/>
          <a:ln w="9525" cap="flat" cmpd="sng" algn="ctr">
            <a:solidFill>
              <a:srgbClr val="868686"/>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3408"/>
        <c:crosses val="autoZero"/>
        <c:auto val="1"/>
        <c:lblAlgn val="ctr"/>
        <c:lblOffset val="100"/>
        <c:noMultiLvlLbl val="0"/>
      </c:catAx>
      <c:valAx>
        <c:axId val="252983408"/>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 ##0\ _€" sourceLinked="1"/>
        <c:majorTickMark val="none"/>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3016"/>
        <c:crosses val="autoZero"/>
        <c:crossBetween val="between"/>
      </c:valAx>
      <c:valAx>
        <c:axId val="25298380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4192"/>
        <c:crosses val="max"/>
        <c:crossBetween val="between"/>
      </c:valAx>
      <c:catAx>
        <c:axId val="252984192"/>
        <c:scaling>
          <c:orientation val="minMax"/>
        </c:scaling>
        <c:delete val="1"/>
        <c:axPos val="b"/>
        <c:numFmt formatCode="General" sourceLinked="1"/>
        <c:majorTickMark val="out"/>
        <c:minorTickMark val="none"/>
        <c:tickLblPos val="nextTo"/>
        <c:crossAx val="252983800"/>
        <c:crosses val="autoZero"/>
        <c:auto val="1"/>
        <c:lblAlgn val="ctr"/>
        <c:lblOffset val="100"/>
        <c:noMultiLvlLbl val="0"/>
      </c:catAx>
      <c:spPr>
        <a:noFill/>
        <a:ln>
          <a:noFill/>
        </a:ln>
        <a:effectLst/>
      </c:spPr>
    </c:plotArea>
    <c:legend>
      <c:legendPos val="b"/>
      <c:layout>
        <c:manualLayout>
          <c:xMode val="edge"/>
          <c:yMode val="edge"/>
          <c:x val="3.0055488030439143E-2"/>
          <c:y val="0.78812809857101196"/>
          <c:w val="0.93093977346791379"/>
          <c:h val="0.1840941236512102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447776219753355E-2"/>
          <c:y val="4.4989775051124746E-2"/>
          <c:w val="0.8773695753784202"/>
          <c:h val="0.86303589666354463"/>
        </c:manualLayout>
      </c:layout>
      <c:barChart>
        <c:barDir val="col"/>
        <c:grouping val="clustered"/>
        <c:varyColors val="0"/>
        <c:ser>
          <c:idx val="0"/>
          <c:order val="0"/>
          <c:tx>
            <c:strRef>
              <c:f>'44 doprava'!$B$97</c:f>
              <c:strCache>
                <c:ptCount val="1"/>
                <c:pt idx="0">
                  <c:v>vlakové kilometre na km koľají, 2014</c:v>
                </c:pt>
              </c:strCache>
            </c:strRef>
          </c:tx>
          <c:spPr>
            <a:solidFill>
              <a:srgbClr val="AAD3F2"/>
            </a:solidFill>
            <a:ln>
              <a:noFill/>
            </a:ln>
            <a:effectLst/>
          </c:spPr>
          <c:invertIfNegative val="0"/>
          <c:dPt>
            <c:idx val="5"/>
            <c:invertIfNegative val="0"/>
            <c:bubble3D val="0"/>
            <c:spPr>
              <a:solidFill>
                <a:srgbClr val="AAD3F2"/>
              </a:solidFill>
              <a:ln>
                <a:noFill/>
              </a:ln>
              <a:effectLst/>
            </c:spPr>
          </c:dPt>
          <c:dPt>
            <c:idx val="16"/>
            <c:invertIfNegative val="0"/>
            <c:bubble3D val="0"/>
            <c:spPr>
              <a:solidFill>
                <a:srgbClr val="2C9ADC"/>
              </a:solidFill>
              <a:ln>
                <a:noFill/>
              </a:ln>
              <a:effectLst/>
            </c:spPr>
          </c:dPt>
          <c:cat>
            <c:strRef>
              <c:f>'44 doprava'!$A$98:$A$120</c:f>
              <c:strCache>
                <c:ptCount val="23"/>
                <c:pt idx="0">
                  <c:v>NL</c:v>
                </c:pt>
                <c:pt idx="1">
                  <c:v>UK</c:v>
                </c:pt>
                <c:pt idx="2">
                  <c:v>DK</c:v>
                </c:pt>
                <c:pt idx="3">
                  <c:v>LU</c:v>
                </c:pt>
                <c:pt idx="4">
                  <c:v>AT</c:v>
                </c:pt>
                <c:pt idx="5">
                  <c:v>BE</c:v>
                </c:pt>
                <c:pt idx="6">
                  <c:v>DE</c:v>
                </c:pt>
                <c:pt idx="7">
                  <c:v>IT</c:v>
                </c:pt>
                <c:pt idx="8">
                  <c:v>CZ</c:v>
                </c:pt>
                <c:pt idx="9">
                  <c:v>FR</c:v>
                </c:pt>
                <c:pt idx="10">
                  <c:v>SI</c:v>
                </c:pt>
                <c:pt idx="11">
                  <c:v>SE</c:v>
                </c:pt>
                <c:pt idx="12">
                  <c:v>PT</c:v>
                </c:pt>
                <c:pt idx="13">
                  <c:v>ES</c:v>
                </c:pt>
                <c:pt idx="14">
                  <c:v>HU</c:v>
                </c:pt>
                <c:pt idx="15">
                  <c:v>NO</c:v>
                </c:pt>
                <c:pt idx="16">
                  <c:v>SK</c:v>
                </c:pt>
                <c:pt idx="17">
                  <c:v>PL</c:v>
                </c:pt>
                <c:pt idx="18">
                  <c:v>IE</c:v>
                </c:pt>
                <c:pt idx="19">
                  <c:v>LV</c:v>
                </c:pt>
                <c:pt idx="20">
                  <c:v>FI</c:v>
                </c:pt>
                <c:pt idx="21">
                  <c:v>LT</c:v>
                </c:pt>
                <c:pt idx="22">
                  <c:v>HR</c:v>
                </c:pt>
              </c:strCache>
            </c:strRef>
          </c:cat>
          <c:val>
            <c:numRef>
              <c:f>'44 doprava'!$B$98:$B$120</c:f>
              <c:numCache>
                <c:formatCode>_-* #\ ##0.0\ _€_-;\-* #\ ##0.0\ _€_-;_-* "-"??\ _€_-;_-@_-</c:formatCode>
                <c:ptCount val="23"/>
                <c:pt idx="0">
                  <c:v>50.940283734741008</c:v>
                </c:pt>
                <c:pt idx="1">
                  <c:v>33.680609537911039</c:v>
                </c:pt>
                <c:pt idx="2">
                  <c:v>32.159264931087293</c:v>
                </c:pt>
                <c:pt idx="3">
                  <c:v>31.705454545454547</c:v>
                </c:pt>
                <c:pt idx="4">
                  <c:v>29.863187030446817</c:v>
                </c:pt>
                <c:pt idx="5">
                  <c:v>26.521619388598182</c:v>
                </c:pt>
                <c:pt idx="6">
                  <c:v>26.415053043567823</c:v>
                </c:pt>
                <c:pt idx="7">
                  <c:v>21.053530551153372</c:v>
                </c:pt>
                <c:pt idx="8">
                  <c:v>16.432952622673437</c:v>
                </c:pt>
                <c:pt idx="9">
                  <c:v>15.693253518848083</c:v>
                </c:pt>
                <c:pt idx="10">
                  <c:v>15.665562913907285</c:v>
                </c:pt>
                <c:pt idx="11">
                  <c:v>14.05973715651135</c:v>
                </c:pt>
                <c:pt idx="12">
                  <c:v>13.804245283018869</c:v>
                </c:pt>
                <c:pt idx="13">
                  <c:v>13.487264951889818</c:v>
                </c:pt>
                <c:pt idx="14">
                  <c:v>12.738469336036493</c:v>
                </c:pt>
                <c:pt idx="15">
                  <c:v>11.938194983191105</c:v>
                </c:pt>
                <c:pt idx="16">
                  <c:v>11.890818858560793</c:v>
                </c:pt>
                <c:pt idx="17">
                  <c:v>10.407929468905079</c:v>
                </c:pt>
                <c:pt idx="18">
                  <c:v>9.6274101094319953</c:v>
                </c:pt>
                <c:pt idx="19">
                  <c:v>9.5272531030760934</c:v>
                </c:pt>
                <c:pt idx="20">
                  <c:v>8.3563257065948857</c:v>
                </c:pt>
                <c:pt idx="21">
                  <c:v>7.9654782116581773</c:v>
                </c:pt>
                <c:pt idx="22">
                  <c:v>7.7219662058371732</c:v>
                </c:pt>
              </c:numCache>
            </c:numRef>
          </c:val>
        </c:ser>
        <c:dLbls>
          <c:showLegendKey val="0"/>
          <c:showVal val="0"/>
          <c:showCatName val="0"/>
          <c:showSerName val="0"/>
          <c:showPercent val="0"/>
          <c:showBubbleSize val="0"/>
        </c:dLbls>
        <c:gapWidth val="176"/>
        <c:overlap val="-27"/>
        <c:axId val="252984976"/>
        <c:axId val="252985368"/>
      </c:barChart>
      <c:lineChart>
        <c:grouping val="standard"/>
        <c:varyColors val="0"/>
        <c:ser>
          <c:idx val="1"/>
          <c:order val="1"/>
          <c:tx>
            <c:strRef>
              <c:f>'44 doprava'!$C$97</c:f>
              <c:strCache>
                <c:ptCount val="1"/>
                <c:pt idx="0">
                  <c:v>priemer EÚ, 2014</c:v>
                </c:pt>
              </c:strCache>
            </c:strRef>
          </c:tx>
          <c:spPr>
            <a:ln w="19050" cap="rnd">
              <a:solidFill>
                <a:sysClr val="windowText" lastClr="000000"/>
              </a:solidFill>
              <a:prstDash val="sysDash"/>
              <a:round/>
            </a:ln>
            <a:effectLst/>
          </c:spPr>
          <c:marker>
            <c:symbol val="none"/>
          </c:marker>
          <c:cat>
            <c:strRef>
              <c:f>'44 doprava'!$A$98:$A$120</c:f>
              <c:strCache>
                <c:ptCount val="23"/>
                <c:pt idx="0">
                  <c:v>NL</c:v>
                </c:pt>
                <c:pt idx="1">
                  <c:v>UK</c:v>
                </c:pt>
                <c:pt idx="2">
                  <c:v>DK</c:v>
                </c:pt>
                <c:pt idx="3">
                  <c:v>LU</c:v>
                </c:pt>
                <c:pt idx="4">
                  <c:v>AT</c:v>
                </c:pt>
                <c:pt idx="5">
                  <c:v>BE</c:v>
                </c:pt>
                <c:pt idx="6">
                  <c:v>DE</c:v>
                </c:pt>
                <c:pt idx="7">
                  <c:v>IT</c:v>
                </c:pt>
                <c:pt idx="8">
                  <c:v>CZ</c:v>
                </c:pt>
                <c:pt idx="9">
                  <c:v>FR</c:v>
                </c:pt>
                <c:pt idx="10">
                  <c:v>SI</c:v>
                </c:pt>
                <c:pt idx="11">
                  <c:v>SE</c:v>
                </c:pt>
                <c:pt idx="12">
                  <c:v>PT</c:v>
                </c:pt>
                <c:pt idx="13">
                  <c:v>ES</c:v>
                </c:pt>
                <c:pt idx="14">
                  <c:v>HU</c:v>
                </c:pt>
                <c:pt idx="15">
                  <c:v>NO</c:v>
                </c:pt>
                <c:pt idx="16">
                  <c:v>SK</c:v>
                </c:pt>
                <c:pt idx="17">
                  <c:v>PL</c:v>
                </c:pt>
                <c:pt idx="18">
                  <c:v>IE</c:v>
                </c:pt>
                <c:pt idx="19">
                  <c:v>LV</c:v>
                </c:pt>
                <c:pt idx="20">
                  <c:v>FI</c:v>
                </c:pt>
                <c:pt idx="21">
                  <c:v>LT</c:v>
                </c:pt>
                <c:pt idx="22">
                  <c:v>HR</c:v>
                </c:pt>
              </c:strCache>
            </c:strRef>
          </c:cat>
          <c:val>
            <c:numRef>
              <c:f>'44 doprava'!$C$98:$C$120</c:f>
              <c:numCache>
                <c:formatCode>_-* #\ ##0.0\ _€_-;\-* #\ ##0.0\ _€_-;_-* "-"??\ _€_-;_-@_-</c:formatCode>
                <c:ptCount val="23"/>
                <c:pt idx="0">
                  <c:v>16.899999999999999</c:v>
                </c:pt>
                <c:pt idx="1">
                  <c:v>16.899999999999999</c:v>
                </c:pt>
                <c:pt idx="2">
                  <c:v>16.899999999999999</c:v>
                </c:pt>
                <c:pt idx="3">
                  <c:v>16.899999999999999</c:v>
                </c:pt>
                <c:pt idx="4">
                  <c:v>16.899999999999999</c:v>
                </c:pt>
                <c:pt idx="5">
                  <c:v>16.899999999999999</c:v>
                </c:pt>
                <c:pt idx="6">
                  <c:v>16.899999999999999</c:v>
                </c:pt>
                <c:pt idx="7">
                  <c:v>16.899999999999999</c:v>
                </c:pt>
                <c:pt idx="8">
                  <c:v>16.899999999999999</c:v>
                </c:pt>
                <c:pt idx="9">
                  <c:v>16.899999999999999</c:v>
                </c:pt>
                <c:pt idx="10">
                  <c:v>16.899999999999999</c:v>
                </c:pt>
                <c:pt idx="11">
                  <c:v>16.899999999999999</c:v>
                </c:pt>
                <c:pt idx="12">
                  <c:v>16.899999999999999</c:v>
                </c:pt>
                <c:pt idx="13">
                  <c:v>16.899999999999999</c:v>
                </c:pt>
                <c:pt idx="14">
                  <c:v>16.899999999999999</c:v>
                </c:pt>
                <c:pt idx="15">
                  <c:v>16.899999999999999</c:v>
                </c:pt>
                <c:pt idx="16">
                  <c:v>16.899999999999999</c:v>
                </c:pt>
                <c:pt idx="17">
                  <c:v>16.899999999999999</c:v>
                </c:pt>
                <c:pt idx="18">
                  <c:v>16.899999999999999</c:v>
                </c:pt>
                <c:pt idx="19">
                  <c:v>16.899999999999999</c:v>
                </c:pt>
                <c:pt idx="20">
                  <c:v>16.899999999999999</c:v>
                </c:pt>
                <c:pt idx="21">
                  <c:v>16.899999999999999</c:v>
                </c:pt>
                <c:pt idx="22">
                  <c:v>16.899999999999999</c:v>
                </c:pt>
              </c:numCache>
            </c:numRef>
          </c:val>
          <c:smooth val="0"/>
        </c:ser>
        <c:dLbls>
          <c:showLegendKey val="0"/>
          <c:showVal val="0"/>
          <c:showCatName val="0"/>
          <c:showSerName val="0"/>
          <c:showPercent val="0"/>
          <c:showBubbleSize val="0"/>
        </c:dLbls>
        <c:marker val="1"/>
        <c:smooth val="0"/>
        <c:axId val="252984976"/>
        <c:axId val="252985368"/>
      </c:lineChart>
      <c:catAx>
        <c:axId val="252984976"/>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en-US"/>
          </a:p>
        </c:txPr>
        <c:crossAx val="252985368"/>
        <c:crosses val="autoZero"/>
        <c:auto val="1"/>
        <c:lblAlgn val="ctr"/>
        <c:lblOffset val="100"/>
        <c:noMultiLvlLbl val="0"/>
      </c:catAx>
      <c:valAx>
        <c:axId val="252985368"/>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4976"/>
        <c:crosses val="autoZero"/>
        <c:crossBetween val="between"/>
      </c:valAx>
      <c:spPr>
        <a:noFill/>
        <a:ln>
          <a:noFill/>
        </a:ln>
        <a:effectLst/>
      </c:spPr>
    </c:plotArea>
    <c:legend>
      <c:legendPos val="b"/>
      <c:layout>
        <c:manualLayout>
          <c:xMode val="edge"/>
          <c:yMode val="edge"/>
          <c:x val="0.10004933399111988"/>
          <c:y val="5.1084618606774566E-2"/>
          <c:w val="0.79978829114046979"/>
          <c:h val="0.2473259880171882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52135246250613"/>
          <c:y val="5.5555555555555552E-2"/>
          <c:w val="0.73983511263546042"/>
          <c:h val="0.65715154026799283"/>
        </c:manualLayout>
      </c:layout>
      <c:barChart>
        <c:barDir val="col"/>
        <c:grouping val="clustered"/>
        <c:varyColors val="0"/>
        <c:ser>
          <c:idx val="0"/>
          <c:order val="0"/>
          <c:tx>
            <c:strRef>
              <c:f>'44 doprava'!$A$170</c:f>
              <c:strCache>
                <c:ptCount val="1"/>
                <c:pt idx="0">
                  <c:v>na tis. vlkm (ľavá os)</c:v>
                </c:pt>
              </c:strCache>
            </c:strRef>
          </c:tx>
          <c:spPr>
            <a:solidFill>
              <a:srgbClr val="2C9ADC"/>
            </a:solidFill>
            <a:ln>
              <a:noFill/>
            </a:ln>
            <a:effectLst/>
          </c:spPr>
          <c:invertIfNegative val="0"/>
          <c:cat>
            <c:strRef>
              <c:f>'44 doprava'!$B$169:$C$169</c:f>
              <c:strCache>
                <c:ptCount val="2"/>
                <c:pt idx="0">
                  <c:v>ČD</c:v>
                </c:pt>
                <c:pt idx="1">
                  <c:v>ZSSK</c:v>
                </c:pt>
              </c:strCache>
            </c:strRef>
          </c:cat>
          <c:val>
            <c:numRef>
              <c:f>'44 doprava'!$B$170:$C$170</c:f>
              <c:numCache>
                <c:formatCode>#,##0</c:formatCode>
                <c:ptCount val="2"/>
                <c:pt idx="0">
                  <c:v>6543.4833848830058</c:v>
                </c:pt>
                <c:pt idx="1">
                  <c:v>11408.190419869899</c:v>
                </c:pt>
              </c:numCache>
            </c:numRef>
          </c:val>
        </c:ser>
        <c:dLbls>
          <c:showLegendKey val="0"/>
          <c:showVal val="0"/>
          <c:showCatName val="0"/>
          <c:showSerName val="0"/>
          <c:showPercent val="0"/>
          <c:showBubbleSize val="0"/>
        </c:dLbls>
        <c:gapWidth val="219"/>
        <c:axId val="252986152"/>
        <c:axId val="252986544"/>
      </c:barChart>
      <c:scatterChart>
        <c:scatterStyle val="lineMarker"/>
        <c:varyColors val="0"/>
        <c:ser>
          <c:idx val="1"/>
          <c:order val="1"/>
          <c:tx>
            <c:strRef>
              <c:f>'44 doprava'!$A$171</c:f>
              <c:strCache>
                <c:ptCount val="1"/>
                <c:pt idx="0">
                  <c:v>na tis. oskm (pravá os)</c:v>
                </c:pt>
              </c:strCache>
            </c:strRef>
          </c:tx>
          <c:spPr>
            <a:ln w="25400" cap="rnd">
              <a:noFill/>
              <a:round/>
            </a:ln>
            <a:effectLst/>
          </c:spPr>
          <c:marker>
            <c:symbol val="triangle"/>
            <c:size val="7"/>
            <c:spPr>
              <a:solidFill>
                <a:schemeClr val="tx1"/>
              </a:solidFill>
              <a:ln w="9525">
                <a:solidFill>
                  <a:schemeClr val="tx1"/>
                </a:solidFill>
              </a:ln>
              <a:effectLst/>
            </c:spPr>
          </c:marker>
          <c:xVal>
            <c:strRef>
              <c:f>'44 doprava'!$B$169:$C$169</c:f>
              <c:strCache>
                <c:ptCount val="2"/>
                <c:pt idx="0">
                  <c:v>ČD</c:v>
                </c:pt>
                <c:pt idx="1">
                  <c:v>ZSSK</c:v>
                </c:pt>
              </c:strCache>
            </c:strRef>
          </c:xVal>
          <c:yVal>
            <c:numRef>
              <c:f>'44 doprava'!$B$171:$C$171</c:f>
              <c:numCache>
                <c:formatCode>#,##0</c:formatCode>
                <c:ptCount val="2"/>
                <c:pt idx="0">
                  <c:v>112.9966486774437</c:v>
                </c:pt>
                <c:pt idx="1">
                  <c:v>141.09673096517002</c:v>
                </c:pt>
              </c:numCache>
            </c:numRef>
          </c:yVal>
          <c:smooth val="0"/>
        </c:ser>
        <c:ser>
          <c:idx val="2"/>
          <c:order val="2"/>
          <c:tx>
            <c:strRef>
              <c:f>'44 doprava'!$A$172</c:f>
              <c:strCache>
                <c:ptCount val="1"/>
                <c:pt idx="0">
                  <c:v> na tis. oskm v 2015  (pravá os)</c:v>
                </c:pt>
              </c:strCache>
            </c:strRef>
          </c:tx>
          <c:spPr>
            <a:ln w="25400" cap="rnd">
              <a:noFill/>
              <a:round/>
            </a:ln>
            <a:effectLst/>
          </c:spPr>
          <c:marker>
            <c:symbol val="triangle"/>
            <c:size val="7"/>
            <c:spPr>
              <a:solidFill>
                <a:srgbClr val="C6D9F1"/>
              </a:solidFill>
              <a:ln w="9525">
                <a:solidFill>
                  <a:srgbClr val="C6D9F1"/>
                </a:solidFill>
              </a:ln>
              <a:effectLst/>
            </c:spPr>
          </c:marker>
          <c:xVal>
            <c:strRef>
              <c:f>'44 doprava'!$B$169:$C$169</c:f>
              <c:strCache>
                <c:ptCount val="2"/>
                <c:pt idx="0">
                  <c:v>ČD</c:v>
                </c:pt>
                <c:pt idx="1">
                  <c:v>ZSSK</c:v>
                </c:pt>
              </c:strCache>
            </c:strRef>
          </c:xVal>
          <c:yVal>
            <c:numRef>
              <c:f>'44 doprava'!$B$172:$C$172</c:f>
              <c:numCache>
                <c:formatCode>#,##0</c:formatCode>
                <c:ptCount val="2"/>
                <c:pt idx="1">
                  <c:v>117.77878748539531</c:v>
                </c:pt>
              </c:numCache>
            </c:numRef>
          </c:yVal>
          <c:smooth val="0"/>
        </c:ser>
        <c:dLbls>
          <c:showLegendKey val="0"/>
          <c:showVal val="0"/>
          <c:showCatName val="0"/>
          <c:showSerName val="0"/>
          <c:showPercent val="0"/>
          <c:showBubbleSize val="0"/>
        </c:dLbls>
        <c:axId val="252987328"/>
        <c:axId val="252986936"/>
      </c:scatterChart>
      <c:catAx>
        <c:axId val="25298615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6544"/>
        <c:crosses val="autoZero"/>
        <c:auto val="1"/>
        <c:lblAlgn val="ctr"/>
        <c:lblOffset val="100"/>
        <c:noMultiLvlLbl val="0"/>
      </c:catAx>
      <c:valAx>
        <c:axId val="252986544"/>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6152"/>
        <c:crosses val="autoZero"/>
        <c:crossBetween val="between"/>
      </c:valAx>
      <c:valAx>
        <c:axId val="252986936"/>
        <c:scaling>
          <c:orientation val="minMax"/>
        </c:scaling>
        <c:delete val="0"/>
        <c:axPos val="r"/>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2987328"/>
        <c:crosses val="max"/>
        <c:crossBetween val="midCat"/>
      </c:valAx>
      <c:valAx>
        <c:axId val="252987328"/>
        <c:scaling>
          <c:orientation val="minMax"/>
        </c:scaling>
        <c:delete val="1"/>
        <c:axPos val="t"/>
        <c:majorTickMark val="out"/>
        <c:minorTickMark val="none"/>
        <c:tickLblPos val="nextTo"/>
        <c:crossAx val="252986936"/>
        <c:crosses val="max"/>
        <c:crossBetween val="midCat"/>
      </c:valAx>
      <c:spPr>
        <a:noFill/>
        <a:ln>
          <a:noFill/>
        </a:ln>
        <a:effectLst/>
      </c:spPr>
    </c:plotArea>
    <c:legend>
      <c:legendPos val="b"/>
      <c:layout>
        <c:manualLayout>
          <c:xMode val="edge"/>
          <c:yMode val="edge"/>
          <c:x val="0.20543483933503043"/>
          <c:y val="0.80022655062853987"/>
          <c:w val="0.60974894410396618"/>
          <c:h val="0.1997734493714601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910104986876695E-2"/>
          <c:y val="4.2759961127308101E-2"/>
          <c:w val="0.927089895013123"/>
          <c:h val="0.5608423215676156"/>
        </c:manualLayout>
      </c:layout>
      <c:barChart>
        <c:barDir val="col"/>
        <c:grouping val="clustered"/>
        <c:varyColors val="0"/>
        <c:ser>
          <c:idx val="0"/>
          <c:order val="0"/>
          <c:tx>
            <c:strRef>
              <c:f>'45 podnikateľské prostredie'!$B$5</c:f>
              <c:strCache>
                <c:ptCount val="1"/>
                <c:pt idx="0">
                  <c:v>2015</c:v>
                </c:pt>
              </c:strCache>
            </c:strRef>
          </c:tx>
          <c:spPr>
            <a:solidFill>
              <a:srgbClr val="AAD3F2"/>
            </a:solidFill>
          </c:spPr>
          <c:invertIfNegative val="0"/>
          <c:cat>
            <c:strRef>
              <c:f>'45 podnikateľské prostredie'!$A$6:$A$15</c:f>
              <c:strCache>
                <c:ptCount val="10"/>
                <c:pt idx="0">
                  <c:v>Ochrana minoritných 
investorov</c:v>
                </c:pt>
                <c:pt idx="1">
                  <c:v>Stavebné povolenia</c:v>
                </c:pt>
                <c:pt idx="2">
                  <c:v>Vymožiteľnosť práva</c:v>
                </c:pt>
                <c:pt idx="3">
                  <c:v>Začatie podnikania</c:v>
                </c:pt>
                <c:pt idx="4">
                  <c:v>Platenie daní</c:v>
                </c:pt>
                <c:pt idx="5">
                  <c:v>Riešenie insolventnosti</c:v>
                </c:pt>
                <c:pt idx="6">
                  <c:v>Dostupnosť 
elektrickej energie</c:v>
                </c:pt>
                <c:pt idx="7">
                  <c:v>Získanie úveru</c:v>
                </c:pt>
                <c:pt idx="8">
                  <c:v>Cezhraničný obchod</c:v>
                </c:pt>
                <c:pt idx="9">
                  <c:v>Registrovanie majetku</c:v>
                </c:pt>
              </c:strCache>
            </c:strRef>
          </c:cat>
          <c:val>
            <c:numRef>
              <c:f>'45 podnikateľské prostredie'!$B$6:$B$15</c:f>
              <c:numCache>
                <c:formatCode>0.00</c:formatCode>
                <c:ptCount val="10"/>
                <c:pt idx="0">
                  <c:v>-1.21471112148988</c:v>
                </c:pt>
                <c:pt idx="1">
                  <c:v>-0.97642564625196782</c:v>
                </c:pt>
                <c:pt idx="2">
                  <c:v>-0.77495283542792859</c:v>
                </c:pt>
                <c:pt idx="3">
                  <c:v>-0.65711229515623859</c:v>
                </c:pt>
                <c:pt idx="4">
                  <c:v>-0.55301827470152198</c:v>
                </c:pt>
                <c:pt idx="5">
                  <c:v>-0.38172567514862077</c:v>
                </c:pt>
                <c:pt idx="6">
                  <c:v>-0.3275105708419444</c:v>
                </c:pt>
                <c:pt idx="7">
                  <c:v>0.13343108382152202</c:v>
                </c:pt>
                <c:pt idx="8">
                  <c:v>0.91941131077721516</c:v>
                </c:pt>
                <c:pt idx="9">
                  <c:v>1.3323084178099163</c:v>
                </c:pt>
              </c:numCache>
            </c:numRef>
          </c:val>
        </c:ser>
        <c:ser>
          <c:idx val="1"/>
          <c:order val="1"/>
          <c:tx>
            <c:strRef>
              <c:f>'45 podnikateľské prostredie'!$C$5</c:f>
              <c:strCache>
                <c:ptCount val="1"/>
                <c:pt idx="0">
                  <c:v>2016</c:v>
                </c:pt>
              </c:strCache>
            </c:strRef>
          </c:tx>
          <c:spPr>
            <a:solidFill>
              <a:srgbClr val="2C9ADC"/>
            </a:solidFill>
          </c:spPr>
          <c:invertIfNegative val="0"/>
          <c:cat>
            <c:strRef>
              <c:f>'45 podnikateľské prostredie'!$A$6:$A$15</c:f>
              <c:strCache>
                <c:ptCount val="10"/>
                <c:pt idx="0">
                  <c:v>Ochrana minoritných 
investorov</c:v>
                </c:pt>
                <c:pt idx="1">
                  <c:v>Stavebné povolenia</c:v>
                </c:pt>
                <c:pt idx="2">
                  <c:v>Vymožiteľnosť práva</c:v>
                </c:pt>
                <c:pt idx="3">
                  <c:v>Začatie podnikania</c:v>
                </c:pt>
                <c:pt idx="4">
                  <c:v>Platenie daní</c:v>
                </c:pt>
                <c:pt idx="5">
                  <c:v>Riešenie insolventnosti</c:v>
                </c:pt>
                <c:pt idx="6">
                  <c:v>Dostupnosť 
elektrickej energie</c:v>
                </c:pt>
                <c:pt idx="7">
                  <c:v>Získanie úveru</c:v>
                </c:pt>
                <c:pt idx="8">
                  <c:v>Cezhraničný obchod</c:v>
                </c:pt>
                <c:pt idx="9">
                  <c:v>Registrovanie majetku</c:v>
                </c:pt>
              </c:strCache>
            </c:strRef>
          </c:cat>
          <c:val>
            <c:numRef>
              <c:f>'45 podnikateľské prostredie'!$C$6:$C$15</c:f>
              <c:numCache>
                <c:formatCode>General</c:formatCode>
                <c:ptCount val="10"/>
                <c:pt idx="0" formatCode="0.00">
                  <c:v>-1.31</c:v>
                </c:pt>
                <c:pt idx="1">
                  <c:v>-1.29</c:v>
                </c:pt>
                <c:pt idx="2">
                  <c:v>-1.06</c:v>
                </c:pt>
                <c:pt idx="3" formatCode="0.00">
                  <c:v>-0.63</c:v>
                </c:pt>
                <c:pt idx="4">
                  <c:v>-0.18</c:v>
                </c:pt>
                <c:pt idx="5">
                  <c:v>-0.36</c:v>
                </c:pt>
                <c:pt idx="6">
                  <c:v>-0.39</c:v>
                </c:pt>
                <c:pt idx="7">
                  <c:v>0.1</c:v>
                </c:pt>
                <c:pt idx="8">
                  <c:v>0.86</c:v>
                </c:pt>
                <c:pt idx="9">
                  <c:v>1.32</c:v>
                </c:pt>
              </c:numCache>
            </c:numRef>
          </c:val>
        </c:ser>
        <c:dLbls>
          <c:showLegendKey val="0"/>
          <c:showVal val="0"/>
          <c:showCatName val="0"/>
          <c:showSerName val="0"/>
          <c:showPercent val="0"/>
          <c:showBubbleSize val="0"/>
        </c:dLbls>
        <c:gapWidth val="150"/>
        <c:axId val="252928952"/>
        <c:axId val="252929344"/>
      </c:barChart>
      <c:catAx>
        <c:axId val="252928952"/>
        <c:scaling>
          <c:orientation val="minMax"/>
        </c:scaling>
        <c:delete val="0"/>
        <c:axPos val="b"/>
        <c:numFmt formatCode="General" sourceLinked="1"/>
        <c:majorTickMark val="in"/>
        <c:minorTickMark val="out"/>
        <c:tickLblPos val="low"/>
        <c:txPr>
          <a:bodyPr rot="-5400000" vert="horz"/>
          <a:lstStyle/>
          <a:p>
            <a:pPr>
              <a:defRPr sz="700">
                <a:latin typeface="Arial Narrow" panose="020B0606020202030204" pitchFamily="34" charset="0"/>
              </a:defRPr>
            </a:pPr>
            <a:endParaRPr lang="en-US"/>
          </a:p>
        </c:txPr>
        <c:crossAx val="252929344"/>
        <c:crosses val="autoZero"/>
        <c:auto val="0"/>
        <c:lblAlgn val="ctr"/>
        <c:lblOffset val="100"/>
        <c:noMultiLvlLbl val="0"/>
      </c:catAx>
      <c:valAx>
        <c:axId val="25292934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en-US"/>
          </a:p>
        </c:txPr>
        <c:crossAx val="252928952"/>
        <c:crosses val="autoZero"/>
        <c:crossBetween val="between"/>
      </c:valAx>
    </c:plotArea>
    <c:legend>
      <c:legendPos val="t"/>
      <c:layout>
        <c:manualLayout>
          <c:xMode val="edge"/>
          <c:yMode val="edge"/>
          <c:x val="0.123771331557533"/>
          <c:y val="6.4762742866620898E-2"/>
          <c:w val="0.56453181283374099"/>
          <c:h val="5.2156764495347202E-2"/>
        </c:manualLayout>
      </c:layout>
      <c:overlay val="0"/>
    </c:legend>
    <c:plotVisOnly val="1"/>
    <c:dispBlanksAs val="gap"/>
    <c:showDLblsOverMax val="0"/>
  </c:chart>
  <c:spPr>
    <a:ln>
      <a:noFill/>
    </a:ln>
  </c:spPr>
  <c:txPr>
    <a:bodyPr/>
    <a:lstStyle/>
    <a:p>
      <a:pPr>
        <a:defRPr sz="800" b="0" i="0" u="none" strike="noStrike" baseline="0">
          <a:solidFill>
            <a:srgbClr val="000000"/>
          </a:solidFill>
          <a:latin typeface="Arial Narrow"/>
          <a:ea typeface="Arial Narrow"/>
          <a:cs typeface="Arial Narrow"/>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16475866048658"/>
          <c:y val="3.6809617547806532E-2"/>
          <c:w val="0.93616132135261021"/>
          <c:h val="0.86336284722222201"/>
        </c:manualLayout>
      </c:layout>
      <c:barChart>
        <c:barDir val="col"/>
        <c:grouping val="clustered"/>
        <c:varyColors val="0"/>
        <c:ser>
          <c:idx val="0"/>
          <c:order val="0"/>
          <c:tx>
            <c:strRef>
              <c:f>'45 podnikateľské prostredie'!$R$5</c:f>
              <c:strCache>
                <c:ptCount val="1"/>
                <c:pt idx="0">
                  <c:v>Vymožiteľnosť záväzkov zo zmlúv</c:v>
                </c:pt>
              </c:strCache>
            </c:strRef>
          </c:tx>
          <c:spPr>
            <a:solidFill>
              <a:srgbClr val="2C9ADC"/>
            </a:solidFill>
          </c:spPr>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'45 podnikateľské prostredie'!$Q$6:$Q$10</c:f>
              <c:strCache>
                <c:ptCount val="5"/>
                <c:pt idx="0">
                  <c:v>SK</c:v>
                </c:pt>
                <c:pt idx="1">
                  <c:v>PL</c:v>
                </c:pt>
                <c:pt idx="2">
                  <c:v>CZ</c:v>
                </c:pt>
                <c:pt idx="3">
                  <c:v>EÚ</c:v>
                </c:pt>
                <c:pt idx="4">
                  <c:v>HU</c:v>
                </c:pt>
              </c:strCache>
            </c:strRef>
          </c:cat>
          <c:val>
            <c:numRef>
              <c:f>'45 podnikateľské prostredie'!$R$6:$R$10</c:f>
              <c:numCache>
                <c:formatCode>0</c:formatCode>
                <c:ptCount val="5"/>
                <c:pt idx="0">
                  <c:v>705</c:v>
                </c:pt>
                <c:pt idx="1">
                  <c:v>685</c:v>
                </c:pt>
                <c:pt idx="2">
                  <c:v>611</c:v>
                </c:pt>
                <c:pt idx="3">
                  <c:v>581</c:v>
                </c:pt>
                <c:pt idx="4">
                  <c:v>395</c:v>
                </c:pt>
              </c:numCache>
            </c:numRef>
          </c:val>
        </c:ser>
        <c:ser>
          <c:idx val="2"/>
          <c:order val="1"/>
          <c:tx>
            <c:strRef>
              <c:f>'45 podnikateľské prostredie'!$S$5</c:f>
              <c:strCache>
                <c:ptCount val="1"/>
                <c:pt idx="0">
                  <c:v>Riešenie insolventnosti </c:v>
                </c:pt>
              </c:strCache>
            </c:strRef>
          </c:tx>
          <c:spPr>
            <a:solidFill>
              <a:schemeClr val="tx2">
                <a:lumMod val="20000"/>
                <a:lumOff val="80000"/>
              </a:schemeClr>
            </a:solidFill>
          </c:spPr>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'45 podnikateľské prostredie'!$Q$6:$Q$10</c:f>
              <c:strCache>
                <c:ptCount val="5"/>
                <c:pt idx="0">
                  <c:v>SK</c:v>
                </c:pt>
                <c:pt idx="1">
                  <c:v>PL</c:v>
                </c:pt>
                <c:pt idx="2">
                  <c:v>CZ</c:v>
                </c:pt>
                <c:pt idx="3">
                  <c:v>EÚ</c:v>
                </c:pt>
                <c:pt idx="4">
                  <c:v>HU</c:v>
                </c:pt>
              </c:strCache>
            </c:strRef>
          </c:cat>
          <c:val>
            <c:numRef>
              <c:f>'45 podnikateľské prostredie'!$S$6:$S$10</c:f>
              <c:numCache>
                <c:formatCode>0</c:formatCode>
                <c:ptCount val="5"/>
                <c:pt idx="0">
                  <c:v>1460</c:v>
                </c:pt>
                <c:pt idx="1">
                  <c:v>1095</c:v>
                </c:pt>
                <c:pt idx="2">
                  <c:v>766.5</c:v>
                </c:pt>
                <c:pt idx="3">
                  <c:v>730</c:v>
                </c:pt>
                <c:pt idx="4">
                  <c:v>730</c:v>
                </c:pt>
              </c:numCache>
            </c:numRef>
          </c:val>
        </c:ser>
        <c:dLbls>
          <c:dLblPos val="outEnd"/>
          <c:showLegendKey val="0"/>
          <c:showVal val="1"/>
          <c:showCatName val="0"/>
          <c:showSerName val="0"/>
          <c:showPercent val="0"/>
          <c:showBubbleSize val="0"/>
        </c:dLbls>
        <c:gapWidth val="150"/>
        <c:axId val="252930128"/>
        <c:axId val="252930520"/>
      </c:barChart>
      <c:catAx>
        <c:axId val="252930128"/>
        <c:scaling>
          <c:orientation val="minMax"/>
        </c:scaling>
        <c:delete val="0"/>
        <c:axPos val="b"/>
        <c:numFmt formatCode="General" sourceLinked="1"/>
        <c:majorTickMark val="out"/>
        <c:minorTickMark val="none"/>
        <c:tickLblPos val="nextTo"/>
        <c:crossAx val="252930520"/>
        <c:crosses val="autoZero"/>
        <c:auto val="1"/>
        <c:lblAlgn val="ctr"/>
        <c:lblOffset val="100"/>
        <c:noMultiLvlLbl val="0"/>
      </c:catAx>
      <c:valAx>
        <c:axId val="25293052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2930128"/>
        <c:crosses val="autoZero"/>
        <c:crossBetween val="between"/>
      </c:valAx>
    </c:plotArea>
    <c:legend>
      <c:legendPos val="r"/>
      <c:layout>
        <c:manualLayout>
          <c:xMode val="edge"/>
          <c:yMode val="edge"/>
          <c:x val="0.39767018484391581"/>
          <c:y val="6.7796168336100845E-2"/>
          <c:w val="0.57800524934383202"/>
          <c:h val="0.14920603674540683"/>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v>Dĺžka konania</c:v>
          </c:tx>
          <c:spPr>
            <a:solidFill>
              <a:srgbClr val="AAD3F2"/>
            </a:solidFill>
          </c:spPr>
          <c:invertIfNegative val="0"/>
          <c:dPt>
            <c:idx val="1"/>
            <c:invertIfNegative val="0"/>
            <c:bubble3D val="0"/>
            <c:spPr>
              <a:solidFill>
                <a:srgbClr val="2C9ADC"/>
              </a:solidFill>
            </c:spPr>
          </c:dPt>
          <c:cat>
            <c:strRef>
              <c:f>'CEPEJ Disposition time'!$A$15:$A$24</c:f>
              <c:strCache>
                <c:ptCount val="10"/>
                <c:pt idx="0">
                  <c:v>Taliansko</c:v>
                </c:pt>
                <c:pt idx="1">
                  <c:v>Slovensko</c:v>
                </c:pt>
                <c:pt idx="2">
                  <c:v>Chorvátsko</c:v>
                </c:pt>
                <c:pt idx="3">
                  <c:v>Grécko</c:v>
                </c:pt>
                <c:pt idx="4">
                  <c:v>Slovinsko</c:v>
                </c:pt>
                <c:pt idx="5">
                  <c:v>Polsko</c:v>
                </c:pt>
                <c:pt idx="6">
                  <c:v>Česko</c:v>
                </c:pt>
                <c:pt idx="7">
                  <c:v>Maďarsko</c:v>
                </c:pt>
                <c:pt idx="8">
                  <c:v>Rakúsko</c:v>
                </c:pt>
                <c:pt idx="9">
                  <c:v>Švajčiarsko</c:v>
                </c:pt>
              </c:strCache>
            </c:strRef>
          </c:cat>
          <c:val>
            <c:numRef>
              <c:f>'CEPEJ Disposition time'!$B$15:$B$24</c:f>
              <c:numCache>
                <c:formatCode>General</c:formatCode>
                <c:ptCount val="10"/>
                <c:pt idx="0">
                  <c:v>532</c:v>
                </c:pt>
                <c:pt idx="1">
                  <c:v>524</c:v>
                </c:pt>
                <c:pt idx="2">
                  <c:v>380</c:v>
                </c:pt>
                <c:pt idx="3">
                  <c:v>330</c:v>
                </c:pt>
                <c:pt idx="4">
                  <c:v>228</c:v>
                </c:pt>
                <c:pt idx="5">
                  <c:v>203</c:v>
                </c:pt>
                <c:pt idx="6">
                  <c:v>163</c:v>
                </c:pt>
                <c:pt idx="7">
                  <c:v>144</c:v>
                </c:pt>
                <c:pt idx="8">
                  <c:v>130</c:v>
                </c:pt>
                <c:pt idx="9">
                  <c:v>116</c:v>
                </c:pt>
              </c:numCache>
            </c:numRef>
          </c:val>
        </c:ser>
        <c:dLbls>
          <c:showLegendKey val="0"/>
          <c:showVal val="0"/>
          <c:showCatName val="0"/>
          <c:showSerName val="0"/>
          <c:showPercent val="0"/>
          <c:showBubbleSize val="0"/>
        </c:dLbls>
        <c:gapWidth val="150"/>
        <c:axId val="252930912"/>
        <c:axId val="252931304"/>
      </c:barChart>
      <c:lineChart>
        <c:grouping val="standard"/>
        <c:varyColors val="0"/>
        <c:ser>
          <c:idx val="1"/>
          <c:order val="1"/>
          <c:tx>
            <c:strRef>
              <c:f>'CEPEJ Disposition time'!$C$14</c:f>
              <c:strCache>
                <c:ptCount val="1"/>
                <c:pt idx="0">
                  <c:v>Priemer CEPEJ</c:v>
                </c:pt>
              </c:strCache>
            </c:strRef>
          </c:tx>
          <c:spPr>
            <a:ln w="19050">
              <a:solidFill>
                <a:sysClr val="windowText" lastClr="000000"/>
              </a:solidFill>
              <a:prstDash val="sysDash"/>
            </a:ln>
          </c:spPr>
          <c:marker>
            <c:symbol val="none"/>
          </c:marker>
          <c:dPt>
            <c:idx val="8"/>
            <c:bubble3D val="0"/>
          </c:dPt>
          <c:val>
            <c:numRef>
              <c:f>'CEPEJ Disposition time'!$C$15:$C$24</c:f>
              <c:numCache>
                <c:formatCode>General</c:formatCode>
                <c:ptCount val="10"/>
                <c:pt idx="0">
                  <c:v>237</c:v>
                </c:pt>
                <c:pt idx="1">
                  <c:v>237</c:v>
                </c:pt>
                <c:pt idx="2">
                  <c:v>237</c:v>
                </c:pt>
                <c:pt idx="3">
                  <c:v>237</c:v>
                </c:pt>
                <c:pt idx="4">
                  <c:v>237</c:v>
                </c:pt>
                <c:pt idx="5">
                  <c:v>237</c:v>
                </c:pt>
                <c:pt idx="6">
                  <c:v>237</c:v>
                </c:pt>
                <c:pt idx="7">
                  <c:v>237</c:v>
                </c:pt>
                <c:pt idx="8">
                  <c:v>237</c:v>
                </c:pt>
                <c:pt idx="9">
                  <c:v>237</c:v>
                </c:pt>
              </c:numCache>
            </c:numRef>
          </c:val>
          <c:smooth val="0"/>
        </c:ser>
        <c:dLbls>
          <c:showLegendKey val="0"/>
          <c:showVal val="0"/>
          <c:showCatName val="0"/>
          <c:showSerName val="0"/>
          <c:showPercent val="0"/>
          <c:showBubbleSize val="0"/>
        </c:dLbls>
        <c:marker val="1"/>
        <c:smooth val="0"/>
        <c:axId val="252930912"/>
        <c:axId val="252931304"/>
      </c:lineChart>
      <c:catAx>
        <c:axId val="2529309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52931304"/>
        <c:crosses val="autoZero"/>
        <c:auto val="1"/>
        <c:lblAlgn val="ctr"/>
        <c:lblOffset val="100"/>
        <c:noMultiLvlLbl val="0"/>
      </c:catAx>
      <c:valAx>
        <c:axId val="252931304"/>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2930912"/>
        <c:crosses val="autoZero"/>
        <c:crossBetween val="between"/>
      </c:valAx>
    </c:plotArea>
    <c:legend>
      <c:legendPos val="r"/>
      <c:layout>
        <c:manualLayout>
          <c:xMode val="edge"/>
          <c:yMode val="edge"/>
          <c:x val="0.29186391564380193"/>
          <c:y val="7.05588865611982E-2"/>
          <c:w val="0.70211854768153981"/>
          <c:h val="0.18980230682173901"/>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0"/>
          <c:order val="2"/>
          <c:tx>
            <c:strRef>
              <c:f>'clearance rate'!$A$5</c:f>
              <c:strCache>
                <c:ptCount val="1"/>
                <c:pt idx="0">
                  <c:v>Slovensko</c:v>
                </c:pt>
              </c:strCache>
            </c:strRef>
          </c:tx>
          <c:spPr>
            <a:ln w="19050">
              <a:solidFill>
                <a:srgbClr val="2C9ADC"/>
              </a:solidFill>
              <a:prstDash val="solid"/>
            </a:ln>
          </c:spPr>
          <c:marker>
            <c:symbol val="none"/>
          </c:marker>
          <c:dPt>
            <c:idx val="2"/>
            <c:bubble3D val="0"/>
          </c:dPt>
          <c:cat>
            <c:numRef>
              <c:f>'clearance rate'!$B$1:$D$1</c:f>
              <c:numCache>
                <c:formatCode>General</c:formatCode>
                <c:ptCount val="3"/>
                <c:pt idx="0">
                  <c:v>2010</c:v>
                </c:pt>
                <c:pt idx="1">
                  <c:v>2012</c:v>
                </c:pt>
                <c:pt idx="2">
                  <c:v>2014</c:v>
                </c:pt>
              </c:numCache>
            </c:numRef>
          </c:cat>
          <c:val>
            <c:numRef>
              <c:f>'clearance rate'!$B$5:$D$5</c:f>
              <c:numCache>
                <c:formatCode>General</c:formatCode>
                <c:ptCount val="3"/>
                <c:pt idx="0">
                  <c:v>98</c:v>
                </c:pt>
                <c:pt idx="1">
                  <c:v>80</c:v>
                </c:pt>
                <c:pt idx="2">
                  <c:v>92</c:v>
                </c:pt>
              </c:numCache>
            </c:numRef>
          </c:val>
          <c:smooth val="0"/>
        </c:ser>
        <c:ser>
          <c:idx val="2"/>
          <c:order val="4"/>
          <c:tx>
            <c:strRef>
              <c:f>'clearance rate'!$A$6</c:f>
              <c:strCache>
                <c:ptCount val="1"/>
                <c:pt idx="0">
                  <c:v>Polsko</c:v>
                </c:pt>
              </c:strCache>
            </c:strRef>
          </c:tx>
          <c:spPr>
            <a:ln w="19050">
              <a:solidFill>
                <a:sysClr val="windowText" lastClr="000000"/>
              </a:solidFill>
            </a:ln>
          </c:spPr>
          <c:marker>
            <c:symbol val="none"/>
          </c:marker>
          <c:val>
            <c:numRef>
              <c:f>'clearance rate'!$B$6:$D$6</c:f>
              <c:numCache>
                <c:formatCode>General</c:formatCode>
                <c:ptCount val="3"/>
                <c:pt idx="0">
                  <c:v>95</c:v>
                </c:pt>
                <c:pt idx="1">
                  <c:v>89</c:v>
                </c:pt>
                <c:pt idx="2">
                  <c:v>99</c:v>
                </c:pt>
              </c:numCache>
            </c:numRef>
          </c:val>
          <c:smooth val="0"/>
        </c:ser>
        <c:ser>
          <c:idx val="4"/>
          <c:order val="5"/>
          <c:tx>
            <c:strRef>
              <c:f>'clearance rate'!$A$7</c:f>
              <c:strCache>
                <c:ptCount val="1"/>
                <c:pt idx="0">
                  <c:v>Česko</c:v>
                </c:pt>
              </c:strCache>
            </c:strRef>
          </c:tx>
          <c:spPr>
            <a:ln w="19050">
              <a:solidFill>
                <a:sysClr val="windowText" lastClr="000000"/>
              </a:solidFill>
              <a:prstDash val="sysDash"/>
            </a:ln>
          </c:spPr>
          <c:marker>
            <c:symbol val="none"/>
          </c:marker>
          <c:val>
            <c:numRef>
              <c:f>'clearance rate'!$B$7:$D$7</c:f>
              <c:numCache>
                <c:formatCode>General</c:formatCode>
                <c:ptCount val="3"/>
                <c:pt idx="0">
                  <c:v>103</c:v>
                </c:pt>
                <c:pt idx="1">
                  <c:v>99</c:v>
                </c:pt>
                <c:pt idx="2">
                  <c:v>105</c:v>
                </c:pt>
              </c:numCache>
            </c:numRef>
          </c:val>
          <c:smooth val="0"/>
        </c:ser>
        <c:ser>
          <c:idx val="9"/>
          <c:order val="9"/>
          <c:tx>
            <c:strRef>
              <c:f>'clearance rate'!$A$11</c:f>
              <c:strCache>
                <c:ptCount val="1"/>
                <c:pt idx="0">
                  <c:v>Maďarsko</c:v>
                </c:pt>
              </c:strCache>
            </c:strRef>
          </c:tx>
          <c:spPr>
            <a:ln w="19050">
              <a:solidFill>
                <a:srgbClr val="002060"/>
              </a:solidFill>
            </a:ln>
          </c:spPr>
          <c:marker>
            <c:symbol val="none"/>
          </c:marker>
          <c:val>
            <c:numRef>
              <c:f>'clearance rate'!$B$11:$D$11</c:f>
              <c:numCache>
                <c:formatCode>General</c:formatCode>
                <c:ptCount val="3"/>
                <c:pt idx="0">
                  <c:v>102</c:v>
                </c:pt>
                <c:pt idx="1">
                  <c:v>105</c:v>
                </c:pt>
                <c:pt idx="2">
                  <c:v>104</c:v>
                </c:pt>
              </c:numCache>
            </c:numRef>
          </c:val>
          <c:smooth val="0"/>
        </c:ser>
        <c:dLbls>
          <c:showLegendKey val="0"/>
          <c:showVal val="0"/>
          <c:showCatName val="0"/>
          <c:showSerName val="0"/>
          <c:showPercent val="0"/>
          <c:showBubbleSize val="0"/>
        </c:dLbls>
        <c:smooth val="0"/>
        <c:axId val="252932088"/>
        <c:axId val="252932480"/>
        <c:extLst>
          <c:ext xmlns:c15="http://schemas.microsoft.com/office/drawing/2012/chart" uri="{02D57815-91ED-43cb-92C2-25804820EDAC}">
            <c15:filteredLineSeries>
              <c15:ser>
                <c:idx val="3"/>
                <c:order val="0"/>
                <c:tx>
                  <c:strRef>
                    <c:extLst>
                      <c:ext uri="{02D57815-91ED-43cb-92C2-25804820EDAC}">
                        <c15:formulaRef>
                          <c15:sqref>'clearance rate'!$A$3</c15:sqref>
                        </c15:formulaRef>
                      </c:ext>
                    </c:extLst>
                    <c:strCache>
                      <c:ptCount val="1"/>
                      <c:pt idx="0">
                        <c:v>Taliansko</c:v>
                      </c:pt>
                    </c:strCache>
                  </c:strRef>
                </c:tx>
                <c:spPr>
                  <a:ln w="19050">
                    <a:solidFill>
                      <a:srgbClr val="2C9ADC"/>
                    </a:solidFill>
                    <a:prstDash val="solid"/>
                  </a:ln>
                </c:spPr>
                <c:marker>
                  <c:symbol val="none"/>
                </c:marker>
                <c:cat>
                  <c:numRef>
                    <c:extLst>
                      <c:ext uri="{02D57815-91ED-43cb-92C2-25804820EDAC}">
                        <c15:formulaRef>
                          <c15:sqref>'clearance rate'!$B$1:$D$1</c15:sqref>
                        </c15:formulaRef>
                      </c:ext>
                    </c:extLst>
                    <c:numCache>
                      <c:formatCode>General</c:formatCode>
                      <c:ptCount val="3"/>
                      <c:pt idx="0">
                        <c:v>2010</c:v>
                      </c:pt>
                      <c:pt idx="1">
                        <c:v>2012</c:v>
                      </c:pt>
                      <c:pt idx="2">
                        <c:v>2014</c:v>
                      </c:pt>
                    </c:numCache>
                  </c:numRef>
                </c:cat>
                <c:val>
                  <c:numRef>
                    <c:extLst>
                      <c:ext uri="{02D57815-91ED-43cb-92C2-25804820EDAC}">
                        <c15:formulaRef>
                          <c15:sqref>'clearance rate'!$B$3:$D$3</c15:sqref>
                        </c15:formulaRef>
                      </c:ext>
                    </c:extLst>
                    <c:numCache>
                      <c:formatCode>General</c:formatCode>
                      <c:ptCount val="3"/>
                      <c:pt idx="0">
                        <c:v>118</c:v>
                      </c:pt>
                      <c:pt idx="1">
                        <c:v>131</c:v>
                      </c:pt>
                      <c:pt idx="2">
                        <c:v>119</c:v>
                      </c:pt>
                    </c:numCache>
                  </c:numRef>
                </c:val>
                <c:smooth val="0"/>
              </c15:ser>
            </c15:filteredLineSeries>
            <c15:filteredLineSeries>
              <c15:ser>
                <c:idx val="5"/>
                <c:order val="1"/>
                <c:tx>
                  <c:strRef>
                    <c:extLst xmlns:c15="http://schemas.microsoft.com/office/drawing/2012/chart">
                      <c:ext xmlns:c15="http://schemas.microsoft.com/office/drawing/2012/chart" uri="{02D57815-91ED-43cb-92C2-25804820EDAC}">
                        <c15:formulaRef>
                          <c15:sqref>'clearance rate'!$A$4</c15:sqref>
                        </c15:formulaRef>
                      </c:ext>
                    </c:extLst>
                    <c:strCache>
                      <c:ptCount val="1"/>
                      <c:pt idx="0">
                        <c:v>Slovinsko</c:v>
                      </c:pt>
                    </c:strCache>
                  </c:strRef>
                </c:tx>
                <c:spPr>
                  <a:ln w="19050">
                    <a:solidFill>
                      <a:sysClr val="windowText" lastClr="000000"/>
                    </a:solidFill>
                    <a:prstDash val="solid"/>
                  </a:ln>
                </c:spPr>
                <c:marker>
                  <c:symbol val="none"/>
                </c:marker>
                <c:cat>
                  <c:numRef>
                    <c:extLst xmlns:c15="http://schemas.microsoft.com/office/drawing/2012/chart">
                      <c:ext xmlns:c15="http://schemas.microsoft.com/office/drawing/2012/chart" uri="{02D57815-91ED-43cb-92C2-25804820EDAC}">
                        <c15:formulaRef>
                          <c15:sqref>'clearance rate'!$B$1:$D$1</c15:sqref>
                        </c15:formulaRef>
                      </c:ext>
                    </c:extLst>
                    <c:numCache>
                      <c:formatCode>General</c:formatCode>
                      <c:ptCount val="3"/>
                      <c:pt idx="0">
                        <c:v>2010</c:v>
                      </c:pt>
                      <c:pt idx="1">
                        <c:v>2012</c:v>
                      </c:pt>
                      <c:pt idx="2">
                        <c:v>2014</c:v>
                      </c:pt>
                    </c:numCache>
                  </c:numRef>
                </c:cat>
                <c:val>
                  <c:numRef>
                    <c:extLst xmlns:c15="http://schemas.microsoft.com/office/drawing/2012/chart">
                      <c:ext xmlns:c15="http://schemas.microsoft.com/office/drawing/2012/chart" uri="{02D57815-91ED-43cb-92C2-25804820EDAC}">
                        <c15:formulaRef>
                          <c15:sqref>'clearance rate'!$B$4:$D$4</c15:sqref>
                        </c15:formulaRef>
                      </c:ext>
                    </c:extLst>
                    <c:numCache>
                      <c:formatCode>General</c:formatCode>
                      <c:ptCount val="3"/>
                      <c:pt idx="0">
                        <c:v>99</c:v>
                      </c:pt>
                      <c:pt idx="1">
                        <c:v>101</c:v>
                      </c:pt>
                      <c:pt idx="2">
                        <c:v>117</c:v>
                      </c:pt>
                    </c:numCache>
                  </c:numRef>
                </c:val>
                <c:smooth val="0"/>
              </c15:ser>
            </c15:filteredLineSeries>
            <c15:filteredLineSeries>
              <c15:ser>
                <c:idx val="1"/>
                <c:order val="3"/>
                <c:tx>
                  <c:strRef>
                    <c:extLst xmlns:c15="http://schemas.microsoft.com/office/drawing/2012/chart">
                      <c:ext xmlns:c15="http://schemas.microsoft.com/office/drawing/2012/chart" uri="{02D57815-91ED-43cb-92C2-25804820EDAC}">
                        <c15:formulaRef>
                          <c15:sqref>'clearance rate'!$A$2</c15:sqref>
                        </c15:formulaRef>
                      </c:ext>
                    </c:extLst>
                    <c:strCache>
                      <c:ptCount val="1"/>
                      <c:pt idx="0">
                        <c:v>Grécko</c:v>
                      </c:pt>
                    </c:strCache>
                  </c:strRef>
                </c:tx>
                <c:marker>
                  <c:symbol val="none"/>
                </c:marker>
                <c:val>
                  <c:numRef>
                    <c:extLst xmlns:c15="http://schemas.microsoft.com/office/drawing/2012/chart">
                      <c:ext xmlns:c15="http://schemas.microsoft.com/office/drawing/2012/chart" uri="{02D57815-91ED-43cb-92C2-25804820EDAC}">
                        <c15:formulaRef>
                          <c15:sqref>'clearance rate'!$B$2:$D$2</c15:sqref>
                        </c15:formulaRef>
                      </c:ext>
                    </c:extLst>
                    <c:numCache>
                      <c:formatCode>General</c:formatCode>
                      <c:ptCount val="3"/>
                      <c:pt idx="0">
                        <c:v>79</c:v>
                      </c:pt>
                      <c:pt idx="1">
                        <c:v>58</c:v>
                      </c:pt>
                      <c:pt idx="2">
                        <c:v>113</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'clearance rate'!$A$8</c15:sqref>
                        </c15:formulaRef>
                      </c:ext>
                    </c:extLst>
                    <c:strCache>
                      <c:ptCount val="1"/>
                      <c:pt idx="0">
                        <c:v>Chorvátsko</c:v>
                      </c:pt>
                    </c:strCache>
                  </c:strRef>
                </c:tx>
                <c:marker>
                  <c:symbol val="none"/>
                </c:marker>
                <c:val>
                  <c:numRef>
                    <c:extLst xmlns:c15="http://schemas.microsoft.com/office/drawing/2012/chart">
                      <c:ext xmlns:c15="http://schemas.microsoft.com/office/drawing/2012/chart" uri="{02D57815-91ED-43cb-92C2-25804820EDAC}">
                        <c15:formulaRef>
                          <c15:sqref>'clearance rate'!$B$8:$D$8</c15:sqref>
                        </c15:formulaRef>
                      </c:ext>
                    </c:extLst>
                    <c:numCache>
                      <c:formatCode>General</c:formatCode>
                      <c:ptCount val="3"/>
                      <c:pt idx="0">
                        <c:v>102</c:v>
                      </c:pt>
                      <c:pt idx="1">
                        <c:v>95</c:v>
                      </c:pt>
                      <c:pt idx="2">
                        <c:v>113</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'clearance rate'!$A$9</c15:sqref>
                        </c15:formulaRef>
                      </c:ext>
                    </c:extLst>
                    <c:strCache>
                      <c:ptCount val="1"/>
                      <c:pt idx="0">
                        <c:v>Švajčiarsko</c:v>
                      </c:pt>
                    </c:strCache>
                  </c:strRef>
                </c:tx>
                <c:marker>
                  <c:symbol val="none"/>
                </c:marker>
                <c:val>
                  <c:numRef>
                    <c:extLst xmlns:c15="http://schemas.microsoft.com/office/drawing/2012/chart">
                      <c:ext xmlns:c15="http://schemas.microsoft.com/office/drawing/2012/chart" uri="{02D57815-91ED-43cb-92C2-25804820EDAC}">
                        <c15:formulaRef>
                          <c15:sqref>'clearance rate'!$B$9:$D$9</c15:sqref>
                        </c15:formulaRef>
                      </c:ext>
                    </c:extLst>
                    <c:numCache>
                      <c:formatCode>General</c:formatCode>
                      <c:ptCount val="3"/>
                      <c:pt idx="0">
                        <c:v>100</c:v>
                      </c:pt>
                      <c:pt idx="1">
                        <c:v>100</c:v>
                      </c:pt>
                      <c:pt idx="2">
                        <c:v>101</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'clearance rate'!$B$10</c15:sqref>
                        </c15:formulaRef>
                      </c:ext>
                    </c:extLst>
                    <c:strCache>
                      <c:ptCount val="1"/>
                      <c:pt idx="0">
                        <c:v>100</c:v>
                      </c:pt>
                    </c:strCache>
                  </c:strRef>
                </c:tx>
                <c:marker>
                  <c:symbol val="none"/>
                </c:marker>
                <c:val>
                  <c:numRef>
                    <c:extLst xmlns:c15="http://schemas.microsoft.com/office/drawing/2012/chart">
                      <c:ext xmlns:c15="http://schemas.microsoft.com/office/drawing/2012/chart" uri="{02D57815-91ED-43cb-92C2-25804820EDAC}">
                        <c15:formulaRef>
                          <c15:sqref>'clearance rate'!$B$10:$D$10</c15:sqref>
                        </c15:formulaRef>
                      </c:ext>
                    </c:extLst>
                    <c:numCache>
                      <c:formatCode>General</c:formatCode>
                      <c:ptCount val="3"/>
                      <c:pt idx="0">
                        <c:v>100</c:v>
                      </c:pt>
                      <c:pt idx="1">
                        <c:v>101</c:v>
                      </c:pt>
                      <c:pt idx="2">
                        <c:v>103</c:v>
                      </c:pt>
                    </c:numCache>
                  </c:numRef>
                </c:val>
                <c:smooth val="0"/>
              </c15:ser>
            </c15:filteredLineSeries>
          </c:ext>
        </c:extLst>
      </c:lineChart>
      <c:catAx>
        <c:axId val="252932088"/>
        <c:scaling>
          <c:orientation val="minMax"/>
        </c:scaling>
        <c:delete val="0"/>
        <c:axPos val="b"/>
        <c:numFmt formatCode="General" sourceLinked="0"/>
        <c:majorTickMark val="out"/>
        <c:minorTickMark val="none"/>
        <c:tickLblPos val="low"/>
        <c:txPr>
          <a:bodyPr rot="-5400000" vert="horz"/>
          <a:lstStyle/>
          <a:p>
            <a:pPr>
              <a:defRPr/>
            </a:pPr>
            <a:endParaRPr lang="en-US"/>
          </a:p>
        </c:txPr>
        <c:crossAx val="252932480"/>
        <c:crosses val="autoZero"/>
        <c:auto val="1"/>
        <c:lblAlgn val="ctr"/>
        <c:lblOffset val="100"/>
        <c:noMultiLvlLbl val="0"/>
      </c:catAx>
      <c:valAx>
        <c:axId val="252932480"/>
        <c:scaling>
          <c:orientation val="minMax"/>
          <c:min val="75"/>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252932088"/>
        <c:crosses val="autoZero"/>
        <c:crossBetween val="midCat"/>
      </c:valAx>
    </c:plotArea>
    <c:legend>
      <c:legendPos val="l"/>
      <c:layout>
        <c:manualLayout>
          <c:xMode val="edge"/>
          <c:yMode val="edge"/>
          <c:x val="0.1418766877966969"/>
          <c:y val="0.73013743736578385"/>
          <c:w val="0.76910713830674082"/>
          <c:h val="0.13467239322357433"/>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79796204289953"/>
          <c:y val="5.5989236111111111E-2"/>
          <c:w val="0.88620203795710051"/>
          <c:h val="0.89234851078397814"/>
        </c:manualLayout>
      </c:layout>
      <c:barChart>
        <c:barDir val="col"/>
        <c:grouping val="clustered"/>
        <c:varyColors val="0"/>
        <c:ser>
          <c:idx val="0"/>
          <c:order val="0"/>
          <c:tx>
            <c:strRef>
              <c:f>'47 zdravotnictvo'!$B$39</c:f>
              <c:strCache>
                <c:ptCount val="1"/>
                <c:pt idx="0">
                  <c:v>SK</c:v>
                </c:pt>
              </c:strCache>
            </c:strRef>
          </c:tx>
          <c:spPr>
            <a:solidFill>
              <a:srgbClr val="2C9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zdravotnictvo'!$R$39</c:f>
              <c:numCache>
                <c:formatCode>0.0</c:formatCode>
                <c:ptCount val="1"/>
                <c:pt idx="0">
                  <c:v>5.6334</c:v>
                </c:pt>
              </c:numCache>
            </c:numRef>
          </c:val>
        </c:ser>
        <c:ser>
          <c:idx val="2"/>
          <c:order val="1"/>
          <c:tx>
            <c:strRef>
              <c:f>'47 zdravotnictvo'!$B$40</c:f>
              <c:strCache>
                <c:ptCount val="1"/>
                <c:pt idx="0">
                  <c:v>OECD</c:v>
                </c:pt>
              </c:strCache>
            </c:strRef>
          </c:tx>
          <c:spPr>
            <a:solidFill>
              <a:srgbClr val="AAD3F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zdravotnictvo'!$R$40</c:f>
              <c:numCache>
                <c:formatCode>0.0</c:formatCode>
                <c:ptCount val="1"/>
                <c:pt idx="0">
                  <c:v>6.5785742857142857</c:v>
                </c:pt>
              </c:numCache>
            </c:numRef>
          </c:val>
        </c:ser>
        <c:ser>
          <c:idx val="1"/>
          <c:order val="2"/>
          <c:tx>
            <c:strRef>
              <c:f>'47 zdravotnictvo'!$B$41</c:f>
              <c:strCache>
                <c:ptCount val="1"/>
                <c:pt idx="0">
                  <c:v>V3</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zdravotnictvo'!$R$41</c:f>
              <c:numCache>
                <c:formatCode>0.0</c:formatCode>
                <c:ptCount val="1"/>
                <c:pt idx="0">
                  <c:v>5.207933333333334</c:v>
                </c:pt>
              </c:numCache>
            </c:numRef>
          </c:val>
        </c:ser>
        <c:dLbls>
          <c:showLegendKey val="0"/>
          <c:showVal val="0"/>
          <c:showCatName val="0"/>
          <c:showSerName val="0"/>
          <c:showPercent val="0"/>
          <c:showBubbleSize val="0"/>
        </c:dLbls>
        <c:gapWidth val="150"/>
        <c:overlap val="-50"/>
        <c:axId val="252933264"/>
        <c:axId val="252933656"/>
      </c:barChart>
      <c:catAx>
        <c:axId val="252933264"/>
        <c:scaling>
          <c:orientation val="minMax"/>
        </c:scaling>
        <c:delete val="1"/>
        <c:axPos val="b"/>
        <c:numFmt formatCode="General" sourceLinked="1"/>
        <c:majorTickMark val="out"/>
        <c:minorTickMark val="none"/>
        <c:tickLblPos val="nextTo"/>
        <c:crossAx val="252933656"/>
        <c:crosses val="autoZero"/>
        <c:auto val="1"/>
        <c:lblAlgn val="ctr"/>
        <c:lblOffset val="100"/>
        <c:noMultiLvlLbl val="0"/>
      </c:catAx>
      <c:valAx>
        <c:axId val="252933656"/>
        <c:scaling>
          <c:orientation val="minMax"/>
        </c:scaling>
        <c:delete val="0"/>
        <c:axPos val="l"/>
        <c:majorGridlines>
          <c:spPr>
            <a:ln>
              <a:solidFill>
                <a:schemeClr val="bg1">
                  <a:lumMod val="75000"/>
                </a:schemeClr>
              </a:solidFill>
              <a:prstDash val="sysDash"/>
            </a:ln>
          </c:spPr>
        </c:majorGridlines>
        <c:title>
          <c:tx>
            <c:rich>
              <a:bodyPr/>
              <a:lstStyle/>
              <a:p>
                <a:pPr>
                  <a:defRPr/>
                </a:pPr>
                <a:r>
                  <a:rPr lang="sk-SK"/>
                  <a:t>%</a:t>
                </a:r>
              </a:p>
            </c:rich>
          </c:tx>
          <c:layout/>
          <c:overlay val="0"/>
        </c:title>
        <c:numFmt formatCode="0" sourceLinked="0"/>
        <c:majorTickMark val="out"/>
        <c:minorTickMark val="none"/>
        <c:tickLblPos val="nextTo"/>
        <c:crossAx val="252933264"/>
        <c:crosses val="autoZero"/>
        <c:crossBetween val="between"/>
      </c:valAx>
    </c:plotArea>
    <c:legend>
      <c:legendPos val="r"/>
      <c:layout>
        <c:manualLayout>
          <c:xMode val="edge"/>
          <c:yMode val="edge"/>
          <c:x val="0.67008184536109694"/>
          <c:y val="2.3876104797826012E-2"/>
          <c:w val="0.31322972222222223"/>
          <c:h val="0.1172111205190588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5802857976086324E-2"/>
          <c:y val="5.0257340281444414E-2"/>
          <c:w val="0.86459362950001617"/>
          <c:h val="0.8560478409586556"/>
        </c:manualLayout>
      </c:layout>
      <c:barChart>
        <c:barDir val="col"/>
        <c:grouping val="stacked"/>
        <c:varyColors val="0"/>
        <c:ser>
          <c:idx val="5"/>
          <c:order val="0"/>
          <c:tx>
            <c:strRef>
              <c:f>'1 makro'!$A$3</c:f>
              <c:strCache>
                <c:ptCount val="1"/>
                <c:pt idx="0">
                  <c:v>Spotreba</c:v>
                </c:pt>
              </c:strCache>
            </c:strRef>
          </c:tx>
          <c:spPr>
            <a:solidFill>
              <a:srgbClr val="2C9ADC"/>
            </a:solidFill>
          </c:spPr>
          <c:invertIfNegative val="0"/>
          <c:cat>
            <c:strRef>
              <c:f>'1 makro'!$I$1:$R$1</c:f>
              <c:strCache>
                <c:ptCount val="10"/>
                <c:pt idx="0">
                  <c:v>2011</c:v>
                </c:pt>
                <c:pt idx="1">
                  <c:v>2012</c:v>
                </c:pt>
                <c:pt idx="2">
                  <c:v>2013</c:v>
                </c:pt>
                <c:pt idx="3">
                  <c:v>2014</c:v>
                </c:pt>
                <c:pt idx="4">
                  <c:v>2015</c:v>
                </c:pt>
                <c:pt idx="5">
                  <c:v>2016</c:v>
                </c:pt>
                <c:pt idx="6">
                  <c:v>2017 F</c:v>
                </c:pt>
                <c:pt idx="7">
                  <c:v>2018 F</c:v>
                </c:pt>
                <c:pt idx="8">
                  <c:v>2019 F</c:v>
                </c:pt>
                <c:pt idx="9">
                  <c:v>2020 F</c:v>
                </c:pt>
              </c:strCache>
            </c:strRef>
          </c:cat>
          <c:val>
            <c:numRef>
              <c:f>'1 makro'!$I$3:$R$3</c:f>
              <c:numCache>
                <c:formatCode>0.0</c:formatCode>
                <c:ptCount val="10"/>
                <c:pt idx="0">
                  <c:v>-0.67471189432755907</c:v>
                </c:pt>
                <c:pt idx="1">
                  <c:v>-0.62634747332054208</c:v>
                </c:pt>
                <c:pt idx="2">
                  <c:v>-4.3702882409578113E-2</c:v>
                </c:pt>
                <c:pt idx="3">
                  <c:v>1.6954445584978419</c:v>
                </c:pt>
                <c:pt idx="4">
                  <c:v>2.1504075281528703</c:v>
                </c:pt>
                <c:pt idx="5">
                  <c:v>1.8017835941855065</c:v>
                </c:pt>
                <c:pt idx="6">
                  <c:v>1.8474084846540382</c:v>
                </c:pt>
                <c:pt idx="7">
                  <c:v>1.7792551521383291</c:v>
                </c:pt>
                <c:pt idx="8">
                  <c:v>1.7962007879621531</c:v>
                </c:pt>
                <c:pt idx="9" formatCode="General">
                  <c:v>1.7201590448306801</c:v>
                </c:pt>
              </c:numCache>
            </c:numRef>
          </c:val>
        </c:ser>
        <c:ser>
          <c:idx val="8"/>
          <c:order val="1"/>
          <c:tx>
            <c:strRef>
              <c:f>'1 makro'!$A$4</c:f>
              <c:strCache>
                <c:ptCount val="1"/>
                <c:pt idx="0">
                  <c:v>Investície</c:v>
                </c:pt>
              </c:strCache>
            </c:strRef>
          </c:tx>
          <c:spPr>
            <a:solidFill>
              <a:schemeClr val="tx2">
                <a:lumMod val="20000"/>
                <a:lumOff val="80000"/>
              </a:schemeClr>
            </a:solidFill>
            <a:ln>
              <a:noFill/>
            </a:ln>
          </c:spPr>
          <c:invertIfNegative val="0"/>
          <c:cat>
            <c:strRef>
              <c:f>'1 makro'!$I$1:$R$1</c:f>
              <c:strCache>
                <c:ptCount val="10"/>
                <c:pt idx="0">
                  <c:v>2011</c:v>
                </c:pt>
                <c:pt idx="1">
                  <c:v>2012</c:v>
                </c:pt>
                <c:pt idx="2">
                  <c:v>2013</c:v>
                </c:pt>
                <c:pt idx="3">
                  <c:v>2014</c:v>
                </c:pt>
                <c:pt idx="4">
                  <c:v>2015</c:v>
                </c:pt>
                <c:pt idx="5">
                  <c:v>2016</c:v>
                </c:pt>
                <c:pt idx="6">
                  <c:v>2017 F</c:v>
                </c:pt>
                <c:pt idx="7">
                  <c:v>2018 F</c:v>
                </c:pt>
                <c:pt idx="8">
                  <c:v>2019 F</c:v>
                </c:pt>
                <c:pt idx="9">
                  <c:v>2020 F</c:v>
                </c:pt>
              </c:strCache>
            </c:strRef>
          </c:cat>
          <c:val>
            <c:numRef>
              <c:f>'1 makro'!$I$4:$R$4</c:f>
              <c:numCache>
                <c:formatCode>0.0</c:formatCode>
                <c:ptCount val="10"/>
                <c:pt idx="0">
                  <c:v>2.7918433187197422</c:v>
                </c:pt>
                <c:pt idx="1">
                  <c:v>-2.1742612394607947</c:v>
                </c:pt>
                <c:pt idx="2">
                  <c:v>-0.18762692668954159</c:v>
                </c:pt>
                <c:pt idx="3">
                  <c:v>0.24787866812365492</c:v>
                </c:pt>
                <c:pt idx="4">
                  <c:v>3.5152992172789479</c:v>
                </c:pt>
                <c:pt idx="5">
                  <c:v>-2.1713362661064233</c:v>
                </c:pt>
                <c:pt idx="6">
                  <c:v>0.17199849355554173</c:v>
                </c:pt>
                <c:pt idx="7">
                  <c:v>0.3920724438925911</c:v>
                </c:pt>
                <c:pt idx="8">
                  <c:v>0.39141059793589905</c:v>
                </c:pt>
                <c:pt idx="9" formatCode="General">
                  <c:v>0.69284340578225967</c:v>
                </c:pt>
              </c:numCache>
            </c:numRef>
          </c:val>
        </c:ser>
        <c:ser>
          <c:idx val="0"/>
          <c:order val="2"/>
          <c:tx>
            <c:strRef>
              <c:f>'1 makro'!$A$5</c:f>
              <c:strCache>
                <c:ptCount val="1"/>
                <c:pt idx="0">
                  <c:v>Zásoby a štat. disk.</c:v>
                </c:pt>
              </c:strCache>
            </c:strRef>
          </c:tx>
          <c:invertIfNegative val="0"/>
          <c:cat>
            <c:strRef>
              <c:f>'1 makro'!$I$1:$R$1</c:f>
              <c:strCache>
                <c:ptCount val="10"/>
                <c:pt idx="0">
                  <c:v>2011</c:v>
                </c:pt>
                <c:pt idx="1">
                  <c:v>2012</c:v>
                </c:pt>
                <c:pt idx="2">
                  <c:v>2013</c:v>
                </c:pt>
                <c:pt idx="3">
                  <c:v>2014</c:v>
                </c:pt>
                <c:pt idx="4">
                  <c:v>2015</c:v>
                </c:pt>
                <c:pt idx="5">
                  <c:v>2016</c:v>
                </c:pt>
                <c:pt idx="6">
                  <c:v>2017 F</c:v>
                </c:pt>
                <c:pt idx="7">
                  <c:v>2018 F</c:v>
                </c:pt>
                <c:pt idx="8">
                  <c:v>2019 F</c:v>
                </c:pt>
                <c:pt idx="9">
                  <c:v>2020 F</c:v>
                </c:pt>
              </c:strCache>
            </c:strRef>
          </c:cat>
          <c:val>
            <c:numRef>
              <c:f>'1 makro'!$I$5:$R$5</c:f>
              <c:numCache>
                <c:formatCode>0.0</c:formatCode>
                <c:ptCount val="10"/>
                <c:pt idx="0">
                  <c:v>-0.96354858158854328</c:v>
                </c:pt>
                <c:pt idx="1">
                  <c:v>-1.175152962207292</c:v>
                </c:pt>
                <c:pt idx="2">
                  <c:v>0.45539963630718083</c:v>
                </c:pt>
                <c:pt idx="3">
                  <c:v>0.98558191106202009</c:v>
                </c:pt>
                <c:pt idx="4">
                  <c:v>-1.2873678539773457</c:v>
                </c:pt>
                <c:pt idx="5">
                  <c:v>1.6947821414559492</c:v>
                </c:pt>
                <c:pt idx="6">
                  <c:v>1.3887629919114057</c:v>
                </c:pt>
                <c:pt idx="7">
                  <c:v>0.11637380348498451</c:v>
                </c:pt>
                <c:pt idx="8">
                  <c:v>0.17325310273679456</c:v>
                </c:pt>
                <c:pt idx="9" formatCode="General">
                  <c:v>0.13237430542265385</c:v>
                </c:pt>
              </c:numCache>
            </c:numRef>
          </c:val>
        </c:ser>
        <c:ser>
          <c:idx val="1"/>
          <c:order val="3"/>
          <c:tx>
            <c:strRef>
              <c:f>'1 makro'!$A$6</c:f>
              <c:strCache>
                <c:ptCount val="1"/>
                <c:pt idx="0">
                  <c:v>Čistý export</c:v>
                </c:pt>
              </c:strCache>
            </c:strRef>
          </c:tx>
          <c:invertIfNegative val="0"/>
          <c:cat>
            <c:strRef>
              <c:f>'1 makro'!$I$1:$R$1</c:f>
              <c:strCache>
                <c:ptCount val="10"/>
                <c:pt idx="0">
                  <c:v>2011</c:v>
                </c:pt>
                <c:pt idx="1">
                  <c:v>2012</c:v>
                </c:pt>
                <c:pt idx="2">
                  <c:v>2013</c:v>
                </c:pt>
                <c:pt idx="3">
                  <c:v>2014</c:v>
                </c:pt>
                <c:pt idx="4">
                  <c:v>2015</c:v>
                </c:pt>
                <c:pt idx="5">
                  <c:v>2016</c:v>
                </c:pt>
                <c:pt idx="6">
                  <c:v>2017 F</c:v>
                </c:pt>
                <c:pt idx="7">
                  <c:v>2018 F</c:v>
                </c:pt>
                <c:pt idx="8">
                  <c:v>2019 F</c:v>
                </c:pt>
                <c:pt idx="9">
                  <c:v>2020 F</c:v>
                </c:pt>
              </c:strCache>
            </c:strRef>
          </c:cat>
          <c:val>
            <c:numRef>
              <c:f>'1 makro'!$I$6:$R$6</c:f>
              <c:numCache>
                <c:formatCode>0.0</c:formatCode>
                <c:ptCount val="10"/>
                <c:pt idx="0">
                  <c:v>1.6655166747739356</c:v>
                </c:pt>
                <c:pt idx="1">
                  <c:v>5.6329103621827246</c:v>
                </c:pt>
                <c:pt idx="2">
                  <c:v>1.2665766106120377</c:v>
                </c:pt>
                <c:pt idx="3">
                  <c:v>-0.3580525449042587</c:v>
                </c:pt>
                <c:pt idx="4">
                  <c:v>-0.54725411155262427</c:v>
                </c:pt>
                <c:pt idx="5">
                  <c:v>1.9599202463784198</c:v>
                </c:pt>
                <c:pt idx="6">
                  <c:v>4.3321824869762417E-2</c:v>
                </c:pt>
                <c:pt idx="7">
                  <c:v>1.7298491091733563</c:v>
                </c:pt>
                <c:pt idx="8">
                  <c:v>1.9963026205290446</c:v>
                </c:pt>
                <c:pt idx="9" formatCode="General">
                  <c:v>1.2646645459648893</c:v>
                </c:pt>
              </c:numCache>
            </c:numRef>
          </c:val>
        </c:ser>
        <c:dLbls>
          <c:showLegendKey val="0"/>
          <c:showVal val="0"/>
          <c:showCatName val="0"/>
          <c:showSerName val="0"/>
          <c:showPercent val="0"/>
          <c:showBubbleSize val="0"/>
        </c:dLbls>
        <c:gapWidth val="150"/>
        <c:overlap val="100"/>
        <c:axId val="138340296"/>
        <c:axId val="138340680"/>
      </c:barChart>
      <c:lineChart>
        <c:grouping val="standard"/>
        <c:varyColors val="0"/>
        <c:ser>
          <c:idx val="2"/>
          <c:order val="4"/>
          <c:tx>
            <c:strRef>
              <c:f>'1 makro'!$A$2</c:f>
              <c:strCache>
                <c:ptCount val="1"/>
                <c:pt idx="0">
                  <c:v>HDP</c:v>
                </c:pt>
              </c:strCache>
            </c:strRef>
          </c:tx>
          <c:spPr>
            <a:ln w="12700">
              <a:solidFill>
                <a:sysClr val="windowText" lastClr="000000"/>
              </a:solidFill>
            </a:ln>
          </c:spPr>
          <c:marker>
            <c:symbol val="none"/>
          </c:marker>
          <c:cat>
            <c:strRef>
              <c:f>'1 makro'!$C$1:$R$1</c:f>
              <c:strCach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 F</c:v>
                </c:pt>
                <c:pt idx="13">
                  <c:v>2018 F</c:v>
                </c:pt>
                <c:pt idx="14">
                  <c:v>2019 F</c:v>
                </c:pt>
                <c:pt idx="15">
                  <c:v>2020 F</c:v>
                </c:pt>
              </c:strCache>
            </c:strRef>
          </c:cat>
          <c:val>
            <c:numRef>
              <c:f>'1 makro'!$I$2:$R$2</c:f>
              <c:numCache>
                <c:formatCode>0.0</c:formatCode>
                <c:ptCount val="10"/>
                <c:pt idx="0">
                  <c:v>2.8190995175775568</c:v>
                </c:pt>
                <c:pt idx="1">
                  <c:v>1.6571486871941221</c:v>
                </c:pt>
                <c:pt idx="2">
                  <c:v>1.4906464378200801</c:v>
                </c:pt>
                <c:pt idx="3">
                  <c:v>2.5708525927792625</c:v>
                </c:pt>
                <c:pt idx="4">
                  <c:v>3.8310847799018415</c:v>
                </c:pt>
                <c:pt idx="5">
                  <c:v>3.2851497159134415</c:v>
                </c:pt>
                <c:pt idx="6">
                  <c:v>3.4514917949907615</c:v>
                </c:pt>
                <c:pt idx="7">
                  <c:v>4.0175505086892613</c:v>
                </c:pt>
                <c:pt idx="8">
                  <c:v>4.3571671091638873</c:v>
                </c:pt>
                <c:pt idx="9" formatCode="General">
                  <c:v>3.8100413020004833</c:v>
                </c:pt>
              </c:numCache>
            </c:numRef>
          </c:val>
          <c:smooth val="0"/>
        </c:ser>
        <c:dLbls>
          <c:showLegendKey val="0"/>
          <c:showVal val="0"/>
          <c:showCatName val="0"/>
          <c:showSerName val="0"/>
          <c:showPercent val="0"/>
          <c:showBubbleSize val="0"/>
        </c:dLbls>
        <c:marker val="1"/>
        <c:smooth val="0"/>
        <c:axId val="138340296"/>
        <c:axId val="138340680"/>
      </c:lineChart>
      <c:catAx>
        <c:axId val="138340296"/>
        <c:scaling>
          <c:orientation val="minMax"/>
        </c:scaling>
        <c:delete val="0"/>
        <c:axPos val="b"/>
        <c:numFmt formatCode="General" sourceLinked="1"/>
        <c:majorTickMark val="out"/>
        <c:minorTickMark val="none"/>
        <c:tickLblPos val="low"/>
        <c:txPr>
          <a:bodyPr rot="-5400000" vert="horz"/>
          <a:lstStyle/>
          <a:p>
            <a:pPr>
              <a:defRPr/>
            </a:pPr>
            <a:endParaRPr lang="en-US"/>
          </a:p>
        </c:txPr>
        <c:crossAx val="138340680"/>
        <c:crosses val="autoZero"/>
        <c:auto val="1"/>
        <c:lblAlgn val="ctr"/>
        <c:lblOffset val="100"/>
        <c:noMultiLvlLbl val="0"/>
      </c:catAx>
      <c:valAx>
        <c:axId val="138340680"/>
        <c:scaling>
          <c:orientation val="minMax"/>
          <c:max val="9"/>
          <c:min val="-5"/>
        </c:scaling>
        <c:delete val="0"/>
        <c:axPos val="l"/>
        <c:majorGridlines>
          <c:spPr>
            <a:ln>
              <a:solidFill>
                <a:schemeClr val="bg1">
                  <a:lumMod val="75000"/>
                </a:schemeClr>
              </a:solidFill>
              <a:prstDash val="dash"/>
            </a:ln>
          </c:spPr>
        </c:majorGridlines>
        <c:numFmt formatCode="0" sourceLinked="0"/>
        <c:majorTickMark val="out"/>
        <c:minorTickMark val="none"/>
        <c:tickLblPos val="nextTo"/>
        <c:crossAx val="138340296"/>
        <c:crosses val="autoZero"/>
        <c:crossBetween val="between"/>
      </c:valAx>
    </c:plotArea>
    <c:legend>
      <c:legendPos val="r"/>
      <c:layout>
        <c:manualLayout>
          <c:xMode val="edge"/>
          <c:yMode val="edge"/>
          <c:x val="7.4911565702528396E-2"/>
          <c:y val="3.4920323003733648E-2"/>
          <c:w val="0.87483717801606453"/>
          <c:h val="0.17584555412871705"/>
        </c:manualLayout>
      </c:layout>
      <c:overlay val="0"/>
    </c:legend>
    <c:plotVisOnly val="1"/>
    <c:dispBlanksAs val="gap"/>
    <c:showDLblsOverMax val="0"/>
  </c:chart>
  <c:spPr>
    <a:ln>
      <a:noFill/>
    </a:ln>
  </c:spPr>
  <c:txPr>
    <a:bodyPr/>
    <a:lstStyle/>
    <a:p>
      <a:pPr>
        <a:defRPr sz="800">
          <a:latin typeface="Arial Narrow" pitchFamily="34" charset="0"/>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8463952644217358"/>
        </c:manualLayout>
      </c:layout>
      <c:barChart>
        <c:barDir val="col"/>
        <c:grouping val="clustered"/>
        <c:varyColors val="0"/>
        <c:ser>
          <c:idx val="0"/>
          <c:order val="0"/>
          <c:tx>
            <c:strRef>
              <c:f>'47 zdravotnictvo'!$B$16</c:f>
              <c:strCache>
                <c:ptCount val="1"/>
                <c:pt idx="0">
                  <c:v>SK</c:v>
                </c:pt>
              </c:strCache>
            </c:strRef>
          </c:tx>
          <c:spPr>
            <a:solidFill>
              <a:srgbClr val="2C9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zdravotnictvo'!$E$16</c:f>
              <c:numCache>
                <c:formatCode>0</c:formatCode>
                <c:ptCount val="1"/>
                <c:pt idx="0">
                  <c:v>237.34</c:v>
                </c:pt>
              </c:numCache>
            </c:numRef>
          </c:val>
        </c:ser>
        <c:ser>
          <c:idx val="2"/>
          <c:order val="1"/>
          <c:tx>
            <c:strRef>
              <c:f>'47 zdravotnictvo'!$B$17</c:f>
              <c:strCache>
                <c:ptCount val="1"/>
                <c:pt idx="0">
                  <c:v>EU 28</c:v>
                </c:pt>
              </c:strCache>
            </c:strRef>
          </c:tx>
          <c:spPr>
            <a:solidFill>
              <a:srgbClr val="AAD3F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zdravotnictvo'!$E$17</c:f>
              <c:numCache>
                <c:formatCode>0</c:formatCode>
                <c:ptCount val="1"/>
                <c:pt idx="0">
                  <c:v>119.48</c:v>
                </c:pt>
              </c:numCache>
            </c:numRef>
          </c:val>
        </c:ser>
        <c:ser>
          <c:idx val="1"/>
          <c:order val="2"/>
          <c:tx>
            <c:strRef>
              <c:f>'47 zdravotnictvo'!$B$18</c:f>
              <c:strCache>
                <c:ptCount val="1"/>
                <c:pt idx="0">
                  <c:v>V3</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'47 zdravotnictvo'!$E$18</c:f>
              <c:numCache>
                <c:formatCode>0</c:formatCode>
                <c:ptCount val="1"/>
                <c:pt idx="0">
                  <c:v>195.80333333333337</c:v>
                </c:pt>
              </c:numCache>
            </c:numRef>
          </c:val>
        </c:ser>
        <c:dLbls>
          <c:showLegendKey val="0"/>
          <c:showVal val="0"/>
          <c:showCatName val="0"/>
          <c:showSerName val="0"/>
          <c:showPercent val="0"/>
          <c:showBubbleSize val="0"/>
        </c:dLbls>
        <c:gapWidth val="150"/>
        <c:overlap val="-50"/>
        <c:axId val="252934440"/>
        <c:axId val="252934832"/>
      </c:barChart>
      <c:catAx>
        <c:axId val="252934440"/>
        <c:scaling>
          <c:orientation val="minMax"/>
        </c:scaling>
        <c:delete val="1"/>
        <c:axPos val="b"/>
        <c:numFmt formatCode="General" sourceLinked="1"/>
        <c:majorTickMark val="out"/>
        <c:minorTickMark val="none"/>
        <c:tickLblPos val="nextTo"/>
        <c:crossAx val="252934832"/>
        <c:crosses val="autoZero"/>
        <c:auto val="1"/>
        <c:lblAlgn val="ctr"/>
        <c:lblOffset val="100"/>
        <c:noMultiLvlLbl val="0"/>
      </c:catAx>
      <c:valAx>
        <c:axId val="25293483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2934440"/>
        <c:crosses val="autoZero"/>
        <c:crossBetween val="between"/>
      </c:valAx>
    </c:plotArea>
    <c:legend>
      <c:legendPos val="r"/>
      <c:layout>
        <c:manualLayout>
          <c:xMode val="edge"/>
          <c:yMode val="edge"/>
          <c:x val="0.67932917760279965"/>
          <c:y val="3.4821741032370949E-2"/>
          <c:w val="0.31322972222222223"/>
          <c:h val="9.4406532516768754E-2"/>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3"/>
          <c:order val="0"/>
          <c:tx>
            <c:strRef>
              <c:f>'47 zdravotnictvo'!$B$54</c:f>
              <c:strCache>
                <c:ptCount val="1"/>
                <c:pt idx="0">
                  <c:v>SK</c:v>
                </c:pt>
              </c:strCache>
            </c:strRef>
          </c:tx>
          <c:spPr>
            <a:ln w="19050">
              <a:solidFill>
                <a:srgbClr val="2C9ADC"/>
              </a:solidFill>
              <a:prstDash val="solid"/>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zdravotnictvo'!$C$54:$M$54</c:f>
              <c:numCache>
                <c:formatCode>0.00</c:formatCode>
                <c:ptCount val="11"/>
                <c:pt idx="0">
                  <c:v>-0.193573</c:v>
                </c:pt>
                <c:pt idx="1">
                  <c:v>-0.46176149999999999</c:v>
                </c:pt>
                <c:pt idx="2">
                  <c:v>-0.99652099999999999</c:v>
                </c:pt>
                <c:pt idx="3">
                  <c:v>-1.538551</c:v>
                </c:pt>
                <c:pt idx="4">
                  <c:v>-1.2251510000000001</c:v>
                </c:pt>
                <c:pt idx="5">
                  <c:v>-1.3539350000000001</c:v>
                </c:pt>
                <c:pt idx="6">
                  <c:v>-1.262527</c:v>
                </c:pt>
                <c:pt idx="7">
                  <c:v>-0.6640549</c:v>
                </c:pt>
                <c:pt idx="8">
                  <c:v>-0.84051509999999996</c:v>
                </c:pt>
                <c:pt idx="9">
                  <c:v>-0.65699770000000002</c:v>
                </c:pt>
                <c:pt idx="10">
                  <c:v>-8.7814E-3</c:v>
                </c:pt>
              </c:numCache>
            </c:numRef>
          </c:val>
          <c:smooth val="0"/>
        </c:ser>
        <c:ser>
          <c:idx val="5"/>
          <c:order val="1"/>
          <c:tx>
            <c:strRef>
              <c:f>'47 zdravotnictvo'!$B$55</c:f>
              <c:strCache>
                <c:ptCount val="1"/>
                <c:pt idx="0">
                  <c:v>CZ</c:v>
                </c:pt>
              </c:strCache>
            </c:strRef>
          </c:tx>
          <c:spPr>
            <a:ln w="19050">
              <a:solidFill>
                <a:sysClr val="windowText" lastClr="000000"/>
              </a:solidFill>
              <a:prstDash val="solid"/>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zdravotnictvo'!$C$55:$M$55</c:f>
              <c:numCache>
                <c:formatCode>0.00</c:formatCode>
                <c:ptCount val="11"/>
                <c:pt idx="0">
                  <c:v>0.41689300000000001</c:v>
                </c:pt>
                <c:pt idx="1">
                  <c:v>0.54759979999999997</c:v>
                </c:pt>
                <c:pt idx="2">
                  <c:v>0.91546629999999996</c:v>
                </c:pt>
                <c:pt idx="3">
                  <c:v>1.0132369999999999</c:v>
                </c:pt>
                <c:pt idx="4">
                  <c:v>1.0600890000000001</c:v>
                </c:pt>
                <c:pt idx="5">
                  <c:v>0.67371369999999997</c:v>
                </c:pt>
                <c:pt idx="6">
                  <c:v>1.0717239999999999</c:v>
                </c:pt>
                <c:pt idx="7">
                  <c:v>1.150833</c:v>
                </c:pt>
                <c:pt idx="8">
                  <c:v>1.3086169999999999</c:v>
                </c:pt>
                <c:pt idx="9">
                  <c:v>0.90538019999999997</c:v>
                </c:pt>
                <c:pt idx="10">
                  <c:v>1.482216</c:v>
                </c:pt>
              </c:numCache>
            </c:numRef>
          </c:val>
          <c:smooth val="0"/>
        </c:ser>
        <c:ser>
          <c:idx val="0"/>
          <c:order val="2"/>
          <c:tx>
            <c:strRef>
              <c:f>'47 zdravotnictvo'!$B$56</c:f>
              <c:strCache>
                <c:ptCount val="1"/>
                <c:pt idx="0">
                  <c:v>EE</c:v>
                </c:pt>
              </c:strCache>
            </c:strRef>
          </c:tx>
          <c:spPr>
            <a:ln w="19050">
              <a:solidFill>
                <a:srgbClr val="0070C0"/>
              </a:solidFill>
              <a:prstDash val="dash"/>
            </a:ln>
          </c:spPr>
          <c:marker>
            <c:symbol val="none"/>
          </c:marker>
          <c:dPt>
            <c:idx val="2"/>
            <c:bubble3D val="0"/>
          </c:dPt>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zdravotnictvo'!$C$56:$M$56</c:f>
              <c:numCache>
                <c:formatCode>0.00</c:formatCode>
                <c:ptCount val="11"/>
                <c:pt idx="0">
                  <c:v>-0.69208530000000001</c:v>
                </c:pt>
                <c:pt idx="1">
                  <c:v>-0.368309</c:v>
                </c:pt>
                <c:pt idx="2">
                  <c:v>-0.63658910000000002</c:v>
                </c:pt>
                <c:pt idx="3">
                  <c:v>-0.94226840000000001</c:v>
                </c:pt>
                <c:pt idx="4">
                  <c:v>-0.57730870000000001</c:v>
                </c:pt>
                <c:pt idx="5">
                  <c:v>3.8154599999999997E-2</c:v>
                </c:pt>
                <c:pt idx="6">
                  <c:v>0.64583590000000002</c:v>
                </c:pt>
                <c:pt idx="7">
                  <c:v>1.079475</c:v>
                </c:pt>
                <c:pt idx="8">
                  <c:v>0.93971249999999995</c:v>
                </c:pt>
                <c:pt idx="9">
                  <c:v>1.458305</c:v>
                </c:pt>
                <c:pt idx="10">
                  <c:v>1.174072</c:v>
                </c:pt>
              </c:numCache>
            </c:numRef>
          </c:val>
          <c:smooth val="0"/>
        </c:ser>
        <c:ser>
          <c:idx val="4"/>
          <c:order val="3"/>
          <c:tx>
            <c:strRef>
              <c:f>'47 zdravotnictvo'!$B$58</c:f>
              <c:strCache>
                <c:ptCount val="1"/>
                <c:pt idx="0">
                  <c:v>JP</c:v>
                </c:pt>
              </c:strCache>
            </c:strRef>
          </c:tx>
          <c:spPr>
            <a:ln w="19050">
              <a:solidFill>
                <a:srgbClr val="E7E6E6">
                  <a:lumMod val="50000"/>
                </a:srgbClr>
              </a:solidFill>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zdravotnictvo'!$C$58:$M$58</c:f>
              <c:numCache>
                <c:formatCode>0.00</c:formatCode>
                <c:ptCount val="11"/>
                <c:pt idx="0">
                  <c:v>3.1330800000000001</c:v>
                </c:pt>
                <c:pt idx="1">
                  <c:v>2.8707280000000002</c:v>
                </c:pt>
                <c:pt idx="2">
                  <c:v>3.0336690000000002</c:v>
                </c:pt>
                <c:pt idx="3">
                  <c:v>3.0170750000000002</c:v>
                </c:pt>
                <c:pt idx="4">
                  <c:v>2.929138</c:v>
                </c:pt>
                <c:pt idx="5">
                  <c:v>3.0409769999999998</c:v>
                </c:pt>
                <c:pt idx="6">
                  <c:v>2.6831670000000001</c:v>
                </c:pt>
                <c:pt idx="7">
                  <c:v>1.862938</c:v>
                </c:pt>
                <c:pt idx="8">
                  <c:v>2.1444320000000001</c:v>
                </c:pt>
                <c:pt idx="9">
                  <c:v>2.2456740000000002</c:v>
                </c:pt>
                <c:pt idx="10">
                  <c:v>2.5033189999999998</c:v>
                </c:pt>
              </c:numCache>
            </c:numRef>
          </c:val>
          <c:smooth val="0"/>
        </c:ser>
        <c:ser>
          <c:idx val="6"/>
          <c:order val="4"/>
          <c:tx>
            <c:strRef>
              <c:f>'47 zdravotnictvo'!$B$59</c:f>
              <c:strCache>
                <c:ptCount val="1"/>
                <c:pt idx="0">
                  <c:v>HU</c:v>
                </c:pt>
              </c:strCache>
            </c:strRef>
          </c:tx>
          <c:spPr>
            <a:ln w="19050"/>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zdravotnictvo'!$C$59:$M$59</c:f>
              <c:numCache>
                <c:formatCode>0.00</c:formatCode>
                <c:ptCount val="11"/>
                <c:pt idx="0">
                  <c:v>-1.9466479999999999</c:v>
                </c:pt>
                <c:pt idx="1">
                  <c:v>-2.276421</c:v>
                </c:pt>
                <c:pt idx="2">
                  <c:v>-1.9548030000000001</c:v>
                </c:pt>
                <c:pt idx="3">
                  <c:v>-1.8004610000000001</c:v>
                </c:pt>
                <c:pt idx="4">
                  <c:v>-1.507935</c:v>
                </c:pt>
                <c:pt idx="5">
                  <c:v>-1.4297029999999999</c:v>
                </c:pt>
                <c:pt idx="6">
                  <c:v>-1.461517</c:v>
                </c:pt>
                <c:pt idx="7">
                  <c:v>-1.2528079999999999</c:v>
                </c:pt>
                <c:pt idx="8">
                  <c:v>-1.0547260000000001</c:v>
                </c:pt>
                <c:pt idx="9">
                  <c:v>-0.72650910000000002</c:v>
                </c:pt>
                <c:pt idx="10">
                  <c:v>-0.67406460000000001</c:v>
                </c:pt>
              </c:numCache>
            </c:numRef>
          </c:val>
          <c:smooth val="0"/>
        </c:ser>
        <c:ser>
          <c:idx val="7"/>
          <c:order val="5"/>
          <c:tx>
            <c:strRef>
              <c:f>'47 zdravotnictvo'!$B$60</c:f>
              <c:strCache>
                <c:ptCount val="1"/>
                <c:pt idx="0">
                  <c:v>PL</c:v>
                </c:pt>
              </c:strCache>
            </c:strRef>
          </c:tx>
          <c:spPr>
            <a:ln w="19050">
              <a:solidFill>
                <a:srgbClr val="B0D6AF"/>
              </a:solidFill>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zdravotnictvo'!$C$60:$M$60</c:f>
              <c:numCache>
                <c:formatCode>0.00</c:formatCode>
                <c:ptCount val="11"/>
                <c:pt idx="0">
                  <c:v>1.382927</c:v>
                </c:pt>
                <c:pt idx="1">
                  <c:v>1.383392</c:v>
                </c:pt>
                <c:pt idx="2">
                  <c:v>1.3350979999999999</c:v>
                </c:pt>
                <c:pt idx="3">
                  <c:v>1.0581670000000001</c:v>
                </c:pt>
                <c:pt idx="4">
                  <c:v>0.8482056</c:v>
                </c:pt>
                <c:pt idx="5">
                  <c:v>0.62739560000000005</c:v>
                </c:pt>
                <c:pt idx="6">
                  <c:v>1.0109330000000001</c:v>
                </c:pt>
                <c:pt idx="7">
                  <c:v>1.170914</c:v>
                </c:pt>
                <c:pt idx="8">
                  <c:v>1.10144</c:v>
                </c:pt>
                <c:pt idx="9">
                  <c:v>1.103218</c:v>
                </c:pt>
                <c:pt idx="10">
                  <c:v>1.569115</c:v>
                </c:pt>
              </c:numCache>
            </c:numRef>
          </c:val>
          <c:smooth val="0"/>
        </c:ser>
        <c:ser>
          <c:idx val="9"/>
          <c:order val="6"/>
          <c:tx>
            <c:strRef>
              <c:f>'47 zdravotnictvo'!$B$61</c:f>
              <c:strCache>
                <c:ptCount val="1"/>
                <c:pt idx="0">
                  <c:v>SI</c:v>
                </c:pt>
              </c:strCache>
            </c:strRef>
          </c:tx>
          <c:spPr>
            <a:ln w="19050">
              <a:solidFill>
                <a:srgbClr val="D3BEDE"/>
              </a:solidFill>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zdravotnictvo'!$C$61:$M$61</c:f>
              <c:numCache>
                <c:formatCode>0.00</c:formatCode>
                <c:ptCount val="11"/>
                <c:pt idx="0">
                  <c:v>0.95151520000000001</c:v>
                </c:pt>
                <c:pt idx="1">
                  <c:v>0.54380799999999996</c:v>
                </c:pt>
                <c:pt idx="2">
                  <c:v>1.4644170000000001</c:v>
                </c:pt>
                <c:pt idx="3">
                  <c:v>1.218826</c:v>
                </c:pt>
                <c:pt idx="4">
                  <c:v>1.5978699999999999</c:v>
                </c:pt>
                <c:pt idx="5">
                  <c:v>1.708717</c:v>
                </c:pt>
                <c:pt idx="6">
                  <c:v>2.1703260000000002</c:v>
                </c:pt>
                <c:pt idx="7">
                  <c:v>2.3980939999999999</c:v>
                </c:pt>
                <c:pt idx="8">
                  <c:v>2.4828109999999999</c:v>
                </c:pt>
                <c:pt idx="9">
                  <c:v>2.415543</c:v>
                </c:pt>
                <c:pt idx="10">
                  <c:v>3.330978</c:v>
                </c:pt>
              </c:numCache>
            </c:numRef>
          </c:val>
          <c:smooth val="0"/>
        </c:ser>
        <c:ser>
          <c:idx val="8"/>
          <c:order val="7"/>
          <c:tx>
            <c:strRef>
              <c:f>'47 zdravotnictvo'!$B$64</c:f>
              <c:strCache>
                <c:ptCount val="1"/>
                <c:pt idx="0">
                  <c:v>US</c:v>
                </c:pt>
              </c:strCache>
            </c:strRef>
          </c:tx>
          <c:spPr>
            <a:ln w="19050">
              <a:solidFill>
                <a:srgbClr val="F9C9BA"/>
              </a:solidFill>
            </a:ln>
          </c:spPr>
          <c:marker>
            <c:symbol val="none"/>
          </c:marker>
          <c:cat>
            <c:numRef>
              <c:f>'47 zdravotnictvo'!$C$53:$M$53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'47 zdravotnictvo'!$C$64:$M$64</c:f>
              <c:numCache>
                <c:formatCode>0.00</c:formatCode>
                <c:ptCount val="11"/>
                <c:pt idx="0">
                  <c:v>-4.9416200000000003</c:v>
                </c:pt>
                <c:pt idx="1">
                  <c:v>-5.1019290000000002</c:v>
                </c:pt>
                <c:pt idx="2">
                  <c:v>-4.9799730000000002</c:v>
                </c:pt>
                <c:pt idx="3">
                  <c:v>-4.9674149999999999</c:v>
                </c:pt>
                <c:pt idx="4">
                  <c:v>-4.8879700000000001</c:v>
                </c:pt>
                <c:pt idx="5">
                  <c:v>-4.6158070000000002</c:v>
                </c:pt>
                <c:pt idx="6">
                  <c:v>-4.6398010000000003</c:v>
                </c:pt>
                <c:pt idx="7">
                  <c:v>-4.6173710000000003</c:v>
                </c:pt>
                <c:pt idx="8">
                  <c:v>-4.6022489999999996</c:v>
                </c:pt>
                <c:pt idx="9">
                  <c:v>-4.6704179999999997</c:v>
                </c:pt>
                <c:pt idx="10">
                  <c:v>-4.8541949999999998</c:v>
                </c:pt>
              </c:numCache>
            </c:numRef>
          </c:val>
          <c:smooth val="0"/>
        </c:ser>
        <c:dLbls>
          <c:showLegendKey val="0"/>
          <c:showVal val="0"/>
          <c:showCatName val="0"/>
          <c:showSerName val="0"/>
          <c:showPercent val="0"/>
          <c:showBubbleSize val="0"/>
        </c:dLbls>
        <c:smooth val="0"/>
        <c:axId val="252936008"/>
        <c:axId val="252936400"/>
      </c:lineChart>
      <c:catAx>
        <c:axId val="252936008"/>
        <c:scaling>
          <c:orientation val="minMax"/>
        </c:scaling>
        <c:delete val="0"/>
        <c:axPos val="b"/>
        <c:numFmt formatCode="General" sourceLinked="0"/>
        <c:majorTickMark val="out"/>
        <c:minorTickMark val="none"/>
        <c:tickLblPos val="low"/>
        <c:spPr>
          <a:ln>
            <a:solidFill>
              <a:srgbClr val="868686"/>
            </a:solidFill>
          </a:ln>
        </c:spPr>
        <c:txPr>
          <a:bodyPr rot="-5400000" vert="horz"/>
          <a:lstStyle/>
          <a:p>
            <a:pPr>
              <a:defRPr/>
            </a:pPr>
            <a:endParaRPr lang="en-US"/>
          </a:p>
        </c:txPr>
        <c:crossAx val="252936400"/>
        <c:crosses val="autoZero"/>
        <c:auto val="1"/>
        <c:lblAlgn val="ctr"/>
        <c:lblOffset val="100"/>
        <c:noMultiLvlLbl val="0"/>
      </c:catAx>
      <c:valAx>
        <c:axId val="252936400"/>
        <c:scaling>
          <c:orientation val="minMax"/>
          <c:max val="6"/>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en-US"/>
          </a:p>
        </c:txPr>
        <c:crossAx val="252936008"/>
        <c:crosses val="autoZero"/>
        <c:crossBetween val="between"/>
      </c:valAx>
    </c:plotArea>
    <c:legend>
      <c:legendPos val="l"/>
      <c:layout>
        <c:manualLayout>
          <c:xMode val="edge"/>
          <c:yMode val="edge"/>
          <c:x val="6.3888888888888884E-2"/>
          <c:y val="4.8965441819772526E-2"/>
          <c:w val="0.93186482939632542"/>
          <c:h val="0.13144356955380576"/>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90174099416612E-2"/>
          <c:y val="6.7424522754327837E-2"/>
          <c:w val="0.95052344439477821"/>
          <c:h val="0.74925749035468925"/>
        </c:manualLayout>
      </c:layout>
      <c:barChart>
        <c:barDir val="col"/>
        <c:grouping val="stacked"/>
        <c:varyColors val="0"/>
        <c:ser>
          <c:idx val="3"/>
          <c:order val="0"/>
          <c:tx>
            <c:strRef>
              <c:f>'47 zdravotnictvo'!$A$71</c:f>
              <c:strCache>
                <c:ptCount val="1"/>
                <c:pt idx="0">
                  <c:v>Záväzky po lehote splatnosti</c:v>
                </c:pt>
              </c:strCache>
            </c:strRef>
          </c:tx>
          <c:spPr>
            <a:solidFill>
              <a:srgbClr val="2C9ADC"/>
            </a:solidFill>
            <a:ln>
              <a:noFill/>
            </a:ln>
            <a:effectLst/>
          </c:spPr>
          <c:invertIfNegative val="0"/>
          <c:dPt>
            <c:idx val="0"/>
            <c:invertIfNegative val="0"/>
            <c:bubble3D val="0"/>
            <c:spPr>
              <a:solidFill>
                <a:srgbClr val="2C9ADC"/>
              </a:solidFill>
              <a:ln>
                <a:noFill/>
              </a:ln>
              <a:effectLst/>
            </c:spPr>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'47 zdravotnictvo'!$B$70:$K$70</c:f>
              <c:strCache>
                <c:ptCount val="10"/>
                <c:pt idx="0">
                  <c:v>2011</c:v>
                </c:pt>
                <c:pt idx="1">
                  <c:v>2012</c:v>
                </c:pt>
                <c:pt idx="2">
                  <c:v>2013</c:v>
                </c:pt>
                <c:pt idx="3">
                  <c:v>2014</c:v>
                </c:pt>
                <c:pt idx="4">
                  <c:v>2015</c:v>
                </c:pt>
                <c:pt idx="5">
                  <c:v>2016</c:v>
                </c:pt>
                <c:pt idx="6">
                  <c:v>2017 LP</c:v>
                </c:pt>
                <c:pt idx="7">
                  <c:v>2018 LP</c:v>
                </c:pt>
                <c:pt idx="8">
                  <c:v>2019 LP</c:v>
                </c:pt>
                <c:pt idx="9">
                  <c:v>2020 LP</c:v>
                </c:pt>
              </c:strCache>
            </c:strRef>
          </c:cat>
          <c:val>
            <c:numRef>
              <c:f>'47 zdravotnictvo'!$B$71:$K$71</c:f>
              <c:numCache>
                <c:formatCode>0</c:formatCode>
                <c:ptCount val="10"/>
                <c:pt idx="0">
                  <c:v>67.159831539999985</c:v>
                </c:pt>
                <c:pt idx="1">
                  <c:v>136.35985430000002</c:v>
                </c:pt>
                <c:pt idx="2">
                  <c:v>248.62299999999999</c:v>
                </c:pt>
                <c:pt idx="3">
                  <c:v>317.1539403999999</c:v>
                </c:pt>
                <c:pt idx="4">
                  <c:v>426.22098303999996</c:v>
                </c:pt>
                <c:pt idx="5">
                  <c:v>527.16479532999995</c:v>
                </c:pt>
                <c:pt idx="6">
                  <c:v>628.10860761999993</c:v>
                </c:pt>
                <c:pt idx="7">
                  <c:v>729.05241990999991</c:v>
                </c:pt>
                <c:pt idx="8">
                  <c:v>829.99623219999989</c:v>
                </c:pt>
                <c:pt idx="9">
                  <c:v>930.94004448999988</c:v>
                </c:pt>
              </c:numCache>
            </c:numRef>
          </c:val>
        </c:ser>
        <c:ser>
          <c:idx val="2"/>
          <c:order val="1"/>
          <c:tx>
            <c:strRef>
              <c:f>'47 zdravotnictvo'!$A$72</c:f>
              <c:strCache>
                <c:ptCount val="1"/>
                <c:pt idx="0">
                  <c:v>Záväzky v lehote splatnosti</c:v>
                </c:pt>
              </c:strCache>
            </c:strRef>
          </c:tx>
          <c:spPr>
            <a:solidFill>
              <a:srgbClr val="AAD3F2"/>
            </a:solidFill>
            <a:ln>
              <a:noFill/>
            </a:ln>
            <a:effectLst/>
          </c:spPr>
          <c:invertIfNegative val="0"/>
          <c:dLbls>
            <c:dLbl>
              <c:idx val="9"/>
              <c:layout>
                <c:manualLayout>
                  <c:x val="0"/>
                  <c:y val="-7.285974499089236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'47 zdravotnictvo'!$B$70:$K$70</c:f>
              <c:strCache>
                <c:ptCount val="10"/>
                <c:pt idx="0">
                  <c:v>2011</c:v>
                </c:pt>
                <c:pt idx="1">
                  <c:v>2012</c:v>
                </c:pt>
                <c:pt idx="2">
                  <c:v>2013</c:v>
                </c:pt>
                <c:pt idx="3">
                  <c:v>2014</c:v>
                </c:pt>
                <c:pt idx="4">
                  <c:v>2015</c:v>
                </c:pt>
                <c:pt idx="5">
                  <c:v>2016</c:v>
                </c:pt>
                <c:pt idx="6">
                  <c:v>2017 LP</c:v>
                </c:pt>
                <c:pt idx="7">
                  <c:v>2018 LP</c:v>
                </c:pt>
                <c:pt idx="8">
                  <c:v>2019 LP</c:v>
                </c:pt>
                <c:pt idx="9">
                  <c:v>2020 LP</c:v>
                </c:pt>
              </c:strCache>
            </c:strRef>
          </c:cat>
          <c:val>
            <c:numRef>
              <c:f>'47 zdravotnictvo'!$B$72:$K$72</c:f>
              <c:numCache>
                <c:formatCode>0</c:formatCode>
                <c:ptCount val="10"/>
                <c:pt idx="0">
                  <c:v>98.884194740000041</c:v>
                </c:pt>
                <c:pt idx="1">
                  <c:v>122.29867731999998</c:v>
                </c:pt>
                <c:pt idx="2">
                  <c:v>104.77303745999995</c:v>
                </c:pt>
                <c:pt idx="3">
                  <c:v>107.33575787000002</c:v>
                </c:pt>
                <c:pt idx="4">
                  <c:v>106.38716651000001</c:v>
                </c:pt>
                <c:pt idx="5">
                  <c:v>112.26786168</c:v>
                </c:pt>
                <c:pt idx="6">
                  <c:v>118.14855684999995</c:v>
                </c:pt>
                <c:pt idx="7">
                  <c:v>124.02925201999992</c:v>
                </c:pt>
                <c:pt idx="8">
                  <c:v>129.90994718999988</c:v>
                </c:pt>
                <c:pt idx="9">
                  <c:v>135.79064235999985</c:v>
                </c:pt>
              </c:numCache>
            </c:numRef>
          </c:val>
        </c:ser>
        <c:dLbls>
          <c:showLegendKey val="0"/>
          <c:showVal val="0"/>
          <c:showCatName val="0"/>
          <c:showSerName val="0"/>
          <c:showPercent val="0"/>
          <c:showBubbleSize val="0"/>
        </c:dLbls>
        <c:gapWidth val="150"/>
        <c:overlap val="100"/>
        <c:axId val="253601080"/>
        <c:axId val="253601472"/>
      </c:barChart>
      <c:catAx>
        <c:axId val="253601080"/>
        <c:scaling>
          <c:orientation val="minMax"/>
        </c:scaling>
        <c:delete val="0"/>
        <c:axPos val="b"/>
        <c:numFmt formatCode="General" sourceLinked="1"/>
        <c:majorTickMark val="none"/>
        <c:minorTickMark val="none"/>
        <c:tickLblPos val="low"/>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3601472"/>
        <c:crosses val="autoZero"/>
        <c:auto val="1"/>
        <c:lblAlgn val="ctr"/>
        <c:lblOffset val="100"/>
        <c:noMultiLvlLbl val="0"/>
      </c:catAx>
      <c:valAx>
        <c:axId val="253601472"/>
        <c:scaling>
          <c:orientation val="minMax"/>
          <c:max val="1200"/>
          <c:min val="0"/>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out"/>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53601080"/>
        <c:crosses val="autoZero"/>
        <c:crossBetween val="between"/>
        <c:majorUnit val="200"/>
      </c:valAx>
      <c:spPr>
        <a:solidFill>
          <a:sysClr val="window" lastClr="FFFFFF"/>
        </a:solidFill>
        <a:ln>
          <a:noFill/>
        </a:ln>
        <a:effectLst/>
      </c:spPr>
    </c:plotArea>
    <c:legend>
      <c:legendPos val="b"/>
      <c:layout>
        <c:manualLayout>
          <c:xMode val="edge"/>
          <c:yMode val="edge"/>
          <c:x val="0.12630556230264756"/>
          <c:y val="6.3003599959841089E-2"/>
          <c:w val="0.56320920171595024"/>
          <c:h val="0.24586893851383329"/>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panose="020B0606020202030204" pitchFamily="34" charset="0"/>
              <a:ea typeface="+mn-ea"/>
              <a:cs typeface="+mn-cs"/>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1100">
          <a:solidFill>
            <a:sysClr val="windowText" lastClr="000000"/>
          </a:solidFill>
          <a:latin typeface="Arial Narrow" panose="020B0606020202030204" pitchFamily="34" charset="0"/>
        </a:defRPr>
      </a:pPr>
      <a:endParaRPr lang="en-US"/>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653848501495457E-2"/>
          <c:y val="6.5389826271716037E-2"/>
          <c:w val="0.89244603752889096"/>
          <c:h val="0.77484199475065618"/>
        </c:manualLayout>
      </c:layout>
      <c:lineChart>
        <c:grouping val="standard"/>
        <c:varyColors val="0"/>
        <c:ser>
          <c:idx val="3"/>
          <c:order val="0"/>
          <c:tx>
            <c:strRef>
              <c:f>'48 enviro'!$L$5</c:f>
              <c:strCache>
                <c:ptCount val="1"/>
                <c:pt idx="0">
                  <c:v>EÚ (28)</c:v>
                </c:pt>
              </c:strCache>
            </c:strRef>
          </c:tx>
          <c:spPr>
            <a:ln w="19050">
              <a:solidFill>
                <a:srgbClr val="2C9ADC"/>
              </a:solidFill>
              <a:prstDash val="solid"/>
            </a:ln>
          </c:spPr>
          <c:marker>
            <c:symbol val="none"/>
          </c:marker>
          <c:cat>
            <c:strRef>
              <c:f>'48 enviro'!$M$4:$V$4</c:f>
              <c:strCache>
                <c:ptCount val="10"/>
                <c:pt idx="0">
                  <c:v>2007</c:v>
                </c:pt>
                <c:pt idx="1">
                  <c:v>2008</c:v>
                </c:pt>
                <c:pt idx="2">
                  <c:v>2009</c:v>
                </c:pt>
                <c:pt idx="3">
                  <c:v>2010</c:v>
                </c:pt>
                <c:pt idx="4">
                  <c:v>2011</c:v>
                </c:pt>
                <c:pt idx="5">
                  <c:v>2012</c:v>
                </c:pt>
                <c:pt idx="6">
                  <c:v>2013</c:v>
                </c:pt>
                <c:pt idx="7">
                  <c:v>2014</c:v>
                </c:pt>
                <c:pt idx="8">
                  <c:v>2015</c:v>
                </c:pt>
                <c:pt idx="9">
                  <c:v>2020</c:v>
                </c:pt>
              </c:strCache>
            </c:strRef>
          </c:cat>
          <c:val>
            <c:numRef>
              <c:f>'48 enviro'!$M$5:$V$5</c:f>
              <c:numCache>
                <c:formatCode>0%</c:formatCode>
                <c:ptCount val="10"/>
                <c:pt idx="0">
                  <c:v>0.35</c:v>
                </c:pt>
                <c:pt idx="1">
                  <c:v>0.36499999999999999</c:v>
                </c:pt>
                <c:pt idx="2">
                  <c:v>0.375</c:v>
                </c:pt>
                <c:pt idx="3">
                  <c:v>0.38299999999999995</c:v>
                </c:pt>
                <c:pt idx="4">
                  <c:v>0.39600000000000002</c:v>
                </c:pt>
                <c:pt idx="5">
                  <c:v>0.41499999999999998</c:v>
                </c:pt>
                <c:pt idx="6">
                  <c:v>0.42200000000000004</c:v>
                </c:pt>
                <c:pt idx="7">
                  <c:v>0.441</c:v>
                </c:pt>
                <c:pt idx="8">
                  <c:v>0.45</c:v>
                </c:pt>
              </c:numCache>
            </c:numRef>
          </c:val>
          <c:smooth val="0"/>
        </c:ser>
        <c:ser>
          <c:idx val="5"/>
          <c:order val="1"/>
          <c:tx>
            <c:strRef>
              <c:f>'48 enviro'!$L$6</c:f>
              <c:strCache>
                <c:ptCount val="1"/>
                <c:pt idx="0">
                  <c:v>Slovensko</c:v>
                </c:pt>
              </c:strCache>
            </c:strRef>
          </c:tx>
          <c:spPr>
            <a:ln w="19050">
              <a:solidFill>
                <a:srgbClr val="AAD3F2"/>
              </a:solidFill>
              <a:prstDash val="solid"/>
            </a:ln>
          </c:spPr>
          <c:marker>
            <c:symbol val="none"/>
          </c:marker>
          <c:cat>
            <c:strRef>
              <c:f>'48 enviro'!$M$4:$V$4</c:f>
              <c:strCache>
                <c:ptCount val="10"/>
                <c:pt idx="0">
                  <c:v>2007</c:v>
                </c:pt>
                <c:pt idx="1">
                  <c:v>2008</c:v>
                </c:pt>
                <c:pt idx="2">
                  <c:v>2009</c:v>
                </c:pt>
                <c:pt idx="3">
                  <c:v>2010</c:v>
                </c:pt>
                <c:pt idx="4">
                  <c:v>2011</c:v>
                </c:pt>
                <c:pt idx="5">
                  <c:v>2012</c:v>
                </c:pt>
                <c:pt idx="6">
                  <c:v>2013</c:v>
                </c:pt>
                <c:pt idx="7">
                  <c:v>2014</c:v>
                </c:pt>
                <c:pt idx="8">
                  <c:v>2015</c:v>
                </c:pt>
                <c:pt idx="9">
                  <c:v>2020</c:v>
                </c:pt>
              </c:strCache>
            </c:strRef>
          </c:cat>
          <c:val>
            <c:numRef>
              <c:f>'48 enviro'!$M$6:$V$6</c:f>
              <c:numCache>
                <c:formatCode>0%</c:formatCode>
                <c:ptCount val="10"/>
                <c:pt idx="0">
                  <c:v>6.6000000000000003E-2</c:v>
                </c:pt>
                <c:pt idx="1">
                  <c:v>7.400000000000001E-2</c:v>
                </c:pt>
                <c:pt idx="2">
                  <c:v>8.199999999999999E-2</c:v>
                </c:pt>
                <c:pt idx="3">
                  <c:v>9.0999999999999998E-2</c:v>
                </c:pt>
                <c:pt idx="4">
                  <c:v>0.10300000000000001</c:v>
                </c:pt>
                <c:pt idx="5">
                  <c:v>0.13300000000000001</c:v>
                </c:pt>
                <c:pt idx="6">
                  <c:v>0.10800000000000001</c:v>
                </c:pt>
                <c:pt idx="7">
                  <c:v>0.10300000000000001</c:v>
                </c:pt>
                <c:pt idx="8">
                  <c:v>0.14899999999999999</c:v>
                </c:pt>
              </c:numCache>
            </c:numRef>
          </c:val>
          <c:smooth val="0"/>
        </c:ser>
        <c:ser>
          <c:idx val="0"/>
          <c:order val="2"/>
          <c:tx>
            <c:strRef>
              <c:f>'48 enviro'!$L$7</c:f>
              <c:strCache>
                <c:ptCount val="1"/>
                <c:pt idx="0">
                  <c:v>V3</c:v>
                </c:pt>
              </c:strCache>
            </c:strRef>
          </c:tx>
          <c:spPr>
            <a:ln w="19050">
              <a:solidFill>
                <a:srgbClr val="0070C0"/>
              </a:solidFill>
              <a:prstDash val="dash"/>
            </a:ln>
          </c:spPr>
          <c:marker>
            <c:symbol val="none"/>
          </c:marker>
          <c:dPt>
            <c:idx val="2"/>
            <c:bubble3D val="0"/>
          </c:dPt>
          <c:cat>
            <c:strRef>
              <c:f>'48 enviro'!$M$4:$V$4</c:f>
              <c:strCache>
                <c:ptCount val="10"/>
                <c:pt idx="0">
                  <c:v>2007</c:v>
                </c:pt>
                <c:pt idx="1">
                  <c:v>2008</c:v>
                </c:pt>
                <c:pt idx="2">
                  <c:v>2009</c:v>
                </c:pt>
                <c:pt idx="3">
                  <c:v>2010</c:v>
                </c:pt>
                <c:pt idx="4">
                  <c:v>2011</c:v>
                </c:pt>
                <c:pt idx="5">
                  <c:v>2012</c:v>
                </c:pt>
                <c:pt idx="6">
                  <c:v>2013</c:v>
                </c:pt>
                <c:pt idx="7">
                  <c:v>2014</c:v>
                </c:pt>
                <c:pt idx="8">
                  <c:v>2015</c:v>
                </c:pt>
                <c:pt idx="9">
                  <c:v>2020</c:v>
                </c:pt>
              </c:strCache>
            </c:strRef>
          </c:cat>
          <c:val>
            <c:numRef>
              <c:f>'48 enviro'!$M$7:$V$7</c:f>
              <c:numCache>
                <c:formatCode>0%</c:formatCode>
                <c:ptCount val="10"/>
                <c:pt idx="0">
                  <c:v>9.9666666666666667E-2</c:v>
                </c:pt>
                <c:pt idx="1">
                  <c:v>0.12033333333333333</c:v>
                </c:pt>
                <c:pt idx="2">
                  <c:v>0.15066666666666664</c:v>
                </c:pt>
                <c:pt idx="3">
                  <c:v>0.18933333333333333</c:v>
                </c:pt>
                <c:pt idx="4">
                  <c:v>0.18833333333333332</c:v>
                </c:pt>
                <c:pt idx="5">
                  <c:v>0.22766666666666666</c:v>
                </c:pt>
                <c:pt idx="6">
                  <c:v>0.24933333333333332</c:v>
                </c:pt>
                <c:pt idx="7">
                  <c:v>0.29399999999999993</c:v>
                </c:pt>
                <c:pt idx="8">
                  <c:v>0.34800000000000003</c:v>
                </c:pt>
              </c:numCache>
            </c:numRef>
          </c:val>
          <c:smooth val="0"/>
        </c:ser>
        <c:ser>
          <c:idx val="1"/>
          <c:order val="3"/>
          <c:tx>
            <c:strRef>
              <c:f>'48 enviro'!$L$8</c:f>
              <c:strCache>
                <c:ptCount val="1"/>
                <c:pt idx="0">
                  <c:v>Cieľ 2020</c:v>
                </c:pt>
              </c:strCache>
            </c:strRef>
          </c:tx>
          <c:spPr>
            <a:ln w="19050">
              <a:solidFill>
                <a:sysClr val="windowText" lastClr="000000"/>
              </a:solidFill>
            </a:ln>
          </c:spPr>
          <c:marker>
            <c:symbol val="none"/>
          </c:marker>
          <c:cat>
            <c:strRef>
              <c:f>'48 enviro'!$M$4:$V$4</c:f>
              <c:strCache>
                <c:ptCount val="10"/>
                <c:pt idx="0">
                  <c:v>2007</c:v>
                </c:pt>
                <c:pt idx="1">
                  <c:v>2008</c:v>
                </c:pt>
                <c:pt idx="2">
                  <c:v>2009</c:v>
                </c:pt>
                <c:pt idx="3">
                  <c:v>2010</c:v>
                </c:pt>
                <c:pt idx="4">
                  <c:v>2011</c:v>
                </c:pt>
                <c:pt idx="5">
                  <c:v>2012</c:v>
                </c:pt>
                <c:pt idx="6">
                  <c:v>2013</c:v>
                </c:pt>
                <c:pt idx="7">
                  <c:v>2014</c:v>
                </c:pt>
                <c:pt idx="8">
                  <c:v>2015</c:v>
                </c:pt>
                <c:pt idx="9">
                  <c:v>2020</c:v>
                </c:pt>
              </c:strCache>
            </c:strRef>
          </c:cat>
          <c:val>
            <c:numRef>
              <c:f>'48 enviro'!$M$8:$V$8</c:f>
              <c:numCache>
                <c:formatCode>0%</c:formatCode>
                <c:ptCount val="10"/>
                <c:pt idx="0">
                  <c:v>0.5</c:v>
                </c:pt>
                <c:pt idx="1">
                  <c:v>0.5</c:v>
                </c:pt>
                <c:pt idx="2">
                  <c:v>0.5</c:v>
                </c:pt>
                <c:pt idx="3">
                  <c:v>0.5</c:v>
                </c:pt>
                <c:pt idx="4">
                  <c:v>0.5</c:v>
                </c:pt>
                <c:pt idx="5">
                  <c:v>0.5</c:v>
                </c:pt>
                <c:pt idx="6">
                  <c:v>0.5</c:v>
                </c:pt>
                <c:pt idx="7">
                  <c:v>0.5</c:v>
                </c:pt>
                <c:pt idx="8">
                  <c:v>0.5</c:v>
                </c:pt>
                <c:pt idx="9">
                  <c:v>0.5</c:v>
                </c:pt>
              </c:numCache>
            </c:numRef>
          </c:val>
          <c:smooth val="0"/>
        </c:ser>
        <c:dLbls>
          <c:showLegendKey val="0"/>
          <c:showVal val="0"/>
          <c:showCatName val="0"/>
          <c:showSerName val="0"/>
          <c:showPercent val="0"/>
          <c:showBubbleSize val="0"/>
        </c:dLbls>
        <c:smooth val="0"/>
        <c:axId val="253602648"/>
        <c:axId val="253603040"/>
      </c:lineChart>
      <c:catAx>
        <c:axId val="253602648"/>
        <c:scaling>
          <c:orientation val="minMax"/>
        </c:scaling>
        <c:delete val="0"/>
        <c:axPos val="b"/>
        <c:numFmt formatCode="General" sourceLinked="0"/>
        <c:majorTickMark val="out"/>
        <c:minorTickMark val="none"/>
        <c:tickLblPos val="low"/>
        <c:txPr>
          <a:bodyPr rot="-5400000" vert="horz"/>
          <a:lstStyle/>
          <a:p>
            <a:pPr>
              <a:defRPr/>
            </a:pPr>
            <a:endParaRPr lang="en-US"/>
          </a:p>
        </c:txPr>
        <c:crossAx val="253603040"/>
        <c:crosses val="autoZero"/>
        <c:auto val="1"/>
        <c:lblAlgn val="ctr"/>
        <c:lblOffset val="100"/>
        <c:noMultiLvlLbl val="0"/>
      </c:catAx>
      <c:valAx>
        <c:axId val="25360304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253602648"/>
        <c:crosses val="autoZero"/>
        <c:crossBetween val="between"/>
      </c:valAx>
    </c:plotArea>
    <c:legend>
      <c:legendPos val="l"/>
      <c:layout>
        <c:manualLayout>
          <c:xMode val="edge"/>
          <c:yMode val="edge"/>
          <c:x val="0.10390958592862459"/>
          <c:y val="3.7130679765946589E-4"/>
          <c:w val="0.89396247110902183"/>
          <c:h val="0.16807965518071713"/>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6857412054262449E-2"/>
          <c:y val="5.5989218004729648E-2"/>
          <c:w val="0.93616132135261021"/>
          <c:h val="0.86336284722222201"/>
        </c:manualLayout>
      </c:layout>
      <c:barChart>
        <c:barDir val="col"/>
        <c:grouping val="clustered"/>
        <c:varyColors val="0"/>
        <c:ser>
          <c:idx val="0"/>
          <c:order val="0"/>
          <c:spPr>
            <a:solidFill>
              <a:srgbClr val="AAD3F2"/>
            </a:solidFill>
          </c:spPr>
          <c:invertIfNegative val="0"/>
          <c:dPt>
            <c:idx val="8"/>
            <c:invertIfNegative val="0"/>
            <c:bubble3D val="0"/>
            <c:spPr>
              <a:solidFill>
                <a:srgbClr val="2C9ADC"/>
              </a:solidFill>
            </c:spPr>
          </c:dPt>
          <c:cat>
            <c:strRef>
              <c:f>'48 enviro'!$C$9:$C$35</c:f>
              <c:strCache>
                <c:ptCount val="27"/>
                <c:pt idx="0">
                  <c:v>BE</c:v>
                </c:pt>
                <c:pt idx="1">
                  <c:v>IT</c:v>
                </c:pt>
                <c:pt idx="2">
                  <c:v>PL</c:v>
                </c:pt>
                <c:pt idx="3">
                  <c:v>RO</c:v>
                </c:pt>
                <c:pt idx="4">
                  <c:v>NL</c:v>
                </c:pt>
                <c:pt idx="5">
                  <c:v>CZ</c:v>
                </c:pt>
                <c:pt idx="6">
                  <c:v>BG</c:v>
                </c:pt>
                <c:pt idx="7">
                  <c:v>HU</c:v>
                </c:pt>
                <c:pt idx="8">
                  <c:v>SK</c:v>
                </c:pt>
                <c:pt idx="9">
                  <c:v>DK</c:v>
                </c:pt>
                <c:pt idx="10">
                  <c:v>EL</c:v>
                </c:pt>
                <c:pt idx="11">
                  <c:v>LU</c:v>
                </c:pt>
                <c:pt idx="12">
                  <c:v>AT</c:v>
                </c:pt>
                <c:pt idx="13">
                  <c:v>HR</c:v>
                </c:pt>
                <c:pt idx="14">
                  <c:v>SI</c:v>
                </c:pt>
                <c:pt idx="15">
                  <c:v>MT</c:v>
                </c:pt>
                <c:pt idx="16">
                  <c:v>FR</c:v>
                </c:pt>
                <c:pt idx="17">
                  <c:v>LT</c:v>
                </c:pt>
                <c:pt idx="18">
                  <c:v>LV</c:v>
                </c:pt>
                <c:pt idx="19">
                  <c:v>ES</c:v>
                </c:pt>
                <c:pt idx="20">
                  <c:v>DK</c:v>
                </c:pt>
                <c:pt idx="21">
                  <c:v>UK</c:v>
                </c:pt>
                <c:pt idx="22">
                  <c:v>PT</c:v>
                </c:pt>
                <c:pt idx="23">
                  <c:v>EE</c:v>
                </c:pt>
                <c:pt idx="24">
                  <c:v>IE</c:v>
                </c:pt>
                <c:pt idx="25">
                  <c:v>SW</c:v>
                </c:pt>
                <c:pt idx="26">
                  <c:v>FI</c:v>
                </c:pt>
              </c:strCache>
            </c:strRef>
          </c:cat>
          <c:val>
            <c:numRef>
              <c:f>'48 enviro'!$D$9:$D$35</c:f>
              <c:numCache>
                <c:formatCode>#\ ##0.00_ ;\-#\ ##0.00\ </c:formatCode>
                <c:ptCount val="27"/>
                <c:pt idx="0">
                  <c:v>18.579000499999999</c:v>
                </c:pt>
                <c:pt idx="1">
                  <c:v>18.4120998</c:v>
                </c:pt>
                <c:pt idx="2">
                  <c:v>16.965299600000002</c:v>
                </c:pt>
                <c:pt idx="3">
                  <c:v>16.884300199999998</c:v>
                </c:pt>
                <c:pt idx="4">
                  <c:v>16.823</c:v>
                </c:pt>
                <c:pt idx="5">
                  <c:v>16.5874004</c:v>
                </c:pt>
                <c:pt idx="6">
                  <c:v>15.9703999</c:v>
                </c:pt>
                <c:pt idx="7">
                  <c:v>15.8548002</c:v>
                </c:pt>
                <c:pt idx="8">
                  <c:v>15.8028002</c:v>
                </c:pt>
                <c:pt idx="9">
                  <c:v>15.5038996</c:v>
                </c:pt>
                <c:pt idx="10">
                  <c:v>15.221599599999999</c:v>
                </c:pt>
                <c:pt idx="11">
                  <c:v>14.9540997</c:v>
                </c:pt>
                <c:pt idx="12">
                  <c:v>14.8170004</c:v>
                </c:pt>
                <c:pt idx="13">
                  <c:v>14.1246004</c:v>
                </c:pt>
                <c:pt idx="14">
                  <c:v>14.1012001</c:v>
                </c:pt>
                <c:pt idx="15">
                  <c:v>14.068499600000001</c:v>
                </c:pt>
                <c:pt idx="16">
                  <c:v>14.055800400000001</c:v>
                </c:pt>
                <c:pt idx="17">
                  <c:v>13.7412996</c:v>
                </c:pt>
                <c:pt idx="18">
                  <c:v>12.053600299999999</c:v>
                </c:pt>
                <c:pt idx="19">
                  <c:v>11.647600199999999</c:v>
                </c:pt>
                <c:pt idx="20">
                  <c:v>11.618100200000001</c:v>
                </c:pt>
                <c:pt idx="21">
                  <c:v>10.882599799999999</c:v>
                </c:pt>
                <c:pt idx="22">
                  <c:v>9.8573302999999992</c:v>
                </c:pt>
                <c:pt idx="23">
                  <c:v>9.0505504999999999</c:v>
                </c:pt>
                <c:pt idx="24">
                  <c:v>7.9716000999999999</c:v>
                </c:pt>
                <c:pt idx="25">
                  <c:v>7.4512801</c:v>
                </c:pt>
                <c:pt idx="26">
                  <c:v>7.0687198999999996</c:v>
                </c:pt>
              </c:numCache>
            </c:numRef>
          </c:val>
          <c:extLst/>
        </c:ser>
        <c:dLbls>
          <c:showLegendKey val="0"/>
          <c:showVal val="0"/>
          <c:showCatName val="0"/>
          <c:showSerName val="0"/>
          <c:showPercent val="0"/>
          <c:showBubbleSize val="0"/>
        </c:dLbls>
        <c:gapWidth val="150"/>
        <c:axId val="253603824"/>
        <c:axId val="253604216"/>
      </c:barChart>
      <c:catAx>
        <c:axId val="253603824"/>
        <c:scaling>
          <c:orientation val="minMax"/>
        </c:scaling>
        <c:delete val="0"/>
        <c:axPos val="b"/>
        <c:numFmt formatCode="General" sourceLinked="1"/>
        <c:majorTickMark val="out"/>
        <c:minorTickMark val="none"/>
        <c:tickLblPos val="nextTo"/>
        <c:txPr>
          <a:bodyPr rot="-5400000" vert="horz"/>
          <a:lstStyle/>
          <a:p>
            <a:pPr>
              <a:defRPr sz="600"/>
            </a:pPr>
            <a:endParaRPr lang="en-US"/>
          </a:p>
        </c:txPr>
        <c:crossAx val="253604216"/>
        <c:crosses val="autoZero"/>
        <c:auto val="1"/>
        <c:lblAlgn val="ctr"/>
        <c:lblOffset val="100"/>
        <c:noMultiLvlLbl val="0"/>
      </c:catAx>
      <c:valAx>
        <c:axId val="25360421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360382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'5 politika súdržnosti'!$F$1</c:f>
              <c:strCache>
                <c:ptCount val="1"/>
                <c:pt idx="0">
                  <c:v>2008</c:v>
                </c:pt>
              </c:strCache>
            </c:strRef>
          </c:tx>
          <c:spPr>
            <a:solidFill>
              <a:srgbClr val="2C9ADC"/>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súdržnosti'!$F$3:$F$13</c:f>
              <c:numCache>
                <c:formatCode>#,##0</c:formatCode>
                <c:ptCount val="11"/>
                <c:pt idx="0">
                  <c:v>771706.71</c:v>
                </c:pt>
                <c:pt idx="1">
                  <c:v>13473169.25</c:v>
                </c:pt>
                <c:pt idx="2">
                  <c:v>1241562.29</c:v>
                </c:pt>
                <c:pt idx="3">
                  <c:v>2050146.5500000003</c:v>
                </c:pt>
                <c:pt idx="4">
                  <c:v>4040629.8</c:v>
                </c:pt>
                <c:pt idx="5">
                  <c:v>220565.04</c:v>
                </c:pt>
                <c:pt idx="6">
                  <c:v>708845.42</c:v>
                </c:pt>
                <c:pt idx="7">
                  <c:v>351596.31</c:v>
                </c:pt>
                <c:pt idx="8">
                  <c:v>4124969.2051938623</c:v>
                </c:pt>
                <c:pt idx="9">
                  <c:v>249688.63</c:v>
                </c:pt>
                <c:pt idx="10">
                  <c:v>681985.83000000007</c:v>
                </c:pt>
              </c:numCache>
            </c:numRef>
          </c:val>
        </c:ser>
        <c:ser>
          <c:idx val="2"/>
          <c:order val="1"/>
          <c:tx>
            <c:strRef>
              <c:f>'5 politika súdržnosti'!$G$1</c:f>
              <c:strCache>
                <c:ptCount val="1"/>
                <c:pt idx="0">
                  <c:v>2009</c:v>
                </c:pt>
              </c:strCache>
            </c:strRef>
          </c:tx>
          <c:spPr>
            <a:solidFill>
              <a:schemeClr val="tx2">
                <a:lumMod val="20000"/>
                <a:lumOff val="80000"/>
              </a:schemeClr>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súdržnosti'!$G$3:$G$13</c:f>
              <c:numCache>
                <c:formatCode>#,##0</c:formatCode>
                <c:ptCount val="11"/>
                <c:pt idx="0">
                  <c:v>4448888.8499999996</c:v>
                </c:pt>
                <c:pt idx="1">
                  <c:v>61889524.279999994</c:v>
                </c:pt>
                <c:pt idx="2">
                  <c:v>2715058.9000000004</c:v>
                </c:pt>
                <c:pt idx="3">
                  <c:v>30407852.610000003</c:v>
                </c:pt>
                <c:pt idx="4">
                  <c:v>87489321.859999999</c:v>
                </c:pt>
                <c:pt idx="5">
                  <c:v>202949465.92999998</c:v>
                </c:pt>
                <c:pt idx="6">
                  <c:v>11824218.93</c:v>
                </c:pt>
                <c:pt idx="7">
                  <c:v>42523335.75</c:v>
                </c:pt>
                <c:pt idx="8">
                  <c:v>10220254.15</c:v>
                </c:pt>
                <c:pt idx="9">
                  <c:v>4605508.28</c:v>
                </c:pt>
                <c:pt idx="10">
                  <c:v>32768601.629999999</c:v>
                </c:pt>
              </c:numCache>
            </c:numRef>
          </c:val>
        </c:ser>
        <c:ser>
          <c:idx val="1"/>
          <c:order val="2"/>
          <c:tx>
            <c:strRef>
              <c:f>'5 politika súdržnosti'!$H$1</c:f>
              <c:strCache>
                <c:ptCount val="1"/>
                <c:pt idx="0">
                  <c:v>2010</c:v>
                </c:pt>
              </c:strCache>
            </c:strRef>
          </c:tx>
          <c:spPr>
            <a:solidFill>
              <a:schemeClr val="tx2">
                <a:lumMod val="75000"/>
              </a:schemeClr>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súdržnosti'!$H$3:$H$13</c:f>
              <c:numCache>
                <c:formatCode>#,##0</c:formatCode>
                <c:ptCount val="11"/>
                <c:pt idx="0">
                  <c:v>44892827.080000006</c:v>
                </c:pt>
                <c:pt idx="1">
                  <c:v>87004421.979999989</c:v>
                </c:pt>
                <c:pt idx="2">
                  <c:v>21906988.439999998</c:v>
                </c:pt>
                <c:pt idx="3">
                  <c:v>82383111.399999991</c:v>
                </c:pt>
                <c:pt idx="4">
                  <c:v>212222198.38</c:v>
                </c:pt>
                <c:pt idx="5">
                  <c:v>337295443.66000003</c:v>
                </c:pt>
                <c:pt idx="6">
                  <c:v>35804244.759999998</c:v>
                </c:pt>
                <c:pt idx="7">
                  <c:v>94694063.170000002</c:v>
                </c:pt>
                <c:pt idx="8">
                  <c:v>12934758.630000003</c:v>
                </c:pt>
                <c:pt idx="9">
                  <c:v>8245064.6100000003</c:v>
                </c:pt>
                <c:pt idx="10">
                  <c:v>86347467.299999982</c:v>
                </c:pt>
              </c:numCache>
            </c:numRef>
          </c:val>
        </c:ser>
        <c:ser>
          <c:idx val="3"/>
          <c:order val="3"/>
          <c:tx>
            <c:strRef>
              <c:f>'5 politika súdržnosti'!$I$1</c:f>
              <c:strCache>
                <c:ptCount val="1"/>
                <c:pt idx="0">
                  <c:v>2011</c:v>
                </c:pt>
              </c:strCache>
            </c:strRef>
          </c:tx>
          <c:spPr>
            <a:solidFill>
              <a:sysClr val="window" lastClr="FFFFFF">
                <a:lumMod val="85000"/>
              </a:sysClr>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súdržnosti'!$I$3:$I$13</c:f>
              <c:numCache>
                <c:formatCode>#,##0</c:formatCode>
                <c:ptCount val="11"/>
                <c:pt idx="0">
                  <c:v>32400338.580000002</c:v>
                </c:pt>
                <c:pt idx="1">
                  <c:v>142675521.12</c:v>
                </c:pt>
                <c:pt idx="2">
                  <c:v>63456220.939999998</c:v>
                </c:pt>
                <c:pt idx="3">
                  <c:v>230548255.84999996</c:v>
                </c:pt>
                <c:pt idx="4">
                  <c:v>296539077.44999999</c:v>
                </c:pt>
                <c:pt idx="5">
                  <c:v>203116363.56999999</c:v>
                </c:pt>
                <c:pt idx="6">
                  <c:v>57900017.990000002</c:v>
                </c:pt>
                <c:pt idx="7">
                  <c:v>155590342.09999999</c:v>
                </c:pt>
                <c:pt idx="8">
                  <c:v>11566342.300000001</c:v>
                </c:pt>
                <c:pt idx="9">
                  <c:v>15971578.199999997</c:v>
                </c:pt>
                <c:pt idx="10">
                  <c:v>123746041.54000001</c:v>
                </c:pt>
              </c:numCache>
            </c:numRef>
          </c:val>
        </c:ser>
        <c:ser>
          <c:idx val="4"/>
          <c:order val="4"/>
          <c:tx>
            <c:strRef>
              <c:f>'5 politika súdržnosti'!$J$1</c:f>
              <c:strCache>
                <c:ptCount val="1"/>
                <c:pt idx="0">
                  <c:v>2012</c:v>
                </c:pt>
              </c:strCache>
            </c:strRef>
          </c:tx>
          <c:spPr>
            <a:solidFill>
              <a:srgbClr val="E7E6E6">
                <a:lumMod val="75000"/>
              </a:srgbClr>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súdržnosti'!$J$3:$J$13</c:f>
              <c:numCache>
                <c:formatCode>#,##0</c:formatCode>
                <c:ptCount val="11"/>
                <c:pt idx="0">
                  <c:v>58088855.670000009</c:v>
                </c:pt>
                <c:pt idx="1">
                  <c:v>161532541.50038615</c:v>
                </c:pt>
                <c:pt idx="2">
                  <c:v>141034538.33000001</c:v>
                </c:pt>
                <c:pt idx="3">
                  <c:v>219424120.98999995</c:v>
                </c:pt>
                <c:pt idx="4">
                  <c:v>301356547.88</c:v>
                </c:pt>
                <c:pt idx="5">
                  <c:v>245118453.80000001</c:v>
                </c:pt>
                <c:pt idx="6">
                  <c:v>44085857.180000007</c:v>
                </c:pt>
                <c:pt idx="7">
                  <c:v>115340053.14</c:v>
                </c:pt>
                <c:pt idx="8">
                  <c:v>5112902.26</c:v>
                </c:pt>
                <c:pt idx="9">
                  <c:v>9890323.7399999984</c:v>
                </c:pt>
                <c:pt idx="10">
                  <c:v>146192340.27000004</c:v>
                </c:pt>
              </c:numCache>
            </c:numRef>
          </c:val>
        </c:ser>
        <c:ser>
          <c:idx val="5"/>
          <c:order val="5"/>
          <c:tx>
            <c:strRef>
              <c:f>'5 politika súdržnosti'!$K$1</c:f>
              <c:strCache>
                <c:ptCount val="1"/>
                <c:pt idx="0">
                  <c:v>2013</c:v>
                </c:pt>
              </c:strCache>
            </c:strRef>
          </c:tx>
          <c:spPr>
            <a:solidFill>
              <a:sysClr val="windowText" lastClr="000000">
                <a:lumMod val="75000"/>
                <a:lumOff val="25000"/>
              </a:sysClr>
            </a:solidFill>
          </c:spPr>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súdržnosti'!$K$3:$K$13</c:f>
              <c:numCache>
                <c:formatCode>#,##0</c:formatCode>
                <c:ptCount val="11"/>
                <c:pt idx="0">
                  <c:v>76232396.940000013</c:v>
                </c:pt>
                <c:pt idx="1">
                  <c:v>108228643.72999993</c:v>
                </c:pt>
                <c:pt idx="2">
                  <c:v>157448914.73999998</c:v>
                </c:pt>
                <c:pt idx="3">
                  <c:v>242486437.72999999</c:v>
                </c:pt>
                <c:pt idx="4">
                  <c:v>191992176.48000002</c:v>
                </c:pt>
                <c:pt idx="5">
                  <c:v>460992882.38000011</c:v>
                </c:pt>
                <c:pt idx="6">
                  <c:v>56563156.390000008</c:v>
                </c:pt>
                <c:pt idx="7">
                  <c:v>58792583.509999998</c:v>
                </c:pt>
                <c:pt idx="8">
                  <c:v>9591604.1699999999</c:v>
                </c:pt>
                <c:pt idx="9">
                  <c:v>10870762.799999999</c:v>
                </c:pt>
                <c:pt idx="10">
                  <c:v>156915013.58000001</c:v>
                </c:pt>
              </c:numCache>
            </c:numRef>
          </c:val>
        </c:ser>
        <c:ser>
          <c:idx val="6"/>
          <c:order val="6"/>
          <c:tx>
            <c:strRef>
              <c:f>'5 politika súdržnosti'!$L$1</c:f>
              <c:strCache>
                <c:ptCount val="1"/>
                <c:pt idx="0">
                  <c:v>2014</c:v>
                </c:pt>
              </c:strCache>
            </c:strRef>
          </c:tx>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súdržnosti'!$L$3:$L$13</c:f>
              <c:numCache>
                <c:formatCode>#,##0</c:formatCode>
                <c:ptCount val="11"/>
                <c:pt idx="0">
                  <c:v>111896676.90999997</c:v>
                </c:pt>
                <c:pt idx="1">
                  <c:v>121824874.18961394</c:v>
                </c:pt>
                <c:pt idx="2">
                  <c:v>166461478.70000005</c:v>
                </c:pt>
                <c:pt idx="3">
                  <c:v>148970917.60000014</c:v>
                </c:pt>
                <c:pt idx="4">
                  <c:v>100675408.22999978</c:v>
                </c:pt>
                <c:pt idx="5">
                  <c:v>501868379.26999998</c:v>
                </c:pt>
                <c:pt idx="6">
                  <c:v>-289531.90000000596</c:v>
                </c:pt>
                <c:pt idx="7">
                  <c:v>40831631.270000041</c:v>
                </c:pt>
                <c:pt idx="8">
                  <c:v>9733573.9848061353</c:v>
                </c:pt>
                <c:pt idx="9">
                  <c:v>6326189.1499999985</c:v>
                </c:pt>
                <c:pt idx="10">
                  <c:v>199281911.75999999</c:v>
                </c:pt>
              </c:numCache>
            </c:numRef>
          </c:val>
        </c:ser>
        <c:ser>
          <c:idx val="7"/>
          <c:order val="7"/>
          <c:tx>
            <c:strRef>
              <c:f>'5 politika súdržnosti'!$M$1</c:f>
              <c:strCache>
                <c:ptCount val="1"/>
                <c:pt idx="0">
                  <c:v>2015</c:v>
                </c:pt>
              </c:strCache>
            </c:strRef>
          </c:tx>
          <c:invertIfNegative val="0"/>
          <c:cat>
            <c:strRef>
              <c:f>'5 politika súdržnosti'!$A$3:$A$13</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súdržnosti'!$M$3:$M$13</c:f>
              <c:numCache>
                <c:formatCode>#,##0</c:formatCode>
                <c:ptCount val="11"/>
                <c:pt idx="0">
                  <c:v>138691751.01999998</c:v>
                </c:pt>
                <c:pt idx="1">
                  <c:v>191035514.70000005</c:v>
                </c:pt>
                <c:pt idx="2">
                  <c:v>163992501.76999998</c:v>
                </c:pt>
                <c:pt idx="3">
                  <c:v>517765863.20000005</c:v>
                </c:pt>
                <c:pt idx="4">
                  <c:v>211093484.84000015</c:v>
                </c:pt>
                <c:pt idx="5">
                  <c:v>1146257834.1600001</c:v>
                </c:pt>
                <c:pt idx="6">
                  <c:v>6500542.0799999833</c:v>
                </c:pt>
                <c:pt idx="7">
                  <c:v>240632174.45000005</c:v>
                </c:pt>
                <c:pt idx="8">
                  <c:v>17210980.819999993</c:v>
                </c:pt>
                <c:pt idx="9">
                  <c:v>36408744.590000004</c:v>
                </c:pt>
                <c:pt idx="10">
                  <c:v>348538598.22000015</c:v>
                </c:pt>
              </c:numCache>
            </c:numRef>
          </c:val>
        </c:ser>
        <c:ser>
          <c:idx val="8"/>
          <c:order val="8"/>
          <c:tx>
            <c:strRef>
              <c:f>'5 politika súdržnosti'!$N$1</c:f>
              <c:strCache>
                <c:ptCount val="1"/>
                <c:pt idx="0">
                  <c:v>2016</c:v>
                </c:pt>
              </c:strCache>
            </c:strRef>
          </c:tx>
          <c:invertIfNegative val="0"/>
          <c:dLbls>
            <c:dLbl>
              <c:idx val="0"/>
              <c:layout>
                <c:manualLayout>
                  <c:x val="0"/>
                  <c:y val="-3.5220125786163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52830188679246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173336640061513E-17"/>
                  <c:y val="-3.01886792452830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056603773584905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7.04402515723270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5470085470085479E-3"/>
                  <c:y val="-8.55345911949686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5669334656024605E-16"/>
                  <c:y val="-0.1106918238993710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'5 politika súdržnosti'!$N$3:$N$13</c:f>
              <c:numCache>
                <c:formatCode>#,##0</c:formatCode>
                <c:ptCount val="11"/>
                <c:pt idx="0">
                  <c:v>75310137</c:v>
                </c:pt>
                <c:pt idx="1">
                  <c:v>53637367</c:v>
                </c:pt>
                <c:pt idx="2">
                  <c:v>125338141</c:v>
                </c:pt>
                <c:pt idx="3">
                  <c:v>269349431</c:v>
                </c:pt>
                <c:pt idx="4">
                  <c:v>77585829</c:v>
                </c:pt>
                <c:pt idx="5">
                  <c:v>62963866</c:v>
                </c:pt>
                <c:pt idx="6">
                  <c:v>9626585</c:v>
                </c:pt>
                <c:pt idx="7">
                  <c:v>213388567</c:v>
                </c:pt>
                <c:pt idx="8">
                  <c:v>9041753</c:v>
                </c:pt>
                <c:pt idx="9">
                  <c:v>1445925</c:v>
                </c:pt>
                <c:pt idx="10">
                  <c:v>103646147</c:v>
                </c:pt>
              </c:numCache>
            </c:numRef>
          </c:val>
        </c:ser>
        <c:dLbls>
          <c:showLegendKey val="0"/>
          <c:showVal val="0"/>
          <c:showCatName val="0"/>
          <c:showSerName val="0"/>
          <c:showPercent val="0"/>
          <c:showBubbleSize val="0"/>
        </c:dLbls>
        <c:gapWidth val="150"/>
        <c:axId val="253605000"/>
        <c:axId val="253605392"/>
      </c:barChart>
      <c:catAx>
        <c:axId val="253605000"/>
        <c:scaling>
          <c:orientation val="minMax"/>
        </c:scaling>
        <c:delete val="0"/>
        <c:axPos val="b"/>
        <c:numFmt formatCode="General" sourceLinked="1"/>
        <c:majorTickMark val="out"/>
        <c:minorTickMark val="none"/>
        <c:tickLblPos val="nextTo"/>
        <c:crossAx val="253605392"/>
        <c:crosses val="autoZero"/>
        <c:auto val="1"/>
        <c:lblAlgn val="ctr"/>
        <c:lblOffset val="100"/>
        <c:noMultiLvlLbl val="0"/>
      </c:catAx>
      <c:valAx>
        <c:axId val="25360539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253605000"/>
        <c:crosses val="autoZero"/>
        <c:crossBetween val="between"/>
        <c:dispUnits>
          <c:builtInUnit val="millions"/>
          <c:dispUnitsLbl>
            <c:layout/>
          </c:dispUnitsLbl>
        </c:dispUnits>
      </c:valAx>
    </c:plotArea>
    <c:legend>
      <c:legendPos val="r"/>
      <c:layout>
        <c:manualLayout>
          <c:xMode val="edge"/>
          <c:yMode val="edge"/>
          <c:x val="3.4243724342149541E-2"/>
          <c:y val="2.1314316842470162E-4"/>
          <c:w val="0.83246046167306009"/>
          <c:h val="0.2153883028772346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82106259115597957"/>
        </c:manualLayout>
      </c:layout>
      <c:barChart>
        <c:barDir val="col"/>
        <c:grouping val="stacked"/>
        <c:varyColors val="0"/>
        <c:ser>
          <c:idx val="5"/>
          <c:order val="0"/>
          <c:tx>
            <c:strRef>
              <c:f>'1 makro'!$A$23</c:f>
              <c:strCache>
                <c:ptCount val="1"/>
                <c:pt idx="0">
                  <c:v>Čistá inflácia</c:v>
                </c:pt>
              </c:strCache>
            </c:strRef>
          </c:tx>
          <c:spPr>
            <a:solidFill>
              <a:srgbClr val="2C9ADC"/>
            </a:solidFill>
            <a:ln>
              <a:noFill/>
            </a:ln>
          </c:spPr>
          <c:invertIfNegative val="0"/>
          <c:cat>
            <c:numRef>
              <c:f>'1 makro'!$B$21:$AX$21</c:f>
              <c:numCache>
                <c:formatCode>m/d/yyyy</c:formatCode>
                <c:ptCount val="49"/>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numCache>
            </c:numRef>
          </c:cat>
          <c:val>
            <c:numRef>
              <c:f>'1 makro'!$B$23:$AX$23</c:f>
              <c:numCache>
                <c:formatCode>0.0000</c:formatCode>
                <c:ptCount val="49"/>
                <c:pt idx="0">
                  <c:v>0.10332495936160913</c:v>
                </c:pt>
                <c:pt idx="1">
                  <c:v>0.11238447319778333</c:v>
                </c:pt>
                <c:pt idx="2">
                  <c:v>4.9379799173075875E-2</c:v>
                </c:pt>
                <c:pt idx="3">
                  <c:v>8.067821599704815E-2</c:v>
                </c:pt>
                <c:pt idx="4">
                  <c:v>0.19284502471048059</c:v>
                </c:pt>
                <c:pt idx="5">
                  <c:v>0.34104361945530365</c:v>
                </c:pt>
                <c:pt idx="6">
                  <c:v>0.28258207303577698</c:v>
                </c:pt>
                <c:pt idx="7">
                  <c:v>0.22418879056047347</c:v>
                </c:pt>
                <c:pt idx="8">
                  <c:v>0.25568835768039838</c:v>
                </c:pt>
                <c:pt idx="9">
                  <c:v>0.35851698975455126</c:v>
                </c:pt>
                <c:pt idx="10">
                  <c:v>0.40377804014166052</c:v>
                </c:pt>
                <c:pt idx="11">
                  <c:v>0.22442049313450885</c:v>
                </c:pt>
                <c:pt idx="12">
                  <c:v>0.21444124806373835</c:v>
                </c:pt>
                <c:pt idx="13">
                  <c:v>9.5356457564574351E-2</c:v>
                </c:pt>
                <c:pt idx="14">
                  <c:v>0.18587650313536475</c:v>
                </c:pt>
                <c:pt idx="15">
                  <c:v>0.17122461900905012</c:v>
                </c:pt>
                <c:pt idx="16">
                  <c:v>0.22801411764705226</c:v>
                </c:pt>
                <c:pt idx="17">
                  <c:v>0.15647207339449698</c:v>
                </c:pt>
                <c:pt idx="18">
                  <c:v>0.14706447349096191</c:v>
                </c:pt>
                <c:pt idx="19">
                  <c:v>0.11392329169728375</c:v>
                </c:pt>
                <c:pt idx="20">
                  <c:v>-5.6957460877232635E-2</c:v>
                </c:pt>
                <c:pt idx="21">
                  <c:v>-0.17515556532571375</c:v>
                </c:pt>
                <c:pt idx="22">
                  <c:v>-7.5770708107310722E-2</c:v>
                </c:pt>
                <c:pt idx="23">
                  <c:v>-3.8013533392180887E-2</c:v>
                </c:pt>
                <c:pt idx="24">
                  <c:v>-1.8921923246588479E-2</c:v>
                </c:pt>
                <c:pt idx="25">
                  <c:v>0.13276580692705217</c:v>
                </c:pt>
                <c:pt idx="26">
                  <c:v>2.3666323377969669E-2</c:v>
                </c:pt>
                <c:pt idx="27">
                  <c:v>0.18898303840223252</c:v>
                </c:pt>
                <c:pt idx="28">
                  <c:v>5.6574443141852893E-2</c:v>
                </c:pt>
                <c:pt idx="29">
                  <c:v>6.5955191096779692E-2</c:v>
                </c:pt>
                <c:pt idx="30">
                  <c:v>-1.4142574547588434E-2</c:v>
                </c:pt>
                <c:pt idx="31">
                  <c:v>4.247440222972327E-2</c:v>
                </c:pt>
                <c:pt idx="32">
                  <c:v>0.28862298698433481</c:v>
                </c:pt>
                <c:pt idx="33">
                  <c:v>0.41130991917707349</c:v>
                </c:pt>
                <c:pt idx="34">
                  <c:v>0.34471686481726405</c:v>
                </c:pt>
                <c:pt idx="35">
                  <c:v>0.55877185752134739</c:v>
                </c:pt>
                <c:pt idx="36">
                  <c:v>0.81388204147669374</c:v>
                </c:pt>
              </c:numCache>
            </c:numRef>
          </c:val>
        </c:ser>
        <c:ser>
          <c:idx val="8"/>
          <c:order val="1"/>
          <c:tx>
            <c:strRef>
              <c:f>'1 makro'!$A$24</c:f>
              <c:strCache>
                <c:ptCount val="1"/>
                <c:pt idx="0">
                  <c:v>Ceny potravín</c:v>
                </c:pt>
              </c:strCache>
            </c:strRef>
          </c:tx>
          <c:spPr>
            <a:solidFill>
              <a:srgbClr val="5B9BD5">
                <a:lumMod val="40000"/>
                <a:lumOff val="60000"/>
              </a:srgbClr>
            </a:solidFill>
          </c:spPr>
          <c:invertIfNegative val="0"/>
          <c:cat>
            <c:numRef>
              <c:f>'1 makro'!$B$21:$AX$21</c:f>
              <c:numCache>
                <c:formatCode>m/d/yyyy</c:formatCode>
                <c:ptCount val="49"/>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numCache>
            </c:numRef>
          </c:cat>
          <c:val>
            <c:numRef>
              <c:f>'1 makro'!$B$24:$AX$24</c:f>
              <c:numCache>
                <c:formatCode>0.0000</c:formatCode>
                <c:ptCount val="49"/>
                <c:pt idx="0">
                  <c:v>0.16606389391199239</c:v>
                </c:pt>
                <c:pt idx="1">
                  <c:v>0.10534086629001643</c:v>
                </c:pt>
                <c:pt idx="2">
                  <c:v>8.8372093023255979E-2</c:v>
                </c:pt>
                <c:pt idx="3">
                  <c:v>-8.56885147324115E-2</c:v>
                </c:pt>
                <c:pt idx="4">
                  <c:v>-7.5835877578373637E-2</c:v>
                </c:pt>
                <c:pt idx="5">
                  <c:v>-0.256374751417841</c:v>
                </c:pt>
                <c:pt idx="6">
                  <c:v>-0.26804979253111944</c:v>
                </c:pt>
                <c:pt idx="7">
                  <c:v>-0.25525151810480273</c:v>
                </c:pt>
                <c:pt idx="8">
                  <c:v>-0.24372177055103753</c:v>
                </c:pt>
                <c:pt idx="9">
                  <c:v>-0.23349224366250473</c:v>
                </c:pt>
                <c:pt idx="10">
                  <c:v>-0.18826747720364756</c:v>
                </c:pt>
                <c:pt idx="11">
                  <c:v>-8.6033348630871323E-2</c:v>
                </c:pt>
                <c:pt idx="12">
                  <c:v>-0.32305545203845737</c:v>
                </c:pt>
                <c:pt idx="13">
                  <c:v>-0.28689107503553368</c:v>
                </c:pt>
                <c:pt idx="14">
                  <c:v>-0.21067209668943776</c:v>
                </c:pt>
                <c:pt idx="15">
                  <c:v>-1.6659989417190244E-2</c:v>
                </c:pt>
                <c:pt idx="16">
                  <c:v>9.8964975303098991E-3</c:v>
                </c:pt>
                <c:pt idx="17">
                  <c:v>5.2836679652383561E-2</c:v>
                </c:pt>
                <c:pt idx="18">
                  <c:v>-4.7654171066527022E-2</c:v>
                </c:pt>
                <c:pt idx="19">
                  <c:v>-1.0082882195959838E-2</c:v>
                </c:pt>
                <c:pt idx="20">
                  <c:v>4.8335934511512385E-2</c:v>
                </c:pt>
                <c:pt idx="21">
                  <c:v>0.11856478635105851</c:v>
                </c:pt>
                <c:pt idx="22">
                  <c:v>5.8785565899823387E-2</c:v>
                </c:pt>
                <c:pt idx="23">
                  <c:v>-8.1376615384614701E-2</c:v>
                </c:pt>
                <c:pt idx="24">
                  <c:v>-5.8764985995524585E-2</c:v>
                </c:pt>
                <c:pt idx="25">
                  <c:v>1.8370532580499935E-2</c:v>
                </c:pt>
                <c:pt idx="26">
                  <c:v>-2.026715917745495E-2</c:v>
                </c:pt>
                <c:pt idx="27">
                  <c:v>-9.7024973512938609E-2</c:v>
                </c:pt>
                <c:pt idx="28">
                  <c:v>-0.32110567646398863</c:v>
                </c:pt>
                <c:pt idx="29">
                  <c:v>-0.30492624664078866</c:v>
                </c:pt>
                <c:pt idx="30">
                  <c:v>-0.18501036700718967</c:v>
                </c:pt>
                <c:pt idx="31">
                  <c:v>-0.1694866473370982</c:v>
                </c:pt>
                <c:pt idx="32">
                  <c:v>-0.20121366478572283</c:v>
                </c:pt>
                <c:pt idx="33">
                  <c:v>-0.20116764504078435</c:v>
                </c:pt>
                <c:pt idx="34">
                  <c:v>-5.5980688175340756E-2</c:v>
                </c:pt>
                <c:pt idx="35">
                  <c:v>0.12915346534653641</c:v>
                </c:pt>
                <c:pt idx="36">
                  <c:v>0.23693167221069442</c:v>
                </c:pt>
              </c:numCache>
            </c:numRef>
          </c:val>
        </c:ser>
        <c:ser>
          <c:idx val="0"/>
          <c:order val="2"/>
          <c:tx>
            <c:strRef>
              <c:f>'1 makro'!$A$25</c:f>
              <c:strCache>
                <c:ptCount val="1"/>
                <c:pt idx="0">
                  <c:v>Regulované ceny</c:v>
                </c:pt>
              </c:strCache>
            </c:strRef>
          </c:tx>
          <c:spPr>
            <a:ln w="12700">
              <a:noFill/>
            </a:ln>
          </c:spPr>
          <c:invertIfNegative val="0"/>
          <c:cat>
            <c:numRef>
              <c:f>'1 makro'!$B$21:$AX$21</c:f>
              <c:numCache>
                <c:formatCode>m/d/yyyy</c:formatCode>
                <c:ptCount val="49"/>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pt idx="36">
                  <c:v>42736</c:v>
                </c:pt>
              </c:numCache>
            </c:numRef>
          </c:cat>
          <c:val>
            <c:numRef>
              <c:f>'1 makro'!$B$25:$AX$25</c:f>
              <c:numCache>
                <c:formatCode>0.0000</c:formatCode>
                <c:ptCount val="49"/>
                <c:pt idx="0">
                  <c:v>-0.3162739467369482</c:v>
                </c:pt>
                <c:pt idx="1">
                  <c:v>-0.33018867924528195</c:v>
                </c:pt>
                <c:pt idx="2">
                  <c:v>-0.33198412386528986</c:v>
                </c:pt>
                <c:pt idx="3">
                  <c:v>-0.18133628703667082</c:v>
                </c:pt>
                <c:pt idx="4">
                  <c:v>-0.17565375637932057</c:v>
                </c:pt>
                <c:pt idx="5">
                  <c:v>-0.17941618542836579</c:v>
                </c:pt>
                <c:pt idx="6">
                  <c:v>-0.17180825818699663</c:v>
                </c:pt>
                <c:pt idx="7">
                  <c:v>-0.16609324949578941</c:v>
                </c:pt>
                <c:pt idx="8">
                  <c:v>-0.10795028605247481</c:v>
                </c:pt>
                <c:pt idx="9">
                  <c:v>-0.12394055268655979</c:v>
                </c:pt>
                <c:pt idx="10">
                  <c:v>-0.22420181316515464</c:v>
                </c:pt>
                <c:pt idx="11">
                  <c:v>-0.26682436428149092</c:v>
                </c:pt>
                <c:pt idx="12">
                  <c:v>-0.27234274097106048</c:v>
                </c:pt>
                <c:pt idx="13">
                  <c:v>-0.27147417297728038</c:v>
                </c:pt>
                <c:pt idx="14">
                  <c:v>-0.27472002390914502</c:v>
                </c:pt>
                <c:pt idx="15">
                  <c:v>-0.27067059948979644</c:v>
                </c:pt>
                <c:pt idx="16">
                  <c:v>-0.27227761836441722</c:v>
                </c:pt>
                <c:pt idx="17">
                  <c:v>-0.26896656438050626</c:v>
                </c:pt>
                <c:pt idx="18">
                  <c:v>-0.27545719635103438</c:v>
                </c:pt>
                <c:pt idx="19">
                  <c:v>-0.27618290060528772</c:v>
                </c:pt>
                <c:pt idx="20">
                  <c:v>-0.49724616543141303</c:v>
                </c:pt>
                <c:pt idx="21">
                  <c:v>-0.49140501664289082</c:v>
                </c:pt>
                <c:pt idx="22">
                  <c:v>-0.40775016910038719</c:v>
                </c:pt>
                <c:pt idx="23">
                  <c:v>-0.36646860423394484</c:v>
                </c:pt>
                <c:pt idx="24">
                  <c:v>-0.23382985942801682</c:v>
                </c:pt>
                <c:pt idx="25">
                  <c:v>-0.23043091959129361</c:v>
                </c:pt>
                <c:pt idx="26">
                  <c:v>-0.22539423309910328</c:v>
                </c:pt>
                <c:pt idx="27">
                  <c:v>-0.2153568659127616</c:v>
                </c:pt>
                <c:pt idx="28">
                  <c:v>-0.21450157499394235</c:v>
                </c:pt>
                <c:pt idx="29">
                  <c:v>-0.21780918157225304</c:v>
                </c:pt>
                <c:pt idx="30">
                  <c:v>-0.38197295005854043</c:v>
                </c:pt>
                <c:pt idx="31">
                  <c:v>-0.38603656617023901</c:v>
                </c:pt>
                <c:pt idx="32">
                  <c:v>-0.24939727918781862</c:v>
                </c:pt>
                <c:pt idx="33">
                  <c:v>-0.20127336932256551</c:v>
                </c:pt>
                <c:pt idx="34">
                  <c:v>-0.19873885867359209</c:v>
                </c:pt>
                <c:pt idx="35">
                  <c:v>-0.19788871301594999</c:v>
                </c:pt>
                <c:pt idx="36">
                  <c:v>-0.34245177105037472</c:v>
                </c:pt>
              </c:numCache>
            </c:numRef>
          </c:val>
        </c:ser>
        <c:ser>
          <c:idx val="2"/>
          <c:order val="4"/>
          <c:tx>
            <c:strRef>
              <c:f>'1 makro'!$A$26</c:f>
              <c:strCache>
                <c:ptCount val="1"/>
                <c:pt idx="0">
                  <c:v>Zmena nepriamych daní</c:v>
                </c:pt>
              </c:strCache>
            </c:strRef>
          </c:tx>
          <c:spPr>
            <a:solidFill>
              <a:sysClr val="window" lastClr="FFFFFF">
                <a:lumMod val="75000"/>
              </a:sysClr>
            </a:solidFill>
            <a:ln>
              <a:noFill/>
            </a:ln>
          </c:spPr>
          <c:invertIfNegative val="0"/>
          <c:val>
            <c:numRef>
              <c:f>'1 makro'!$B$26:$AL$26</c:f>
              <c:numCache>
                <c:formatCode>0.0000</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-0.32</c:v>
                </c:pt>
                <c:pt idx="25">
                  <c:v>-0.32</c:v>
                </c:pt>
                <c:pt idx="26">
                  <c:v>-0.32</c:v>
                </c:pt>
                <c:pt idx="27">
                  <c:v>-0.32</c:v>
                </c:pt>
                <c:pt idx="28">
                  <c:v>-0.32</c:v>
                </c:pt>
                <c:pt idx="29">
                  <c:v>-0.32</c:v>
                </c:pt>
                <c:pt idx="30">
                  <c:v>-0.32</c:v>
                </c:pt>
                <c:pt idx="31">
                  <c:v>-0.32</c:v>
                </c:pt>
                <c:pt idx="32">
                  <c:v>-0.32</c:v>
                </c:pt>
                <c:pt idx="33">
                  <c:v>-0.32</c:v>
                </c:pt>
                <c:pt idx="34">
                  <c:v>-0.32</c:v>
                </c:pt>
                <c:pt idx="35">
                  <c:v>-0.32</c:v>
                </c:pt>
                <c:pt idx="36">
                  <c:v>0</c:v>
                </c:pt>
              </c:numCache>
            </c:numRef>
          </c:val>
        </c:ser>
        <c:dLbls>
          <c:showLegendKey val="0"/>
          <c:showVal val="0"/>
          <c:showCatName val="0"/>
          <c:showSerName val="0"/>
          <c:showPercent val="0"/>
          <c:showBubbleSize val="0"/>
        </c:dLbls>
        <c:gapWidth val="150"/>
        <c:overlap val="100"/>
        <c:axId val="138139096"/>
        <c:axId val="136102232"/>
      </c:barChart>
      <c:lineChart>
        <c:grouping val="standard"/>
        <c:varyColors val="0"/>
        <c:ser>
          <c:idx val="1"/>
          <c:order val="3"/>
          <c:tx>
            <c:strRef>
              <c:f>'1 makro'!$A$22</c:f>
              <c:strCache>
                <c:ptCount val="1"/>
                <c:pt idx="0">
                  <c:v>Celková inflácia</c:v>
                </c:pt>
              </c:strCache>
            </c:strRef>
          </c:tx>
          <c:spPr>
            <a:ln w="12700">
              <a:solidFill>
                <a:sysClr val="windowText" lastClr="000000"/>
              </a:solidFill>
            </a:ln>
          </c:spPr>
          <c:marker>
            <c:symbol val="none"/>
          </c:marker>
          <c:cat>
            <c:numRef>
              <c:f>[1]Hárok1!$B$2:$AM$2</c:f>
              <c:numCache>
                <c:formatCode>General</c:formatCode>
                <c:ptCount val="3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numCache>
            </c:numRef>
          </c:cat>
          <c:val>
            <c:numRef>
              <c:f>'1 makro'!$B$22:$AX$22</c:f>
              <c:numCache>
                <c:formatCode>0.0000</c:formatCode>
                <c:ptCount val="49"/>
                <c:pt idx="0">
                  <c:v>-4.6885093463346683E-2</c:v>
                </c:pt>
                <c:pt idx="1">
                  <c:v>-0.11246333975748218</c:v>
                </c:pt>
                <c:pt idx="2">
                  <c:v>-0.19423223166895801</c:v>
                </c:pt>
                <c:pt idx="3">
                  <c:v>-0.18634658577203417</c:v>
                </c:pt>
                <c:pt idx="4">
                  <c:v>-5.8644609247213611E-2</c:v>
                </c:pt>
                <c:pt idx="5">
                  <c:v>-9.4747317390903141E-2</c:v>
                </c:pt>
                <c:pt idx="6">
                  <c:v>-0.15727597768233909</c:v>
                </c:pt>
                <c:pt idx="7">
                  <c:v>-0.19715597704011867</c:v>
                </c:pt>
                <c:pt idx="8">
                  <c:v>-9.5983698923113953E-2</c:v>
                </c:pt>
                <c:pt idx="9">
                  <c:v>1.0841934054867386E-3</c:v>
                </c:pt>
                <c:pt idx="10">
                  <c:v>-8.6912502271416781E-3</c:v>
                </c:pt>
                <c:pt idx="11">
                  <c:v>-0.12843721977785338</c:v>
                </c:pt>
                <c:pt idx="12">
                  <c:v>-0.38095694494577947</c:v>
                </c:pt>
                <c:pt idx="13">
                  <c:v>-0.46300879044823973</c:v>
                </c:pt>
                <c:pt idx="14">
                  <c:v>-0.29951561746321803</c:v>
                </c:pt>
                <c:pt idx="15">
                  <c:v>-0.11610596989793656</c:v>
                </c:pt>
                <c:pt idx="16">
                  <c:v>-3.4367003187055045E-2</c:v>
                </c:pt>
                <c:pt idx="17">
                  <c:v>-5.9657811333625715E-2</c:v>
                </c:pt>
                <c:pt idx="18">
                  <c:v>-0.1760468939265995</c:v>
                </c:pt>
                <c:pt idx="19">
                  <c:v>-0.1723424911039638</c:v>
                </c:pt>
                <c:pt idx="20">
                  <c:v>-0.50586769179713331</c:v>
                </c:pt>
                <c:pt idx="21">
                  <c:v>-0.54799579561754608</c:v>
                </c:pt>
                <c:pt idx="22">
                  <c:v>-0.42473531130787451</c:v>
                </c:pt>
                <c:pt idx="23">
                  <c:v>-0.48585875301074044</c:v>
                </c:pt>
                <c:pt idx="24">
                  <c:v>-0.63151676867012996</c:v>
                </c:pt>
                <c:pt idx="25">
                  <c:v>-0.39929458008374152</c:v>
                </c:pt>
                <c:pt idx="26">
                  <c:v>-0.54199506889858862</c:v>
                </c:pt>
                <c:pt idx="27">
                  <c:v>-0.44339880102346768</c:v>
                </c:pt>
                <c:pt idx="28">
                  <c:v>-0.79903280831607804</c:v>
                </c:pt>
                <c:pt idx="29">
                  <c:v>-0.77678023711626198</c:v>
                </c:pt>
                <c:pt idx="30">
                  <c:v>-0.90112589161331846</c:v>
                </c:pt>
                <c:pt idx="31">
                  <c:v>-0.83304881127761399</c:v>
                </c:pt>
                <c:pt idx="32">
                  <c:v>-0.48198795698920666</c:v>
                </c:pt>
                <c:pt idx="33">
                  <c:v>-0.31113109518627635</c:v>
                </c:pt>
                <c:pt idx="34">
                  <c:v>-0.23000268203166879</c:v>
                </c:pt>
                <c:pt idx="35">
                  <c:v>0.17003660985193375</c:v>
                </c:pt>
                <c:pt idx="36">
                  <c:v>0.70836194263701335</c:v>
                </c:pt>
              </c:numCache>
            </c:numRef>
          </c:val>
          <c:smooth val="0"/>
        </c:ser>
        <c:dLbls>
          <c:showLegendKey val="0"/>
          <c:showVal val="0"/>
          <c:showCatName val="0"/>
          <c:showSerName val="0"/>
          <c:showPercent val="0"/>
          <c:showBubbleSize val="0"/>
        </c:dLbls>
        <c:marker val="1"/>
        <c:smooth val="0"/>
        <c:axId val="138139096"/>
        <c:axId val="136102232"/>
      </c:lineChart>
      <c:dateAx>
        <c:axId val="138139096"/>
        <c:scaling>
          <c:orientation val="minMax"/>
        </c:scaling>
        <c:delete val="0"/>
        <c:axPos val="b"/>
        <c:numFmt formatCode="[$-41B]mmmm\ yyyy;@" sourceLinked="0"/>
        <c:majorTickMark val="out"/>
        <c:minorTickMark val="none"/>
        <c:tickLblPos val="low"/>
        <c:txPr>
          <a:bodyPr/>
          <a:lstStyle/>
          <a:p>
            <a:pPr>
              <a:defRPr sz="700"/>
            </a:pPr>
            <a:endParaRPr lang="en-US"/>
          </a:p>
        </c:txPr>
        <c:crossAx val="136102232"/>
        <c:crosses val="autoZero"/>
        <c:auto val="0"/>
        <c:lblOffset val="100"/>
        <c:baseTimeUnit val="months"/>
      </c:dateAx>
      <c:valAx>
        <c:axId val="13610223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crossAx val="138139096"/>
        <c:crosses val="autoZero"/>
        <c:crossBetween val="between"/>
      </c:valAx>
    </c:plotArea>
    <c:legend>
      <c:legendPos val="r"/>
      <c:layout>
        <c:manualLayout>
          <c:xMode val="edge"/>
          <c:yMode val="edge"/>
          <c:x val="0.25110438118312134"/>
          <c:y val="1.6848188094135286E-2"/>
          <c:w val="0.50187265917602997"/>
          <c:h val="0.27259769612131823"/>
        </c:manualLayout>
      </c:layout>
      <c:overlay val="0"/>
    </c:legend>
    <c:plotVisOnly val="1"/>
    <c:dispBlanksAs val="gap"/>
    <c:showDLblsOverMax val="0"/>
  </c:chart>
  <c:spPr>
    <a:ln>
      <a:noFill/>
    </a:ln>
  </c:spPr>
  <c:txPr>
    <a:bodyPr/>
    <a:lstStyle/>
    <a:p>
      <a:pPr>
        <a:defRPr sz="800">
          <a:latin typeface="Arial Narrow"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2856701485686"/>
          <c:y val="4.5168443419766106E-2"/>
          <c:w val="0.86405437696336962"/>
          <c:h val="0.92777591990190411"/>
        </c:manualLayout>
      </c:layout>
      <c:barChart>
        <c:barDir val="col"/>
        <c:grouping val="clustered"/>
        <c:varyColors val="0"/>
        <c:ser>
          <c:idx val="1"/>
          <c:order val="2"/>
          <c:tx>
            <c:strRef>
              <c:f>MTBF!$N$2</c:f>
              <c:strCache>
                <c:ptCount val="1"/>
                <c:pt idx="0">
                  <c:v>2015</c:v>
                </c:pt>
              </c:strCache>
            </c:strRef>
          </c:tx>
          <c:spPr>
            <a:solidFill>
              <a:schemeClr val="accent2"/>
            </a:solidFill>
            <a:ln>
              <a:noFill/>
            </a:ln>
            <a:effectLst/>
          </c:spPr>
          <c:invertIfNegative val="0"/>
          <c:dPt>
            <c:idx val="9"/>
            <c:invertIfNegative val="0"/>
            <c:bubble3D val="0"/>
            <c:spPr>
              <a:solidFill>
                <a:srgbClr val="2C9ADC"/>
              </a:solidFill>
              <a:ln>
                <a:noFill/>
              </a:ln>
              <a:effectLst/>
            </c:spPr>
          </c:dPt>
          <c:cat>
            <c:strRef>
              <c:f>MTBF!$H$3:$H$30</c:f>
              <c:strCache>
                <c:ptCount val="28"/>
                <c:pt idx="0">
                  <c:v>BG</c:v>
                </c:pt>
                <c:pt idx="1">
                  <c:v>IT</c:v>
                </c:pt>
                <c:pt idx="2">
                  <c:v>LT</c:v>
                </c:pt>
                <c:pt idx="3">
                  <c:v>FR</c:v>
                </c:pt>
                <c:pt idx="4">
                  <c:v>LV</c:v>
                </c:pt>
                <c:pt idx="5">
                  <c:v>ES</c:v>
                </c:pt>
                <c:pt idx="6">
                  <c:v>DE</c:v>
                </c:pt>
                <c:pt idx="7">
                  <c:v>RO</c:v>
                </c:pt>
                <c:pt idx="8">
                  <c:v>NL</c:v>
                </c:pt>
                <c:pt idx="9">
                  <c:v>SK</c:v>
                </c:pt>
                <c:pt idx="10">
                  <c:v>PT</c:v>
                </c:pt>
                <c:pt idx="11">
                  <c:v>PL</c:v>
                </c:pt>
                <c:pt idx="12">
                  <c:v>LU</c:v>
                </c:pt>
                <c:pt idx="13">
                  <c:v>IE</c:v>
                </c:pt>
                <c:pt idx="14">
                  <c:v>MT</c:v>
                </c:pt>
                <c:pt idx="15">
                  <c:v>HU</c:v>
                </c:pt>
                <c:pt idx="16">
                  <c:v>DK</c:v>
                </c:pt>
                <c:pt idx="17">
                  <c:v>BE</c:v>
                </c:pt>
                <c:pt idx="18">
                  <c:v>SE</c:v>
                </c:pt>
                <c:pt idx="19">
                  <c:v>FI</c:v>
                </c:pt>
                <c:pt idx="20">
                  <c:v>EE</c:v>
                </c:pt>
                <c:pt idx="21">
                  <c:v>CY</c:v>
                </c:pt>
                <c:pt idx="22">
                  <c:v>EL</c:v>
                </c:pt>
                <c:pt idx="23">
                  <c:v>UK</c:v>
                </c:pt>
                <c:pt idx="24">
                  <c:v>AT</c:v>
                </c:pt>
                <c:pt idx="25">
                  <c:v>HR</c:v>
                </c:pt>
                <c:pt idx="26">
                  <c:v>CZ</c:v>
                </c:pt>
                <c:pt idx="27">
                  <c:v>SI</c:v>
                </c:pt>
              </c:strCache>
            </c:strRef>
          </c:cat>
          <c:val>
            <c:numRef>
              <c:f>MTBF!$N$3:$N$30</c:f>
              <c:numCache>
                <c:formatCode>0.0000</c:formatCode>
                <c:ptCount val="28"/>
                <c:pt idx="0">
                  <c:v>4.1010859999999996</c:v>
                </c:pt>
                <c:pt idx="1">
                  <c:v>3.5275159999999999</c:v>
                </c:pt>
                <c:pt idx="2">
                  <c:v>3.0870860000000002</c:v>
                </c:pt>
                <c:pt idx="3">
                  <c:v>3.033512</c:v>
                </c:pt>
                <c:pt idx="4">
                  <c:v>2.926037</c:v>
                </c:pt>
                <c:pt idx="5">
                  <c:v>2.913481</c:v>
                </c:pt>
                <c:pt idx="6">
                  <c:v>2.8954339999999998</c:v>
                </c:pt>
                <c:pt idx="7">
                  <c:v>2.8427539999999998</c:v>
                </c:pt>
                <c:pt idx="8">
                  <c:v>2.7564299999999999</c:v>
                </c:pt>
                <c:pt idx="9">
                  <c:v>2.521172</c:v>
                </c:pt>
                <c:pt idx="10">
                  <c:v>2.430237</c:v>
                </c:pt>
                <c:pt idx="11">
                  <c:v>2.1319970000000001</c:v>
                </c:pt>
                <c:pt idx="12">
                  <c:v>2.001884</c:v>
                </c:pt>
                <c:pt idx="13">
                  <c:v>1.948275</c:v>
                </c:pt>
                <c:pt idx="14">
                  <c:v>1.9222379999999999</c:v>
                </c:pt>
                <c:pt idx="15">
                  <c:v>1.9059999999999999</c:v>
                </c:pt>
                <c:pt idx="16">
                  <c:v>1.5624629999999999</c:v>
                </c:pt>
                <c:pt idx="17">
                  <c:v>1.5391729999999999</c:v>
                </c:pt>
                <c:pt idx="18">
                  <c:v>1.385213</c:v>
                </c:pt>
                <c:pt idx="19">
                  <c:v>1.3405260000000001</c:v>
                </c:pt>
                <c:pt idx="20">
                  <c:v>1.2593639999999999</c:v>
                </c:pt>
                <c:pt idx="21">
                  <c:v>0.94910600000000001</c:v>
                </c:pt>
                <c:pt idx="22">
                  <c:v>0.76706200000000002</c:v>
                </c:pt>
                <c:pt idx="23">
                  <c:v>0.52774600000000005</c:v>
                </c:pt>
                <c:pt idx="24">
                  <c:v>0.48717500000000002</c:v>
                </c:pt>
                <c:pt idx="25">
                  <c:v>0.47335500000000003</c:v>
                </c:pt>
                <c:pt idx="26">
                  <c:v>-0.30553900000000001</c:v>
                </c:pt>
                <c:pt idx="27">
                  <c:v>-0.95874199999999998</c:v>
                </c:pt>
              </c:numCache>
            </c:numRef>
          </c:val>
        </c:ser>
        <c:dLbls>
          <c:showLegendKey val="0"/>
          <c:showVal val="0"/>
          <c:showCatName val="0"/>
          <c:showSerName val="0"/>
          <c:showPercent val="0"/>
          <c:showBubbleSize val="0"/>
        </c:dLbls>
        <c:gapWidth val="219"/>
        <c:axId val="136101448"/>
        <c:axId val="136101056"/>
      </c:barChart>
      <c:lineChart>
        <c:grouping val="standard"/>
        <c:varyColors val="0"/>
        <c:ser>
          <c:idx val="2"/>
          <c:order val="1"/>
          <c:tx>
            <c:strRef>
              <c:f>MTBF!$O$2</c:f>
              <c:strCache>
                <c:ptCount val="1"/>
                <c:pt idx="0">
                  <c:v>EU 28</c:v>
                </c:pt>
              </c:strCache>
            </c:strRef>
          </c:tx>
          <c:spPr>
            <a:ln w="22225" cap="rnd">
              <a:solidFill>
                <a:sysClr val="windowText" lastClr="000000"/>
              </a:solidFill>
              <a:prstDash val="sysDash"/>
              <a:round/>
            </a:ln>
            <a:effectLst/>
          </c:spPr>
          <c:marker>
            <c:symbol val="none"/>
          </c:marker>
          <c:cat>
            <c:numRef>
              <c:f>MTBF!$O$3</c:f>
              <c:numCache>
                <c:formatCode>0.00</c:formatCode>
                <c:ptCount val="1"/>
                <c:pt idx="0">
                  <c:v>1.8561443214285711</c:v>
                </c:pt>
              </c:numCache>
            </c:numRef>
          </c:cat>
          <c:val>
            <c:numRef>
              <c:f>MTBF!$O$3:$O$30</c:f>
              <c:numCache>
                <c:formatCode>0.00</c:formatCode>
                <c:ptCount val="28"/>
                <c:pt idx="0">
                  <c:v>1.8561443214285711</c:v>
                </c:pt>
                <c:pt idx="1">
                  <c:v>1.8561443214285711</c:v>
                </c:pt>
                <c:pt idx="2">
                  <c:v>1.8561443214285711</c:v>
                </c:pt>
                <c:pt idx="3">
                  <c:v>1.8561443214285711</c:v>
                </c:pt>
                <c:pt idx="4">
                  <c:v>1.8561443214285711</c:v>
                </c:pt>
                <c:pt idx="5">
                  <c:v>1.8561443214285711</c:v>
                </c:pt>
                <c:pt idx="6">
                  <c:v>1.8561443214285711</c:v>
                </c:pt>
                <c:pt idx="7">
                  <c:v>1.8561443214285711</c:v>
                </c:pt>
                <c:pt idx="8">
                  <c:v>1.8561443214285711</c:v>
                </c:pt>
                <c:pt idx="9">
                  <c:v>1.8561443214285711</c:v>
                </c:pt>
                <c:pt idx="10">
                  <c:v>1.8561443214285711</c:v>
                </c:pt>
                <c:pt idx="11">
                  <c:v>1.8561443214285711</c:v>
                </c:pt>
                <c:pt idx="12">
                  <c:v>1.8561443214285711</c:v>
                </c:pt>
                <c:pt idx="13">
                  <c:v>1.8561443214285711</c:v>
                </c:pt>
                <c:pt idx="14">
                  <c:v>1.8561443214285711</c:v>
                </c:pt>
                <c:pt idx="15">
                  <c:v>1.8561443214285711</c:v>
                </c:pt>
                <c:pt idx="16">
                  <c:v>1.8561443214285711</c:v>
                </c:pt>
                <c:pt idx="17">
                  <c:v>1.8561443214285711</c:v>
                </c:pt>
                <c:pt idx="18">
                  <c:v>1.8561443214285711</c:v>
                </c:pt>
                <c:pt idx="19">
                  <c:v>1.8561443214285711</c:v>
                </c:pt>
                <c:pt idx="20">
                  <c:v>1.8561443214285711</c:v>
                </c:pt>
                <c:pt idx="21">
                  <c:v>1.8561443214285711</c:v>
                </c:pt>
                <c:pt idx="22">
                  <c:v>1.8561443214285711</c:v>
                </c:pt>
                <c:pt idx="23">
                  <c:v>1.8561443214285711</c:v>
                </c:pt>
                <c:pt idx="24">
                  <c:v>1.8561443214285711</c:v>
                </c:pt>
                <c:pt idx="25">
                  <c:v>1.8561443214285711</c:v>
                </c:pt>
                <c:pt idx="26">
                  <c:v>1.8561443214285711</c:v>
                </c:pt>
                <c:pt idx="27">
                  <c:v>1.8561443214285711</c:v>
                </c:pt>
              </c:numCache>
            </c:numRef>
          </c:val>
          <c:smooth val="0"/>
        </c:ser>
        <c:dLbls>
          <c:showLegendKey val="0"/>
          <c:showVal val="0"/>
          <c:showCatName val="0"/>
          <c:showSerName val="0"/>
          <c:showPercent val="0"/>
          <c:showBubbleSize val="0"/>
        </c:dLbls>
        <c:marker val="1"/>
        <c:smooth val="0"/>
        <c:axId val="136101448"/>
        <c:axId val="136101056"/>
      </c:lineChart>
      <c:scatterChart>
        <c:scatterStyle val="lineMarker"/>
        <c:varyColors val="0"/>
        <c:ser>
          <c:idx val="0"/>
          <c:order val="0"/>
          <c:tx>
            <c:strRef>
              <c:f>MTBF!$M$2</c:f>
              <c:strCache>
                <c:ptCount val="1"/>
                <c:pt idx="0">
                  <c:v>2014</c:v>
                </c:pt>
              </c:strCache>
            </c:strRef>
          </c:tx>
          <c:spPr>
            <a:ln w="25400" cap="rnd">
              <a:noFill/>
              <a:round/>
            </a:ln>
            <a:effectLst/>
          </c:spPr>
          <c:marker>
            <c:symbol val="triangle"/>
            <c:size val="5"/>
            <c:spPr>
              <a:solidFill>
                <a:srgbClr val="002060"/>
              </a:solidFill>
              <a:ln w="9525">
                <a:noFill/>
              </a:ln>
              <a:effectLst/>
            </c:spPr>
          </c:marker>
          <c:xVal>
            <c:strRef>
              <c:f>MTBF!$H$3:$H$30</c:f>
              <c:strCache>
                <c:ptCount val="28"/>
                <c:pt idx="0">
                  <c:v>BG</c:v>
                </c:pt>
                <c:pt idx="1">
                  <c:v>IT</c:v>
                </c:pt>
                <c:pt idx="2">
                  <c:v>LT</c:v>
                </c:pt>
                <c:pt idx="3">
                  <c:v>FR</c:v>
                </c:pt>
                <c:pt idx="4">
                  <c:v>LV</c:v>
                </c:pt>
                <c:pt idx="5">
                  <c:v>ES</c:v>
                </c:pt>
                <c:pt idx="6">
                  <c:v>DE</c:v>
                </c:pt>
                <c:pt idx="7">
                  <c:v>RO</c:v>
                </c:pt>
                <c:pt idx="8">
                  <c:v>NL</c:v>
                </c:pt>
                <c:pt idx="9">
                  <c:v>SK</c:v>
                </c:pt>
                <c:pt idx="10">
                  <c:v>PT</c:v>
                </c:pt>
                <c:pt idx="11">
                  <c:v>PL</c:v>
                </c:pt>
                <c:pt idx="12">
                  <c:v>LU</c:v>
                </c:pt>
                <c:pt idx="13">
                  <c:v>IE</c:v>
                </c:pt>
                <c:pt idx="14">
                  <c:v>MT</c:v>
                </c:pt>
                <c:pt idx="15">
                  <c:v>HU</c:v>
                </c:pt>
                <c:pt idx="16">
                  <c:v>DK</c:v>
                </c:pt>
                <c:pt idx="17">
                  <c:v>BE</c:v>
                </c:pt>
                <c:pt idx="18">
                  <c:v>SE</c:v>
                </c:pt>
                <c:pt idx="19">
                  <c:v>FI</c:v>
                </c:pt>
                <c:pt idx="20">
                  <c:v>EE</c:v>
                </c:pt>
                <c:pt idx="21">
                  <c:v>CY</c:v>
                </c:pt>
                <c:pt idx="22">
                  <c:v>EL</c:v>
                </c:pt>
                <c:pt idx="23">
                  <c:v>UK</c:v>
                </c:pt>
                <c:pt idx="24">
                  <c:v>AT</c:v>
                </c:pt>
                <c:pt idx="25">
                  <c:v>HR</c:v>
                </c:pt>
                <c:pt idx="26">
                  <c:v>CZ</c:v>
                </c:pt>
                <c:pt idx="27">
                  <c:v>SI</c:v>
                </c:pt>
              </c:strCache>
            </c:strRef>
          </c:xVal>
          <c:yVal>
            <c:numRef>
              <c:f>MTBF!$M$3:$M$30</c:f>
              <c:numCache>
                <c:formatCode>0.0000</c:formatCode>
                <c:ptCount val="28"/>
                <c:pt idx="0">
                  <c:v>3.8686319999999998</c:v>
                </c:pt>
                <c:pt idx="1">
                  <c:v>3.4966599999999999</c:v>
                </c:pt>
                <c:pt idx="2">
                  <c:v>0.53213500000000002</c:v>
                </c:pt>
                <c:pt idx="3">
                  <c:v>2.9001929999999998</c:v>
                </c:pt>
                <c:pt idx="4">
                  <c:v>2.9260389999999998</c:v>
                </c:pt>
                <c:pt idx="5">
                  <c:v>2.8690310000000001</c:v>
                </c:pt>
                <c:pt idx="6">
                  <c:v>2.895432</c:v>
                </c:pt>
                <c:pt idx="7">
                  <c:v>2.8427530000000001</c:v>
                </c:pt>
                <c:pt idx="8">
                  <c:v>2.8209569999999999</c:v>
                </c:pt>
                <c:pt idx="9">
                  <c:v>2.5211709999999998</c:v>
                </c:pt>
                <c:pt idx="10">
                  <c:v>1.494272</c:v>
                </c:pt>
                <c:pt idx="11">
                  <c:v>1.5230520000000001</c:v>
                </c:pt>
                <c:pt idx="12">
                  <c:v>1.8186880000000001</c:v>
                </c:pt>
                <c:pt idx="13">
                  <c:v>2.078004</c:v>
                </c:pt>
                <c:pt idx="14">
                  <c:v>1.922237</c:v>
                </c:pt>
                <c:pt idx="15">
                  <c:v>1.820238</c:v>
                </c:pt>
                <c:pt idx="16">
                  <c:v>1.5624629999999999</c:v>
                </c:pt>
                <c:pt idx="17">
                  <c:v>1.5391729999999999</c:v>
                </c:pt>
                <c:pt idx="18">
                  <c:v>1.385213</c:v>
                </c:pt>
                <c:pt idx="19">
                  <c:v>1.3405260000000001</c:v>
                </c:pt>
                <c:pt idx="20">
                  <c:v>1.2593639999999999</c:v>
                </c:pt>
                <c:pt idx="21">
                  <c:v>0.94910700000000003</c:v>
                </c:pt>
                <c:pt idx="22">
                  <c:v>0.76706200000000002</c:v>
                </c:pt>
                <c:pt idx="23">
                  <c:v>1.1684140000000001</c:v>
                </c:pt>
                <c:pt idx="24">
                  <c:v>0.51413399999999998</c:v>
                </c:pt>
                <c:pt idx="25">
                  <c:v>1.5501560000000001</c:v>
                </c:pt>
                <c:pt idx="26">
                  <c:v>-0.30553900000000001</c:v>
                </c:pt>
                <c:pt idx="27">
                  <c:v>-0.95874199999999998</c:v>
                </c:pt>
              </c:numCache>
            </c:numRef>
          </c:yVal>
          <c:smooth val="0"/>
        </c:ser>
        <c:dLbls>
          <c:showLegendKey val="0"/>
          <c:showVal val="0"/>
          <c:showCatName val="0"/>
          <c:showSerName val="0"/>
          <c:showPercent val="0"/>
          <c:showBubbleSize val="0"/>
        </c:dLbls>
        <c:axId val="136101448"/>
        <c:axId val="136101056"/>
      </c:scatterChart>
      <c:catAx>
        <c:axId val="136101448"/>
        <c:scaling>
          <c:orientation val="minMax"/>
        </c:scaling>
        <c:delete val="0"/>
        <c:axPos val="b"/>
        <c:numFmt formatCode="General" sourceLinked="1"/>
        <c:majorTickMark val="none"/>
        <c:minorTickMark val="none"/>
        <c:tickLblPos val="low"/>
        <c:spPr>
          <a:noFill/>
          <a:ln w="9525" cap="flat" cmpd="sng" algn="ctr">
            <a:solidFill>
              <a:srgbClr val="868686"/>
            </a:solidFill>
            <a:round/>
          </a:ln>
          <a:effectLst/>
        </c:spPr>
        <c:txPr>
          <a:bodyPr rot="-5400000" spcFirstLastPara="1" vertOverflow="ellipsis" wrap="square" anchor="ctr" anchorCtr="1"/>
          <a:lstStyle/>
          <a:p>
            <a:pPr>
              <a:defRPr sz="500" b="0" i="0" u="none" strike="noStrike" kern="1200" baseline="0">
                <a:solidFill>
                  <a:schemeClr val="tx1"/>
                </a:solidFill>
                <a:latin typeface="Arial Narrow" panose="020B0606020202030204" pitchFamily="34" charset="0"/>
                <a:ea typeface="+mn-ea"/>
                <a:cs typeface="+mn-cs"/>
              </a:defRPr>
            </a:pPr>
            <a:endParaRPr lang="en-US"/>
          </a:p>
        </c:txPr>
        <c:crossAx val="136101056"/>
        <c:crosses val="autoZero"/>
        <c:auto val="1"/>
        <c:lblAlgn val="ctr"/>
        <c:lblOffset val="100"/>
        <c:noMultiLvlLbl val="0"/>
      </c:catAx>
      <c:valAx>
        <c:axId val="136101056"/>
        <c:scaling>
          <c:orientation val="minMax"/>
          <c:max val="4.5"/>
          <c:min val="-1.5"/>
        </c:scaling>
        <c:delete val="0"/>
        <c:axPos val="l"/>
        <c:majorGridlines>
          <c:spPr>
            <a:ln w="9525" cap="flat" cmpd="sng" algn="ctr">
              <a:solidFill>
                <a:schemeClr val="tx1">
                  <a:lumMod val="15000"/>
                  <a:lumOff val="85000"/>
                </a:schemeClr>
              </a:solidFill>
              <a:prstDash val="dash"/>
              <a:round/>
            </a:ln>
            <a:effectLst/>
          </c:spPr>
        </c:majorGridlines>
        <c:numFmt formatCode="0.0" sourceLinked="0"/>
        <c:majorTickMark val="none"/>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136101448"/>
        <c:crosses val="autoZero"/>
        <c:crossBetween val="between"/>
        <c:majorUnit val="1"/>
      </c:valAx>
      <c:spPr>
        <a:noFill/>
        <a:ln>
          <a:noFill/>
        </a:ln>
        <a:effectLst/>
      </c:spPr>
    </c:plotArea>
    <c:legend>
      <c:legendPos val="t"/>
      <c:layout>
        <c:manualLayout>
          <c:xMode val="edge"/>
          <c:yMode val="edge"/>
          <c:x val="0.15124943280395034"/>
          <c:y val="6.6666666666666666E-2"/>
          <c:w val="0.76981751857289027"/>
          <c:h val="7.676600040379567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088820419186736E-2"/>
          <c:y val="7.7753533820320672E-2"/>
          <c:w val="0.89906235218830843"/>
          <c:h val="0.85476133279950173"/>
        </c:manualLayout>
      </c:layout>
      <c:barChart>
        <c:barDir val="col"/>
        <c:grouping val="clustered"/>
        <c:varyColors val="0"/>
        <c:ser>
          <c:idx val="1"/>
          <c:order val="2"/>
          <c:tx>
            <c:strRef>
              <c:f>MTBF!$G$2</c:f>
              <c:strCache>
                <c:ptCount val="1"/>
                <c:pt idx="0">
                  <c:v>2015</c:v>
                </c:pt>
              </c:strCache>
            </c:strRef>
          </c:tx>
          <c:spPr>
            <a:solidFill>
              <a:schemeClr val="accent2"/>
            </a:solidFill>
            <a:ln>
              <a:noFill/>
            </a:ln>
            <a:effectLst/>
          </c:spPr>
          <c:invertIfNegative val="0"/>
          <c:dPt>
            <c:idx val="22"/>
            <c:invertIfNegative val="0"/>
            <c:bubble3D val="0"/>
            <c:spPr>
              <a:solidFill>
                <a:srgbClr val="2C9ADC"/>
              </a:solidFill>
              <a:ln>
                <a:noFill/>
              </a:ln>
              <a:effectLst/>
            </c:spPr>
          </c:dPt>
          <c:cat>
            <c:strRef>
              <c:f>MTBF!$A$3:$A$30</c:f>
              <c:strCache>
                <c:ptCount val="28"/>
                <c:pt idx="0">
                  <c:v>RO</c:v>
                </c:pt>
                <c:pt idx="1">
                  <c:v>LV</c:v>
                </c:pt>
                <c:pt idx="2">
                  <c:v>NL</c:v>
                </c:pt>
                <c:pt idx="3">
                  <c:v>ES</c:v>
                </c:pt>
                <c:pt idx="4">
                  <c:v>FR</c:v>
                </c:pt>
                <c:pt idx="5">
                  <c:v>UK</c:v>
                </c:pt>
                <c:pt idx="6">
                  <c:v>SE</c:v>
                </c:pt>
                <c:pt idx="7">
                  <c:v>IT</c:v>
                </c:pt>
                <c:pt idx="8">
                  <c:v>BG</c:v>
                </c:pt>
                <c:pt idx="9">
                  <c:v>MT</c:v>
                </c:pt>
                <c:pt idx="10">
                  <c:v>EE</c:v>
                </c:pt>
                <c:pt idx="11">
                  <c:v>EL</c:v>
                </c:pt>
                <c:pt idx="12">
                  <c:v>BE</c:v>
                </c:pt>
                <c:pt idx="13">
                  <c:v>CY</c:v>
                </c:pt>
                <c:pt idx="14">
                  <c:v>LT</c:v>
                </c:pt>
                <c:pt idx="15">
                  <c:v>HR</c:v>
                </c:pt>
                <c:pt idx="16">
                  <c:v>PT</c:v>
                </c:pt>
                <c:pt idx="17">
                  <c:v>DE</c:v>
                </c:pt>
                <c:pt idx="18">
                  <c:v>DK</c:v>
                </c:pt>
                <c:pt idx="19">
                  <c:v>LU</c:v>
                </c:pt>
                <c:pt idx="20">
                  <c:v>FI</c:v>
                </c:pt>
                <c:pt idx="21">
                  <c:v>IE</c:v>
                </c:pt>
                <c:pt idx="22">
                  <c:v>SK</c:v>
                </c:pt>
                <c:pt idx="23">
                  <c:v>SI</c:v>
                </c:pt>
                <c:pt idx="24">
                  <c:v>AT</c:v>
                </c:pt>
                <c:pt idx="25">
                  <c:v>PL</c:v>
                </c:pt>
                <c:pt idx="26">
                  <c:v>CZ</c:v>
                </c:pt>
                <c:pt idx="27">
                  <c:v>HU</c:v>
                </c:pt>
              </c:strCache>
            </c:strRef>
          </c:cat>
          <c:val>
            <c:numRef>
              <c:f>MTBF!$G$3:$G$30</c:f>
              <c:numCache>
                <c:formatCode>0.0000</c:formatCode>
                <c:ptCount val="28"/>
                <c:pt idx="0">
                  <c:v>0.96</c:v>
                </c:pt>
                <c:pt idx="1">
                  <c:v>0.95000000000000018</c:v>
                </c:pt>
                <c:pt idx="2">
                  <c:v>0.95000000000000007</c:v>
                </c:pt>
                <c:pt idx="3">
                  <c:v>0.84000000000000008</c:v>
                </c:pt>
                <c:pt idx="4">
                  <c:v>0.82000000000000006</c:v>
                </c:pt>
                <c:pt idx="5">
                  <c:v>0.81</c:v>
                </c:pt>
                <c:pt idx="6">
                  <c:v>0.8</c:v>
                </c:pt>
                <c:pt idx="7">
                  <c:v>0.79</c:v>
                </c:pt>
                <c:pt idx="8">
                  <c:v>0.75333333333333341</c:v>
                </c:pt>
                <c:pt idx="9">
                  <c:v>0.72333333333333338</c:v>
                </c:pt>
                <c:pt idx="10">
                  <c:v>0.72</c:v>
                </c:pt>
                <c:pt idx="11">
                  <c:v>0.71000000000000008</c:v>
                </c:pt>
                <c:pt idx="12">
                  <c:v>0.70333333333333337</c:v>
                </c:pt>
                <c:pt idx="13">
                  <c:v>0.7</c:v>
                </c:pt>
                <c:pt idx="14">
                  <c:v>0.69000000000000006</c:v>
                </c:pt>
                <c:pt idx="15">
                  <c:v>0.64</c:v>
                </c:pt>
                <c:pt idx="16">
                  <c:v>0.64</c:v>
                </c:pt>
                <c:pt idx="17">
                  <c:v>0.6333333333333333</c:v>
                </c:pt>
                <c:pt idx="18">
                  <c:v>0.6166666666666667</c:v>
                </c:pt>
                <c:pt idx="19">
                  <c:v>0.59000000000000008</c:v>
                </c:pt>
                <c:pt idx="20">
                  <c:v>0.57333333333333336</c:v>
                </c:pt>
                <c:pt idx="21">
                  <c:v>0.57333333333333336</c:v>
                </c:pt>
                <c:pt idx="22">
                  <c:v>0.55000000000000004</c:v>
                </c:pt>
                <c:pt idx="23">
                  <c:v>0.53333333333333344</c:v>
                </c:pt>
                <c:pt idx="24">
                  <c:v>0.52</c:v>
                </c:pt>
                <c:pt idx="25">
                  <c:v>0.43333333333333335</c:v>
                </c:pt>
                <c:pt idx="26">
                  <c:v>0.43000000000000005</c:v>
                </c:pt>
                <c:pt idx="27">
                  <c:v>0.37333333333333335</c:v>
                </c:pt>
              </c:numCache>
            </c:numRef>
          </c:val>
        </c:ser>
        <c:dLbls>
          <c:showLegendKey val="0"/>
          <c:showVal val="0"/>
          <c:showCatName val="0"/>
          <c:showSerName val="0"/>
          <c:showPercent val="0"/>
          <c:showBubbleSize val="0"/>
        </c:dLbls>
        <c:gapWidth val="219"/>
        <c:axId val="136105368"/>
        <c:axId val="136105760"/>
      </c:barChart>
      <c:lineChart>
        <c:grouping val="standard"/>
        <c:varyColors val="0"/>
        <c:ser>
          <c:idx val="2"/>
          <c:order val="1"/>
          <c:tx>
            <c:strRef>
              <c:f>MTBF!$I$2</c:f>
              <c:strCache>
                <c:ptCount val="1"/>
                <c:pt idx="0">
                  <c:v>EU 28</c:v>
                </c:pt>
              </c:strCache>
            </c:strRef>
          </c:tx>
          <c:spPr>
            <a:ln w="22225" cap="rnd">
              <a:solidFill>
                <a:sysClr val="windowText" lastClr="000000"/>
              </a:solidFill>
              <a:prstDash val="sysDash"/>
              <a:round/>
            </a:ln>
            <a:effectLst/>
          </c:spPr>
          <c:marker>
            <c:symbol val="none"/>
          </c:marker>
          <c:cat>
            <c:numRef>
              <c:f>MTBF!$I$3</c:f>
              <c:numCache>
                <c:formatCode>0.00</c:formatCode>
                <c:ptCount val="1"/>
                <c:pt idx="0">
                  <c:v>0.67952380952380964</c:v>
                </c:pt>
              </c:numCache>
            </c:numRef>
          </c:cat>
          <c:val>
            <c:numRef>
              <c:f>MTBF!$I$3:$I$30</c:f>
              <c:numCache>
                <c:formatCode>0.00</c:formatCode>
                <c:ptCount val="28"/>
                <c:pt idx="0">
                  <c:v>0.67952380952380964</c:v>
                </c:pt>
                <c:pt idx="1">
                  <c:v>0.67952380952380964</c:v>
                </c:pt>
                <c:pt idx="2">
                  <c:v>0.67952380952380964</c:v>
                </c:pt>
                <c:pt idx="3">
                  <c:v>0.67952380952380964</c:v>
                </c:pt>
                <c:pt idx="4">
                  <c:v>0.67952380952380964</c:v>
                </c:pt>
                <c:pt idx="5">
                  <c:v>0.67952380952380964</c:v>
                </c:pt>
                <c:pt idx="6">
                  <c:v>0.67952380952380964</c:v>
                </c:pt>
                <c:pt idx="7">
                  <c:v>0.67952380952380964</c:v>
                </c:pt>
                <c:pt idx="8">
                  <c:v>0.67952380952380964</c:v>
                </c:pt>
                <c:pt idx="9">
                  <c:v>0.67952380952380964</c:v>
                </c:pt>
                <c:pt idx="10">
                  <c:v>0.67952380952380964</c:v>
                </c:pt>
                <c:pt idx="11">
                  <c:v>0.67952380952380964</c:v>
                </c:pt>
                <c:pt idx="12">
                  <c:v>0.67952380952380964</c:v>
                </c:pt>
                <c:pt idx="13">
                  <c:v>0.67952380952380964</c:v>
                </c:pt>
                <c:pt idx="14">
                  <c:v>0.67952380952380964</c:v>
                </c:pt>
                <c:pt idx="15">
                  <c:v>0.67952380952380964</c:v>
                </c:pt>
                <c:pt idx="16">
                  <c:v>0.67952380952380964</c:v>
                </c:pt>
                <c:pt idx="17">
                  <c:v>0.67952380952380964</c:v>
                </c:pt>
                <c:pt idx="18">
                  <c:v>0.67952380952380964</c:v>
                </c:pt>
                <c:pt idx="19">
                  <c:v>0.67952380952380964</c:v>
                </c:pt>
                <c:pt idx="20">
                  <c:v>0.67952380952380964</c:v>
                </c:pt>
                <c:pt idx="21">
                  <c:v>0.67952380952380964</c:v>
                </c:pt>
                <c:pt idx="22">
                  <c:v>0.67952380952380964</c:v>
                </c:pt>
                <c:pt idx="23">
                  <c:v>0.67952380952380964</c:v>
                </c:pt>
                <c:pt idx="24">
                  <c:v>0.67952380952380964</c:v>
                </c:pt>
                <c:pt idx="25">
                  <c:v>0.67952380952380964</c:v>
                </c:pt>
                <c:pt idx="26">
                  <c:v>0.67952380952380964</c:v>
                </c:pt>
                <c:pt idx="27">
                  <c:v>0.67952380952380964</c:v>
                </c:pt>
              </c:numCache>
            </c:numRef>
          </c:val>
          <c:smooth val="0"/>
        </c:ser>
        <c:dLbls>
          <c:showLegendKey val="0"/>
          <c:showVal val="0"/>
          <c:showCatName val="0"/>
          <c:showSerName val="0"/>
          <c:showPercent val="0"/>
          <c:showBubbleSize val="0"/>
        </c:dLbls>
        <c:marker val="1"/>
        <c:smooth val="0"/>
        <c:axId val="136105368"/>
        <c:axId val="136105760"/>
      </c:lineChart>
      <c:scatterChart>
        <c:scatterStyle val="lineMarker"/>
        <c:varyColors val="0"/>
        <c:ser>
          <c:idx val="0"/>
          <c:order val="0"/>
          <c:tx>
            <c:strRef>
              <c:f>MTBF!$F$2</c:f>
              <c:strCache>
                <c:ptCount val="1"/>
                <c:pt idx="0">
                  <c:v>2014</c:v>
                </c:pt>
              </c:strCache>
            </c:strRef>
          </c:tx>
          <c:spPr>
            <a:ln w="25400" cap="rnd">
              <a:noFill/>
              <a:round/>
            </a:ln>
            <a:effectLst/>
          </c:spPr>
          <c:marker>
            <c:symbol val="triangle"/>
            <c:size val="5"/>
            <c:spPr>
              <a:solidFill>
                <a:srgbClr val="002060"/>
              </a:solidFill>
              <a:ln w="9525">
                <a:noFill/>
              </a:ln>
              <a:effectLst/>
            </c:spPr>
          </c:marker>
          <c:xVal>
            <c:strRef>
              <c:f>MTBF!$A$3:$A$30</c:f>
              <c:strCache>
                <c:ptCount val="28"/>
                <c:pt idx="0">
                  <c:v>RO</c:v>
                </c:pt>
                <c:pt idx="1">
                  <c:v>LV</c:v>
                </c:pt>
                <c:pt idx="2">
                  <c:v>NL</c:v>
                </c:pt>
                <c:pt idx="3">
                  <c:v>ES</c:v>
                </c:pt>
                <c:pt idx="4">
                  <c:v>FR</c:v>
                </c:pt>
                <c:pt idx="5">
                  <c:v>UK</c:v>
                </c:pt>
                <c:pt idx="6">
                  <c:v>SE</c:v>
                </c:pt>
                <c:pt idx="7">
                  <c:v>IT</c:v>
                </c:pt>
                <c:pt idx="8">
                  <c:v>BG</c:v>
                </c:pt>
                <c:pt idx="9">
                  <c:v>MT</c:v>
                </c:pt>
                <c:pt idx="10">
                  <c:v>EE</c:v>
                </c:pt>
                <c:pt idx="11">
                  <c:v>EL</c:v>
                </c:pt>
                <c:pt idx="12">
                  <c:v>BE</c:v>
                </c:pt>
                <c:pt idx="13">
                  <c:v>CY</c:v>
                </c:pt>
                <c:pt idx="14">
                  <c:v>LT</c:v>
                </c:pt>
                <c:pt idx="15">
                  <c:v>HR</c:v>
                </c:pt>
                <c:pt idx="16">
                  <c:v>PT</c:v>
                </c:pt>
                <c:pt idx="17">
                  <c:v>DE</c:v>
                </c:pt>
                <c:pt idx="18">
                  <c:v>DK</c:v>
                </c:pt>
                <c:pt idx="19">
                  <c:v>LU</c:v>
                </c:pt>
                <c:pt idx="20">
                  <c:v>FI</c:v>
                </c:pt>
                <c:pt idx="21">
                  <c:v>IE</c:v>
                </c:pt>
                <c:pt idx="22">
                  <c:v>SK</c:v>
                </c:pt>
                <c:pt idx="23">
                  <c:v>SI</c:v>
                </c:pt>
                <c:pt idx="24">
                  <c:v>AT</c:v>
                </c:pt>
                <c:pt idx="25">
                  <c:v>PL</c:v>
                </c:pt>
                <c:pt idx="26">
                  <c:v>CZ</c:v>
                </c:pt>
                <c:pt idx="27">
                  <c:v>HU</c:v>
                </c:pt>
              </c:strCache>
            </c:strRef>
          </c:xVal>
          <c:yVal>
            <c:numRef>
              <c:f>MTBF!$F$3:$F$30</c:f>
              <c:numCache>
                <c:formatCode>0.0000</c:formatCode>
                <c:ptCount val="28"/>
                <c:pt idx="0">
                  <c:v>0.95985768516560299</c:v>
                </c:pt>
                <c:pt idx="1">
                  <c:v>0.94875518730718167</c:v>
                </c:pt>
                <c:pt idx="2">
                  <c:v>0.94999999864720031</c:v>
                </c:pt>
                <c:pt idx="3">
                  <c:v>0.84089869956842977</c:v>
                </c:pt>
                <c:pt idx="4">
                  <c:v>0.81999999883232022</c:v>
                </c:pt>
                <c:pt idx="5">
                  <c:v>0.69285277541809553</c:v>
                </c:pt>
                <c:pt idx="6">
                  <c:v>0.79988140430466925</c:v>
                </c:pt>
                <c:pt idx="7">
                  <c:v>0.78978381762005712</c:v>
                </c:pt>
                <c:pt idx="8">
                  <c:v>0.75356927396325124</c:v>
                </c:pt>
                <c:pt idx="9">
                  <c:v>0.72460139513213573</c:v>
                </c:pt>
                <c:pt idx="10">
                  <c:v>0.71980297302081142</c:v>
                </c:pt>
                <c:pt idx="11">
                  <c:v>0.70999999898896027</c:v>
                </c:pt>
                <c:pt idx="12">
                  <c:v>0.7035536141869293</c:v>
                </c:pt>
                <c:pt idx="13">
                  <c:v>0.55999999920256005</c:v>
                </c:pt>
                <c:pt idx="14">
                  <c:v>0.69073821750263875</c:v>
                </c:pt>
                <c:pt idx="15">
                  <c:v>0.63872271799126179</c:v>
                </c:pt>
                <c:pt idx="16">
                  <c:v>0.63967795202959599</c:v>
                </c:pt>
                <c:pt idx="17">
                  <c:v>0.63547750257836311</c:v>
                </c:pt>
                <c:pt idx="18">
                  <c:v>0.61696702375694612</c:v>
                </c:pt>
                <c:pt idx="19">
                  <c:v>0.58983854733649832</c:v>
                </c:pt>
                <c:pt idx="20">
                  <c:v>0.50254612888196504</c:v>
                </c:pt>
                <c:pt idx="21">
                  <c:v>0.57341526454151992</c:v>
                </c:pt>
                <c:pt idx="22">
                  <c:v>0.55055922818330338</c:v>
                </c:pt>
                <c:pt idx="23">
                  <c:v>0.53438521091772762</c:v>
                </c:pt>
                <c:pt idx="24">
                  <c:v>0.51995047076199241</c:v>
                </c:pt>
                <c:pt idx="25">
                  <c:v>0.4323863101189187</c:v>
                </c:pt>
                <c:pt idx="26">
                  <c:v>0.42978350645776409</c:v>
                </c:pt>
                <c:pt idx="27">
                  <c:v>0.46523774602720896</c:v>
                </c:pt>
              </c:numCache>
            </c:numRef>
          </c:yVal>
          <c:smooth val="0"/>
        </c:ser>
        <c:dLbls>
          <c:showLegendKey val="0"/>
          <c:showVal val="0"/>
          <c:showCatName val="0"/>
          <c:showSerName val="0"/>
          <c:showPercent val="0"/>
          <c:showBubbleSize val="0"/>
        </c:dLbls>
        <c:axId val="136105368"/>
        <c:axId val="136105760"/>
      </c:scatterChart>
      <c:catAx>
        <c:axId val="136105368"/>
        <c:scaling>
          <c:orientation val="minMax"/>
        </c:scaling>
        <c:delete val="0"/>
        <c:axPos val="b"/>
        <c:numFmt formatCode="General" sourceLinked="1"/>
        <c:majorTickMark val="none"/>
        <c:minorTickMark val="none"/>
        <c:tickLblPos val="nextTo"/>
        <c:spPr>
          <a:noFill/>
          <a:ln w="9525" cap="flat" cmpd="sng" algn="ctr">
            <a:solidFill>
              <a:srgbClr val="868686"/>
            </a:solidFill>
            <a:round/>
          </a:ln>
          <a:effectLst/>
        </c:spPr>
        <c:txPr>
          <a:bodyPr rot="-5400000" spcFirstLastPara="1" vertOverflow="ellipsis" wrap="square" anchor="ctr" anchorCtr="1"/>
          <a:lstStyle/>
          <a:p>
            <a:pPr>
              <a:defRPr sz="500" b="0" i="0" u="none" strike="noStrike" kern="1200" baseline="0">
                <a:solidFill>
                  <a:schemeClr val="tx1"/>
                </a:solidFill>
                <a:latin typeface="Arial Narrow" panose="020B0606020202030204" pitchFamily="34" charset="0"/>
                <a:ea typeface="+mn-ea"/>
                <a:cs typeface="+mn-cs"/>
              </a:defRPr>
            </a:pPr>
            <a:endParaRPr lang="en-US"/>
          </a:p>
        </c:txPr>
        <c:crossAx val="136105760"/>
        <c:crosses val="autoZero"/>
        <c:auto val="1"/>
        <c:lblAlgn val="ctr"/>
        <c:lblOffset val="100"/>
        <c:noMultiLvlLbl val="0"/>
      </c:catAx>
      <c:valAx>
        <c:axId val="136105760"/>
        <c:scaling>
          <c:orientation val="minMax"/>
          <c:max val="1"/>
        </c:scaling>
        <c:delete val="0"/>
        <c:axPos val="l"/>
        <c:majorGridlines>
          <c:spPr>
            <a:ln w="9525" cap="flat" cmpd="sng" algn="ctr">
              <a:solidFill>
                <a:schemeClr val="tx1">
                  <a:lumMod val="15000"/>
                  <a:lumOff val="85000"/>
                </a:schemeClr>
              </a:solidFill>
              <a:prstDash val="dash"/>
              <a:round/>
            </a:ln>
            <a:effectLst/>
          </c:spPr>
        </c:majorGridlines>
        <c:numFmt formatCode="0.0" sourceLinked="0"/>
        <c:majorTickMark val="none"/>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crossAx val="136105368"/>
        <c:crosses val="autoZero"/>
        <c:crossBetween val="between"/>
        <c:majorUnit val="0.2"/>
      </c:valAx>
      <c:spPr>
        <a:noFill/>
        <a:ln>
          <a:noFill/>
        </a:ln>
        <a:effectLst/>
      </c:spPr>
    </c:plotArea>
    <c:legend>
      <c:legendPos val="t"/>
      <c:layout>
        <c:manualLayout>
          <c:xMode val="edge"/>
          <c:yMode val="edge"/>
          <c:x val="0.23646925996654866"/>
          <c:y val="7.7365310252249006E-2"/>
          <c:w val="0.72164068442104923"/>
          <c:h val="9.456496559392671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3768358742392E-2"/>
          <c:y val="8.4437714516454654E-2"/>
          <c:w val="0.91819511922711794"/>
          <c:h val="0.74348789734616505"/>
        </c:manualLayout>
      </c:layout>
      <c:lineChart>
        <c:grouping val="standard"/>
        <c:varyColors val="0"/>
        <c:ser>
          <c:idx val="3"/>
          <c:order val="0"/>
          <c:tx>
            <c:strRef>
              <c:f>VAT_gap!$A$37</c:f>
              <c:strCache>
                <c:ptCount val="1"/>
                <c:pt idx="0">
                  <c:v>DPH medzera</c:v>
                </c:pt>
              </c:strCache>
            </c:strRef>
          </c:tx>
          <c:spPr>
            <a:ln w="19050">
              <a:solidFill>
                <a:srgbClr val="2C9ADC"/>
              </a:solidFill>
              <a:prstDash val="solid"/>
            </a:ln>
          </c:spPr>
          <c:marker>
            <c:symbol val="none"/>
          </c:marker>
          <c:dPt>
            <c:idx val="16"/>
            <c:bubble3D val="0"/>
            <c:spPr>
              <a:ln w="19050">
                <a:solidFill>
                  <a:srgbClr val="FF0000"/>
                </a:solidFill>
                <a:prstDash val="solid"/>
              </a:ln>
            </c:spPr>
          </c:dPt>
          <c:dLbls>
            <c:dLbl>
              <c:idx val="3"/>
              <c:layout>
                <c:manualLayout>
                  <c:x val="-7.3085709647118857E-2"/>
                  <c:y val="-6.92974588938714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7994889814030979E-2"/>
                  <c:y val="-6.92974588938714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272243031476736E-2"/>
                  <c:y val="-6.929745889387145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7813250147855321E-2"/>
                  <c:y val="-6.33183856502242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7.799488981403116E-2"/>
                  <c:y val="-7.527653213751868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
                  <c:y val="-8.12556053811659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VAT_gap!$B$36:$R$36</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VAT_gap!$B$37:$R$37</c:f>
              <c:numCache>
                <c:formatCode>0.0</c:formatCode>
                <c:ptCount val="17"/>
                <c:pt idx="0">
                  <c:v>20.775559748625561</c:v>
                </c:pt>
                <c:pt idx="1">
                  <c:v>18.187786430225263</c:v>
                </c:pt>
                <c:pt idx="2">
                  <c:v>20.493409739518064</c:v>
                </c:pt>
                <c:pt idx="3">
                  <c:v>15.755854037187575</c:v>
                </c:pt>
                <c:pt idx="4">
                  <c:v>23.505997745706981</c:v>
                </c:pt>
                <c:pt idx="5">
                  <c:v>21.512613425555564</c:v>
                </c:pt>
                <c:pt idx="6">
                  <c:v>26.620713930615381</c:v>
                </c:pt>
                <c:pt idx="7">
                  <c:v>31.445393334253612</c:v>
                </c:pt>
                <c:pt idx="8">
                  <c:v>31.279497216081154</c:v>
                </c:pt>
                <c:pt idx="9">
                  <c:v>34.884118077650236</c:v>
                </c:pt>
                <c:pt idx="10">
                  <c:v>35.562987066186544</c:v>
                </c:pt>
                <c:pt idx="11">
                  <c:v>38.219907893613644</c:v>
                </c:pt>
                <c:pt idx="12">
                  <c:v>40.957819263797788</c:v>
                </c:pt>
                <c:pt idx="13">
                  <c:v>37.013535189253865</c:v>
                </c:pt>
                <c:pt idx="14">
                  <c:v>33.054773301485028</c:v>
                </c:pt>
                <c:pt idx="15">
                  <c:v>31.439199916655099</c:v>
                </c:pt>
                <c:pt idx="16">
                  <c:v>28.573705974142399</c:v>
                </c:pt>
              </c:numCache>
            </c:numRef>
          </c:val>
          <c:smooth val="0"/>
        </c:ser>
        <c:dLbls>
          <c:showLegendKey val="0"/>
          <c:showVal val="0"/>
          <c:showCatName val="0"/>
          <c:showSerName val="0"/>
          <c:showPercent val="0"/>
          <c:showBubbleSize val="0"/>
        </c:dLbls>
        <c:smooth val="0"/>
        <c:axId val="138764128"/>
        <c:axId val="138764520"/>
      </c:lineChart>
      <c:catAx>
        <c:axId val="138764128"/>
        <c:scaling>
          <c:orientation val="minMax"/>
        </c:scaling>
        <c:delete val="0"/>
        <c:axPos val="b"/>
        <c:numFmt formatCode="General" sourceLinked="0"/>
        <c:majorTickMark val="out"/>
        <c:minorTickMark val="none"/>
        <c:tickLblPos val="low"/>
        <c:txPr>
          <a:bodyPr rot="-5400000" vert="horz"/>
          <a:lstStyle/>
          <a:p>
            <a:pPr>
              <a:defRPr/>
            </a:pPr>
            <a:endParaRPr lang="en-US"/>
          </a:p>
        </c:txPr>
        <c:crossAx val="138764520"/>
        <c:crosses val="autoZero"/>
        <c:auto val="1"/>
        <c:lblAlgn val="ctr"/>
        <c:lblOffset val="100"/>
        <c:noMultiLvlLbl val="0"/>
      </c:catAx>
      <c:valAx>
        <c:axId val="138764520"/>
        <c:scaling>
          <c:orientation val="minMax"/>
          <c:min val="1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138764128"/>
        <c:crosses val="autoZero"/>
        <c:crossBetween val="between"/>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3768358742392E-2"/>
          <c:y val="3.9349284238020962E-2"/>
          <c:w val="0.91819511922711794"/>
          <c:h val="0.82527749248735216"/>
        </c:manualLayout>
      </c:layout>
      <c:lineChart>
        <c:grouping val="standard"/>
        <c:varyColors val="0"/>
        <c:ser>
          <c:idx val="3"/>
          <c:order val="0"/>
          <c:tx>
            <c:strRef>
              <c:f>CIT_EDS!$D$1</c:f>
              <c:strCache>
                <c:ptCount val="1"/>
                <c:pt idx="0">
                  <c:v>EDS</c:v>
                </c:pt>
              </c:strCache>
            </c:strRef>
          </c:tx>
          <c:spPr>
            <a:ln w="19050">
              <a:solidFill>
                <a:srgbClr val="2C9ADC"/>
              </a:solidFill>
              <a:prstDash val="solid"/>
            </a:ln>
          </c:spPr>
          <c:marker>
            <c:symbol val="none"/>
          </c:marker>
          <c:dLbls>
            <c:dLbl>
              <c:idx val="6"/>
              <c:layout>
                <c:manualLayout>
                  <c:x val="-7.9336125650287248E-2"/>
                  <c:y val="-7.46537842190016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4385355642713392E-2"/>
                  <c:y val="-6.82125603864734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9336125650287151E-2"/>
                  <c:y val="-7.46537842190016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5268772102805507E-2"/>
                  <c:y val="-7.46537842190016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CIT_EDS!$A$2:$A$13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CIT_EDS!$D$2:$D$13</c:f>
              <c:numCache>
                <c:formatCode>0.00</c:formatCode>
                <c:ptCount val="12"/>
                <c:pt idx="0">
                  <c:v>18.713599522657866</c:v>
                </c:pt>
                <c:pt idx="1">
                  <c:v>21.490793825832643</c:v>
                </c:pt>
                <c:pt idx="2">
                  <c:v>18.843062587856547</c:v>
                </c:pt>
                <c:pt idx="3">
                  <c:v>18.140236451408249</c:v>
                </c:pt>
                <c:pt idx="4">
                  <c:v>18.883600568541983</c:v>
                </c:pt>
                <c:pt idx="5">
                  <c:v>21.690015655841016</c:v>
                </c:pt>
                <c:pt idx="6">
                  <c:v>18.026393351779486</c:v>
                </c:pt>
                <c:pt idx="7">
                  <c:v>17.54052004162666</c:v>
                </c:pt>
                <c:pt idx="8">
                  <c:v>16.954688835285907</c:v>
                </c:pt>
                <c:pt idx="9">
                  <c:v>21.267097921603295</c:v>
                </c:pt>
                <c:pt idx="10">
                  <c:v>26.00342944100068</c:v>
                </c:pt>
                <c:pt idx="11">
                  <c:v>29.502820498236797</c:v>
                </c:pt>
              </c:numCache>
            </c:numRef>
          </c:val>
          <c:smooth val="0"/>
        </c:ser>
        <c:dLbls>
          <c:showLegendKey val="0"/>
          <c:showVal val="0"/>
          <c:showCatName val="0"/>
          <c:showSerName val="0"/>
          <c:showPercent val="0"/>
          <c:showBubbleSize val="0"/>
        </c:dLbls>
        <c:smooth val="0"/>
        <c:axId val="136104976"/>
        <c:axId val="138765304"/>
      </c:lineChart>
      <c:catAx>
        <c:axId val="136104976"/>
        <c:scaling>
          <c:orientation val="minMax"/>
        </c:scaling>
        <c:delete val="0"/>
        <c:axPos val="b"/>
        <c:numFmt formatCode="General" sourceLinked="0"/>
        <c:majorTickMark val="out"/>
        <c:minorTickMark val="none"/>
        <c:tickLblPos val="low"/>
        <c:txPr>
          <a:bodyPr rot="-5400000" vert="horz"/>
          <a:lstStyle/>
          <a:p>
            <a:pPr>
              <a:defRPr/>
            </a:pPr>
            <a:endParaRPr lang="en-US"/>
          </a:p>
        </c:txPr>
        <c:crossAx val="138765304"/>
        <c:crosses val="autoZero"/>
        <c:auto val="1"/>
        <c:lblAlgn val="ctr"/>
        <c:lblOffset val="100"/>
        <c:noMultiLvlLbl val="0"/>
      </c:catAx>
      <c:valAx>
        <c:axId val="138765304"/>
        <c:scaling>
          <c:orientation val="minMax"/>
          <c:min val="1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136104976"/>
        <c:crosses val="autoZero"/>
        <c:crossBetween val="between"/>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2.452485858040308E-2"/>
          <c:w val="0.91336930105958991"/>
          <c:h val="0.69080803645571465"/>
        </c:manualLayout>
      </c:layout>
      <c:barChart>
        <c:barDir val="col"/>
        <c:grouping val="clustered"/>
        <c:varyColors val="0"/>
        <c:ser>
          <c:idx val="0"/>
          <c:order val="0"/>
          <c:tx>
            <c:strRef>
              <c:f>'42 vzdelávanie'!$C$1</c:f>
              <c:strCache>
                <c:ptCount val="1"/>
                <c:pt idx="0">
                  <c:v>Slovensko</c:v>
                </c:pt>
              </c:strCache>
            </c:strRef>
          </c:tx>
          <c:spPr>
            <a:solidFill>
              <a:srgbClr val="2C9ADC"/>
            </a:solidFill>
          </c:spPr>
          <c:invertIfNegative val="0"/>
          <c:dLbls>
            <c:dLbl>
              <c:idx val="3"/>
              <c:layout>
                <c:manualLayout>
                  <c:x val="-7.0360578574482956E-3"/>
                  <c:y val="2.765589319385618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vzdelávanie'!$C$2:$C$5</c:f>
              <c:numCache>
                <c:formatCode>0.0</c:formatCode>
                <c:ptCount val="4"/>
                <c:pt idx="0">
                  <c:v>6.3643687291370696</c:v>
                </c:pt>
                <c:pt idx="1">
                  <c:v>2.3688088361113002</c:v>
                </c:pt>
                <c:pt idx="2">
                  <c:v>2.6103844364516</c:v>
                </c:pt>
                <c:pt idx="3">
                  <c:v>0.97158131181258001</c:v>
                </c:pt>
              </c:numCache>
            </c:numRef>
          </c:val>
        </c:ser>
        <c:ser>
          <c:idx val="2"/>
          <c:order val="1"/>
          <c:tx>
            <c:strRef>
              <c:f>'42 vzdelávanie'!$D$1</c:f>
              <c:strCache>
                <c:ptCount val="1"/>
                <c:pt idx="0">
                  <c:v>OECD</c:v>
                </c:pt>
              </c:strCache>
            </c:strRef>
          </c:tx>
          <c:spPr>
            <a:solidFill>
              <a:schemeClr val="tx2">
                <a:lumMod val="20000"/>
                <a:lumOff val="80000"/>
              </a:schemeClr>
            </a:solidFill>
          </c:spPr>
          <c:invertIfNegative val="0"/>
          <c:dLbls>
            <c:dLbl>
              <c:idx val="3"/>
              <c:layout>
                <c:manualLayout>
                  <c:x val="0"/>
                  <c:y val="-4.33288799188910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vzdelávanie'!$D$2:$D$5</c:f>
              <c:numCache>
                <c:formatCode>0.0</c:formatCode>
                <c:ptCount val="4"/>
                <c:pt idx="0">
                  <c:v>8.2034606602566438</c:v>
                </c:pt>
                <c:pt idx="1">
                  <c:v>3.1029830878224911</c:v>
                </c:pt>
                <c:pt idx="2">
                  <c:v>3.4389759150460599</c:v>
                </c:pt>
                <c:pt idx="3">
                  <c:v>1.3322073149814693</c:v>
                </c:pt>
              </c:numCache>
            </c:numRef>
          </c:val>
        </c:ser>
        <c:dLbls>
          <c:dLblPos val="inEnd"/>
          <c:showLegendKey val="0"/>
          <c:showVal val="1"/>
          <c:showCatName val="0"/>
          <c:showSerName val="0"/>
          <c:showPercent val="0"/>
          <c:showBubbleSize val="0"/>
        </c:dLbls>
        <c:gapWidth val="150"/>
        <c:axId val="138766088"/>
        <c:axId val="138766480"/>
      </c:barChart>
      <c:catAx>
        <c:axId val="138766088"/>
        <c:scaling>
          <c:orientation val="minMax"/>
        </c:scaling>
        <c:delete val="0"/>
        <c:axPos val="b"/>
        <c:numFmt formatCode="General" sourceLinked="1"/>
        <c:majorTickMark val="out"/>
        <c:minorTickMark val="none"/>
        <c:tickLblPos val="nextTo"/>
        <c:txPr>
          <a:bodyPr/>
          <a:lstStyle/>
          <a:p>
            <a:pPr>
              <a:defRPr sz="900"/>
            </a:pPr>
            <a:endParaRPr lang="en-US"/>
          </a:p>
        </c:txPr>
        <c:crossAx val="138766480"/>
        <c:crosses val="autoZero"/>
        <c:auto val="1"/>
        <c:lblAlgn val="ctr"/>
        <c:lblOffset val="100"/>
        <c:noMultiLvlLbl val="0"/>
      </c:catAx>
      <c:valAx>
        <c:axId val="138766480"/>
        <c:scaling>
          <c:orientation val="minMax"/>
        </c:scaling>
        <c:delete val="0"/>
        <c:axPos val="l"/>
        <c:majorGridlines>
          <c:spPr>
            <a:ln>
              <a:solidFill>
                <a:sysClr val="window" lastClr="FFFFFF">
                  <a:lumMod val="65000"/>
                </a:sysClr>
              </a:solidFill>
              <a:prstDash val="sysDash"/>
            </a:ln>
          </c:spPr>
        </c:majorGridlines>
        <c:numFmt formatCode="0.0" sourceLinked="0"/>
        <c:majorTickMark val="out"/>
        <c:minorTickMark val="none"/>
        <c:tickLblPos val="nextTo"/>
        <c:spPr>
          <a:noFill/>
          <a:ln>
            <a:solidFill>
              <a:sysClr val="windowText" lastClr="000000">
                <a:lumMod val="50000"/>
                <a:lumOff val="50000"/>
              </a:sysClr>
            </a:solidFill>
            <a:prstDash val="solid"/>
          </a:ln>
        </c:spPr>
        <c:txPr>
          <a:bodyPr/>
          <a:lstStyle/>
          <a:p>
            <a:pPr>
              <a:defRPr sz="800"/>
            </a:pPr>
            <a:endParaRPr lang="en-US"/>
          </a:p>
        </c:txPr>
        <c:crossAx val="138766088"/>
        <c:crosses val="autoZero"/>
        <c:crossBetween val="between"/>
      </c:valAx>
    </c:plotArea>
    <c:legend>
      <c:legendPos val="r"/>
      <c:layout>
        <c:manualLayout>
          <c:xMode val="edge"/>
          <c:yMode val="edge"/>
          <c:x val="0.47664697668212169"/>
          <c:y val="2.4298219136734078E-2"/>
          <c:w val="0.47664357927481316"/>
          <c:h val="8.8228601774972673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0.09866</cdr:x>
      <cdr:y>0.55383</cdr:y>
    </cdr:from>
    <cdr:to>
      <cdr:x>0.35567</cdr:x>
      <cdr:y>0.62916</cdr:y>
    </cdr:to>
    <cdr:sp macro="" textlink="">
      <cdr:nvSpPr>
        <cdr:cNvPr id="2" name="BlokTextu 1"/>
        <cdr:cNvSpPr txBox="1"/>
      </cdr:nvSpPr>
      <cdr:spPr>
        <a:xfrm xmlns:a="http://schemas.openxmlformats.org/drawingml/2006/main">
          <a:off x="256540" y="1345178"/>
          <a:ext cx="668310" cy="18296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Platy</a:t>
          </a:r>
          <a:r>
            <a:rPr lang="sk-SK" sz="800" baseline="0">
              <a:latin typeface="Arial Narrow" panose="020B0606020202030204" pitchFamily="34" charset="0"/>
            </a:rPr>
            <a:t> učiteľov ZŠ</a:t>
          </a:r>
          <a:endParaRPr lang="sk-SK" sz="800">
            <a:latin typeface="Arial Narrow" panose="020B0606020202030204" pitchFamily="34" charset="0"/>
          </a:endParaRPr>
        </a:p>
      </cdr:txBody>
    </cdr:sp>
  </cdr:relSizeAnchor>
  <cdr:relSizeAnchor xmlns:cdr="http://schemas.openxmlformats.org/drawingml/2006/chartDrawing">
    <cdr:from>
      <cdr:x>0.16468</cdr:x>
      <cdr:y>0.70538</cdr:y>
    </cdr:from>
    <cdr:to>
      <cdr:x>0.58954</cdr:x>
      <cdr:y>0.81765</cdr:y>
    </cdr:to>
    <cdr:sp macro="" textlink="">
      <cdr:nvSpPr>
        <cdr:cNvPr id="3" name="BlokTextu 1"/>
        <cdr:cNvSpPr txBox="1"/>
      </cdr:nvSpPr>
      <cdr:spPr>
        <a:xfrm xmlns:a="http://schemas.openxmlformats.org/drawingml/2006/main">
          <a:off x="505097" y="1751794"/>
          <a:ext cx="1303057" cy="27882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Nezamestnanosť ľudí so zákl. vzdelaním</a:t>
          </a:r>
        </a:p>
      </cdr:txBody>
    </cdr:sp>
  </cdr:relSizeAnchor>
  <cdr:relSizeAnchor xmlns:cdr="http://schemas.openxmlformats.org/drawingml/2006/chartDrawing">
    <cdr:from>
      <cdr:x>0.29693</cdr:x>
      <cdr:y>0.55776</cdr:y>
    </cdr:from>
    <cdr:to>
      <cdr:x>0.62918</cdr:x>
      <cdr:y>0.67866</cdr:y>
    </cdr:to>
    <cdr:sp macro="" textlink="">
      <cdr:nvSpPr>
        <cdr:cNvPr id="4" name="BlokTextu 1"/>
        <cdr:cNvSpPr txBox="1"/>
      </cdr:nvSpPr>
      <cdr:spPr>
        <a:xfrm xmlns:a="http://schemas.openxmlformats.org/drawingml/2006/main">
          <a:off x="772112" y="1354735"/>
          <a:ext cx="863958" cy="29365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Predchádzateľné úmrtia</a:t>
          </a:r>
        </a:p>
      </cdr:txBody>
    </cdr:sp>
  </cdr:relSizeAnchor>
</c:userShapes>
</file>

<file path=word/drawings/drawing2.xml><?xml version="1.0" encoding="utf-8"?>
<c:userShapes xmlns:c="http://schemas.openxmlformats.org/drawingml/2006/chart">
  <cdr:relSizeAnchor xmlns:cdr="http://schemas.openxmlformats.org/drawingml/2006/chartDrawing">
    <cdr:from>
      <cdr:x>0.41893</cdr:x>
      <cdr:y>0.59429</cdr:y>
    </cdr:from>
    <cdr:to>
      <cdr:x>0.63365</cdr:x>
      <cdr:y>0.78413</cdr:y>
    </cdr:to>
    <cdr:sp macro="" textlink="">
      <cdr:nvSpPr>
        <cdr:cNvPr id="2" name="BlokTextu 1"/>
        <cdr:cNvSpPr txBox="1"/>
      </cdr:nvSpPr>
      <cdr:spPr>
        <a:xfrm xmlns:a="http://schemas.openxmlformats.org/drawingml/2006/main">
          <a:off x="1780676" y="2066132"/>
          <a:ext cx="912674" cy="6600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b="1" baseline="0">
              <a:solidFill>
                <a:srgbClr val="2C9ADC"/>
              </a:solidFill>
              <a:latin typeface="Arial Narrow" panose="020B0606020202030204" pitchFamily="34" charset="0"/>
            </a:rPr>
            <a:t>Jan 2006</a:t>
          </a:r>
        </a:p>
      </cdr:txBody>
    </cdr:sp>
  </cdr:relSizeAnchor>
  <cdr:relSizeAnchor xmlns:cdr="http://schemas.openxmlformats.org/drawingml/2006/chartDrawing">
    <cdr:from>
      <cdr:x>0.82121</cdr:x>
      <cdr:y>0.5914</cdr:y>
    </cdr:from>
    <cdr:to>
      <cdr:x>0.98087</cdr:x>
      <cdr:y>0.70968</cdr:y>
    </cdr:to>
    <cdr:sp macro="" textlink="">
      <cdr:nvSpPr>
        <cdr:cNvPr id="4" name="BlokTextu 3"/>
        <cdr:cNvSpPr txBox="1"/>
      </cdr:nvSpPr>
      <cdr:spPr>
        <a:xfrm xmlns:a="http://schemas.openxmlformats.org/drawingml/2006/main">
          <a:off x="4702969" y="1964532"/>
          <a:ext cx="914400" cy="392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sz="1100"/>
        </a:p>
      </cdr:txBody>
    </cdr:sp>
  </cdr:relSizeAnchor>
  <cdr:relSizeAnchor xmlns:cdr="http://schemas.openxmlformats.org/drawingml/2006/chartDrawing">
    <cdr:from>
      <cdr:x>0.29063</cdr:x>
      <cdr:y>0.31357</cdr:y>
    </cdr:from>
    <cdr:to>
      <cdr:x>0.42654</cdr:x>
      <cdr:y>0.42827</cdr:y>
    </cdr:to>
    <cdr:sp macro="" textlink="">
      <cdr:nvSpPr>
        <cdr:cNvPr id="5" name="BlokTextu 4"/>
        <cdr:cNvSpPr txBox="1"/>
      </cdr:nvSpPr>
      <cdr:spPr>
        <a:xfrm xmlns:a="http://schemas.openxmlformats.org/drawingml/2006/main">
          <a:off x="772334" y="695903"/>
          <a:ext cx="361177" cy="2545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800" b="1">
              <a:latin typeface="Arial Narrow" panose="020B0606020202030204" pitchFamily="34" charset="0"/>
            </a:rPr>
            <a:t>Dec 2006</a:t>
          </a:r>
        </a:p>
      </cdr:txBody>
    </cdr:sp>
  </cdr:relSizeAnchor>
  <cdr:relSizeAnchor xmlns:cdr="http://schemas.openxmlformats.org/drawingml/2006/chartDrawing">
    <cdr:from>
      <cdr:x>0.11339</cdr:x>
      <cdr:y>0.3133</cdr:y>
    </cdr:from>
    <cdr:to>
      <cdr:x>0.319</cdr:x>
      <cdr:y>0.41254</cdr:y>
    </cdr:to>
    <cdr:sp macro="" textlink="">
      <cdr:nvSpPr>
        <cdr:cNvPr id="8" name="BlokTextu 1"/>
        <cdr:cNvSpPr txBox="1"/>
      </cdr:nvSpPr>
      <cdr:spPr>
        <a:xfrm xmlns:a="http://schemas.openxmlformats.org/drawingml/2006/main">
          <a:off x="301331" y="695325"/>
          <a:ext cx="546394" cy="2202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baseline="0">
              <a:solidFill>
                <a:schemeClr val="tx1"/>
              </a:solidFill>
              <a:latin typeface="Arial Narrow" panose="020B0606020202030204" pitchFamily="34" charset="0"/>
            </a:rPr>
            <a:t>Dec 2007</a:t>
          </a:r>
          <a:endParaRPr lang="sk-SK" sz="800" b="1">
            <a:solidFill>
              <a:schemeClr val="tx1"/>
            </a:solidFill>
            <a:latin typeface="Arial Narrow" panose="020B0606020202030204" pitchFamily="34" charset="0"/>
          </a:endParaRPr>
        </a:p>
      </cdr:txBody>
    </cdr:sp>
  </cdr:relSizeAnchor>
  <cdr:relSizeAnchor xmlns:cdr="http://schemas.openxmlformats.org/drawingml/2006/chartDrawing">
    <cdr:from>
      <cdr:x>0.28574</cdr:x>
      <cdr:y>0.12951</cdr:y>
    </cdr:from>
    <cdr:to>
      <cdr:x>0.51254</cdr:x>
      <cdr:y>0.19469</cdr:y>
    </cdr:to>
    <cdr:sp macro="" textlink="">
      <cdr:nvSpPr>
        <cdr:cNvPr id="12" name="BlokTextu 1"/>
        <cdr:cNvSpPr txBox="1"/>
      </cdr:nvSpPr>
      <cdr:spPr>
        <a:xfrm xmlns:a="http://schemas.openxmlformats.org/drawingml/2006/main">
          <a:off x="759359" y="278781"/>
          <a:ext cx="602715" cy="1403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baseline="0">
              <a:solidFill>
                <a:schemeClr val="tx1"/>
              </a:solidFill>
              <a:latin typeface="Arial Narrow" panose="020B0606020202030204" pitchFamily="34" charset="0"/>
            </a:rPr>
            <a:t>Dec 2016</a:t>
          </a:r>
          <a:endParaRPr lang="sk-SK" sz="800" b="1">
            <a:solidFill>
              <a:schemeClr val="tx1"/>
            </a:solidFill>
            <a:latin typeface="Arial Narrow" panose="020B0606020202030204" pitchFamily="34" charset="0"/>
          </a:endParaRPr>
        </a:p>
      </cdr:txBody>
    </cdr:sp>
  </cdr:relSizeAnchor>
  <cdr:relSizeAnchor xmlns:cdr="http://schemas.openxmlformats.org/drawingml/2006/chartDrawing">
    <cdr:from>
      <cdr:x>0.65101</cdr:x>
      <cdr:y>0.60016</cdr:y>
    </cdr:from>
    <cdr:to>
      <cdr:x>0.78692</cdr:x>
      <cdr:y>0.71485</cdr:y>
    </cdr:to>
    <cdr:sp macro="" textlink="">
      <cdr:nvSpPr>
        <cdr:cNvPr id="10" name="BlokTextu 1"/>
        <cdr:cNvSpPr txBox="1"/>
      </cdr:nvSpPr>
      <cdr:spPr>
        <a:xfrm xmlns:a="http://schemas.openxmlformats.org/drawingml/2006/main">
          <a:off x="1730053" y="1331950"/>
          <a:ext cx="361177" cy="2545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latin typeface="Arial Narrow" panose="020B0606020202030204" pitchFamily="34" charset="0"/>
            </a:rPr>
            <a:t>Dec 2014</a:t>
          </a:r>
        </a:p>
      </cdr:txBody>
    </cdr:sp>
  </cdr:relSizeAnchor>
  <cdr:relSizeAnchor xmlns:cdr="http://schemas.openxmlformats.org/drawingml/2006/chartDrawing">
    <cdr:from>
      <cdr:x>0.46013</cdr:x>
      <cdr:y>0.23721</cdr:y>
    </cdr:from>
    <cdr:to>
      <cdr:x>0.59604</cdr:x>
      <cdr:y>0.35191</cdr:y>
    </cdr:to>
    <cdr:sp macro="" textlink="">
      <cdr:nvSpPr>
        <cdr:cNvPr id="9" name="BlokTextu 1"/>
        <cdr:cNvSpPr txBox="1"/>
      </cdr:nvSpPr>
      <cdr:spPr>
        <a:xfrm xmlns:a="http://schemas.openxmlformats.org/drawingml/2006/main">
          <a:off x="1955800" y="824706"/>
          <a:ext cx="577690" cy="39876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latin typeface="Arial Narrow" panose="020B0606020202030204" pitchFamily="34" charset="0"/>
            </a:rPr>
            <a:t>Dec 2015</a:t>
          </a:r>
        </a:p>
      </cdr:txBody>
    </cdr:sp>
  </cdr:relSizeAnchor>
  <cdr:relSizeAnchor xmlns:cdr="http://schemas.openxmlformats.org/drawingml/2006/chartDrawing">
    <cdr:from>
      <cdr:x>0.11753</cdr:x>
      <cdr:y>0.64604</cdr:y>
    </cdr:from>
    <cdr:to>
      <cdr:x>0.34409</cdr:x>
      <cdr:y>0.75966</cdr:y>
    </cdr:to>
    <cdr:sp macro="" textlink="">
      <cdr:nvSpPr>
        <cdr:cNvPr id="11" name="BlokTextu 1"/>
        <cdr:cNvSpPr txBox="1"/>
      </cdr:nvSpPr>
      <cdr:spPr>
        <a:xfrm xmlns:a="http://schemas.openxmlformats.org/drawingml/2006/main">
          <a:off x="312332" y="1433781"/>
          <a:ext cx="602067" cy="2521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baseline="0">
              <a:solidFill>
                <a:schemeClr val="tx1"/>
              </a:solidFill>
              <a:latin typeface="Arial Narrow" panose="020B0606020202030204" pitchFamily="34" charset="0"/>
            </a:rPr>
            <a:t>Dec 2008</a:t>
          </a:r>
          <a:endParaRPr lang="sk-SK" sz="800" b="1">
            <a:solidFill>
              <a:schemeClr val="tx1"/>
            </a:solidFill>
            <a:latin typeface="Arial Narrow" panose="020B0606020202030204" pitchFamily="34" charset="0"/>
          </a:endParaRPr>
        </a:p>
      </cdr:txBody>
    </cdr:sp>
  </cdr:relSizeAnchor>
  <cdr:relSizeAnchor xmlns:cdr="http://schemas.openxmlformats.org/drawingml/2006/chartDrawing">
    <cdr:from>
      <cdr:x>0.58407</cdr:x>
      <cdr:y>0.76539</cdr:y>
    </cdr:from>
    <cdr:to>
      <cdr:x>0.71998</cdr:x>
      <cdr:y>0.88008</cdr:y>
    </cdr:to>
    <cdr:sp macro="" textlink="">
      <cdr:nvSpPr>
        <cdr:cNvPr id="13" name="BlokTextu 1"/>
        <cdr:cNvSpPr txBox="1"/>
      </cdr:nvSpPr>
      <cdr:spPr>
        <a:xfrm xmlns:a="http://schemas.openxmlformats.org/drawingml/2006/main">
          <a:off x="1552146" y="1698643"/>
          <a:ext cx="361178" cy="2545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latin typeface="Arial Narrow" panose="020B0606020202030204" pitchFamily="34" charset="0"/>
            </a:rPr>
            <a:t>Dec 2009</a:t>
          </a:r>
        </a:p>
      </cdr:txBody>
    </cdr:sp>
  </cdr:relSizeAnchor>
  <cdr:relSizeAnchor xmlns:cdr="http://schemas.openxmlformats.org/drawingml/2006/chartDrawing">
    <cdr:from>
      <cdr:x>0.13368</cdr:x>
      <cdr:y>0.07522</cdr:y>
    </cdr:from>
    <cdr:to>
      <cdr:x>0.35125</cdr:x>
      <cdr:y>0.1724</cdr:y>
    </cdr:to>
    <cdr:sp macro="" textlink="">
      <cdr:nvSpPr>
        <cdr:cNvPr id="14" name="BlokTextu 1"/>
        <cdr:cNvSpPr txBox="1"/>
      </cdr:nvSpPr>
      <cdr:spPr>
        <a:xfrm xmlns:a="http://schemas.openxmlformats.org/drawingml/2006/main">
          <a:off x="355250" y="161925"/>
          <a:ext cx="578200" cy="2091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b="1" baseline="0">
              <a:solidFill>
                <a:schemeClr val="tx1"/>
              </a:solidFill>
              <a:latin typeface="Arial Narrow" panose="020B0606020202030204" pitchFamily="34" charset="0"/>
            </a:rPr>
            <a:t>Feb</a:t>
          </a:r>
          <a:r>
            <a:rPr lang="sk-SK" sz="800" b="1" baseline="0">
              <a:solidFill>
                <a:schemeClr val="tx1"/>
              </a:solidFill>
              <a:latin typeface="Arial Narrow" panose="020B0606020202030204" pitchFamily="34" charset="0"/>
            </a:rPr>
            <a:t> 2017</a:t>
          </a:r>
          <a:endParaRPr lang="sk-SK" sz="800" b="1">
            <a:solidFill>
              <a:schemeClr val="tx1"/>
            </a:solidFill>
            <a:latin typeface="Arial Narrow" panose="020B060602020203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0.12692</cdr:x>
      <cdr:y>0.04979</cdr:y>
    </cdr:from>
    <cdr:to>
      <cdr:x>0.30487</cdr:x>
      <cdr:y>0.14547</cdr:y>
    </cdr:to>
    <cdr:sp macro="" textlink="">
      <cdr:nvSpPr>
        <cdr:cNvPr id="2" name="BlokTextu 1"/>
        <cdr:cNvSpPr txBox="1"/>
      </cdr:nvSpPr>
      <cdr:spPr>
        <a:xfrm xmlns:a="http://schemas.openxmlformats.org/drawingml/2006/main">
          <a:off x="320355" y="113825"/>
          <a:ext cx="449168" cy="2187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solidFill>
                <a:srgbClr val="2C9ADC"/>
              </a:solidFill>
              <a:latin typeface="Arial Narrow" panose="020B0606020202030204" pitchFamily="34" charset="0"/>
            </a:rPr>
            <a:t>BA</a:t>
          </a:r>
          <a:r>
            <a:rPr lang="sk-SK" sz="800" b="1" baseline="0">
              <a:solidFill>
                <a:srgbClr val="2C9ADC"/>
              </a:solidFill>
              <a:latin typeface="Arial Narrow" panose="020B0606020202030204" pitchFamily="34" charset="0"/>
            </a:rPr>
            <a:t> I</a:t>
          </a:r>
          <a:endParaRPr lang="sk-SK" sz="800" b="1">
            <a:solidFill>
              <a:srgbClr val="2C9ADC"/>
            </a:solidFill>
            <a:latin typeface="Arial Narrow" panose="020B0606020202030204" pitchFamily="34" charset="0"/>
          </a:endParaRPr>
        </a:p>
      </cdr:txBody>
    </cdr:sp>
  </cdr:relSizeAnchor>
  <cdr:relSizeAnchor xmlns:cdr="http://schemas.openxmlformats.org/drawingml/2006/chartDrawing">
    <cdr:from>
      <cdr:x>0.13444</cdr:x>
      <cdr:y>0.28564</cdr:y>
    </cdr:from>
    <cdr:to>
      <cdr:x>0.28917</cdr:x>
      <cdr:y>0.3519</cdr:y>
    </cdr:to>
    <cdr:sp macro="" textlink="">
      <cdr:nvSpPr>
        <cdr:cNvPr id="3" name="BlokTextu 1"/>
        <cdr:cNvSpPr txBox="1"/>
      </cdr:nvSpPr>
      <cdr:spPr>
        <a:xfrm xmlns:a="http://schemas.openxmlformats.org/drawingml/2006/main">
          <a:off x="339350" y="652971"/>
          <a:ext cx="390558" cy="1514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solidFill>
                <a:srgbClr val="2C9ADC"/>
              </a:solidFill>
              <a:latin typeface="Arial Narrow" panose="020B0606020202030204" pitchFamily="34" charset="0"/>
            </a:rPr>
            <a:t>TT</a:t>
          </a:r>
        </a:p>
      </cdr:txBody>
    </cdr:sp>
  </cdr:relSizeAnchor>
  <cdr:relSizeAnchor xmlns:cdr="http://schemas.openxmlformats.org/drawingml/2006/chartDrawing">
    <cdr:from>
      <cdr:x>0.22559</cdr:x>
      <cdr:y>0.2693</cdr:y>
    </cdr:from>
    <cdr:to>
      <cdr:x>0.41132</cdr:x>
      <cdr:y>0.35833</cdr:y>
    </cdr:to>
    <cdr:sp macro="" textlink="">
      <cdr:nvSpPr>
        <cdr:cNvPr id="4" name="BlokTextu 1"/>
        <cdr:cNvSpPr txBox="1"/>
      </cdr:nvSpPr>
      <cdr:spPr>
        <a:xfrm xmlns:a="http://schemas.openxmlformats.org/drawingml/2006/main">
          <a:off x="569429" y="615612"/>
          <a:ext cx="468796" cy="2035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solidFill>
                <a:srgbClr val="2C9ADC"/>
              </a:solidFill>
              <a:latin typeface="Arial Narrow" panose="020B0606020202030204" pitchFamily="34" charset="0"/>
            </a:rPr>
            <a:t>BA IV</a:t>
          </a:r>
        </a:p>
      </cdr:txBody>
    </cdr:sp>
  </cdr:relSizeAnchor>
  <cdr:relSizeAnchor xmlns:cdr="http://schemas.openxmlformats.org/drawingml/2006/chartDrawing">
    <cdr:from>
      <cdr:x>0.1287</cdr:x>
      <cdr:y>0.19951</cdr:y>
    </cdr:from>
    <cdr:to>
      <cdr:x>0.31447</cdr:x>
      <cdr:y>0.29357</cdr:y>
    </cdr:to>
    <cdr:sp macro="" textlink="">
      <cdr:nvSpPr>
        <cdr:cNvPr id="5" name="BlokTextu 1"/>
        <cdr:cNvSpPr txBox="1"/>
      </cdr:nvSpPr>
      <cdr:spPr>
        <a:xfrm xmlns:a="http://schemas.openxmlformats.org/drawingml/2006/main">
          <a:off x="324857" y="456078"/>
          <a:ext cx="468907" cy="2150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solidFill>
                <a:srgbClr val="2C9ADC"/>
              </a:solidFill>
              <a:latin typeface="Arial Narrow" panose="020B0606020202030204" pitchFamily="34" charset="0"/>
            </a:rPr>
            <a:t>BA III</a:t>
          </a:r>
        </a:p>
      </cdr:txBody>
    </cdr:sp>
  </cdr:relSizeAnchor>
  <cdr:relSizeAnchor xmlns:cdr="http://schemas.openxmlformats.org/drawingml/2006/chartDrawing">
    <cdr:from>
      <cdr:x>0.20664</cdr:x>
      <cdr:y>0.36319</cdr:y>
    </cdr:from>
    <cdr:to>
      <cdr:x>0.37172</cdr:x>
      <cdr:y>0.4363</cdr:y>
    </cdr:to>
    <cdr:sp macro="" textlink="">
      <cdr:nvSpPr>
        <cdr:cNvPr id="6" name="BlokTextu 1"/>
        <cdr:cNvSpPr txBox="1"/>
      </cdr:nvSpPr>
      <cdr:spPr>
        <a:xfrm xmlns:a="http://schemas.openxmlformats.org/drawingml/2006/main">
          <a:off x="521574" y="830262"/>
          <a:ext cx="416682" cy="1671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b="1">
              <a:solidFill>
                <a:srgbClr val="2C9ADC"/>
              </a:solidFill>
              <a:latin typeface="Arial Narrow" panose="020B0606020202030204" pitchFamily="34" charset="0"/>
            </a:rPr>
            <a:t>BB</a:t>
          </a:r>
        </a:p>
      </cdr:txBody>
    </cdr:sp>
  </cdr:relSizeAnchor>
</c:userShapes>
</file>

<file path=word/drawings/drawing4.xml><?xml version="1.0" encoding="utf-8"?>
<c:userShapes xmlns:c="http://schemas.openxmlformats.org/drawingml/2006/chart">
  <cdr:relSizeAnchor xmlns:cdr="http://schemas.openxmlformats.org/drawingml/2006/chartDrawing">
    <cdr:from>
      <cdr:x>0.19431</cdr:x>
      <cdr:y>0.03772</cdr:y>
    </cdr:from>
    <cdr:to>
      <cdr:x>0.31877</cdr:x>
      <cdr:y>0.13047</cdr:y>
    </cdr:to>
    <cdr:sp macro="" textlink="">
      <cdr:nvSpPr>
        <cdr:cNvPr id="10" name="BlokTextu 1"/>
        <cdr:cNvSpPr txBox="1"/>
      </cdr:nvSpPr>
      <cdr:spPr>
        <a:xfrm xmlns:a="http://schemas.openxmlformats.org/drawingml/2006/main">
          <a:off x="510820" y="82640"/>
          <a:ext cx="327193" cy="2031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rgbClr val="379ADC"/>
              </a:solidFill>
              <a:latin typeface="Arial Narrow" panose="020B0606020202030204" pitchFamily="34" charset="0"/>
            </a:rPr>
            <a:t>SK</a:t>
          </a:r>
        </a:p>
      </cdr:txBody>
    </cdr:sp>
  </cdr:relSizeAnchor>
  <cdr:relSizeAnchor xmlns:cdr="http://schemas.openxmlformats.org/drawingml/2006/chartDrawing">
    <cdr:from>
      <cdr:x>0.18778</cdr:x>
      <cdr:y>0.34003</cdr:y>
    </cdr:from>
    <cdr:to>
      <cdr:x>0.32699</cdr:x>
      <cdr:y>0.42223</cdr:y>
    </cdr:to>
    <cdr:sp macro="" textlink="">
      <cdr:nvSpPr>
        <cdr:cNvPr id="11" name="BlokTextu 1"/>
        <cdr:cNvSpPr txBox="1"/>
      </cdr:nvSpPr>
      <cdr:spPr>
        <a:xfrm xmlns:a="http://schemas.openxmlformats.org/drawingml/2006/main">
          <a:off x="493656" y="774073"/>
          <a:ext cx="365969" cy="1871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CZ</a:t>
          </a:r>
        </a:p>
      </cdr:txBody>
    </cdr:sp>
  </cdr:relSizeAnchor>
  <cdr:relSizeAnchor xmlns:cdr="http://schemas.openxmlformats.org/drawingml/2006/chartDrawing">
    <cdr:from>
      <cdr:x>0.37934</cdr:x>
      <cdr:y>0.44952</cdr:y>
    </cdr:from>
    <cdr:to>
      <cdr:x>0.51786</cdr:x>
      <cdr:y>0.52559</cdr:y>
    </cdr:to>
    <cdr:sp macro="" textlink="">
      <cdr:nvSpPr>
        <cdr:cNvPr id="12" name="BlokTextu 1"/>
        <cdr:cNvSpPr txBox="1"/>
      </cdr:nvSpPr>
      <cdr:spPr>
        <a:xfrm xmlns:a="http://schemas.openxmlformats.org/drawingml/2006/main">
          <a:off x="997256" y="1023315"/>
          <a:ext cx="364156" cy="173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HU</a:t>
          </a:r>
        </a:p>
      </cdr:txBody>
    </cdr:sp>
  </cdr:relSizeAnchor>
  <cdr:relSizeAnchor xmlns:cdr="http://schemas.openxmlformats.org/drawingml/2006/chartDrawing">
    <cdr:from>
      <cdr:x>0.17737</cdr:x>
      <cdr:y>0.45196</cdr:y>
    </cdr:from>
    <cdr:to>
      <cdr:x>0.29835</cdr:x>
      <cdr:y>0.55533</cdr:y>
    </cdr:to>
    <cdr:sp macro="" textlink="">
      <cdr:nvSpPr>
        <cdr:cNvPr id="13" name="BlokTextu 1"/>
        <cdr:cNvSpPr txBox="1"/>
      </cdr:nvSpPr>
      <cdr:spPr>
        <a:xfrm xmlns:a="http://schemas.openxmlformats.org/drawingml/2006/main">
          <a:off x="466298" y="1028874"/>
          <a:ext cx="318044" cy="2353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900" b="1">
              <a:solidFill>
                <a:sysClr val="windowText" lastClr="000000"/>
              </a:solidFill>
              <a:latin typeface="Arial Narrow" panose="020B0606020202030204" pitchFamily="34" charset="0"/>
            </a:rPr>
            <a:t>PL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3BEC-2B1D-4326-9F45-0AB910D2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19318</Words>
  <Characters>121914</Characters>
  <Application>Microsoft Office Word</Application>
  <DocSecurity>0</DocSecurity>
  <Lines>1015</Lines>
  <Paragraphs>281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MFSR</dc:creator>
  <cp:keywords/>
  <dc:description/>
  <cp:lastModifiedBy>Hidas Slavomir</cp:lastModifiedBy>
  <cp:revision>6</cp:revision>
  <cp:lastPrinted>2017-03-30T18:24:00Z</cp:lastPrinted>
  <dcterms:created xsi:type="dcterms:W3CDTF">2017-03-30T18:20:00Z</dcterms:created>
  <dcterms:modified xsi:type="dcterms:W3CDTF">2017-03-30T18:24:00Z</dcterms:modified>
</cp:coreProperties>
</file>