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5451" w:type="dxa"/>
        <w:tblInd w:w="-601" w:type="dxa"/>
        <w:tblBorders>
          <w:insideH w:val="single" w:sz="6" w:space="0" w:color="auto"/>
          <w:insideV w:val="single" w:sz="6" w:space="0" w:color="auto"/>
        </w:tblBorders>
        <w:tblLayout w:type="fixed"/>
        <w:tblLook w:val="04A0" w:firstRow="1" w:lastRow="0" w:firstColumn="1" w:lastColumn="0" w:noHBand="0" w:noVBand="1"/>
      </w:tblPr>
      <w:tblGrid>
        <w:gridCol w:w="6479"/>
        <w:gridCol w:w="8972"/>
      </w:tblGrid>
      <w:tr w:rsidR="00560842" w:rsidRPr="00692A34" w:rsidTr="003D4CE2">
        <w:trPr>
          <w:trHeight w:val="286"/>
        </w:trPr>
        <w:tc>
          <w:tcPr>
            <w:tcW w:w="15451" w:type="dxa"/>
            <w:gridSpan w:val="2"/>
            <w:tcBorders>
              <w:top w:val="single" w:sz="4" w:space="0" w:color="auto"/>
              <w:bottom w:val="nil"/>
            </w:tcBorders>
          </w:tcPr>
          <w:p w:rsidR="00560842" w:rsidRPr="00692A34" w:rsidRDefault="00560842" w:rsidP="00F92058">
            <w:pPr>
              <w:jc w:val="center"/>
              <w:rPr>
                <w:b/>
                <w:sz w:val="24"/>
                <w:szCs w:val="24"/>
              </w:rPr>
            </w:pPr>
            <w:r w:rsidRPr="00692A34">
              <w:rPr>
                <w:b/>
                <w:sz w:val="24"/>
                <w:szCs w:val="24"/>
              </w:rPr>
              <w:t>VYHODNOTENIE MEDZIREZORTNÉHO PRIPOMIENKOVÉHO KONANIA</w:t>
            </w:r>
          </w:p>
        </w:tc>
      </w:tr>
      <w:tr w:rsidR="00560842" w:rsidRPr="00692A34" w:rsidTr="003D4CE2">
        <w:trPr>
          <w:trHeight w:val="258"/>
        </w:trPr>
        <w:tc>
          <w:tcPr>
            <w:tcW w:w="15451" w:type="dxa"/>
            <w:gridSpan w:val="2"/>
            <w:tcBorders>
              <w:top w:val="nil"/>
              <w:bottom w:val="nil"/>
            </w:tcBorders>
          </w:tcPr>
          <w:p w:rsidR="00560842" w:rsidRPr="00692A34" w:rsidRDefault="00B4360B" w:rsidP="00630C0D">
            <w:pPr>
              <w:jc w:val="center"/>
              <w:rPr>
                <w:sz w:val="24"/>
                <w:szCs w:val="24"/>
              </w:rPr>
            </w:pPr>
            <w:r w:rsidRPr="00692A34">
              <w:rPr>
                <w:sz w:val="24"/>
                <w:szCs w:val="24"/>
              </w:rPr>
              <w:t>Nariade</w:t>
            </w:r>
            <w:r w:rsidR="008B619E" w:rsidRPr="00692A34">
              <w:rPr>
                <w:sz w:val="24"/>
                <w:szCs w:val="24"/>
              </w:rPr>
              <w:t xml:space="preserve">nie vlády Slovenskej republiky, </w:t>
            </w:r>
            <w:r w:rsidRPr="00692A34">
              <w:rPr>
                <w:sz w:val="24"/>
                <w:szCs w:val="24"/>
              </w:rPr>
              <w:t xml:space="preserve"> </w:t>
            </w:r>
            <w:r w:rsidR="00630C0D" w:rsidRPr="00692A34">
              <w:rPr>
                <w:sz w:val="24"/>
                <w:szCs w:val="24"/>
              </w:rPr>
              <w:t>ktorým sa ustanovujú štátnozamestnanecké miesta, na ktorých môže štátnu službu vykonávať len štátny občan Slovenskej republiky</w:t>
            </w:r>
          </w:p>
        </w:tc>
      </w:tr>
      <w:tr w:rsidR="00560842" w:rsidRPr="00692A34" w:rsidTr="00F92058">
        <w:trPr>
          <w:trHeight w:val="292"/>
        </w:trPr>
        <w:tc>
          <w:tcPr>
            <w:tcW w:w="6479" w:type="dxa"/>
            <w:tcBorders>
              <w:top w:val="nil"/>
              <w:bottom w:val="nil"/>
              <w:right w:val="nil"/>
            </w:tcBorders>
          </w:tcPr>
          <w:p w:rsidR="00560842" w:rsidRPr="00692A34" w:rsidRDefault="00560842" w:rsidP="00F92058">
            <w:pPr>
              <w:rPr>
                <w:b/>
                <w:sz w:val="24"/>
                <w:szCs w:val="24"/>
              </w:rPr>
            </w:pPr>
            <w:r w:rsidRPr="00692A34">
              <w:rPr>
                <w:b/>
                <w:sz w:val="24"/>
                <w:szCs w:val="24"/>
              </w:rPr>
              <w:t>Spôsob pripomienkového konania</w:t>
            </w:r>
          </w:p>
        </w:tc>
        <w:tc>
          <w:tcPr>
            <w:tcW w:w="8972" w:type="dxa"/>
            <w:tcBorders>
              <w:top w:val="nil"/>
              <w:left w:val="nil"/>
              <w:bottom w:val="nil"/>
            </w:tcBorders>
          </w:tcPr>
          <w:p w:rsidR="00560842" w:rsidRPr="00692A34" w:rsidRDefault="00560842" w:rsidP="00F92058">
            <w:pPr>
              <w:rPr>
                <w:b/>
                <w:sz w:val="24"/>
                <w:szCs w:val="24"/>
              </w:rPr>
            </w:pPr>
          </w:p>
        </w:tc>
      </w:tr>
      <w:tr w:rsidR="00560842" w:rsidRPr="00692A34" w:rsidTr="00F92058">
        <w:trPr>
          <w:trHeight w:val="280"/>
        </w:trPr>
        <w:tc>
          <w:tcPr>
            <w:tcW w:w="6479" w:type="dxa"/>
            <w:tcBorders>
              <w:top w:val="nil"/>
              <w:bottom w:val="nil"/>
              <w:right w:val="nil"/>
            </w:tcBorders>
          </w:tcPr>
          <w:p w:rsidR="00560842" w:rsidRPr="00692A34" w:rsidRDefault="00560842" w:rsidP="00F92058">
            <w:pPr>
              <w:rPr>
                <w:b/>
                <w:sz w:val="24"/>
                <w:szCs w:val="24"/>
              </w:rPr>
            </w:pPr>
            <w:r w:rsidRPr="00692A34">
              <w:rPr>
                <w:b/>
                <w:sz w:val="24"/>
                <w:szCs w:val="24"/>
              </w:rPr>
              <w:t>Počet vznesených pripomienok, z toho zásadných</w:t>
            </w:r>
          </w:p>
        </w:tc>
        <w:tc>
          <w:tcPr>
            <w:tcW w:w="8972" w:type="dxa"/>
            <w:tcBorders>
              <w:top w:val="nil"/>
              <w:left w:val="nil"/>
              <w:bottom w:val="nil"/>
            </w:tcBorders>
          </w:tcPr>
          <w:p w:rsidR="00560842" w:rsidRPr="00692A34" w:rsidRDefault="00D36983" w:rsidP="00F92058">
            <w:pPr>
              <w:rPr>
                <w:sz w:val="24"/>
                <w:szCs w:val="24"/>
              </w:rPr>
            </w:pPr>
            <w:r>
              <w:rPr>
                <w:sz w:val="24"/>
                <w:szCs w:val="24"/>
              </w:rPr>
              <w:t>17/5</w:t>
            </w:r>
          </w:p>
        </w:tc>
      </w:tr>
      <w:tr w:rsidR="00560842" w:rsidRPr="00692A34" w:rsidTr="00F92058">
        <w:trPr>
          <w:trHeight w:val="215"/>
        </w:trPr>
        <w:tc>
          <w:tcPr>
            <w:tcW w:w="6479" w:type="dxa"/>
            <w:tcBorders>
              <w:top w:val="nil"/>
              <w:bottom w:val="nil"/>
              <w:right w:val="nil"/>
            </w:tcBorders>
          </w:tcPr>
          <w:p w:rsidR="00560842" w:rsidRPr="00692A34" w:rsidRDefault="00560842" w:rsidP="00F92058">
            <w:pPr>
              <w:rPr>
                <w:b/>
                <w:sz w:val="24"/>
                <w:szCs w:val="24"/>
              </w:rPr>
            </w:pPr>
            <w:r w:rsidRPr="00692A34">
              <w:rPr>
                <w:b/>
                <w:sz w:val="24"/>
                <w:szCs w:val="24"/>
              </w:rPr>
              <w:t>Počet vyhodnotených pripomienok</w:t>
            </w:r>
          </w:p>
        </w:tc>
        <w:tc>
          <w:tcPr>
            <w:tcW w:w="8972" w:type="dxa"/>
            <w:tcBorders>
              <w:top w:val="nil"/>
              <w:left w:val="nil"/>
              <w:bottom w:val="nil"/>
            </w:tcBorders>
          </w:tcPr>
          <w:p w:rsidR="00560842" w:rsidRPr="00692A34" w:rsidRDefault="00D36983" w:rsidP="00F92058">
            <w:pPr>
              <w:rPr>
                <w:sz w:val="24"/>
                <w:szCs w:val="24"/>
              </w:rPr>
            </w:pPr>
            <w:r>
              <w:rPr>
                <w:sz w:val="24"/>
                <w:szCs w:val="24"/>
              </w:rPr>
              <w:t>17</w:t>
            </w:r>
          </w:p>
        </w:tc>
      </w:tr>
      <w:tr w:rsidR="00560842" w:rsidRPr="00692A34" w:rsidTr="00F92058">
        <w:trPr>
          <w:trHeight w:val="295"/>
        </w:trPr>
        <w:tc>
          <w:tcPr>
            <w:tcW w:w="6479" w:type="dxa"/>
            <w:tcBorders>
              <w:top w:val="nil"/>
              <w:bottom w:val="nil"/>
              <w:right w:val="nil"/>
            </w:tcBorders>
          </w:tcPr>
          <w:p w:rsidR="00560842" w:rsidRPr="00692A34" w:rsidRDefault="00560842" w:rsidP="00F92058">
            <w:pPr>
              <w:rPr>
                <w:b/>
                <w:sz w:val="24"/>
                <w:szCs w:val="24"/>
              </w:rPr>
            </w:pPr>
          </w:p>
        </w:tc>
        <w:tc>
          <w:tcPr>
            <w:tcW w:w="8972" w:type="dxa"/>
            <w:tcBorders>
              <w:top w:val="nil"/>
              <w:left w:val="nil"/>
              <w:bottom w:val="nil"/>
            </w:tcBorders>
          </w:tcPr>
          <w:p w:rsidR="00560842" w:rsidRPr="00692A34" w:rsidRDefault="00560842" w:rsidP="00F92058">
            <w:pPr>
              <w:rPr>
                <w:b/>
                <w:sz w:val="24"/>
                <w:szCs w:val="24"/>
              </w:rPr>
            </w:pPr>
          </w:p>
        </w:tc>
      </w:tr>
      <w:tr w:rsidR="00560842" w:rsidRPr="00692A34" w:rsidTr="00F92058">
        <w:trPr>
          <w:trHeight w:val="298"/>
        </w:trPr>
        <w:tc>
          <w:tcPr>
            <w:tcW w:w="6479" w:type="dxa"/>
            <w:tcBorders>
              <w:top w:val="nil"/>
              <w:bottom w:val="nil"/>
              <w:right w:val="nil"/>
            </w:tcBorders>
          </w:tcPr>
          <w:p w:rsidR="00560842" w:rsidRPr="00692A34" w:rsidRDefault="00560842" w:rsidP="00F92058">
            <w:pPr>
              <w:rPr>
                <w:b/>
                <w:sz w:val="24"/>
                <w:szCs w:val="24"/>
              </w:rPr>
            </w:pPr>
            <w:r w:rsidRPr="00692A34">
              <w:rPr>
                <w:b/>
                <w:sz w:val="24"/>
                <w:szCs w:val="24"/>
              </w:rPr>
              <w:t>Počet akceptovaných pripomienok, z toho zásadných</w:t>
            </w:r>
          </w:p>
        </w:tc>
        <w:tc>
          <w:tcPr>
            <w:tcW w:w="8972" w:type="dxa"/>
            <w:tcBorders>
              <w:top w:val="nil"/>
              <w:left w:val="nil"/>
              <w:bottom w:val="nil"/>
            </w:tcBorders>
          </w:tcPr>
          <w:p w:rsidR="00560842" w:rsidRPr="00692A34" w:rsidRDefault="002F1C01" w:rsidP="007749F5">
            <w:pPr>
              <w:rPr>
                <w:sz w:val="24"/>
                <w:szCs w:val="24"/>
              </w:rPr>
            </w:pPr>
            <w:r>
              <w:rPr>
                <w:sz w:val="24"/>
                <w:szCs w:val="24"/>
              </w:rPr>
              <w:t>8</w:t>
            </w:r>
            <w:r w:rsidR="007749F5">
              <w:rPr>
                <w:sz w:val="24"/>
                <w:szCs w:val="24"/>
              </w:rPr>
              <w:t>/3</w:t>
            </w:r>
          </w:p>
        </w:tc>
      </w:tr>
      <w:tr w:rsidR="00560842" w:rsidRPr="00692A34" w:rsidTr="00F92058">
        <w:trPr>
          <w:trHeight w:val="275"/>
        </w:trPr>
        <w:tc>
          <w:tcPr>
            <w:tcW w:w="6479" w:type="dxa"/>
            <w:tcBorders>
              <w:top w:val="nil"/>
              <w:bottom w:val="nil"/>
              <w:right w:val="nil"/>
            </w:tcBorders>
          </w:tcPr>
          <w:p w:rsidR="00560842" w:rsidRPr="00692A34" w:rsidRDefault="00560842" w:rsidP="00F92058">
            <w:pPr>
              <w:rPr>
                <w:b/>
                <w:sz w:val="24"/>
                <w:szCs w:val="24"/>
              </w:rPr>
            </w:pPr>
            <w:r w:rsidRPr="00692A34">
              <w:rPr>
                <w:b/>
                <w:sz w:val="24"/>
                <w:szCs w:val="24"/>
              </w:rPr>
              <w:t>Počet čiastočne akceptovaných pripomienok, z toho zásadných</w:t>
            </w:r>
          </w:p>
        </w:tc>
        <w:tc>
          <w:tcPr>
            <w:tcW w:w="8972" w:type="dxa"/>
            <w:tcBorders>
              <w:top w:val="nil"/>
              <w:left w:val="nil"/>
              <w:bottom w:val="nil"/>
            </w:tcBorders>
          </w:tcPr>
          <w:p w:rsidR="00560842" w:rsidRPr="00692A34" w:rsidRDefault="007749F5" w:rsidP="00F92058">
            <w:pPr>
              <w:rPr>
                <w:sz w:val="24"/>
                <w:szCs w:val="24"/>
              </w:rPr>
            </w:pPr>
            <w:r>
              <w:rPr>
                <w:sz w:val="24"/>
                <w:szCs w:val="24"/>
              </w:rPr>
              <w:t xml:space="preserve"> 1/-</w:t>
            </w:r>
          </w:p>
        </w:tc>
      </w:tr>
      <w:tr w:rsidR="00560842" w:rsidRPr="00692A34" w:rsidTr="00B4360B">
        <w:trPr>
          <w:trHeight w:val="106"/>
        </w:trPr>
        <w:tc>
          <w:tcPr>
            <w:tcW w:w="6479" w:type="dxa"/>
            <w:tcBorders>
              <w:top w:val="nil"/>
              <w:bottom w:val="nil"/>
              <w:right w:val="nil"/>
            </w:tcBorders>
          </w:tcPr>
          <w:p w:rsidR="00560842" w:rsidRPr="00692A34" w:rsidRDefault="00560842" w:rsidP="00F92058">
            <w:pPr>
              <w:rPr>
                <w:b/>
                <w:sz w:val="24"/>
                <w:szCs w:val="24"/>
              </w:rPr>
            </w:pPr>
            <w:r w:rsidRPr="00692A34">
              <w:rPr>
                <w:b/>
                <w:sz w:val="24"/>
                <w:szCs w:val="24"/>
              </w:rPr>
              <w:t>Počet neakceptovaných pripomienok, z toho zásadných</w:t>
            </w:r>
          </w:p>
        </w:tc>
        <w:tc>
          <w:tcPr>
            <w:tcW w:w="8972" w:type="dxa"/>
            <w:tcBorders>
              <w:top w:val="nil"/>
              <w:left w:val="nil"/>
              <w:bottom w:val="nil"/>
            </w:tcBorders>
          </w:tcPr>
          <w:p w:rsidR="00560842" w:rsidRPr="00692A34" w:rsidRDefault="007749F5" w:rsidP="002F1C01">
            <w:pPr>
              <w:rPr>
                <w:sz w:val="24"/>
                <w:szCs w:val="24"/>
              </w:rPr>
            </w:pPr>
            <w:r>
              <w:rPr>
                <w:sz w:val="24"/>
                <w:szCs w:val="24"/>
              </w:rPr>
              <w:t xml:space="preserve"> </w:t>
            </w:r>
            <w:r w:rsidR="002F1C01">
              <w:rPr>
                <w:sz w:val="24"/>
                <w:szCs w:val="24"/>
              </w:rPr>
              <w:t>8</w:t>
            </w:r>
            <w:r>
              <w:rPr>
                <w:sz w:val="24"/>
                <w:szCs w:val="24"/>
              </w:rPr>
              <w:t>/2</w:t>
            </w:r>
          </w:p>
        </w:tc>
      </w:tr>
      <w:tr w:rsidR="00560842" w:rsidRPr="00692A34" w:rsidTr="00F92058">
        <w:trPr>
          <w:trHeight w:val="283"/>
        </w:trPr>
        <w:tc>
          <w:tcPr>
            <w:tcW w:w="6479" w:type="dxa"/>
            <w:tcBorders>
              <w:top w:val="nil"/>
              <w:bottom w:val="nil"/>
              <w:right w:val="nil"/>
            </w:tcBorders>
          </w:tcPr>
          <w:p w:rsidR="00560842" w:rsidRPr="00692A34" w:rsidRDefault="00560842" w:rsidP="00F92058">
            <w:pPr>
              <w:rPr>
                <w:b/>
                <w:sz w:val="24"/>
                <w:szCs w:val="24"/>
              </w:rPr>
            </w:pPr>
          </w:p>
        </w:tc>
        <w:tc>
          <w:tcPr>
            <w:tcW w:w="8972" w:type="dxa"/>
            <w:tcBorders>
              <w:top w:val="nil"/>
              <w:left w:val="nil"/>
              <w:bottom w:val="nil"/>
            </w:tcBorders>
          </w:tcPr>
          <w:p w:rsidR="00560842" w:rsidRPr="00692A34" w:rsidRDefault="00560842" w:rsidP="00F92058">
            <w:pPr>
              <w:rPr>
                <w:b/>
                <w:sz w:val="24"/>
                <w:szCs w:val="24"/>
              </w:rPr>
            </w:pPr>
          </w:p>
        </w:tc>
      </w:tr>
      <w:tr w:rsidR="00560842" w:rsidRPr="00692A34" w:rsidTr="00F92058">
        <w:trPr>
          <w:trHeight w:val="152"/>
        </w:trPr>
        <w:tc>
          <w:tcPr>
            <w:tcW w:w="6479" w:type="dxa"/>
            <w:tcBorders>
              <w:top w:val="nil"/>
              <w:bottom w:val="nil"/>
              <w:right w:val="nil"/>
            </w:tcBorders>
          </w:tcPr>
          <w:p w:rsidR="00560842" w:rsidRPr="00692A34" w:rsidRDefault="00560842" w:rsidP="00F92058">
            <w:pPr>
              <w:rPr>
                <w:b/>
                <w:sz w:val="24"/>
                <w:szCs w:val="24"/>
              </w:rPr>
            </w:pPr>
            <w:proofErr w:type="spellStart"/>
            <w:r w:rsidRPr="00692A34">
              <w:rPr>
                <w:b/>
                <w:sz w:val="24"/>
                <w:szCs w:val="24"/>
              </w:rPr>
              <w:t>Rozporové</w:t>
            </w:r>
            <w:proofErr w:type="spellEnd"/>
            <w:r w:rsidRPr="00692A34">
              <w:rPr>
                <w:b/>
                <w:sz w:val="24"/>
                <w:szCs w:val="24"/>
              </w:rPr>
              <w:t xml:space="preserve"> konanie (s kým, kedy, s akým výsledkom)</w:t>
            </w:r>
          </w:p>
        </w:tc>
        <w:tc>
          <w:tcPr>
            <w:tcW w:w="8972" w:type="dxa"/>
            <w:tcBorders>
              <w:top w:val="nil"/>
              <w:left w:val="nil"/>
              <w:bottom w:val="nil"/>
            </w:tcBorders>
          </w:tcPr>
          <w:p w:rsidR="00560842" w:rsidRPr="00692A34" w:rsidRDefault="00560842" w:rsidP="00F92058">
            <w:pPr>
              <w:rPr>
                <w:b/>
                <w:sz w:val="24"/>
                <w:szCs w:val="24"/>
              </w:rPr>
            </w:pPr>
          </w:p>
        </w:tc>
      </w:tr>
      <w:tr w:rsidR="00560842" w:rsidRPr="00692A34" w:rsidTr="00F92058">
        <w:trPr>
          <w:trHeight w:val="236"/>
        </w:trPr>
        <w:tc>
          <w:tcPr>
            <w:tcW w:w="6479" w:type="dxa"/>
            <w:tcBorders>
              <w:top w:val="nil"/>
              <w:bottom w:val="nil"/>
              <w:right w:val="nil"/>
            </w:tcBorders>
          </w:tcPr>
          <w:p w:rsidR="00560842" w:rsidRPr="00692A34" w:rsidRDefault="00560842" w:rsidP="00F92058">
            <w:pPr>
              <w:rPr>
                <w:b/>
                <w:sz w:val="24"/>
                <w:szCs w:val="24"/>
              </w:rPr>
            </w:pPr>
            <w:r w:rsidRPr="00692A34">
              <w:rPr>
                <w:b/>
                <w:sz w:val="24"/>
                <w:szCs w:val="24"/>
              </w:rPr>
              <w:t>Počet odstránených pripomienok</w:t>
            </w:r>
          </w:p>
        </w:tc>
        <w:tc>
          <w:tcPr>
            <w:tcW w:w="8972" w:type="dxa"/>
            <w:tcBorders>
              <w:top w:val="nil"/>
              <w:left w:val="nil"/>
              <w:bottom w:val="nil"/>
            </w:tcBorders>
          </w:tcPr>
          <w:p w:rsidR="00560842" w:rsidRPr="00692A34" w:rsidRDefault="00560842" w:rsidP="00F92058">
            <w:pPr>
              <w:rPr>
                <w:sz w:val="24"/>
                <w:szCs w:val="24"/>
              </w:rPr>
            </w:pPr>
          </w:p>
        </w:tc>
      </w:tr>
      <w:tr w:rsidR="00560842" w:rsidRPr="00692A34" w:rsidTr="00F92058">
        <w:trPr>
          <w:trHeight w:val="301"/>
        </w:trPr>
        <w:tc>
          <w:tcPr>
            <w:tcW w:w="6479" w:type="dxa"/>
            <w:tcBorders>
              <w:top w:val="nil"/>
              <w:bottom w:val="single" w:sz="4" w:space="0" w:color="auto"/>
              <w:right w:val="nil"/>
            </w:tcBorders>
          </w:tcPr>
          <w:p w:rsidR="00560842" w:rsidRPr="00692A34" w:rsidRDefault="00560842" w:rsidP="00F92058">
            <w:pPr>
              <w:rPr>
                <w:b/>
                <w:sz w:val="24"/>
                <w:szCs w:val="24"/>
              </w:rPr>
            </w:pPr>
            <w:r w:rsidRPr="00692A34">
              <w:rPr>
                <w:b/>
                <w:sz w:val="24"/>
                <w:szCs w:val="24"/>
              </w:rPr>
              <w:t>Počet neodstránených pripomienok</w:t>
            </w:r>
          </w:p>
        </w:tc>
        <w:tc>
          <w:tcPr>
            <w:tcW w:w="8972" w:type="dxa"/>
            <w:tcBorders>
              <w:top w:val="nil"/>
              <w:left w:val="nil"/>
              <w:bottom w:val="single" w:sz="4" w:space="0" w:color="auto"/>
            </w:tcBorders>
          </w:tcPr>
          <w:p w:rsidR="00560842" w:rsidRPr="00692A34" w:rsidRDefault="00560842" w:rsidP="00F92058">
            <w:pPr>
              <w:rPr>
                <w:b/>
                <w:sz w:val="24"/>
                <w:szCs w:val="24"/>
              </w:rPr>
            </w:pPr>
          </w:p>
        </w:tc>
      </w:tr>
    </w:tbl>
    <w:p w:rsidR="003D4CE2" w:rsidRPr="00692A34" w:rsidRDefault="003D4CE2" w:rsidP="00560842">
      <w:pPr>
        <w:spacing w:after="0" w:line="240" w:lineRule="auto"/>
        <w:rPr>
          <w:sz w:val="24"/>
          <w:szCs w:val="24"/>
        </w:rPr>
      </w:pPr>
    </w:p>
    <w:p w:rsidR="00560842" w:rsidRPr="00692A34" w:rsidRDefault="00560842" w:rsidP="00560842">
      <w:pPr>
        <w:spacing w:after="0" w:line="240" w:lineRule="auto"/>
        <w:rPr>
          <w:sz w:val="24"/>
          <w:szCs w:val="24"/>
        </w:rPr>
      </w:pPr>
      <w:r w:rsidRPr="00692A34">
        <w:rPr>
          <w:sz w:val="24"/>
          <w:szCs w:val="24"/>
        </w:rPr>
        <w:t>Sumarizácia vznesených pripomienok podľa subjektov</w:t>
      </w:r>
    </w:p>
    <w:p w:rsidR="005E37E3" w:rsidRPr="00692A34" w:rsidRDefault="005E37E3" w:rsidP="00560842">
      <w:pPr>
        <w:spacing w:after="0" w:line="240" w:lineRule="auto"/>
        <w:rPr>
          <w:sz w:val="24"/>
          <w:szCs w:val="24"/>
        </w:rPr>
      </w:pPr>
    </w:p>
    <w:tbl>
      <w:tblPr>
        <w:tblW w:w="15654"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602"/>
        <w:gridCol w:w="9101"/>
        <w:gridCol w:w="1543"/>
        <w:gridCol w:w="1387"/>
        <w:gridCol w:w="1387"/>
        <w:gridCol w:w="1634"/>
      </w:tblGrid>
      <w:tr w:rsidR="00560842" w:rsidRPr="005B1DE8" w:rsidTr="00212CDC">
        <w:trPr>
          <w:trHeight w:val="164"/>
          <w:jc w:val="center"/>
        </w:trPr>
        <w:tc>
          <w:tcPr>
            <w:tcW w:w="192" w:type="pct"/>
            <w:tcBorders>
              <w:top w:val="outset" w:sz="6" w:space="0" w:color="000000"/>
              <w:left w:val="outset" w:sz="6" w:space="0" w:color="000000"/>
              <w:bottom w:val="outset" w:sz="6" w:space="0" w:color="000000"/>
              <w:right w:val="outset" w:sz="6" w:space="0" w:color="000000"/>
            </w:tcBorders>
            <w:vAlign w:val="center"/>
            <w:hideMark/>
          </w:tcPr>
          <w:p w:rsidR="00560842" w:rsidRPr="005B1DE8" w:rsidRDefault="005E37E3" w:rsidP="00F92058">
            <w:pPr>
              <w:spacing w:after="0" w:line="240" w:lineRule="auto"/>
              <w:jc w:val="center"/>
              <w:rPr>
                <w:rFonts w:cs="Times New Roman"/>
                <w:b/>
                <w:bCs/>
              </w:rPr>
            </w:pPr>
            <w:r w:rsidRPr="005B1DE8">
              <w:rPr>
                <w:rFonts w:cs="Times New Roman"/>
                <w:b/>
                <w:bCs/>
              </w:rPr>
              <w:t>č</w:t>
            </w:r>
            <w:r w:rsidR="00560842" w:rsidRPr="005B1DE8">
              <w:rPr>
                <w:rFonts w:cs="Times New Roman"/>
                <w:b/>
                <w:bCs/>
              </w:rPr>
              <w:t>.</w:t>
            </w:r>
          </w:p>
        </w:tc>
        <w:tc>
          <w:tcPr>
            <w:tcW w:w="2907" w:type="pct"/>
            <w:tcBorders>
              <w:top w:val="outset" w:sz="6" w:space="0" w:color="000000"/>
              <w:left w:val="outset" w:sz="6" w:space="0" w:color="000000"/>
              <w:bottom w:val="outset" w:sz="6" w:space="0" w:color="000000"/>
              <w:right w:val="outset" w:sz="6" w:space="0" w:color="000000"/>
            </w:tcBorders>
            <w:vAlign w:val="center"/>
            <w:hideMark/>
          </w:tcPr>
          <w:p w:rsidR="00560842" w:rsidRPr="005B1DE8" w:rsidRDefault="00560842" w:rsidP="00F92058">
            <w:pPr>
              <w:spacing w:after="0" w:line="240" w:lineRule="auto"/>
              <w:jc w:val="center"/>
              <w:rPr>
                <w:rFonts w:cs="Times New Roman"/>
                <w:b/>
                <w:bCs/>
              </w:rPr>
            </w:pPr>
            <w:r w:rsidRPr="005B1DE8">
              <w:rPr>
                <w:rFonts w:cs="Times New Roman"/>
                <w:b/>
                <w:bCs/>
              </w:rPr>
              <w:t>Subjekt</w:t>
            </w:r>
          </w:p>
        </w:tc>
        <w:tc>
          <w:tcPr>
            <w:tcW w:w="493" w:type="pct"/>
            <w:tcBorders>
              <w:top w:val="outset" w:sz="6" w:space="0" w:color="000000"/>
              <w:left w:val="outset" w:sz="6" w:space="0" w:color="000000"/>
              <w:bottom w:val="outset" w:sz="6" w:space="0" w:color="000000"/>
              <w:right w:val="outset" w:sz="6" w:space="0" w:color="000000"/>
            </w:tcBorders>
            <w:vAlign w:val="center"/>
            <w:hideMark/>
          </w:tcPr>
          <w:p w:rsidR="00560842" w:rsidRPr="005B1DE8" w:rsidRDefault="00560842" w:rsidP="00F92058">
            <w:pPr>
              <w:spacing w:after="0" w:line="240" w:lineRule="auto"/>
              <w:jc w:val="center"/>
              <w:rPr>
                <w:rFonts w:cs="Times New Roman"/>
                <w:b/>
                <w:bCs/>
              </w:rPr>
            </w:pPr>
            <w:r w:rsidRPr="005B1DE8">
              <w:rPr>
                <w:rFonts w:cs="Times New Roman"/>
                <w:b/>
                <w:bCs/>
              </w:rPr>
              <w:t>Pripomienky do termínu</w:t>
            </w:r>
          </w:p>
        </w:tc>
        <w:tc>
          <w:tcPr>
            <w:tcW w:w="443" w:type="pct"/>
            <w:tcBorders>
              <w:top w:val="outset" w:sz="6" w:space="0" w:color="000000"/>
              <w:left w:val="outset" w:sz="6" w:space="0" w:color="000000"/>
              <w:bottom w:val="outset" w:sz="6" w:space="0" w:color="000000"/>
              <w:right w:val="outset" w:sz="6" w:space="0" w:color="000000"/>
            </w:tcBorders>
            <w:vAlign w:val="center"/>
            <w:hideMark/>
          </w:tcPr>
          <w:p w:rsidR="00560842" w:rsidRPr="005B1DE8" w:rsidRDefault="00560842" w:rsidP="00F92058">
            <w:pPr>
              <w:spacing w:after="0" w:line="240" w:lineRule="auto"/>
              <w:jc w:val="center"/>
              <w:rPr>
                <w:rFonts w:cs="Times New Roman"/>
                <w:b/>
                <w:bCs/>
              </w:rPr>
            </w:pPr>
            <w:r w:rsidRPr="005B1DE8">
              <w:rPr>
                <w:rFonts w:cs="Times New Roman"/>
                <w:b/>
                <w:bCs/>
              </w:rPr>
              <w:t>Pripomienky po termíne</w:t>
            </w:r>
          </w:p>
        </w:tc>
        <w:tc>
          <w:tcPr>
            <w:tcW w:w="443" w:type="pct"/>
            <w:tcBorders>
              <w:top w:val="outset" w:sz="6" w:space="0" w:color="000000"/>
              <w:left w:val="outset" w:sz="6" w:space="0" w:color="000000"/>
              <w:bottom w:val="outset" w:sz="6" w:space="0" w:color="000000"/>
              <w:right w:val="outset" w:sz="6" w:space="0" w:color="000000"/>
            </w:tcBorders>
            <w:vAlign w:val="center"/>
            <w:hideMark/>
          </w:tcPr>
          <w:p w:rsidR="00560842" w:rsidRPr="005B1DE8" w:rsidRDefault="00560842" w:rsidP="00F92058">
            <w:pPr>
              <w:spacing w:after="0" w:line="240" w:lineRule="auto"/>
              <w:jc w:val="center"/>
              <w:rPr>
                <w:rFonts w:cs="Times New Roman"/>
                <w:b/>
                <w:bCs/>
              </w:rPr>
            </w:pPr>
            <w:r w:rsidRPr="005B1DE8">
              <w:rPr>
                <w:rFonts w:cs="Times New Roman"/>
                <w:b/>
                <w:bCs/>
              </w:rPr>
              <w:t>Nemali pripomienky</w:t>
            </w:r>
          </w:p>
        </w:tc>
        <w:tc>
          <w:tcPr>
            <w:tcW w:w="522" w:type="pct"/>
            <w:tcBorders>
              <w:top w:val="outset" w:sz="6" w:space="0" w:color="000000"/>
              <w:left w:val="outset" w:sz="6" w:space="0" w:color="000000"/>
              <w:bottom w:val="outset" w:sz="6" w:space="0" w:color="000000"/>
              <w:right w:val="outset" w:sz="6" w:space="0" w:color="000000"/>
            </w:tcBorders>
            <w:vAlign w:val="center"/>
            <w:hideMark/>
          </w:tcPr>
          <w:p w:rsidR="00560842" w:rsidRPr="005B1DE8" w:rsidRDefault="00560842" w:rsidP="00F92058">
            <w:pPr>
              <w:spacing w:after="0" w:line="240" w:lineRule="auto"/>
              <w:jc w:val="center"/>
              <w:rPr>
                <w:rFonts w:cs="Times New Roman"/>
                <w:b/>
                <w:bCs/>
              </w:rPr>
            </w:pPr>
            <w:r w:rsidRPr="005B1DE8">
              <w:rPr>
                <w:rFonts w:cs="Times New Roman"/>
                <w:b/>
                <w:bCs/>
              </w:rPr>
              <w:t>Vôbec nezaslali</w:t>
            </w:r>
          </w:p>
        </w:tc>
      </w:tr>
      <w:tr w:rsidR="00560842" w:rsidRPr="005B1DE8" w:rsidTr="00DC01A9">
        <w:trPr>
          <w:trHeight w:val="164"/>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Asociácia zamestnávateľských zväzov a združení Slovenskej republiky</w:t>
            </w:r>
          </w:p>
        </w:tc>
        <w:tc>
          <w:tcPr>
            <w:tcW w:w="493"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b/>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FF60BB" w:rsidP="00F92058">
            <w:pPr>
              <w:spacing w:after="0" w:line="240" w:lineRule="auto"/>
              <w:jc w:val="center"/>
              <w:rPr>
                <w:rFonts w:cs="Times New Roman"/>
              </w:rPr>
            </w:pPr>
            <w:r w:rsidRPr="005B1DE8">
              <w:rPr>
                <w:rFonts w:cs="Times New Roman"/>
              </w:rPr>
              <w:t>x</w:t>
            </w:r>
          </w:p>
        </w:tc>
        <w:tc>
          <w:tcPr>
            <w:tcW w:w="522"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p>
        </w:tc>
      </w:tr>
      <w:tr w:rsidR="008C54F7" w:rsidRPr="005B1DE8" w:rsidTr="00DC01A9">
        <w:trPr>
          <w:trHeight w:val="164"/>
          <w:jc w:val="center"/>
        </w:trPr>
        <w:tc>
          <w:tcPr>
            <w:tcW w:w="192" w:type="pct"/>
            <w:tcBorders>
              <w:top w:val="outset" w:sz="6" w:space="0" w:color="000000"/>
              <w:left w:val="outset" w:sz="6" w:space="0" w:color="000000"/>
              <w:bottom w:val="outset" w:sz="6" w:space="0" w:color="000000"/>
              <w:right w:val="outset" w:sz="6" w:space="0" w:color="000000"/>
            </w:tcBorders>
          </w:tcPr>
          <w:p w:rsidR="008C54F7" w:rsidRPr="005B1DE8" w:rsidRDefault="008C54F7"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8C54F7" w:rsidRPr="005B1DE8" w:rsidRDefault="008C54F7" w:rsidP="00F92058">
            <w:pPr>
              <w:spacing w:after="0" w:line="240" w:lineRule="auto"/>
              <w:rPr>
                <w:rFonts w:cs="Times New Roman"/>
              </w:rPr>
            </w:pPr>
            <w:r w:rsidRPr="005B1DE8">
              <w:rPr>
                <w:rFonts w:cs="Times New Roman"/>
              </w:rPr>
              <w:t>Generálna prokuratúra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8C54F7" w:rsidRPr="005B1DE8" w:rsidRDefault="001D74AC" w:rsidP="00F92058">
            <w:pPr>
              <w:spacing w:after="0" w:line="240" w:lineRule="auto"/>
              <w:jc w:val="center"/>
              <w:rPr>
                <w:rFonts w:cs="Times New Roman"/>
              </w:rPr>
            </w:pPr>
            <w:r>
              <w:rPr>
                <w:rFonts w:cs="Times New Roman"/>
              </w:rPr>
              <w:t>2 (1o,1</w:t>
            </w:r>
            <w:r w:rsidR="008C54F7" w:rsidRPr="005B1DE8">
              <w:rPr>
                <w:rFonts w:cs="Times New Roman"/>
              </w:rPr>
              <w:t>z)</w:t>
            </w:r>
          </w:p>
        </w:tc>
        <w:tc>
          <w:tcPr>
            <w:tcW w:w="443" w:type="pct"/>
            <w:tcBorders>
              <w:top w:val="outset" w:sz="6" w:space="0" w:color="000000"/>
              <w:left w:val="outset" w:sz="6" w:space="0" w:color="000000"/>
              <w:bottom w:val="outset" w:sz="6" w:space="0" w:color="000000"/>
              <w:right w:val="outset" w:sz="6" w:space="0" w:color="000000"/>
            </w:tcBorders>
            <w:hideMark/>
          </w:tcPr>
          <w:p w:rsidR="008C54F7" w:rsidRPr="005B1DE8" w:rsidRDefault="008C54F7" w:rsidP="00F92058">
            <w:pPr>
              <w:spacing w:after="0" w:line="240" w:lineRule="auto"/>
              <w:jc w:val="center"/>
              <w:rPr>
                <w:rFonts w:cs="Times New Roman"/>
                <w:b/>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8C54F7" w:rsidRPr="005B1DE8" w:rsidRDefault="008C54F7"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tcPr>
          <w:p w:rsidR="008C54F7" w:rsidRPr="005B1DE8" w:rsidRDefault="008C54F7" w:rsidP="00F92058">
            <w:pPr>
              <w:spacing w:after="0" w:line="240" w:lineRule="auto"/>
              <w:jc w:val="center"/>
              <w:rPr>
                <w:rFonts w:cs="Times New Roman"/>
              </w:rPr>
            </w:pPr>
          </w:p>
        </w:tc>
      </w:tr>
      <w:tr w:rsidR="00560842" w:rsidRPr="005B1DE8" w:rsidTr="00212CDC">
        <w:trPr>
          <w:trHeight w:val="164"/>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210835" w:rsidP="00F92058">
            <w:pPr>
              <w:spacing w:after="0" w:line="240" w:lineRule="auto"/>
              <w:rPr>
                <w:rFonts w:cs="Times New Roman"/>
              </w:rPr>
            </w:pPr>
            <w:r>
              <w:t xml:space="preserve">Ministerstvo dopravy a </w:t>
            </w:r>
            <w:r w:rsidRPr="00266C18">
              <w:t>výstavby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1D74AC"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A15B71" w:rsidP="00F92058">
            <w:pPr>
              <w:spacing w:after="0" w:line="240" w:lineRule="auto"/>
              <w:jc w:val="center"/>
              <w:rPr>
                <w:rFonts w:cs="Times New Roman"/>
              </w:rPr>
            </w:pPr>
            <w:r>
              <w:rPr>
                <w:rFonts w:cs="Times New Roman"/>
              </w:rPr>
              <w:t>x</w:t>
            </w: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r>
      <w:tr w:rsidR="00560842" w:rsidRPr="005B1DE8" w:rsidTr="00212CDC">
        <w:trPr>
          <w:trHeight w:val="164"/>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Ministerstvo financií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6B7B44" w:rsidP="00F92058">
            <w:pPr>
              <w:spacing w:after="0" w:line="240" w:lineRule="auto"/>
              <w:jc w:val="center"/>
              <w:rPr>
                <w:rFonts w:cs="Times New Roman"/>
              </w:rPr>
            </w:pPr>
            <w:r>
              <w:rPr>
                <w:rFonts w:cs="Times New Roman"/>
              </w:rPr>
              <w:t xml:space="preserve"> 2 (2o,0</w:t>
            </w:r>
            <w:r w:rsidR="00560842" w:rsidRPr="005B1DE8">
              <w:rPr>
                <w:rFonts w:cs="Times New Roman"/>
              </w:rPr>
              <w:t>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r>
      <w:tr w:rsidR="00560842" w:rsidRPr="005B1DE8" w:rsidTr="00212CDC">
        <w:trPr>
          <w:trHeight w:val="164"/>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Ministerstvo hospodárstva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A15B71" w:rsidP="00F92058">
            <w:pPr>
              <w:spacing w:after="0" w:line="240" w:lineRule="auto"/>
              <w:jc w:val="center"/>
              <w:rPr>
                <w:rFonts w:cs="Times New Roman"/>
              </w:rPr>
            </w:pPr>
            <w:r>
              <w:rPr>
                <w:rFonts w:cs="Times New Roman"/>
              </w:rPr>
              <w:t xml:space="preserve"> </w:t>
            </w:r>
            <w:r w:rsidR="006B7B44">
              <w:rPr>
                <w:rFonts w:cs="Times New Roman"/>
              </w:rPr>
              <w:t>0</w:t>
            </w:r>
            <w:r>
              <w:rPr>
                <w:rFonts w:cs="Times New Roman"/>
              </w:rPr>
              <w:t xml:space="preserve"> </w:t>
            </w:r>
            <w:r w:rsidR="006B7B44">
              <w:rPr>
                <w:rFonts w:cs="Times New Roman"/>
              </w:rPr>
              <w:t>(0o,0</w:t>
            </w:r>
            <w:r w:rsidR="00560842" w:rsidRPr="005B1DE8">
              <w:rPr>
                <w:rFonts w:cs="Times New Roman"/>
              </w:rPr>
              <w:t>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811F58" w:rsidP="00F92058">
            <w:pPr>
              <w:spacing w:after="0" w:line="240" w:lineRule="auto"/>
              <w:jc w:val="center"/>
              <w:rPr>
                <w:rFonts w:cs="Times New Roman"/>
              </w:rPr>
            </w:pPr>
            <w:r>
              <w:rPr>
                <w:rFonts w:cs="Times New Roman"/>
              </w:rPr>
              <w:t>x</w:t>
            </w: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r>
      <w:tr w:rsidR="00560842" w:rsidRPr="005B1DE8" w:rsidTr="00212CDC">
        <w:trPr>
          <w:trHeight w:val="164"/>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Ministerstvo kultúry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A15B71"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A15B71" w:rsidP="00F92058">
            <w:pPr>
              <w:spacing w:after="0" w:line="240" w:lineRule="auto"/>
              <w:jc w:val="center"/>
              <w:rPr>
                <w:rFonts w:cs="Times New Roman"/>
              </w:rPr>
            </w:pPr>
            <w:r>
              <w:rPr>
                <w:rFonts w:cs="Times New Roman"/>
              </w:rPr>
              <w:t>x</w:t>
            </w: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r>
      <w:tr w:rsidR="00560842" w:rsidRPr="005B1DE8" w:rsidTr="00212CDC">
        <w:trPr>
          <w:trHeight w:val="164"/>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Ministerstvo obrany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 xml:space="preserve"> </w:t>
            </w:r>
            <w:r w:rsidR="00A15B71"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A15B71" w:rsidP="00F92058">
            <w:pPr>
              <w:spacing w:after="0" w:line="240" w:lineRule="auto"/>
              <w:jc w:val="center"/>
              <w:rPr>
                <w:rFonts w:cs="Times New Roman"/>
              </w:rPr>
            </w:pPr>
            <w:r>
              <w:rPr>
                <w:rFonts w:cs="Times New Roman"/>
              </w:rPr>
              <w:t>x</w:t>
            </w: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r>
      <w:tr w:rsidR="00560842" w:rsidRPr="005B1DE8" w:rsidTr="00212CDC">
        <w:trPr>
          <w:trHeight w:val="164"/>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Ministerstvo pôdohospodárstva a rozvoja vidieka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5D1B3D" w:rsidP="00F92058">
            <w:pPr>
              <w:spacing w:after="0" w:line="240" w:lineRule="auto"/>
              <w:jc w:val="center"/>
              <w:rPr>
                <w:rFonts w:cs="Times New Roman"/>
              </w:rPr>
            </w:pPr>
            <w:r>
              <w:rPr>
                <w:rFonts w:cs="Times New Roman"/>
              </w:rPr>
              <w:t xml:space="preserve"> 2 (1o,1</w:t>
            </w:r>
            <w:r w:rsidR="00560842" w:rsidRPr="005B1DE8">
              <w:rPr>
                <w:rFonts w:cs="Times New Roman"/>
              </w:rPr>
              <w:t>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r>
      <w:tr w:rsidR="00560842" w:rsidRPr="005B1DE8" w:rsidTr="00212CDC">
        <w:trPr>
          <w:trHeight w:val="164"/>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Ministerstvo práce, sociálnych vecí a rodiny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 xml:space="preserve"> </w:t>
            </w:r>
            <w:r w:rsidR="00A15B71">
              <w:rPr>
                <w:rFonts w:cs="Times New Roman"/>
              </w:rPr>
              <w:t>3 (3o,0</w:t>
            </w:r>
            <w:r w:rsidRPr="005B1DE8">
              <w:rPr>
                <w:rFonts w:cs="Times New Roman"/>
              </w:rPr>
              <w:t>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r>
      <w:tr w:rsidR="00560842" w:rsidRPr="005B1DE8" w:rsidTr="00212CDC">
        <w:trPr>
          <w:trHeight w:val="164"/>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Ministerstvo školstva, vedy, výskumu a športu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A15B71"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A15B71" w:rsidP="00F92058">
            <w:pPr>
              <w:spacing w:after="0" w:line="240" w:lineRule="auto"/>
              <w:jc w:val="center"/>
              <w:rPr>
                <w:rFonts w:cs="Times New Roman"/>
              </w:rPr>
            </w:pPr>
            <w:r>
              <w:rPr>
                <w:rFonts w:cs="Times New Roman"/>
              </w:rPr>
              <w:t>x</w:t>
            </w: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r>
      <w:tr w:rsidR="00560842" w:rsidRPr="005B1DE8" w:rsidTr="00212CDC">
        <w:trPr>
          <w:trHeight w:val="164"/>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Ministerstvo vnútra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A15B71" w:rsidP="00F92058">
            <w:pPr>
              <w:spacing w:after="0" w:line="240" w:lineRule="auto"/>
              <w:jc w:val="center"/>
              <w:rPr>
                <w:rFonts w:cs="Times New Roman"/>
              </w:rPr>
            </w:pPr>
            <w:r>
              <w:rPr>
                <w:rFonts w:cs="Times New Roman"/>
              </w:rPr>
              <w:t>2 (2o,0</w:t>
            </w:r>
            <w:r w:rsidR="00560842" w:rsidRPr="005B1DE8">
              <w:rPr>
                <w:rFonts w:cs="Times New Roman"/>
              </w:rPr>
              <w:t>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b/>
              </w:rPr>
            </w:pPr>
          </w:p>
        </w:tc>
      </w:tr>
      <w:tr w:rsidR="00560842" w:rsidRPr="005B1DE8" w:rsidTr="00212CDC">
        <w:trPr>
          <w:trHeight w:val="164"/>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Ministerstvo zdravotníctva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 xml:space="preserve"> </w:t>
            </w:r>
            <w:r w:rsidR="00A15B71"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A15B71" w:rsidP="00F92058">
            <w:pPr>
              <w:spacing w:after="0" w:line="240" w:lineRule="auto"/>
              <w:jc w:val="center"/>
              <w:rPr>
                <w:rFonts w:cs="Times New Roman"/>
              </w:rPr>
            </w:pPr>
            <w:r>
              <w:rPr>
                <w:rFonts w:cs="Times New Roman"/>
              </w:rPr>
              <w:t>x</w:t>
            </w:r>
          </w:p>
        </w:tc>
      </w:tr>
      <w:tr w:rsidR="00560842" w:rsidRPr="005B1DE8" w:rsidTr="00212CDC">
        <w:trPr>
          <w:trHeight w:val="164"/>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Ministerstvo zahraničných vecí a európskych záležitostí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 xml:space="preserve"> </w:t>
            </w:r>
            <w:r w:rsidR="00FF60BB"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FF60BB" w:rsidP="00F92058">
            <w:pPr>
              <w:spacing w:after="0" w:line="240" w:lineRule="auto"/>
              <w:jc w:val="center"/>
              <w:rPr>
                <w:rFonts w:cs="Times New Roman"/>
              </w:rPr>
            </w:pPr>
            <w:r w:rsidRPr="005B1DE8">
              <w:rPr>
                <w:rFonts w:cs="Times New Roman"/>
              </w:rPr>
              <w:t>x</w:t>
            </w: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r>
      <w:tr w:rsidR="00560842" w:rsidRPr="005B1DE8" w:rsidTr="00AC15F6">
        <w:trPr>
          <w:trHeight w:val="268"/>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tabs>
                <w:tab w:val="left" w:pos="254"/>
              </w:tabs>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Ministerstvo životného prostredia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FF60BB"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FF60BB" w:rsidP="00F92058">
            <w:pPr>
              <w:spacing w:after="0" w:line="240" w:lineRule="auto"/>
              <w:jc w:val="center"/>
              <w:rPr>
                <w:rFonts w:cs="Times New Roman"/>
              </w:rPr>
            </w:pPr>
            <w:r w:rsidRPr="005B1DE8">
              <w:rPr>
                <w:rFonts w:cs="Times New Roman"/>
              </w:rPr>
              <w:t>x</w:t>
            </w: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r>
      <w:tr w:rsidR="00560842" w:rsidRPr="005B1DE8" w:rsidTr="00AC15F6">
        <w:trPr>
          <w:trHeight w:val="273"/>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Národná banka Slovenska</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FF60BB"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FF60BB" w:rsidP="00F92058">
            <w:pPr>
              <w:spacing w:after="0" w:line="240" w:lineRule="auto"/>
              <w:jc w:val="center"/>
              <w:rPr>
                <w:rFonts w:cs="Times New Roman"/>
              </w:rPr>
            </w:pPr>
            <w:r w:rsidRPr="005B1DE8">
              <w:rPr>
                <w:rFonts w:cs="Times New Roman"/>
              </w:rPr>
              <w:t>x</w:t>
            </w: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r>
      <w:tr w:rsidR="00560842" w:rsidRPr="005B1DE8" w:rsidTr="00AC15F6">
        <w:trPr>
          <w:trHeight w:val="294"/>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Národný bezpečnostný úrad</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F5444A" w:rsidP="00F92058">
            <w:pPr>
              <w:spacing w:after="0" w:line="240" w:lineRule="auto"/>
              <w:jc w:val="center"/>
              <w:rPr>
                <w:rFonts w:cs="Times New Roman"/>
              </w:rPr>
            </w:pPr>
            <w:r>
              <w:rPr>
                <w:rFonts w:cs="Times New Roman"/>
              </w:rPr>
              <w:t>3 (2o,1</w:t>
            </w:r>
            <w:r w:rsidR="00560842" w:rsidRPr="005B1DE8">
              <w:rPr>
                <w:rFonts w:cs="Times New Roman"/>
              </w:rPr>
              <w:t>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r>
      <w:tr w:rsidR="00560842" w:rsidRPr="005B1DE8" w:rsidTr="00AC15F6">
        <w:trPr>
          <w:trHeight w:val="299"/>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Najvyšší kontrolný úrad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 xml:space="preserve"> </w:t>
            </w:r>
            <w:r w:rsidR="00FF60BB"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FF60BB" w:rsidP="00F92058">
            <w:pPr>
              <w:spacing w:after="0" w:line="240" w:lineRule="auto"/>
              <w:jc w:val="center"/>
              <w:rPr>
                <w:rFonts w:cs="Times New Roman"/>
              </w:rPr>
            </w:pPr>
            <w:r w:rsidRPr="005B1DE8">
              <w:rPr>
                <w:rFonts w:cs="Times New Roman"/>
              </w:rPr>
              <w:t>x</w:t>
            </w:r>
          </w:p>
        </w:tc>
      </w:tr>
      <w:tr w:rsidR="00560842" w:rsidRPr="005B1DE8" w:rsidTr="00AC15F6">
        <w:trPr>
          <w:trHeight w:val="304"/>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Najvyšší súd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F60BB">
            <w:pPr>
              <w:spacing w:after="0" w:line="240" w:lineRule="auto"/>
              <w:jc w:val="center"/>
              <w:rPr>
                <w:rFonts w:cs="Times New Roman"/>
              </w:rPr>
            </w:pPr>
            <w:r w:rsidRPr="005B1DE8">
              <w:rPr>
                <w:rFonts w:cs="Times New Roman"/>
              </w:rPr>
              <w:t xml:space="preserve"> </w:t>
            </w:r>
            <w:r w:rsidR="00334782">
              <w:rPr>
                <w:rFonts w:cs="Times New Roman"/>
              </w:rPr>
              <w:t>0</w:t>
            </w:r>
            <w:r w:rsidRPr="005B1DE8">
              <w:rPr>
                <w:rFonts w:cs="Times New Roman"/>
              </w:rPr>
              <w:t xml:space="preserve">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tcPr>
          <w:p w:rsidR="00560842" w:rsidRPr="005B1DE8" w:rsidRDefault="00FF60BB" w:rsidP="00F92058">
            <w:pPr>
              <w:spacing w:after="0" w:line="240" w:lineRule="auto"/>
              <w:jc w:val="center"/>
              <w:rPr>
                <w:rFonts w:cs="Times New Roman"/>
              </w:rPr>
            </w:pPr>
            <w:r w:rsidRPr="005B1DE8">
              <w:rPr>
                <w:rFonts w:cs="Times New Roman"/>
              </w:rPr>
              <w:t>x</w:t>
            </w:r>
          </w:p>
        </w:tc>
      </w:tr>
      <w:tr w:rsidR="00560842" w:rsidRPr="005B1DE8" w:rsidTr="00AC15F6">
        <w:trPr>
          <w:trHeight w:val="310"/>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Protimonopolný úrad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334782" w:rsidP="00F92058">
            <w:pPr>
              <w:spacing w:after="0" w:line="240" w:lineRule="auto"/>
              <w:jc w:val="center"/>
              <w:rPr>
                <w:rFonts w:cs="Times New Roman"/>
              </w:rPr>
            </w:pPr>
            <w:r>
              <w:rPr>
                <w:rFonts w:cs="Times New Roman"/>
              </w:rPr>
              <w:t xml:space="preserve">0 </w:t>
            </w:r>
            <w:r w:rsidR="00FF60BB" w:rsidRPr="005B1DE8">
              <w:rPr>
                <w:rFonts w:cs="Times New Roman"/>
              </w:rPr>
              <w:t>(0o,0z)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F70673" w:rsidP="00F92058">
            <w:pPr>
              <w:spacing w:after="0" w:line="240" w:lineRule="auto"/>
              <w:jc w:val="center"/>
              <w:rPr>
                <w:rFonts w:cs="Times New Roman"/>
              </w:rPr>
            </w:pPr>
            <w:r w:rsidRPr="005B1DE8">
              <w:rPr>
                <w:rFonts w:cs="Times New Roman"/>
              </w:rPr>
              <w:t>x</w:t>
            </w:r>
          </w:p>
        </w:tc>
        <w:tc>
          <w:tcPr>
            <w:tcW w:w="522"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p>
        </w:tc>
      </w:tr>
      <w:tr w:rsidR="00560842" w:rsidRPr="005B1DE8" w:rsidTr="00AC15F6">
        <w:trPr>
          <w:trHeight w:val="317"/>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Republiková únia zamestnávateľov</w:t>
            </w:r>
          </w:p>
        </w:tc>
        <w:tc>
          <w:tcPr>
            <w:tcW w:w="493"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tcPr>
          <w:p w:rsidR="00560842" w:rsidRPr="005B1DE8" w:rsidRDefault="00F70673" w:rsidP="00F92058">
            <w:pPr>
              <w:spacing w:after="0" w:line="240" w:lineRule="auto"/>
              <w:jc w:val="center"/>
              <w:rPr>
                <w:rFonts w:cs="Times New Roman"/>
              </w:rPr>
            </w:pPr>
            <w:r w:rsidRPr="005B1DE8">
              <w:rPr>
                <w:rFonts w:cs="Times New Roman"/>
              </w:rPr>
              <w:t>x</w:t>
            </w:r>
          </w:p>
        </w:tc>
      </w:tr>
      <w:tr w:rsidR="00560842" w:rsidRPr="005B1DE8" w:rsidTr="00AC15F6">
        <w:trPr>
          <w:trHeight w:val="123"/>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Správa štátnych hmotných rezerv Slovenskej republiky</w:t>
            </w:r>
          </w:p>
        </w:tc>
        <w:tc>
          <w:tcPr>
            <w:tcW w:w="493"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tcPr>
          <w:p w:rsidR="00560842" w:rsidRPr="005B1DE8" w:rsidRDefault="00F70673" w:rsidP="00F92058">
            <w:pPr>
              <w:spacing w:after="0" w:line="240" w:lineRule="auto"/>
              <w:jc w:val="center"/>
              <w:rPr>
                <w:rFonts w:cs="Times New Roman"/>
              </w:rPr>
            </w:pPr>
            <w:r w:rsidRPr="005B1DE8">
              <w:rPr>
                <w:rFonts w:cs="Times New Roman"/>
              </w:rPr>
              <w:t>x</w:t>
            </w:r>
          </w:p>
        </w:tc>
      </w:tr>
      <w:tr w:rsidR="00560842" w:rsidRPr="005B1DE8" w:rsidTr="00AC15F6">
        <w:trPr>
          <w:trHeight w:val="186"/>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Štatistický úrad Slovenskej republiky</w:t>
            </w:r>
          </w:p>
        </w:tc>
        <w:tc>
          <w:tcPr>
            <w:tcW w:w="493"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F70673" w:rsidP="00F92058">
            <w:pPr>
              <w:spacing w:after="0" w:line="240" w:lineRule="auto"/>
              <w:jc w:val="center"/>
              <w:rPr>
                <w:rFonts w:cs="Times New Roman"/>
              </w:rPr>
            </w:pPr>
            <w:r w:rsidRPr="005B1DE8">
              <w:rPr>
                <w:rFonts w:cs="Times New Roman"/>
              </w:rPr>
              <w:t>x</w:t>
            </w:r>
          </w:p>
        </w:tc>
        <w:tc>
          <w:tcPr>
            <w:tcW w:w="522"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p>
        </w:tc>
      </w:tr>
      <w:tr w:rsidR="00560842" w:rsidRPr="005B1DE8" w:rsidTr="00AC15F6">
        <w:trPr>
          <w:trHeight w:val="207"/>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Úrad jadrového dozoru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33478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F70673" w:rsidP="00F92058">
            <w:pPr>
              <w:spacing w:after="0" w:line="240" w:lineRule="auto"/>
              <w:jc w:val="center"/>
              <w:rPr>
                <w:rFonts w:cs="Times New Roman"/>
              </w:rPr>
            </w:pPr>
            <w:r w:rsidRPr="005B1DE8">
              <w:rPr>
                <w:rFonts w:cs="Times New Roman"/>
              </w:rPr>
              <w:t>x</w:t>
            </w:r>
          </w:p>
        </w:tc>
        <w:tc>
          <w:tcPr>
            <w:tcW w:w="522"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p>
        </w:tc>
      </w:tr>
      <w:tr w:rsidR="00560842" w:rsidRPr="005B1DE8" w:rsidTr="00AC15F6">
        <w:trPr>
          <w:trHeight w:val="263"/>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rPr>
                <w:rFonts w:cs="Times New Roman"/>
              </w:rPr>
            </w:pPr>
            <w:r w:rsidRPr="005B1DE8">
              <w:rPr>
                <w:rFonts w:cs="Times New Roman"/>
              </w:rPr>
              <w:t>Úrad na ochranu osobných údajov Slovenskej republiky</w:t>
            </w:r>
          </w:p>
        </w:tc>
        <w:tc>
          <w:tcPr>
            <w:tcW w:w="493" w:type="pct"/>
            <w:tcBorders>
              <w:top w:val="outset" w:sz="6" w:space="0" w:color="000000"/>
              <w:left w:val="outset" w:sz="6" w:space="0" w:color="000000"/>
              <w:bottom w:val="outset" w:sz="6" w:space="0" w:color="000000"/>
              <w:right w:val="outset" w:sz="6" w:space="0" w:color="000000"/>
            </w:tcBorders>
          </w:tcPr>
          <w:p w:rsidR="00560842" w:rsidRPr="005B1DE8" w:rsidRDefault="0033478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tcPr>
          <w:p w:rsidR="00560842" w:rsidRPr="005B1DE8" w:rsidRDefault="00F70673" w:rsidP="00F92058">
            <w:pPr>
              <w:spacing w:after="0" w:line="240" w:lineRule="auto"/>
              <w:jc w:val="center"/>
              <w:rPr>
                <w:rFonts w:cs="Times New Roman"/>
              </w:rPr>
            </w:pPr>
            <w:r w:rsidRPr="005B1DE8">
              <w:rPr>
                <w:rFonts w:cs="Times New Roman"/>
              </w:rPr>
              <w:t>x</w:t>
            </w:r>
          </w:p>
        </w:tc>
      </w:tr>
      <w:tr w:rsidR="00560842" w:rsidRPr="005B1DE8" w:rsidTr="00AC15F6">
        <w:trPr>
          <w:trHeight w:val="267"/>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rPr>
                <w:rFonts w:cs="Times New Roman"/>
              </w:rPr>
            </w:pPr>
            <w:r w:rsidRPr="005B1DE8">
              <w:rPr>
                <w:rFonts w:cs="Times New Roman"/>
              </w:rPr>
              <w:t xml:space="preserve">Úrad pre reguláciu sieťových odvetví </w:t>
            </w:r>
          </w:p>
        </w:tc>
        <w:tc>
          <w:tcPr>
            <w:tcW w:w="493" w:type="pct"/>
            <w:tcBorders>
              <w:top w:val="outset" w:sz="6" w:space="0" w:color="000000"/>
              <w:left w:val="outset" w:sz="6" w:space="0" w:color="000000"/>
              <w:bottom w:val="outset" w:sz="6" w:space="0" w:color="000000"/>
              <w:right w:val="outset" w:sz="6" w:space="0" w:color="000000"/>
            </w:tcBorders>
          </w:tcPr>
          <w:p w:rsidR="00560842" w:rsidRPr="005B1DE8" w:rsidRDefault="0033478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tcPr>
          <w:p w:rsidR="00560842" w:rsidRPr="005B1DE8" w:rsidRDefault="00F70673" w:rsidP="00F92058">
            <w:pPr>
              <w:spacing w:after="0" w:line="240" w:lineRule="auto"/>
              <w:jc w:val="center"/>
              <w:rPr>
                <w:rFonts w:cs="Times New Roman"/>
              </w:rPr>
            </w:pPr>
            <w:r w:rsidRPr="005B1DE8">
              <w:rPr>
                <w:rFonts w:cs="Times New Roman"/>
              </w:rPr>
              <w:t>x</w:t>
            </w:r>
          </w:p>
        </w:tc>
      </w:tr>
      <w:tr w:rsidR="00560842" w:rsidRPr="005B1DE8" w:rsidTr="00AC15F6">
        <w:trPr>
          <w:trHeight w:val="210"/>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Úrad pre normalizáciu, metrológiu a skúšobníctvo Slovenskej republiky</w:t>
            </w:r>
          </w:p>
        </w:tc>
        <w:tc>
          <w:tcPr>
            <w:tcW w:w="493"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tcPr>
          <w:p w:rsidR="00560842" w:rsidRPr="005B1DE8" w:rsidRDefault="00F70673" w:rsidP="00F92058">
            <w:pPr>
              <w:spacing w:after="0" w:line="240" w:lineRule="auto"/>
              <w:jc w:val="center"/>
              <w:rPr>
                <w:rFonts w:cs="Times New Roman"/>
              </w:rPr>
            </w:pPr>
            <w:r w:rsidRPr="005B1DE8">
              <w:rPr>
                <w:rFonts w:cs="Times New Roman"/>
              </w:rPr>
              <w:t>x</w:t>
            </w:r>
          </w:p>
        </w:tc>
      </w:tr>
      <w:tr w:rsidR="00560842" w:rsidRPr="005B1DE8" w:rsidTr="00AC15F6">
        <w:trPr>
          <w:trHeight w:val="215"/>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Úrad podpredsedu vlády Slovenskej republiky pre investície a informatizáciu</w:t>
            </w:r>
          </w:p>
        </w:tc>
        <w:tc>
          <w:tcPr>
            <w:tcW w:w="493" w:type="pct"/>
            <w:tcBorders>
              <w:top w:val="outset" w:sz="6" w:space="0" w:color="000000"/>
              <w:left w:val="outset" w:sz="6" w:space="0" w:color="000000"/>
              <w:bottom w:val="outset" w:sz="6" w:space="0" w:color="000000"/>
              <w:right w:val="outset" w:sz="6" w:space="0" w:color="000000"/>
            </w:tcBorders>
          </w:tcPr>
          <w:p w:rsidR="00560842" w:rsidRPr="005B1DE8" w:rsidRDefault="00770907" w:rsidP="00F92058">
            <w:pPr>
              <w:spacing w:after="0" w:line="240" w:lineRule="auto"/>
              <w:jc w:val="center"/>
              <w:rPr>
                <w:rFonts w:cs="Times New Roman"/>
              </w:rPr>
            </w:pPr>
            <w:r>
              <w:rPr>
                <w:rFonts w:cs="Times New Roman"/>
              </w:rPr>
              <w:t>1 (0o,1</w:t>
            </w:r>
            <w:r w:rsidR="00560842" w:rsidRPr="005B1DE8">
              <w:rPr>
                <w:rFonts w:cs="Times New Roman"/>
              </w:rPr>
              <w:t>z)</w:t>
            </w:r>
          </w:p>
        </w:tc>
        <w:tc>
          <w:tcPr>
            <w:tcW w:w="443"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p>
        </w:tc>
      </w:tr>
      <w:tr w:rsidR="00560842" w:rsidRPr="005B1DE8" w:rsidTr="00AC15F6">
        <w:trPr>
          <w:trHeight w:val="223"/>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Úrad priemyselného vlastníctva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 xml:space="preserve"> </w:t>
            </w:r>
            <w:r w:rsidR="00334782"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tcPr>
          <w:p w:rsidR="00560842" w:rsidRPr="005B1DE8" w:rsidRDefault="00F70673" w:rsidP="00F92058">
            <w:pPr>
              <w:spacing w:after="0" w:line="240" w:lineRule="auto"/>
              <w:jc w:val="center"/>
              <w:rPr>
                <w:rFonts w:cs="Times New Roman"/>
              </w:rPr>
            </w:pPr>
            <w:r w:rsidRPr="005B1DE8">
              <w:rPr>
                <w:rFonts w:cs="Times New Roman"/>
              </w:rPr>
              <w:t>x</w:t>
            </w:r>
          </w:p>
        </w:tc>
      </w:tr>
      <w:tr w:rsidR="00560842" w:rsidRPr="005B1DE8" w:rsidTr="00AC15F6">
        <w:trPr>
          <w:trHeight w:val="229"/>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Úrad pre verejné obstarávanie</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33478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F70673" w:rsidP="00F92058">
            <w:pPr>
              <w:spacing w:after="0" w:line="240" w:lineRule="auto"/>
              <w:jc w:val="center"/>
              <w:rPr>
                <w:rFonts w:cs="Times New Roman"/>
              </w:rPr>
            </w:pPr>
            <w:r w:rsidRPr="005B1DE8">
              <w:rPr>
                <w:rFonts w:cs="Times New Roman"/>
              </w:rPr>
              <w:t>x</w:t>
            </w: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r>
      <w:tr w:rsidR="00560842" w:rsidRPr="005B1DE8" w:rsidTr="00AC15F6">
        <w:trPr>
          <w:trHeight w:val="248"/>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Ministerstvo spravodlivosti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770907" w:rsidP="00F92058">
            <w:pPr>
              <w:spacing w:after="0" w:line="240" w:lineRule="auto"/>
              <w:jc w:val="center"/>
              <w:rPr>
                <w:rFonts w:cs="Times New Roman"/>
              </w:rPr>
            </w:pPr>
            <w:r>
              <w:rPr>
                <w:rFonts w:cs="Times New Roman"/>
              </w:rPr>
              <w:t>1 (0o,1</w:t>
            </w:r>
            <w:r w:rsidR="00560842" w:rsidRPr="005B1DE8">
              <w:rPr>
                <w:rFonts w:cs="Times New Roman"/>
              </w:rPr>
              <w:t>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p>
        </w:tc>
      </w:tr>
      <w:tr w:rsidR="00560842" w:rsidRPr="005B1DE8" w:rsidTr="00AC15F6">
        <w:trPr>
          <w:trHeight w:val="255"/>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Úrad geodézie, kartografie a katastra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33478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F70673" w:rsidP="00F92058">
            <w:pPr>
              <w:spacing w:after="0" w:line="240" w:lineRule="auto"/>
              <w:jc w:val="center"/>
              <w:rPr>
                <w:rFonts w:cs="Times New Roman"/>
              </w:rPr>
            </w:pPr>
            <w:r w:rsidRPr="005B1DE8">
              <w:rPr>
                <w:rFonts w:cs="Times New Roman"/>
              </w:rPr>
              <w:t>x</w:t>
            </w:r>
          </w:p>
        </w:tc>
        <w:tc>
          <w:tcPr>
            <w:tcW w:w="522" w:type="pct"/>
            <w:tcBorders>
              <w:top w:val="outset" w:sz="6" w:space="0" w:color="000000"/>
              <w:left w:val="outset" w:sz="6" w:space="0" w:color="000000"/>
              <w:bottom w:val="outset" w:sz="6" w:space="0" w:color="000000"/>
              <w:right w:val="outset" w:sz="6" w:space="0" w:color="000000"/>
            </w:tcBorders>
          </w:tcPr>
          <w:p w:rsidR="00560842" w:rsidRPr="005B1DE8" w:rsidRDefault="00560842" w:rsidP="00F92058">
            <w:pPr>
              <w:spacing w:after="0" w:line="240" w:lineRule="auto"/>
              <w:jc w:val="center"/>
              <w:rPr>
                <w:rFonts w:cs="Times New Roman"/>
              </w:rPr>
            </w:pPr>
          </w:p>
        </w:tc>
      </w:tr>
      <w:tr w:rsidR="00560842" w:rsidRPr="005B1DE8" w:rsidTr="00AC15F6">
        <w:trPr>
          <w:trHeight w:val="261"/>
          <w:jc w:val="center"/>
        </w:trPr>
        <w:tc>
          <w:tcPr>
            <w:tcW w:w="192" w:type="pct"/>
            <w:tcBorders>
              <w:top w:val="outset" w:sz="6" w:space="0" w:color="000000"/>
              <w:left w:val="outset" w:sz="6" w:space="0" w:color="000000"/>
              <w:bottom w:val="outset" w:sz="6" w:space="0" w:color="000000"/>
              <w:right w:val="outset" w:sz="6" w:space="0" w:color="000000"/>
            </w:tcBorders>
          </w:tcPr>
          <w:p w:rsidR="00560842" w:rsidRPr="005B1DE8" w:rsidRDefault="00560842"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Konfederácia odborových zväzov Slovenskej republiky</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33478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tcPr>
          <w:p w:rsidR="00560842" w:rsidRPr="00565EEF" w:rsidRDefault="00F70673" w:rsidP="00F92058">
            <w:pPr>
              <w:spacing w:after="0" w:line="240" w:lineRule="auto"/>
              <w:jc w:val="center"/>
              <w:rPr>
                <w:rFonts w:cs="Times New Roman"/>
              </w:rPr>
            </w:pPr>
            <w:r w:rsidRPr="00565EEF">
              <w:rPr>
                <w:rFonts w:cs="Times New Roman"/>
              </w:rPr>
              <w:t>x</w:t>
            </w:r>
          </w:p>
        </w:tc>
      </w:tr>
      <w:tr w:rsidR="00DC01A9" w:rsidRPr="005B1DE8" w:rsidTr="00AC15F6">
        <w:trPr>
          <w:trHeight w:val="253"/>
          <w:jc w:val="center"/>
        </w:trPr>
        <w:tc>
          <w:tcPr>
            <w:tcW w:w="192" w:type="pct"/>
            <w:tcBorders>
              <w:top w:val="outset" w:sz="6" w:space="0" w:color="000000"/>
              <w:left w:val="outset" w:sz="6" w:space="0" w:color="000000"/>
              <w:bottom w:val="outset" w:sz="6" w:space="0" w:color="000000"/>
              <w:right w:val="outset" w:sz="6" w:space="0" w:color="000000"/>
            </w:tcBorders>
          </w:tcPr>
          <w:p w:rsidR="00DC01A9" w:rsidRPr="005B1DE8" w:rsidRDefault="00DC01A9"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tcPr>
          <w:p w:rsidR="00DC01A9" w:rsidRPr="005B1DE8" w:rsidRDefault="00DC01A9" w:rsidP="00F92058">
            <w:pPr>
              <w:spacing w:after="0" w:line="240" w:lineRule="auto"/>
              <w:rPr>
                <w:rFonts w:cs="Times New Roman"/>
              </w:rPr>
            </w:pPr>
            <w:r w:rsidRPr="005B1DE8">
              <w:rPr>
                <w:rFonts w:cs="Times New Roman"/>
              </w:rPr>
              <w:t>Splnomocnenec vlády SR pre podporu najmenej rozvinutých okresov</w:t>
            </w:r>
          </w:p>
        </w:tc>
        <w:tc>
          <w:tcPr>
            <w:tcW w:w="493" w:type="pct"/>
            <w:tcBorders>
              <w:top w:val="outset" w:sz="6" w:space="0" w:color="000000"/>
              <w:left w:val="outset" w:sz="6" w:space="0" w:color="000000"/>
              <w:bottom w:val="outset" w:sz="6" w:space="0" w:color="000000"/>
              <w:right w:val="outset" w:sz="6" w:space="0" w:color="000000"/>
            </w:tcBorders>
          </w:tcPr>
          <w:p w:rsidR="00DC01A9" w:rsidRPr="005B1DE8" w:rsidRDefault="00770907" w:rsidP="00F92058">
            <w:pPr>
              <w:spacing w:after="0" w:line="240" w:lineRule="auto"/>
              <w:jc w:val="center"/>
              <w:rPr>
                <w:rFonts w:cs="Times New Roman"/>
              </w:rPr>
            </w:pPr>
            <w:r>
              <w:rPr>
                <w:rFonts w:cs="Times New Roman"/>
              </w:rPr>
              <w:t>1 (1</w:t>
            </w:r>
            <w:r w:rsidR="00DC01A9" w:rsidRPr="005B1DE8">
              <w:rPr>
                <w:rFonts w:cs="Times New Roman"/>
              </w:rPr>
              <w:t>o,0z)</w:t>
            </w:r>
          </w:p>
        </w:tc>
        <w:tc>
          <w:tcPr>
            <w:tcW w:w="443" w:type="pct"/>
            <w:tcBorders>
              <w:top w:val="outset" w:sz="6" w:space="0" w:color="000000"/>
              <w:left w:val="outset" w:sz="6" w:space="0" w:color="000000"/>
              <w:bottom w:val="outset" w:sz="6" w:space="0" w:color="000000"/>
              <w:right w:val="outset" w:sz="6" w:space="0" w:color="000000"/>
            </w:tcBorders>
          </w:tcPr>
          <w:p w:rsidR="00DC01A9" w:rsidRPr="005B1DE8" w:rsidRDefault="00DC01A9"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tcPr>
          <w:p w:rsidR="00DC01A9" w:rsidRPr="005B1DE8" w:rsidRDefault="00DC01A9"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tcPr>
          <w:p w:rsidR="00DC01A9" w:rsidRPr="005B1DE8" w:rsidRDefault="00DC01A9" w:rsidP="00F92058">
            <w:pPr>
              <w:spacing w:after="0" w:line="240" w:lineRule="auto"/>
              <w:jc w:val="center"/>
              <w:rPr>
                <w:rFonts w:cs="Times New Roman"/>
                <w:b/>
              </w:rPr>
            </w:pPr>
          </w:p>
        </w:tc>
      </w:tr>
      <w:tr w:rsidR="005B1DE8" w:rsidRPr="005B1DE8" w:rsidTr="00AC15F6">
        <w:trPr>
          <w:trHeight w:val="272"/>
          <w:jc w:val="center"/>
        </w:trPr>
        <w:tc>
          <w:tcPr>
            <w:tcW w:w="192" w:type="pct"/>
            <w:tcBorders>
              <w:top w:val="outset" w:sz="6" w:space="0" w:color="000000"/>
              <w:left w:val="outset" w:sz="6" w:space="0" w:color="000000"/>
              <w:bottom w:val="outset" w:sz="6" w:space="0" w:color="000000"/>
              <w:right w:val="outset" w:sz="6" w:space="0" w:color="000000"/>
            </w:tcBorders>
          </w:tcPr>
          <w:p w:rsidR="005B1DE8" w:rsidRPr="005B1DE8" w:rsidRDefault="005B1DE8" w:rsidP="00560842">
            <w:pPr>
              <w:pStyle w:val="Odsekzoznamu"/>
              <w:numPr>
                <w:ilvl w:val="0"/>
                <w:numId w:val="1"/>
              </w:numPr>
              <w:spacing w:after="0" w:line="240" w:lineRule="auto"/>
              <w:jc w:val="center"/>
            </w:pPr>
          </w:p>
        </w:tc>
        <w:tc>
          <w:tcPr>
            <w:tcW w:w="2907" w:type="pct"/>
            <w:tcBorders>
              <w:top w:val="outset" w:sz="6" w:space="0" w:color="000000"/>
              <w:left w:val="outset" w:sz="6" w:space="0" w:color="000000"/>
              <w:bottom w:val="outset" w:sz="6" w:space="0" w:color="000000"/>
              <w:right w:val="outset" w:sz="6" w:space="0" w:color="000000"/>
            </w:tcBorders>
          </w:tcPr>
          <w:p w:rsidR="005B1DE8" w:rsidRPr="005B1DE8" w:rsidRDefault="005B1DE8" w:rsidP="00F92058">
            <w:pPr>
              <w:spacing w:after="0" w:line="240" w:lineRule="auto"/>
              <w:rPr>
                <w:rFonts w:cs="Times New Roman"/>
              </w:rPr>
            </w:pPr>
            <w:r>
              <w:rPr>
                <w:rFonts w:cs="Times New Roman"/>
              </w:rPr>
              <w:t>Štátna pokladnica</w:t>
            </w:r>
          </w:p>
        </w:tc>
        <w:tc>
          <w:tcPr>
            <w:tcW w:w="493" w:type="pct"/>
            <w:tcBorders>
              <w:top w:val="outset" w:sz="6" w:space="0" w:color="000000"/>
              <w:left w:val="outset" w:sz="6" w:space="0" w:color="000000"/>
              <w:bottom w:val="outset" w:sz="6" w:space="0" w:color="000000"/>
              <w:right w:val="outset" w:sz="6" w:space="0" w:color="000000"/>
            </w:tcBorders>
          </w:tcPr>
          <w:p w:rsidR="005B1DE8" w:rsidRPr="005B1DE8" w:rsidRDefault="00B022CA"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tcPr>
          <w:p w:rsidR="005B1DE8" w:rsidRPr="005B1DE8" w:rsidRDefault="00B022CA"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tcPr>
          <w:p w:rsidR="005B1DE8" w:rsidRPr="005B1DE8" w:rsidRDefault="00B022CA" w:rsidP="00F92058">
            <w:pPr>
              <w:spacing w:after="0" w:line="240" w:lineRule="auto"/>
              <w:jc w:val="center"/>
              <w:rPr>
                <w:rFonts w:cs="Times New Roman"/>
              </w:rPr>
            </w:pPr>
            <w:r>
              <w:rPr>
                <w:rFonts w:cs="Times New Roman"/>
              </w:rPr>
              <w:t>x</w:t>
            </w:r>
          </w:p>
        </w:tc>
        <w:tc>
          <w:tcPr>
            <w:tcW w:w="522" w:type="pct"/>
            <w:tcBorders>
              <w:top w:val="outset" w:sz="6" w:space="0" w:color="000000"/>
              <w:left w:val="outset" w:sz="6" w:space="0" w:color="000000"/>
              <w:bottom w:val="outset" w:sz="6" w:space="0" w:color="000000"/>
              <w:right w:val="outset" w:sz="6" w:space="0" w:color="000000"/>
            </w:tcBorders>
          </w:tcPr>
          <w:p w:rsidR="005B1DE8" w:rsidRPr="005B1DE8" w:rsidRDefault="005B1DE8" w:rsidP="00F92058">
            <w:pPr>
              <w:spacing w:after="0" w:line="240" w:lineRule="auto"/>
              <w:jc w:val="center"/>
              <w:rPr>
                <w:rFonts w:cs="Times New Roman"/>
                <w:b/>
              </w:rPr>
            </w:pPr>
          </w:p>
        </w:tc>
      </w:tr>
      <w:tr w:rsidR="00560842" w:rsidRPr="005B1DE8" w:rsidTr="00212CDC">
        <w:trPr>
          <w:trHeight w:val="407"/>
          <w:jc w:val="center"/>
        </w:trPr>
        <w:tc>
          <w:tcPr>
            <w:tcW w:w="192"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2907"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rPr>
                <w:rFonts w:cs="Times New Roman"/>
              </w:rPr>
            </w:pPr>
            <w:r w:rsidRPr="005B1DE8">
              <w:rPr>
                <w:rFonts w:cs="Times New Roman"/>
              </w:rPr>
              <w:t>Spolu</w:t>
            </w:r>
          </w:p>
        </w:tc>
        <w:tc>
          <w:tcPr>
            <w:tcW w:w="493" w:type="pct"/>
            <w:tcBorders>
              <w:top w:val="outset" w:sz="6" w:space="0" w:color="000000"/>
              <w:left w:val="outset" w:sz="6" w:space="0" w:color="000000"/>
              <w:bottom w:val="outset" w:sz="6" w:space="0" w:color="000000"/>
              <w:right w:val="outset" w:sz="6" w:space="0" w:color="000000"/>
            </w:tcBorders>
            <w:hideMark/>
          </w:tcPr>
          <w:p w:rsidR="00560842" w:rsidRPr="005B1DE8" w:rsidRDefault="00DC01A9" w:rsidP="00DC01A9">
            <w:pPr>
              <w:spacing w:after="0" w:line="240" w:lineRule="auto"/>
              <w:jc w:val="center"/>
              <w:rPr>
                <w:rFonts w:cs="Times New Roman"/>
              </w:rPr>
            </w:pPr>
            <w:r w:rsidRPr="005B1DE8">
              <w:rPr>
                <w:rFonts w:cs="Times New Roman"/>
              </w:rPr>
              <w:t>17 (12o,5</w:t>
            </w:r>
            <w:r w:rsidR="00560842" w:rsidRPr="005B1DE8">
              <w:rPr>
                <w:rFonts w:cs="Times New Roman"/>
              </w:rPr>
              <w:t>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r w:rsidRPr="005B1DE8">
              <w:rPr>
                <w:rFonts w:cs="Times New Roman"/>
              </w:rPr>
              <w:t>0 (0o,0z)</w:t>
            </w:r>
          </w:p>
        </w:tc>
        <w:tc>
          <w:tcPr>
            <w:tcW w:w="443"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c>
          <w:tcPr>
            <w:tcW w:w="522" w:type="pct"/>
            <w:tcBorders>
              <w:top w:val="outset" w:sz="6" w:space="0" w:color="000000"/>
              <w:left w:val="outset" w:sz="6" w:space="0" w:color="000000"/>
              <w:bottom w:val="outset" w:sz="6" w:space="0" w:color="000000"/>
              <w:right w:val="outset" w:sz="6" w:space="0" w:color="000000"/>
            </w:tcBorders>
            <w:hideMark/>
          </w:tcPr>
          <w:p w:rsidR="00560842" w:rsidRPr="005B1DE8" w:rsidRDefault="00560842" w:rsidP="00F92058">
            <w:pPr>
              <w:spacing w:after="0" w:line="240" w:lineRule="auto"/>
              <w:jc w:val="center"/>
              <w:rPr>
                <w:rFonts w:cs="Times New Roman"/>
              </w:rPr>
            </w:pPr>
          </w:p>
        </w:tc>
      </w:tr>
    </w:tbl>
    <w:p w:rsidR="00560842" w:rsidRPr="00692A34" w:rsidRDefault="00560842">
      <w:pPr>
        <w:rPr>
          <w:sz w:val="24"/>
          <w:szCs w:val="24"/>
        </w:rPr>
      </w:pPr>
    </w:p>
    <w:p w:rsidR="00560842" w:rsidRPr="00692A34" w:rsidRDefault="00560842" w:rsidP="00560842">
      <w:pPr>
        <w:spacing w:after="0" w:line="240" w:lineRule="auto"/>
        <w:rPr>
          <w:b/>
          <w:bCs/>
          <w:color w:val="000000"/>
          <w:sz w:val="24"/>
          <w:szCs w:val="24"/>
        </w:rPr>
      </w:pPr>
      <w:r w:rsidRPr="00692A34">
        <w:rPr>
          <w:bCs/>
          <w:color w:val="000000"/>
          <w:sz w:val="24"/>
          <w:szCs w:val="24"/>
          <w:lang w:eastAsia="sk-SK"/>
        </w:rPr>
        <w:t>Vyhodnotenie vecných pripomienok je uvedené v tabuľkovej časti.</w:t>
      </w:r>
    </w:p>
    <w:tbl>
      <w:tblPr>
        <w:tblW w:w="0" w:type="auto"/>
        <w:tblLayout w:type="fixed"/>
        <w:tblLook w:val="0000" w:firstRow="0" w:lastRow="0" w:firstColumn="0" w:lastColumn="0" w:noHBand="0" w:noVBand="0"/>
      </w:tblPr>
      <w:tblGrid>
        <w:gridCol w:w="1809"/>
        <w:gridCol w:w="3119"/>
      </w:tblGrid>
      <w:tr w:rsidR="00560842" w:rsidRPr="00692A34" w:rsidTr="00F92058">
        <w:trPr>
          <w:cantSplit/>
        </w:trPr>
        <w:tc>
          <w:tcPr>
            <w:tcW w:w="4928" w:type="dxa"/>
            <w:gridSpan w:val="2"/>
          </w:tcPr>
          <w:p w:rsidR="00560842" w:rsidRPr="00692A34" w:rsidRDefault="00560842" w:rsidP="00F92058">
            <w:pPr>
              <w:pStyle w:val="Zkladntext"/>
              <w:widowControl/>
              <w:jc w:val="both"/>
              <w:rPr>
                <w:rFonts w:asciiTheme="minorHAnsi" w:hAnsiTheme="minorHAnsi"/>
                <w:b w:val="0"/>
                <w:color w:val="000000"/>
                <w:sz w:val="24"/>
                <w:szCs w:val="24"/>
              </w:rPr>
            </w:pPr>
            <w:r w:rsidRPr="00692A34">
              <w:rPr>
                <w:rFonts w:asciiTheme="minorHAnsi" w:hAnsiTheme="minorHAnsi"/>
                <w:b w:val="0"/>
                <w:color w:val="000000"/>
                <w:sz w:val="24"/>
                <w:szCs w:val="24"/>
              </w:rPr>
              <w:t>Vysvetlivky  k použitým skratkám v tabuľke:</w:t>
            </w:r>
          </w:p>
        </w:tc>
      </w:tr>
      <w:tr w:rsidR="00560842" w:rsidRPr="00692A34" w:rsidTr="00F92058">
        <w:trPr>
          <w:cantSplit/>
        </w:trPr>
        <w:tc>
          <w:tcPr>
            <w:tcW w:w="1809" w:type="dxa"/>
          </w:tcPr>
          <w:p w:rsidR="00560842" w:rsidRPr="00692A34" w:rsidRDefault="00560842" w:rsidP="00F92058">
            <w:pPr>
              <w:pStyle w:val="Zkladntext"/>
              <w:widowControl/>
              <w:jc w:val="both"/>
              <w:rPr>
                <w:rFonts w:asciiTheme="minorHAnsi" w:hAnsiTheme="minorHAnsi"/>
                <w:b w:val="0"/>
                <w:color w:val="000000"/>
                <w:sz w:val="24"/>
                <w:szCs w:val="24"/>
              </w:rPr>
            </w:pPr>
            <w:r w:rsidRPr="00692A34">
              <w:rPr>
                <w:rFonts w:asciiTheme="minorHAnsi" w:hAnsiTheme="minorHAnsi"/>
                <w:b w:val="0"/>
                <w:color w:val="000000"/>
                <w:sz w:val="24"/>
                <w:szCs w:val="24"/>
              </w:rPr>
              <w:t>O – obyčajná</w:t>
            </w:r>
          </w:p>
        </w:tc>
        <w:tc>
          <w:tcPr>
            <w:tcW w:w="3119" w:type="dxa"/>
          </w:tcPr>
          <w:p w:rsidR="00560842" w:rsidRPr="00692A34" w:rsidRDefault="00560842" w:rsidP="00F92058">
            <w:pPr>
              <w:pStyle w:val="Zkladntext"/>
              <w:widowControl/>
              <w:jc w:val="both"/>
              <w:rPr>
                <w:rFonts w:asciiTheme="minorHAnsi" w:hAnsiTheme="minorHAnsi"/>
                <w:b w:val="0"/>
                <w:color w:val="000000"/>
                <w:sz w:val="24"/>
                <w:szCs w:val="24"/>
              </w:rPr>
            </w:pPr>
            <w:r w:rsidRPr="00692A34">
              <w:rPr>
                <w:rFonts w:asciiTheme="minorHAnsi" w:hAnsiTheme="minorHAnsi"/>
                <w:b w:val="0"/>
                <w:color w:val="000000"/>
                <w:sz w:val="24"/>
                <w:szCs w:val="24"/>
              </w:rPr>
              <w:t>A – akceptovaná</w:t>
            </w:r>
          </w:p>
        </w:tc>
      </w:tr>
      <w:tr w:rsidR="00560842" w:rsidRPr="00692A34" w:rsidTr="00F92058">
        <w:trPr>
          <w:cantSplit/>
        </w:trPr>
        <w:tc>
          <w:tcPr>
            <w:tcW w:w="1809" w:type="dxa"/>
          </w:tcPr>
          <w:p w:rsidR="00560842" w:rsidRPr="00692A34" w:rsidRDefault="00560842" w:rsidP="00F92058">
            <w:pPr>
              <w:pStyle w:val="Zkladntext"/>
              <w:widowControl/>
              <w:jc w:val="both"/>
              <w:rPr>
                <w:rFonts w:asciiTheme="minorHAnsi" w:hAnsiTheme="minorHAnsi"/>
                <w:b w:val="0"/>
                <w:color w:val="000000"/>
                <w:sz w:val="24"/>
                <w:szCs w:val="24"/>
              </w:rPr>
            </w:pPr>
            <w:r w:rsidRPr="00692A34">
              <w:rPr>
                <w:rFonts w:asciiTheme="minorHAnsi" w:hAnsiTheme="minorHAnsi"/>
                <w:b w:val="0"/>
                <w:color w:val="000000"/>
                <w:sz w:val="24"/>
                <w:szCs w:val="24"/>
              </w:rPr>
              <w:t>Z – zásadná</w:t>
            </w:r>
          </w:p>
        </w:tc>
        <w:tc>
          <w:tcPr>
            <w:tcW w:w="3119" w:type="dxa"/>
          </w:tcPr>
          <w:p w:rsidR="00560842" w:rsidRPr="00692A34" w:rsidRDefault="00560842" w:rsidP="00F92058">
            <w:pPr>
              <w:pStyle w:val="Zkladntext"/>
              <w:widowControl/>
              <w:jc w:val="both"/>
              <w:rPr>
                <w:rFonts w:asciiTheme="minorHAnsi" w:hAnsiTheme="minorHAnsi"/>
                <w:b w:val="0"/>
                <w:color w:val="000000"/>
                <w:sz w:val="24"/>
                <w:szCs w:val="24"/>
              </w:rPr>
            </w:pPr>
            <w:r w:rsidRPr="00692A34">
              <w:rPr>
                <w:rFonts w:asciiTheme="minorHAnsi" w:hAnsiTheme="minorHAnsi"/>
                <w:b w:val="0"/>
                <w:color w:val="000000"/>
                <w:sz w:val="24"/>
                <w:szCs w:val="24"/>
              </w:rPr>
              <w:t>N – neakceptovaná</w:t>
            </w:r>
          </w:p>
        </w:tc>
      </w:tr>
      <w:tr w:rsidR="00560842" w:rsidRPr="00692A34" w:rsidTr="00F92058">
        <w:trPr>
          <w:cantSplit/>
        </w:trPr>
        <w:tc>
          <w:tcPr>
            <w:tcW w:w="1809" w:type="dxa"/>
          </w:tcPr>
          <w:p w:rsidR="00560842" w:rsidRPr="00692A34" w:rsidRDefault="00560842" w:rsidP="00F92058">
            <w:pPr>
              <w:pStyle w:val="Zkladntext"/>
              <w:widowControl/>
              <w:jc w:val="both"/>
              <w:rPr>
                <w:rFonts w:asciiTheme="minorHAnsi" w:hAnsiTheme="minorHAnsi"/>
                <w:b w:val="0"/>
                <w:color w:val="000000"/>
                <w:sz w:val="24"/>
                <w:szCs w:val="24"/>
              </w:rPr>
            </w:pPr>
          </w:p>
        </w:tc>
        <w:tc>
          <w:tcPr>
            <w:tcW w:w="3119" w:type="dxa"/>
          </w:tcPr>
          <w:p w:rsidR="00560842" w:rsidRPr="00692A34" w:rsidRDefault="00560842" w:rsidP="00F92058">
            <w:pPr>
              <w:pStyle w:val="Zkladntext"/>
              <w:widowControl/>
              <w:jc w:val="both"/>
              <w:rPr>
                <w:rFonts w:asciiTheme="minorHAnsi" w:hAnsiTheme="minorHAnsi"/>
                <w:b w:val="0"/>
                <w:color w:val="000000"/>
                <w:sz w:val="24"/>
                <w:szCs w:val="24"/>
              </w:rPr>
            </w:pPr>
            <w:r w:rsidRPr="00692A34">
              <w:rPr>
                <w:rFonts w:asciiTheme="minorHAnsi" w:hAnsiTheme="minorHAnsi"/>
                <w:b w:val="0"/>
                <w:color w:val="000000"/>
                <w:sz w:val="24"/>
                <w:szCs w:val="24"/>
              </w:rPr>
              <w:t>ČA – čiastočne akceptovaná</w:t>
            </w:r>
          </w:p>
        </w:tc>
      </w:tr>
    </w:tbl>
    <w:p w:rsidR="00560842" w:rsidRPr="00692A34" w:rsidRDefault="00560842">
      <w:pPr>
        <w:rPr>
          <w:sz w:val="24"/>
          <w:szCs w:val="24"/>
        </w:rPr>
      </w:pPr>
    </w:p>
    <w:p w:rsidR="004F0381" w:rsidRPr="00692A34" w:rsidRDefault="004F0381">
      <w:pPr>
        <w:rPr>
          <w:sz w:val="24"/>
          <w:szCs w:val="24"/>
        </w:rPr>
        <w:sectPr w:rsidR="004F0381" w:rsidRPr="00692A34" w:rsidSect="003D4CE2">
          <w:pgSz w:w="16838" w:h="11906" w:orient="landscape"/>
          <w:pgMar w:top="1134" w:right="1417" w:bottom="1417" w:left="1417" w:header="708" w:footer="708" w:gutter="0"/>
          <w:cols w:space="708"/>
          <w:docGrid w:linePitch="360"/>
        </w:sectPr>
      </w:pPr>
    </w:p>
    <w:tbl>
      <w:tblPr>
        <w:tblStyle w:val="Mriekatabuky"/>
        <w:tblW w:w="15451" w:type="dxa"/>
        <w:tblInd w:w="-601" w:type="dxa"/>
        <w:tblBorders>
          <w:insideH w:val="single" w:sz="6" w:space="0" w:color="auto"/>
          <w:insideV w:val="single" w:sz="6" w:space="0" w:color="auto"/>
        </w:tblBorders>
        <w:tblLayout w:type="fixed"/>
        <w:tblLook w:val="04A0" w:firstRow="1" w:lastRow="0" w:firstColumn="1" w:lastColumn="0" w:noHBand="0" w:noVBand="1"/>
      </w:tblPr>
      <w:tblGrid>
        <w:gridCol w:w="710"/>
        <w:gridCol w:w="1275"/>
        <w:gridCol w:w="1559"/>
        <w:gridCol w:w="709"/>
        <w:gridCol w:w="8930"/>
        <w:gridCol w:w="2268"/>
      </w:tblGrid>
      <w:tr w:rsidR="004F0381" w:rsidRPr="00692A34" w:rsidTr="00437CF6">
        <w:trPr>
          <w:trHeight w:val="143"/>
        </w:trPr>
        <w:tc>
          <w:tcPr>
            <w:tcW w:w="710" w:type="dxa"/>
            <w:tcBorders>
              <w:top w:val="single" w:sz="4" w:space="0" w:color="auto"/>
              <w:bottom w:val="single" w:sz="4" w:space="0" w:color="auto"/>
              <w:right w:val="single" w:sz="4" w:space="0" w:color="auto"/>
            </w:tcBorders>
          </w:tcPr>
          <w:p w:rsidR="00560842" w:rsidRPr="00692A34" w:rsidRDefault="00C942F6" w:rsidP="00F92058">
            <w:pPr>
              <w:pStyle w:val="Odsekzoznamu"/>
              <w:ind w:left="33"/>
              <w:rPr>
                <w:b/>
                <w:sz w:val="24"/>
                <w:szCs w:val="24"/>
              </w:rPr>
            </w:pPr>
            <w:r w:rsidRPr="00692A34">
              <w:rPr>
                <w:b/>
                <w:sz w:val="24"/>
                <w:szCs w:val="24"/>
              </w:rPr>
              <w:lastRenderedPageBreak/>
              <w:t>č</w:t>
            </w:r>
            <w:r w:rsidR="00560842" w:rsidRPr="00692A34">
              <w:rPr>
                <w:b/>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rsidR="00560842" w:rsidRPr="00692A34" w:rsidRDefault="00560842" w:rsidP="00F92058">
            <w:pPr>
              <w:rPr>
                <w:b/>
                <w:sz w:val="24"/>
                <w:szCs w:val="24"/>
              </w:rPr>
            </w:pPr>
            <w:r w:rsidRPr="00692A34">
              <w:rPr>
                <w:b/>
                <w:sz w:val="24"/>
                <w:szCs w:val="24"/>
              </w:rPr>
              <w:t>Subjekt</w:t>
            </w:r>
          </w:p>
        </w:tc>
        <w:tc>
          <w:tcPr>
            <w:tcW w:w="1559" w:type="dxa"/>
            <w:tcBorders>
              <w:top w:val="single" w:sz="4" w:space="0" w:color="auto"/>
              <w:left w:val="single" w:sz="4" w:space="0" w:color="auto"/>
              <w:bottom w:val="single" w:sz="4" w:space="0" w:color="auto"/>
              <w:right w:val="single" w:sz="4" w:space="0" w:color="auto"/>
            </w:tcBorders>
          </w:tcPr>
          <w:p w:rsidR="00560842" w:rsidRPr="00692A34" w:rsidRDefault="00560842" w:rsidP="00F92058">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560842" w:rsidRPr="00692A34" w:rsidRDefault="00560842" w:rsidP="00625EAF">
            <w:pPr>
              <w:jc w:val="center"/>
              <w:rPr>
                <w:b/>
                <w:sz w:val="24"/>
                <w:szCs w:val="24"/>
              </w:rPr>
            </w:pPr>
            <w:r w:rsidRPr="00692A34">
              <w:rPr>
                <w:b/>
                <w:sz w:val="24"/>
                <w:szCs w:val="24"/>
              </w:rPr>
              <w:t>Typ</w:t>
            </w:r>
          </w:p>
        </w:tc>
        <w:tc>
          <w:tcPr>
            <w:tcW w:w="8930" w:type="dxa"/>
            <w:tcBorders>
              <w:top w:val="single" w:sz="4" w:space="0" w:color="auto"/>
              <w:left w:val="single" w:sz="4" w:space="0" w:color="auto"/>
              <w:bottom w:val="single" w:sz="4" w:space="0" w:color="auto"/>
              <w:right w:val="single" w:sz="4" w:space="0" w:color="auto"/>
            </w:tcBorders>
          </w:tcPr>
          <w:p w:rsidR="00560842" w:rsidRPr="00692A34" w:rsidRDefault="00560842" w:rsidP="00F92058">
            <w:pPr>
              <w:rPr>
                <w:b/>
                <w:sz w:val="24"/>
                <w:szCs w:val="24"/>
              </w:rPr>
            </w:pPr>
            <w:r w:rsidRPr="00692A34">
              <w:rPr>
                <w:b/>
                <w:sz w:val="24"/>
                <w:szCs w:val="24"/>
              </w:rPr>
              <w:t>Pripomienka</w:t>
            </w:r>
          </w:p>
        </w:tc>
        <w:tc>
          <w:tcPr>
            <w:tcW w:w="2268" w:type="dxa"/>
            <w:tcBorders>
              <w:top w:val="single" w:sz="4" w:space="0" w:color="auto"/>
              <w:left w:val="single" w:sz="4" w:space="0" w:color="auto"/>
              <w:bottom w:val="single" w:sz="4" w:space="0" w:color="auto"/>
            </w:tcBorders>
          </w:tcPr>
          <w:p w:rsidR="00560842" w:rsidRPr="00692A34" w:rsidRDefault="00560842" w:rsidP="00F92058">
            <w:pPr>
              <w:rPr>
                <w:b/>
                <w:sz w:val="24"/>
                <w:szCs w:val="24"/>
              </w:rPr>
            </w:pPr>
            <w:r w:rsidRPr="00692A34">
              <w:rPr>
                <w:b/>
                <w:sz w:val="24"/>
                <w:szCs w:val="24"/>
              </w:rPr>
              <w:t>Vyhodnotenie</w:t>
            </w:r>
          </w:p>
        </w:tc>
      </w:tr>
      <w:tr w:rsidR="004F0381" w:rsidRPr="00692A34" w:rsidTr="00437CF6">
        <w:trPr>
          <w:trHeight w:val="143"/>
        </w:trPr>
        <w:tc>
          <w:tcPr>
            <w:tcW w:w="710" w:type="dxa"/>
            <w:tcBorders>
              <w:top w:val="single" w:sz="4" w:space="0" w:color="auto"/>
            </w:tcBorders>
          </w:tcPr>
          <w:p w:rsidR="00560842" w:rsidRPr="00692A34" w:rsidRDefault="00560842" w:rsidP="00560842">
            <w:pPr>
              <w:pStyle w:val="Odsekzoznamu"/>
              <w:numPr>
                <w:ilvl w:val="0"/>
                <w:numId w:val="2"/>
              </w:numPr>
              <w:ind w:left="33" w:firstLine="0"/>
              <w:rPr>
                <w:b/>
                <w:sz w:val="24"/>
                <w:szCs w:val="24"/>
              </w:rPr>
            </w:pPr>
          </w:p>
        </w:tc>
        <w:tc>
          <w:tcPr>
            <w:tcW w:w="1275" w:type="dxa"/>
            <w:tcBorders>
              <w:top w:val="single" w:sz="4" w:space="0" w:color="auto"/>
            </w:tcBorders>
          </w:tcPr>
          <w:p w:rsidR="00560842" w:rsidRPr="00692A34" w:rsidRDefault="00720652" w:rsidP="00F92058">
            <w:pPr>
              <w:rPr>
                <w:b/>
                <w:sz w:val="24"/>
                <w:szCs w:val="24"/>
              </w:rPr>
            </w:pPr>
            <w:r w:rsidRPr="00692A34">
              <w:rPr>
                <w:b/>
                <w:sz w:val="24"/>
                <w:szCs w:val="24"/>
              </w:rPr>
              <w:t>MPRVSR</w:t>
            </w:r>
          </w:p>
        </w:tc>
        <w:tc>
          <w:tcPr>
            <w:tcW w:w="1559" w:type="dxa"/>
            <w:tcBorders>
              <w:top w:val="single" w:sz="4" w:space="0" w:color="auto"/>
            </w:tcBorders>
          </w:tcPr>
          <w:p w:rsidR="00560842" w:rsidRPr="00692A34" w:rsidRDefault="002D6191" w:rsidP="00F92058">
            <w:pPr>
              <w:rPr>
                <w:sz w:val="24"/>
                <w:szCs w:val="24"/>
              </w:rPr>
            </w:pPr>
            <w:r w:rsidRPr="00692A34">
              <w:rPr>
                <w:sz w:val="24"/>
                <w:szCs w:val="24"/>
              </w:rPr>
              <w:t>§1 písm. b</w:t>
            </w:r>
          </w:p>
        </w:tc>
        <w:tc>
          <w:tcPr>
            <w:tcW w:w="709" w:type="dxa"/>
            <w:tcBorders>
              <w:top w:val="single" w:sz="4" w:space="0" w:color="auto"/>
            </w:tcBorders>
          </w:tcPr>
          <w:p w:rsidR="00560842" w:rsidRPr="00692A34" w:rsidRDefault="002D6191" w:rsidP="00625EAF">
            <w:pPr>
              <w:jc w:val="center"/>
              <w:rPr>
                <w:b/>
                <w:sz w:val="24"/>
                <w:szCs w:val="24"/>
              </w:rPr>
            </w:pPr>
            <w:r w:rsidRPr="00692A34">
              <w:rPr>
                <w:b/>
                <w:sz w:val="24"/>
                <w:szCs w:val="24"/>
              </w:rPr>
              <w:t>Z</w:t>
            </w:r>
          </w:p>
        </w:tc>
        <w:tc>
          <w:tcPr>
            <w:tcW w:w="8930" w:type="dxa"/>
            <w:tcBorders>
              <w:top w:val="single" w:sz="4" w:space="0" w:color="auto"/>
            </w:tcBorders>
          </w:tcPr>
          <w:p w:rsidR="00560842" w:rsidRPr="00692A34" w:rsidRDefault="002D6191" w:rsidP="00F92058">
            <w:pPr>
              <w:rPr>
                <w:sz w:val="24"/>
                <w:szCs w:val="24"/>
              </w:rPr>
            </w:pPr>
            <w:r w:rsidRPr="00692A34">
              <w:rPr>
                <w:sz w:val="24"/>
                <w:szCs w:val="24"/>
              </w:rPr>
              <w:t xml:space="preserve">Žiadame doplniť názov ústredného orgánu štátnej správy do §1 písm. b) ako číslo 5. Ministerstvo pôdohospodárstva a rozvoja vidieka SR. Odôvodnenie: MPRV SR ako riadiaci orgán pre program spolupráce </w:t>
            </w:r>
            <w:proofErr w:type="spellStart"/>
            <w:r w:rsidRPr="00692A34">
              <w:rPr>
                <w:sz w:val="24"/>
                <w:szCs w:val="24"/>
              </w:rPr>
              <w:t>Interreg</w:t>
            </w:r>
            <w:proofErr w:type="spellEnd"/>
            <w:r w:rsidRPr="00692A34">
              <w:rPr>
                <w:sz w:val="24"/>
                <w:szCs w:val="24"/>
              </w:rPr>
              <w:t xml:space="preserve"> SK – CZ 2014 – 2020 má vyčlenené 2 miesta pre českých štátnych príslušníkov na oddelení spoločných technických sekretariátov programov CS z dôvodu uzavretých dohôd medzi MPRV SR a MMR ČR.</w:t>
            </w:r>
          </w:p>
        </w:tc>
        <w:tc>
          <w:tcPr>
            <w:tcW w:w="2268" w:type="dxa"/>
            <w:tcBorders>
              <w:top w:val="single" w:sz="4" w:space="0" w:color="auto"/>
            </w:tcBorders>
          </w:tcPr>
          <w:p w:rsidR="00560842" w:rsidRDefault="00A32A39" w:rsidP="00A32A39">
            <w:pPr>
              <w:jc w:val="center"/>
              <w:rPr>
                <w:b/>
                <w:sz w:val="24"/>
                <w:szCs w:val="24"/>
              </w:rPr>
            </w:pPr>
            <w:r>
              <w:rPr>
                <w:b/>
                <w:sz w:val="24"/>
                <w:szCs w:val="24"/>
              </w:rPr>
              <w:t>N</w:t>
            </w:r>
          </w:p>
          <w:p w:rsidR="00A32A39" w:rsidRDefault="00A32A39" w:rsidP="00A32A39">
            <w:pPr>
              <w:rPr>
                <w:sz w:val="24"/>
                <w:szCs w:val="24"/>
              </w:rPr>
            </w:pPr>
          </w:p>
          <w:p w:rsidR="008D2726" w:rsidRDefault="008D2726" w:rsidP="00CD2EF9">
            <w:pPr>
              <w:rPr>
                <w:rFonts w:cstheme="minorHAnsi"/>
                <w:sz w:val="24"/>
                <w:szCs w:val="24"/>
              </w:rPr>
            </w:pPr>
            <w:r>
              <w:rPr>
                <w:sz w:val="24"/>
                <w:szCs w:val="24"/>
              </w:rPr>
              <w:t>Vzhľadom na rozpor medzi textom pripomienky a jej odôvodnením, predkladateľ prerokoval dňa 21.3.2017 pripomienku s MPRSV SR, ktoré následne písomne pripomienku stiahlo.</w:t>
            </w:r>
          </w:p>
          <w:p w:rsidR="00CD2EF9" w:rsidRPr="002C699E" w:rsidRDefault="00CD2EF9" w:rsidP="00CD2EF9">
            <w:pPr>
              <w:rPr>
                <w:rFonts w:cstheme="minorHAnsi"/>
                <w:sz w:val="24"/>
                <w:szCs w:val="24"/>
              </w:rPr>
            </w:pPr>
          </w:p>
        </w:tc>
      </w:tr>
      <w:tr w:rsidR="004F0381" w:rsidRPr="00692A34" w:rsidTr="00437CF6">
        <w:trPr>
          <w:trHeight w:val="143"/>
        </w:trPr>
        <w:tc>
          <w:tcPr>
            <w:tcW w:w="710" w:type="dxa"/>
          </w:tcPr>
          <w:p w:rsidR="00560842" w:rsidRPr="00692A34" w:rsidRDefault="00560842" w:rsidP="00560842">
            <w:pPr>
              <w:pStyle w:val="Odsekzoznamu"/>
              <w:numPr>
                <w:ilvl w:val="0"/>
                <w:numId w:val="2"/>
              </w:numPr>
              <w:ind w:left="33" w:firstLine="0"/>
              <w:rPr>
                <w:b/>
                <w:sz w:val="24"/>
                <w:szCs w:val="24"/>
              </w:rPr>
            </w:pPr>
          </w:p>
        </w:tc>
        <w:tc>
          <w:tcPr>
            <w:tcW w:w="1275" w:type="dxa"/>
          </w:tcPr>
          <w:p w:rsidR="00560842" w:rsidRPr="00692A34" w:rsidRDefault="002D6191" w:rsidP="00F92058">
            <w:pPr>
              <w:rPr>
                <w:b/>
                <w:sz w:val="24"/>
                <w:szCs w:val="24"/>
              </w:rPr>
            </w:pPr>
            <w:r w:rsidRPr="00692A34">
              <w:rPr>
                <w:b/>
                <w:sz w:val="24"/>
                <w:szCs w:val="24"/>
              </w:rPr>
              <w:t>MPRVSR</w:t>
            </w:r>
          </w:p>
        </w:tc>
        <w:tc>
          <w:tcPr>
            <w:tcW w:w="1559" w:type="dxa"/>
          </w:tcPr>
          <w:p w:rsidR="00560842" w:rsidRPr="00692A34" w:rsidRDefault="002D6191" w:rsidP="00F92058">
            <w:pPr>
              <w:rPr>
                <w:sz w:val="24"/>
                <w:szCs w:val="24"/>
              </w:rPr>
            </w:pPr>
            <w:r w:rsidRPr="00692A34">
              <w:rPr>
                <w:sz w:val="24"/>
                <w:szCs w:val="24"/>
              </w:rPr>
              <w:t>§1 písm.</w:t>
            </w:r>
            <w:r w:rsidR="00552483" w:rsidRPr="00692A34">
              <w:rPr>
                <w:sz w:val="24"/>
                <w:szCs w:val="24"/>
              </w:rPr>
              <w:t xml:space="preserve"> </w:t>
            </w:r>
            <w:r w:rsidRPr="00692A34">
              <w:rPr>
                <w:sz w:val="24"/>
                <w:szCs w:val="24"/>
              </w:rPr>
              <w:t>b</w:t>
            </w:r>
          </w:p>
        </w:tc>
        <w:tc>
          <w:tcPr>
            <w:tcW w:w="709" w:type="dxa"/>
          </w:tcPr>
          <w:p w:rsidR="00560842" w:rsidRPr="00692A34" w:rsidRDefault="002D6191" w:rsidP="00625EAF">
            <w:pPr>
              <w:jc w:val="center"/>
              <w:rPr>
                <w:b/>
                <w:sz w:val="24"/>
                <w:szCs w:val="24"/>
              </w:rPr>
            </w:pPr>
            <w:r w:rsidRPr="00692A34">
              <w:rPr>
                <w:b/>
                <w:sz w:val="24"/>
                <w:szCs w:val="24"/>
              </w:rPr>
              <w:t>O</w:t>
            </w:r>
          </w:p>
        </w:tc>
        <w:tc>
          <w:tcPr>
            <w:tcW w:w="8930" w:type="dxa"/>
          </w:tcPr>
          <w:p w:rsidR="00560842" w:rsidRPr="00692A34" w:rsidRDefault="002D6191" w:rsidP="00F92058">
            <w:pPr>
              <w:rPr>
                <w:sz w:val="24"/>
                <w:szCs w:val="24"/>
              </w:rPr>
            </w:pPr>
            <w:r w:rsidRPr="00692A34">
              <w:rPr>
                <w:sz w:val="24"/>
                <w:szCs w:val="24"/>
              </w:rPr>
              <w:t>Odporúčame doplniť do §1 písm. b) názvy všetkých ústredných orgánov štátnej správy, kde dochádza k riadeniu finančných prostriedkov z EÚ. Odôvodnenie: Písmeno b), §1 v rámci odboru štátnej služby 1.03 by sa malo vzťahovať na všetky riadiace orgány.</w:t>
            </w:r>
          </w:p>
        </w:tc>
        <w:tc>
          <w:tcPr>
            <w:tcW w:w="2268" w:type="dxa"/>
          </w:tcPr>
          <w:p w:rsidR="00560842" w:rsidRPr="002C699E" w:rsidRDefault="00A32A39" w:rsidP="00A32A39">
            <w:pPr>
              <w:jc w:val="center"/>
              <w:rPr>
                <w:rFonts w:cstheme="minorHAnsi"/>
                <w:b/>
                <w:sz w:val="24"/>
                <w:szCs w:val="24"/>
              </w:rPr>
            </w:pPr>
            <w:r w:rsidRPr="002C699E">
              <w:rPr>
                <w:rFonts w:cstheme="minorHAnsi"/>
                <w:b/>
                <w:sz w:val="24"/>
                <w:szCs w:val="24"/>
              </w:rPr>
              <w:t>N</w:t>
            </w:r>
          </w:p>
          <w:p w:rsidR="000D43AA" w:rsidRDefault="000D43AA" w:rsidP="000D43AA">
            <w:pPr>
              <w:rPr>
                <w:sz w:val="24"/>
                <w:szCs w:val="24"/>
              </w:rPr>
            </w:pPr>
            <w:r w:rsidRPr="00215220">
              <w:rPr>
                <w:sz w:val="24"/>
                <w:szCs w:val="24"/>
              </w:rPr>
              <w:t xml:space="preserve">V zmysle </w:t>
            </w:r>
            <w:r>
              <w:rPr>
                <w:sz w:val="24"/>
                <w:szCs w:val="24"/>
              </w:rPr>
              <w:t>zásadnej pripomienky MS SR</w:t>
            </w:r>
            <w:r w:rsidRPr="00215220">
              <w:rPr>
                <w:sz w:val="24"/>
                <w:szCs w:val="24"/>
              </w:rPr>
              <w:t xml:space="preserve"> bol tex</w:t>
            </w:r>
            <w:r>
              <w:rPr>
                <w:sz w:val="24"/>
                <w:szCs w:val="24"/>
              </w:rPr>
              <w:t xml:space="preserve">t prehodnotený a </w:t>
            </w:r>
          </w:p>
          <w:p w:rsidR="00A32A39" w:rsidRPr="002C699E" w:rsidRDefault="000D43AA" w:rsidP="000D43AA">
            <w:pPr>
              <w:rPr>
                <w:rFonts w:cstheme="minorHAnsi"/>
                <w:sz w:val="24"/>
                <w:szCs w:val="24"/>
              </w:rPr>
            </w:pPr>
            <w:r>
              <w:rPr>
                <w:sz w:val="24"/>
                <w:szCs w:val="24"/>
              </w:rPr>
              <w:t xml:space="preserve">upravený tak, že  pripomienka </w:t>
            </w:r>
            <w:r w:rsidR="008F3F85">
              <w:rPr>
                <w:sz w:val="24"/>
                <w:szCs w:val="24"/>
              </w:rPr>
              <w:t>už</w:t>
            </w:r>
            <w:r>
              <w:rPr>
                <w:sz w:val="24"/>
                <w:szCs w:val="24"/>
              </w:rPr>
              <w:t xml:space="preserve"> nie je aktuálna </w:t>
            </w:r>
          </w:p>
        </w:tc>
      </w:tr>
      <w:tr w:rsidR="004F0381" w:rsidRPr="00692A34" w:rsidTr="00437CF6">
        <w:trPr>
          <w:trHeight w:val="143"/>
        </w:trPr>
        <w:tc>
          <w:tcPr>
            <w:tcW w:w="710" w:type="dxa"/>
          </w:tcPr>
          <w:p w:rsidR="00560842" w:rsidRPr="00692A34" w:rsidRDefault="00560842" w:rsidP="00560842">
            <w:pPr>
              <w:pStyle w:val="Odsekzoznamu"/>
              <w:numPr>
                <w:ilvl w:val="0"/>
                <w:numId w:val="2"/>
              </w:numPr>
              <w:ind w:left="33" w:firstLine="0"/>
              <w:rPr>
                <w:b/>
                <w:sz w:val="24"/>
                <w:szCs w:val="24"/>
              </w:rPr>
            </w:pPr>
          </w:p>
        </w:tc>
        <w:tc>
          <w:tcPr>
            <w:tcW w:w="1275" w:type="dxa"/>
          </w:tcPr>
          <w:p w:rsidR="00560842" w:rsidRPr="00692A34" w:rsidRDefault="002D6191" w:rsidP="00F92058">
            <w:pPr>
              <w:rPr>
                <w:b/>
                <w:sz w:val="24"/>
                <w:szCs w:val="24"/>
              </w:rPr>
            </w:pPr>
            <w:r w:rsidRPr="00692A34">
              <w:rPr>
                <w:b/>
                <w:sz w:val="24"/>
                <w:szCs w:val="24"/>
              </w:rPr>
              <w:t>MPSVRSR</w:t>
            </w:r>
          </w:p>
        </w:tc>
        <w:tc>
          <w:tcPr>
            <w:tcW w:w="1559" w:type="dxa"/>
          </w:tcPr>
          <w:p w:rsidR="00560842" w:rsidRPr="00692A34" w:rsidRDefault="002D6191" w:rsidP="00F92058">
            <w:pPr>
              <w:rPr>
                <w:sz w:val="24"/>
                <w:szCs w:val="24"/>
              </w:rPr>
            </w:pPr>
            <w:r w:rsidRPr="00692A34">
              <w:rPr>
                <w:sz w:val="24"/>
                <w:szCs w:val="24"/>
              </w:rPr>
              <w:t>K § 1 písm. b)</w:t>
            </w:r>
          </w:p>
        </w:tc>
        <w:tc>
          <w:tcPr>
            <w:tcW w:w="709" w:type="dxa"/>
          </w:tcPr>
          <w:p w:rsidR="00560842" w:rsidRPr="00692A34" w:rsidRDefault="002D6191" w:rsidP="00625EAF">
            <w:pPr>
              <w:jc w:val="center"/>
              <w:rPr>
                <w:b/>
                <w:sz w:val="24"/>
                <w:szCs w:val="24"/>
              </w:rPr>
            </w:pPr>
            <w:r w:rsidRPr="00692A34">
              <w:rPr>
                <w:b/>
                <w:sz w:val="24"/>
                <w:szCs w:val="24"/>
              </w:rPr>
              <w:t>O</w:t>
            </w:r>
          </w:p>
        </w:tc>
        <w:tc>
          <w:tcPr>
            <w:tcW w:w="8930" w:type="dxa"/>
          </w:tcPr>
          <w:p w:rsidR="00560842" w:rsidRPr="00692A34" w:rsidRDefault="002D6191" w:rsidP="00F92058">
            <w:pPr>
              <w:rPr>
                <w:sz w:val="24"/>
                <w:szCs w:val="24"/>
              </w:rPr>
            </w:pPr>
            <w:r w:rsidRPr="00692A34">
              <w:rPr>
                <w:sz w:val="24"/>
                <w:szCs w:val="24"/>
              </w:rPr>
              <w:t>Odporúčame v</w:t>
            </w:r>
            <w:r w:rsidR="00A32A39">
              <w:rPr>
                <w:sz w:val="24"/>
                <w:szCs w:val="24"/>
              </w:rPr>
              <w:t> </w:t>
            </w:r>
            <w:r w:rsidRPr="00692A34">
              <w:rPr>
                <w:sz w:val="24"/>
                <w:szCs w:val="24"/>
              </w:rPr>
              <w:t>navrhovanom § 1 písm. b) preformulovať úvodnú vetu tak, aby ako prvé bolo ustanovené pravidlo a</w:t>
            </w:r>
            <w:r w:rsidR="00A32A39">
              <w:rPr>
                <w:sz w:val="24"/>
                <w:szCs w:val="24"/>
              </w:rPr>
              <w:t> </w:t>
            </w:r>
            <w:r w:rsidRPr="00692A34">
              <w:rPr>
                <w:sz w:val="24"/>
                <w:szCs w:val="24"/>
              </w:rPr>
              <w:t>až následne, napríklad za uvedením príslušných služobných úradov, ustanoviť výnimku z</w:t>
            </w:r>
            <w:r w:rsidR="00A32A39">
              <w:rPr>
                <w:sz w:val="24"/>
                <w:szCs w:val="24"/>
              </w:rPr>
              <w:t> </w:t>
            </w:r>
            <w:r w:rsidRPr="00692A34">
              <w:rPr>
                <w:sz w:val="24"/>
                <w:szCs w:val="24"/>
              </w:rPr>
              <w:t>tohto pravidla. Odôvodnenie: Legislatívno-technická pripomienka.</w:t>
            </w:r>
          </w:p>
        </w:tc>
        <w:tc>
          <w:tcPr>
            <w:tcW w:w="2268" w:type="dxa"/>
          </w:tcPr>
          <w:p w:rsidR="00560842" w:rsidRDefault="00215220" w:rsidP="00A32A39">
            <w:pPr>
              <w:jc w:val="center"/>
              <w:rPr>
                <w:b/>
                <w:sz w:val="24"/>
                <w:szCs w:val="24"/>
              </w:rPr>
            </w:pPr>
            <w:r>
              <w:rPr>
                <w:b/>
                <w:sz w:val="24"/>
                <w:szCs w:val="24"/>
              </w:rPr>
              <w:t>N</w:t>
            </w:r>
          </w:p>
          <w:p w:rsidR="00215220" w:rsidRDefault="00215220" w:rsidP="00215220">
            <w:pPr>
              <w:rPr>
                <w:sz w:val="24"/>
                <w:szCs w:val="24"/>
              </w:rPr>
            </w:pPr>
            <w:r w:rsidRPr="00215220">
              <w:rPr>
                <w:sz w:val="24"/>
                <w:szCs w:val="24"/>
              </w:rPr>
              <w:t xml:space="preserve">V zmysle </w:t>
            </w:r>
            <w:r>
              <w:rPr>
                <w:sz w:val="24"/>
                <w:szCs w:val="24"/>
              </w:rPr>
              <w:t>zásadnej pripomienky MS SR</w:t>
            </w:r>
            <w:r w:rsidRPr="00215220">
              <w:rPr>
                <w:sz w:val="24"/>
                <w:szCs w:val="24"/>
              </w:rPr>
              <w:t xml:space="preserve"> bol tex</w:t>
            </w:r>
            <w:r>
              <w:rPr>
                <w:sz w:val="24"/>
                <w:szCs w:val="24"/>
              </w:rPr>
              <w:t xml:space="preserve">t </w:t>
            </w:r>
            <w:r w:rsidR="000D43AA">
              <w:rPr>
                <w:sz w:val="24"/>
                <w:szCs w:val="24"/>
              </w:rPr>
              <w:t xml:space="preserve"> prehodnotený a</w:t>
            </w:r>
          </w:p>
          <w:p w:rsidR="00215220" w:rsidRPr="00215220" w:rsidRDefault="00215220" w:rsidP="00F62F00">
            <w:pPr>
              <w:rPr>
                <w:sz w:val="24"/>
                <w:szCs w:val="24"/>
              </w:rPr>
            </w:pPr>
            <w:r>
              <w:rPr>
                <w:sz w:val="24"/>
                <w:szCs w:val="24"/>
              </w:rPr>
              <w:t xml:space="preserve">upravený tak, že  pripomienka </w:t>
            </w:r>
            <w:r w:rsidR="008F3F85">
              <w:rPr>
                <w:sz w:val="24"/>
                <w:szCs w:val="24"/>
              </w:rPr>
              <w:t>už</w:t>
            </w:r>
            <w:r>
              <w:rPr>
                <w:sz w:val="24"/>
                <w:szCs w:val="24"/>
              </w:rPr>
              <w:t xml:space="preserve"> </w:t>
            </w:r>
            <w:r w:rsidR="00F62F00">
              <w:rPr>
                <w:sz w:val="24"/>
                <w:szCs w:val="24"/>
              </w:rPr>
              <w:lastRenderedPageBreak/>
              <w:t>nie je aktuálna</w:t>
            </w:r>
            <w:r>
              <w:rPr>
                <w:sz w:val="24"/>
                <w:szCs w:val="24"/>
              </w:rPr>
              <w:t xml:space="preserve"> </w:t>
            </w:r>
          </w:p>
        </w:tc>
      </w:tr>
      <w:tr w:rsidR="004F0381" w:rsidRPr="00692A34" w:rsidTr="00437CF6">
        <w:trPr>
          <w:trHeight w:val="554"/>
        </w:trPr>
        <w:tc>
          <w:tcPr>
            <w:tcW w:w="710" w:type="dxa"/>
          </w:tcPr>
          <w:p w:rsidR="00560842" w:rsidRPr="00692A34" w:rsidRDefault="00560842" w:rsidP="00560842">
            <w:pPr>
              <w:pStyle w:val="Odsekzoznamu"/>
              <w:numPr>
                <w:ilvl w:val="0"/>
                <w:numId w:val="2"/>
              </w:numPr>
              <w:ind w:left="33" w:firstLine="0"/>
              <w:rPr>
                <w:b/>
                <w:sz w:val="24"/>
                <w:szCs w:val="24"/>
              </w:rPr>
            </w:pPr>
          </w:p>
        </w:tc>
        <w:tc>
          <w:tcPr>
            <w:tcW w:w="1275" w:type="dxa"/>
          </w:tcPr>
          <w:p w:rsidR="00560842" w:rsidRPr="00692A34" w:rsidRDefault="00B93088" w:rsidP="00F92058">
            <w:pPr>
              <w:rPr>
                <w:b/>
                <w:sz w:val="24"/>
                <w:szCs w:val="24"/>
              </w:rPr>
            </w:pPr>
            <w:r w:rsidRPr="00692A34">
              <w:rPr>
                <w:rFonts w:cs="Segoe UI"/>
                <w:b/>
                <w:sz w:val="24"/>
                <w:szCs w:val="24"/>
                <w:shd w:val="clear" w:color="auto" w:fill="FAFAFA"/>
              </w:rPr>
              <w:t>MPSVRSR</w:t>
            </w:r>
          </w:p>
        </w:tc>
        <w:tc>
          <w:tcPr>
            <w:tcW w:w="1559" w:type="dxa"/>
          </w:tcPr>
          <w:p w:rsidR="00560842" w:rsidRPr="00692A34" w:rsidRDefault="00B93088" w:rsidP="00F92058">
            <w:pPr>
              <w:rPr>
                <w:sz w:val="24"/>
                <w:szCs w:val="24"/>
              </w:rPr>
            </w:pPr>
            <w:r w:rsidRPr="00692A34">
              <w:rPr>
                <w:sz w:val="24"/>
                <w:szCs w:val="24"/>
              </w:rPr>
              <w:t>K § 1 písm. b)</w:t>
            </w:r>
          </w:p>
        </w:tc>
        <w:tc>
          <w:tcPr>
            <w:tcW w:w="709" w:type="dxa"/>
          </w:tcPr>
          <w:p w:rsidR="00560842" w:rsidRPr="00692A34" w:rsidRDefault="00B93088" w:rsidP="00625EAF">
            <w:pPr>
              <w:jc w:val="center"/>
              <w:rPr>
                <w:b/>
                <w:sz w:val="24"/>
                <w:szCs w:val="24"/>
              </w:rPr>
            </w:pPr>
            <w:r w:rsidRPr="00692A34">
              <w:rPr>
                <w:b/>
                <w:sz w:val="24"/>
                <w:szCs w:val="24"/>
              </w:rPr>
              <w:t>O</w:t>
            </w:r>
          </w:p>
        </w:tc>
        <w:tc>
          <w:tcPr>
            <w:tcW w:w="8930" w:type="dxa"/>
          </w:tcPr>
          <w:p w:rsidR="00560842" w:rsidRPr="00692A34" w:rsidRDefault="00B93088" w:rsidP="00A020E0">
            <w:pPr>
              <w:rPr>
                <w:sz w:val="24"/>
                <w:szCs w:val="24"/>
              </w:rPr>
            </w:pPr>
            <w:r w:rsidRPr="00692A34">
              <w:rPr>
                <w:sz w:val="24"/>
                <w:szCs w:val="24"/>
              </w:rPr>
              <w:t>Odporúčame v navrhovanom § 1 písm. b) bode 1 vo vzťahu k Najvyššiemu kontrolnému úradu Slovenskej republiky zachovať súčasný právny stav ustanovený nariadením vlády Slovenskej republiky č. 411/2009 Z. z. Odôvodnenie: Navrhované znenie je v rozpore s § 10 ods. 2 v spojení s § 15 ods. 2 písm. i) nového zákona o štátnej službe. Zároveň predvetie navrhované v § 1 písm. b) je vo vzťahu k služobnému úradu, ktorým je Najvyšší kontrolný úrad Slovenskej republiky, irelevantné. Najvyšší kontrolný úrad Slovenskej republiky má podľa uvedených ustanovení zákona o štátnej službe vlastnú kompetenciu upraviť služobným predpisom odbory štátnej služby. Nariadenie vlády Slovenskej republiky, ktorým sa ustanovujú odbory štátnej služby a na ktoré sa priamo odkazuje v písmene b), sa na tento služobný úrad nevzťahuje.</w:t>
            </w:r>
            <w:r w:rsidRPr="00692A34">
              <w:rPr>
                <w:sz w:val="24"/>
                <w:szCs w:val="24"/>
              </w:rPr>
              <w:tab/>
            </w:r>
          </w:p>
        </w:tc>
        <w:tc>
          <w:tcPr>
            <w:tcW w:w="2268" w:type="dxa"/>
          </w:tcPr>
          <w:p w:rsidR="00560842" w:rsidRPr="00A32A39" w:rsidRDefault="00A32A39" w:rsidP="00A32A39">
            <w:pPr>
              <w:jc w:val="center"/>
              <w:rPr>
                <w:b/>
                <w:sz w:val="24"/>
                <w:szCs w:val="24"/>
              </w:rPr>
            </w:pPr>
            <w:r w:rsidRPr="00A32A39">
              <w:rPr>
                <w:b/>
                <w:sz w:val="24"/>
                <w:szCs w:val="24"/>
              </w:rPr>
              <w:t>A</w:t>
            </w:r>
          </w:p>
        </w:tc>
      </w:tr>
      <w:tr w:rsidR="004F0381" w:rsidRPr="00692A34" w:rsidTr="00437CF6">
        <w:trPr>
          <w:trHeight w:val="554"/>
        </w:trPr>
        <w:tc>
          <w:tcPr>
            <w:tcW w:w="710" w:type="dxa"/>
          </w:tcPr>
          <w:p w:rsidR="00D14057" w:rsidRPr="00692A34" w:rsidRDefault="00D14057" w:rsidP="00560842">
            <w:pPr>
              <w:pStyle w:val="Odsekzoznamu"/>
              <w:numPr>
                <w:ilvl w:val="0"/>
                <w:numId w:val="2"/>
              </w:numPr>
              <w:ind w:left="33" w:firstLine="0"/>
              <w:rPr>
                <w:b/>
                <w:sz w:val="24"/>
                <w:szCs w:val="24"/>
              </w:rPr>
            </w:pPr>
          </w:p>
        </w:tc>
        <w:tc>
          <w:tcPr>
            <w:tcW w:w="1275" w:type="dxa"/>
          </w:tcPr>
          <w:p w:rsidR="00D14057" w:rsidRPr="00692A34" w:rsidRDefault="00B93088" w:rsidP="00F92058">
            <w:pPr>
              <w:rPr>
                <w:rFonts w:cs="Segoe UI"/>
                <w:b/>
                <w:sz w:val="24"/>
                <w:szCs w:val="24"/>
                <w:shd w:val="clear" w:color="auto" w:fill="FAFAFA"/>
              </w:rPr>
            </w:pPr>
            <w:r w:rsidRPr="00692A34">
              <w:rPr>
                <w:rFonts w:cs="Segoe UI"/>
                <w:b/>
                <w:sz w:val="24"/>
                <w:szCs w:val="24"/>
                <w:shd w:val="clear" w:color="auto" w:fill="FFFFFF"/>
              </w:rPr>
              <w:t>MPSVRSR</w:t>
            </w:r>
          </w:p>
        </w:tc>
        <w:tc>
          <w:tcPr>
            <w:tcW w:w="1559" w:type="dxa"/>
          </w:tcPr>
          <w:p w:rsidR="00D14057" w:rsidRPr="00692A34" w:rsidRDefault="00B93088" w:rsidP="00F92058">
            <w:pPr>
              <w:rPr>
                <w:rFonts w:cs="Segoe UI"/>
                <w:sz w:val="24"/>
                <w:szCs w:val="24"/>
                <w:shd w:val="clear" w:color="auto" w:fill="FAFAFA"/>
              </w:rPr>
            </w:pPr>
            <w:r w:rsidRPr="00692A34">
              <w:rPr>
                <w:rFonts w:cs="Segoe UI"/>
                <w:sz w:val="24"/>
                <w:szCs w:val="24"/>
                <w:shd w:val="clear" w:color="auto" w:fill="FAFAFA"/>
              </w:rPr>
              <w:t>Všeobecná pripomienka</w:t>
            </w:r>
          </w:p>
        </w:tc>
        <w:tc>
          <w:tcPr>
            <w:tcW w:w="709" w:type="dxa"/>
          </w:tcPr>
          <w:p w:rsidR="00D14057" w:rsidRPr="00692A34" w:rsidRDefault="00B93088" w:rsidP="00625EAF">
            <w:pPr>
              <w:jc w:val="center"/>
              <w:rPr>
                <w:b/>
                <w:sz w:val="24"/>
                <w:szCs w:val="24"/>
              </w:rPr>
            </w:pPr>
            <w:r w:rsidRPr="00692A34">
              <w:rPr>
                <w:b/>
                <w:sz w:val="24"/>
                <w:szCs w:val="24"/>
              </w:rPr>
              <w:t>O</w:t>
            </w:r>
          </w:p>
        </w:tc>
        <w:tc>
          <w:tcPr>
            <w:tcW w:w="8930" w:type="dxa"/>
          </w:tcPr>
          <w:p w:rsidR="00D14057" w:rsidRPr="00692A34" w:rsidRDefault="00B93088" w:rsidP="00F92058">
            <w:pPr>
              <w:rPr>
                <w:sz w:val="24"/>
                <w:szCs w:val="24"/>
              </w:rPr>
            </w:pPr>
            <w:r w:rsidRPr="00692A34">
              <w:rPr>
                <w:sz w:val="24"/>
                <w:szCs w:val="24"/>
              </w:rPr>
              <w:t xml:space="preserve">Upozorňujeme predkladateľa, že navrhovaného znenie § 1 písm. a) a b) návrhu môže byť, vzhľadom na svoje široké vymedzenie, v rozpore s právom Európskej únie, konkrétne so slobodou voľného pohybu pracovníkov a smernicou Európskeho parlamentu a Rady 2014/54/EÚ zo 16. apríla 2014 o opatreniach na uľahčenie výkonu práv udelených pracovníkom v súvislosti so slobodou pohybu pracovníkov (Ú. v. EÚ L 128, 30.4.2014). Odporúčame v dôvodovej správe dôslednejšie odôvodniť výber jednotlivých odborov štátnej služby a konkrétnych služobných úradov, v rámci ktorých je štátna služba vyhradená len štátnym občanom Slovenskej republiky tak, aby bol zabezpečený súlad predmetného ustanovenia s právom Európskej únie, ako aj judikatúrou Súdneho dvora Európskej únie a zároveň </w:t>
            </w:r>
            <w:r w:rsidRPr="00E24B73">
              <w:rPr>
                <w:sz w:val="24"/>
                <w:szCs w:val="24"/>
              </w:rPr>
              <w:t>odporúčame zvážiť v § 1 za slová „na štátnozamestnaneckom mieste“ vložiť slová „určenom na zabezpečenie všeobecných záujmov štátu“.</w:t>
            </w:r>
            <w:r w:rsidRPr="00692A34">
              <w:rPr>
                <w:sz w:val="24"/>
                <w:szCs w:val="24"/>
              </w:rPr>
              <w:t xml:space="preserve"> Odôvodnenie: Čl. 45 Zmluvy o fungovaní Európskej únie ustanovuje možnosť voľného pohybu pracovníkov v rámci Európskej únie. Odsek 4 uvedeného článku umožňuje limitovať uvedenú slobodu v oblasti štátnej služby, avšak predmetné ustanovenie treba vnímať reštriktívne. Ako judikoval Súdny dvor Európskej únie, čl. 45 ods. 4 Zmluvy o fungovaní Európskej únie sa uplatní len v rozsahu, v akom sa dotknutý pracovník (1) priamo alebo nepriamo zúčastňuje na výkone právomocí zverených verejným právom a (2) vykonáva úlohy, z ktorých vyplývajú povinnosti určené na ochranu všeobecných záujmov štátu a verejných orgánov vo všeobecnosti. Cieľom čl. 45 ods. 4 Zmluvy o </w:t>
            </w:r>
            <w:r w:rsidRPr="00692A34">
              <w:rPr>
                <w:sz w:val="24"/>
                <w:szCs w:val="24"/>
              </w:rPr>
              <w:lastRenderedPageBreak/>
              <w:t>fungovaní Európskej únie je ponechať členským štátom možnosť obmedziť prístup cudzích štátnych príslušníkov k určitým zamestnaniam v štátnej a verejnej službe, ktoré predpokladajú u takých zamestnancov existenciu osobitného vzťahu solidarity s daným štátom. V súvislosti s touto otázkou sa odbor rodovej rovnosti a rovnosti príležitostí Ministerstva práce, sociálnych vecí a rodiny Slovenskej republiky ako gestor smernice 2014/54/EÚ a Národný kontaktný bod pre jej vykonávanie, obrátil aj na Európsku komisiu pre posúdenie súladu predmetného znenia návrhu nariadenia vlády Slovenskej republiky s právom Európskej únie. Európska komisia zdôrazňuje, že takto vyhradené štátnozamestnanecké miesta pre občanov toho ktorého štátu je nutné posudzovať od prípadu k prípadu, so zreteľom na charakter úloh a povinností na konkrétnom štátnozamestnaneckom mieste. Uplatňuje sa tu tzv. funkčný prístup, nie sektorový.</w:t>
            </w:r>
          </w:p>
        </w:tc>
        <w:tc>
          <w:tcPr>
            <w:tcW w:w="2268" w:type="dxa"/>
          </w:tcPr>
          <w:p w:rsidR="00D14057" w:rsidRDefault="00A32A39" w:rsidP="00A32A39">
            <w:pPr>
              <w:jc w:val="center"/>
              <w:rPr>
                <w:b/>
                <w:sz w:val="24"/>
                <w:szCs w:val="24"/>
              </w:rPr>
            </w:pPr>
            <w:r>
              <w:rPr>
                <w:b/>
                <w:sz w:val="24"/>
                <w:szCs w:val="24"/>
              </w:rPr>
              <w:lastRenderedPageBreak/>
              <w:t>ČA</w:t>
            </w:r>
          </w:p>
          <w:p w:rsidR="00A32A39" w:rsidRPr="00A32A39" w:rsidRDefault="00950E62" w:rsidP="00A32A39">
            <w:pPr>
              <w:rPr>
                <w:sz w:val="24"/>
                <w:szCs w:val="24"/>
              </w:rPr>
            </w:pPr>
            <w:r>
              <w:rPr>
                <w:sz w:val="24"/>
                <w:szCs w:val="24"/>
              </w:rPr>
              <w:t xml:space="preserve"> Dôvodová správa   </w:t>
            </w:r>
            <w:r w:rsidR="00215220">
              <w:rPr>
                <w:sz w:val="24"/>
                <w:szCs w:val="24"/>
              </w:rPr>
              <w:t xml:space="preserve">bola </w:t>
            </w:r>
            <w:r>
              <w:rPr>
                <w:sz w:val="24"/>
                <w:szCs w:val="24"/>
              </w:rPr>
              <w:t>doplnená</w:t>
            </w:r>
          </w:p>
        </w:tc>
      </w:tr>
      <w:tr w:rsidR="004F0381" w:rsidRPr="00692A34" w:rsidTr="00437CF6">
        <w:trPr>
          <w:trHeight w:val="554"/>
        </w:trPr>
        <w:tc>
          <w:tcPr>
            <w:tcW w:w="710" w:type="dxa"/>
          </w:tcPr>
          <w:p w:rsidR="00D14057" w:rsidRPr="00692A34" w:rsidRDefault="00D14057" w:rsidP="00560842">
            <w:pPr>
              <w:pStyle w:val="Odsekzoznamu"/>
              <w:numPr>
                <w:ilvl w:val="0"/>
                <w:numId w:val="2"/>
              </w:numPr>
              <w:ind w:left="33" w:firstLine="0"/>
              <w:rPr>
                <w:b/>
                <w:sz w:val="24"/>
                <w:szCs w:val="24"/>
              </w:rPr>
            </w:pPr>
          </w:p>
        </w:tc>
        <w:tc>
          <w:tcPr>
            <w:tcW w:w="1275" w:type="dxa"/>
          </w:tcPr>
          <w:p w:rsidR="00D14057" w:rsidRPr="00692A34" w:rsidRDefault="00B93088" w:rsidP="00F92058">
            <w:pPr>
              <w:rPr>
                <w:rFonts w:cs="Segoe UI"/>
                <w:b/>
                <w:sz w:val="24"/>
                <w:szCs w:val="24"/>
                <w:shd w:val="clear" w:color="auto" w:fill="FAFAFA"/>
              </w:rPr>
            </w:pPr>
            <w:r w:rsidRPr="00692A34">
              <w:rPr>
                <w:rFonts w:cs="Segoe UI"/>
                <w:b/>
                <w:sz w:val="24"/>
                <w:szCs w:val="24"/>
                <w:shd w:val="clear" w:color="auto" w:fill="FAFAFA"/>
              </w:rPr>
              <w:t>MSSR</w:t>
            </w:r>
          </w:p>
        </w:tc>
        <w:tc>
          <w:tcPr>
            <w:tcW w:w="1559" w:type="dxa"/>
          </w:tcPr>
          <w:p w:rsidR="00D14057" w:rsidRPr="00692A34" w:rsidRDefault="003A60D1" w:rsidP="003A60D1">
            <w:pPr>
              <w:jc w:val="center"/>
              <w:rPr>
                <w:rFonts w:cs="Segoe UI"/>
                <w:sz w:val="24"/>
                <w:szCs w:val="24"/>
                <w:shd w:val="clear" w:color="auto" w:fill="FAFAFA"/>
              </w:rPr>
            </w:pPr>
            <w:r w:rsidRPr="00692A34">
              <w:rPr>
                <w:rFonts w:cs="Segoe UI"/>
                <w:sz w:val="24"/>
                <w:szCs w:val="24"/>
                <w:shd w:val="clear" w:color="auto" w:fill="FAFAFA"/>
              </w:rPr>
              <w:t>§ 1 písm. b)</w:t>
            </w:r>
          </w:p>
        </w:tc>
        <w:tc>
          <w:tcPr>
            <w:tcW w:w="709" w:type="dxa"/>
          </w:tcPr>
          <w:p w:rsidR="00D14057" w:rsidRPr="00692A34" w:rsidRDefault="003A60D1" w:rsidP="00625EAF">
            <w:pPr>
              <w:jc w:val="center"/>
              <w:rPr>
                <w:b/>
                <w:sz w:val="24"/>
                <w:szCs w:val="24"/>
              </w:rPr>
            </w:pPr>
            <w:r w:rsidRPr="00692A34">
              <w:rPr>
                <w:b/>
                <w:sz w:val="24"/>
                <w:szCs w:val="24"/>
              </w:rPr>
              <w:t>Z</w:t>
            </w:r>
          </w:p>
        </w:tc>
        <w:tc>
          <w:tcPr>
            <w:tcW w:w="8930" w:type="dxa"/>
          </w:tcPr>
          <w:p w:rsidR="00D14057" w:rsidRPr="00692A34" w:rsidRDefault="003A60D1" w:rsidP="00F92058">
            <w:pPr>
              <w:rPr>
                <w:sz w:val="24"/>
                <w:szCs w:val="24"/>
              </w:rPr>
            </w:pPr>
            <w:r w:rsidRPr="00692A34">
              <w:rPr>
                <w:sz w:val="24"/>
                <w:szCs w:val="24"/>
              </w:rPr>
              <w:t xml:space="preserve">Požadujeme koncepčne prehodnotiť právnu úpravu navrhovanú v § 1 písm. b) tak, aby zodpovedala potrebám predkladateľa a súčasne, aby zodpovedala skutočnosti, že činnosť tam uvedených štátnych orgánov je závislá od nastavenia kompetencií ministerstiev a iných ústredných orgánov štátnej správy. V nadväznosti na vývoj právnej úpravy v kompetenčnom zákone je zrejmé, že dochádza k presunom pôsobnosti medzi jednotlivými ministerstvami navzájom, resp. medzi ministerstvami a inými ústrednými orgánmi štátnej správy (napr. Úradom vlády SR). Uvedené možno ilustrovať na tomto príklade: s účinnosťou od 1.1.2017 prešla pôsobnosť v oblasti regionálneho rozvoja z Ministerstva dopravy, výstavby a regionálneho rozvoja SR na Úrad vlády SR. Na Ministerstve dopravy, výstavby a regionálneho rozvoja SR išlo o oblasť štátnej služby, ktorú mohli vykonávať aj iné osoby ako občania Slovenskej republiky. Na Úrade vlády SR však štátnu službu v tejto oblasti môžu vykonávať len občania Slovenskej republiky. Máme za to, že niet legitímneho dôvodu na právnu úpravu v nariadení vlády SR, ktoré nereflektuje popísaný príklad, kedy je jeden odbor štátnej služby vyhradený pre občanov Slovenskej republiky len pre to, že pôsobnosť v tomto odbore štátnej služby sa presunie z ministerstva na iný orgán, v rámci ktorého je výkon štátnej služby vždy vyhradený občanom Slovenskej republiky. Vzhľadom na vyššie uvedené preto požadujeme prepracovať § 1 písm. b) tak, aby vo vzťahu k tam uvedeným orgánom štátnej správy došlo k presnej špecifikácii odborov štátnej služby, ktoré budú vyhradené pre občanov </w:t>
            </w:r>
            <w:r w:rsidRPr="00692A34">
              <w:rPr>
                <w:sz w:val="24"/>
                <w:szCs w:val="24"/>
              </w:rPr>
              <w:lastRenderedPageBreak/>
              <w:t>Slovenskej republiky. Máme za to, že koncept, podľa ktorého je štátna služba na určených štátnych orgánoch vyhradená občanom Slovenskej republiky bez ohľadu na druh štátnej služby je neudržateľný.</w:t>
            </w:r>
          </w:p>
        </w:tc>
        <w:tc>
          <w:tcPr>
            <w:tcW w:w="2268" w:type="dxa"/>
          </w:tcPr>
          <w:p w:rsidR="00D14057" w:rsidRDefault="00950E62" w:rsidP="00F92058">
            <w:pPr>
              <w:rPr>
                <w:rFonts w:cstheme="minorHAnsi"/>
                <w:b/>
                <w:sz w:val="24"/>
                <w:szCs w:val="24"/>
              </w:rPr>
            </w:pPr>
            <w:r w:rsidRPr="00950E62">
              <w:rPr>
                <w:rFonts w:cstheme="minorHAnsi"/>
                <w:b/>
                <w:sz w:val="24"/>
                <w:szCs w:val="24"/>
              </w:rPr>
              <w:lastRenderedPageBreak/>
              <w:t xml:space="preserve">            A</w:t>
            </w:r>
          </w:p>
          <w:p w:rsidR="00950E62" w:rsidRPr="00950E62" w:rsidRDefault="00950E62" w:rsidP="008F3F85">
            <w:pPr>
              <w:rPr>
                <w:rFonts w:cstheme="minorHAnsi"/>
                <w:sz w:val="24"/>
                <w:szCs w:val="24"/>
              </w:rPr>
            </w:pPr>
            <w:r>
              <w:rPr>
                <w:rFonts w:cstheme="minorHAnsi"/>
                <w:sz w:val="24"/>
                <w:szCs w:val="24"/>
              </w:rPr>
              <w:t xml:space="preserve">Predkladateľ prehodnotil úpravu </w:t>
            </w:r>
            <w:r w:rsidR="008F3F85">
              <w:rPr>
                <w:rFonts w:cstheme="minorHAnsi"/>
                <w:sz w:val="24"/>
                <w:szCs w:val="24"/>
              </w:rPr>
              <w:t>v zmysle pripomienky</w:t>
            </w:r>
            <w:r w:rsidR="008F3F85">
              <w:rPr>
                <w:rFonts w:cstheme="minorHAnsi"/>
                <w:sz w:val="24"/>
                <w:szCs w:val="24"/>
              </w:rPr>
              <w:t xml:space="preserve"> </w:t>
            </w:r>
            <w:r>
              <w:rPr>
                <w:rFonts w:cstheme="minorHAnsi"/>
                <w:sz w:val="24"/>
                <w:szCs w:val="24"/>
              </w:rPr>
              <w:t xml:space="preserve"> a upravil návrh </w:t>
            </w:r>
            <w:r w:rsidR="008F3F85">
              <w:rPr>
                <w:rFonts w:cstheme="minorHAnsi"/>
                <w:sz w:val="24"/>
                <w:szCs w:val="24"/>
              </w:rPr>
              <w:t>§ 1 písm. b)</w:t>
            </w:r>
          </w:p>
        </w:tc>
      </w:tr>
      <w:tr w:rsidR="004F0381" w:rsidRPr="00692A34" w:rsidTr="00437CF6">
        <w:trPr>
          <w:trHeight w:val="554"/>
        </w:trPr>
        <w:tc>
          <w:tcPr>
            <w:tcW w:w="710" w:type="dxa"/>
          </w:tcPr>
          <w:p w:rsidR="00D14057" w:rsidRPr="00692A34" w:rsidRDefault="00D14057" w:rsidP="00560842">
            <w:pPr>
              <w:pStyle w:val="Odsekzoznamu"/>
              <w:numPr>
                <w:ilvl w:val="0"/>
                <w:numId w:val="2"/>
              </w:numPr>
              <w:ind w:left="33" w:firstLine="0"/>
              <w:rPr>
                <w:b/>
                <w:sz w:val="24"/>
                <w:szCs w:val="24"/>
              </w:rPr>
            </w:pPr>
          </w:p>
        </w:tc>
        <w:tc>
          <w:tcPr>
            <w:tcW w:w="1275" w:type="dxa"/>
          </w:tcPr>
          <w:p w:rsidR="00D14057" w:rsidRPr="00692A34" w:rsidRDefault="003A60D1" w:rsidP="00F92058">
            <w:pPr>
              <w:rPr>
                <w:rFonts w:cs="Segoe UI"/>
                <w:b/>
                <w:sz w:val="24"/>
                <w:szCs w:val="24"/>
                <w:shd w:val="clear" w:color="auto" w:fill="FAFAFA"/>
              </w:rPr>
            </w:pPr>
            <w:r w:rsidRPr="00692A34">
              <w:rPr>
                <w:rFonts w:cs="Segoe UI"/>
                <w:b/>
                <w:sz w:val="24"/>
                <w:szCs w:val="24"/>
                <w:shd w:val="clear" w:color="auto" w:fill="FAFAFA"/>
              </w:rPr>
              <w:t>MFSR</w:t>
            </w:r>
          </w:p>
        </w:tc>
        <w:tc>
          <w:tcPr>
            <w:tcW w:w="1559" w:type="dxa"/>
          </w:tcPr>
          <w:p w:rsidR="00D14057" w:rsidRPr="00692A34" w:rsidRDefault="003A60D1" w:rsidP="00F92058">
            <w:pPr>
              <w:rPr>
                <w:rFonts w:cs="Segoe UI"/>
                <w:sz w:val="24"/>
                <w:szCs w:val="24"/>
                <w:shd w:val="clear" w:color="auto" w:fill="FAFAFA"/>
              </w:rPr>
            </w:pPr>
            <w:r w:rsidRPr="00692A34">
              <w:rPr>
                <w:rFonts w:cs="Segoe UI"/>
                <w:sz w:val="24"/>
                <w:szCs w:val="24"/>
                <w:shd w:val="clear" w:color="auto" w:fill="FAFAFA"/>
              </w:rPr>
              <w:t>K § 1</w:t>
            </w:r>
          </w:p>
        </w:tc>
        <w:tc>
          <w:tcPr>
            <w:tcW w:w="709" w:type="dxa"/>
          </w:tcPr>
          <w:p w:rsidR="00D14057" w:rsidRPr="00692A34" w:rsidRDefault="003A60D1" w:rsidP="00625EAF">
            <w:pPr>
              <w:jc w:val="center"/>
              <w:rPr>
                <w:b/>
                <w:sz w:val="24"/>
                <w:szCs w:val="24"/>
              </w:rPr>
            </w:pPr>
            <w:r w:rsidRPr="00692A34">
              <w:rPr>
                <w:b/>
                <w:sz w:val="24"/>
                <w:szCs w:val="24"/>
              </w:rPr>
              <w:t>O</w:t>
            </w:r>
          </w:p>
        </w:tc>
        <w:tc>
          <w:tcPr>
            <w:tcW w:w="8930" w:type="dxa"/>
          </w:tcPr>
          <w:p w:rsidR="00D14057" w:rsidRPr="00692A34" w:rsidRDefault="003A60D1" w:rsidP="00F92058">
            <w:pPr>
              <w:rPr>
                <w:sz w:val="24"/>
                <w:szCs w:val="24"/>
              </w:rPr>
            </w:pPr>
            <w:r w:rsidRPr="00692A34">
              <w:rPr>
                <w:sz w:val="24"/>
                <w:szCs w:val="24"/>
              </w:rPr>
              <w:t>V navrhovanom znení § 1 odporúčam znenie písmena b) zrozumiteľnejšie previazať so znením predvetia tohto paragrafu.</w:t>
            </w:r>
          </w:p>
        </w:tc>
        <w:tc>
          <w:tcPr>
            <w:tcW w:w="2268" w:type="dxa"/>
          </w:tcPr>
          <w:p w:rsidR="00D14057" w:rsidRDefault="000D43AA" w:rsidP="00A32A39">
            <w:pPr>
              <w:jc w:val="center"/>
              <w:rPr>
                <w:b/>
                <w:sz w:val="24"/>
                <w:szCs w:val="24"/>
              </w:rPr>
            </w:pPr>
            <w:r>
              <w:rPr>
                <w:b/>
                <w:sz w:val="24"/>
                <w:szCs w:val="24"/>
              </w:rPr>
              <w:t>N</w:t>
            </w:r>
          </w:p>
          <w:p w:rsidR="000D43AA" w:rsidRDefault="000D43AA" w:rsidP="000D43AA">
            <w:pPr>
              <w:rPr>
                <w:sz w:val="24"/>
                <w:szCs w:val="24"/>
              </w:rPr>
            </w:pPr>
            <w:r w:rsidRPr="00215220">
              <w:rPr>
                <w:sz w:val="24"/>
                <w:szCs w:val="24"/>
              </w:rPr>
              <w:t xml:space="preserve">V zmysle </w:t>
            </w:r>
            <w:r>
              <w:rPr>
                <w:sz w:val="24"/>
                <w:szCs w:val="24"/>
              </w:rPr>
              <w:t>zásadnej pripomienky MS SR</w:t>
            </w:r>
            <w:r w:rsidRPr="00215220">
              <w:rPr>
                <w:sz w:val="24"/>
                <w:szCs w:val="24"/>
              </w:rPr>
              <w:t xml:space="preserve"> bol tex</w:t>
            </w:r>
            <w:r>
              <w:rPr>
                <w:sz w:val="24"/>
                <w:szCs w:val="24"/>
              </w:rPr>
              <w:t>t prehodnotený a</w:t>
            </w:r>
          </w:p>
          <w:p w:rsidR="000D43AA" w:rsidRPr="00A32A39" w:rsidRDefault="000D43AA" w:rsidP="000D43AA">
            <w:pPr>
              <w:rPr>
                <w:b/>
                <w:sz w:val="24"/>
                <w:szCs w:val="24"/>
              </w:rPr>
            </w:pPr>
            <w:r>
              <w:rPr>
                <w:sz w:val="24"/>
                <w:szCs w:val="24"/>
              </w:rPr>
              <w:t xml:space="preserve">upravený tak, že  pripomienka  </w:t>
            </w:r>
            <w:r w:rsidR="000C1590">
              <w:rPr>
                <w:sz w:val="24"/>
                <w:szCs w:val="24"/>
              </w:rPr>
              <w:t xml:space="preserve">už </w:t>
            </w:r>
            <w:bookmarkStart w:id="0" w:name="_GoBack"/>
            <w:bookmarkEnd w:id="0"/>
            <w:r>
              <w:rPr>
                <w:sz w:val="24"/>
                <w:szCs w:val="24"/>
              </w:rPr>
              <w:t>nie je aktuálna</w:t>
            </w:r>
          </w:p>
        </w:tc>
      </w:tr>
      <w:tr w:rsidR="004F0381" w:rsidRPr="00692A34" w:rsidTr="00437CF6">
        <w:trPr>
          <w:trHeight w:val="554"/>
        </w:trPr>
        <w:tc>
          <w:tcPr>
            <w:tcW w:w="710" w:type="dxa"/>
          </w:tcPr>
          <w:p w:rsidR="00D14057" w:rsidRPr="00692A34" w:rsidRDefault="00D14057" w:rsidP="00560842">
            <w:pPr>
              <w:pStyle w:val="Odsekzoznamu"/>
              <w:numPr>
                <w:ilvl w:val="0"/>
                <w:numId w:val="2"/>
              </w:numPr>
              <w:ind w:left="33" w:firstLine="0"/>
              <w:rPr>
                <w:b/>
                <w:sz w:val="24"/>
                <w:szCs w:val="24"/>
              </w:rPr>
            </w:pPr>
          </w:p>
        </w:tc>
        <w:tc>
          <w:tcPr>
            <w:tcW w:w="1275" w:type="dxa"/>
          </w:tcPr>
          <w:p w:rsidR="00D14057" w:rsidRPr="00692A34" w:rsidRDefault="003A60D1" w:rsidP="00F92058">
            <w:pPr>
              <w:rPr>
                <w:rFonts w:cs="Segoe UI"/>
                <w:b/>
                <w:sz w:val="24"/>
                <w:szCs w:val="24"/>
                <w:shd w:val="clear" w:color="auto" w:fill="FAFAFA"/>
              </w:rPr>
            </w:pPr>
            <w:r w:rsidRPr="00692A34">
              <w:rPr>
                <w:rFonts w:cs="Segoe UI"/>
                <w:b/>
                <w:sz w:val="24"/>
                <w:szCs w:val="24"/>
                <w:shd w:val="clear" w:color="auto" w:fill="FAFAFA"/>
              </w:rPr>
              <w:t>MFSR</w:t>
            </w:r>
          </w:p>
        </w:tc>
        <w:tc>
          <w:tcPr>
            <w:tcW w:w="1559" w:type="dxa"/>
          </w:tcPr>
          <w:p w:rsidR="00D14057" w:rsidRPr="00692A34" w:rsidRDefault="003A60D1" w:rsidP="00F92058">
            <w:pPr>
              <w:rPr>
                <w:rFonts w:cs="Segoe UI"/>
                <w:sz w:val="24"/>
                <w:szCs w:val="24"/>
                <w:shd w:val="clear" w:color="auto" w:fill="FAFAFA"/>
              </w:rPr>
            </w:pPr>
            <w:r w:rsidRPr="00692A34">
              <w:rPr>
                <w:rFonts w:cs="Segoe UI"/>
                <w:sz w:val="24"/>
                <w:szCs w:val="24"/>
                <w:shd w:val="clear" w:color="auto" w:fill="FAFAFA"/>
              </w:rPr>
              <w:t>Všeobecne</w:t>
            </w:r>
          </w:p>
        </w:tc>
        <w:tc>
          <w:tcPr>
            <w:tcW w:w="709" w:type="dxa"/>
          </w:tcPr>
          <w:p w:rsidR="00D14057" w:rsidRPr="00692A34" w:rsidRDefault="003A60D1" w:rsidP="00625EAF">
            <w:pPr>
              <w:jc w:val="center"/>
              <w:rPr>
                <w:b/>
                <w:sz w:val="24"/>
                <w:szCs w:val="24"/>
              </w:rPr>
            </w:pPr>
            <w:r w:rsidRPr="00692A34">
              <w:rPr>
                <w:b/>
                <w:sz w:val="24"/>
                <w:szCs w:val="24"/>
              </w:rPr>
              <w:t>O</w:t>
            </w:r>
          </w:p>
        </w:tc>
        <w:tc>
          <w:tcPr>
            <w:tcW w:w="8930" w:type="dxa"/>
          </w:tcPr>
          <w:p w:rsidR="00D14057" w:rsidRPr="00692A34" w:rsidRDefault="003A60D1" w:rsidP="00F92058">
            <w:pPr>
              <w:rPr>
                <w:sz w:val="24"/>
                <w:szCs w:val="24"/>
              </w:rPr>
            </w:pPr>
            <w:r w:rsidRPr="00692A34">
              <w:rPr>
                <w:sz w:val="24"/>
                <w:szCs w:val="24"/>
              </w:rPr>
              <w:t>Beriem na vedomie, že návrh nebude mať vplyv na rozpočet verejnej správy.</w:t>
            </w:r>
          </w:p>
        </w:tc>
        <w:tc>
          <w:tcPr>
            <w:tcW w:w="2268" w:type="dxa"/>
          </w:tcPr>
          <w:p w:rsidR="00D14057" w:rsidRPr="00A32A39" w:rsidRDefault="00A32A39" w:rsidP="00A32A39">
            <w:pPr>
              <w:jc w:val="center"/>
              <w:rPr>
                <w:b/>
                <w:sz w:val="24"/>
                <w:szCs w:val="24"/>
              </w:rPr>
            </w:pPr>
            <w:r>
              <w:rPr>
                <w:b/>
                <w:sz w:val="24"/>
                <w:szCs w:val="24"/>
              </w:rPr>
              <w:t>A</w:t>
            </w:r>
          </w:p>
        </w:tc>
      </w:tr>
      <w:tr w:rsidR="004F0381" w:rsidRPr="00692A34" w:rsidTr="00437CF6">
        <w:trPr>
          <w:trHeight w:val="554"/>
        </w:trPr>
        <w:tc>
          <w:tcPr>
            <w:tcW w:w="710" w:type="dxa"/>
          </w:tcPr>
          <w:p w:rsidR="00D14057" w:rsidRPr="00692A34" w:rsidRDefault="00D14057" w:rsidP="00560842">
            <w:pPr>
              <w:pStyle w:val="Odsekzoznamu"/>
              <w:numPr>
                <w:ilvl w:val="0"/>
                <w:numId w:val="2"/>
              </w:numPr>
              <w:ind w:left="33" w:firstLine="0"/>
              <w:rPr>
                <w:b/>
                <w:sz w:val="24"/>
                <w:szCs w:val="24"/>
              </w:rPr>
            </w:pPr>
          </w:p>
        </w:tc>
        <w:tc>
          <w:tcPr>
            <w:tcW w:w="1275" w:type="dxa"/>
          </w:tcPr>
          <w:p w:rsidR="00D14057" w:rsidRPr="00692A34" w:rsidRDefault="003A60D1" w:rsidP="00F92058">
            <w:pPr>
              <w:rPr>
                <w:rFonts w:cs="Segoe UI"/>
                <w:b/>
                <w:sz w:val="24"/>
                <w:szCs w:val="24"/>
                <w:shd w:val="clear" w:color="auto" w:fill="FAFAFA"/>
              </w:rPr>
            </w:pPr>
            <w:r w:rsidRPr="00692A34">
              <w:rPr>
                <w:rFonts w:cs="Segoe UI"/>
                <w:b/>
                <w:sz w:val="24"/>
                <w:szCs w:val="24"/>
                <w:shd w:val="clear" w:color="auto" w:fill="FAFAFA"/>
              </w:rPr>
              <w:t>NBÚSR</w:t>
            </w:r>
          </w:p>
        </w:tc>
        <w:tc>
          <w:tcPr>
            <w:tcW w:w="1559" w:type="dxa"/>
          </w:tcPr>
          <w:p w:rsidR="00D14057" w:rsidRPr="00692A34" w:rsidRDefault="003A60D1" w:rsidP="00F92058">
            <w:pPr>
              <w:rPr>
                <w:rFonts w:cs="Segoe UI"/>
                <w:sz w:val="24"/>
                <w:szCs w:val="24"/>
                <w:shd w:val="clear" w:color="auto" w:fill="FAFAFA"/>
              </w:rPr>
            </w:pPr>
            <w:r w:rsidRPr="00692A34">
              <w:rPr>
                <w:rFonts w:cs="Segoe UI"/>
                <w:sz w:val="24"/>
                <w:szCs w:val="24"/>
                <w:shd w:val="clear" w:color="auto" w:fill="FAFAFA"/>
              </w:rPr>
              <w:t>K vlastnému materiálu</w:t>
            </w:r>
          </w:p>
        </w:tc>
        <w:tc>
          <w:tcPr>
            <w:tcW w:w="709" w:type="dxa"/>
          </w:tcPr>
          <w:p w:rsidR="00D14057" w:rsidRPr="00692A34" w:rsidRDefault="003A60D1" w:rsidP="00625EAF">
            <w:pPr>
              <w:jc w:val="center"/>
              <w:rPr>
                <w:b/>
                <w:sz w:val="24"/>
                <w:szCs w:val="24"/>
              </w:rPr>
            </w:pPr>
            <w:r w:rsidRPr="00692A34">
              <w:rPr>
                <w:b/>
                <w:sz w:val="24"/>
                <w:szCs w:val="24"/>
              </w:rPr>
              <w:t>O</w:t>
            </w:r>
          </w:p>
        </w:tc>
        <w:tc>
          <w:tcPr>
            <w:tcW w:w="8930" w:type="dxa"/>
          </w:tcPr>
          <w:p w:rsidR="00D14057" w:rsidRPr="00692A34" w:rsidRDefault="003A60D1" w:rsidP="00F92058">
            <w:pPr>
              <w:rPr>
                <w:sz w:val="24"/>
                <w:szCs w:val="24"/>
              </w:rPr>
            </w:pPr>
            <w:r w:rsidRPr="00692A34">
              <w:rPr>
                <w:sz w:val="24"/>
                <w:szCs w:val="24"/>
              </w:rPr>
              <w:t>V § 1 písm. d) sa nad slovo „skutočnosťami“ umiestňuje odkaz 1. Poznámka pod čiarou k odkazu 1 znie: „1) Zákon č. 215/2004 Z. z. o ochrane utajovaných skutočností a o zmene a doplnení niektorých zákonov v znení neskorších predpisov.“. Odôvodnenie: Z dôvodu prehľadnosti navrhovanej právnej úpravy a precizovanie právneho predpisu, podľa ktorého sa vyžaduje oprávnenie na oboznamovanie sa s utajovanými skutočnosťami, odporúčame doplniť odkaz aj s poznámkou na príslušnú právnu úpravu o ochrane utajovaných skutočností.</w:t>
            </w:r>
          </w:p>
        </w:tc>
        <w:tc>
          <w:tcPr>
            <w:tcW w:w="2268" w:type="dxa"/>
          </w:tcPr>
          <w:p w:rsidR="00D14057" w:rsidRPr="00A32A39" w:rsidRDefault="00A32A39" w:rsidP="00A32A39">
            <w:pPr>
              <w:jc w:val="center"/>
              <w:rPr>
                <w:b/>
                <w:sz w:val="24"/>
                <w:szCs w:val="24"/>
              </w:rPr>
            </w:pPr>
            <w:r>
              <w:rPr>
                <w:b/>
                <w:sz w:val="24"/>
                <w:szCs w:val="24"/>
              </w:rPr>
              <w:t>A</w:t>
            </w:r>
          </w:p>
        </w:tc>
      </w:tr>
      <w:tr w:rsidR="004F0381" w:rsidRPr="00692A34" w:rsidTr="00437CF6">
        <w:trPr>
          <w:trHeight w:val="554"/>
        </w:trPr>
        <w:tc>
          <w:tcPr>
            <w:tcW w:w="710" w:type="dxa"/>
          </w:tcPr>
          <w:p w:rsidR="00D14057" w:rsidRPr="00692A34" w:rsidRDefault="00D14057" w:rsidP="00560842">
            <w:pPr>
              <w:pStyle w:val="Odsekzoznamu"/>
              <w:numPr>
                <w:ilvl w:val="0"/>
                <w:numId w:val="2"/>
              </w:numPr>
              <w:ind w:left="33" w:firstLine="0"/>
              <w:rPr>
                <w:b/>
                <w:sz w:val="24"/>
                <w:szCs w:val="24"/>
              </w:rPr>
            </w:pPr>
          </w:p>
        </w:tc>
        <w:tc>
          <w:tcPr>
            <w:tcW w:w="1275" w:type="dxa"/>
          </w:tcPr>
          <w:p w:rsidR="00D14057" w:rsidRPr="00692A34" w:rsidRDefault="003A60D1" w:rsidP="00F92058">
            <w:pPr>
              <w:rPr>
                <w:rFonts w:cs="Segoe UI"/>
                <w:b/>
                <w:sz w:val="24"/>
                <w:szCs w:val="24"/>
                <w:shd w:val="clear" w:color="auto" w:fill="FAFAFA"/>
              </w:rPr>
            </w:pPr>
            <w:r w:rsidRPr="00692A34">
              <w:rPr>
                <w:rFonts w:cs="Segoe UI"/>
                <w:b/>
                <w:sz w:val="24"/>
                <w:szCs w:val="24"/>
                <w:shd w:val="clear" w:color="auto" w:fill="FAFAFA"/>
              </w:rPr>
              <w:t>NBÚSR</w:t>
            </w:r>
          </w:p>
        </w:tc>
        <w:tc>
          <w:tcPr>
            <w:tcW w:w="1559" w:type="dxa"/>
          </w:tcPr>
          <w:p w:rsidR="00D14057" w:rsidRPr="00692A34" w:rsidRDefault="003A60D1" w:rsidP="00F92058">
            <w:pPr>
              <w:rPr>
                <w:rFonts w:cs="Segoe UI"/>
                <w:sz w:val="24"/>
                <w:szCs w:val="24"/>
                <w:shd w:val="clear" w:color="auto" w:fill="FAFAFA"/>
              </w:rPr>
            </w:pPr>
            <w:r w:rsidRPr="00692A34">
              <w:rPr>
                <w:rFonts w:cs="Segoe UI"/>
                <w:sz w:val="24"/>
                <w:szCs w:val="24"/>
                <w:shd w:val="clear" w:color="auto" w:fill="FAFAFA"/>
              </w:rPr>
              <w:t>K vlastnému materiálu</w:t>
            </w:r>
          </w:p>
        </w:tc>
        <w:tc>
          <w:tcPr>
            <w:tcW w:w="709" w:type="dxa"/>
          </w:tcPr>
          <w:p w:rsidR="00D14057" w:rsidRPr="00692A34" w:rsidRDefault="003A60D1" w:rsidP="00625EAF">
            <w:pPr>
              <w:jc w:val="center"/>
              <w:rPr>
                <w:b/>
                <w:sz w:val="24"/>
                <w:szCs w:val="24"/>
              </w:rPr>
            </w:pPr>
            <w:r w:rsidRPr="00692A34">
              <w:rPr>
                <w:b/>
                <w:sz w:val="24"/>
                <w:szCs w:val="24"/>
              </w:rPr>
              <w:t>Z</w:t>
            </w:r>
          </w:p>
        </w:tc>
        <w:tc>
          <w:tcPr>
            <w:tcW w:w="8930" w:type="dxa"/>
          </w:tcPr>
          <w:p w:rsidR="00D14057" w:rsidRPr="00692A34" w:rsidRDefault="003A60D1" w:rsidP="00F92058">
            <w:pPr>
              <w:rPr>
                <w:sz w:val="24"/>
                <w:szCs w:val="24"/>
              </w:rPr>
            </w:pPr>
            <w:r w:rsidRPr="00692A34">
              <w:rPr>
                <w:sz w:val="24"/>
                <w:szCs w:val="24"/>
              </w:rPr>
              <w:t xml:space="preserve">V § 1 sa písmeno a) dopĺňa šiestym bodom, ktorý znie: „6. 2.26 Kybernetická bezpečnosť.“. Odôvodnenie: Kybernetická bezpečnosť ako odbor štátnej služby má osobitný charakter, keďže je jedným z kľúčových komponentov bezpečnosti štátu a jej úlohou je zabezpečiť ochranu a obranu základných bezpečnostných oblastí fungovania štátu (bezpečnostné záujmy v zahraničnej a obrannej politike, ochrana ústavného zriadenia, verejného poriadku atď.) pred bezpečnostnými incidentmi, ktoré by mohli viesť k narušeniu alebo negatívnemu ovplyvneniu funkčnosti niektorej zo základných bezpečnostných oblastí fungovania štátu. Z vyššie uvedeného dôvodu je žiaduce, aby štátnu službu v tomto odbore na štátnozamestnaneckom mieste vykonávali len štátni občania Slovenskej republiky. Túto pripomienku považuje Národný bezpečnostný úrad za </w:t>
            </w:r>
            <w:r w:rsidRPr="00692A34">
              <w:rPr>
                <w:sz w:val="24"/>
                <w:szCs w:val="24"/>
              </w:rPr>
              <w:lastRenderedPageBreak/>
              <w:t>zásadnú.</w:t>
            </w:r>
          </w:p>
        </w:tc>
        <w:tc>
          <w:tcPr>
            <w:tcW w:w="2268" w:type="dxa"/>
          </w:tcPr>
          <w:p w:rsidR="00D14057" w:rsidRDefault="00A32A39" w:rsidP="00A32A39">
            <w:pPr>
              <w:jc w:val="center"/>
              <w:rPr>
                <w:b/>
                <w:sz w:val="24"/>
                <w:szCs w:val="24"/>
              </w:rPr>
            </w:pPr>
            <w:r>
              <w:rPr>
                <w:b/>
                <w:sz w:val="24"/>
                <w:szCs w:val="24"/>
              </w:rPr>
              <w:lastRenderedPageBreak/>
              <w:t>A</w:t>
            </w:r>
          </w:p>
          <w:p w:rsidR="000D43AA" w:rsidRDefault="000D43AA" w:rsidP="00A32A39">
            <w:pPr>
              <w:jc w:val="center"/>
              <w:rPr>
                <w:b/>
                <w:sz w:val="24"/>
                <w:szCs w:val="24"/>
              </w:rPr>
            </w:pPr>
          </w:p>
          <w:p w:rsidR="000D43AA" w:rsidRPr="000D43AA" w:rsidRDefault="000D43AA" w:rsidP="000D43AA">
            <w:pPr>
              <w:rPr>
                <w:sz w:val="24"/>
                <w:szCs w:val="24"/>
              </w:rPr>
            </w:pPr>
            <w:r w:rsidRPr="000D43AA">
              <w:rPr>
                <w:sz w:val="24"/>
                <w:szCs w:val="24"/>
              </w:rPr>
              <w:t>Nový špeciálny odbor štátnej služby Kybernetická bezpečnosť</w:t>
            </w:r>
            <w:r>
              <w:rPr>
                <w:sz w:val="24"/>
                <w:szCs w:val="24"/>
              </w:rPr>
              <w:t xml:space="preserve"> bol doplnený pod písm. </w:t>
            </w:r>
            <w:proofErr w:type="spellStart"/>
            <w:r>
              <w:rPr>
                <w:sz w:val="24"/>
                <w:szCs w:val="24"/>
              </w:rPr>
              <w:t>aa</w:t>
            </w:r>
            <w:proofErr w:type="spellEnd"/>
            <w:r>
              <w:rPr>
                <w:sz w:val="24"/>
                <w:szCs w:val="24"/>
              </w:rPr>
              <w:t>) 2.27</w:t>
            </w:r>
          </w:p>
        </w:tc>
      </w:tr>
      <w:tr w:rsidR="004F0381" w:rsidRPr="00692A34" w:rsidTr="00437CF6">
        <w:trPr>
          <w:trHeight w:val="554"/>
        </w:trPr>
        <w:tc>
          <w:tcPr>
            <w:tcW w:w="710" w:type="dxa"/>
          </w:tcPr>
          <w:p w:rsidR="00D14057" w:rsidRPr="00692A34" w:rsidRDefault="00D14057" w:rsidP="00560842">
            <w:pPr>
              <w:pStyle w:val="Odsekzoznamu"/>
              <w:numPr>
                <w:ilvl w:val="0"/>
                <w:numId w:val="2"/>
              </w:numPr>
              <w:ind w:left="33" w:firstLine="0"/>
              <w:rPr>
                <w:b/>
                <w:sz w:val="24"/>
                <w:szCs w:val="24"/>
              </w:rPr>
            </w:pPr>
          </w:p>
        </w:tc>
        <w:tc>
          <w:tcPr>
            <w:tcW w:w="1275" w:type="dxa"/>
          </w:tcPr>
          <w:p w:rsidR="00D14057" w:rsidRPr="00692A34" w:rsidRDefault="003A60D1" w:rsidP="00F92058">
            <w:pPr>
              <w:rPr>
                <w:rFonts w:cs="Segoe UI"/>
                <w:b/>
                <w:sz w:val="24"/>
                <w:szCs w:val="24"/>
                <w:shd w:val="clear" w:color="auto" w:fill="FAFAFA"/>
              </w:rPr>
            </w:pPr>
            <w:r w:rsidRPr="00692A34">
              <w:rPr>
                <w:rFonts w:cs="Segoe UI"/>
                <w:b/>
                <w:sz w:val="24"/>
                <w:szCs w:val="24"/>
                <w:shd w:val="clear" w:color="auto" w:fill="FAFAFA"/>
              </w:rPr>
              <w:t>NBÚSR</w:t>
            </w:r>
          </w:p>
        </w:tc>
        <w:tc>
          <w:tcPr>
            <w:tcW w:w="1559" w:type="dxa"/>
          </w:tcPr>
          <w:p w:rsidR="00D14057" w:rsidRPr="00692A34" w:rsidRDefault="003A60D1" w:rsidP="00F92058">
            <w:pPr>
              <w:rPr>
                <w:rFonts w:cs="Segoe UI"/>
                <w:sz w:val="24"/>
                <w:szCs w:val="24"/>
                <w:shd w:val="clear" w:color="auto" w:fill="FAFAFA"/>
              </w:rPr>
            </w:pPr>
            <w:r w:rsidRPr="00692A34">
              <w:rPr>
                <w:rFonts w:cs="Segoe UI"/>
                <w:sz w:val="24"/>
                <w:szCs w:val="24"/>
                <w:shd w:val="clear" w:color="auto" w:fill="FAFAFA"/>
              </w:rPr>
              <w:t>K vlastnému materiálu</w:t>
            </w:r>
          </w:p>
        </w:tc>
        <w:tc>
          <w:tcPr>
            <w:tcW w:w="709" w:type="dxa"/>
          </w:tcPr>
          <w:p w:rsidR="00D14057" w:rsidRPr="00692A34" w:rsidRDefault="003A60D1" w:rsidP="00625EAF">
            <w:pPr>
              <w:jc w:val="center"/>
              <w:rPr>
                <w:b/>
                <w:sz w:val="24"/>
                <w:szCs w:val="24"/>
              </w:rPr>
            </w:pPr>
            <w:r w:rsidRPr="00692A34">
              <w:rPr>
                <w:b/>
                <w:sz w:val="24"/>
                <w:szCs w:val="24"/>
              </w:rPr>
              <w:t>O</w:t>
            </w:r>
          </w:p>
        </w:tc>
        <w:tc>
          <w:tcPr>
            <w:tcW w:w="8930" w:type="dxa"/>
          </w:tcPr>
          <w:p w:rsidR="00D14057" w:rsidRPr="00692A34" w:rsidRDefault="003A60D1" w:rsidP="00F92058">
            <w:pPr>
              <w:rPr>
                <w:sz w:val="24"/>
                <w:szCs w:val="24"/>
              </w:rPr>
            </w:pPr>
            <w:r w:rsidRPr="00692A34">
              <w:rPr>
                <w:sz w:val="24"/>
                <w:szCs w:val="24"/>
              </w:rPr>
              <w:t>V § 1 písm. a) úvodnej vete sa pred slovo „odbore“ vkladá slovo „špeciálnom“. Odôvodnenie: V návrhu nariadenia sa odbory členia na všeobecné a špeciálne. Výkon štátnej služby len občanom Slovenskej republiky sa týka iba špeciálnych odborov štátnej služby, preto túto skutočnosť navrhujeme vyslovene v texte precizovať.</w:t>
            </w:r>
          </w:p>
        </w:tc>
        <w:tc>
          <w:tcPr>
            <w:tcW w:w="2268" w:type="dxa"/>
          </w:tcPr>
          <w:p w:rsidR="00D14057" w:rsidRDefault="00A32A39" w:rsidP="00A32A39">
            <w:pPr>
              <w:jc w:val="center"/>
              <w:rPr>
                <w:b/>
                <w:sz w:val="24"/>
                <w:szCs w:val="24"/>
              </w:rPr>
            </w:pPr>
            <w:r>
              <w:rPr>
                <w:b/>
                <w:sz w:val="24"/>
                <w:szCs w:val="24"/>
              </w:rPr>
              <w:t>N</w:t>
            </w:r>
          </w:p>
          <w:p w:rsidR="00A32A39" w:rsidRPr="00A32A39" w:rsidRDefault="00A32A39" w:rsidP="00A32A39">
            <w:pPr>
              <w:rPr>
                <w:sz w:val="24"/>
                <w:szCs w:val="24"/>
              </w:rPr>
            </w:pPr>
            <w:r>
              <w:rPr>
                <w:sz w:val="24"/>
                <w:szCs w:val="24"/>
              </w:rPr>
              <w:t>Nie je predmetom úpravy</w:t>
            </w:r>
            <w:r w:rsidR="002F1C01">
              <w:rPr>
                <w:sz w:val="24"/>
                <w:szCs w:val="24"/>
              </w:rPr>
              <w:t xml:space="preserve"> </w:t>
            </w:r>
            <w:r w:rsidR="0071451F">
              <w:rPr>
                <w:sz w:val="24"/>
                <w:szCs w:val="24"/>
              </w:rPr>
              <w:t xml:space="preserve">tohto </w:t>
            </w:r>
            <w:r w:rsidR="002F1C01">
              <w:rPr>
                <w:sz w:val="24"/>
                <w:szCs w:val="24"/>
              </w:rPr>
              <w:t>nariadenia vlády</w:t>
            </w:r>
            <w:r w:rsidR="00215220">
              <w:rPr>
                <w:sz w:val="24"/>
                <w:szCs w:val="24"/>
              </w:rPr>
              <w:t>,</w:t>
            </w:r>
            <w:r>
              <w:rPr>
                <w:sz w:val="24"/>
                <w:szCs w:val="24"/>
              </w:rPr>
              <w:t xml:space="preserve"> rozdelenie odborov </w:t>
            </w:r>
            <w:r w:rsidR="000D43AA">
              <w:rPr>
                <w:sz w:val="24"/>
                <w:szCs w:val="24"/>
              </w:rPr>
              <w:t xml:space="preserve">na všeobecné odbory a špeciálne odbory </w:t>
            </w:r>
            <w:r>
              <w:rPr>
                <w:sz w:val="24"/>
                <w:szCs w:val="24"/>
              </w:rPr>
              <w:t>ustanovuje iné nariadenie vlády</w:t>
            </w:r>
          </w:p>
        </w:tc>
      </w:tr>
      <w:tr w:rsidR="003A60D1" w:rsidRPr="00692A34" w:rsidTr="00437CF6">
        <w:trPr>
          <w:trHeight w:val="554"/>
        </w:trPr>
        <w:tc>
          <w:tcPr>
            <w:tcW w:w="710" w:type="dxa"/>
          </w:tcPr>
          <w:p w:rsidR="003A60D1" w:rsidRPr="00692A34" w:rsidRDefault="003A60D1" w:rsidP="00560842">
            <w:pPr>
              <w:pStyle w:val="Odsekzoznamu"/>
              <w:numPr>
                <w:ilvl w:val="0"/>
                <w:numId w:val="2"/>
              </w:numPr>
              <w:ind w:left="33" w:firstLine="0"/>
              <w:rPr>
                <w:b/>
                <w:sz w:val="24"/>
                <w:szCs w:val="24"/>
              </w:rPr>
            </w:pPr>
          </w:p>
        </w:tc>
        <w:tc>
          <w:tcPr>
            <w:tcW w:w="1275" w:type="dxa"/>
          </w:tcPr>
          <w:p w:rsidR="003A60D1" w:rsidRPr="00692A34" w:rsidRDefault="003A60D1" w:rsidP="00F92058">
            <w:pPr>
              <w:rPr>
                <w:rFonts w:cs="Segoe UI"/>
                <w:b/>
                <w:sz w:val="24"/>
                <w:szCs w:val="24"/>
                <w:shd w:val="clear" w:color="auto" w:fill="FAFAFA"/>
              </w:rPr>
            </w:pPr>
            <w:r w:rsidRPr="00692A34">
              <w:rPr>
                <w:rFonts w:cs="Segoe UI"/>
                <w:b/>
                <w:sz w:val="24"/>
                <w:szCs w:val="24"/>
                <w:shd w:val="clear" w:color="auto" w:fill="FAFAFA"/>
              </w:rPr>
              <w:t xml:space="preserve">ÚPPVII </w:t>
            </w:r>
          </w:p>
        </w:tc>
        <w:tc>
          <w:tcPr>
            <w:tcW w:w="1559" w:type="dxa"/>
          </w:tcPr>
          <w:p w:rsidR="003A60D1" w:rsidRPr="00692A34" w:rsidRDefault="003A60D1" w:rsidP="00F92058">
            <w:pPr>
              <w:rPr>
                <w:rFonts w:cs="Segoe UI"/>
                <w:sz w:val="24"/>
                <w:szCs w:val="24"/>
                <w:shd w:val="clear" w:color="auto" w:fill="FAFAFA"/>
              </w:rPr>
            </w:pPr>
            <w:r w:rsidRPr="00692A34">
              <w:rPr>
                <w:rFonts w:cs="Segoe UI"/>
                <w:sz w:val="24"/>
                <w:szCs w:val="24"/>
                <w:shd w:val="clear" w:color="auto" w:fill="FAFAFA"/>
              </w:rPr>
              <w:t>§ 1 písm. b)</w:t>
            </w:r>
          </w:p>
        </w:tc>
        <w:tc>
          <w:tcPr>
            <w:tcW w:w="709" w:type="dxa"/>
          </w:tcPr>
          <w:p w:rsidR="003A60D1" w:rsidRPr="00692A34" w:rsidRDefault="003A60D1" w:rsidP="00625EAF">
            <w:pPr>
              <w:jc w:val="center"/>
              <w:rPr>
                <w:b/>
                <w:sz w:val="24"/>
                <w:szCs w:val="24"/>
              </w:rPr>
            </w:pPr>
            <w:r w:rsidRPr="00692A34">
              <w:rPr>
                <w:b/>
                <w:sz w:val="24"/>
                <w:szCs w:val="24"/>
              </w:rPr>
              <w:t>Z</w:t>
            </w:r>
          </w:p>
        </w:tc>
        <w:tc>
          <w:tcPr>
            <w:tcW w:w="8930" w:type="dxa"/>
          </w:tcPr>
          <w:p w:rsidR="003A60D1" w:rsidRPr="00692A34" w:rsidRDefault="003A60D1" w:rsidP="00F92058">
            <w:pPr>
              <w:rPr>
                <w:sz w:val="24"/>
                <w:szCs w:val="24"/>
              </w:rPr>
            </w:pPr>
            <w:r w:rsidRPr="00692A34">
              <w:rPr>
                <w:sz w:val="24"/>
                <w:szCs w:val="24"/>
              </w:rPr>
              <w:t xml:space="preserve">V § 1 písm. b) navrhujeme odstrániť slovo "okrem" a doplniť bod 5., ktorý znie: "5. Úrad podpredsedu vlády Slovenskej republiky pre investície a informatizáciu,". Odôvodnenie: Pozícia Slovenskej republiky ako prijímateľa pomoci z európskych štrukturálnych a investičných fondov je diametrálne odlišná ako pozícia napr. čistých platiteľov, preto je potrebné v prospech národnoštátnych záujmov jednoznačne definovať tieto pozície na strategických úradoch ako strategické a citlivé a zamestnávať v tomto odbore štátnej služby v strategických </w:t>
            </w:r>
            <w:r w:rsidR="00DD3BC5" w:rsidRPr="00692A34">
              <w:rPr>
                <w:sz w:val="24"/>
                <w:szCs w:val="24"/>
              </w:rPr>
              <w:t>inštitúciách</w:t>
            </w:r>
            <w:r w:rsidRPr="00692A34">
              <w:rPr>
                <w:sz w:val="24"/>
                <w:szCs w:val="24"/>
              </w:rPr>
              <w:t xml:space="preserve"> len štátnych občanov Slovenskej republiky.</w:t>
            </w:r>
          </w:p>
        </w:tc>
        <w:tc>
          <w:tcPr>
            <w:tcW w:w="2268" w:type="dxa"/>
          </w:tcPr>
          <w:p w:rsidR="003A60D1" w:rsidRPr="00C85498" w:rsidRDefault="00917D57" w:rsidP="00F92058">
            <w:pPr>
              <w:rPr>
                <w:sz w:val="24"/>
                <w:szCs w:val="24"/>
              </w:rPr>
            </w:pPr>
            <w:r w:rsidRPr="00C85498">
              <w:rPr>
                <w:sz w:val="24"/>
                <w:szCs w:val="24"/>
              </w:rPr>
              <w:t xml:space="preserve">             N</w:t>
            </w:r>
          </w:p>
          <w:p w:rsidR="00BC6842" w:rsidRPr="00C85498" w:rsidRDefault="00BC6842" w:rsidP="00917D57">
            <w:pPr>
              <w:rPr>
                <w:sz w:val="24"/>
                <w:szCs w:val="24"/>
              </w:rPr>
            </w:pPr>
          </w:p>
          <w:p w:rsidR="00BE0F54" w:rsidRPr="00C85498" w:rsidRDefault="00C85498" w:rsidP="00917D57">
            <w:pPr>
              <w:rPr>
                <w:sz w:val="24"/>
                <w:szCs w:val="24"/>
              </w:rPr>
            </w:pPr>
            <w:r w:rsidRPr="00C85498">
              <w:rPr>
                <w:sz w:val="24"/>
                <w:szCs w:val="24"/>
              </w:rPr>
              <w:t>ÚPPVII pripomienku stiahol a súhlasil</w:t>
            </w:r>
          </w:p>
          <w:p w:rsidR="0056511B" w:rsidRDefault="00C85498" w:rsidP="0056511B">
            <w:pPr>
              <w:rPr>
                <w:sz w:val="24"/>
                <w:szCs w:val="24"/>
              </w:rPr>
            </w:pPr>
            <w:r w:rsidRPr="00C85498">
              <w:rPr>
                <w:sz w:val="24"/>
                <w:szCs w:val="24"/>
              </w:rPr>
              <w:t>s protinávrhom predkladateľa na úpravu znenia § 1 písmena a), v ktorom sa doplnili nové špeci</w:t>
            </w:r>
            <w:r w:rsidR="0056511B">
              <w:rPr>
                <w:sz w:val="24"/>
                <w:szCs w:val="24"/>
              </w:rPr>
              <w:t>álne</w:t>
            </w:r>
            <w:r w:rsidRPr="00C85498">
              <w:rPr>
                <w:sz w:val="24"/>
                <w:szCs w:val="24"/>
              </w:rPr>
              <w:t xml:space="preserve"> odbory štátnej služby</w:t>
            </w:r>
          </w:p>
          <w:p w:rsidR="0056511B" w:rsidRDefault="00C85498" w:rsidP="0056511B">
            <w:pPr>
              <w:rPr>
                <w:sz w:val="24"/>
                <w:szCs w:val="24"/>
              </w:rPr>
            </w:pPr>
            <w:r w:rsidRPr="00C85498">
              <w:rPr>
                <w:sz w:val="24"/>
                <w:szCs w:val="24"/>
              </w:rPr>
              <w:t>2.28 Investície a </w:t>
            </w:r>
          </w:p>
          <w:p w:rsidR="00917D57" w:rsidRPr="00C85498" w:rsidRDefault="00C85498" w:rsidP="0056511B">
            <w:pPr>
              <w:rPr>
                <w:sz w:val="24"/>
                <w:szCs w:val="24"/>
              </w:rPr>
            </w:pPr>
            <w:r w:rsidRPr="00C85498">
              <w:rPr>
                <w:sz w:val="24"/>
                <w:szCs w:val="24"/>
              </w:rPr>
              <w:t xml:space="preserve">2.29 </w:t>
            </w:r>
            <w:r w:rsidR="0056511B">
              <w:rPr>
                <w:sz w:val="24"/>
                <w:szCs w:val="24"/>
              </w:rPr>
              <w:t>Informatizácia</w:t>
            </w:r>
          </w:p>
        </w:tc>
      </w:tr>
      <w:tr w:rsidR="006C2367" w:rsidRPr="00692A34" w:rsidTr="00437CF6">
        <w:trPr>
          <w:trHeight w:val="554"/>
        </w:trPr>
        <w:tc>
          <w:tcPr>
            <w:tcW w:w="710" w:type="dxa"/>
          </w:tcPr>
          <w:p w:rsidR="006C2367" w:rsidRPr="00692A34" w:rsidRDefault="006C2367" w:rsidP="00560842">
            <w:pPr>
              <w:pStyle w:val="Odsekzoznamu"/>
              <w:numPr>
                <w:ilvl w:val="0"/>
                <w:numId w:val="2"/>
              </w:numPr>
              <w:ind w:left="33" w:firstLine="0"/>
              <w:rPr>
                <w:b/>
                <w:sz w:val="24"/>
                <w:szCs w:val="24"/>
              </w:rPr>
            </w:pPr>
          </w:p>
        </w:tc>
        <w:tc>
          <w:tcPr>
            <w:tcW w:w="1275" w:type="dxa"/>
          </w:tcPr>
          <w:p w:rsidR="006C2367" w:rsidRPr="00692A34" w:rsidRDefault="006C2367" w:rsidP="00F92058">
            <w:pPr>
              <w:rPr>
                <w:rFonts w:cs="Segoe UI"/>
                <w:b/>
                <w:sz w:val="24"/>
                <w:szCs w:val="24"/>
                <w:shd w:val="clear" w:color="auto" w:fill="FAFAFA"/>
              </w:rPr>
            </w:pPr>
            <w:r w:rsidRPr="00692A34">
              <w:rPr>
                <w:rFonts w:cs="Segoe UI"/>
                <w:b/>
                <w:sz w:val="24"/>
                <w:szCs w:val="24"/>
                <w:shd w:val="clear" w:color="auto" w:fill="FAFAFA"/>
              </w:rPr>
              <w:t>SVPPNRO</w:t>
            </w:r>
          </w:p>
        </w:tc>
        <w:tc>
          <w:tcPr>
            <w:tcW w:w="1559" w:type="dxa"/>
          </w:tcPr>
          <w:p w:rsidR="006C2367" w:rsidRPr="00692A34" w:rsidRDefault="006C2367" w:rsidP="003A60D1">
            <w:pPr>
              <w:rPr>
                <w:rFonts w:cs="Segoe UI"/>
                <w:sz w:val="24"/>
                <w:szCs w:val="24"/>
                <w:shd w:val="clear" w:color="auto" w:fill="FAFAFA"/>
              </w:rPr>
            </w:pPr>
            <w:r w:rsidRPr="00692A34">
              <w:rPr>
                <w:rFonts w:cs="Segoe UI"/>
                <w:sz w:val="24"/>
                <w:szCs w:val="24"/>
                <w:shd w:val="clear" w:color="auto" w:fill="FAFAFA"/>
              </w:rPr>
              <w:t>§ 1 písm. b)</w:t>
            </w:r>
          </w:p>
        </w:tc>
        <w:tc>
          <w:tcPr>
            <w:tcW w:w="709" w:type="dxa"/>
          </w:tcPr>
          <w:p w:rsidR="006C2367" w:rsidRPr="00692A34" w:rsidRDefault="006C2367" w:rsidP="00625EAF">
            <w:pPr>
              <w:jc w:val="center"/>
              <w:rPr>
                <w:b/>
                <w:sz w:val="24"/>
                <w:szCs w:val="24"/>
              </w:rPr>
            </w:pPr>
            <w:r w:rsidRPr="00692A34">
              <w:rPr>
                <w:b/>
                <w:sz w:val="24"/>
                <w:szCs w:val="24"/>
              </w:rPr>
              <w:t>O</w:t>
            </w:r>
          </w:p>
        </w:tc>
        <w:tc>
          <w:tcPr>
            <w:tcW w:w="8930" w:type="dxa"/>
          </w:tcPr>
          <w:p w:rsidR="006C2367" w:rsidRPr="00692A34" w:rsidRDefault="006C2367" w:rsidP="00F92058">
            <w:pPr>
              <w:rPr>
                <w:sz w:val="24"/>
                <w:szCs w:val="24"/>
              </w:rPr>
            </w:pPr>
            <w:r w:rsidRPr="00692A34">
              <w:rPr>
                <w:sz w:val="24"/>
                <w:szCs w:val="24"/>
              </w:rPr>
              <w:t xml:space="preserve">Odporúčame prepracovať § 1 písm. b) tak, aby sa zohľadňovala špecifikácia odboru štátnej služby vyhradeného pre štátnych občanov Slovenskej republiky. Nevidíme dôvod, aby u splnomocnenca vlády SR pre podporu najmenej rozvinutých okresov na Úrade vlády nemohli pracovať špecialisti na predmetnú oblasť v regionálnom rozvoji, ktorí nie sú štátnymi občanmi SR. Máme za to, že je nutné posudzovať charakter úloh, ktoré </w:t>
            </w:r>
            <w:r w:rsidRPr="00692A34">
              <w:rPr>
                <w:sz w:val="24"/>
                <w:szCs w:val="24"/>
              </w:rPr>
              <w:lastRenderedPageBreak/>
              <w:t>vyplývajú zo štátnozamestnaneckého miesta, nie jeho sektorové zaradenie.</w:t>
            </w:r>
          </w:p>
        </w:tc>
        <w:tc>
          <w:tcPr>
            <w:tcW w:w="2268" w:type="dxa"/>
          </w:tcPr>
          <w:p w:rsidR="006C2367" w:rsidRPr="00917D57" w:rsidRDefault="00917D57" w:rsidP="00B41F55">
            <w:pPr>
              <w:rPr>
                <w:b/>
                <w:sz w:val="24"/>
                <w:szCs w:val="24"/>
              </w:rPr>
            </w:pPr>
            <w:r w:rsidRPr="00917D57">
              <w:rPr>
                <w:b/>
                <w:sz w:val="24"/>
                <w:szCs w:val="24"/>
              </w:rPr>
              <w:lastRenderedPageBreak/>
              <w:t xml:space="preserve">   </w:t>
            </w:r>
            <w:r>
              <w:rPr>
                <w:b/>
                <w:sz w:val="24"/>
                <w:szCs w:val="24"/>
              </w:rPr>
              <w:t xml:space="preserve">             </w:t>
            </w:r>
            <w:r w:rsidRPr="00917D57">
              <w:rPr>
                <w:b/>
                <w:sz w:val="24"/>
                <w:szCs w:val="24"/>
              </w:rPr>
              <w:t>A</w:t>
            </w:r>
          </w:p>
        </w:tc>
      </w:tr>
      <w:tr w:rsidR="007B5569" w:rsidRPr="00692A34" w:rsidTr="00437CF6">
        <w:trPr>
          <w:trHeight w:val="554"/>
        </w:trPr>
        <w:tc>
          <w:tcPr>
            <w:tcW w:w="710" w:type="dxa"/>
          </w:tcPr>
          <w:p w:rsidR="007B5569" w:rsidRPr="00692A34" w:rsidRDefault="007B5569" w:rsidP="00560842">
            <w:pPr>
              <w:pStyle w:val="Odsekzoznamu"/>
              <w:numPr>
                <w:ilvl w:val="0"/>
                <w:numId w:val="2"/>
              </w:numPr>
              <w:ind w:left="33" w:firstLine="0"/>
              <w:rPr>
                <w:b/>
                <w:sz w:val="24"/>
                <w:szCs w:val="24"/>
              </w:rPr>
            </w:pPr>
          </w:p>
        </w:tc>
        <w:tc>
          <w:tcPr>
            <w:tcW w:w="1275" w:type="dxa"/>
          </w:tcPr>
          <w:p w:rsidR="007B5569" w:rsidRPr="00692A34" w:rsidRDefault="007B5569" w:rsidP="00F92058">
            <w:pPr>
              <w:rPr>
                <w:rFonts w:cs="Segoe UI"/>
                <w:b/>
                <w:sz w:val="24"/>
                <w:szCs w:val="24"/>
                <w:shd w:val="clear" w:color="auto" w:fill="FAFAFA"/>
              </w:rPr>
            </w:pPr>
            <w:r w:rsidRPr="00692A34">
              <w:rPr>
                <w:rFonts w:cs="Segoe UI"/>
                <w:b/>
                <w:sz w:val="24"/>
                <w:szCs w:val="24"/>
                <w:shd w:val="clear" w:color="auto" w:fill="FAFAFA"/>
              </w:rPr>
              <w:t>MVSR</w:t>
            </w:r>
          </w:p>
        </w:tc>
        <w:tc>
          <w:tcPr>
            <w:tcW w:w="1559" w:type="dxa"/>
          </w:tcPr>
          <w:p w:rsidR="007B5569" w:rsidRPr="00692A34" w:rsidRDefault="007B5569" w:rsidP="003A60D1">
            <w:pPr>
              <w:rPr>
                <w:rFonts w:cs="Segoe UI"/>
                <w:sz w:val="24"/>
                <w:szCs w:val="24"/>
                <w:shd w:val="clear" w:color="auto" w:fill="FAFAFA"/>
              </w:rPr>
            </w:pPr>
            <w:r w:rsidRPr="00692A34">
              <w:rPr>
                <w:rFonts w:cs="Segoe UI"/>
                <w:sz w:val="24"/>
                <w:szCs w:val="24"/>
                <w:shd w:val="clear" w:color="auto" w:fill="FAFAFA"/>
              </w:rPr>
              <w:t>Čl. I</w:t>
            </w:r>
          </w:p>
        </w:tc>
        <w:tc>
          <w:tcPr>
            <w:tcW w:w="709" w:type="dxa"/>
          </w:tcPr>
          <w:p w:rsidR="007B5569" w:rsidRPr="00692A34" w:rsidRDefault="007B5569" w:rsidP="00625EAF">
            <w:pPr>
              <w:jc w:val="center"/>
              <w:rPr>
                <w:b/>
                <w:sz w:val="24"/>
                <w:szCs w:val="24"/>
              </w:rPr>
            </w:pPr>
            <w:r w:rsidRPr="00692A34">
              <w:rPr>
                <w:b/>
                <w:sz w:val="24"/>
                <w:szCs w:val="24"/>
              </w:rPr>
              <w:t>O</w:t>
            </w:r>
          </w:p>
        </w:tc>
        <w:tc>
          <w:tcPr>
            <w:tcW w:w="8930" w:type="dxa"/>
          </w:tcPr>
          <w:p w:rsidR="007B5569" w:rsidRPr="00692A34" w:rsidRDefault="007B5569" w:rsidP="00F92058">
            <w:pPr>
              <w:rPr>
                <w:sz w:val="24"/>
                <w:szCs w:val="24"/>
              </w:rPr>
            </w:pPr>
            <w:r w:rsidRPr="00692A34">
              <w:rPr>
                <w:sz w:val="24"/>
                <w:szCs w:val="24"/>
              </w:rPr>
              <w:t>V § 1 navrhované znenie písmena b) upraviť vo vzťahu k písmenu a) podľa legislatívnych pravidiel vlády a služobné úrady, na ktoré sa vzťahuje výnimka, systematicky usporiadať. V rámci predmetnej úpravy je taktiež vhodné slová „služobnom úrade, ktorým je“ nahradiť slovami „služobných úradoch, ktorými sú:“. Písmeno d) gramaticky nenadväzuje na úvodnú vetu, pretože za slovami „štátnozamestnaneckom mieste“ by musela byť čiarka.</w:t>
            </w:r>
          </w:p>
        </w:tc>
        <w:tc>
          <w:tcPr>
            <w:tcW w:w="2268" w:type="dxa"/>
          </w:tcPr>
          <w:p w:rsidR="007B5569" w:rsidRDefault="00BC6842" w:rsidP="00BC6842">
            <w:pPr>
              <w:jc w:val="center"/>
              <w:rPr>
                <w:b/>
                <w:sz w:val="24"/>
                <w:szCs w:val="24"/>
              </w:rPr>
            </w:pPr>
            <w:r>
              <w:rPr>
                <w:b/>
                <w:sz w:val="24"/>
                <w:szCs w:val="24"/>
              </w:rPr>
              <w:t>A</w:t>
            </w:r>
          </w:p>
          <w:p w:rsidR="00BC6842" w:rsidRDefault="00BC6842" w:rsidP="00BC6842">
            <w:pPr>
              <w:jc w:val="center"/>
              <w:rPr>
                <w:b/>
                <w:sz w:val="24"/>
                <w:szCs w:val="24"/>
              </w:rPr>
            </w:pPr>
          </w:p>
          <w:p w:rsidR="00BC6842" w:rsidRPr="00BC6842" w:rsidRDefault="00BC6842" w:rsidP="00917D57">
            <w:pPr>
              <w:rPr>
                <w:b/>
                <w:sz w:val="24"/>
                <w:szCs w:val="24"/>
              </w:rPr>
            </w:pPr>
          </w:p>
        </w:tc>
      </w:tr>
      <w:tr w:rsidR="007B5569" w:rsidRPr="00692A34" w:rsidTr="00437CF6">
        <w:trPr>
          <w:trHeight w:val="554"/>
        </w:trPr>
        <w:tc>
          <w:tcPr>
            <w:tcW w:w="710" w:type="dxa"/>
          </w:tcPr>
          <w:p w:rsidR="007B5569" w:rsidRPr="00692A34" w:rsidRDefault="007B5569" w:rsidP="00560842">
            <w:pPr>
              <w:pStyle w:val="Odsekzoznamu"/>
              <w:numPr>
                <w:ilvl w:val="0"/>
                <w:numId w:val="2"/>
              </w:numPr>
              <w:ind w:left="33" w:firstLine="0"/>
              <w:rPr>
                <w:b/>
                <w:sz w:val="24"/>
                <w:szCs w:val="24"/>
              </w:rPr>
            </w:pPr>
          </w:p>
        </w:tc>
        <w:tc>
          <w:tcPr>
            <w:tcW w:w="1275" w:type="dxa"/>
          </w:tcPr>
          <w:p w:rsidR="007B5569" w:rsidRPr="00692A34" w:rsidRDefault="007B5569" w:rsidP="00F92058">
            <w:pPr>
              <w:rPr>
                <w:rFonts w:cs="Segoe UI"/>
                <w:b/>
                <w:sz w:val="24"/>
                <w:szCs w:val="24"/>
                <w:shd w:val="clear" w:color="auto" w:fill="FAFAFA"/>
              </w:rPr>
            </w:pPr>
            <w:r w:rsidRPr="00692A34">
              <w:rPr>
                <w:rFonts w:cs="Segoe UI"/>
                <w:b/>
                <w:sz w:val="24"/>
                <w:szCs w:val="24"/>
                <w:shd w:val="clear" w:color="auto" w:fill="FAFAFA"/>
              </w:rPr>
              <w:t>MVSR</w:t>
            </w:r>
          </w:p>
        </w:tc>
        <w:tc>
          <w:tcPr>
            <w:tcW w:w="1559" w:type="dxa"/>
          </w:tcPr>
          <w:p w:rsidR="007B5569" w:rsidRPr="00692A34" w:rsidRDefault="007B5569" w:rsidP="003A60D1">
            <w:pPr>
              <w:rPr>
                <w:rFonts w:cs="Segoe UI"/>
                <w:sz w:val="24"/>
                <w:szCs w:val="24"/>
                <w:shd w:val="clear" w:color="auto" w:fill="FAFAFA"/>
              </w:rPr>
            </w:pPr>
            <w:r w:rsidRPr="00692A34">
              <w:rPr>
                <w:rFonts w:cs="Segoe UI"/>
                <w:sz w:val="24"/>
                <w:szCs w:val="24"/>
                <w:shd w:val="clear" w:color="auto" w:fill="FAFAFA"/>
              </w:rPr>
              <w:t>Čl. I</w:t>
            </w:r>
          </w:p>
        </w:tc>
        <w:tc>
          <w:tcPr>
            <w:tcW w:w="709" w:type="dxa"/>
          </w:tcPr>
          <w:p w:rsidR="007B5569" w:rsidRPr="00692A34" w:rsidRDefault="007B5569" w:rsidP="00625EAF">
            <w:pPr>
              <w:jc w:val="center"/>
              <w:rPr>
                <w:b/>
                <w:sz w:val="24"/>
                <w:szCs w:val="24"/>
              </w:rPr>
            </w:pPr>
            <w:r w:rsidRPr="00692A34">
              <w:rPr>
                <w:b/>
                <w:sz w:val="24"/>
                <w:szCs w:val="24"/>
              </w:rPr>
              <w:t>O</w:t>
            </w:r>
          </w:p>
        </w:tc>
        <w:tc>
          <w:tcPr>
            <w:tcW w:w="8930" w:type="dxa"/>
          </w:tcPr>
          <w:p w:rsidR="007B5569" w:rsidRPr="00692A34" w:rsidRDefault="007B5569" w:rsidP="00F92058">
            <w:pPr>
              <w:rPr>
                <w:sz w:val="24"/>
                <w:szCs w:val="24"/>
              </w:rPr>
            </w:pPr>
            <w:r w:rsidRPr="00692A34">
              <w:rPr>
                <w:sz w:val="24"/>
                <w:szCs w:val="24"/>
              </w:rPr>
              <w:t>V § 1 písm. a) druhom bode slovo „obrana“ je síce zaužívané, ale na daný účel príliš neurčité a vyžaduje spresnenie, napríklad slovami „obrana Slovenskej republiky“, prípadne „obrana štátu“.</w:t>
            </w:r>
          </w:p>
        </w:tc>
        <w:tc>
          <w:tcPr>
            <w:tcW w:w="2268" w:type="dxa"/>
          </w:tcPr>
          <w:p w:rsidR="007B5569" w:rsidRDefault="00BC6842" w:rsidP="00BC6842">
            <w:pPr>
              <w:jc w:val="center"/>
              <w:rPr>
                <w:b/>
                <w:sz w:val="24"/>
                <w:szCs w:val="24"/>
              </w:rPr>
            </w:pPr>
            <w:r>
              <w:rPr>
                <w:b/>
                <w:sz w:val="24"/>
                <w:szCs w:val="24"/>
              </w:rPr>
              <w:t>N</w:t>
            </w:r>
          </w:p>
          <w:p w:rsidR="00BC6842" w:rsidRDefault="00BC6842" w:rsidP="00BC6842">
            <w:pPr>
              <w:rPr>
                <w:sz w:val="24"/>
                <w:szCs w:val="24"/>
              </w:rPr>
            </w:pPr>
            <w:r>
              <w:rPr>
                <w:sz w:val="24"/>
                <w:szCs w:val="24"/>
              </w:rPr>
              <w:t xml:space="preserve">Ministerstvo obrany, ktoré uvedený špeciálny odbor </w:t>
            </w:r>
            <w:r w:rsidR="002F1C01">
              <w:rPr>
                <w:sz w:val="24"/>
                <w:szCs w:val="24"/>
              </w:rPr>
              <w:t xml:space="preserve">štátnej služby </w:t>
            </w:r>
            <w:r>
              <w:rPr>
                <w:sz w:val="24"/>
                <w:szCs w:val="24"/>
              </w:rPr>
              <w:t>aplikuje v</w:t>
            </w:r>
            <w:r w:rsidR="00AA5038">
              <w:rPr>
                <w:sz w:val="24"/>
                <w:szCs w:val="24"/>
              </w:rPr>
              <w:t>o</w:t>
            </w:r>
            <w:r>
              <w:rPr>
                <w:sz w:val="24"/>
                <w:szCs w:val="24"/>
              </w:rPr>
              <w:t xml:space="preserve"> svojom rezorte  neuplatnilo </w:t>
            </w:r>
            <w:r w:rsidR="00AA5038">
              <w:rPr>
                <w:sz w:val="24"/>
                <w:szCs w:val="24"/>
              </w:rPr>
              <w:t xml:space="preserve">jeho </w:t>
            </w:r>
            <w:r>
              <w:rPr>
                <w:sz w:val="24"/>
                <w:szCs w:val="24"/>
              </w:rPr>
              <w:t>zmenu</w:t>
            </w:r>
            <w:r w:rsidR="002C699E">
              <w:rPr>
                <w:sz w:val="24"/>
                <w:szCs w:val="24"/>
              </w:rPr>
              <w:t xml:space="preserve"> ani doplnenie</w:t>
            </w:r>
          </w:p>
          <w:p w:rsidR="00BC6842" w:rsidRDefault="00BC6842" w:rsidP="00BC6842">
            <w:pPr>
              <w:rPr>
                <w:sz w:val="24"/>
                <w:szCs w:val="24"/>
              </w:rPr>
            </w:pPr>
          </w:p>
          <w:p w:rsidR="00BC6842" w:rsidRPr="00BC6842" w:rsidRDefault="00BC6842" w:rsidP="00BC6842">
            <w:pPr>
              <w:rPr>
                <w:sz w:val="24"/>
                <w:szCs w:val="24"/>
              </w:rPr>
            </w:pPr>
          </w:p>
        </w:tc>
      </w:tr>
      <w:tr w:rsidR="00863E80" w:rsidRPr="00692A34" w:rsidTr="00437CF6">
        <w:trPr>
          <w:trHeight w:val="554"/>
        </w:trPr>
        <w:tc>
          <w:tcPr>
            <w:tcW w:w="710" w:type="dxa"/>
          </w:tcPr>
          <w:p w:rsidR="00863E80" w:rsidRPr="00692A34" w:rsidRDefault="00863E80" w:rsidP="00560842">
            <w:pPr>
              <w:pStyle w:val="Odsekzoznamu"/>
              <w:numPr>
                <w:ilvl w:val="0"/>
                <w:numId w:val="2"/>
              </w:numPr>
              <w:ind w:left="33" w:firstLine="0"/>
              <w:rPr>
                <w:b/>
                <w:sz w:val="24"/>
                <w:szCs w:val="24"/>
              </w:rPr>
            </w:pPr>
          </w:p>
        </w:tc>
        <w:tc>
          <w:tcPr>
            <w:tcW w:w="1275" w:type="dxa"/>
          </w:tcPr>
          <w:p w:rsidR="00863E80" w:rsidRPr="00692A34" w:rsidRDefault="00863E80" w:rsidP="00F92058">
            <w:pPr>
              <w:rPr>
                <w:rFonts w:cs="Segoe UI"/>
                <w:b/>
                <w:sz w:val="24"/>
                <w:szCs w:val="24"/>
                <w:shd w:val="clear" w:color="auto" w:fill="FAFAFA"/>
              </w:rPr>
            </w:pPr>
            <w:r w:rsidRPr="00692A34">
              <w:rPr>
                <w:rFonts w:cs="Segoe UI"/>
                <w:b/>
                <w:sz w:val="24"/>
                <w:szCs w:val="24"/>
                <w:shd w:val="clear" w:color="auto" w:fill="FAFAFA"/>
              </w:rPr>
              <w:t>GPSR</w:t>
            </w:r>
          </w:p>
        </w:tc>
        <w:tc>
          <w:tcPr>
            <w:tcW w:w="1559" w:type="dxa"/>
          </w:tcPr>
          <w:p w:rsidR="00863E80" w:rsidRPr="00692A34" w:rsidRDefault="00863E80" w:rsidP="00863E80">
            <w:pPr>
              <w:jc w:val="center"/>
              <w:rPr>
                <w:rFonts w:cs="Segoe UI"/>
                <w:sz w:val="24"/>
                <w:szCs w:val="24"/>
                <w:shd w:val="clear" w:color="auto" w:fill="FAFAFA"/>
              </w:rPr>
            </w:pPr>
            <w:r w:rsidRPr="00692A34">
              <w:rPr>
                <w:rFonts w:cs="Segoe UI"/>
                <w:sz w:val="24"/>
                <w:szCs w:val="24"/>
                <w:shd w:val="clear" w:color="auto" w:fill="FAFAFA"/>
              </w:rPr>
              <w:t>K § 1 písm. b)</w:t>
            </w:r>
          </w:p>
        </w:tc>
        <w:tc>
          <w:tcPr>
            <w:tcW w:w="709" w:type="dxa"/>
          </w:tcPr>
          <w:p w:rsidR="00863E80" w:rsidRPr="00692A34" w:rsidRDefault="00863E80" w:rsidP="00625EAF">
            <w:pPr>
              <w:jc w:val="center"/>
              <w:rPr>
                <w:b/>
                <w:sz w:val="24"/>
                <w:szCs w:val="24"/>
              </w:rPr>
            </w:pPr>
            <w:r w:rsidRPr="00692A34">
              <w:rPr>
                <w:b/>
                <w:sz w:val="24"/>
                <w:szCs w:val="24"/>
              </w:rPr>
              <w:t>Z</w:t>
            </w:r>
          </w:p>
        </w:tc>
        <w:tc>
          <w:tcPr>
            <w:tcW w:w="8930" w:type="dxa"/>
          </w:tcPr>
          <w:p w:rsidR="00863E80" w:rsidRPr="00692A34" w:rsidRDefault="00863E80" w:rsidP="00F92058">
            <w:pPr>
              <w:rPr>
                <w:sz w:val="24"/>
                <w:szCs w:val="24"/>
              </w:rPr>
            </w:pPr>
            <w:r w:rsidRPr="00692A34">
              <w:rPr>
                <w:sz w:val="24"/>
                <w:szCs w:val="24"/>
              </w:rPr>
              <w:t xml:space="preserve">Navrhujeme ustanovenie preformulovať tak, aby bolo jednoznačné, že v služobnom úrade „Generálna prokuratúra Slovenskej republiky a krajská prokuratúra“ môže štátnu službu v ktoromkoľvek odbore štátnej služby vykonávať len štátny občan Slovenskej republiky obdobne, ako to bolo ustanovené v § 1 písm. b) aktuálne platného nariadenia vlády Slovenskej republiky č. 411/2009 Z. z., ktorým sa ustanovujú štátnozamestnanecké miesta, na ktorých môže štátnu službu vykonávať len štátny občan Slovenskej republiky, ktoré bude zrušené. Z pohľadu štátnych záujmov Slovenskej republiky považujeme za nevhodné, aby v služobných úradoch Generálnej prokuratúry Slovenskej republiky a krajských prokuratúr mohli vykonávať štátnu službu cudzí štátni príslušníci. Navrhujeme nasledovné znenie písmena b): „b) v služobnom úrade, ktorým je 1. Najvyšší kontrolný úrad Slovenskej republiky, 2. Ministerstvo zahraničných vecí a európskych záležitostí </w:t>
            </w:r>
            <w:r w:rsidRPr="00692A34">
              <w:rPr>
                <w:sz w:val="24"/>
                <w:szCs w:val="24"/>
              </w:rPr>
              <w:lastRenderedPageBreak/>
              <w:t>Slovenskej republiky, 3. Generálna prokuratúra Slovenskej republiky, krajská prokuratúra, 4. Úrad vlády Slovenskej republiky, okrem štátnozamestnaneckého miesta v odbore štátnej služby 1.03 Medzinárodná spolupráca, finančné prostriedky Európskej únie,“. Alternatívne navrhujeme zvážiť, či je potrebné a účelné pre služobné úrady Generálnej prokuratúry Slovenskej republiky a krajskej prokuratúry vytvárať možnosť, aby v odbore štátnej služby 1.03 - Medzinárodná spolupráca, finančné prostriedky Európskej únie mohli v týchto služobných úradoch vykonávať štátnu službu aj cudzí štátni príslušníci. Uvedené je potrebné zvážiť aj vzhľadom ku skutočnosti, že služobné úrady Generálnej prokuratúry Slovenskej republiky a krajskej prokuratúry nemajú systemizované žiadne štátnozamestnanecké miesto v uvedenom odbore štátnej služby a zatiaľ sa ani nejaví, že by v budúcnosti takáto potreba nastala. Ak neexistujú relevantné vecné dôvody pre vytvorenie uvedenej výnimky, navrhujeme vypustenie služobných úradov Generálnej prokuratúry Slovenskej republiky a krajskej prokuratúry z písmena b) a vloženie nového písmena c), v ktorom budú tieto služobné úrady upravené samostatne tak, že v nich budú môcť vykonávať štátnu službu výlučne štátni príslušníci Slovenskej republiky. Doterajšie písmená c) a d) navrhujeme v takom prípade označiť ako d) a e).</w:t>
            </w:r>
          </w:p>
        </w:tc>
        <w:tc>
          <w:tcPr>
            <w:tcW w:w="2268" w:type="dxa"/>
          </w:tcPr>
          <w:p w:rsidR="00863E80" w:rsidRDefault="00BC6842" w:rsidP="00BC6842">
            <w:pPr>
              <w:jc w:val="center"/>
              <w:rPr>
                <w:b/>
                <w:sz w:val="24"/>
                <w:szCs w:val="24"/>
              </w:rPr>
            </w:pPr>
            <w:r>
              <w:rPr>
                <w:b/>
                <w:sz w:val="24"/>
                <w:szCs w:val="24"/>
              </w:rPr>
              <w:lastRenderedPageBreak/>
              <w:t>A</w:t>
            </w:r>
          </w:p>
          <w:p w:rsidR="00BC6842" w:rsidRDefault="00BC6842" w:rsidP="00BC6842">
            <w:pPr>
              <w:jc w:val="center"/>
              <w:rPr>
                <w:b/>
                <w:sz w:val="24"/>
                <w:szCs w:val="24"/>
              </w:rPr>
            </w:pPr>
          </w:p>
          <w:p w:rsidR="00BC6842" w:rsidRPr="00BC6842" w:rsidRDefault="00BC6842" w:rsidP="00BC6842">
            <w:pPr>
              <w:rPr>
                <w:sz w:val="24"/>
                <w:szCs w:val="24"/>
              </w:rPr>
            </w:pPr>
          </w:p>
        </w:tc>
      </w:tr>
      <w:tr w:rsidR="00863E80" w:rsidRPr="00692A34" w:rsidTr="00437CF6">
        <w:trPr>
          <w:trHeight w:val="554"/>
        </w:trPr>
        <w:tc>
          <w:tcPr>
            <w:tcW w:w="710" w:type="dxa"/>
          </w:tcPr>
          <w:p w:rsidR="00863E80" w:rsidRPr="00692A34" w:rsidRDefault="00863E80" w:rsidP="00560842">
            <w:pPr>
              <w:pStyle w:val="Odsekzoznamu"/>
              <w:numPr>
                <w:ilvl w:val="0"/>
                <w:numId w:val="2"/>
              </w:numPr>
              <w:ind w:left="33" w:firstLine="0"/>
              <w:rPr>
                <w:b/>
                <w:sz w:val="24"/>
                <w:szCs w:val="24"/>
              </w:rPr>
            </w:pPr>
          </w:p>
        </w:tc>
        <w:tc>
          <w:tcPr>
            <w:tcW w:w="1275" w:type="dxa"/>
          </w:tcPr>
          <w:p w:rsidR="00863E80" w:rsidRPr="00692A34" w:rsidRDefault="00863E80" w:rsidP="00F92058">
            <w:pPr>
              <w:rPr>
                <w:rFonts w:cs="Segoe UI"/>
                <w:b/>
                <w:sz w:val="24"/>
                <w:szCs w:val="24"/>
                <w:shd w:val="clear" w:color="auto" w:fill="FAFAFA"/>
              </w:rPr>
            </w:pPr>
            <w:r w:rsidRPr="00692A34">
              <w:rPr>
                <w:rFonts w:cs="Segoe UI"/>
                <w:b/>
                <w:sz w:val="24"/>
                <w:szCs w:val="24"/>
                <w:shd w:val="clear" w:color="auto" w:fill="FAFAFA"/>
              </w:rPr>
              <w:t>GPSR</w:t>
            </w:r>
          </w:p>
        </w:tc>
        <w:tc>
          <w:tcPr>
            <w:tcW w:w="1559" w:type="dxa"/>
          </w:tcPr>
          <w:p w:rsidR="00863E80" w:rsidRPr="00692A34" w:rsidRDefault="00863E80" w:rsidP="00863E80">
            <w:pPr>
              <w:jc w:val="center"/>
              <w:rPr>
                <w:rFonts w:cs="Segoe UI"/>
                <w:sz w:val="24"/>
                <w:szCs w:val="24"/>
                <w:shd w:val="clear" w:color="auto" w:fill="FAFAFA"/>
              </w:rPr>
            </w:pPr>
            <w:r w:rsidRPr="00692A34">
              <w:rPr>
                <w:rFonts w:cs="Segoe UI"/>
                <w:sz w:val="24"/>
                <w:szCs w:val="24"/>
                <w:shd w:val="clear" w:color="auto" w:fill="FAFAFA"/>
              </w:rPr>
              <w:t>K § 1 písm. a) prvému bodu</w:t>
            </w:r>
          </w:p>
        </w:tc>
        <w:tc>
          <w:tcPr>
            <w:tcW w:w="709" w:type="dxa"/>
          </w:tcPr>
          <w:p w:rsidR="00863E80" w:rsidRPr="00692A34" w:rsidRDefault="00863E80" w:rsidP="00625EAF">
            <w:pPr>
              <w:jc w:val="center"/>
              <w:rPr>
                <w:b/>
                <w:sz w:val="24"/>
                <w:szCs w:val="24"/>
              </w:rPr>
            </w:pPr>
            <w:r w:rsidRPr="00692A34">
              <w:rPr>
                <w:b/>
                <w:sz w:val="24"/>
                <w:szCs w:val="24"/>
              </w:rPr>
              <w:t>O</w:t>
            </w:r>
          </w:p>
        </w:tc>
        <w:tc>
          <w:tcPr>
            <w:tcW w:w="8930" w:type="dxa"/>
          </w:tcPr>
          <w:p w:rsidR="00863E80" w:rsidRPr="00692A34" w:rsidRDefault="00863E80" w:rsidP="00F92058">
            <w:pPr>
              <w:rPr>
                <w:sz w:val="24"/>
                <w:szCs w:val="24"/>
              </w:rPr>
            </w:pPr>
            <w:r w:rsidRPr="00692A34">
              <w:rPr>
                <w:sz w:val="24"/>
                <w:szCs w:val="24"/>
              </w:rPr>
              <w:t>Odporúčame slovo „Justícia“ nahradiť slovom „Súdnictvo“. Označenie špeciálneho odboru štátnej služby 2.06 názvom „Súdnictvo“ považujeme za presnejšie jednak sémanticky, nakoľko pod pojmom „justícia“, „justičné orgány“, „justičná spolupráca“ sa nielen na Slovensku, ale aj v medzinárodnom kontexte rozumie aj prokuratúra, orgány prokuratúry a justičná spolupráca medzi prokuratúrami a súdmi, ale aj systémovo logicky, keďže pod označením odboru 2.22 sa navrhuje vytvoriť špeciálny odbor štátnej služby s označením „Prokuratúra“, ktorý sa v prípade ponechania označenia odboru 2.06 „Justícia“, bude s týmto označením sémanticky prekrývať. Preto odporúčame zmenu označenia odboru 2.06 na „Súdnictvo“.</w:t>
            </w:r>
          </w:p>
        </w:tc>
        <w:tc>
          <w:tcPr>
            <w:tcW w:w="2268" w:type="dxa"/>
          </w:tcPr>
          <w:p w:rsidR="00863E80" w:rsidRDefault="00BC6842" w:rsidP="00BC6842">
            <w:pPr>
              <w:jc w:val="center"/>
              <w:rPr>
                <w:b/>
                <w:sz w:val="24"/>
                <w:szCs w:val="24"/>
              </w:rPr>
            </w:pPr>
            <w:r>
              <w:rPr>
                <w:b/>
                <w:sz w:val="24"/>
                <w:szCs w:val="24"/>
              </w:rPr>
              <w:t>N</w:t>
            </w:r>
          </w:p>
          <w:p w:rsidR="00BC6842" w:rsidRPr="00BC6842" w:rsidRDefault="00BC6842" w:rsidP="00BC6842">
            <w:pPr>
              <w:rPr>
                <w:sz w:val="24"/>
                <w:szCs w:val="24"/>
              </w:rPr>
            </w:pPr>
            <w:r>
              <w:rPr>
                <w:sz w:val="24"/>
                <w:szCs w:val="24"/>
              </w:rPr>
              <w:t>Ministerstvo spravodlivosti, ktoré uvedený špeciálny odbor štátnej služby aplikuje nenavrhlo zmenu</w:t>
            </w:r>
            <w:r w:rsidR="00917D57">
              <w:rPr>
                <w:sz w:val="24"/>
                <w:szCs w:val="24"/>
              </w:rPr>
              <w:t xml:space="preserve"> a trvá na ponechaní pojmu „Justícia“</w:t>
            </w:r>
          </w:p>
        </w:tc>
      </w:tr>
      <w:tr w:rsidR="006C2367" w:rsidRPr="00692A34" w:rsidTr="00437CF6">
        <w:tblPrEx>
          <w:tblBorders>
            <w:insideH w:val="single" w:sz="4" w:space="0" w:color="auto"/>
            <w:insideV w:val="single" w:sz="4" w:space="0" w:color="auto"/>
          </w:tblBorders>
        </w:tblPrEx>
        <w:trPr>
          <w:trHeight w:val="685"/>
        </w:trPr>
        <w:tc>
          <w:tcPr>
            <w:tcW w:w="710" w:type="dxa"/>
          </w:tcPr>
          <w:p w:rsidR="006C2367" w:rsidRPr="00692A34" w:rsidRDefault="006C2367" w:rsidP="006C2367">
            <w:pPr>
              <w:pStyle w:val="Odsekzoznamu"/>
              <w:numPr>
                <w:ilvl w:val="0"/>
                <w:numId w:val="2"/>
              </w:numPr>
              <w:ind w:left="33" w:firstLine="0"/>
              <w:rPr>
                <w:b/>
                <w:sz w:val="24"/>
                <w:szCs w:val="24"/>
              </w:rPr>
            </w:pPr>
          </w:p>
        </w:tc>
        <w:tc>
          <w:tcPr>
            <w:tcW w:w="1275" w:type="dxa"/>
          </w:tcPr>
          <w:p w:rsidR="006C2367" w:rsidRPr="00692A34" w:rsidRDefault="006C2367" w:rsidP="00CF3D72">
            <w:pPr>
              <w:rPr>
                <w:b/>
                <w:sz w:val="24"/>
                <w:szCs w:val="24"/>
              </w:rPr>
            </w:pPr>
            <w:r w:rsidRPr="00692A34">
              <w:rPr>
                <w:rFonts w:cs="Segoe UI"/>
                <w:b/>
                <w:sz w:val="24"/>
                <w:szCs w:val="24"/>
                <w:shd w:val="clear" w:color="auto" w:fill="FFFFFF"/>
              </w:rPr>
              <w:t>ŠP</w:t>
            </w:r>
          </w:p>
        </w:tc>
        <w:tc>
          <w:tcPr>
            <w:tcW w:w="1559" w:type="dxa"/>
          </w:tcPr>
          <w:p w:rsidR="006C2367" w:rsidRPr="00692A34" w:rsidRDefault="006C2367" w:rsidP="00CF3D72">
            <w:pPr>
              <w:rPr>
                <w:sz w:val="24"/>
                <w:szCs w:val="24"/>
              </w:rPr>
            </w:pPr>
            <w:r w:rsidRPr="00692A34">
              <w:rPr>
                <w:sz w:val="24"/>
                <w:szCs w:val="24"/>
              </w:rPr>
              <w:t>celému materiálu</w:t>
            </w:r>
          </w:p>
        </w:tc>
        <w:tc>
          <w:tcPr>
            <w:tcW w:w="709" w:type="dxa"/>
          </w:tcPr>
          <w:p w:rsidR="006C2367" w:rsidRPr="00692A34" w:rsidRDefault="006C2367" w:rsidP="00625EAF">
            <w:pPr>
              <w:jc w:val="center"/>
              <w:rPr>
                <w:b/>
                <w:sz w:val="24"/>
                <w:szCs w:val="24"/>
              </w:rPr>
            </w:pPr>
            <w:r w:rsidRPr="00692A34">
              <w:rPr>
                <w:b/>
                <w:sz w:val="24"/>
                <w:szCs w:val="24"/>
              </w:rPr>
              <w:t>O</w:t>
            </w:r>
          </w:p>
        </w:tc>
        <w:tc>
          <w:tcPr>
            <w:tcW w:w="8930" w:type="dxa"/>
          </w:tcPr>
          <w:p w:rsidR="006C2367" w:rsidRPr="00692A34" w:rsidRDefault="006C2367" w:rsidP="00CF3D72">
            <w:pPr>
              <w:spacing w:after="300"/>
              <w:rPr>
                <w:rFonts w:cs="Segoe UI"/>
                <w:sz w:val="24"/>
                <w:szCs w:val="24"/>
              </w:rPr>
            </w:pPr>
            <w:r w:rsidRPr="00692A34">
              <w:rPr>
                <w:rFonts w:cs="Segoe UI"/>
                <w:sz w:val="24"/>
                <w:szCs w:val="24"/>
              </w:rPr>
              <w:t>bez pripomienok</w:t>
            </w:r>
          </w:p>
        </w:tc>
        <w:tc>
          <w:tcPr>
            <w:tcW w:w="2268" w:type="dxa"/>
          </w:tcPr>
          <w:p w:rsidR="006C2367" w:rsidRPr="00692A34" w:rsidRDefault="006C2367" w:rsidP="00CF3D72">
            <w:pPr>
              <w:rPr>
                <w:sz w:val="24"/>
                <w:szCs w:val="24"/>
              </w:rPr>
            </w:pPr>
          </w:p>
        </w:tc>
      </w:tr>
      <w:tr w:rsidR="006C2367" w:rsidRPr="00692A34" w:rsidTr="00437CF6">
        <w:tblPrEx>
          <w:tblBorders>
            <w:insideH w:val="single" w:sz="4" w:space="0" w:color="auto"/>
            <w:insideV w:val="single" w:sz="4" w:space="0" w:color="auto"/>
          </w:tblBorders>
        </w:tblPrEx>
        <w:trPr>
          <w:trHeight w:val="143"/>
        </w:trPr>
        <w:tc>
          <w:tcPr>
            <w:tcW w:w="710" w:type="dxa"/>
          </w:tcPr>
          <w:p w:rsidR="006C2367" w:rsidRPr="00692A34" w:rsidRDefault="006C2367" w:rsidP="006C2367">
            <w:pPr>
              <w:pStyle w:val="Odsekzoznamu"/>
              <w:numPr>
                <w:ilvl w:val="0"/>
                <w:numId w:val="2"/>
              </w:numPr>
              <w:ind w:left="33" w:firstLine="0"/>
              <w:rPr>
                <w:b/>
                <w:sz w:val="24"/>
                <w:szCs w:val="24"/>
              </w:rPr>
            </w:pPr>
          </w:p>
        </w:tc>
        <w:tc>
          <w:tcPr>
            <w:tcW w:w="1275" w:type="dxa"/>
          </w:tcPr>
          <w:p w:rsidR="006C2367" w:rsidRPr="00692A34" w:rsidRDefault="006C2367" w:rsidP="00CF3D72">
            <w:pPr>
              <w:rPr>
                <w:b/>
                <w:sz w:val="24"/>
                <w:szCs w:val="24"/>
              </w:rPr>
            </w:pPr>
            <w:r w:rsidRPr="00692A34">
              <w:rPr>
                <w:rFonts w:cs="Segoe UI"/>
                <w:b/>
                <w:sz w:val="24"/>
                <w:szCs w:val="24"/>
                <w:shd w:val="clear" w:color="auto" w:fill="FFFFFF"/>
              </w:rPr>
              <w:t>ÚPVSR</w:t>
            </w:r>
          </w:p>
        </w:tc>
        <w:tc>
          <w:tcPr>
            <w:tcW w:w="1559" w:type="dxa"/>
          </w:tcPr>
          <w:p w:rsidR="006C2367" w:rsidRPr="00692A34" w:rsidRDefault="006C2367" w:rsidP="00CF3D72">
            <w:pPr>
              <w:rPr>
                <w:sz w:val="24"/>
                <w:szCs w:val="24"/>
              </w:rPr>
            </w:pPr>
            <w:r w:rsidRPr="00692A34">
              <w:rPr>
                <w:sz w:val="24"/>
                <w:szCs w:val="24"/>
              </w:rPr>
              <w:t>celému materiálu</w:t>
            </w:r>
          </w:p>
        </w:tc>
        <w:tc>
          <w:tcPr>
            <w:tcW w:w="709" w:type="dxa"/>
          </w:tcPr>
          <w:p w:rsidR="006C2367" w:rsidRPr="00692A34" w:rsidRDefault="006C2367" w:rsidP="00625EAF">
            <w:pPr>
              <w:jc w:val="center"/>
              <w:rPr>
                <w:b/>
                <w:sz w:val="24"/>
                <w:szCs w:val="24"/>
              </w:rPr>
            </w:pPr>
            <w:r w:rsidRPr="00692A34">
              <w:rPr>
                <w:b/>
                <w:sz w:val="24"/>
                <w:szCs w:val="24"/>
              </w:rPr>
              <w:t>O</w:t>
            </w:r>
          </w:p>
        </w:tc>
        <w:tc>
          <w:tcPr>
            <w:tcW w:w="8930" w:type="dxa"/>
          </w:tcPr>
          <w:p w:rsidR="006C2367" w:rsidRPr="00692A34" w:rsidRDefault="006C2367" w:rsidP="00CF3D72">
            <w:pPr>
              <w:rPr>
                <w:sz w:val="24"/>
                <w:szCs w:val="24"/>
              </w:rPr>
            </w:pPr>
            <w:r w:rsidRPr="00692A34">
              <w:rPr>
                <w:sz w:val="24"/>
                <w:szCs w:val="24"/>
              </w:rPr>
              <w:t>Bez pripomienok.</w:t>
            </w:r>
          </w:p>
        </w:tc>
        <w:tc>
          <w:tcPr>
            <w:tcW w:w="2268" w:type="dxa"/>
          </w:tcPr>
          <w:p w:rsidR="006C2367" w:rsidRPr="00692A34" w:rsidRDefault="006C2367" w:rsidP="00CF3D72">
            <w:pPr>
              <w:rPr>
                <w:sz w:val="24"/>
                <w:szCs w:val="24"/>
              </w:rPr>
            </w:pPr>
          </w:p>
        </w:tc>
      </w:tr>
      <w:tr w:rsidR="006C2367" w:rsidRPr="00692A34" w:rsidTr="00437CF6">
        <w:tblPrEx>
          <w:tblBorders>
            <w:insideH w:val="single" w:sz="4" w:space="0" w:color="auto"/>
            <w:insideV w:val="single" w:sz="4" w:space="0" w:color="auto"/>
          </w:tblBorders>
        </w:tblPrEx>
        <w:trPr>
          <w:trHeight w:val="554"/>
        </w:trPr>
        <w:tc>
          <w:tcPr>
            <w:tcW w:w="710" w:type="dxa"/>
          </w:tcPr>
          <w:p w:rsidR="006C2367" w:rsidRPr="00692A34" w:rsidRDefault="006C2367" w:rsidP="006C2367">
            <w:pPr>
              <w:pStyle w:val="Odsekzoznamu"/>
              <w:numPr>
                <w:ilvl w:val="0"/>
                <w:numId w:val="2"/>
              </w:numPr>
              <w:ind w:left="33" w:firstLine="0"/>
              <w:rPr>
                <w:b/>
                <w:sz w:val="24"/>
                <w:szCs w:val="24"/>
              </w:rPr>
            </w:pPr>
          </w:p>
        </w:tc>
        <w:tc>
          <w:tcPr>
            <w:tcW w:w="1275" w:type="dxa"/>
          </w:tcPr>
          <w:p w:rsidR="006C2367" w:rsidRPr="00692A34" w:rsidRDefault="006C2367" w:rsidP="00CF3D72">
            <w:pPr>
              <w:rPr>
                <w:rFonts w:cs="Segoe UI"/>
                <w:b/>
                <w:sz w:val="24"/>
                <w:szCs w:val="24"/>
                <w:shd w:val="clear" w:color="auto" w:fill="FAFAFA"/>
              </w:rPr>
            </w:pPr>
            <w:r w:rsidRPr="00692A34">
              <w:rPr>
                <w:rFonts w:cs="Segoe UI"/>
                <w:b/>
                <w:sz w:val="24"/>
                <w:szCs w:val="24"/>
                <w:shd w:val="clear" w:color="auto" w:fill="FFFFFF"/>
              </w:rPr>
              <w:t>ÚNMSSR</w:t>
            </w:r>
          </w:p>
        </w:tc>
        <w:tc>
          <w:tcPr>
            <w:tcW w:w="1559" w:type="dxa"/>
          </w:tcPr>
          <w:p w:rsidR="006C2367" w:rsidRPr="00692A34" w:rsidRDefault="006C2367" w:rsidP="00CF3D72">
            <w:pPr>
              <w:rPr>
                <w:rFonts w:cs="Segoe UI"/>
                <w:sz w:val="24"/>
                <w:szCs w:val="24"/>
                <w:shd w:val="clear" w:color="auto" w:fill="FAFAFA"/>
              </w:rPr>
            </w:pPr>
            <w:r w:rsidRPr="00692A34">
              <w:rPr>
                <w:rFonts w:cs="Segoe UI"/>
                <w:sz w:val="24"/>
                <w:szCs w:val="24"/>
                <w:shd w:val="clear" w:color="auto" w:fill="FAFAFA"/>
              </w:rPr>
              <w:t>celému materiálu</w:t>
            </w:r>
          </w:p>
        </w:tc>
        <w:tc>
          <w:tcPr>
            <w:tcW w:w="709" w:type="dxa"/>
          </w:tcPr>
          <w:p w:rsidR="006C2367" w:rsidRPr="00692A34" w:rsidRDefault="006C2367" w:rsidP="00625EAF">
            <w:pPr>
              <w:jc w:val="center"/>
              <w:rPr>
                <w:b/>
                <w:sz w:val="24"/>
                <w:szCs w:val="24"/>
              </w:rPr>
            </w:pPr>
            <w:r w:rsidRPr="00692A34">
              <w:rPr>
                <w:b/>
                <w:sz w:val="24"/>
                <w:szCs w:val="24"/>
              </w:rPr>
              <w:t>O</w:t>
            </w:r>
          </w:p>
        </w:tc>
        <w:tc>
          <w:tcPr>
            <w:tcW w:w="8930" w:type="dxa"/>
          </w:tcPr>
          <w:p w:rsidR="006C2367" w:rsidRPr="00692A34" w:rsidRDefault="006C2367" w:rsidP="00CF3D72">
            <w:pPr>
              <w:rPr>
                <w:sz w:val="24"/>
                <w:szCs w:val="24"/>
              </w:rPr>
            </w:pPr>
            <w:r w:rsidRPr="00692A34">
              <w:rPr>
                <w:sz w:val="24"/>
                <w:szCs w:val="24"/>
              </w:rPr>
              <w:t>Bez pripomienok.</w:t>
            </w:r>
          </w:p>
        </w:tc>
        <w:tc>
          <w:tcPr>
            <w:tcW w:w="2268" w:type="dxa"/>
          </w:tcPr>
          <w:p w:rsidR="006C2367" w:rsidRPr="00692A34" w:rsidRDefault="006C2367" w:rsidP="00CF3D72">
            <w:pPr>
              <w:rPr>
                <w:sz w:val="24"/>
                <w:szCs w:val="24"/>
              </w:rPr>
            </w:pPr>
          </w:p>
        </w:tc>
      </w:tr>
      <w:tr w:rsidR="006C2367" w:rsidRPr="00692A34" w:rsidTr="00437CF6">
        <w:tblPrEx>
          <w:tblBorders>
            <w:insideH w:val="single" w:sz="4" w:space="0" w:color="auto"/>
            <w:insideV w:val="single" w:sz="4" w:space="0" w:color="auto"/>
          </w:tblBorders>
        </w:tblPrEx>
        <w:trPr>
          <w:trHeight w:val="554"/>
        </w:trPr>
        <w:tc>
          <w:tcPr>
            <w:tcW w:w="710" w:type="dxa"/>
          </w:tcPr>
          <w:p w:rsidR="006C2367" w:rsidRPr="00692A34" w:rsidRDefault="006C2367" w:rsidP="006C2367">
            <w:pPr>
              <w:pStyle w:val="Odsekzoznamu"/>
              <w:numPr>
                <w:ilvl w:val="0"/>
                <w:numId w:val="2"/>
              </w:numPr>
              <w:ind w:left="33" w:firstLine="0"/>
              <w:rPr>
                <w:b/>
                <w:sz w:val="24"/>
                <w:szCs w:val="24"/>
              </w:rPr>
            </w:pPr>
          </w:p>
        </w:tc>
        <w:tc>
          <w:tcPr>
            <w:tcW w:w="1275" w:type="dxa"/>
          </w:tcPr>
          <w:p w:rsidR="006C2367" w:rsidRPr="00692A34" w:rsidRDefault="006C2367" w:rsidP="00CF3D72">
            <w:pPr>
              <w:rPr>
                <w:rFonts w:cs="Segoe UI"/>
                <w:b/>
                <w:sz w:val="24"/>
                <w:szCs w:val="24"/>
                <w:shd w:val="clear" w:color="auto" w:fill="FAFAFA"/>
              </w:rPr>
            </w:pPr>
            <w:r w:rsidRPr="00692A34">
              <w:rPr>
                <w:rFonts w:cs="Segoe UI"/>
                <w:b/>
                <w:sz w:val="24"/>
                <w:szCs w:val="24"/>
                <w:shd w:val="clear" w:color="auto" w:fill="FFFFFF"/>
              </w:rPr>
              <w:t>PMÚSR</w:t>
            </w:r>
          </w:p>
        </w:tc>
        <w:tc>
          <w:tcPr>
            <w:tcW w:w="1559" w:type="dxa"/>
          </w:tcPr>
          <w:p w:rsidR="006C2367" w:rsidRPr="00692A34" w:rsidRDefault="006C2367" w:rsidP="00CF3D72">
            <w:pPr>
              <w:rPr>
                <w:rFonts w:cs="Segoe UI"/>
                <w:sz w:val="24"/>
                <w:szCs w:val="24"/>
                <w:shd w:val="clear" w:color="auto" w:fill="FAFAFA"/>
              </w:rPr>
            </w:pPr>
            <w:r w:rsidRPr="00692A34">
              <w:rPr>
                <w:rFonts w:cs="Segoe UI"/>
                <w:sz w:val="24"/>
                <w:szCs w:val="24"/>
                <w:shd w:val="clear" w:color="auto" w:fill="FAFAFA"/>
              </w:rPr>
              <w:t>celému materiálu</w:t>
            </w:r>
          </w:p>
        </w:tc>
        <w:tc>
          <w:tcPr>
            <w:tcW w:w="709" w:type="dxa"/>
          </w:tcPr>
          <w:p w:rsidR="006C2367" w:rsidRPr="00692A34" w:rsidRDefault="006C2367" w:rsidP="00625EAF">
            <w:pPr>
              <w:jc w:val="center"/>
              <w:rPr>
                <w:b/>
                <w:sz w:val="24"/>
                <w:szCs w:val="24"/>
              </w:rPr>
            </w:pPr>
            <w:r w:rsidRPr="00692A34">
              <w:rPr>
                <w:b/>
                <w:sz w:val="24"/>
                <w:szCs w:val="24"/>
              </w:rPr>
              <w:t>O</w:t>
            </w:r>
          </w:p>
        </w:tc>
        <w:tc>
          <w:tcPr>
            <w:tcW w:w="8930" w:type="dxa"/>
          </w:tcPr>
          <w:p w:rsidR="006C2367" w:rsidRPr="00692A34" w:rsidRDefault="006C2367" w:rsidP="00CF3D72">
            <w:pPr>
              <w:rPr>
                <w:sz w:val="24"/>
                <w:szCs w:val="24"/>
              </w:rPr>
            </w:pPr>
            <w:r w:rsidRPr="00692A34">
              <w:rPr>
                <w:sz w:val="24"/>
                <w:szCs w:val="24"/>
              </w:rPr>
              <w:t>bez pripomienok</w:t>
            </w:r>
          </w:p>
        </w:tc>
        <w:tc>
          <w:tcPr>
            <w:tcW w:w="2268" w:type="dxa"/>
          </w:tcPr>
          <w:p w:rsidR="006C2367" w:rsidRPr="00692A34" w:rsidRDefault="006C2367" w:rsidP="00CF3D72">
            <w:pPr>
              <w:rPr>
                <w:sz w:val="24"/>
                <w:szCs w:val="24"/>
              </w:rPr>
            </w:pPr>
          </w:p>
        </w:tc>
      </w:tr>
      <w:tr w:rsidR="00C9216D" w:rsidRPr="00692A34" w:rsidTr="00437CF6">
        <w:tblPrEx>
          <w:tblBorders>
            <w:insideH w:val="single" w:sz="4" w:space="0" w:color="auto"/>
            <w:insideV w:val="single" w:sz="4" w:space="0" w:color="auto"/>
          </w:tblBorders>
        </w:tblPrEx>
        <w:trPr>
          <w:trHeight w:val="554"/>
        </w:trPr>
        <w:tc>
          <w:tcPr>
            <w:tcW w:w="710" w:type="dxa"/>
          </w:tcPr>
          <w:p w:rsidR="00C9216D" w:rsidRPr="00692A34" w:rsidRDefault="00C9216D" w:rsidP="006C2367">
            <w:pPr>
              <w:pStyle w:val="Odsekzoznamu"/>
              <w:numPr>
                <w:ilvl w:val="0"/>
                <w:numId w:val="2"/>
              </w:numPr>
              <w:ind w:left="33" w:firstLine="0"/>
              <w:rPr>
                <w:b/>
                <w:sz w:val="24"/>
                <w:szCs w:val="24"/>
              </w:rPr>
            </w:pPr>
          </w:p>
        </w:tc>
        <w:tc>
          <w:tcPr>
            <w:tcW w:w="1275" w:type="dxa"/>
          </w:tcPr>
          <w:p w:rsidR="00C9216D" w:rsidRPr="00692A34" w:rsidRDefault="00C9216D" w:rsidP="00CF3D72">
            <w:pPr>
              <w:rPr>
                <w:rFonts w:cs="Segoe UI"/>
                <w:b/>
                <w:sz w:val="24"/>
                <w:szCs w:val="24"/>
                <w:shd w:val="clear" w:color="auto" w:fill="FFFFFF"/>
              </w:rPr>
            </w:pPr>
            <w:r w:rsidRPr="00692A34">
              <w:rPr>
                <w:rFonts w:cs="Segoe UI"/>
                <w:b/>
                <w:sz w:val="24"/>
                <w:szCs w:val="24"/>
                <w:shd w:val="clear" w:color="auto" w:fill="FFFFFF"/>
              </w:rPr>
              <w:t>ÚVO</w:t>
            </w:r>
          </w:p>
        </w:tc>
        <w:tc>
          <w:tcPr>
            <w:tcW w:w="1559" w:type="dxa"/>
          </w:tcPr>
          <w:p w:rsidR="00C9216D" w:rsidRPr="00692A34" w:rsidRDefault="00C9216D">
            <w:pPr>
              <w:rPr>
                <w:sz w:val="24"/>
                <w:szCs w:val="24"/>
              </w:rPr>
            </w:pPr>
            <w:r w:rsidRPr="00692A34">
              <w:rPr>
                <w:rFonts w:cs="Segoe UI"/>
                <w:sz w:val="24"/>
                <w:szCs w:val="24"/>
                <w:shd w:val="clear" w:color="auto" w:fill="FAFAFA"/>
              </w:rPr>
              <w:t>celému materiálu</w:t>
            </w:r>
          </w:p>
        </w:tc>
        <w:tc>
          <w:tcPr>
            <w:tcW w:w="709" w:type="dxa"/>
          </w:tcPr>
          <w:p w:rsidR="00C9216D" w:rsidRPr="00692A34" w:rsidRDefault="00C9216D" w:rsidP="00625EAF">
            <w:pPr>
              <w:jc w:val="center"/>
              <w:rPr>
                <w:b/>
                <w:sz w:val="24"/>
                <w:szCs w:val="24"/>
              </w:rPr>
            </w:pPr>
            <w:r w:rsidRPr="00692A34">
              <w:rPr>
                <w:b/>
                <w:sz w:val="24"/>
                <w:szCs w:val="24"/>
              </w:rPr>
              <w:t>O</w:t>
            </w:r>
          </w:p>
        </w:tc>
        <w:tc>
          <w:tcPr>
            <w:tcW w:w="8930" w:type="dxa"/>
          </w:tcPr>
          <w:p w:rsidR="00C9216D" w:rsidRPr="00692A34" w:rsidRDefault="00C9216D" w:rsidP="00CF3D72">
            <w:pPr>
              <w:rPr>
                <w:sz w:val="24"/>
                <w:szCs w:val="24"/>
              </w:rPr>
            </w:pPr>
            <w:r w:rsidRPr="00692A34">
              <w:rPr>
                <w:sz w:val="24"/>
                <w:szCs w:val="24"/>
              </w:rPr>
              <w:t>bez pripomienok</w:t>
            </w:r>
          </w:p>
        </w:tc>
        <w:tc>
          <w:tcPr>
            <w:tcW w:w="2268" w:type="dxa"/>
          </w:tcPr>
          <w:p w:rsidR="00C9216D" w:rsidRPr="00692A34" w:rsidRDefault="00C9216D" w:rsidP="00CF3D72">
            <w:pPr>
              <w:rPr>
                <w:sz w:val="24"/>
                <w:szCs w:val="24"/>
              </w:rPr>
            </w:pPr>
          </w:p>
        </w:tc>
      </w:tr>
      <w:tr w:rsidR="00C9216D" w:rsidRPr="00692A34" w:rsidTr="00437CF6">
        <w:tblPrEx>
          <w:tblBorders>
            <w:insideH w:val="single" w:sz="4" w:space="0" w:color="auto"/>
            <w:insideV w:val="single" w:sz="4" w:space="0" w:color="auto"/>
          </w:tblBorders>
        </w:tblPrEx>
        <w:trPr>
          <w:trHeight w:val="554"/>
        </w:trPr>
        <w:tc>
          <w:tcPr>
            <w:tcW w:w="710" w:type="dxa"/>
          </w:tcPr>
          <w:p w:rsidR="00C9216D" w:rsidRPr="00692A34" w:rsidRDefault="00C9216D" w:rsidP="006C2367">
            <w:pPr>
              <w:pStyle w:val="Odsekzoznamu"/>
              <w:numPr>
                <w:ilvl w:val="0"/>
                <w:numId w:val="2"/>
              </w:numPr>
              <w:ind w:left="33" w:firstLine="0"/>
              <w:rPr>
                <w:b/>
                <w:sz w:val="24"/>
                <w:szCs w:val="24"/>
              </w:rPr>
            </w:pPr>
          </w:p>
        </w:tc>
        <w:tc>
          <w:tcPr>
            <w:tcW w:w="1275" w:type="dxa"/>
          </w:tcPr>
          <w:p w:rsidR="00C9216D" w:rsidRPr="00692A34" w:rsidRDefault="00C9216D" w:rsidP="00CF3D72">
            <w:pPr>
              <w:rPr>
                <w:rFonts w:cs="Segoe UI"/>
                <w:b/>
                <w:sz w:val="24"/>
                <w:szCs w:val="24"/>
                <w:shd w:val="clear" w:color="auto" w:fill="FFFFFF"/>
              </w:rPr>
            </w:pPr>
            <w:r w:rsidRPr="00692A34">
              <w:rPr>
                <w:rFonts w:cs="Segoe UI"/>
                <w:b/>
                <w:sz w:val="24"/>
                <w:szCs w:val="24"/>
                <w:shd w:val="clear" w:color="auto" w:fill="FFFFFF"/>
              </w:rPr>
              <w:t>ÚJDSR</w:t>
            </w:r>
          </w:p>
        </w:tc>
        <w:tc>
          <w:tcPr>
            <w:tcW w:w="1559" w:type="dxa"/>
          </w:tcPr>
          <w:p w:rsidR="00C9216D" w:rsidRPr="00692A34" w:rsidRDefault="00C9216D">
            <w:pPr>
              <w:rPr>
                <w:sz w:val="24"/>
                <w:szCs w:val="24"/>
              </w:rPr>
            </w:pPr>
            <w:r w:rsidRPr="00692A34">
              <w:rPr>
                <w:rFonts w:cs="Segoe UI"/>
                <w:sz w:val="24"/>
                <w:szCs w:val="24"/>
                <w:shd w:val="clear" w:color="auto" w:fill="FAFAFA"/>
              </w:rPr>
              <w:t>celému materiálu</w:t>
            </w:r>
          </w:p>
        </w:tc>
        <w:tc>
          <w:tcPr>
            <w:tcW w:w="709" w:type="dxa"/>
          </w:tcPr>
          <w:p w:rsidR="00C9216D" w:rsidRPr="00692A34" w:rsidRDefault="00C9216D" w:rsidP="00625EAF">
            <w:pPr>
              <w:jc w:val="center"/>
              <w:rPr>
                <w:b/>
                <w:sz w:val="24"/>
                <w:szCs w:val="24"/>
              </w:rPr>
            </w:pPr>
            <w:r w:rsidRPr="00692A34">
              <w:rPr>
                <w:b/>
                <w:sz w:val="24"/>
                <w:szCs w:val="24"/>
              </w:rPr>
              <w:t>O</w:t>
            </w:r>
          </w:p>
        </w:tc>
        <w:tc>
          <w:tcPr>
            <w:tcW w:w="8930" w:type="dxa"/>
          </w:tcPr>
          <w:p w:rsidR="00C9216D" w:rsidRPr="00692A34" w:rsidRDefault="00C9216D" w:rsidP="00CF3D72">
            <w:pPr>
              <w:rPr>
                <w:sz w:val="24"/>
                <w:szCs w:val="24"/>
              </w:rPr>
            </w:pPr>
            <w:r w:rsidRPr="00692A34">
              <w:rPr>
                <w:sz w:val="24"/>
                <w:szCs w:val="24"/>
              </w:rPr>
              <w:t>bez pripomienok</w:t>
            </w:r>
          </w:p>
        </w:tc>
        <w:tc>
          <w:tcPr>
            <w:tcW w:w="2268" w:type="dxa"/>
          </w:tcPr>
          <w:p w:rsidR="00C9216D" w:rsidRPr="00692A34" w:rsidRDefault="00C9216D" w:rsidP="00CF3D72">
            <w:pPr>
              <w:rPr>
                <w:sz w:val="24"/>
                <w:szCs w:val="24"/>
              </w:rPr>
            </w:pPr>
          </w:p>
        </w:tc>
      </w:tr>
      <w:tr w:rsidR="00C9216D" w:rsidRPr="00692A34" w:rsidTr="00437CF6">
        <w:tblPrEx>
          <w:tblBorders>
            <w:insideH w:val="single" w:sz="4" w:space="0" w:color="auto"/>
            <w:insideV w:val="single" w:sz="4" w:space="0" w:color="auto"/>
          </w:tblBorders>
        </w:tblPrEx>
        <w:trPr>
          <w:trHeight w:val="554"/>
        </w:trPr>
        <w:tc>
          <w:tcPr>
            <w:tcW w:w="710" w:type="dxa"/>
          </w:tcPr>
          <w:p w:rsidR="00C9216D" w:rsidRPr="00692A34" w:rsidRDefault="00C9216D" w:rsidP="006C2367">
            <w:pPr>
              <w:pStyle w:val="Odsekzoznamu"/>
              <w:numPr>
                <w:ilvl w:val="0"/>
                <w:numId w:val="2"/>
              </w:numPr>
              <w:ind w:left="33" w:firstLine="0"/>
              <w:rPr>
                <w:b/>
                <w:sz w:val="24"/>
                <w:szCs w:val="24"/>
              </w:rPr>
            </w:pPr>
          </w:p>
        </w:tc>
        <w:tc>
          <w:tcPr>
            <w:tcW w:w="1275" w:type="dxa"/>
          </w:tcPr>
          <w:p w:rsidR="00C9216D" w:rsidRPr="00692A34" w:rsidRDefault="00C9216D" w:rsidP="00CF3D72">
            <w:pPr>
              <w:rPr>
                <w:rFonts w:cs="Segoe UI"/>
                <w:b/>
                <w:sz w:val="24"/>
                <w:szCs w:val="24"/>
                <w:shd w:val="clear" w:color="auto" w:fill="FFFFFF"/>
              </w:rPr>
            </w:pPr>
            <w:r w:rsidRPr="00692A34">
              <w:rPr>
                <w:rFonts w:cs="Segoe UI"/>
                <w:b/>
                <w:sz w:val="24"/>
                <w:szCs w:val="24"/>
                <w:shd w:val="clear" w:color="auto" w:fill="FFFFFF"/>
              </w:rPr>
              <w:t>AZZZ SR</w:t>
            </w:r>
          </w:p>
        </w:tc>
        <w:tc>
          <w:tcPr>
            <w:tcW w:w="1559" w:type="dxa"/>
          </w:tcPr>
          <w:p w:rsidR="00C9216D" w:rsidRPr="00692A34" w:rsidRDefault="00C9216D">
            <w:pPr>
              <w:rPr>
                <w:sz w:val="24"/>
                <w:szCs w:val="24"/>
              </w:rPr>
            </w:pPr>
            <w:r w:rsidRPr="00692A34">
              <w:rPr>
                <w:rFonts w:cs="Segoe UI"/>
                <w:sz w:val="24"/>
                <w:szCs w:val="24"/>
                <w:shd w:val="clear" w:color="auto" w:fill="FAFAFA"/>
              </w:rPr>
              <w:t>celému materiálu</w:t>
            </w:r>
          </w:p>
        </w:tc>
        <w:tc>
          <w:tcPr>
            <w:tcW w:w="709" w:type="dxa"/>
          </w:tcPr>
          <w:p w:rsidR="00C9216D" w:rsidRPr="00692A34" w:rsidRDefault="00C9216D" w:rsidP="00625EAF">
            <w:pPr>
              <w:jc w:val="center"/>
              <w:rPr>
                <w:b/>
                <w:sz w:val="24"/>
                <w:szCs w:val="24"/>
              </w:rPr>
            </w:pPr>
            <w:r w:rsidRPr="00692A34">
              <w:rPr>
                <w:b/>
                <w:sz w:val="24"/>
                <w:szCs w:val="24"/>
              </w:rPr>
              <w:t>O</w:t>
            </w:r>
          </w:p>
        </w:tc>
        <w:tc>
          <w:tcPr>
            <w:tcW w:w="8930" w:type="dxa"/>
          </w:tcPr>
          <w:p w:rsidR="00C9216D" w:rsidRPr="00692A34" w:rsidRDefault="00C9216D" w:rsidP="00CF3D72">
            <w:pPr>
              <w:rPr>
                <w:sz w:val="24"/>
                <w:szCs w:val="24"/>
              </w:rPr>
            </w:pPr>
            <w:r w:rsidRPr="00692A34">
              <w:rPr>
                <w:sz w:val="24"/>
                <w:szCs w:val="24"/>
              </w:rPr>
              <w:t>bez pripomienok</w:t>
            </w:r>
          </w:p>
        </w:tc>
        <w:tc>
          <w:tcPr>
            <w:tcW w:w="2268" w:type="dxa"/>
          </w:tcPr>
          <w:p w:rsidR="00C9216D" w:rsidRPr="00692A34" w:rsidRDefault="00C9216D" w:rsidP="00CF3D72">
            <w:pPr>
              <w:rPr>
                <w:sz w:val="24"/>
                <w:szCs w:val="24"/>
              </w:rPr>
            </w:pPr>
          </w:p>
        </w:tc>
      </w:tr>
      <w:tr w:rsidR="00C9216D" w:rsidRPr="00692A34" w:rsidTr="00437CF6">
        <w:tblPrEx>
          <w:tblBorders>
            <w:insideH w:val="single" w:sz="4" w:space="0" w:color="auto"/>
            <w:insideV w:val="single" w:sz="4" w:space="0" w:color="auto"/>
          </w:tblBorders>
        </w:tblPrEx>
        <w:trPr>
          <w:trHeight w:val="554"/>
        </w:trPr>
        <w:tc>
          <w:tcPr>
            <w:tcW w:w="710" w:type="dxa"/>
          </w:tcPr>
          <w:p w:rsidR="00C9216D" w:rsidRPr="00692A34" w:rsidRDefault="00C9216D" w:rsidP="006C2367">
            <w:pPr>
              <w:pStyle w:val="Odsekzoznamu"/>
              <w:numPr>
                <w:ilvl w:val="0"/>
                <w:numId w:val="2"/>
              </w:numPr>
              <w:ind w:left="33" w:firstLine="0"/>
              <w:rPr>
                <w:b/>
                <w:sz w:val="24"/>
                <w:szCs w:val="24"/>
              </w:rPr>
            </w:pPr>
          </w:p>
        </w:tc>
        <w:tc>
          <w:tcPr>
            <w:tcW w:w="1275" w:type="dxa"/>
          </w:tcPr>
          <w:p w:rsidR="00C9216D" w:rsidRPr="00692A34" w:rsidRDefault="00C9216D" w:rsidP="00CF3D72">
            <w:pPr>
              <w:rPr>
                <w:rFonts w:cs="Segoe UI"/>
                <w:b/>
                <w:sz w:val="24"/>
                <w:szCs w:val="24"/>
                <w:shd w:val="clear" w:color="auto" w:fill="FFFFFF"/>
              </w:rPr>
            </w:pPr>
            <w:r w:rsidRPr="00692A34">
              <w:rPr>
                <w:rFonts w:cs="Segoe UI"/>
                <w:b/>
                <w:sz w:val="24"/>
                <w:szCs w:val="24"/>
                <w:shd w:val="clear" w:color="auto" w:fill="FFFFFF"/>
              </w:rPr>
              <w:t>MŽPSR</w:t>
            </w:r>
          </w:p>
        </w:tc>
        <w:tc>
          <w:tcPr>
            <w:tcW w:w="1559" w:type="dxa"/>
          </w:tcPr>
          <w:p w:rsidR="00C9216D" w:rsidRPr="00692A34" w:rsidRDefault="00C9216D">
            <w:pPr>
              <w:rPr>
                <w:sz w:val="24"/>
                <w:szCs w:val="24"/>
              </w:rPr>
            </w:pPr>
            <w:r w:rsidRPr="00692A34">
              <w:rPr>
                <w:rFonts w:cs="Segoe UI"/>
                <w:sz w:val="24"/>
                <w:szCs w:val="24"/>
                <w:shd w:val="clear" w:color="auto" w:fill="FAFAFA"/>
              </w:rPr>
              <w:t>celému materiálu</w:t>
            </w:r>
          </w:p>
        </w:tc>
        <w:tc>
          <w:tcPr>
            <w:tcW w:w="709" w:type="dxa"/>
          </w:tcPr>
          <w:p w:rsidR="00C9216D" w:rsidRPr="00692A34" w:rsidRDefault="00C9216D" w:rsidP="00625EAF">
            <w:pPr>
              <w:jc w:val="center"/>
              <w:rPr>
                <w:b/>
                <w:sz w:val="24"/>
                <w:szCs w:val="24"/>
              </w:rPr>
            </w:pPr>
            <w:r w:rsidRPr="00692A34">
              <w:rPr>
                <w:b/>
                <w:sz w:val="24"/>
                <w:szCs w:val="24"/>
              </w:rPr>
              <w:t>O</w:t>
            </w:r>
          </w:p>
        </w:tc>
        <w:tc>
          <w:tcPr>
            <w:tcW w:w="8930" w:type="dxa"/>
          </w:tcPr>
          <w:p w:rsidR="00C9216D" w:rsidRPr="00692A34" w:rsidRDefault="00C9216D" w:rsidP="00CF3D72">
            <w:pPr>
              <w:rPr>
                <w:sz w:val="24"/>
                <w:szCs w:val="24"/>
              </w:rPr>
            </w:pPr>
            <w:r w:rsidRPr="00692A34">
              <w:rPr>
                <w:sz w:val="24"/>
                <w:szCs w:val="24"/>
              </w:rPr>
              <w:t>bez pripomienok</w:t>
            </w:r>
          </w:p>
        </w:tc>
        <w:tc>
          <w:tcPr>
            <w:tcW w:w="2268" w:type="dxa"/>
          </w:tcPr>
          <w:p w:rsidR="00C9216D" w:rsidRPr="00692A34" w:rsidRDefault="00C9216D" w:rsidP="00CF3D72">
            <w:pPr>
              <w:rPr>
                <w:sz w:val="24"/>
                <w:szCs w:val="24"/>
              </w:rPr>
            </w:pPr>
          </w:p>
        </w:tc>
      </w:tr>
      <w:tr w:rsidR="007B5569" w:rsidRPr="00692A34" w:rsidTr="00437CF6">
        <w:tblPrEx>
          <w:tblBorders>
            <w:insideH w:val="single" w:sz="4" w:space="0" w:color="auto"/>
            <w:insideV w:val="single" w:sz="4" w:space="0" w:color="auto"/>
          </w:tblBorders>
        </w:tblPrEx>
        <w:trPr>
          <w:trHeight w:val="554"/>
        </w:trPr>
        <w:tc>
          <w:tcPr>
            <w:tcW w:w="710" w:type="dxa"/>
          </w:tcPr>
          <w:p w:rsidR="007B5569" w:rsidRPr="00692A34" w:rsidRDefault="007B5569" w:rsidP="007B5569">
            <w:pPr>
              <w:pStyle w:val="Odsekzoznamu"/>
              <w:numPr>
                <w:ilvl w:val="0"/>
                <w:numId w:val="2"/>
              </w:numPr>
              <w:ind w:left="33" w:firstLine="0"/>
              <w:rPr>
                <w:b/>
                <w:sz w:val="24"/>
                <w:szCs w:val="24"/>
              </w:rPr>
            </w:pPr>
          </w:p>
        </w:tc>
        <w:tc>
          <w:tcPr>
            <w:tcW w:w="1275" w:type="dxa"/>
          </w:tcPr>
          <w:p w:rsidR="007B5569" w:rsidRPr="00692A34" w:rsidRDefault="007B5569" w:rsidP="00CF3D72">
            <w:pPr>
              <w:rPr>
                <w:rFonts w:cs="Segoe UI"/>
                <w:b/>
                <w:sz w:val="24"/>
                <w:szCs w:val="24"/>
                <w:shd w:val="clear" w:color="auto" w:fill="FAFAFA"/>
              </w:rPr>
            </w:pPr>
            <w:r w:rsidRPr="00692A34">
              <w:rPr>
                <w:rFonts w:cs="Segoe UI"/>
                <w:b/>
                <w:sz w:val="24"/>
                <w:szCs w:val="24"/>
                <w:shd w:val="clear" w:color="auto" w:fill="FAFAFA"/>
              </w:rPr>
              <w:t>MOSR</w:t>
            </w:r>
          </w:p>
        </w:tc>
        <w:tc>
          <w:tcPr>
            <w:tcW w:w="1559" w:type="dxa"/>
          </w:tcPr>
          <w:p w:rsidR="007B5569" w:rsidRPr="00692A34" w:rsidRDefault="007B5569" w:rsidP="00CF3D72">
            <w:pPr>
              <w:rPr>
                <w:rFonts w:cs="Segoe UI"/>
                <w:sz w:val="24"/>
                <w:szCs w:val="24"/>
                <w:shd w:val="clear" w:color="auto" w:fill="FAFAFA"/>
              </w:rPr>
            </w:pPr>
            <w:r w:rsidRPr="00692A34">
              <w:rPr>
                <w:rFonts w:cs="Segoe UI"/>
                <w:sz w:val="24"/>
                <w:szCs w:val="24"/>
                <w:shd w:val="clear" w:color="auto" w:fill="FAFAFA"/>
              </w:rPr>
              <w:t>k celému materiálu</w:t>
            </w:r>
          </w:p>
        </w:tc>
        <w:tc>
          <w:tcPr>
            <w:tcW w:w="709" w:type="dxa"/>
          </w:tcPr>
          <w:p w:rsidR="007B5569" w:rsidRPr="00692A34" w:rsidRDefault="007B5569" w:rsidP="00625EAF">
            <w:pPr>
              <w:jc w:val="center"/>
              <w:rPr>
                <w:b/>
                <w:sz w:val="24"/>
                <w:szCs w:val="24"/>
              </w:rPr>
            </w:pPr>
            <w:r w:rsidRPr="00692A34">
              <w:rPr>
                <w:b/>
                <w:sz w:val="24"/>
                <w:szCs w:val="24"/>
              </w:rPr>
              <w:t>O</w:t>
            </w:r>
          </w:p>
        </w:tc>
        <w:tc>
          <w:tcPr>
            <w:tcW w:w="8930" w:type="dxa"/>
          </w:tcPr>
          <w:p w:rsidR="007B5569" w:rsidRPr="00692A34" w:rsidRDefault="007B5569" w:rsidP="00CF3D72">
            <w:pPr>
              <w:rPr>
                <w:sz w:val="24"/>
                <w:szCs w:val="24"/>
              </w:rPr>
            </w:pPr>
            <w:r w:rsidRPr="00692A34">
              <w:rPr>
                <w:sz w:val="24"/>
                <w:szCs w:val="24"/>
              </w:rPr>
              <w:t>bez pripomienok</w:t>
            </w:r>
          </w:p>
        </w:tc>
        <w:tc>
          <w:tcPr>
            <w:tcW w:w="2268" w:type="dxa"/>
          </w:tcPr>
          <w:p w:rsidR="007B5569" w:rsidRPr="00692A34" w:rsidRDefault="007B5569" w:rsidP="00CF3D72">
            <w:pPr>
              <w:rPr>
                <w:sz w:val="24"/>
                <w:szCs w:val="24"/>
              </w:rPr>
            </w:pPr>
          </w:p>
        </w:tc>
      </w:tr>
      <w:tr w:rsidR="00437CF6" w:rsidRPr="00692A34" w:rsidTr="00437CF6">
        <w:tblPrEx>
          <w:tblBorders>
            <w:insideH w:val="single" w:sz="4" w:space="0" w:color="auto"/>
            <w:insideV w:val="single" w:sz="4" w:space="0" w:color="auto"/>
          </w:tblBorders>
        </w:tblPrEx>
        <w:trPr>
          <w:trHeight w:val="554"/>
        </w:trPr>
        <w:tc>
          <w:tcPr>
            <w:tcW w:w="710" w:type="dxa"/>
          </w:tcPr>
          <w:p w:rsidR="00437CF6" w:rsidRPr="00692A34" w:rsidRDefault="00437CF6" w:rsidP="00437CF6">
            <w:pPr>
              <w:pStyle w:val="Odsekzoznamu"/>
              <w:numPr>
                <w:ilvl w:val="0"/>
                <w:numId w:val="2"/>
              </w:numPr>
              <w:ind w:left="33" w:firstLine="0"/>
              <w:rPr>
                <w:b/>
                <w:sz w:val="24"/>
                <w:szCs w:val="24"/>
              </w:rPr>
            </w:pPr>
          </w:p>
        </w:tc>
        <w:tc>
          <w:tcPr>
            <w:tcW w:w="1275" w:type="dxa"/>
          </w:tcPr>
          <w:p w:rsidR="00437CF6" w:rsidRPr="00692A34" w:rsidRDefault="00437CF6" w:rsidP="00CF3D72">
            <w:pPr>
              <w:rPr>
                <w:rFonts w:cs="Segoe UI"/>
                <w:b/>
                <w:sz w:val="24"/>
                <w:szCs w:val="24"/>
                <w:shd w:val="clear" w:color="auto" w:fill="FAFAFA"/>
              </w:rPr>
            </w:pPr>
            <w:r w:rsidRPr="00692A34">
              <w:rPr>
                <w:rFonts w:cs="Segoe UI"/>
                <w:b/>
                <w:sz w:val="24"/>
                <w:szCs w:val="24"/>
                <w:shd w:val="clear" w:color="auto" w:fill="FAFAFA"/>
              </w:rPr>
              <w:t>MKSR</w:t>
            </w:r>
          </w:p>
        </w:tc>
        <w:tc>
          <w:tcPr>
            <w:tcW w:w="1559" w:type="dxa"/>
          </w:tcPr>
          <w:p w:rsidR="00437CF6" w:rsidRPr="00692A34" w:rsidRDefault="00437CF6" w:rsidP="00CF3D72">
            <w:pPr>
              <w:rPr>
                <w:rFonts w:cs="Segoe UI"/>
                <w:sz w:val="24"/>
                <w:szCs w:val="24"/>
                <w:shd w:val="clear" w:color="auto" w:fill="FAFAFA"/>
              </w:rPr>
            </w:pPr>
            <w:r w:rsidRPr="00692A34">
              <w:rPr>
                <w:rFonts w:cs="Segoe UI"/>
                <w:sz w:val="24"/>
                <w:szCs w:val="24"/>
                <w:shd w:val="clear" w:color="auto" w:fill="FAFAFA"/>
              </w:rPr>
              <w:t>K celému materiálu.</w:t>
            </w:r>
          </w:p>
        </w:tc>
        <w:tc>
          <w:tcPr>
            <w:tcW w:w="709" w:type="dxa"/>
          </w:tcPr>
          <w:p w:rsidR="00437CF6" w:rsidRPr="00692A34" w:rsidRDefault="00437CF6" w:rsidP="00625EAF">
            <w:pPr>
              <w:jc w:val="center"/>
              <w:rPr>
                <w:b/>
                <w:sz w:val="24"/>
                <w:szCs w:val="24"/>
              </w:rPr>
            </w:pPr>
            <w:r w:rsidRPr="00692A34">
              <w:rPr>
                <w:b/>
                <w:sz w:val="24"/>
                <w:szCs w:val="24"/>
              </w:rPr>
              <w:t>O</w:t>
            </w:r>
          </w:p>
        </w:tc>
        <w:tc>
          <w:tcPr>
            <w:tcW w:w="8930" w:type="dxa"/>
          </w:tcPr>
          <w:p w:rsidR="00437CF6" w:rsidRPr="00692A34" w:rsidRDefault="00437CF6" w:rsidP="00CF3D72">
            <w:pPr>
              <w:rPr>
                <w:sz w:val="24"/>
                <w:szCs w:val="24"/>
              </w:rPr>
            </w:pPr>
            <w:r w:rsidRPr="00692A34">
              <w:rPr>
                <w:sz w:val="24"/>
                <w:szCs w:val="24"/>
              </w:rPr>
              <w:t>Bez pripomienok.</w:t>
            </w:r>
          </w:p>
        </w:tc>
        <w:tc>
          <w:tcPr>
            <w:tcW w:w="2268" w:type="dxa"/>
          </w:tcPr>
          <w:p w:rsidR="00437CF6" w:rsidRPr="00692A34" w:rsidRDefault="00437CF6" w:rsidP="00CF3D72">
            <w:pPr>
              <w:rPr>
                <w:sz w:val="24"/>
                <w:szCs w:val="24"/>
              </w:rPr>
            </w:pPr>
          </w:p>
        </w:tc>
      </w:tr>
      <w:tr w:rsidR="002F1A9E" w:rsidRPr="00692A34" w:rsidTr="00437CF6">
        <w:tblPrEx>
          <w:tblBorders>
            <w:insideH w:val="single" w:sz="4" w:space="0" w:color="auto"/>
            <w:insideV w:val="single" w:sz="4" w:space="0" w:color="auto"/>
          </w:tblBorders>
        </w:tblPrEx>
        <w:trPr>
          <w:trHeight w:val="554"/>
        </w:trPr>
        <w:tc>
          <w:tcPr>
            <w:tcW w:w="710" w:type="dxa"/>
          </w:tcPr>
          <w:p w:rsidR="002F1A9E" w:rsidRPr="00692A34" w:rsidRDefault="002F1A9E" w:rsidP="00437CF6">
            <w:pPr>
              <w:pStyle w:val="Odsekzoznamu"/>
              <w:numPr>
                <w:ilvl w:val="0"/>
                <w:numId w:val="2"/>
              </w:numPr>
              <w:ind w:left="33" w:firstLine="0"/>
              <w:rPr>
                <w:b/>
                <w:sz w:val="24"/>
                <w:szCs w:val="24"/>
              </w:rPr>
            </w:pPr>
          </w:p>
        </w:tc>
        <w:tc>
          <w:tcPr>
            <w:tcW w:w="1275" w:type="dxa"/>
          </w:tcPr>
          <w:p w:rsidR="002F1A9E" w:rsidRPr="00692A34" w:rsidRDefault="002F1A9E" w:rsidP="00CF3D72">
            <w:pPr>
              <w:rPr>
                <w:rFonts w:cs="Segoe UI"/>
                <w:b/>
                <w:sz w:val="24"/>
                <w:szCs w:val="24"/>
                <w:shd w:val="clear" w:color="auto" w:fill="FAFAFA"/>
              </w:rPr>
            </w:pPr>
            <w:r w:rsidRPr="00692A34">
              <w:rPr>
                <w:rFonts w:cs="Segoe UI"/>
                <w:b/>
                <w:sz w:val="24"/>
                <w:szCs w:val="24"/>
                <w:shd w:val="clear" w:color="auto" w:fill="FAFAFA"/>
              </w:rPr>
              <w:t>NBS</w:t>
            </w:r>
          </w:p>
        </w:tc>
        <w:tc>
          <w:tcPr>
            <w:tcW w:w="1559" w:type="dxa"/>
          </w:tcPr>
          <w:p w:rsidR="002F1A9E" w:rsidRPr="00692A34" w:rsidRDefault="002F1A9E" w:rsidP="00CF3D72">
            <w:pPr>
              <w:rPr>
                <w:rFonts w:cs="Segoe UI"/>
                <w:sz w:val="24"/>
                <w:szCs w:val="24"/>
                <w:shd w:val="clear" w:color="auto" w:fill="FAFAFA"/>
              </w:rPr>
            </w:pPr>
            <w:r w:rsidRPr="00692A34">
              <w:rPr>
                <w:rFonts w:cs="Segoe UI"/>
                <w:sz w:val="24"/>
                <w:szCs w:val="24"/>
                <w:shd w:val="clear" w:color="auto" w:fill="FAFAFA"/>
              </w:rPr>
              <w:t>K celému materiálu.</w:t>
            </w:r>
          </w:p>
        </w:tc>
        <w:tc>
          <w:tcPr>
            <w:tcW w:w="709" w:type="dxa"/>
          </w:tcPr>
          <w:p w:rsidR="002F1A9E" w:rsidRPr="00692A34" w:rsidRDefault="002F1A9E" w:rsidP="00625EAF">
            <w:pPr>
              <w:jc w:val="center"/>
              <w:rPr>
                <w:b/>
                <w:sz w:val="24"/>
                <w:szCs w:val="24"/>
              </w:rPr>
            </w:pPr>
            <w:r w:rsidRPr="00692A34">
              <w:rPr>
                <w:b/>
                <w:sz w:val="24"/>
                <w:szCs w:val="24"/>
              </w:rPr>
              <w:t>O</w:t>
            </w:r>
          </w:p>
        </w:tc>
        <w:tc>
          <w:tcPr>
            <w:tcW w:w="8930" w:type="dxa"/>
          </w:tcPr>
          <w:p w:rsidR="002F1A9E" w:rsidRPr="00692A34" w:rsidRDefault="002F1A9E" w:rsidP="00CF3D72">
            <w:pPr>
              <w:rPr>
                <w:sz w:val="24"/>
                <w:szCs w:val="24"/>
              </w:rPr>
            </w:pPr>
            <w:r w:rsidRPr="00692A34">
              <w:rPr>
                <w:sz w:val="24"/>
                <w:szCs w:val="24"/>
              </w:rPr>
              <w:t>Bez pripomienok.</w:t>
            </w:r>
          </w:p>
        </w:tc>
        <w:tc>
          <w:tcPr>
            <w:tcW w:w="2268" w:type="dxa"/>
          </w:tcPr>
          <w:p w:rsidR="002F1A9E" w:rsidRPr="00692A34" w:rsidRDefault="002F1A9E" w:rsidP="00CF3D72">
            <w:pPr>
              <w:rPr>
                <w:sz w:val="24"/>
                <w:szCs w:val="24"/>
              </w:rPr>
            </w:pPr>
          </w:p>
        </w:tc>
      </w:tr>
      <w:tr w:rsidR="00625EAF" w:rsidRPr="00692A34" w:rsidTr="00437CF6">
        <w:tblPrEx>
          <w:tblBorders>
            <w:insideH w:val="single" w:sz="4" w:space="0" w:color="auto"/>
            <w:insideV w:val="single" w:sz="4" w:space="0" w:color="auto"/>
          </w:tblBorders>
        </w:tblPrEx>
        <w:trPr>
          <w:trHeight w:val="554"/>
        </w:trPr>
        <w:tc>
          <w:tcPr>
            <w:tcW w:w="710" w:type="dxa"/>
          </w:tcPr>
          <w:p w:rsidR="00625EAF" w:rsidRPr="00692A34" w:rsidRDefault="00625EAF" w:rsidP="00437CF6">
            <w:pPr>
              <w:pStyle w:val="Odsekzoznamu"/>
              <w:numPr>
                <w:ilvl w:val="0"/>
                <w:numId w:val="2"/>
              </w:numPr>
              <w:ind w:left="33" w:firstLine="0"/>
              <w:rPr>
                <w:b/>
                <w:sz w:val="24"/>
                <w:szCs w:val="24"/>
              </w:rPr>
            </w:pPr>
          </w:p>
        </w:tc>
        <w:tc>
          <w:tcPr>
            <w:tcW w:w="1275" w:type="dxa"/>
          </w:tcPr>
          <w:p w:rsidR="00625EAF" w:rsidRPr="00692A34" w:rsidRDefault="00625EAF" w:rsidP="00CF3D72">
            <w:pPr>
              <w:rPr>
                <w:rFonts w:cs="Segoe UI"/>
                <w:b/>
                <w:sz w:val="24"/>
                <w:szCs w:val="24"/>
                <w:shd w:val="clear" w:color="auto" w:fill="FAFAFA"/>
              </w:rPr>
            </w:pPr>
            <w:r w:rsidRPr="00692A34">
              <w:rPr>
                <w:rFonts w:cs="Segoe UI"/>
                <w:b/>
                <w:sz w:val="24"/>
                <w:szCs w:val="24"/>
                <w:shd w:val="clear" w:color="auto" w:fill="FAFAFA"/>
              </w:rPr>
              <w:t>MO SR</w:t>
            </w:r>
          </w:p>
        </w:tc>
        <w:tc>
          <w:tcPr>
            <w:tcW w:w="1559" w:type="dxa"/>
          </w:tcPr>
          <w:p w:rsidR="00625EAF" w:rsidRPr="00692A34" w:rsidRDefault="00625EAF" w:rsidP="00CF3D72">
            <w:pPr>
              <w:rPr>
                <w:rFonts w:cs="Segoe UI"/>
                <w:sz w:val="24"/>
                <w:szCs w:val="24"/>
                <w:shd w:val="clear" w:color="auto" w:fill="FAFAFA"/>
              </w:rPr>
            </w:pPr>
            <w:r w:rsidRPr="00692A34">
              <w:rPr>
                <w:rFonts w:cs="Segoe UI"/>
                <w:sz w:val="24"/>
                <w:szCs w:val="24"/>
                <w:shd w:val="clear" w:color="auto" w:fill="FAFAFA"/>
              </w:rPr>
              <w:t>k celému materiálu</w:t>
            </w:r>
          </w:p>
        </w:tc>
        <w:tc>
          <w:tcPr>
            <w:tcW w:w="709" w:type="dxa"/>
          </w:tcPr>
          <w:p w:rsidR="00625EAF" w:rsidRPr="00692A34" w:rsidRDefault="00625EAF" w:rsidP="00625EAF">
            <w:pPr>
              <w:jc w:val="center"/>
              <w:rPr>
                <w:b/>
                <w:sz w:val="24"/>
                <w:szCs w:val="24"/>
              </w:rPr>
            </w:pPr>
            <w:r w:rsidRPr="00692A34">
              <w:rPr>
                <w:b/>
                <w:sz w:val="24"/>
                <w:szCs w:val="24"/>
              </w:rPr>
              <w:t>O</w:t>
            </w:r>
          </w:p>
        </w:tc>
        <w:tc>
          <w:tcPr>
            <w:tcW w:w="8930" w:type="dxa"/>
          </w:tcPr>
          <w:p w:rsidR="00625EAF" w:rsidRPr="00692A34" w:rsidRDefault="00625EAF" w:rsidP="00CF3D72">
            <w:pPr>
              <w:rPr>
                <w:sz w:val="24"/>
                <w:szCs w:val="24"/>
              </w:rPr>
            </w:pPr>
            <w:r w:rsidRPr="00692A34">
              <w:rPr>
                <w:sz w:val="24"/>
                <w:szCs w:val="24"/>
              </w:rPr>
              <w:t>bez pripomienok</w:t>
            </w:r>
          </w:p>
        </w:tc>
        <w:tc>
          <w:tcPr>
            <w:tcW w:w="2268" w:type="dxa"/>
          </w:tcPr>
          <w:p w:rsidR="00625EAF" w:rsidRPr="00692A34" w:rsidRDefault="00625EAF" w:rsidP="00CF3D72">
            <w:pPr>
              <w:rPr>
                <w:sz w:val="24"/>
                <w:szCs w:val="24"/>
              </w:rPr>
            </w:pPr>
          </w:p>
        </w:tc>
      </w:tr>
      <w:tr w:rsidR="00C76012" w:rsidRPr="00692A34" w:rsidTr="00437CF6">
        <w:tblPrEx>
          <w:tblBorders>
            <w:insideH w:val="single" w:sz="4" w:space="0" w:color="auto"/>
            <w:insideV w:val="single" w:sz="4" w:space="0" w:color="auto"/>
          </w:tblBorders>
        </w:tblPrEx>
        <w:trPr>
          <w:trHeight w:val="554"/>
        </w:trPr>
        <w:tc>
          <w:tcPr>
            <w:tcW w:w="710" w:type="dxa"/>
          </w:tcPr>
          <w:p w:rsidR="00C76012" w:rsidRPr="00692A34" w:rsidRDefault="00C76012" w:rsidP="00437CF6">
            <w:pPr>
              <w:pStyle w:val="Odsekzoznamu"/>
              <w:numPr>
                <w:ilvl w:val="0"/>
                <w:numId w:val="2"/>
              </w:numPr>
              <w:ind w:left="33" w:firstLine="0"/>
              <w:rPr>
                <w:b/>
                <w:sz w:val="24"/>
                <w:szCs w:val="24"/>
              </w:rPr>
            </w:pPr>
          </w:p>
        </w:tc>
        <w:tc>
          <w:tcPr>
            <w:tcW w:w="1275" w:type="dxa"/>
          </w:tcPr>
          <w:p w:rsidR="00C76012" w:rsidRPr="00692A34" w:rsidRDefault="00C76012" w:rsidP="00CF3D72">
            <w:pPr>
              <w:rPr>
                <w:rFonts w:cs="Segoe UI"/>
                <w:b/>
                <w:sz w:val="24"/>
                <w:szCs w:val="24"/>
                <w:shd w:val="clear" w:color="auto" w:fill="FAFAFA"/>
              </w:rPr>
            </w:pPr>
            <w:r w:rsidRPr="00692A34">
              <w:rPr>
                <w:rFonts w:cs="Segoe UI"/>
                <w:b/>
                <w:sz w:val="24"/>
                <w:szCs w:val="24"/>
                <w:shd w:val="clear" w:color="auto" w:fill="FAFAFA"/>
              </w:rPr>
              <w:t>ŠÚSR</w:t>
            </w:r>
          </w:p>
        </w:tc>
        <w:tc>
          <w:tcPr>
            <w:tcW w:w="1559" w:type="dxa"/>
          </w:tcPr>
          <w:p w:rsidR="00C76012" w:rsidRPr="00692A34" w:rsidRDefault="00C76012">
            <w:pPr>
              <w:rPr>
                <w:sz w:val="24"/>
                <w:szCs w:val="24"/>
              </w:rPr>
            </w:pPr>
            <w:r w:rsidRPr="00692A34">
              <w:rPr>
                <w:rFonts w:cs="Segoe UI"/>
                <w:sz w:val="24"/>
                <w:szCs w:val="24"/>
                <w:shd w:val="clear" w:color="auto" w:fill="FAFAFA"/>
              </w:rPr>
              <w:t>k celému materiálu</w:t>
            </w:r>
          </w:p>
        </w:tc>
        <w:tc>
          <w:tcPr>
            <w:tcW w:w="709" w:type="dxa"/>
          </w:tcPr>
          <w:p w:rsidR="00C76012" w:rsidRPr="00692A34" w:rsidRDefault="00C76012">
            <w:pPr>
              <w:rPr>
                <w:b/>
                <w:sz w:val="24"/>
                <w:szCs w:val="24"/>
              </w:rPr>
            </w:pPr>
            <w:r w:rsidRPr="00692A34">
              <w:rPr>
                <w:b/>
                <w:sz w:val="24"/>
                <w:szCs w:val="24"/>
              </w:rPr>
              <w:t>O</w:t>
            </w:r>
          </w:p>
        </w:tc>
        <w:tc>
          <w:tcPr>
            <w:tcW w:w="8930" w:type="dxa"/>
          </w:tcPr>
          <w:p w:rsidR="00C76012" w:rsidRPr="00692A34" w:rsidRDefault="00C76012">
            <w:pPr>
              <w:rPr>
                <w:sz w:val="24"/>
                <w:szCs w:val="24"/>
              </w:rPr>
            </w:pPr>
            <w:r w:rsidRPr="00692A34">
              <w:rPr>
                <w:sz w:val="24"/>
                <w:szCs w:val="24"/>
              </w:rPr>
              <w:t>bez pripomienok</w:t>
            </w:r>
          </w:p>
        </w:tc>
        <w:tc>
          <w:tcPr>
            <w:tcW w:w="2268" w:type="dxa"/>
          </w:tcPr>
          <w:p w:rsidR="00C76012" w:rsidRPr="00692A34" w:rsidRDefault="00C76012" w:rsidP="00CF3D72">
            <w:pPr>
              <w:rPr>
                <w:sz w:val="24"/>
                <w:szCs w:val="24"/>
              </w:rPr>
            </w:pPr>
          </w:p>
        </w:tc>
      </w:tr>
      <w:tr w:rsidR="00C76012" w:rsidRPr="00692A34" w:rsidTr="00437CF6">
        <w:tblPrEx>
          <w:tblBorders>
            <w:insideH w:val="single" w:sz="4" w:space="0" w:color="auto"/>
            <w:insideV w:val="single" w:sz="4" w:space="0" w:color="auto"/>
          </w:tblBorders>
        </w:tblPrEx>
        <w:trPr>
          <w:trHeight w:val="554"/>
        </w:trPr>
        <w:tc>
          <w:tcPr>
            <w:tcW w:w="710" w:type="dxa"/>
          </w:tcPr>
          <w:p w:rsidR="00C76012" w:rsidRPr="00692A34" w:rsidRDefault="00C76012" w:rsidP="00437CF6">
            <w:pPr>
              <w:pStyle w:val="Odsekzoznamu"/>
              <w:numPr>
                <w:ilvl w:val="0"/>
                <w:numId w:val="2"/>
              </w:numPr>
              <w:ind w:left="33" w:firstLine="0"/>
              <w:rPr>
                <w:b/>
                <w:sz w:val="24"/>
                <w:szCs w:val="24"/>
              </w:rPr>
            </w:pPr>
          </w:p>
        </w:tc>
        <w:tc>
          <w:tcPr>
            <w:tcW w:w="1275" w:type="dxa"/>
          </w:tcPr>
          <w:p w:rsidR="00C76012" w:rsidRPr="00692A34" w:rsidRDefault="00C76012" w:rsidP="00CF3D72">
            <w:pPr>
              <w:rPr>
                <w:rFonts w:cs="Segoe UI"/>
                <w:b/>
                <w:sz w:val="24"/>
                <w:szCs w:val="24"/>
                <w:shd w:val="clear" w:color="auto" w:fill="FAFAFA"/>
              </w:rPr>
            </w:pPr>
            <w:r w:rsidRPr="00692A34">
              <w:rPr>
                <w:rFonts w:cs="Segoe UI"/>
                <w:b/>
                <w:sz w:val="24"/>
                <w:szCs w:val="24"/>
                <w:shd w:val="clear" w:color="auto" w:fill="FAFAFA"/>
              </w:rPr>
              <w:t>ÚGKKSR</w:t>
            </w:r>
          </w:p>
        </w:tc>
        <w:tc>
          <w:tcPr>
            <w:tcW w:w="1559" w:type="dxa"/>
          </w:tcPr>
          <w:p w:rsidR="00C76012" w:rsidRPr="00692A34" w:rsidRDefault="00C76012">
            <w:pPr>
              <w:rPr>
                <w:sz w:val="24"/>
                <w:szCs w:val="24"/>
              </w:rPr>
            </w:pPr>
            <w:r w:rsidRPr="00692A34">
              <w:rPr>
                <w:rFonts w:cs="Segoe UI"/>
                <w:sz w:val="24"/>
                <w:szCs w:val="24"/>
                <w:shd w:val="clear" w:color="auto" w:fill="FAFAFA"/>
              </w:rPr>
              <w:t>k celému materiálu</w:t>
            </w:r>
          </w:p>
        </w:tc>
        <w:tc>
          <w:tcPr>
            <w:tcW w:w="709" w:type="dxa"/>
          </w:tcPr>
          <w:p w:rsidR="00C76012" w:rsidRPr="00692A34" w:rsidRDefault="00C76012">
            <w:pPr>
              <w:rPr>
                <w:b/>
                <w:sz w:val="24"/>
                <w:szCs w:val="24"/>
              </w:rPr>
            </w:pPr>
            <w:r w:rsidRPr="00692A34">
              <w:rPr>
                <w:b/>
                <w:sz w:val="24"/>
                <w:szCs w:val="24"/>
              </w:rPr>
              <w:t>O</w:t>
            </w:r>
          </w:p>
        </w:tc>
        <w:tc>
          <w:tcPr>
            <w:tcW w:w="8930" w:type="dxa"/>
          </w:tcPr>
          <w:p w:rsidR="00C76012" w:rsidRPr="00692A34" w:rsidRDefault="00C76012">
            <w:pPr>
              <w:rPr>
                <w:sz w:val="24"/>
                <w:szCs w:val="24"/>
              </w:rPr>
            </w:pPr>
            <w:r w:rsidRPr="00692A34">
              <w:rPr>
                <w:sz w:val="24"/>
                <w:szCs w:val="24"/>
              </w:rPr>
              <w:t>bez pripomienok</w:t>
            </w:r>
          </w:p>
        </w:tc>
        <w:tc>
          <w:tcPr>
            <w:tcW w:w="2268" w:type="dxa"/>
          </w:tcPr>
          <w:p w:rsidR="00C76012" w:rsidRPr="00692A34" w:rsidRDefault="00C76012" w:rsidP="00CF3D72">
            <w:pPr>
              <w:rPr>
                <w:sz w:val="24"/>
                <w:szCs w:val="24"/>
              </w:rPr>
            </w:pPr>
          </w:p>
        </w:tc>
      </w:tr>
      <w:tr w:rsidR="00C76012" w:rsidRPr="00692A34" w:rsidTr="00437CF6">
        <w:tblPrEx>
          <w:tblBorders>
            <w:insideH w:val="single" w:sz="4" w:space="0" w:color="auto"/>
            <w:insideV w:val="single" w:sz="4" w:space="0" w:color="auto"/>
          </w:tblBorders>
        </w:tblPrEx>
        <w:trPr>
          <w:trHeight w:val="554"/>
        </w:trPr>
        <w:tc>
          <w:tcPr>
            <w:tcW w:w="710" w:type="dxa"/>
          </w:tcPr>
          <w:p w:rsidR="00C76012" w:rsidRPr="00692A34" w:rsidRDefault="00C76012" w:rsidP="00437CF6">
            <w:pPr>
              <w:pStyle w:val="Odsekzoznamu"/>
              <w:numPr>
                <w:ilvl w:val="0"/>
                <w:numId w:val="2"/>
              </w:numPr>
              <w:ind w:left="33" w:firstLine="0"/>
              <w:rPr>
                <w:b/>
                <w:sz w:val="24"/>
                <w:szCs w:val="24"/>
              </w:rPr>
            </w:pPr>
          </w:p>
        </w:tc>
        <w:tc>
          <w:tcPr>
            <w:tcW w:w="1275" w:type="dxa"/>
          </w:tcPr>
          <w:p w:rsidR="00C76012" w:rsidRPr="00692A34" w:rsidRDefault="00C76012" w:rsidP="00CF3D72">
            <w:pPr>
              <w:rPr>
                <w:rFonts w:cs="Segoe UI"/>
                <w:b/>
                <w:sz w:val="24"/>
                <w:szCs w:val="24"/>
                <w:shd w:val="clear" w:color="auto" w:fill="FAFAFA"/>
              </w:rPr>
            </w:pPr>
            <w:proofErr w:type="spellStart"/>
            <w:r w:rsidRPr="00692A34">
              <w:rPr>
                <w:rFonts w:cs="Segoe UI"/>
                <w:b/>
                <w:sz w:val="24"/>
                <w:szCs w:val="24"/>
                <w:shd w:val="clear" w:color="auto" w:fill="FAFAFA"/>
              </w:rPr>
              <w:t>MZVaEZSR</w:t>
            </w:r>
            <w:proofErr w:type="spellEnd"/>
          </w:p>
        </w:tc>
        <w:tc>
          <w:tcPr>
            <w:tcW w:w="1559" w:type="dxa"/>
          </w:tcPr>
          <w:p w:rsidR="00C76012" w:rsidRPr="00692A34" w:rsidRDefault="00C76012">
            <w:pPr>
              <w:rPr>
                <w:sz w:val="24"/>
                <w:szCs w:val="24"/>
              </w:rPr>
            </w:pPr>
            <w:r w:rsidRPr="00692A34">
              <w:rPr>
                <w:rFonts w:cs="Segoe UI"/>
                <w:sz w:val="24"/>
                <w:szCs w:val="24"/>
                <w:shd w:val="clear" w:color="auto" w:fill="FAFAFA"/>
              </w:rPr>
              <w:t>k celému materiálu</w:t>
            </w:r>
          </w:p>
        </w:tc>
        <w:tc>
          <w:tcPr>
            <w:tcW w:w="709" w:type="dxa"/>
          </w:tcPr>
          <w:p w:rsidR="00C76012" w:rsidRPr="00692A34" w:rsidRDefault="00C76012">
            <w:pPr>
              <w:rPr>
                <w:b/>
                <w:sz w:val="24"/>
                <w:szCs w:val="24"/>
              </w:rPr>
            </w:pPr>
            <w:r w:rsidRPr="00692A34">
              <w:rPr>
                <w:b/>
                <w:sz w:val="24"/>
                <w:szCs w:val="24"/>
              </w:rPr>
              <w:t>O</w:t>
            </w:r>
          </w:p>
        </w:tc>
        <w:tc>
          <w:tcPr>
            <w:tcW w:w="8930" w:type="dxa"/>
          </w:tcPr>
          <w:p w:rsidR="00C76012" w:rsidRPr="00692A34" w:rsidRDefault="00C76012">
            <w:pPr>
              <w:rPr>
                <w:sz w:val="24"/>
                <w:szCs w:val="24"/>
              </w:rPr>
            </w:pPr>
            <w:r w:rsidRPr="00692A34">
              <w:rPr>
                <w:sz w:val="24"/>
                <w:szCs w:val="24"/>
              </w:rPr>
              <w:t>bez pripomienok</w:t>
            </w:r>
          </w:p>
        </w:tc>
        <w:tc>
          <w:tcPr>
            <w:tcW w:w="2268" w:type="dxa"/>
          </w:tcPr>
          <w:p w:rsidR="00C76012" w:rsidRPr="00692A34" w:rsidRDefault="00C76012" w:rsidP="00CF3D72">
            <w:pPr>
              <w:rPr>
                <w:sz w:val="24"/>
                <w:szCs w:val="24"/>
              </w:rPr>
            </w:pPr>
          </w:p>
        </w:tc>
      </w:tr>
      <w:tr w:rsidR="00C76012" w:rsidRPr="00692A34" w:rsidTr="00437CF6">
        <w:tblPrEx>
          <w:tblBorders>
            <w:insideH w:val="single" w:sz="4" w:space="0" w:color="auto"/>
            <w:insideV w:val="single" w:sz="4" w:space="0" w:color="auto"/>
          </w:tblBorders>
        </w:tblPrEx>
        <w:trPr>
          <w:trHeight w:val="554"/>
        </w:trPr>
        <w:tc>
          <w:tcPr>
            <w:tcW w:w="710" w:type="dxa"/>
          </w:tcPr>
          <w:p w:rsidR="00C76012" w:rsidRPr="00692A34" w:rsidRDefault="00C76012" w:rsidP="00437CF6">
            <w:pPr>
              <w:pStyle w:val="Odsekzoznamu"/>
              <w:numPr>
                <w:ilvl w:val="0"/>
                <w:numId w:val="2"/>
              </w:numPr>
              <w:ind w:left="33" w:firstLine="0"/>
              <w:rPr>
                <w:b/>
                <w:sz w:val="24"/>
                <w:szCs w:val="24"/>
              </w:rPr>
            </w:pPr>
          </w:p>
        </w:tc>
        <w:tc>
          <w:tcPr>
            <w:tcW w:w="1275" w:type="dxa"/>
          </w:tcPr>
          <w:p w:rsidR="00C76012" w:rsidRPr="00692A34" w:rsidRDefault="00C76012" w:rsidP="00CF3D72">
            <w:pPr>
              <w:rPr>
                <w:rFonts w:cs="Segoe UI"/>
                <w:b/>
                <w:sz w:val="24"/>
                <w:szCs w:val="24"/>
                <w:shd w:val="clear" w:color="auto" w:fill="FAFAFA"/>
              </w:rPr>
            </w:pPr>
            <w:proofErr w:type="spellStart"/>
            <w:r w:rsidRPr="00692A34">
              <w:rPr>
                <w:rFonts w:cs="Segoe UI"/>
                <w:b/>
                <w:sz w:val="24"/>
                <w:szCs w:val="24"/>
                <w:shd w:val="clear" w:color="auto" w:fill="FAFAFA"/>
              </w:rPr>
              <w:t>MDaVSR</w:t>
            </w:r>
            <w:proofErr w:type="spellEnd"/>
          </w:p>
        </w:tc>
        <w:tc>
          <w:tcPr>
            <w:tcW w:w="1559" w:type="dxa"/>
          </w:tcPr>
          <w:p w:rsidR="00C76012" w:rsidRPr="00692A34" w:rsidRDefault="00C76012">
            <w:pPr>
              <w:rPr>
                <w:sz w:val="24"/>
                <w:szCs w:val="24"/>
              </w:rPr>
            </w:pPr>
            <w:r w:rsidRPr="00692A34">
              <w:rPr>
                <w:rFonts w:cs="Segoe UI"/>
                <w:sz w:val="24"/>
                <w:szCs w:val="24"/>
                <w:shd w:val="clear" w:color="auto" w:fill="FAFAFA"/>
              </w:rPr>
              <w:t>k celému materiálu</w:t>
            </w:r>
          </w:p>
        </w:tc>
        <w:tc>
          <w:tcPr>
            <w:tcW w:w="709" w:type="dxa"/>
          </w:tcPr>
          <w:p w:rsidR="00C76012" w:rsidRPr="00692A34" w:rsidRDefault="00C76012">
            <w:pPr>
              <w:rPr>
                <w:b/>
                <w:sz w:val="24"/>
                <w:szCs w:val="24"/>
              </w:rPr>
            </w:pPr>
            <w:r w:rsidRPr="00692A34">
              <w:rPr>
                <w:b/>
                <w:sz w:val="24"/>
                <w:szCs w:val="24"/>
              </w:rPr>
              <w:t>O</w:t>
            </w:r>
          </w:p>
        </w:tc>
        <w:tc>
          <w:tcPr>
            <w:tcW w:w="8930" w:type="dxa"/>
          </w:tcPr>
          <w:p w:rsidR="00C76012" w:rsidRPr="00692A34" w:rsidRDefault="00C76012">
            <w:pPr>
              <w:rPr>
                <w:sz w:val="24"/>
                <w:szCs w:val="24"/>
              </w:rPr>
            </w:pPr>
            <w:r w:rsidRPr="00692A34">
              <w:rPr>
                <w:sz w:val="24"/>
                <w:szCs w:val="24"/>
              </w:rPr>
              <w:t>bez pripomienok</w:t>
            </w:r>
          </w:p>
        </w:tc>
        <w:tc>
          <w:tcPr>
            <w:tcW w:w="2268" w:type="dxa"/>
          </w:tcPr>
          <w:p w:rsidR="00C76012" w:rsidRPr="00692A34" w:rsidRDefault="00C76012" w:rsidP="00CF3D72">
            <w:pPr>
              <w:rPr>
                <w:sz w:val="24"/>
                <w:szCs w:val="24"/>
              </w:rPr>
            </w:pPr>
          </w:p>
        </w:tc>
      </w:tr>
      <w:tr w:rsidR="00C76012" w:rsidRPr="00692A34" w:rsidTr="00437CF6">
        <w:tblPrEx>
          <w:tblBorders>
            <w:insideH w:val="single" w:sz="4" w:space="0" w:color="auto"/>
            <w:insideV w:val="single" w:sz="4" w:space="0" w:color="auto"/>
          </w:tblBorders>
        </w:tblPrEx>
        <w:trPr>
          <w:trHeight w:val="554"/>
        </w:trPr>
        <w:tc>
          <w:tcPr>
            <w:tcW w:w="710" w:type="dxa"/>
          </w:tcPr>
          <w:p w:rsidR="00C76012" w:rsidRPr="00692A34" w:rsidRDefault="00C76012" w:rsidP="00437CF6">
            <w:pPr>
              <w:pStyle w:val="Odsekzoznamu"/>
              <w:numPr>
                <w:ilvl w:val="0"/>
                <w:numId w:val="2"/>
              </w:numPr>
              <w:ind w:left="33" w:firstLine="0"/>
              <w:rPr>
                <w:b/>
                <w:sz w:val="24"/>
                <w:szCs w:val="24"/>
              </w:rPr>
            </w:pPr>
          </w:p>
        </w:tc>
        <w:tc>
          <w:tcPr>
            <w:tcW w:w="1275" w:type="dxa"/>
          </w:tcPr>
          <w:p w:rsidR="00C76012" w:rsidRPr="00692A34" w:rsidRDefault="00C76012" w:rsidP="00CF3D72">
            <w:pPr>
              <w:rPr>
                <w:rFonts w:cs="Segoe UI"/>
                <w:b/>
                <w:sz w:val="24"/>
                <w:szCs w:val="24"/>
                <w:shd w:val="clear" w:color="auto" w:fill="FAFAFA"/>
              </w:rPr>
            </w:pPr>
            <w:r w:rsidRPr="00692A34">
              <w:rPr>
                <w:rFonts w:cs="Segoe UI"/>
                <w:b/>
                <w:sz w:val="24"/>
                <w:szCs w:val="24"/>
                <w:shd w:val="clear" w:color="auto" w:fill="FAFAFA"/>
              </w:rPr>
              <w:t>MHSR</w:t>
            </w:r>
          </w:p>
        </w:tc>
        <w:tc>
          <w:tcPr>
            <w:tcW w:w="1559" w:type="dxa"/>
          </w:tcPr>
          <w:p w:rsidR="00C76012" w:rsidRPr="00692A34" w:rsidRDefault="00C76012">
            <w:pPr>
              <w:rPr>
                <w:sz w:val="24"/>
                <w:szCs w:val="24"/>
              </w:rPr>
            </w:pPr>
            <w:r w:rsidRPr="00692A34">
              <w:rPr>
                <w:rFonts w:cs="Segoe UI"/>
                <w:sz w:val="24"/>
                <w:szCs w:val="24"/>
                <w:shd w:val="clear" w:color="auto" w:fill="FAFAFA"/>
              </w:rPr>
              <w:t>k celému materiálu</w:t>
            </w:r>
          </w:p>
        </w:tc>
        <w:tc>
          <w:tcPr>
            <w:tcW w:w="709" w:type="dxa"/>
          </w:tcPr>
          <w:p w:rsidR="00C76012" w:rsidRPr="00692A34" w:rsidRDefault="00C76012">
            <w:pPr>
              <w:rPr>
                <w:b/>
                <w:sz w:val="24"/>
                <w:szCs w:val="24"/>
              </w:rPr>
            </w:pPr>
            <w:r w:rsidRPr="00692A34">
              <w:rPr>
                <w:b/>
                <w:sz w:val="24"/>
                <w:szCs w:val="24"/>
              </w:rPr>
              <w:t>O</w:t>
            </w:r>
          </w:p>
        </w:tc>
        <w:tc>
          <w:tcPr>
            <w:tcW w:w="8930" w:type="dxa"/>
          </w:tcPr>
          <w:p w:rsidR="00C76012" w:rsidRPr="00692A34" w:rsidRDefault="00C76012">
            <w:pPr>
              <w:rPr>
                <w:sz w:val="24"/>
                <w:szCs w:val="24"/>
              </w:rPr>
            </w:pPr>
            <w:r w:rsidRPr="00692A34">
              <w:rPr>
                <w:sz w:val="24"/>
                <w:szCs w:val="24"/>
              </w:rPr>
              <w:t>bez pripomienok</w:t>
            </w:r>
          </w:p>
        </w:tc>
        <w:tc>
          <w:tcPr>
            <w:tcW w:w="2268" w:type="dxa"/>
          </w:tcPr>
          <w:p w:rsidR="00C76012" w:rsidRPr="00692A34" w:rsidRDefault="00C76012" w:rsidP="00CF3D72">
            <w:pPr>
              <w:rPr>
                <w:sz w:val="24"/>
                <w:szCs w:val="24"/>
              </w:rPr>
            </w:pPr>
          </w:p>
        </w:tc>
      </w:tr>
      <w:tr w:rsidR="00C76012" w:rsidRPr="00692A34" w:rsidTr="00437CF6">
        <w:tblPrEx>
          <w:tblBorders>
            <w:insideH w:val="single" w:sz="4" w:space="0" w:color="auto"/>
            <w:insideV w:val="single" w:sz="4" w:space="0" w:color="auto"/>
          </w:tblBorders>
        </w:tblPrEx>
        <w:trPr>
          <w:trHeight w:val="554"/>
        </w:trPr>
        <w:tc>
          <w:tcPr>
            <w:tcW w:w="710" w:type="dxa"/>
          </w:tcPr>
          <w:p w:rsidR="00C76012" w:rsidRPr="00692A34" w:rsidRDefault="00C76012" w:rsidP="00437CF6">
            <w:pPr>
              <w:pStyle w:val="Odsekzoznamu"/>
              <w:numPr>
                <w:ilvl w:val="0"/>
                <w:numId w:val="2"/>
              </w:numPr>
              <w:ind w:left="33" w:firstLine="0"/>
              <w:rPr>
                <w:b/>
                <w:sz w:val="24"/>
                <w:szCs w:val="24"/>
              </w:rPr>
            </w:pPr>
          </w:p>
        </w:tc>
        <w:tc>
          <w:tcPr>
            <w:tcW w:w="1275" w:type="dxa"/>
          </w:tcPr>
          <w:p w:rsidR="00C76012" w:rsidRPr="00692A34" w:rsidRDefault="00C76012" w:rsidP="00CF3D72">
            <w:pPr>
              <w:rPr>
                <w:rFonts w:cs="Segoe UI"/>
                <w:b/>
                <w:sz w:val="24"/>
                <w:szCs w:val="24"/>
                <w:shd w:val="clear" w:color="auto" w:fill="FAFAFA"/>
              </w:rPr>
            </w:pPr>
            <w:proofErr w:type="spellStart"/>
            <w:r w:rsidRPr="00692A34">
              <w:rPr>
                <w:rFonts w:cs="Segoe UI"/>
                <w:b/>
                <w:sz w:val="24"/>
                <w:szCs w:val="24"/>
                <w:shd w:val="clear" w:color="auto" w:fill="FAFAFA"/>
              </w:rPr>
              <w:t>MŠVVaŠSR</w:t>
            </w:r>
            <w:proofErr w:type="spellEnd"/>
          </w:p>
        </w:tc>
        <w:tc>
          <w:tcPr>
            <w:tcW w:w="1559" w:type="dxa"/>
          </w:tcPr>
          <w:p w:rsidR="00C76012" w:rsidRPr="00692A34" w:rsidRDefault="00C76012">
            <w:pPr>
              <w:rPr>
                <w:sz w:val="24"/>
                <w:szCs w:val="24"/>
              </w:rPr>
            </w:pPr>
            <w:r w:rsidRPr="00692A34">
              <w:rPr>
                <w:rFonts w:cs="Segoe UI"/>
                <w:sz w:val="24"/>
                <w:szCs w:val="24"/>
                <w:shd w:val="clear" w:color="auto" w:fill="FAFAFA"/>
              </w:rPr>
              <w:t>k celému materiálu</w:t>
            </w:r>
          </w:p>
        </w:tc>
        <w:tc>
          <w:tcPr>
            <w:tcW w:w="709" w:type="dxa"/>
          </w:tcPr>
          <w:p w:rsidR="00C76012" w:rsidRPr="00692A34" w:rsidRDefault="00C76012">
            <w:pPr>
              <w:rPr>
                <w:b/>
                <w:sz w:val="24"/>
                <w:szCs w:val="24"/>
              </w:rPr>
            </w:pPr>
            <w:r w:rsidRPr="00692A34">
              <w:rPr>
                <w:b/>
                <w:sz w:val="24"/>
                <w:szCs w:val="24"/>
              </w:rPr>
              <w:t>O</w:t>
            </w:r>
          </w:p>
        </w:tc>
        <w:tc>
          <w:tcPr>
            <w:tcW w:w="8930" w:type="dxa"/>
          </w:tcPr>
          <w:p w:rsidR="00C76012" w:rsidRPr="00692A34" w:rsidRDefault="00C76012">
            <w:pPr>
              <w:rPr>
                <w:sz w:val="24"/>
                <w:szCs w:val="24"/>
              </w:rPr>
            </w:pPr>
            <w:r w:rsidRPr="00692A34">
              <w:rPr>
                <w:sz w:val="24"/>
                <w:szCs w:val="24"/>
              </w:rPr>
              <w:t>bez pripomienok</w:t>
            </w:r>
          </w:p>
        </w:tc>
        <w:tc>
          <w:tcPr>
            <w:tcW w:w="2268" w:type="dxa"/>
          </w:tcPr>
          <w:p w:rsidR="00C76012" w:rsidRPr="00692A34" w:rsidRDefault="00C76012" w:rsidP="00CF3D72">
            <w:pPr>
              <w:rPr>
                <w:sz w:val="24"/>
                <w:szCs w:val="24"/>
              </w:rPr>
            </w:pPr>
          </w:p>
        </w:tc>
      </w:tr>
      <w:tr w:rsidR="00133107" w:rsidRPr="00692A34" w:rsidTr="00437CF6">
        <w:tblPrEx>
          <w:tblBorders>
            <w:insideH w:val="single" w:sz="4" w:space="0" w:color="auto"/>
            <w:insideV w:val="single" w:sz="4" w:space="0" w:color="auto"/>
          </w:tblBorders>
        </w:tblPrEx>
        <w:trPr>
          <w:trHeight w:val="554"/>
        </w:trPr>
        <w:tc>
          <w:tcPr>
            <w:tcW w:w="710" w:type="dxa"/>
          </w:tcPr>
          <w:p w:rsidR="00133107" w:rsidRPr="00692A34" w:rsidRDefault="00133107" w:rsidP="00437CF6">
            <w:pPr>
              <w:pStyle w:val="Odsekzoznamu"/>
              <w:numPr>
                <w:ilvl w:val="0"/>
                <w:numId w:val="2"/>
              </w:numPr>
              <w:ind w:left="33" w:firstLine="0"/>
              <w:rPr>
                <w:b/>
                <w:sz w:val="24"/>
                <w:szCs w:val="24"/>
              </w:rPr>
            </w:pPr>
          </w:p>
        </w:tc>
        <w:tc>
          <w:tcPr>
            <w:tcW w:w="1275" w:type="dxa"/>
          </w:tcPr>
          <w:p w:rsidR="00133107" w:rsidRPr="00692A34" w:rsidRDefault="00133107" w:rsidP="00CF3D72">
            <w:pPr>
              <w:rPr>
                <w:rFonts w:cs="Segoe UI"/>
                <w:b/>
                <w:sz w:val="24"/>
                <w:szCs w:val="24"/>
                <w:shd w:val="clear" w:color="auto" w:fill="FAFAFA"/>
              </w:rPr>
            </w:pPr>
            <w:r>
              <w:rPr>
                <w:rFonts w:cs="Segoe UI"/>
                <w:b/>
                <w:sz w:val="24"/>
                <w:szCs w:val="24"/>
                <w:shd w:val="clear" w:color="auto" w:fill="FAFAFA"/>
              </w:rPr>
              <w:t>SVPPNRO</w:t>
            </w:r>
          </w:p>
        </w:tc>
        <w:tc>
          <w:tcPr>
            <w:tcW w:w="1559" w:type="dxa"/>
          </w:tcPr>
          <w:p w:rsidR="00133107" w:rsidRPr="00692A34" w:rsidRDefault="00133107">
            <w:pPr>
              <w:rPr>
                <w:rFonts w:cs="Segoe UI"/>
                <w:sz w:val="24"/>
                <w:szCs w:val="24"/>
                <w:shd w:val="clear" w:color="auto" w:fill="FAFAFA"/>
              </w:rPr>
            </w:pPr>
            <w:r w:rsidRPr="00692A34">
              <w:rPr>
                <w:rFonts w:cs="Segoe UI"/>
                <w:sz w:val="24"/>
                <w:szCs w:val="24"/>
                <w:shd w:val="clear" w:color="auto" w:fill="FAFAFA"/>
              </w:rPr>
              <w:t>k celému materiálu</w:t>
            </w:r>
          </w:p>
        </w:tc>
        <w:tc>
          <w:tcPr>
            <w:tcW w:w="709" w:type="dxa"/>
          </w:tcPr>
          <w:p w:rsidR="00133107" w:rsidRPr="00692A34" w:rsidRDefault="00133107">
            <w:pPr>
              <w:rPr>
                <w:b/>
                <w:sz w:val="24"/>
                <w:szCs w:val="24"/>
              </w:rPr>
            </w:pPr>
            <w:r>
              <w:rPr>
                <w:b/>
                <w:sz w:val="24"/>
                <w:szCs w:val="24"/>
              </w:rPr>
              <w:t>O</w:t>
            </w:r>
          </w:p>
        </w:tc>
        <w:tc>
          <w:tcPr>
            <w:tcW w:w="8930" w:type="dxa"/>
          </w:tcPr>
          <w:p w:rsidR="00133107" w:rsidRPr="00692A34" w:rsidRDefault="00133107">
            <w:pPr>
              <w:rPr>
                <w:sz w:val="24"/>
                <w:szCs w:val="24"/>
              </w:rPr>
            </w:pPr>
            <w:r w:rsidRPr="00692A34">
              <w:rPr>
                <w:sz w:val="24"/>
                <w:szCs w:val="24"/>
              </w:rPr>
              <w:t>bez pripomienok</w:t>
            </w:r>
          </w:p>
        </w:tc>
        <w:tc>
          <w:tcPr>
            <w:tcW w:w="2268" w:type="dxa"/>
          </w:tcPr>
          <w:p w:rsidR="00133107" w:rsidRPr="00692A34" w:rsidRDefault="00133107" w:rsidP="00CF3D72">
            <w:pPr>
              <w:rPr>
                <w:sz w:val="24"/>
                <w:szCs w:val="24"/>
              </w:rPr>
            </w:pPr>
          </w:p>
        </w:tc>
      </w:tr>
    </w:tbl>
    <w:p w:rsidR="00560842" w:rsidRPr="004F0381" w:rsidRDefault="00560842">
      <w:pPr>
        <w:rPr>
          <w:sz w:val="24"/>
          <w:szCs w:val="24"/>
        </w:rPr>
      </w:pPr>
    </w:p>
    <w:sectPr w:rsidR="00560842" w:rsidRPr="004F0381" w:rsidSect="008F190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20909"/>
    <w:multiLevelType w:val="hybridMultilevel"/>
    <w:tmpl w:val="FE386372"/>
    <w:lvl w:ilvl="0" w:tplc="041B000F">
      <w:start w:val="1"/>
      <w:numFmt w:val="decimal"/>
      <w:lvlText w:val="%1."/>
      <w:lvlJc w:val="left"/>
      <w:pPr>
        <w:ind w:left="786"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7FC1EE8"/>
    <w:multiLevelType w:val="hybridMultilevel"/>
    <w:tmpl w:val="A85C6898"/>
    <w:lvl w:ilvl="0" w:tplc="041B000F">
      <w:start w:val="1"/>
      <w:numFmt w:val="decimal"/>
      <w:lvlText w:val="%1."/>
      <w:lvlJc w:val="left"/>
      <w:pPr>
        <w:ind w:left="502" w:hanging="360"/>
      </w:pPr>
      <w:rPr>
        <w:rFonts w:cs="Times New Roman"/>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2" w15:restartNumberingAfterBreak="0">
    <w:nsid w:val="2F882945"/>
    <w:multiLevelType w:val="hybridMultilevel"/>
    <w:tmpl w:val="FE386372"/>
    <w:lvl w:ilvl="0" w:tplc="041B000F">
      <w:start w:val="1"/>
      <w:numFmt w:val="decimal"/>
      <w:lvlText w:val="%1."/>
      <w:lvlJc w:val="left"/>
      <w:pPr>
        <w:ind w:left="786"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4F414700"/>
    <w:multiLevelType w:val="hybridMultilevel"/>
    <w:tmpl w:val="FE386372"/>
    <w:lvl w:ilvl="0" w:tplc="041B000F">
      <w:start w:val="1"/>
      <w:numFmt w:val="decimal"/>
      <w:lvlText w:val="%1."/>
      <w:lvlJc w:val="left"/>
      <w:pPr>
        <w:ind w:left="785" w:hanging="360"/>
      </w:pPr>
      <w:rPr>
        <w:rFonts w:cs="Times New Roman"/>
      </w:rPr>
    </w:lvl>
    <w:lvl w:ilvl="1" w:tplc="041B0019" w:tentative="1">
      <w:start w:val="1"/>
      <w:numFmt w:val="lowerLetter"/>
      <w:lvlText w:val="%2."/>
      <w:lvlJc w:val="left"/>
      <w:pPr>
        <w:ind w:left="1439" w:hanging="360"/>
      </w:pPr>
      <w:rPr>
        <w:rFonts w:cs="Times New Roman"/>
      </w:rPr>
    </w:lvl>
    <w:lvl w:ilvl="2" w:tplc="041B001B" w:tentative="1">
      <w:start w:val="1"/>
      <w:numFmt w:val="lowerRoman"/>
      <w:lvlText w:val="%3."/>
      <w:lvlJc w:val="right"/>
      <w:pPr>
        <w:ind w:left="2159" w:hanging="180"/>
      </w:pPr>
      <w:rPr>
        <w:rFonts w:cs="Times New Roman"/>
      </w:rPr>
    </w:lvl>
    <w:lvl w:ilvl="3" w:tplc="041B000F" w:tentative="1">
      <w:start w:val="1"/>
      <w:numFmt w:val="decimal"/>
      <w:lvlText w:val="%4."/>
      <w:lvlJc w:val="left"/>
      <w:pPr>
        <w:ind w:left="2879" w:hanging="360"/>
      </w:pPr>
      <w:rPr>
        <w:rFonts w:cs="Times New Roman"/>
      </w:rPr>
    </w:lvl>
    <w:lvl w:ilvl="4" w:tplc="041B0019" w:tentative="1">
      <w:start w:val="1"/>
      <w:numFmt w:val="lowerLetter"/>
      <w:lvlText w:val="%5."/>
      <w:lvlJc w:val="left"/>
      <w:pPr>
        <w:ind w:left="3599" w:hanging="360"/>
      </w:pPr>
      <w:rPr>
        <w:rFonts w:cs="Times New Roman"/>
      </w:rPr>
    </w:lvl>
    <w:lvl w:ilvl="5" w:tplc="041B001B" w:tentative="1">
      <w:start w:val="1"/>
      <w:numFmt w:val="lowerRoman"/>
      <w:lvlText w:val="%6."/>
      <w:lvlJc w:val="right"/>
      <w:pPr>
        <w:ind w:left="4319" w:hanging="180"/>
      </w:pPr>
      <w:rPr>
        <w:rFonts w:cs="Times New Roman"/>
      </w:rPr>
    </w:lvl>
    <w:lvl w:ilvl="6" w:tplc="041B000F" w:tentative="1">
      <w:start w:val="1"/>
      <w:numFmt w:val="decimal"/>
      <w:lvlText w:val="%7."/>
      <w:lvlJc w:val="left"/>
      <w:pPr>
        <w:ind w:left="5039" w:hanging="360"/>
      </w:pPr>
      <w:rPr>
        <w:rFonts w:cs="Times New Roman"/>
      </w:rPr>
    </w:lvl>
    <w:lvl w:ilvl="7" w:tplc="041B0019" w:tentative="1">
      <w:start w:val="1"/>
      <w:numFmt w:val="lowerLetter"/>
      <w:lvlText w:val="%8."/>
      <w:lvlJc w:val="left"/>
      <w:pPr>
        <w:ind w:left="5759" w:hanging="360"/>
      </w:pPr>
      <w:rPr>
        <w:rFonts w:cs="Times New Roman"/>
      </w:rPr>
    </w:lvl>
    <w:lvl w:ilvl="8" w:tplc="041B001B" w:tentative="1">
      <w:start w:val="1"/>
      <w:numFmt w:val="lowerRoman"/>
      <w:lvlText w:val="%9."/>
      <w:lvlJc w:val="right"/>
      <w:pPr>
        <w:ind w:left="6479" w:hanging="180"/>
      </w:pPr>
      <w:rPr>
        <w:rFonts w:cs="Times New Roman"/>
      </w:rPr>
    </w:lvl>
  </w:abstractNum>
  <w:abstractNum w:abstractNumId="4" w15:restartNumberingAfterBreak="0">
    <w:nsid w:val="519B75B4"/>
    <w:multiLevelType w:val="hybridMultilevel"/>
    <w:tmpl w:val="FE386372"/>
    <w:lvl w:ilvl="0" w:tplc="041B000F">
      <w:start w:val="1"/>
      <w:numFmt w:val="decimal"/>
      <w:lvlText w:val="%1."/>
      <w:lvlJc w:val="left"/>
      <w:pPr>
        <w:ind w:left="786"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648D4006"/>
    <w:multiLevelType w:val="hybridMultilevel"/>
    <w:tmpl w:val="FE386372"/>
    <w:lvl w:ilvl="0" w:tplc="041B000F">
      <w:start w:val="1"/>
      <w:numFmt w:val="decimal"/>
      <w:lvlText w:val="%1."/>
      <w:lvlJc w:val="left"/>
      <w:pPr>
        <w:ind w:left="786"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95"/>
    <w:rsid w:val="00043542"/>
    <w:rsid w:val="00064AB9"/>
    <w:rsid w:val="000838B4"/>
    <w:rsid w:val="00084319"/>
    <w:rsid w:val="000C1590"/>
    <w:rsid w:val="000D43AA"/>
    <w:rsid w:val="00133107"/>
    <w:rsid w:val="00185C88"/>
    <w:rsid w:val="001A4708"/>
    <w:rsid w:val="001D74AC"/>
    <w:rsid w:val="001E2C95"/>
    <w:rsid w:val="00210835"/>
    <w:rsid w:val="00212CDC"/>
    <w:rsid w:val="00215220"/>
    <w:rsid w:val="002C699E"/>
    <w:rsid w:val="002D6191"/>
    <w:rsid w:val="002F1A9E"/>
    <w:rsid w:val="002F1C01"/>
    <w:rsid w:val="00334782"/>
    <w:rsid w:val="003A2FBE"/>
    <w:rsid w:val="003A60D1"/>
    <w:rsid w:val="003D3098"/>
    <w:rsid w:val="003D4CE2"/>
    <w:rsid w:val="00417C43"/>
    <w:rsid w:val="00437CF6"/>
    <w:rsid w:val="00452C03"/>
    <w:rsid w:val="004F0381"/>
    <w:rsid w:val="004F5240"/>
    <w:rsid w:val="00552483"/>
    <w:rsid w:val="00560842"/>
    <w:rsid w:val="0056511B"/>
    <w:rsid w:val="00565EEF"/>
    <w:rsid w:val="005B1DE8"/>
    <w:rsid w:val="005D1B3D"/>
    <w:rsid w:val="005E37E3"/>
    <w:rsid w:val="005E76FA"/>
    <w:rsid w:val="00624A13"/>
    <w:rsid w:val="00625EAF"/>
    <w:rsid w:val="00630C0D"/>
    <w:rsid w:val="00692A34"/>
    <w:rsid w:val="006B7B44"/>
    <w:rsid w:val="006C2367"/>
    <w:rsid w:val="006C6F39"/>
    <w:rsid w:val="0071451F"/>
    <w:rsid w:val="00720652"/>
    <w:rsid w:val="00737E46"/>
    <w:rsid w:val="007520AF"/>
    <w:rsid w:val="00770907"/>
    <w:rsid w:val="007749F5"/>
    <w:rsid w:val="007B5569"/>
    <w:rsid w:val="00811F58"/>
    <w:rsid w:val="00835EEE"/>
    <w:rsid w:val="00863E80"/>
    <w:rsid w:val="008B3B30"/>
    <w:rsid w:val="008B619E"/>
    <w:rsid w:val="008C54F7"/>
    <w:rsid w:val="008D2726"/>
    <w:rsid w:val="008D4A17"/>
    <w:rsid w:val="008E6A0E"/>
    <w:rsid w:val="008F1903"/>
    <w:rsid w:val="008F3F85"/>
    <w:rsid w:val="00917D57"/>
    <w:rsid w:val="00950E62"/>
    <w:rsid w:val="00981196"/>
    <w:rsid w:val="00A020E0"/>
    <w:rsid w:val="00A15B71"/>
    <w:rsid w:val="00A32A39"/>
    <w:rsid w:val="00AA5038"/>
    <w:rsid w:val="00AC15F6"/>
    <w:rsid w:val="00B022CA"/>
    <w:rsid w:val="00B225AD"/>
    <w:rsid w:val="00B41F55"/>
    <w:rsid w:val="00B4360B"/>
    <w:rsid w:val="00B93088"/>
    <w:rsid w:val="00BC6842"/>
    <w:rsid w:val="00BE0F54"/>
    <w:rsid w:val="00C76012"/>
    <w:rsid w:val="00C85498"/>
    <w:rsid w:val="00C9216D"/>
    <w:rsid w:val="00C942F6"/>
    <w:rsid w:val="00CD2EF9"/>
    <w:rsid w:val="00D06B2A"/>
    <w:rsid w:val="00D14057"/>
    <w:rsid w:val="00D15E67"/>
    <w:rsid w:val="00D36983"/>
    <w:rsid w:val="00DC01A9"/>
    <w:rsid w:val="00DD3BC5"/>
    <w:rsid w:val="00E24B73"/>
    <w:rsid w:val="00E37BC6"/>
    <w:rsid w:val="00EE539D"/>
    <w:rsid w:val="00EF49FA"/>
    <w:rsid w:val="00F07C4C"/>
    <w:rsid w:val="00F50587"/>
    <w:rsid w:val="00F5444A"/>
    <w:rsid w:val="00F62F00"/>
    <w:rsid w:val="00F70673"/>
    <w:rsid w:val="00F957BD"/>
    <w:rsid w:val="00FF60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698F"/>
  <w15:docId w15:val="{D7545654-ADC1-49C1-92E1-653F81C6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F1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560842"/>
    <w:pPr>
      <w:ind w:left="720"/>
      <w:contextualSpacing/>
    </w:pPr>
    <w:rPr>
      <w:rFonts w:eastAsia="Times New Roman" w:cs="Times New Roman"/>
    </w:rPr>
  </w:style>
  <w:style w:type="paragraph" w:styleId="Zkladntext">
    <w:name w:val="Body Text"/>
    <w:basedOn w:val="Normlny"/>
    <w:link w:val="ZkladntextChar"/>
    <w:uiPriority w:val="99"/>
    <w:semiHidden/>
    <w:rsid w:val="00560842"/>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560842"/>
    <w:rPr>
      <w:rFonts w:ascii="Times New Roman" w:eastAsia="Times New Roman" w:hAnsi="Times New Roman" w:cs="Times New Roman"/>
      <w:b/>
      <w:bCs/>
      <w:sz w:val="28"/>
      <w:szCs w:val="28"/>
      <w:lang w:eastAsia="sk-SK"/>
    </w:rPr>
  </w:style>
  <w:style w:type="character" w:customStyle="1" w:styleId="apple-converted-space">
    <w:name w:val="apple-converted-space"/>
    <w:basedOn w:val="Predvolenpsmoodseku"/>
    <w:rsid w:val="00C942F6"/>
  </w:style>
  <w:style w:type="paragraph" w:styleId="Textbubliny">
    <w:name w:val="Balloon Text"/>
    <w:basedOn w:val="Normlny"/>
    <w:link w:val="TextbublinyChar"/>
    <w:uiPriority w:val="99"/>
    <w:semiHidden/>
    <w:unhideWhenUsed/>
    <w:rsid w:val="00DD3BC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D3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902715">
      <w:bodyDiv w:val="1"/>
      <w:marLeft w:val="0"/>
      <w:marRight w:val="0"/>
      <w:marTop w:val="0"/>
      <w:marBottom w:val="0"/>
      <w:divBdr>
        <w:top w:val="none" w:sz="0" w:space="0" w:color="auto"/>
        <w:left w:val="none" w:sz="0" w:space="0" w:color="auto"/>
        <w:bottom w:val="none" w:sz="0" w:space="0" w:color="auto"/>
        <w:right w:val="none" w:sz="0" w:space="0" w:color="auto"/>
      </w:divBdr>
    </w:div>
    <w:div w:id="854151516">
      <w:bodyDiv w:val="1"/>
      <w:marLeft w:val="0"/>
      <w:marRight w:val="0"/>
      <w:marTop w:val="0"/>
      <w:marBottom w:val="0"/>
      <w:divBdr>
        <w:top w:val="none" w:sz="0" w:space="0" w:color="auto"/>
        <w:left w:val="none" w:sz="0" w:space="0" w:color="auto"/>
        <w:bottom w:val="none" w:sz="0" w:space="0" w:color="auto"/>
        <w:right w:val="none" w:sz="0" w:space="0" w:color="auto"/>
      </w:divBdr>
    </w:div>
    <w:div w:id="203241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03E0C-47EF-4AE0-82E1-5610BD30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11</Pages>
  <Words>2796</Words>
  <Characters>15940</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Kuruczová Eva</dc:creator>
  <cp:keywords/>
  <dc:description/>
  <cp:lastModifiedBy>Szalayová Dana</cp:lastModifiedBy>
  <cp:revision>16</cp:revision>
  <cp:lastPrinted>2017-03-09T12:39:00Z</cp:lastPrinted>
  <dcterms:created xsi:type="dcterms:W3CDTF">2017-03-13T10:29:00Z</dcterms:created>
  <dcterms:modified xsi:type="dcterms:W3CDTF">2017-03-27T09:05:00Z</dcterms:modified>
</cp:coreProperties>
</file>