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E91E4A" w:rsidP="00174CCB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923925" cy="800100"/>
            <wp:effectExtent l="19050" t="0" r="9525" b="0"/>
            <wp:docPr id="2" name="Obrázok 1" descr="X:\AZZZ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X:\AZZZ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36"/>
          <w:szCs w:val="36"/>
          <w:u w:val="single"/>
        </w:rPr>
        <w:t xml:space="preserve">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480517" w:rsidRDefault="00480517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Materiály na rokovanie HSR SR  </w:t>
      </w:r>
    </w:p>
    <w:p w:rsidR="008C79E5" w:rsidRPr="00174CCB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 xml:space="preserve">Dňa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27</w:t>
      </w:r>
      <w:r w:rsidR="007226AF" w:rsidRPr="00174C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február</w:t>
      </w:r>
      <w:r w:rsidR="0074184C" w:rsidRPr="00174CCB">
        <w:rPr>
          <w:rFonts w:ascii="Times New Roman" w:hAnsi="Times New Roman"/>
          <w:b/>
          <w:bCs/>
          <w:sz w:val="24"/>
          <w:szCs w:val="24"/>
        </w:rPr>
        <w:t>a</w:t>
      </w:r>
      <w:r w:rsidR="003508B5" w:rsidRPr="00174CC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5930" w:rsidRPr="00174CCB">
        <w:rPr>
          <w:rFonts w:ascii="Times New Roman" w:hAnsi="Times New Roman"/>
          <w:b/>
          <w:bCs/>
          <w:sz w:val="24"/>
          <w:szCs w:val="24"/>
        </w:rPr>
        <w:t>7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  <w:bookmarkStart w:id="0" w:name="_GoBack"/>
      <w:bookmarkEnd w:id="0"/>
    </w:p>
    <w:p w:rsidR="008C79E5" w:rsidRPr="00174CCB" w:rsidRDefault="002E7D48" w:rsidP="00931FC9">
      <w:pPr>
        <w:pStyle w:val="Odsekzoznamu"/>
        <w:jc w:val="center"/>
        <w:rPr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174CCB">
        <w:rPr>
          <w:b/>
          <w:sz w:val="32"/>
          <w:szCs w:val="32"/>
        </w:rPr>
        <w:t xml:space="preserve">č. </w:t>
      </w:r>
      <w:r w:rsidR="00174CCB" w:rsidRPr="00480517">
        <w:rPr>
          <w:b/>
          <w:sz w:val="44"/>
          <w:szCs w:val="44"/>
        </w:rPr>
        <w:t>2</w:t>
      </w:r>
      <w:r w:rsidR="008C79E5" w:rsidRPr="00174CCB">
        <w:rPr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Pr="00174CCB" w:rsidRDefault="00E20BB8" w:rsidP="002E7D48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Stanovisko</w:t>
      </w:r>
    </w:p>
    <w:p w:rsidR="00174CCB" w:rsidRPr="00174CCB" w:rsidRDefault="00F46687" w:rsidP="00174CCB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k</w:t>
      </w:r>
      <w:r w:rsidR="00835930" w:rsidRPr="00174CCB">
        <w:rPr>
          <w:rFonts w:eastAsia="Calibri"/>
          <w:b/>
          <w:bCs/>
          <w:sz w:val="24"/>
          <w:szCs w:val="24"/>
          <w:lang w:eastAsia="en-US"/>
        </w:rPr>
        <w:t> </w:t>
      </w:r>
      <w:r w:rsidR="00174CCB" w:rsidRPr="00174CCB">
        <w:rPr>
          <w:rFonts w:eastAsia="Calibri"/>
          <w:b/>
          <w:bCs/>
          <w:sz w:val="24"/>
          <w:szCs w:val="24"/>
          <w:lang w:eastAsia="en-US"/>
        </w:rPr>
        <w:t xml:space="preserve">Národnému akčnému plánu Sčítania obyvateľov, domov </w:t>
      </w:r>
    </w:p>
    <w:p w:rsidR="00835930" w:rsidRPr="00174CCB" w:rsidRDefault="00174CCB" w:rsidP="00174CCB">
      <w:pPr>
        <w:pStyle w:val="Odsekzoznamu"/>
        <w:jc w:val="center"/>
        <w:rPr>
          <w:b/>
          <w:bCs/>
          <w:color w:val="000000"/>
          <w:sz w:val="24"/>
          <w:szCs w:val="24"/>
        </w:rPr>
      </w:pPr>
      <w:r w:rsidRPr="00174CCB">
        <w:rPr>
          <w:rFonts w:eastAsia="Calibri"/>
          <w:b/>
          <w:bCs/>
          <w:sz w:val="24"/>
          <w:szCs w:val="24"/>
          <w:lang w:eastAsia="en-US"/>
        </w:rPr>
        <w:t>a bytov 2021 na roky 2017 – 2020.</w:t>
      </w:r>
    </w:p>
    <w:p w:rsidR="00835930" w:rsidRDefault="00835930" w:rsidP="009E7548">
      <w:pPr>
        <w:rPr>
          <w:rFonts w:ascii="Arial Narrow" w:hAnsi="Arial Narrow"/>
          <w:b/>
          <w:bCs/>
          <w:color w:val="000000"/>
        </w:rPr>
      </w:pPr>
    </w:p>
    <w:p w:rsidR="009E7548" w:rsidRPr="00174CCB" w:rsidRDefault="00405245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CCB">
        <w:rPr>
          <w:rFonts w:ascii="Times New Roman" w:hAnsi="Times New Roman"/>
          <w:b/>
          <w:bCs/>
          <w:color w:val="000000"/>
          <w:sz w:val="24"/>
          <w:szCs w:val="24"/>
        </w:rPr>
        <w:t>Všeobecne k návrhu:</w:t>
      </w:r>
    </w:p>
    <w:p w:rsidR="00174CCB" w:rsidRDefault="00174CCB" w:rsidP="00174CC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Štatistický úrad Slovenskej republiky predkladá na schválenie návrh Národného akčného plánu Sčítania obyvateľov, domov a bytov 2021 na roky 2017 – 2020 (ďalej „NAP SODB 2021“). Jeho vypracovanie vyplýva z materiálu </w:t>
      </w:r>
      <w:r>
        <w:rPr>
          <w:rFonts w:ascii="Times New Roman" w:hAnsi="Times New Roman"/>
          <w:i/>
          <w:sz w:val="24"/>
          <w:szCs w:val="24"/>
        </w:rPr>
        <w:t>Informácia o Sčítaní obyvateľov, domov a bytov 2021 v Slovenskej republike</w:t>
      </w:r>
      <w:r>
        <w:rPr>
          <w:rFonts w:ascii="Times New Roman" w:hAnsi="Times New Roman"/>
          <w:sz w:val="24"/>
          <w:szCs w:val="24"/>
        </w:rPr>
        <w:t xml:space="preserve">, ktorú vláda Slovenskej republiky zobrala na vedomie dňa 17. augusta 2016 a z Plánu práce vlády na rok 2017.  </w:t>
      </w:r>
    </w:p>
    <w:p w:rsidR="00174CCB" w:rsidRDefault="00174CCB" w:rsidP="00174CC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Sčítanie obyvateľov, domov a bytov (ďalej „SODB“) patrí z hľadiska prípravy a realizácie k najnáročnejším štatistickým zisťovaniam. V roku 2021 bude SODB opäť súčasťou celosvetového programu populačných, domových a bytových cenzov pod vedením Európskej únie (ďalej „EÚ“) a Organizácie Spojených národov. Všetky členské štáty EÚ majú povinnosť zaradiť do sčítania rovnaké, resp. porovnateľné definície zisťovaných údajov. Takáto striktná koordinácia sčítania v jednotlivých štátoch zabezpečí porovnateľnosť cenzových údajov a ich mnohostranné využitie nielen na národnej, európskej, ale aj širšej medzinárodnej úrovni.</w:t>
      </w:r>
    </w:p>
    <w:p w:rsidR="00174CCB" w:rsidRDefault="00174CCB" w:rsidP="00174CCB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 analýze spoločenskej situácie v súlade s Programovým vyhlásením vlády Slovenskej republiky na roky 2016 – 2020, ktoré vyjadruje podporu sčítaniu so zníženou administratívnou záťažou obyvateľov,  Štatistický úrad SR navrhol uskutočniť na Slovensku v roku 2021 sčítanie založené na integrácii údajov z viacerých zdrojov (od obyvateľov, z vybraných registrov a administratívnych zdrojov). Úspešný prechod od vyčerpávajúceho sčítania k integrovanému sčítaniu nie je však možný bez partnerskej spolupráce Štatistického úradu SR s vybranými ministerstvami, ostatnými ústrednými orgánmi štátnej správy, organizáciami v ich pôsobnosti a samosprávou. Predložený návrh NAP SODB 2021 je platformou na realizáciu tejto spolupráce a zároveň prvým koncepčným výstupom z tejto spolupráce</w:t>
      </w:r>
      <w:r>
        <w:rPr>
          <w:rFonts w:ascii="Times New Roman" w:hAnsi="Times New Roman"/>
        </w:rPr>
        <w:t>.</w:t>
      </w:r>
    </w:p>
    <w:p w:rsidR="00174CCB" w:rsidRDefault="00174CCB" w:rsidP="00174CC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prípravou návrhu NAP SODB 2021 začal Štatistický úrad SR bezprostredne po tom, ako vláda Slovenskej republiky zobrala na vedomie </w:t>
      </w:r>
      <w:r>
        <w:rPr>
          <w:rFonts w:ascii="Times New Roman" w:hAnsi="Times New Roman"/>
          <w:i/>
          <w:sz w:val="24"/>
          <w:szCs w:val="24"/>
        </w:rPr>
        <w:t xml:space="preserve">Informáciu o Sčítaní obyvateľov, domov a bytov 2021 v Slovenskej republike. </w:t>
      </w:r>
      <w:r>
        <w:rPr>
          <w:rFonts w:ascii="Times New Roman" w:hAnsi="Times New Roman"/>
          <w:sz w:val="24"/>
          <w:szCs w:val="24"/>
        </w:rPr>
        <w:t xml:space="preserve">Zriadil expertný tím na prípravu NAP SODB 2021, do </w:t>
      </w:r>
      <w:r>
        <w:rPr>
          <w:rFonts w:ascii="Times New Roman" w:hAnsi="Times New Roman"/>
          <w:sz w:val="24"/>
          <w:szCs w:val="24"/>
        </w:rPr>
        <w:lastRenderedPageBreak/>
        <w:t xml:space="preserve">ktorého na výzvu Štatistického úradu SR nominovali svojich zástupcov oslovené ministerstvá, ostatné ústredné orgány štátnej správy, organizácie v ich pôsobnosti, ako aj Združenie miest a obcí Slovenska a Únia miest Slovenska. Poslaním expertného tímu bolo vypracovať návrh NAP SODB 2021 v súlade s koncepčným zámerom sčítania predloženým vláde Slovenskej republiky v už spomínanej </w:t>
      </w:r>
      <w:r>
        <w:rPr>
          <w:rFonts w:ascii="Times New Roman" w:hAnsi="Times New Roman"/>
          <w:i/>
          <w:sz w:val="24"/>
          <w:szCs w:val="24"/>
        </w:rPr>
        <w:t>Informácii o Sčítaní obyvateľov, domov a bytov 2021 v Slovenskej republike</w:t>
      </w:r>
      <w:r>
        <w:rPr>
          <w:rFonts w:ascii="Times New Roman" w:hAnsi="Times New Roman"/>
          <w:sz w:val="24"/>
          <w:szCs w:val="24"/>
        </w:rPr>
        <w:t xml:space="preserve">. Expertný tím mal svoj štatút a riadil sa rokovacím poriadkom schváleným predsedom Štatistického úradu SR.  </w:t>
      </w:r>
    </w:p>
    <w:p w:rsidR="00174CCB" w:rsidRDefault="00174CCB" w:rsidP="00174CC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Expertný tím sa stretol spolu trikrát (14. októbra 2016, 14. novembra 2016 a 11. januára 2017). Predložený návrh NAP SODB 2021 je výsledkom kompromisu, na ktorom sa zástupcovia všetkých zúčastnených strán dohodli. Návrh NAP SODB 2021 nepokrýva celú prípravu cenzu, ale predovšetkým tie oblasti a činnosti, kde je nevyhnutná spolupráca a súčinnosť s vybranými ministerstvami, ostatnými ústrednými orgánmi štátnej správy, organizáciami v ich pôsobnosti a samosprávou. Obsahuje harmonogram konkrétnych úloh, ktorých splnenie je na uskutočnenie prvého integrovaného sčítania v podmienkach Slovenskej republiky nevyhnutné. </w:t>
      </w:r>
    </w:p>
    <w:p w:rsidR="00174CCB" w:rsidRDefault="00174CCB" w:rsidP="00174CC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Predložený návrh NAP SODB 2021 akcentuje myšlienku, že zodpovednosť za vykonanie sčítania nesie v súlade s európskou legislatívou Slovenská republika a Štatistický úrad SR bol realizáciou sčítania poverený vládou Slovenskej republiky. 8 cieľov a na ne nadväzujúce konkrétne aktivity, na ktorých sa členovia expertného tímu na prípravu NAP SODB 2021 dohodli, je presvedčivým dôkazom o tom, že sčítanie obyvateľov, domov a bytov je štatistickým projektom so širokým dosahom, ktorý si vyžaduje spoluprácu a podporu celej spoločnosti.    </w:t>
      </w:r>
    </w:p>
    <w:p w:rsidR="00174CCB" w:rsidRDefault="00174CCB" w:rsidP="00174CC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medzirezortné pripomienkového konania tvorí súčasť predkladaného materiálu.</w:t>
      </w:r>
    </w:p>
    <w:p w:rsidR="00174CCB" w:rsidRDefault="00174CCB" w:rsidP="00174CCB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NAP SODB 2021 sa na rokovanie Hospodárskej a sociálnej rady Slovenskej republiky predkladá bez rozporu.      </w:t>
      </w:r>
    </w:p>
    <w:p w:rsidR="00F634BC" w:rsidRDefault="00F634B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Default="002E7D48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174CCB" w:rsidRDefault="00174CCB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174CCB" w:rsidRDefault="00917C17" w:rsidP="002E7D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St</w:t>
      </w:r>
      <w:r w:rsidR="002E7D48" w:rsidRPr="00174CCB">
        <w:rPr>
          <w:rFonts w:ascii="Times New Roman" w:hAnsi="Times New Roman"/>
          <w:b/>
          <w:bCs/>
          <w:sz w:val="24"/>
          <w:szCs w:val="24"/>
        </w:rPr>
        <w:t>anovisko AZZZ SR :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Cs/>
          <w:sz w:val="24"/>
          <w:szCs w:val="24"/>
        </w:rPr>
        <w:t xml:space="preserve">AZZZ SR berie predložený materiál na vedomie. </w:t>
      </w: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Pr="00174CCB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74CCB">
        <w:rPr>
          <w:rFonts w:ascii="Times New Roman" w:hAnsi="Times New Roman"/>
          <w:b/>
          <w:bCs/>
          <w:sz w:val="24"/>
          <w:szCs w:val="24"/>
        </w:rPr>
        <w:t>Záver :</w:t>
      </w:r>
    </w:p>
    <w:p w:rsidR="002E7D48" w:rsidRPr="00174CCB" w:rsidRDefault="003B551D" w:rsidP="003B551D">
      <w:pPr>
        <w:rPr>
          <w:rFonts w:ascii="Times New Roman" w:hAnsi="Times New Roman"/>
          <w:sz w:val="24"/>
          <w:szCs w:val="24"/>
        </w:rPr>
      </w:pPr>
      <w:r w:rsidRPr="003B551D">
        <w:rPr>
          <w:rFonts w:ascii="Times New Roman" w:hAnsi="Times New Roman"/>
          <w:sz w:val="24"/>
          <w:szCs w:val="24"/>
        </w:rPr>
        <w:t>AZZZ SR odporúča materiál na ďalšie legislatívne konanie.</w:t>
      </w:r>
    </w:p>
    <w:sectPr w:rsidR="002E7D48" w:rsidRPr="00174CCB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94" w:rsidRDefault="00A26D94" w:rsidP="00C41BC3">
      <w:pPr>
        <w:spacing w:after="0" w:line="240" w:lineRule="auto"/>
      </w:pPr>
      <w:r>
        <w:separator/>
      </w:r>
    </w:p>
  </w:endnote>
  <w:endnote w:type="continuationSeparator" w:id="1">
    <w:p w:rsidR="00A26D94" w:rsidRDefault="00A26D94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2E6095">
    <w:pPr>
      <w:pStyle w:val="Pta"/>
      <w:jc w:val="right"/>
    </w:pPr>
    <w:r>
      <w:fldChar w:fldCharType="begin"/>
    </w:r>
    <w:r w:rsidR="00682775">
      <w:instrText xml:space="preserve"> PAGE   \* MERGEFORMAT </w:instrText>
    </w:r>
    <w:r>
      <w:fldChar w:fldCharType="separate"/>
    </w:r>
    <w:r w:rsidR="00E91E4A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94" w:rsidRDefault="00A26D94" w:rsidP="00C41BC3">
      <w:pPr>
        <w:spacing w:after="0" w:line="240" w:lineRule="auto"/>
      </w:pPr>
      <w:r>
        <w:separator/>
      </w:r>
    </w:p>
  </w:footnote>
  <w:footnote w:type="continuationSeparator" w:id="1">
    <w:p w:rsidR="00A26D94" w:rsidRDefault="00A26D94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326D2"/>
    <w:rsid w:val="00174CCB"/>
    <w:rsid w:val="0019796C"/>
    <w:rsid w:val="001B1C26"/>
    <w:rsid w:val="001D057E"/>
    <w:rsid w:val="001D7D22"/>
    <w:rsid w:val="001E61C1"/>
    <w:rsid w:val="002019B1"/>
    <w:rsid w:val="00211A30"/>
    <w:rsid w:val="00214EBD"/>
    <w:rsid w:val="00230B4C"/>
    <w:rsid w:val="002656B7"/>
    <w:rsid w:val="0029199E"/>
    <w:rsid w:val="002A66BD"/>
    <w:rsid w:val="002B0767"/>
    <w:rsid w:val="002E6095"/>
    <w:rsid w:val="002E7D48"/>
    <w:rsid w:val="002F6731"/>
    <w:rsid w:val="003310CC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B551D"/>
    <w:rsid w:val="003B720F"/>
    <w:rsid w:val="003E5572"/>
    <w:rsid w:val="003E621F"/>
    <w:rsid w:val="003F7C91"/>
    <w:rsid w:val="00401398"/>
    <w:rsid w:val="00405245"/>
    <w:rsid w:val="00414EAA"/>
    <w:rsid w:val="004430BB"/>
    <w:rsid w:val="004714B8"/>
    <w:rsid w:val="00480517"/>
    <w:rsid w:val="00485941"/>
    <w:rsid w:val="00487954"/>
    <w:rsid w:val="004A48B0"/>
    <w:rsid w:val="004D12A6"/>
    <w:rsid w:val="004E047E"/>
    <w:rsid w:val="004E3704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603518"/>
    <w:rsid w:val="00606DDC"/>
    <w:rsid w:val="0064431D"/>
    <w:rsid w:val="00661584"/>
    <w:rsid w:val="00664C18"/>
    <w:rsid w:val="00682775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820DB"/>
    <w:rsid w:val="0079143F"/>
    <w:rsid w:val="0079480E"/>
    <w:rsid w:val="007B6E79"/>
    <w:rsid w:val="007E1933"/>
    <w:rsid w:val="007E26BB"/>
    <w:rsid w:val="007E51AE"/>
    <w:rsid w:val="00817809"/>
    <w:rsid w:val="00821E84"/>
    <w:rsid w:val="00835930"/>
    <w:rsid w:val="00860F29"/>
    <w:rsid w:val="00866444"/>
    <w:rsid w:val="00886B98"/>
    <w:rsid w:val="00897CD2"/>
    <w:rsid w:val="008B3543"/>
    <w:rsid w:val="008C48BF"/>
    <w:rsid w:val="008C79E5"/>
    <w:rsid w:val="00917C17"/>
    <w:rsid w:val="00931FC9"/>
    <w:rsid w:val="00972906"/>
    <w:rsid w:val="00993433"/>
    <w:rsid w:val="009C6FCA"/>
    <w:rsid w:val="009E6320"/>
    <w:rsid w:val="009E7548"/>
    <w:rsid w:val="00A1787E"/>
    <w:rsid w:val="00A26D94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67CB3"/>
    <w:rsid w:val="00CF6951"/>
    <w:rsid w:val="00D15B44"/>
    <w:rsid w:val="00D65E1E"/>
    <w:rsid w:val="00D6635D"/>
    <w:rsid w:val="00D77BBB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740A0"/>
    <w:rsid w:val="00E81D4D"/>
    <w:rsid w:val="00E90B0F"/>
    <w:rsid w:val="00E91E4A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6</cp:revision>
  <cp:lastPrinted>2015-12-04T08:12:00Z</cp:lastPrinted>
  <dcterms:created xsi:type="dcterms:W3CDTF">2017-02-19T18:26:00Z</dcterms:created>
  <dcterms:modified xsi:type="dcterms:W3CDTF">2017-02-23T13:20:00Z</dcterms:modified>
</cp:coreProperties>
</file>