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1538"/>
        <w:gridCol w:w="2099"/>
        <w:gridCol w:w="4388"/>
        <w:gridCol w:w="467"/>
        <w:gridCol w:w="556"/>
      </w:tblGrid>
      <w:tr w:rsidR="005D773F" w:rsidRPr="002E2B02" w:rsidTr="007E23FB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5D773F" w:rsidRPr="0082219E" w:rsidRDefault="005D773F" w:rsidP="007E23FB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2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Správa o účasti verejnosti na tvorbe právneho predpisu</w:t>
            </w:r>
          </w:p>
          <w:p w:rsidR="005D773F" w:rsidRPr="002E2B02" w:rsidRDefault="005D773F" w:rsidP="007E23FB">
            <w:pPr>
              <w:pStyle w:val="Nadpis2"/>
              <w:spacing w:before="120" w:after="12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219E">
              <w:rPr>
                <w:rFonts w:ascii="Times New Roman" w:hAnsi="Times New Roman" w:cs="Times New Roman"/>
                <w:b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5D773F" w:rsidRPr="002E2B02" w:rsidTr="007E23FB">
        <w:trPr>
          <w:trHeight w:val="399"/>
        </w:trPr>
        <w:tc>
          <w:tcPr>
            <w:tcW w:w="850" w:type="pct"/>
            <w:vAlign w:val="center"/>
            <w:hideMark/>
          </w:tcPr>
          <w:p w:rsidR="005D773F" w:rsidRPr="002E2B02" w:rsidRDefault="005D773F" w:rsidP="007E23F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5D773F" w:rsidRPr="002E2B02" w:rsidRDefault="005D773F" w:rsidP="007E23FB">
            <w:pPr>
              <w:rPr>
                <w:b/>
                <w:sz w:val="18"/>
                <w:szCs w:val="18"/>
              </w:rPr>
            </w:pPr>
            <w:proofErr w:type="spellStart"/>
            <w:r w:rsidRPr="002E2B02">
              <w:rPr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vAlign w:val="center"/>
            <w:hideMark/>
          </w:tcPr>
          <w:p w:rsidR="005D773F" w:rsidRPr="002E2B02" w:rsidRDefault="005D773F" w:rsidP="007E23F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5D773F" w:rsidRPr="002E2B02" w:rsidRDefault="005D773F" w:rsidP="007E23F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5D773F" w:rsidRPr="002E2B02" w:rsidRDefault="005D773F" w:rsidP="007E23FB">
            <w:pPr>
              <w:rPr>
                <w:b/>
                <w:sz w:val="18"/>
                <w:szCs w:val="18"/>
              </w:rPr>
            </w:pPr>
            <w:r w:rsidRPr="002E2B02">
              <w:rPr>
                <w:b/>
                <w:sz w:val="18"/>
                <w:szCs w:val="18"/>
              </w:rPr>
              <w:t>N</w:t>
            </w:r>
          </w:p>
        </w:tc>
      </w:tr>
      <w:tr w:rsidR="005D773F" w:rsidRPr="002E2B02" w:rsidTr="007E23FB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sz w:val="20"/>
                <w:szCs w:val="20"/>
                <w:vertAlign w:val="superscript"/>
              </w:rPr>
              <w:t>1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970793202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58661587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sz w:val="20"/>
                <w:szCs w:val="20"/>
                <w:vertAlign w:val="superscript"/>
              </w:rPr>
              <w:t>2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637804667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86386636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sz w:val="20"/>
              <w:szCs w:val="20"/>
            </w:rPr>
            <w:id w:val="-1520999353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6839618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5D773F" w:rsidRPr="002E2B02" w:rsidRDefault="005D773F" w:rsidP="007E23FB">
            <w:pPr>
              <w:jc w:val="both"/>
              <w:rPr>
                <w:i/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sz w:val="20"/>
              <w:szCs w:val="20"/>
            </w:rPr>
            <w:id w:val="1151795925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355588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sz w:val="20"/>
              <w:szCs w:val="20"/>
            </w:rPr>
            <w:id w:val="-865056397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000696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sz w:val="20"/>
              <w:szCs w:val="20"/>
            </w:rPr>
            <w:id w:val="-1338765728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2927642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sz w:val="20"/>
              <w:szCs w:val="20"/>
            </w:rPr>
            <w:id w:val="-34283405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971235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sz w:val="20"/>
              <w:szCs w:val="20"/>
            </w:rPr>
            <w:id w:val="-1934200896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7908252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sz w:val="20"/>
              <w:szCs w:val="20"/>
            </w:rPr>
            <w:id w:val="1690869404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1179088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  <w:highlight w:val="cyan"/>
              </w:rPr>
            </w:pPr>
            <w:r w:rsidRPr="002E2B02">
              <w:rPr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sz w:val="20"/>
                <w:szCs w:val="20"/>
                <w:vertAlign w:val="superscript"/>
              </w:rPr>
              <w:t>3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  <w:vertAlign w:val="superscript"/>
            </w:rPr>
            <w:id w:val="1832170330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5896898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sz w:val="20"/>
              <w:szCs w:val="20"/>
            </w:rPr>
            <w:id w:val="1369490000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5286202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sz w:val="20"/>
              <w:szCs w:val="20"/>
            </w:rPr>
            <w:id w:val="436340180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9895200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sz w:val="20"/>
                <w:szCs w:val="20"/>
                <w:vertAlign w:val="superscript"/>
              </w:rPr>
              <w:t>4</w:t>
            </w:r>
            <w:r w:rsidRPr="002E2B0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11469274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6316027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</w:tr>
      <w:tr w:rsidR="005D773F" w:rsidRPr="002E2B02" w:rsidTr="007E23FB">
        <w:trPr>
          <w:trHeight w:val="560"/>
        </w:trPr>
        <w:tc>
          <w:tcPr>
            <w:tcW w:w="850" w:type="pct"/>
            <w:vMerge/>
            <w:vAlign w:val="center"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5D773F" w:rsidRPr="002E2B02" w:rsidRDefault="005D773F" w:rsidP="007E23FB">
            <w:pPr>
              <w:rPr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5D773F" w:rsidRPr="002E2B02" w:rsidRDefault="005D773F" w:rsidP="007E23FB">
            <w:pPr>
              <w:jc w:val="both"/>
              <w:rPr>
                <w:sz w:val="20"/>
                <w:szCs w:val="20"/>
              </w:rPr>
            </w:pPr>
            <w:r w:rsidRPr="002E2B02">
              <w:rPr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sz w:val="20"/>
              <w:szCs w:val="20"/>
            </w:rPr>
            <w:id w:val="-407770184"/>
          </w:sdtPr>
          <w:sdtContent>
            <w:tc>
              <w:tcPr>
                <w:tcW w:w="258" w:type="pct"/>
                <w:vAlign w:val="center"/>
              </w:tcPr>
              <w:p w:rsidR="005D773F" w:rsidRPr="002E2B02" w:rsidRDefault="005D773F" w:rsidP="007E23FB">
                <w:pPr>
                  <w:rPr>
                    <w:sz w:val="20"/>
                    <w:szCs w:val="20"/>
                  </w:rPr>
                </w:pPr>
                <w:r>
                  <w:rPr>
                    <w:rFonts w:ascii="Wingdings 2" w:hAnsi="Wingdings 2" w:cs="Times"/>
                    <w:sz w:val="20"/>
                    <w:szCs w:val="20"/>
                  </w:rPr>
                  <w:t>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6252700"/>
          </w:sdtPr>
          <w:sdtContent>
            <w:tc>
              <w:tcPr>
                <w:tcW w:w="307" w:type="pct"/>
                <w:vAlign w:val="center"/>
              </w:tcPr>
              <w:p w:rsidR="005D773F" w:rsidRPr="002E2B02" w:rsidRDefault="005D773F" w:rsidP="007E23FB">
                <w:pPr>
                  <w:keepNext/>
                  <w:rPr>
                    <w:sz w:val="20"/>
                    <w:szCs w:val="20"/>
                  </w:rPr>
                </w:pPr>
                <w:r w:rsidRPr="002E2B0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5D773F" w:rsidRPr="008E3260" w:rsidRDefault="005D773F" w:rsidP="005D773F">
      <w:pPr>
        <w:jc w:val="both"/>
        <w:rPr>
          <w:b/>
          <w:u w:val="single"/>
        </w:rPr>
      </w:pPr>
      <w:r w:rsidRPr="008E3260">
        <w:rPr>
          <w:b/>
          <w:u w:val="single"/>
        </w:rPr>
        <w:t xml:space="preserve">Vysvetlivky: 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1) Cieľ účasti verejnosti na tvorbe právneho predpisu závisí od zamýšľanej intenzity zapojenia verejnosti do tvorby právneho predpisu: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• Scenár 1 - informovať verejnosť o procese tvorby právneho predpisu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• Scenár 2 – zapojiť verejnosť do diskusie o tvorbe právneho predpisu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• Scenár 3 – zapojiť verejnosť do tvorby právneho predpisu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• Scenár 4 – zapojiť čo najširšiu verejnosť do tvorby právneho predpisu v rovnocennom postavení s predkladateľom právneho predpisu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Cieľ účasti verejnosti na tvorbe právneho predpisu je súčasťou hodnotiacej správy procesu tvorby právneho predpisu (pozri vysvetlivku č. 4).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2) Vypĺňa sa na základe hodnotiacej správy (pozri vysvetlivku č. 4).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4) Hodnotiaca správa procesu tvorby právneho predpisu obsahuje najmä: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• cieľ účasti verejnosti na tvorbe právneho predpisu,</w:t>
      </w:r>
    </w:p>
    <w:p w:rsidR="005D773F" w:rsidRPr="002E2B02" w:rsidRDefault="005D773F" w:rsidP="005D773F">
      <w:pPr>
        <w:jc w:val="both"/>
        <w:rPr>
          <w:sz w:val="20"/>
        </w:rPr>
      </w:pPr>
      <w:r w:rsidRPr="002E2B02">
        <w:rPr>
          <w:sz w:val="20"/>
        </w:rPr>
        <w:t>• spôsob identifikácie problému a alternatív riešení,</w:t>
      </w:r>
    </w:p>
    <w:p w:rsidR="005A6D9A" w:rsidRDefault="005D773F" w:rsidP="005D773F">
      <w:r w:rsidRPr="00A2792C">
        <w:rPr>
          <w:sz w:val="20"/>
        </w:rPr>
        <w:t>Hodnotiaca správa je prílohou k správe o účasti</w:t>
      </w:r>
      <w:bookmarkStart w:id="0" w:name="_GoBack"/>
      <w:bookmarkEnd w:id="0"/>
    </w:p>
    <w:sectPr w:rsidR="005A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3F"/>
    <w:rsid w:val="005A6D9A"/>
    <w:rsid w:val="005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0B71-B0E8-4F7C-90B0-DD6BD3AE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7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77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D77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5D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 Peter</dc:creator>
  <cp:keywords/>
  <dc:description/>
  <cp:lastModifiedBy>KOZAK Peter</cp:lastModifiedBy>
  <cp:revision>1</cp:revision>
  <dcterms:created xsi:type="dcterms:W3CDTF">2017-01-23T15:00:00Z</dcterms:created>
  <dcterms:modified xsi:type="dcterms:W3CDTF">2017-01-23T15:01:00Z</dcterms:modified>
</cp:coreProperties>
</file>