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F6" w:rsidRDefault="003A28F6" w:rsidP="00813FF4">
      <w:pPr>
        <w:widowControl/>
        <w:jc w:val="both"/>
      </w:pPr>
    </w:p>
    <w:p w:rsidR="00453DA2" w:rsidRDefault="003A28F6" w:rsidP="00813FF4">
      <w:pPr>
        <w:widowControl/>
      </w:pPr>
      <w:r w:rsidRPr="003A28F6">
        <w:t>DOLOŽKA  ZLUČITEĽNOSTI</w:t>
      </w:r>
    </w:p>
    <w:p w:rsidR="003A28F6" w:rsidRPr="003A28F6" w:rsidRDefault="003A28F6" w:rsidP="00813FF4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</w:pPr>
    </w:p>
    <w:p w:rsidR="003A28F6" w:rsidRDefault="003A28F6" w:rsidP="00813FF4">
      <w:pPr>
        <w:pStyle w:val="slovanzoznam"/>
        <w:widowControl/>
        <w:numPr>
          <w:ilvl w:val="0"/>
          <w:numId w:val="0"/>
        </w:numPr>
        <w:tabs>
          <w:tab w:val="left" w:pos="360"/>
        </w:tabs>
        <w:rPr>
          <w:sz w:val="24"/>
          <w:szCs w:val="24"/>
        </w:rPr>
      </w:pPr>
      <w:r w:rsidRPr="003A28F6">
        <w:rPr>
          <w:sz w:val="24"/>
          <w:szCs w:val="24"/>
        </w:rPr>
        <w:t>Návrhu zákona s právom Európskej únie</w:t>
      </w:r>
    </w:p>
    <w:p w:rsidR="003A28F6" w:rsidRDefault="003A28F6" w:rsidP="00813FF4">
      <w:pPr>
        <w:pStyle w:val="slovanzoznam"/>
        <w:widowControl/>
        <w:numPr>
          <w:ilvl w:val="0"/>
          <w:numId w:val="0"/>
        </w:numPr>
        <w:tabs>
          <w:tab w:val="left" w:pos="360"/>
        </w:tabs>
        <w:rPr>
          <w:sz w:val="24"/>
          <w:szCs w:val="24"/>
        </w:rPr>
      </w:pPr>
    </w:p>
    <w:p w:rsidR="003A28F6" w:rsidRDefault="003A28F6" w:rsidP="00813FF4">
      <w:pPr>
        <w:pStyle w:val="slovanzoznam"/>
        <w:widowControl/>
        <w:numPr>
          <w:ilvl w:val="0"/>
          <w:numId w:val="0"/>
        </w:numPr>
        <w:tabs>
          <w:tab w:val="left" w:pos="360"/>
        </w:tabs>
        <w:rPr>
          <w:sz w:val="24"/>
          <w:szCs w:val="24"/>
        </w:rPr>
      </w:pPr>
    </w:p>
    <w:p w:rsidR="003A28F6" w:rsidRDefault="003A28F6" w:rsidP="00813FF4">
      <w:pPr>
        <w:pStyle w:val="slovanzoznam"/>
        <w:widowControl/>
        <w:numPr>
          <w:ilvl w:val="0"/>
          <w:numId w:val="4"/>
        </w:numPr>
        <w:tabs>
          <w:tab w:val="clear" w:pos="720"/>
          <w:tab w:val="left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Predkladateľ právneho predpisu:</w:t>
      </w:r>
    </w:p>
    <w:p w:rsidR="003A28F6" w:rsidRDefault="003A28F6" w:rsidP="00813FF4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3A28F6">
        <w:rPr>
          <w:b w:val="0"/>
          <w:sz w:val="24"/>
          <w:szCs w:val="24"/>
        </w:rPr>
        <w:t xml:space="preserve">      Poslanci Národnej rady Slovenskej republiky</w:t>
      </w:r>
    </w:p>
    <w:p w:rsidR="003A28F6" w:rsidRPr="003A28F6" w:rsidRDefault="003A28F6" w:rsidP="00813FF4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sz w:val="24"/>
          <w:szCs w:val="24"/>
        </w:rPr>
      </w:pPr>
    </w:p>
    <w:p w:rsidR="003A28F6" w:rsidRDefault="003A28F6" w:rsidP="00813FF4">
      <w:pPr>
        <w:pStyle w:val="slovanzoznam"/>
        <w:widowControl/>
        <w:numPr>
          <w:ilvl w:val="0"/>
          <w:numId w:val="4"/>
        </w:numPr>
        <w:tabs>
          <w:tab w:val="clear" w:pos="720"/>
          <w:tab w:val="left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Názov </w:t>
      </w:r>
      <w:r w:rsidR="00DC510E">
        <w:rPr>
          <w:sz w:val="24"/>
          <w:szCs w:val="24"/>
        </w:rPr>
        <w:t xml:space="preserve">návrhu </w:t>
      </w:r>
      <w:r>
        <w:rPr>
          <w:sz w:val="24"/>
          <w:szCs w:val="24"/>
        </w:rPr>
        <w:t>právneho predpisu:</w:t>
      </w:r>
    </w:p>
    <w:p w:rsidR="003A28F6" w:rsidRDefault="0029726C" w:rsidP="0029726C">
      <w:pPr>
        <w:pStyle w:val="slovanzoznam"/>
        <w:widowControl/>
        <w:numPr>
          <w:ilvl w:val="0"/>
          <w:numId w:val="0"/>
        </w:numPr>
        <w:tabs>
          <w:tab w:val="left" w:pos="360"/>
        </w:tabs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3A28F6">
        <w:rPr>
          <w:b w:val="0"/>
          <w:sz w:val="24"/>
          <w:szCs w:val="24"/>
        </w:rPr>
        <w:t>Návrh zákona, ktorým sa</w:t>
      </w:r>
      <w:r w:rsidR="006157E3">
        <w:rPr>
          <w:b w:val="0"/>
          <w:sz w:val="24"/>
          <w:szCs w:val="24"/>
        </w:rPr>
        <w:t xml:space="preserve"> mení a</w:t>
      </w:r>
      <w:r w:rsidR="003A28F6">
        <w:rPr>
          <w:b w:val="0"/>
          <w:sz w:val="24"/>
          <w:szCs w:val="24"/>
        </w:rPr>
        <w:t xml:space="preserve"> dopĺňa zákon č. 311/2001 Z. z. Zákonník práce v znení neskorších predpisov</w:t>
      </w:r>
    </w:p>
    <w:p w:rsidR="003A28F6" w:rsidRPr="003A28F6" w:rsidRDefault="0029726C" w:rsidP="00813FF4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3A28F6" w:rsidRDefault="003A28F6" w:rsidP="00813FF4">
      <w:pPr>
        <w:pStyle w:val="slovanzoznam"/>
        <w:widowControl/>
        <w:numPr>
          <w:ilvl w:val="0"/>
          <w:numId w:val="4"/>
        </w:numPr>
        <w:tabs>
          <w:tab w:val="clear" w:pos="720"/>
          <w:tab w:val="left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Problematika návrhu právneho predpisu:</w:t>
      </w:r>
    </w:p>
    <w:p w:rsidR="00201830" w:rsidRDefault="00E00959" w:rsidP="009F356A">
      <w:pPr>
        <w:widowControl/>
        <w:ind w:firstLine="708"/>
        <w:jc w:val="both"/>
        <w:rPr>
          <w:b w:val="0"/>
          <w:sz w:val="24"/>
          <w:szCs w:val="24"/>
        </w:rPr>
      </w:pPr>
      <w:r w:rsidRPr="00E00959">
        <w:rPr>
          <w:b w:val="0"/>
          <w:sz w:val="24"/>
          <w:szCs w:val="24"/>
        </w:rPr>
        <w:t xml:space="preserve">Predmet návrhu zákona </w:t>
      </w:r>
      <w:r>
        <w:rPr>
          <w:b w:val="0"/>
          <w:sz w:val="24"/>
          <w:szCs w:val="24"/>
        </w:rPr>
        <w:t>je upravený</w:t>
      </w:r>
      <w:r w:rsidR="00201830" w:rsidRPr="006C365F">
        <w:rPr>
          <w:b w:val="0"/>
          <w:sz w:val="24"/>
          <w:szCs w:val="24"/>
        </w:rPr>
        <w:t xml:space="preserve"> v práve </w:t>
      </w:r>
      <w:r w:rsidRPr="006C365F">
        <w:rPr>
          <w:b w:val="0"/>
          <w:sz w:val="24"/>
          <w:szCs w:val="24"/>
        </w:rPr>
        <w:t>Európskej únie</w:t>
      </w:r>
      <w:r w:rsidR="00201830" w:rsidRPr="006C365F">
        <w:rPr>
          <w:b w:val="0"/>
          <w:sz w:val="24"/>
          <w:szCs w:val="24"/>
        </w:rPr>
        <w:t>:</w:t>
      </w:r>
    </w:p>
    <w:p w:rsidR="00E00959" w:rsidRPr="00E00959" w:rsidRDefault="00E00959" w:rsidP="00E00959">
      <w:pPr>
        <w:pStyle w:val="slovanzoznam"/>
        <w:numPr>
          <w:ilvl w:val="0"/>
          <w:numId w:val="0"/>
        </w:numPr>
        <w:ind w:left="360"/>
        <w:jc w:val="both"/>
      </w:pPr>
    </w:p>
    <w:p w:rsidR="008E5DA2" w:rsidRPr="00E00959" w:rsidRDefault="00E00959" w:rsidP="00E00959">
      <w:pPr>
        <w:widowControl/>
        <w:autoSpaceDE/>
        <w:autoSpaceDN/>
        <w:adjustRightInd/>
        <w:ind w:firstLine="708"/>
        <w:jc w:val="both"/>
        <w:rPr>
          <w:b w:val="0"/>
          <w:sz w:val="24"/>
          <w:szCs w:val="24"/>
        </w:rPr>
      </w:pPr>
      <w:r w:rsidRPr="00E00959">
        <w:rPr>
          <w:b w:val="0"/>
          <w:sz w:val="24"/>
          <w:szCs w:val="24"/>
        </w:rPr>
        <w:t>a)   v primárnom práve</w:t>
      </w:r>
      <w:r w:rsidR="0013029E">
        <w:rPr>
          <w:b w:val="0"/>
          <w:sz w:val="24"/>
          <w:szCs w:val="24"/>
        </w:rPr>
        <w:t>:</w:t>
      </w:r>
    </w:p>
    <w:p w:rsidR="00E00959" w:rsidRDefault="00E00959" w:rsidP="008E5DA2">
      <w:pPr>
        <w:widowControl/>
        <w:tabs>
          <w:tab w:val="left" w:pos="1080"/>
        </w:tabs>
        <w:autoSpaceDE/>
        <w:autoSpaceDN/>
        <w:ind w:left="1080"/>
        <w:jc w:val="both"/>
        <w:rPr>
          <w:b w:val="0"/>
          <w:sz w:val="24"/>
          <w:szCs w:val="24"/>
        </w:rPr>
      </w:pPr>
    </w:p>
    <w:p w:rsidR="00201830" w:rsidRPr="006C365F" w:rsidRDefault="008E5DA2" w:rsidP="008E5DA2">
      <w:pPr>
        <w:widowControl/>
        <w:tabs>
          <w:tab w:val="left" w:pos="1080"/>
        </w:tabs>
        <w:autoSpaceDE/>
        <w:autoSpaceDN/>
        <w:ind w:left="1080"/>
        <w:jc w:val="both"/>
        <w:rPr>
          <w:b w:val="0"/>
          <w:sz w:val="24"/>
          <w:szCs w:val="24"/>
        </w:rPr>
      </w:pPr>
      <w:r w:rsidRPr="009F356A">
        <w:rPr>
          <w:b w:val="0"/>
          <w:sz w:val="24"/>
          <w:szCs w:val="24"/>
          <w:highlight w:val="yellow"/>
        </w:rPr>
        <w:t>V</w:t>
      </w:r>
      <w:r w:rsidR="00201830" w:rsidRPr="009F356A">
        <w:rPr>
          <w:b w:val="0"/>
          <w:sz w:val="24"/>
          <w:szCs w:val="24"/>
          <w:highlight w:val="yellow"/>
        </w:rPr>
        <w:t xml:space="preserve"> čl. </w:t>
      </w:r>
      <w:smartTag w:uri="urn:schemas-microsoft-com:office:smarttags" w:element="metricconverter">
        <w:smartTagPr>
          <w:attr w:name="ProductID" w:val="136 a"/>
        </w:smartTagPr>
        <w:r w:rsidR="00201830" w:rsidRPr="009F356A">
          <w:rPr>
            <w:b w:val="0"/>
            <w:sz w:val="24"/>
            <w:szCs w:val="24"/>
            <w:highlight w:val="yellow"/>
          </w:rPr>
          <w:t>136 a</w:t>
        </w:r>
      </w:smartTag>
      <w:r w:rsidR="00201830" w:rsidRPr="009F356A">
        <w:rPr>
          <w:b w:val="0"/>
          <w:sz w:val="24"/>
          <w:szCs w:val="24"/>
          <w:highlight w:val="yellow"/>
        </w:rPr>
        <w:t xml:space="preserve"> 137 Zmluvy o založení Európskeho spoločenstva v konsolidovanom znení (v znení zmluvy z Amsterdamu a Nice). Podľa čl. 137 ods. 2 písm. b) Zmluvy Rada môže prijímať v oblastiach uvedených v čl. 137 ods. 1 písmenách a) až i) (</w:t>
      </w:r>
      <w:r w:rsidR="00201830" w:rsidRPr="009F356A">
        <w:rPr>
          <w:b w:val="0"/>
          <w:i/>
          <w:sz w:val="24"/>
          <w:szCs w:val="24"/>
          <w:highlight w:val="yellow"/>
        </w:rPr>
        <w:t>zlepšovanie najmä pracovného prostredia s ohľadom na ochranu zdravia a bezpečnosti pracovníkov, pracovné podmienky, ochrana pracovníkov v prípade skončenia pracovnej zmluvy, informovanie a porady s pracovníkmi, zastupovanie a kolektívna ochrana záujmov pracovníkov a zamestnávateľov vrátane spolurozhodovania</w:t>
      </w:r>
      <w:r w:rsidR="00201830" w:rsidRPr="009F356A">
        <w:rPr>
          <w:b w:val="0"/>
          <w:sz w:val="24"/>
          <w:szCs w:val="24"/>
          <w:highlight w:val="yellow"/>
        </w:rPr>
        <w:t>) prostredníctvom smerníc minimálne požiadavky, ktoré sa uskutočnia postupne s prihliadnutím na podmienky a technické predpisy platné v každom z členských štátov.</w:t>
      </w:r>
    </w:p>
    <w:p w:rsidR="00201830" w:rsidRPr="006C365F" w:rsidRDefault="00201830" w:rsidP="00813FF4">
      <w:pPr>
        <w:widowControl/>
        <w:tabs>
          <w:tab w:val="left" w:pos="1080"/>
        </w:tabs>
        <w:autoSpaceDE/>
        <w:autoSpaceDN/>
        <w:ind w:left="720"/>
        <w:jc w:val="both"/>
        <w:rPr>
          <w:b w:val="0"/>
          <w:sz w:val="24"/>
          <w:szCs w:val="24"/>
        </w:rPr>
      </w:pPr>
    </w:p>
    <w:p w:rsidR="00E00959" w:rsidRPr="0013029E" w:rsidRDefault="0013029E" w:rsidP="0013029E">
      <w:pPr>
        <w:pStyle w:val="slovanzoznam"/>
        <w:numPr>
          <w:ilvl w:val="0"/>
          <w:numId w:val="0"/>
        </w:numPr>
        <w:ind w:left="360" w:firstLine="34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E00959" w:rsidRPr="0013029E">
        <w:rPr>
          <w:b w:val="0"/>
          <w:sz w:val="24"/>
          <w:szCs w:val="24"/>
        </w:rPr>
        <w:t xml:space="preserve">)   v </w:t>
      </w:r>
      <w:r>
        <w:rPr>
          <w:b w:val="0"/>
          <w:sz w:val="24"/>
          <w:szCs w:val="24"/>
        </w:rPr>
        <w:t>sekundárnom</w:t>
      </w:r>
      <w:r w:rsidR="00E00959" w:rsidRPr="0013029E">
        <w:rPr>
          <w:b w:val="0"/>
          <w:sz w:val="24"/>
          <w:szCs w:val="24"/>
        </w:rPr>
        <w:t xml:space="preserve"> práve</w:t>
      </w:r>
      <w:r>
        <w:rPr>
          <w:b w:val="0"/>
          <w:sz w:val="24"/>
          <w:szCs w:val="24"/>
        </w:rPr>
        <w:t>:</w:t>
      </w:r>
    </w:p>
    <w:p w:rsidR="0013029E" w:rsidRDefault="0013029E" w:rsidP="008E5DA2">
      <w:pPr>
        <w:widowControl/>
        <w:tabs>
          <w:tab w:val="left" w:pos="1080"/>
        </w:tabs>
        <w:autoSpaceDE/>
        <w:autoSpaceDN/>
        <w:ind w:left="1080"/>
        <w:jc w:val="both"/>
        <w:rPr>
          <w:b w:val="0"/>
          <w:sz w:val="24"/>
          <w:szCs w:val="24"/>
        </w:rPr>
      </w:pPr>
    </w:p>
    <w:p w:rsidR="00A64615" w:rsidRPr="00476FDD" w:rsidRDefault="008E5DA2" w:rsidP="008E5DA2">
      <w:pPr>
        <w:widowControl/>
        <w:tabs>
          <w:tab w:val="left" w:pos="1080"/>
        </w:tabs>
        <w:autoSpaceDE/>
        <w:autoSpaceDN/>
        <w:ind w:left="1080"/>
        <w:jc w:val="both"/>
        <w:rPr>
          <w:rStyle w:val="Zvraznenie"/>
          <w:b w:val="0"/>
          <w:iCs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A64615" w:rsidRPr="00C57C71">
        <w:rPr>
          <w:b w:val="0"/>
          <w:sz w:val="24"/>
          <w:szCs w:val="24"/>
        </w:rPr>
        <w:t>mernica Európskeho parlamentu a Rady 2003/88/ES zo 4. novembra 2003, o niektorých aspektoch organizácie pracovného času (</w:t>
      </w:r>
      <w:r w:rsidR="00A64615" w:rsidRPr="00C57C71">
        <w:rPr>
          <w:b w:val="0"/>
          <w:color w:val="231F20"/>
          <w:sz w:val="24"/>
          <w:szCs w:val="24"/>
        </w:rPr>
        <w:t>Mimoriadne vydanie Ú. v. EÚ, 05/zv.4</w:t>
      </w:r>
      <w:r w:rsidR="00A64615" w:rsidRPr="00C57C71">
        <w:rPr>
          <w:rStyle w:val="Zvraznenie"/>
          <w:b w:val="0"/>
          <w:i w:val="0"/>
          <w:iCs w:val="0"/>
          <w:sz w:val="24"/>
          <w:szCs w:val="24"/>
        </w:rPr>
        <w:t>) – nie je stanovená lehota na transpozíciu,</w:t>
      </w:r>
    </w:p>
    <w:p w:rsidR="00201830" w:rsidRPr="006C365F" w:rsidRDefault="00201830" w:rsidP="00813FF4">
      <w:pPr>
        <w:widowControl/>
        <w:jc w:val="both"/>
        <w:rPr>
          <w:b w:val="0"/>
          <w:sz w:val="24"/>
          <w:szCs w:val="24"/>
        </w:rPr>
      </w:pPr>
    </w:p>
    <w:p w:rsidR="0013029E" w:rsidRDefault="0013029E" w:rsidP="0013029E">
      <w:pPr>
        <w:widowControl/>
        <w:autoSpaceDE/>
        <w:autoSpaceDN/>
        <w:adjustRightInd/>
        <w:ind w:left="1080" w:hanging="37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c)</w:t>
      </w:r>
      <w:r>
        <w:rPr>
          <w:b w:val="0"/>
          <w:sz w:val="24"/>
          <w:szCs w:val="24"/>
        </w:rPr>
        <w:tab/>
      </w:r>
      <w:r w:rsidR="00E00959" w:rsidRPr="0013029E">
        <w:rPr>
          <w:b w:val="0"/>
          <w:sz w:val="24"/>
          <w:szCs w:val="24"/>
        </w:rPr>
        <w:t>v judikatúre Súdneho dvora Európskej únie</w:t>
      </w:r>
      <w:r>
        <w:rPr>
          <w:b w:val="0"/>
          <w:sz w:val="24"/>
          <w:szCs w:val="24"/>
        </w:rPr>
        <w:t>:</w:t>
      </w:r>
    </w:p>
    <w:p w:rsidR="0013029E" w:rsidRDefault="0013029E" w:rsidP="0013029E">
      <w:pPr>
        <w:widowControl/>
        <w:autoSpaceDE/>
        <w:autoSpaceDN/>
        <w:adjustRightInd/>
        <w:ind w:left="1080" w:hanging="37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00959" w:rsidRDefault="0013029E" w:rsidP="0013029E">
      <w:pPr>
        <w:widowControl/>
        <w:autoSpaceDE/>
        <w:autoSpaceDN/>
        <w:adjustRightInd/>
        <w:ind w:left="1080" w:hanging="37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Nie je obsiahnuté.</w:t>
      </w:r>
      <w:r w:rsidR="00E00959" w:rsidRPr="0013029E">
        <w:rPr>
          <w:b w:val="0"/>
          <w:sz w:val="24"/>
          <w:szCs w:val="24"/>
        </w:rPr>
        <w:t xml:space="preserve"> </w:t>
      </w:r>
    </w:p>
    <w:p w:rsidR="0013029E" w:rsidRPr="0013029E" w:rsidRDefault="0013029E" w:rsidP="0013029E">
      <w:pPr>
        <w:pStyle w:val="slovanzoznam"/>
        <w:numPr>
          <w:ilvl w:val="0"/>
          <w:numId w:val="0"/>
        </w:numPr>
        <w:ind w:left="360"/>
        <w:jc w:val="both"/>
      </w:pPr>
    </w:p>
    <w:p w:rsidR="003A28F6" w:rsidRDefault="003A28F6" w:rsidP="00813FF4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sz w:val="24"/>
          <w:szCs w:val="24"/>
        </w:rPr>
      </w:pPr>
    </w:p>
    <w:p w:rsidR="003A28F6" w:rsidRDefault="003A28F6" w:rsidP="00813FF4">
      <w:pPr>
        <w:pStyle w:val="slovanzoznam"/>
        <w:widowControl/>
        <w:numPr>
          <w:ilvl w:val="0"/>
          <w:numId w:val="4"/>
        </w:numPr>
        <w:tabs>
          <w:tab w:val="clear" w:pos="720"/>
          <w:tab w:val="left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Záväzky Slovenskej republiky vo vzťahu k </w:t>
      </w:r>
      <w:r w:rsidR="0013029E">
        <w:rPr>
          <w:sz w:val="24"/>
          <w:szCs w:val="24"/>
        </w:rPr>
        <w:t xml:space="preserve"> </w:t>
      </w:r>
      <w:r>
        <w:rPr>
          <w:sz w:val="24"/>
          <w:szCs w:val="24"/>
        </w:rPr>
        <w:t>Európskej únii:</w:t>
      </w:r>
    </w:p>
    <w:p w:rsidR="003A28F6" w:rsidRDefault="003A28F6" w:rsidP="00813FF4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sz w:val="24"/>
          <w:szCs w:val="24"/>
        </w:rPr>
      </w:pPr>
    </w:p>
    <w:p w:rsidR="0013029E" w:rsidRDefault="0013029E" w:rsidP="0013029E">
      <w:pPr>
        <w:spacing w:before="80" w:after="80"/>
        <w:ind w:left="708"/>
        <w:jc w:val="both"/>
      </w:pPr>
    </w:p>
    <w:p w:rsidR="0013029E" w:rsidRDefault="0013029E" w:rsidP="0013029E">
      <w:pPr>
        <w:widowControl/>
        <w:numPr>
          <w:ilvl w:val="0"/>
          <w:numId w:val="20"/>
        </w:numPr>
        <w:tabs>
          <w:tab w:val="clear" w:pos="1440"/>
          <w:tab w:val="num" w:pos="1134"/>
        </w:tabs>
        <w:autoSpaceDE/>
        <w:autoSpaceDN/>
        <w:adjustRightInd/>
        <w:spacing w:before="80" w:after="80"/>
        <w:ind w:left="1134"/>
        <w:jc w:val="both"/>
        <w:rPr>
          <w:b w:val="0"/>
          <w:sz w:val="24"/>
          <w:szCs w:val="24"/>
        </w:rPr>
      </w:pPr>
      <w:r w:rsidRPr="0013029E">
        <w:rPr>
          <w:b w:val="0"/>
          <w:sz w:val="24"/>
          <w:szCs w:val="24"/>
        </w:rPr>
        <w:t>uviesť lehotu na prebranie príslušného právneho aktu Európskej únie, príp. aj osobitnú lehotu účinnosti jeho ustanovení</w:t>
      </w:r>
      <w:r>
        <w:rPr>
          <w:b w:val="0"/>
          <w:sz w:val="24"/>
          <w:szCs w:val="24"/>
        </w:rPr>
        <w:t>:</w:t>
      </w:r>
    </w:p>
    <w:p w:rsidR="0013029E" w:rsidRDefault="0013029E" w:rsidP="0013029E">
      <w:pPr>
        <w:widowControl/>
        <w:autoSpaceDE/>
        <w:autoSpaceDN/>
        <w:adjustRightInd/>
        <w:spacing w:before="80" w:after="80"/>
        <w:ind w:left="1134"/>
        <w:jc w:val="both"/>
        <w:rPr>
          <w:b w:val="0"/>
          <w:sz w:val="24"/>
          <w:szCs w:val="24"/>
        </w:rPr>
      </w:pPr>
    </w:p>
    <w:p w:rsidR="0013029E" w:rsidRPr="00623005" w:rsidRDefault="0013029E" w:rsidP="0013029E">
      <w:pPr>
        <w:widowControl/>
        <w:spacing w:before="120"/>
        <w:ind w:left="1200" w:hanging="66"/>
        <w:jc w:val="both"/>
        <w:rPr>
          <w:rStyle w:val="Zvraznenie"/>
          <w:b w:val="0"/>
          <w:i w:val="0"/>
          <w:iCs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S</w:t>
      </w:r>
      <w:r w:rsidRPr="00C57C71">
        <w:rPr>
          <w:b w:val="0"/>
          <w:sz w:val="24"/>
          <w:szCs w:val="24"/>
        </w:rPr>
        <w:t>mernica Európskeho parlamentu a Rady 2003/88/ES zo 4. novembra 2003, o niektorých aspektoch organizácie pracovného času (</w:t>
      </w:r>
      <w:r w:rsidRPr="00C57C71">
        <w:rPr>
          <w:b w:val="0"/>
          <w:color w:val="231F20"/>
          <w:sz w:val="24"/>
          <w:szCs w:val="24"/>
        </w:rPr>
        <w:t>Mimoriadne vydanie Ú. v. EÚ, 05/zv.4</w:t>
      </w:r>
      <w:r w:rsidRPr="00C57C71">
        <w:rPr>
          <w:rStyle w:val="Zvraznenie"/>
          <w:b w:val="0"/>
          <w:i w:val="0"/>
          <w:iCs w:val="0"/>
          <w:sz w:val="24"/>
          <w:szCs w:val="24"/>
        </w:rPr>
        <w:t>) – nie je stanovená lehota na transpozíciu,</w:t>
      </w:r>
    </w:p>
    <w:p w:rsidR="0013029E" w:rsidRDefault="0013029E" w:rsidP="0013029E">
      <w:pPr>
        <w:widowControl/>
        <w:autoSpaceDE/>
        <w:autoSpaceDN/>
        <w:adjustRightInd/>
        <w:spacing w:before="80" w:after="80"/>
        <w:ind w:left="1134"/>
        <w:jc w:val="both"/>
        <w:rPr>
          <w:b w:val="0"/>
          <w:sz w:val="24"/>
          <w:szCs w:val="24"/>
        </w:rPr>
      </w:pPr>
      <w:r w:rsidRPr="0013029E">
        <w:rPr>
          <w:b w:val="0"/>
          <w:sz w:val="24"/>
          <w:szCs w:val="24"/>
        </w:rPr>
        <w:t xml:space="preserve"> </w:t>
      </w:r>
    </w:p>
    <w:p w:rsidR="0013029E" w:rsidRDefault="0013029E" w:rsidP="0013029E">
      <w:pPr>
        <w:widowControl/>
        <w:numPr>
          <w:ilvl w:val="0"/>
          <w:numId w:val="20"/>
        </w:numPr>
        <w:tabs>
          <w:tab w:val="clear" w:pos="1440"/>
          <w:tab w:val="num" w:pos="1134"/>
        </w:tabs>
        <w:autoSpaceDE/>
        <w:autoSpaceDN/>
        <w:adjustRightInd/>
        <w:spacing w:before="80" w:after="80"/>
        <w:ind w:left="1134"/>
        <w:jc w:val="both"/>
        <w:rPr>
          <w:b w:val="0"/>
          <w:sz w:val="24"/>
          <w:szCs w:val="24"/>
        </w:rPr>
      </w:pPr>
      <w:r w:rsidRPr="0013029E">
        <w:rPr>
          <w:b w:val="0"/>
          <w:sz w:val="24"/>
          <w:szCs w:val="24"/>
        </w:rPr>
        <w:t>uviesť informáciu o začatí postupu Európskej komisie alebo o konaní Súdneho dvora Európskej únie proti Slovenskej republike podľa čl. 258 a 260 Zmluvy o fungovaní Európskej únie v jej platnom znení, spolu s uvedením konkrétnych vytýkaných nedostatkov a požiadaviek na zabezpečenie nápravy</w:t>
      </w:r>
    </w:p>
    <w:p w:rsidR="0013029E" w:rsidRDefault="0013029E" w:rsidP="0013029E">
      <w:pPr>
        <w:pStyle w:val="slovanzoznam"/>
        <w:numPr>
          <w:ilvl w:val="0"/>
          <w:numId w:val="0"/>
        </w:numPr>
        <w:ind w:left="360" w:hanging="360"/>
        <w:jc w:val="both"/>
      </w:pPr>
    </w:p>
    <w:p w:rsidR="0013029E" w:rsidRDefault="0013029E" w:rsidP="0013029E">
      <w:pPr>
        <w:pStyle w:val="slovanzoznam"/>
        <w:numPr>
          <w:ilvl w:val="0"/>
          <w:numId w:val="0"/>
        </w:numPr>
        <w:ind w:left="1056"/>
        <w:jc w:val="both"/>
        <w:rPr>
          <w:b w:val="0"/>
          <w:sz w:val="24"/>
          <w:szCs w:val="24"/>
        </w:rPr>
      </w:pPr>
      <w:r w:rsidRPr="003F2403">
        <w:rPr>
          <w:b w:val="0"/>
          <w:sz w:val="24"/>
          <w:szCs w:val="24"/>
        </w:rPr>
        <w:t xml:space="preserve">Proti Slovenskej republike </w:t>
      </w:r>
      <w:r>
        <w:rPr>
          <w:b w:val="0"/>
          <w:sz w:val="24"/>
          <w:szCs w:val="24"/>
        </w:rPr>
        <w:t>ne</w:t>
      </w:r>
      <w:r w:rsidRPr="003F2403">
        <w:rPr>
          <w:b w:val="0"/>
          <w:sz w:val="24"/>
          <w:szCs w:val="24"/>
        </w:rPr>
        <w:t>zača</w:t>
      </w:r>
      <w:r>
        <w:rPr>
          <w:b w:val="0"/>
          <w:sz w:val="24"/>
          <w:szCs w:val="24"/>
        </w:rPr>
        <w:t xml:space="preserve">lo žiaden postup </w:t>
      </w:r>
      <w:r w:rsidRPr="0013029E">
        <w:rPr>
          <w:b w:val="0"/>
          <w:sz w:val="24"/>
          <w:szCs w:val="24"/>
        </w:rPr>
        <w:t>Európskej komisie alebo </w:t>
      </w:r>
      <w:r>
        <w:rPr>
          <w:b w:val="0"/>
          <w:sz w:val="24"/>
          <w:szCs w:val="24"/>
        </w:rPr>
        <w:t xml:space="preserve">konanie </w:t>
      </w:r>
      <w:r w:rsidRPr="0013029E">
        <w:rPr>
          <w:b w:val="0"/>
          <w:sz w:val="24"/>
          <w:szCs w:val="24"/>
        </w:rPr>
        <w:t>Súdneho dvora Európskej únie podľa čl. 258 a 260 Zmluvy o fungovaní Európskej únie</w:t>
      </w:r>
    </w:p>
    <w:p w:rsidR="0013029E" w:rsidRPr="0013029E" w:rsidRDefault="0013029E" w:rsidP="0013029E">
      <w:pPr>
        <w:pStyle w:val="slovanzoznam"/>
        <w:numPr>
          <w:ilvl w:val="0"/>
          <w:numId w:val="0"/>
        </w:numPr>
        <w:ind w:left="360" w:hanging="360"/>
        <w:jc w:val="both"/>
      </w:pPr>
    </w:p>
    <w:p w:rsidR="0013029E" w:rsidRPr="0013029E" w:rsidRDefault="0013029E" w:rsidP="0013029E">
      <w:pPr>
        <w:widowControl/>
        <w:numPr>
          <w:ilvl w:val="0"/>
          <w:numId w:val="20"/>
        </w:numPr>
        <w:tabs>
          <w:tab w:val="clear" w:pos="1440"/>
          <w:tab w:val="num" w:pos="1134"/>
        </w:tabs>
        <w:autoSpaceDE/>
        <w:autoSpaceDN/>
        <w:adjustRightInd/>
        <w:spacing w:before="80" w:after="80"/>
        <w:ind w:left="1134"/>
        <w:jc w:val="both"/>
        <w:rPr>
          <w:b w:val="0"/>
          <w:sz w:val="24"/>
          <w:szCs w:val="24"/>
        </w:rPr>
      </w:pPr>
      <w:r w:rsidRPr="0013029E">
        <w:rPr>
          <w:b w:val="0"/>
          <w:sz w:val="24"/>
          <w:szCs w:val="24"/>
        </w:rPr>
        <w:t>uviesť informáciu o právnych predpisoch,</w:t>
      </w:r>
      <w:r>
        <w:rPr>
          <w:b w:val="0"/>
          <w:sz w:val="24"/>
          <w:szCs w:val="24"/>
        </w:rPr>
        <w:t xml:space="preserve"> v ktorých sú uvádzané právne </w:t>
      </w:r>
      <w:r w:rsidRPr="0013029E">
        <w:rPr>
          <w:b w:val="0"/>
          <w:sz w:val="24"/>
          <w:szCs w:val="24"/>
        </w:rPr>
        <w:t xml:space="preserve">akty Európskej únie už prebrané, spolu s uvedením rozsahu ich prebrania príp. potreby prijatia ďalších úprav </w:t>
      </w:r>
    </w:p>
    <w:p w:rsidR="0013029E" w:rsidRDefault="0013029E" w:rsidP="00813FF4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sz w:val="24"/>
          <w:szCs w:val="24"/>
        </w:rPr>
      </w:pPr>
    </w:p>
    <w:p w:rsidR="003F2403" w:rsidRPr="00250B4C" w:rsidRDefault="00250B4C" w:rsidP="00250B4C">
      <w:pPr>
        <w:pStyle w:val="Hlavika"/>
        <w:widowControl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                -    </w:t>
      </w:r>
      <w:r w:rsidR="00FB6474">
        <w:rPr>
          <w:szCs w:val="24"/>
        </w:rPr>
        <w:tab/>
      </w:r>
      <w:r w:rsidR="003F2403" w:rsidRPr="003F2403">
        <w:rPr>
          <w:szCs w:val="24"/>
        </w:rPr>
        <w:t>v zákone č. 311/2001 Z. z.  Zákonník práce v znení  neskorších predpisov</w:t>
      </w:r>
      <w:r w:rsidR="00FB6474">
        <w:rPr>
          <w:szCs w:val="24"/>
        </w:rPr>
        <w:t>,</w:t>
      </w:r>
      <w:r w:rsidR="003F2403" w:rsidRPr="003F2403">
        <w:rPr>
          <w:szCs w:val="24"/>
        </w:rPr>
        <w:t xml:space="preserve"> </w:t>
      </w:r>
    </w:p>
    <w:p w:rsidR="003F2403" w:rsidRPr="003F2403" w:rsidRDefault="00250B4C" w:rsidP="00FB6474">
      <w:pPr>
        <w:pStyle w:val="Hlavika"/>
        <w:widowControl/>
        <w:tabs>
          <w:tab w:val="clear" w:pos="4536"/>
          <w:tab w:val="clear" w:pos="9072"/>
        </w:tabs>
        <w:ind w:left="1410" w:hanging="1410"/>
        <w:rPr>
          <w:szCs w:val="24"/>
        </w:rPr>
      </w:pPr>
      <w:r>
        <w:rPr>
          <w:szCs w:val="24"/>
        </w:rPr>
        <w:t xml:space="preserve">                -     </w:t>
      </w:r>
      <w:r w:rsidR="00FB6474">
        <w:rPr>
          <w:szCs w:val="24"/>
        </w:rPr>
        <w:tab/>
      </w:r>
      <w:r w:rsidR="003F2403" w:rsidRPr="003F2403">
        <w:rPr>
          <w:szCs w:val="24"/>
        </w:rPr>
        <w:t>v zákone č. 365/2004 Z. z. o rovnakom zaobchádzaní v niektorých oblastiach a o</w:t>
      </w:r>
      <w:r w:rsidR="00FB6474">
        <w:rPr>
          <w:szCs w:val="24"/>
        </w:rPr>
        <w:t> </w:t>
      </w:r>
      <w:r w:rsidR="003F2403" w:rsidRPr="003F2403">
        <w:rPr>
          <w:szCs w:val="24"/>
        </w:rPr>
        <w:t>ochrane</w:t>
      </w:r>
      <w:r w:rsidR="00FB6474">
        <w:rPr>
          <w:szCs w:val="24"/>
        </w:rPr>
        <w:t xml:space="preserve"> </w:t>
      </w:r>
      <w:r w:rsidR="003F2403" w:rsidRPr="003F2403">
        <w:rPr>
          <w:szCs w:val="24"/>
        </w:rPr>
        <w:t>pred diskrimináciou a o zmene a doplnení niektorých zákonov (antidiskriminačný zákon)</w:t>
      </w:r>
      <w:r w:rsidR="00FB6474">
        <w:rPr>
          <w:szCs w:val="24"/>
        </w:rPr>
        <w:t xml:space="preserve"> </w:t>
      </w:r>
      <w:r w:rsidR="00FB6474" w:rsidRPr="003F2403">
        <w:rPr>
          <w:szCs w:val="24"/>
        </w:rPr>
        <w:t>v znení  neskorších predpisov</w:t>
      </w:r>
      <w:r w:rsidR="003F2403" w:rsidRPr="003F2403">
        <w:rPr>
          <w:szCs w:val="24"/>
        </w:rPr>
        <w:t xml:space="preserve"> </w:t>
      </w:r>
    </w:p>
    <w:p w:rsidR="003F2403" w:rsidRPr="00813FF4" w:rsidRDefault="00250B4C" w:rsidP="00FB6474">
      <w:pPr>
        <w:pStyle w:val="Hlavika"/>
        <w:widowControl/>
        <w:tabs>
          <w:tab w:val="clear" w:pos="4536"/>
          <w:tab w:val="clear" w:pos="9072"/>
        </w:tabs>
        <w:ind w:left="1410" w:hanging="465"/>
        <w:rPr>
          <w:szCs w:val="24"/>
        </w:rPr>
      </w:pPr>
      <w:r>
        <w:t xml:space="preserve">-    </w:t>
      </w:r>
      <w:r w:rsidR="00FB6474">
        <w:tab/>
      </w:r>
      <w:r>
        <w:t xml:space="preserve"> </w:t>
      </w:r>
      <w:r w:rsidR="003F2403" w:rsidRPr="003F2403">
        <w:t xml:space="preserve">v zákone č. 124/2006 Z. z. o bezpečnosti a ochrane zdravia pri práci </w:t>
      </w:r>
      <w:hyperlink r:id="rId7" w:history="1">
        <w:r w:rsidR="00FB6474" w:rsidRPr="00FB6474">
          <w:rPr>
            <w:szCs w:val="24"/>
          </w:rPr>
          <w:t>a o zmene a doplnení niektorých zákonov</w:t>
        </w:r>
      </w:hyperlink>
      <w:r w:rsidR="00FB6474" w:rsidRPr="00FB6474">
        <w:rPr>
          <w:szCs w:val="24"/>
        </w:rPr>
        <w:t xml:space="preserve"> </w:t>
      </w:r>
      <w:r w:rsidR="003F2403" w:rsidRPr="00FB6474">
        <w:rPr>
          <w:szCs w:val="24"/>
        </w:rPr>
        <w:t xml:space="preserve">v znení neskorších predpisov </w:t>
      </w:r>
    </w:p>
    <w:p w:rsidR="003F2403" w:rsidRDefault="003F2403" w:rsidP="00813FF4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sz w:val="24"/>
          <w:szCs w:val="24"/>
        </w:rPr>
      </w:pPr>
    </w:p>
    <w:p w:rsidR="0013029E" w:rsidRPr="0013029E" w:rsidRDefault="0013029E" w:rsidP="0013029E">
      <w:pPr>
        <w:pStyle w:val="slovanzoznam"/>
        <w:widowControl/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sz w:val="24"/>
          <w:szCs w:val="24"/>
        </w:rPr>
      </w:pPr>
      <w:r w:rsidRPr="0013029E">
        <w:rPr>
          <w:sz w:val="24"/>
          <w:szCs w:val="24"/>
        </w:rPr>
        <w:t>Návrh zákona je zlučiteľný s právom Európskej únie:</w:t>
      </w:r>
    </w:p>
    <w:p w:rsidR="003811D5" w:rsidRPr="003811D5" w:rsidRDefault="0013029E" w:rsidP="00C5315B">
      <w:pPr>
        <w:pStyle w:val="slovanzoznam"/>
        <w:widowControl/>
        <w:numPr>
          <w:ilvl w:val="0"/>
          <w:numId w:val="0"/>
        </w:numPr>
        <w:tabs>
          <w:tab w:val="left" w:pos="360"/>
        </w:tabs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úplne</w:t>
      </w:r>
    </w:p>
    <w:p w:rsidR="003A28F6" w:rsidRDefault="003A28F6" w:rsidP="00813FF4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sz w:val="24"/>
          <w:szCs w:val="24"/>
        </w:rPr>
      </w:pPr>
    </w:p>
    <w:sectPr w:rsidR="003A28F6" w:rsidSect="006A7B3A">
      <w:pgSz w:w="12240" w:h="15840" w:code="1"/>
      <w:pgMar w:top="1418" w:right="1134" w:bottom="1418" w:left="1134" w:header="1418" w:footer="141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6F" w:rsidRDefault="008D5F6F" w:rsidP="00FB6474">
      <w:r>
        <w:separator/>
      </w:r>
    </w:p>
  </w:endnote>
  <w:endnote w:type="continuationSeparator" w:id="1">
    <w:p w:rsidR="008D5F6F" w:rsidRDefault="008D5F6F" w:rsidP="00FB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6F" w:rsidRDefault="008D5F6F" w:rsidP="00FB6474">
      <w:r>
        <w:separator/>
      </w:r>
    </w:p>
  </w:footnote>
  <w:footnote w:type="continuationSeparator" w:id="1">
    <w:p w:rsidR="008D5F6F" w:rsidRDefault="008D5F6F" w:rsidP="00FB6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38EA55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D22844"/>
    <w:multiLevelType w:val="hybridMultilevel"/>
    <w:tmpl w:val="676C1878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/>
        <w:b w:val="0"/>
        <w:i w:val="0"/>
        <w:strike w:val="0"/>
        <w:dstrike w:val="0"/>
        <w:sz w:val="24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339F1"/>
    <w:multiLevelType w:val="hybridMultilevel"/>
    <w:tmpl w:val="329E6166"/>
    <w:lvl w:ilvl="0" w:tplc="00000000">
      <w:start w:val="1"/>
      <w:numFmt w:val="bullet"/>
      <w:lvlText w:val=""/>
      <w:lvlJc w:val="left"/>
      <w:pPr>
        <w:tabs>
          <w:tab w:val="num" w:pos="397"/>
        </w:tabs>
        <w:ind w:left="624" w:hanging="264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FAF2822"/>
    <w:multiLevelType w:val="hybridMultilevel"/>
    <w:tmpl w:val="C714F43A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 w:tplc="0000000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00000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4">
    <w:nsid w:val="23E40F20"/>
    <w:multiLevelType w:val="hybridMultilevel"/>
    <w:tmpl w:val="C0A06914"/>
    <w:lvl w:ilvl="0" w:tplc="51E88EB0">
      <w:start w:val="2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A4E44C5E">
      <w:start w:val="5"/>
      <w:numFmt w:val="decimal"/>
      <w:lvlText w:val="%3."/>
      <w:lvlJc w:val="left"/>
      <w:pPr>
        <w:tabs>
          <w:tab w:val="num" w:pos="3257"/>
        </w:tabs>
        <w:ind w:left="3257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5">
    <w:nsid w:val="2B187077"/>
    <w:multiLevelType w:val="hybridMultilevel"/>
    <w:tmpl w:val="129892A0"/>
    <w:lvl w:ilvl="0" w:tplc="0000000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i/>
      </w:rPr>
    </w:lvl>
    <w:lvl w:ilvl="1" w:tplc="0000000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3" w:tplc="0000000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/>
      </w:rPr>
    </w:lvl>
    <w:lvl w:ilvl="4" w:tplc="0000000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/>
      </w:rPr>
    </w:lvl>
    <w:lvl w:ilvl="6" w:tplc="0000000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/>
      </w:rPr>
    </w:lvl>
    <w:lvl w:ilvl="7" w:tplc="0000000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/>
      </w:rPr>
    </w:lvl>
  </w:abstractNum>
  <w:abstractNum w:abstractNumId="6">
    <w:nsid w:val="405B1B2D"/>
    <w:multiLevelType w:val="hybridMultilevel"/>
    <w:tmpl w:val="8688B48A"/>
    <w:lvl w:ilvl="0" w:tplc="9C82B8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7">
    <w:nsid w:val="41CF688D"/>
    <w:multiLevelType w:val="hybridMultilevel"/>
    <w:tmpl w:val="51909C14"/>
    <w:lvl w:ilvl="0" w:tplc="0000000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i/>
      </w:rPr>
    </w:lvl>
    <w:lvl w:ilvl="1" w:tplc="0000000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>
    <w:nsid w:val="43014536"/>
    <w:multiLevelType w:val="hybridMultilevel"/>
    <w:tmpl w:val="DA9AF586"/>
    <w:lvl w:ilvl="0" w:tplc="00000000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B1FD1"/>
    <w:multiLevelType w:val="hybridMultilevel"/>
    <w:tmpl w:val="9D5EB98E"/>
    <w:lvl w:ilvl="0" w:tplc="3474D3A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/>
        <w:b w:val="0"/>
        <w:i/>
        <w:strike w:val="0"/>
        <w:dstrike w:val="0"/>
        <w:sz w:val="24"/>
      </w:rPr>
    </w:lvl>
    <w:lvl w:ilvl="1" w:tplc="0000000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/>
        <w:strike w:val="0"/>
        <w:dstrike w:val="0"/>
        <w:sz w:val="24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D1BB1"/>
    <w:multiLevelType w:val="hybridMultilevel"/>
    <w:tmpl w:val="31ACFC86"/>
    <w:lvl w:ilvl="0" w:tplc="0000000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/>
        <w:b w:val="0"/>
        <w:i w:val="0"/>
        <w:strike w:val="0"/>
        <w:dstrike w:val="0"/>
        <w:sz w:val="24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  <w:lvlOverride w:ilvl="0">
      <w:startOverride w:val="1"/>
    </w:lvlOverride>
  </w:num>
  <w:num w:numId="12">
    <w:abstractNumId w:val="5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2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0CE"/>
    <w:rsid w:val="00020680"/>
    <w:rsid w:val="0013029E"/>
    <w:rsid w:val="001A3E91"/>
    <w:rsid w:val="00201830"/>
    <w:rsid w:val="00250B4C"/>
    <w:rsid w:val="0029726C"/>
    <w:rsid w:val="002B3833"/>
    <w:rsid w:val="003811D5"/>
    <w:rsid w:val="003A28F6"/>
    <w:rsid w:val="003F2403"/>
    <w:rsid w:val="00453DA2"/>
    <w:rsid w:val="00461F89"/>
    <w:rsid w:val="00476FDD"/>
    <w:rsid w:val="004E33FE"/>
    <w:rsid w:val="004F1B6A"/>
    <w:rsid w:val="006157E3"/>
    <w:rsid w:val="00623005"/>
    <w:rsid w:val="006570CE"/>
    <w:rsid w:val="006A7B3A"/>
    <w:rsid w:val="006C365F"/>
    <w:rsid w:val="006F6B08"/>
    <w:rsid w:val="00813FF4"/>
    <w:rsid w:val="00862436"/>
    <w:rsid w:val="008D5F6F"/>
    <w:rsid w:val="008E5DA2"/>
    <w:rsid w:val="009C4B8D"/>
    <w:rsid w:val="009D12ED"/>
    <w:rsid w:val="009F356A"/>
    <w:rsid w:val="00A64615"/>
    <w:rsid w:val="00C5315B"/>
    <w:rsid w:val="00C57C71"/>
    <w:rsid w:val="00C648C5"/>
    <w:rsid w:val="00CA396D"/>
    <w:rsid w:val="00D66FA1"/>
    <w:rsid w:val="00DC510E"/>
    <w:rsid w:val="00E00959"/>
    <w:rsid w:val="00FB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lny">
    <w:name w:val="Normal"/>
    <w:next w:val="slovanzoznam"/>
    <w:autoRedefine/>
    <w:qFormat/>
    <w:rsid w:val="003A28F6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ormlny"/>
    <w:rsid w:val="00593D8A"/>
    <w:pPr>
      <w:numPr>
        <w:numId w:val="2"/>
      </w:numPr>
      <w:tabs>
        <w:tab w:val="left" w:pos="540"/>
      </w:tabs>
    </w:pPr>
  </w:style>
  <w:style w:type="paragraph" w:styleId="slovanzoznam">
    <w:name w:val="List Number"/>
    <w:basedOn w:val="Normlny"/>
    <w:uiPriority w:val="99"/>
    <w:rsid w:val="00593D8A"/>
    <w:pPr>
      <w:numPr>
        <w:numId w:val="3"/>
      </w:numPr>
      <w:tabs>
        <w:tab w:val="left" w:pos="360"/>
      </w:tabs>
    </w:pPr>
  </w:style>
  <w:style w:type="character" w:styleId="Zvraznenie">
    <w:name w:val="Emphasis"/>
    <w:basedOn w:val="Predvolenpsmoodseku"/>
    <w:uiPriority w:val="20"/>
    <w:qFormat/>
    <w:rsid w:val="00201830"/>
    <w:rPr>
      <w:rFonts w:ascii="Times New Roman" w:hAnsi="Times New Roman" w:cs="Times New Roman"/>
      <w:i/>
      <w:iCs/>
    </w:rPr>
  </w:style>
  <w:style w:type="paragraph" w:styleId="Zkladntext">
    <w:name w:val="Body Text"/>
    <w:basedOn w:val="Normlny"/>
    <w:link w:val="ZkladntextChar"/>
    <w:uiPriority w:val="99"/>
    <w:rsid w:val="00862436"/>
    <w:pPr>
      <w:spacing w:after="120"/>
      <w:jc w:val="left"/>
    </w:pPr>
    <w:rPr>
      <w:b w:val="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7B3A"/>
    <w:rPr>
      <w:b/>
      <w:sz w:val="28"/>
      <w:szCs w:val="28"/>
      <w:lang w:val="sk-SK"/>
    </w:rPr>
  </w:style>
  <w:style w:type="paragraph" w:styleId="Hlavika">
    <w:name w:val="header"/>
    <w:basedOn w:val="Normlny"/>
    <w:link w:val="HlavikaChar"/>
    <w:uiPriority w:val="99"/>
    <w:rsid w:val="003F2403"/>
    <w:pPr>
      <w:tabs>
        <w:tab w:val="center" w:pos="4536"/>
        <w:tab w:val="right" w:pos="9072"/>
      </w:tabs>
      <w:jc w:val="left"/>
    </w:pPr>
    <w:rPr>
      <w:b w:val="0"/>
      <w:sz w:val="24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A7B3A"/>
    <w:rPr>
      <w:b/>
      <w:sz w:val="28"/>
      <w:szCs w:val="28"/>
      <w:lang w:val="sk-SK"/>
    </w:rPr>
  </w:style>
  <w:style w:type="paragraph" w:styleId="Textbubliny">
    <w:name w:val="Balloon Text"/>
    <w:basedOn w:val="Normlny"/>
    <w:link w:val="TextbublinyChar"/>
    <w:uiPriority w:val="99"/>
    <w:semiHidden/>
    <w:rsid w:val="00C87E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B3A"/>
    <w:rPr>
      <w:rFonts w:ascii="Tahoma" w:hAnsi="Tahoma" w:cs="Tahoma"/>
      <w:b/>
      <w:sz w:val="16"/>
      <w:szCs w:val="16"/>
      <w:lang w:val="sk-SK"/>
    </w:rPr>
  </w:style>
  <w:style w:type="paragraph" w:styleId="Pta">
    <w:name w:val="footer"/>
    <w:basedOn w:val="Normlny"/>
    <w:link w:val="PtaChar"/>
    <w:rsid w:val="00FB64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B6474"/>
    <w:rPr>
      <w:b/>
      <w:sz w:val="28"/>
      <w:szCs w:val="28"/>
      <w:lang w:val="sk-SK"/>
    </w:rPr>
  </w:style>
  <w:style w:type="character" w:styleId="Hypertextovprepojenie">
    <w:name w:val="Hyperlink"/>
    <w:basedOn w:val="Predvolenpsmoodseku"/>
    <w:uiPriority w:val="99"/>
    <w:unhideWhenUsed/>
    <w:rsid w:val="00FB64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:443/vyhladavanie-pravnych-predpisov?p_p_id=enactmentSearch_WAR_portletsez&amp;p_p_lifecycle=1&amp;p_p_state=normal&amp;p_p_mode=view&amp;p_p_col_id=column-2&amp;p_p_col_count=1&amp;_enactmentSearch_WAR_portletsez_zodpovedajucaUcinnost=02.01.2017&amp;_enactmentSearch_WAR_portletsez_iri=%2FSK%2FZZ%2F2006%2F124%2F20160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 ZLUČITEĽNOSTI</vt:lpstr>
    </vt:vector>
  </TitlesOfParts>
  <Company>MPSVR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ZLUČITEĽNOSTI</dc:title>
  <dc:subject/>
  <dc:creator>barnova</dc:creator>
  <cp:keywords/>
  <dc:description/>
  <cp:lastModifiedBy>Mato</cp:lastModifiedBy>
  <cp:revision>15</cp:revision>
  <cp:lastPrinted>2008-01-09T07:57:00Z</cp:lastPrinted>
  <dcterms:created xsi:type="dcterms:W3CDTF">2017-01-02T12:59:00Z</dcterms:created>
  <dcterms:modified xsi:type="dcterms:W3CDTF">2017-01-03T06:47:00Z</dcterms:modified>
</cp:coreProperties>
</file>