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3A" w:rsidRPr="007D5748" w:rsidRDefault="0093583A" w:rsidP="0093583A">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93583A" w:rsidRPr="007D5748" w:rsidRDefault="0093583A" w:rsidP="0093583A">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93583A" w:rsidRPr="00212894" w:rsidRDefault="0093583A" w:rsidP="0093583A">
      <w:pPr>
        <w:spacing w:after="0" w:line="240" w:lineRule="auto"/>
        <w:jc w:val="right"/>
        <w:rPr>
          <w:rFonts w:ascii="Times New Roman" w:eastAsia="Times New Roman" w:hAnsi="Times New Roman" w:cs="Times New Roman"/>
          <w:b/>
          <w:bCs/>
          <w:sz w:val="24"/>
          <w:szCs w:val="24"/>
          <w:lang w:eastAsia="sk-SK"/>
        </w:rPr>
      </w:pPr>
    </w:p>
    <w:p w:rsidR="0093583A" w:rsidRDefault="0093583A" w:rsidP="0093583A">
      <w:pPr>
        <w:spacing w:after="0" w:line="240" w:lineRule="auto"/>
        <w:rPr>
          <w:rFonts w:ascii="Times New Roman" w:eastAsia="Times New Roman" w:hAnsi="Times New Roman" w:cs="Times New Roman"/>
          <w:b/>
          <w:bCs/>
          <w:sz w:val="24"/>
          <w:szCs w:val="24"/>
          <w:lang w:eastAsia="sk-SK"/>
        </w:rPr>
      </w:pPr>
    </w:p>
    <w:p w:rsidR="0093583A" w:rsidRPr="00212894" w:rsidRDefault="0093583A" w:rsidP="0093583A">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93583A" w:rsidRPr="007D5748" w:rsidRDefault="0093583A" w:rsidP="0093583A">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3583A" w:rsidRPr="007D5748" w:rsidTr="00DA7207">
        <w:trPr>
          <w:cantSplit/>
          <w:trHeight w:val="194"/>
          <w:jc w:val="center"/>
        </w:trPr>
        <w:tc>
          <w:tcPr>
            <w:tcW w:w="4661" w:type="dxa"/>
            <w:vMerge w:val="restart"/>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93583A" w:rsidRPr="007D5748" w:rsidTr="00DA7207">
        <w:trPr>
          <w:cantSplit/>
          <w:trHeight w:val="70"/>
          <w:jc w:val="center"/>
        </w:trPr>
        <w:tc>
          <w:tcPr>
            <w:tcW w:w="4661" w:type="dxa"/>
            <w:vMerge/>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93583A" w:rsidRPr="007D5748" w:rsidTr="00DA7207">
        <w:trPr>
          <w:trHeight w:val="70"/>
          <w:jc w:val="center"/>
        </w:trPr>
        <w:tc>
          <w:tcPr>
            <w:tcW w:w="4661" w:type="dxa"/>
            <w:shd w:val="clear" w:color="auto" w:fill="C0C0C0"/>
            <w:noWrap/>
            <w:vAlign w:val="center"/>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93583A" w:rsidRPr="007D5748" w:rsidTr="00DA7207">
        <w:trPr>
          <w:trHeight w:val="132"/>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shd w:val="clear" w:color="auto" w:fill="C0C0C0"/>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MŽP SR</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120 000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120 000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120 </w:t>
            </w:r>
            <w:r w:rsidRPr="00F14475">
              <w:rPr>
                <w:rFonts w:ascii="Times New Roman" w:eastAsia="Times New Roman" w:hAnsi="Times New Roman" w:cs="Times New Roman"/>
                <w:sz w:val="24"/>
                <w:szCs w:val="24"/>
                <w:lang w:eastAsia="sk-SK"/>
              </w:rPr>
              <w:t>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120 </w:t>
            </w:r>
            <w:r w:rsidRPr="00F14475">
              <w:rPr>
                <w:rFonts w:ascii="Times New Roman" w:eastAsia="Times New Roman" w:hAnsi="Times New Roman" w:cs="Times New Roman"/>
                <w:sz w:val="24"/>
                <w:szCs w:val="24"/>
                <w:lang w:eastAsia="sk-SK"/>
              </w:rPr>
              <w:t>000</w:t>
            </w:r>
          </w:p>
        </w:tc>
      </w:tr>
      <w:tr w:rsidR="0093583A" w:rsidRPr="007D5748" w:rsidTr="00DA7207">
        <w:trPr>
          <w:trHeight w:val="70"/>
          <w:jc w:val="center"/>
        </w:trPr>
        <w:tc>
          <w:tcPr>
            <w:tcW w:w="4661" w:type="dxa"/>
            <w:noWrap/>
            <w:vAlign w:val="center"/>
          </w:tcPr>
          <w:p w:rsidR="0093583A" w:rsidRPr="00427E0E" w:rsidRDefault="0093583A" w:rsidP="00DA7207">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
                <w:iCs/>
                <w:sz w:val="24"/>
                <w:szCs w:val="24"/>
                <w:lang w:eastAsia="sk-SK"/>
              </w:rPr>
              <w:t>z</w:t>
            </w:r>
            <w:r w:rsidRPr="00427E0E">
              <w:rPr>
                <w:rFonts w:ascii="Times New Roman" w:eastAsia="Times New Roman" w:hAnsi="Times New Roman" w:cs="Times New Roman"/>
                <w:bCs/>
                <w:i/>
                <w:iCs/>
                <w:sz w:val="24"/>
                <w:szCs w:val="24"/>
                <w:lang w:eastAsia="sk-SK"/>
              </w:rPr>
              <w:t xml:space="preserve"> toho:</w:t>
            </w:r>
            <w:r>
              <w:rPr>
                <w:rFonts w:ascii="Times New Roman" w:eastAsia="Times New Roman" w:hAnsi="Times New Roman" w:cs="Times New Roman"/>
                <w:bCs/>
                <w:i/>
                <w:iCs/>
                <w:sz w:val="24"/>
                <w:szCs w:val="24"/>
                <w:lang w:eastAsia="sk-SK"/>
              </w:rPr>
              <w:t xml:space="preserve"> MŽP SR (076)</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15 000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            </w:t>
            </w:r>
            <w:r>
              <w:rPr>
                <w:rFonts w:ascii="Times New Roman" w:eastAsia="Times New Roman" w:hAnsi="Times New Roman" w:cs="Times New Roman"/>
                <w:bCs/>
                <w:i/>
                <w:iCs/>
                <w:sz w:val="24"/>
                <w:szCs w:val="24"/>
                <w:lang w:eastAsia="sk-SK"/>
              </w:rPr>
              <w:t>MŽP SR (075)</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105 000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105 000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105 000</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105 000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rsidR="0093583A" w:rsidRPr="006A5362" w:rsidRDefault="0093583A" w:rsidP="00DA7207">
            <w:pPr>
              <w:spacing w:after="0" w:line="240" w:lineRule="auto"/>
              <w:jc w:val="right"/>
              <w:rPr>
                <w:rFonts w:ascii="Times New Roman" w:eastAsia="Times New Roman" w:hAnsi="Times New Roman" w:cs="Times New Roman"/>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120 000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120 000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iCs/>
                <w:sz w:val="24"/>
                <w:szCs w:val="24"/>
                <w:lang w:eastAsia="sk-SK"/>
              </w:rPr>
              <w:t>120 000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iCs/>
                <w:sz w:val="24"/>
                <w:szCs w:val="24"/>
                <w:lang w:eastAsia="sk-SK"/>
              </w:rPr>
              <w:t>120 000</w:t>
            </w:r>
          </w:p>
        </w:tc>
        <w:tc>
          <w:tcPr>
            <w:tcW w:w="1267" w:type="dxa"/>
            <w:noWrap/>
            <w:vAlign w:val="center"/>
          </w:tcPr>
          <w:p w:rsidR="0093583A" w:rsidRPr="00F14475"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iCs/>
                <w:sz w:val="24"/>
                <w:szCs w:val="24"/>
                <w:lang w:eastAsia="sk-SK"/>
              </w:rPr>
              <w:t>120 000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125"/>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3583A" w:rsidRPr="007D5748" w:rsidTr="00DA7207">
        <w:trPr>
          <w:trHeight w:val="70"/>
          <w:jc w:val="center"/>
        </w:trPr>
        <w:tc>
          <w:tcPr>
            <w:tcW w:w="4661" w:type="dxa"/>
            <w:shd w:val="clear" w:color="auto" w:fill="BFBFBF" w:themeFill="background1" w:themeFillShade="BF"/>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shd w:val="clear" w:color="auto" w:fill="BFBFBF" w:themeFill="background1" w:themeFillShade="BF"/>
            <w:noWrap/>
            <w:vAlign w:val="center"/>
          </w:tcPr>
          <w:p w:rsidR="0093583A" w:rsidRPr="007D5748" w:rsidRDefault="0093583A" w:rsidP="00DA720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267" w:type="dxa"/>
            <w:noWrap/>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tr w:rsidR="0093583A" w:rsidRPr="007D5748" w:rsidTr="00DA7207">
        <w:trPr>
          <w:trHeight w:val="70"/>
          <w:jc w:val="center"/>
        </w:trPr>
        <w:tc>
          <w:tcPr>
            <w:tcW w:w="4661" w:type="dxa"/>
            <w:shd w:val="clear" w:color="auto" w:fill="C0C0C0"/>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120 000</w:t>
            </w:r>
          </w:p>
        </w:tc>
        <w:tc>
          <w:tcPr>
            <w:tcW w:w="1267" w:type="dxa"/>
            <w:shd w:val="clear" w:color="auto" w:fill="C0C0C0"/>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120 000</w:t>
            </w:r>
          </w:p>
        </w:tc>
      </w:tr>
      <w:tr w:rsidR="0093583A" w:rsidRPr="007D5748" w:rsidTr="00DA7207">
        <w:trPr>
          <w:trHeight w:val="70"/>
          <w:jc w:val="center"/>
        </w:trPr>
        <w:tc>
          <w:tcPr>
            <w:tcW w:w="4661" w:type="dxa"/>
            <w:noWrap/>
            <w:vAlign w:val="center"/>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MŽP SR</w:t>
            </w:r>
          </w:p>
        </w:tc>
        <w:tc>
          <w:tcPr>
            <w:tcW w:w="1267" w:type="dxa"/>
            <w:noWrap/>
            <w:vAlign w:val="center"/>
          </w:tcPr>
          <w:p w:rsidR="0093583A" w:rsidRPr="009C4F4B"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120 000</w:t>
            </w:r>
          </w:p>
        </w:tc>
        <w:tc>
          <w:tcPr>
            <w:tcW w:w="1267" w:type="dxa"/>
            <w:noWrap/>
            <w:vAlign w:val="center"/>
          </w:tcPr>
          <w:p w:rsidR="0093583A" w:rsidRPr="009C4F4B"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120 000</w:t>
            </w:r>
          </w:p>
        </w:tc>
        <w:tc>
          <w:tcPr>
            <w:tcW w:w="1267" w:type="dxa"/>
            <w:noWrap/>
            <w:vAlign w:val="center"/>
          </w:tcPr>
          <w:p w:rsidR="0093583A" w:rsidRPr="009C4F4B"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120 000</w:t>
            </w:r>
          </w:p>
        </w:tc>
        <w:tc>
          <w:tcPr>
            <w:tcW w:w="1267" w:type="dxa"/>
            <w:noWrap/>
            <w:vAlign w:val="center"/>
          </w:tcPr>
          <w:p w:rsidR="0093583A" w:rsidRPr="009C4F4B" w:rsidRDefault="0093583A" w:rsidP="00DA720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120 000</w:t>
            </w:r>
          </w:p>
        </w:tc>
      </w:tr>
      <w:tr w:rsidR="0093583A" w:rsidRPr="007D5748" w:rsidTr="00DA7207">
        <w:trPr>
          <w:trHeight w:val="70"/>
          <w:jc w:val="center"/>
        </w:trPr>
        <w:tc>
          <w:tcPr>
            <w:tcW w:w="4661" w:type="dxa"/>
            <w:shd w:val="clear" w:color="auto" w:fill="BFBFBF" w:themeFill="background1" w:themeFillShade="BF"/>
            <w:noWrap/>
            <w:vAlign w:val="center"/>
          </w:tcPr>
          <w:p w:rsidR="0093583A" w:rsidRPr="007D5748" w:rsidRDefault="0093583A" w:rsidP="00DA720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noWrap/>
            <w:vAlign w:val="center"/>
          </w:tcPr>
          <w:p w:rsidR="0093583A" w:rsidRPr="007D5748" w:rsidRDefault="0093583A" w:rsidP="00DA7207">
            <w:pPr>
              <w:spacing w:after="0" w:line="240" w:lineRule="auto"/>
              <w:jc w:val="right"/>
              <w:rPr>
                <w:rFonts w:ascii="Times New Roman" w:eastAsia="Times New Roman" w:hAnsi="Times New Roman" w:cs="Times New Roman"/>
                <w:b/>
                <w:bCs/>
                <w:sz w:val="24"/>
                <w:szCs w:val="24"/>
                <w:lang w:eastAsia="sk-SK"/>
              </w:rPr>
            </w:pPr>
          </w:p>
        </w:tc>
      </w:tr>
      <w:tr w:rsidR="0093583A" w:rsidRPr="007D5748" w:rsidTr="00DA7207">
        <w:trPr>
          <w:trHeight w:val="70"/>
          <w:jc w:val="center"/>
        </w:trPr>
        <w:tc>
          <w:tcPr>
            <w:tcW w:w="4661" w:type="dxa"/>
            <w:shd w:val="clear" w:color="auto" w:fill="A6A6A6" w:themeFill="background1" w:themeFillShade="A6"/>
            <w:noWrap/>
            <w:vAlign w:val="center"/>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324855">
              <w:rPr>
                <w:rFonts w:ascii="Times New Roman" w:eastAsia="Times New Roman" w:hAnsi="Times New Roman" w:cs="Times New Roman"/>
                <w:b/>
                <w:bCs/>
                <w:sz w:val="24"/>
                <w:szCs w:val="24"/>
                <w:lang w:eastAsia="sk-SK"/>
              </w:rPr>
              <w:t>úspora</w:t>
            </w:r>
          </w:p>
        </w:tc>
        <w:tc>
          <w:tcPr>
            <w:tcW w:w="1267" w:type="dxa"/>
            <w:shd w:val="clear" w:color="auto" w:fill="A6A6A6" w:themeFill="background1" w:themeFillShade="A6"/>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shd w:val="clear" w:color="auto" w:fill="A6A6A6" w:themeFill="background1" w:themeFillShade="A6"/>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shd w:val="clear" w:color="auto" w:fill="A6A6A6" w:themeFill="background1" w:themeFillShade="A6"/>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c>
          <w:tcPr>
            <w:tcW w:w="1267" w:type="dxa"/>
            <w:shd w:val="clear" w:color="auto" w:fill="A6A6A6" w:themeFill="background1" w:themeFillShade="A6"/>
            <w:noWrap/>
            <w:vAlign w:val="center"/>
          </w:tcPr>
          <w:p w:rsidR="0093583A" w:rsidRPr="007D5748" w:rsidRDefault="0093583A" w:rsidP="00DA7207">
            <w:pPr>
              <w:spacing w:after="0" w:line="240" w:lineRule="auto"/>
              <w:jc w:val="right"/>
              <w:rPr>
                <w:rFonts w:ascii="Times New Roman" w:eastAsia="Times New Roman" w:hAnsi="Times New Roman" w:cs="Times New Roman"/>
                <w:b/>
                <w:bCs/>
                <w:iCs/>
                <w:sz w:val="24"/>
                <w:szCs w:val="24"/>
                <w:lang w:eastAsia="sk-SK"/>
              </w:rPr>
            </w:pPr>
          </w:p>
        </w:tc>
      </w:tr>
      <w:bookmarkEnd w:id="0"/>
    </w:tbl>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93583A"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Pr="007D5748" w:rsidRDefault="0093583A" w:rsidP="0093583A">
      <w:pPr>
        <w:spacing w:after="0" w:line="240" w:lineRule="auto"/>
        <w:jc w:val="both"/>
        <w:rPr>
          <w:rFonts w:ascii="Times New Roman" w:eastAsia="Times New Roman" w:hAnsi="Times New Roman" w:cs="Times New Roman"/>
          <w:b/>
          <w:bCs/>
          <w:sz w:val="12"/>
          <w:szCs w:val="24"/>
          <w:lang w:eastAsia="sk-SK"/>
        </w:rPr>
      </w:pPr>
    </w:p>
    <w:p w:rsidR="0093583A" w:rsidRPr="007D5748" w:rsidRDefault="0093583A" w:rsidP="009358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914E2A">
        <w:rPr>
          <w:rFonts w:ascii="Times New Roman" w:hAnsi="Times New Roman" w:cs="Times New Roman"/>
          <w:sz w:val="24"/>
          <w:szCs w:val="24"/>
        </w:rPr>
        <w:t xml:space="preserve">Zvýšenie výdavkov orgánov ochrany prírody je zabezpečené v rozpočte kapitoly MŽP SR </w:t>
      </w:r>
      <w:r w:rsidRPr="00914E2A">
        <w:rPr>
          <w:rFonts w:ascii="Times New Roman" w:hAnsi="Times New Roman" w:cs="Times New Roman"/>
          <w:sz w:val="24"/>
          <w:szCs w:val="24"/>
        </w:rPr>
        <w:br/>
        <w:t>na rok 2017 a dva nasledujúce roky. Výdavky na rok 2020 budú súčasťou návrhu rozpočtu kapitoly MŽP SR na roky 2018 – 2020.</w:t>
      </w:r>
    </w:p>
    <w:p w:rsidR="0093583A" w:rsidRDefault="0093583A" w:rsidP="0093583A">
      <w:pPr>
        <w:spacing w:after="0" w:line="240" w:lineRule="auto"/>
        <w:rPr>
          <w:rFonts w:ascii="Times New Roman" w:eastAsia="Times New Roman" w:hAnsi="Times New Roman" w:cs="Times New Roman"/>
          <w:b/>
          <w:bCs/>
          <w:sz w:val="24"/>
          <w:szCs w:val="24"/>
          <w:lang w:eastAsia="sk-SK"/>
        </w:rPr>
      </w:pPr>
    </w:p>
    <w:p w:rsidR="0093583A" w:rsidRPr="007D5748" w:rsidRDefault="0093583A" w:rsidP="009358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93583A" w:rsidRPr="007D5748" w:rsidRDefault="0093583A" w:rsidP="0093583A">
      <w:pPr>
        <w:spacing w:after="0" w:line="240" w:lineRule="auto"/>
        <w:jc w:val="both"/>
        <w:rPr>
          <w:rFonts w:ascii="Times New Roman" w:eastAsia="Times New Roman" w:hAnsi="Times New Roman" w:cs="Times New Roman"/>
          <w:b/>
          <w:bCs/>
          <w:sz w:val="24"/>
          <w:szCs w:val="24"/>
          <w:lang w:eastAsia="sk-SK"/>
        </w:rPr>
      </w:pPr>
    </w:p>
    <w:p w:rsidR="0093583A" w:rsidRPr="002B58DF" w:rsidRDefault="0093583A" w:rsidP="0093583A">
      <w:pPr>
        <w:spacing w:after="120"/>
        <w:jc w:val="both"/>
        <w:rPr>
          <w:rFonts w:ascii="Times New Roman" w:eastAsiaTheme="minorEastAsia" w:hAnsi="Times New Roman" w:cs="Times New Roman"/>
          <w:sz w:val="24"/>
          <w:szCs w:val="24"/>
          <w:highlight w:val="yellow"/>
          <w:lang w:eastAsia="sk-SK"/>
        </w:rPr>
      </w:pPr>
      <w:r w:rsidRPr="002B58DF">
        <w:rPr>
          <w:rFonts w:ascii="Times New Roman" w:eastAsiaTheme="minorEastAsia" w:hAnsi="Times New Roman" w:cs="Times New Roman"/>
          <w:color w:val="000000"/>
          <w:sz w:val="24"/>
          <w:szCs w:val="24"/>
          <w:lang w:eastAsia="sk-SK"/>
        </w:rPr>
        <w:t xml:space="preserve">Návrh zákona </w:t>
      </w:r>
      <w:r w:rsidRPr="002B58DF">
        <w:rPr>
          <w:rFonts w:ascii="Times New Roman" w:eastAsiaTheme="minorEastAsia" w:hAnsi="Times New Roman" w:cs="Times New Roman"/>
          <w:bCs/>
          <w:sz w:val="24"/>
          <w:szCs w:val="24"/>
          <w:lang w:eastAsia="sk-SK"/>
        </w:rPr>
        <w:t>o prevencii a manažmente introdukcie a šírenia inváznych nepôvodných druhov</w:t>
      </w:r>
      <w:r w:rsidRPr="002B58DF">
        <w:rPr>
          <w:rFonts w:ascii="Times New Roman" w:eastAsiaTheme="minorEastAsia" w:hAnsi="Times New Roman" w:cs="Times New Roman"/>
          <w:sz w:val="24"/>
          <w:szCs w:val="24"/>
          <w:lang w:eastAsia="sk-SK"/>
        </w:rPr>
        <w:t xml:space="preserve"> a o zmene a doplnení niektorých zákonov (ďalej len „návrh zákona“) implementuje nariadenie</w:t>
      </w:r>
      <w:r w:rsidRPr="002B58DF">
        <w:rPr>
          <w:rFonts w:ascii="Times New Roman" w:eastAsiaTheme="minorEastAsia" w:hAnsi="Times New Roman" w:cs="Times New Roman"/>
          <w:bCs/>
          <w:sz w:val="24"/>
          <w:szCs w:val="24"/>
          <w:lang w:eastAsia="sk-SK"/>
        </w:rPr>
        <w:t xml:space="preserve"> Európskeho parlamentu a Rady (EÚ) č. 1143/2014 z 22. októbra 2014 o prevencii a manažmente introdukcie a šírenia inváznych nepôvodných druhov (ďalej len „nariadenie Európskej únie“) do legislatívy Slovenskej republiky </w:t>
      </w:r>
      <w:r>
        <w:rPr>
          <w:rFonts w:ascii="Times New Roman" w:eastAsiaTheme="minorEastAsia" w:hAnsi="Times New Roman" w:cs="Times New Roman"/>
          <w:bCs/>
          <w:sz w:val="24"/>
          <w:szCs w:val="24"/>
          <w:lang w:eastAsia="sk-SK"/>
        </w:rPr>
        <w:t xml:space="preserve">a </w:t>
      </w:r>
      <w:r w:rsidRPr="002B58DF">
        <w:rPr>
          <w:rFonts w:ascii="Times New Roman" w:eastAsiaTheme="minorEastAsia" w:hAnsi="Times New Roman" w:cs="Times New Roman"/>
          <w:bCs/>
          <w:sz w:val="24"/>
          <w:szCs w:val="24"/>
          <w:lang w:eastAsia="sk-SK"/>
        </w:rPr>
        <w:t>zosúlaďuje ho s platnou legislatívou na úseku prevencie a manažmentu introdukcie a šírenia inváznych nepôvodných druhov</w:t>
      </w:r>
      <w:r>
        <w:rPr>
          <w:rFonts w:ascii="Times New Roman" w:eastAsiaTheme="minorEastAsia" w:hAnsi="Times New Roman" w:cs="Times New Roman"/>
          <w:bCs/>
          <w:sz w:val="24"/>
          <w:szCs w:val="24"/>
          <w:lang w:eastAsia="sk-SK"/>
        </w:rPr>
        <w:t xml:space="preserve"> (najmä zákon č. 543/2002 Z. z. o ochrane prírody a krajiny v znení neskorších predpisov)</w:t>
      </w:r>
      <w:r w:rsidRPr="002B58DF">
        <w:rPr>
          <w:rFonts w:ascii="Times New Roman" w:eastAsiaTheme="minorEastAsia" w:hAnsi="Times New Roman" w:cs="Times New Roman"/>
          <w:bCs/>
          <w:sz w:val="24"/>
          <w:szCs w:val="24"/>
          <w:lang w:eastAsia="sk-SK"/>
        </w:rPr>
        <w:t>.</w:t>
      </w:r>
      <w:r w:rsidRPr="002B58DF">
        <w:rPr>
          <w:rFonts w:ascii="Times New Roman" w:eastAsiaTheme="minorEastAsia" w:hAnsi="Times New Roman" w:cs="Times New Roman"/>
          <w:color w:val="000000"/>
          <w:sz w:val="24"/>
          <w:szCs w:val="24"/>
          <w:lang w:eastAsia="sk-SK"/>
        </w:rPr>
        <w:t xml:space="preserve"> Návrh zákona v súlade s nariadením Európskej únie ustanovuje pravidlá na prevenciu, minimalizáciu a zmiernenie nepriaznivého vplyvu introdukcie a šírenia inváznych nepôvodných druhov na biodiverzitu </w:t>
      </w:r>
      <w:r w:rsidRPr="002B58DF">
        <w:rPr>
          <w:rFonts w:ascii="Times New Roman" w:eastAsiaTheme="minorEastAsia" w:hAnsi="Times New Roman" w:cs="Times New Roman"/>
          <w:bCs/>
          <w:sz w:val="24"/>
          <w:szCs w:val="24"/>
          <w:lang w:eastAsia="sk-SK"/>
        </w:rPr>
        <w:t>a súvisiace ekosystémové služby, ako aj ľudské zdravie, bezpečnosť a hospodárstvo</w:t>
      </w:r>
      <w:r w:rsidRPr="002B58DF">
        <w:rPr>
          <w:rFonts w:ascii="Times New Roman" w:eastAsiaTheme="minorEastAsia" w:hAnsi="Times New Roman" w:cs="Times New Roman"/>
          <w:color w:val="000000"/>
          <w:sz w:val="24"/>
          <w:szCs w:val="24"/>
          <w:lang w:eastAsia="sk-SK"/>
        </w:rPr>
        <w:t>.</w:t>
      </w:r>
    </w:p>
    <w:p w:rsidR="0093583A" w:rsidRPr="002B58DF" w:rsidRDefault="0093583A" w:rsidP="0093583A">
      <w:pPr>
        <w:spacing w:after="120"/>
        <w:jc w:val="both"/>
        <w:rPr>
          <w:rFonts w:ascii="Times New Roman" w:eastAsiaTheme="minorEastAsia" w:hAnsi="Times New Roman" w:cs="Times New Roman"/>
          <w:bCs/>
          <w:sz w:val="24"/>
          <w:szCs w:val="24"/>
          <w:lang w:eastAsia="sk-SK"/>
        </w:rPr>
      </w:pPr>
      <w:r w:rsidRPr="002B58DF">
        <w:rPr>
          <w:rFonts w:ascii="Times New Roman" w:eastAsiaTheme="minorEastAsia" w:hAnsi="Times New Roman" w:cs="Times New Roman"/>
          <w:bCs/>
          <w:sz w:val="24"/>
          <w:szCs w:val="24"/>
          <w:lang w:eastAsia="sk-SK"/>
        </w:rPr>
        <w:t>V doložke vplyvov sú uvedené vplyvy implementácie návrhu zákona, ktoré nevyplývajú z platnej legislatívy. Návrh zákona určuje kompetentné orgány pre implementáciu povinností vyplývajúcich z nariadenia Európskej únie, povinnosti fyzických a právnických osôb a stanovuje sankcie za jeho nedodržiavanie. Návrh zákona budú implementovať predovšetkým nasledovné organizácie: Ministerstvo životného prostredia Slovenskej republiky, Štátna ochrana prírody Slovenskej republiky, Slovenská inšpekcia životného prostredia, Štátna veterinárna a potravinová správa Slovenskej republiky, Ústredný kontrolný a skúšobný ústav poľnohospodársky, colné úrady, okresné úrady a obce. Z</w:t>
      </w:r>
      <w:r>
        <w:rPr>
          <w:rFonts w:ascii="Times New Roman" w:eastAsiaTheme="minorEastAsia" w:hAnsi="Times New Roman" w:cs="Times New Roman"/>
          <w:bCs/>
          <w:sz w:val="24"/>
          <w:szCs w:val="24"/>
          <w:lang w:eastAsia="sk-SK"/>
        </w:rPr>
        <w:t>oologická záhrada</w:t>
      </w:r>
      <w:r w:rsidRPr="002B58DF">
        <w:rPr>
          <w:rFonts w:ascii="Times New Roman" w:eastAsiaTheme="minorEastAsia" w:hAnsi="Times New Roman" w:cs="Times New Roman"/>
          <w:bCs/>
          <w:sz w:val="24"/>
          <w:szCs w:val="24"/>
          <w:lang w:eastAsia="sk-SK"/>
        </w:rPr>
        <w:t xml:space="preserve"> Bojnice bude plniť úlohu </w:t>
      </w:r>
      <w:r w:rsidRPr="002B58DF">
        <w:rPr>
          <w:rFonts w:ascii="Times New Roman" w:eastAsiaTheme="minorEastAsia" w:hAnsi="Times New Roman" w:cs="Times New Roman"/>
          <w:sz w:val="24"/>
          <w:szCs w:val="24"/>
          <w:lang w:eastAsia="sk-SK"/>
        </w:rPr>
        <w:t xml:space="preserve">zariadenia na držbu inváznych nepôvodných druhov so zamedzením šírenia. Návrh zákona tiež predpokladá využitie ďalších organizácií </w:t>
      </w:r>
      <w:r w:rsidRPr="002B58DF">
        <w:rPr>
          <w:rFonts w:ascii="Times New Roman" w:eastAsiaTheme="minorEastAsia" w:hAnsi="Times New Roman" w:cs="Times New Roman"/>
          <w:bCs/>
          <w:sz w:val="24"/>
          <w:szCs w:val="24"/>
          <w:lang w:eastAsia="sk-SK"/>
        </w:rPr>
        <w:t xml:space="preserve">z dôvodu potreby </w:t>
      </w:r>
      <w:r>
        <w:rPr>
          <w:rFonts w:ascii="Times New Roman" w:eastAsiaTheme="minorEastAsia" w:hAnsi="Times New Roman" w:cs="Times New Roman"/>
          <w:bCs/>
          <w:sz w:val="24"/>
          <w:szCs w:val="24"/>
          <w:lang w:eastAsia="sk-SK"/>
        </w:rPr>
        <w:t xml:space="preserve">vykonávania prieskumu a </w:t>
      </w:r>
      <w:r w:rsidRPr="002B58DF">
        <w:rPr>
          <w:rFonts w:ascii="Times New Roman" w:eastAsiaTheme="minorEastAsia" w:hAnsi="Times New Roman" w:cs="Times New Roman"/>
          <w:bCs/>
          <w:sz w:val="24"/>
          <w:szCs w:val="24"/>
          <w:lang w:eastAsia="sk-SK"/>
        </w:rPr>
        <w:t>monitoring</w:t>
      </w:r>
      <w:r>
        <w:rPr>
          <w:rFonts w:ascii="Times New Roman" w:eastAsiaTheme="minorEastAsia" w:hAnsi="Times New Roman" w:cs="Times New Roman"/>
          <w:bCs/>
          <w:sz w:val="24"/>
          <w:szCs w:val="24"/>
          <w:lang w:eastAsia="sk-SK"/>
        </w:rPr>
        <w:t>u</w:t>
      </w:r>
      <w:r w:rsidRPr="002B58DF">
        <w:rPr>
          <w:rFonts w:ascii="Times New Roman" w:eastAsiaTheme="minorEastAsia" w:hAnsi="Times New Roman" w:cs="Times New Roman"/>
          <w:bCs/>
          <w:sz w:val="24"/>
          <w:szCs w:val="24"/>
          <w:lang w:eastAsia="sk-SK"/>
        </w:rPr>
        <w:t xml:space="preserve"> inváznych nepôvodných druhov (napr. Národné lesnícke centrum, Výskumný ústav vodného hospodárstva a ďalšie).</w:t>
      </w:r>
    </w:p>
    <w:p w:rsidR="0093583A" w:rsidRDefault="0093583A" w:rsidP="0093583A">
      <w:pPr>
        <w:spacing w:after="0"/>
        <w:rPr>
          <w:rFonts w:ascii="Times New Roman" w:eastAsia="Times New Roman" w:hAnsi="Times New Roman" w:cs="Times New Roman"/>
          <w:sz w:val="24"/>
          <w:szCs w:val="24"/>
          <w:lang w:eastAsia="sk-SK"/>
        </w:rPr>
      </w:pPr>
      <w:r w:rsidRPr="002B58DF">
        <w:rPr>
          <w:rFonts w:ascii="Times New Roman" w:eastAsia="Times New Roman" w:hAnsi="Times New Roman" w:cs="Times New Roman"/>
          <w:sz w:val="24"/>
          <w:szCs w:val="24"/>
          <w:lang w:eastAsia="sk-SK"/>
        </w:rPr>
        <w:t>Hlavným gestorom návrhu zákona a implementácie nariadenia E</w:t>
      </w:r>
      <w:r>
        <w:rPr>
          <w:rFonts w:ascii="Times New Roman" w:eastAsia="Times New Roman" w:hAnsi="Times New Roman" w:cs="Times New Roman"/>
          <w:sz w:val="24"/>
          <w:szCs w:val="24"/>
          <w:lang w:eastAsia="sk-SK"/>
        </w:rPr>
        <w:t>urópskej únie</w:t>
      </w:r>
      <w:r w:rsidRPr="002B58DF">
        <w:rPr>
          <w:rFonts w:ascii="Times New Roman" w:eastAsia="Times New Roman" w:hAnsi="Times New Roman" w:cs="Times New Roman"/>
          <w:sz w:val="24"/>
          <w:szCs w:val="24"/>
          <w:lang w:eastAsia="sk-SK"/>
        </w:rPr>
        <w:t xml:space="preserve"> je Ministerstvo životného prostredia Slovenskej republiky. Spolugestormi sú Ministerstvo pôdohospodárstva a rozvoja vidieka Slovenskej republiky a Ministerstvo financií Slovenskej republiky.</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lastRenderedPageBreak/>
        <w:t xml:space="preserve">     </w:t>
      </w:r>
      <w:r w:rsidRPr="007D5748">
        <w:rPr>
          <w:rFonts w:ascii="Times New Roman" w:eastAsia="Times New Roman" w:hAnsi="Times New Roman" w:cs="Times New Roman"/>
          <w:sz w:val="24"/>
          <w:szCs w:val="24"/>
          <w:lang w:eastAsia="sk-SK"/>
        </w:rPr>
        <w:t xml:space="preserve">  iné </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93583A" w:rsidRPr="007D5748" w:rsidRDefault="0093583A" w:rsidP="0093583A">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3583A" w:rsidRPr="007D5748" w:rsidTr="00DA7207">
        <w:trPr>
          <w:cantSplit/>
          <w:trHeight w:val="70"/>
        </w:trPr>
        <w:tc>
          <w:tcPr>
            <w:tcW w:w="4530" w:type="dxa"/>
            <w:vMerge w:val="restart"/>
            <w:shd w:val="clear" w:color="auto" w:fill="BFBFBF" w:themeFill="background1" w:themeFillShade="BF"/>
            <w:vAlign w:val="center"/>
          </w:tcPr>
          <w:p w:rsidR="0093583A" w:rsidRPr="007D5748" w:rsidRDefault="0093583A" w:rsidP="00DA720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93583A" w:rsidRPr="007D5748" w:rsidRDefault="0093583A" w:rsidP="00DA720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93583A" w:rsidRPr="007D5748" w:rsidTr="00DA7207">
        <w:trPr>
          <w:cantSplit/>
          <w:trHeight w:val="70"/>
        </w:trPr>
        <w:tc>
          <w:tcPr>
            <w:tcW w:w="4530" w:type="dxa"/>
            <w:vMerge/>
            <w:shd w:val="clear" w:color="auto" w:fill="BFBFBF" w:themeFill="background1" w:themeFillShade="BF"/>
          </w:tcPr>
          <w:p w:rsidR="0093583A" w:rsidRPr="007D5748" w:rsidRDefault="0093583A" w:rsidP="00DA720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93583A" w:rsidRPr="007D5748" w:rsidTr="00DA7207">
        <w:trPr>
          <w:trHeight w:val="70"/>
        </w:trPr>
        <w:tc>
          <w:tcPr>
            <w:tcW w:w="4530" w:type="dxa"/>
          </w:tcPr>
          <w:p w:rsidR="0093583A" w:rsidRPr="007D5748" w:rsidRDefault="0093583A" w:rsidP="00DA720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93583A" w:rsidRPr="007D5748" w:rsidTr="00DA7207">
        <w:trPr>
          <w:trHeight w:val="70"/>
        </w:trPr>
        <w:tc>
          <w:tcPr>
            <w:tcW w:w="4530" w:type="dxa"/>
          </w:tcPr>
          <w:p w:rsidR="0093583A" w:rsidRPr="007D5748" w:rsidRDefault="0093583A" w:rsidP="00DA720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93583A" w:rsidRPr="007D5748" w:rsidTr="00DA7207">
        <w:trPr>
          <w:trHeight w:val="70"/>
        </w:trPr>
        <w:tc>
          <w:tcPr>
            <w:tcW w:w="4530" w:type="dxa"/>
          </w:tcPr>
          <w:p w:rsidR="0093583A" w:rsidRPr="007D5748" w:rsidRDefault="0093583A" w:rsidP="00DA720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93583A" w:rsidRPr="007D5748" w:rsidRDefault="0093583A" w:rsidP="00DA720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93583A" w:rsidRPr="007D5748" w:rsidRDefault="0093583A" w:rsidP="0093583A">
      <w:pPr>
        <w:spacing w:after="0" w:line="240" w:lineRule="auto"/>
        <w:rPr>
          <w:rFonts w:ascii="Times New Roman" w:eastAsia="Times New Roman" w:hAnsi="Times New Roman" w:cs="Times New Roman"/>
          <w:sz w:val="24"/>
          <w:szCs w:val="24"/>
          <w:lang w:eastAsia="sk-SK"/>
        </w:rPr>
      </w:pPr>
    </w:p>
    <w:p w:rsidR="0093583A" w:rsidRPr="007D5748" w:rsidRDefault="0093583A" w:rsidP="0093583A">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3583A" w:rsidRPr="007D5748" w:rsidRDefault="0093583A" w:rsidP="0093583A">
      <w:pPr>
        <w:spacing w:after="0" w:line="240" w:lineRule="auto"/>
        <w:jc w:val="both"/>
        <w:rPr>
          <w:rFonts w:ascii="Times New Roman" w:eastAsia="Times New Roman" w:hAnsi="Times New Roman" w:cs="Times New Roman"/>
          <w:sz w:val="24"/>
          <w:szCs w:val="24"/>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sectPr w:rsidR="0093583A" w:rsidRPr="007D5748" w:rsidSect="00266D5A">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pgNumType w:start="1"/>
          <w:cols w:space="708"/>
          <w:docGrid w:linePitch="360"/>
        </w:sectPr>
      </w:pPr>
    </w:p>
    <w:p w:rsidR="0093583A" w:rsidRPr="007D5748" w:rsidRDefault="0093583A" w:rsidP="0093583A">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5000" w:type="pct"/>
        <w:tblCellMar>
          <w:left w:w="70" w:type="dxa"/>
          <w:right w:w="70" w:type="dxa"/>
        </w:tblCellMar>
        <w:tblLook w:val="0000" w:firstRow="0" w:lastRow="0" w:firstColumn="0" w:lastColumn="0" w:noHBand="0" w:noVBand="0"/>
      </w:tblPr>
      <w:tblGrid>
        <w:gridCol w:w="3130"/>
        <w:gridCol w:w="702"/>
        <w:gridCol w:w="702"/>
        <w:gridCol w:w="702"/>
        <w:gridCol w:w="704"/>
        <w:gridCol w:w="8204"/>
      </w:tblGrid>
      <w:tr w:rsidR="0093583A" w:rsidRPr="007D5748" w:rsidTr="00DA7207">
        <w:trPr>
          <w:cantSplit/>
          <w:trHeight w:val="255"/>
        </w:trPr>
        <w:tc>
          <w:tcPr>
            <w:tcW w:w="110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993" w:type="pct"/>
            <w:gridSpan w:val="4"/>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9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3583A" w:rsidRPr="007D5748" w:rsidTr="00DA7207">
        <w:trPr>
          <w:cantSplit/>
          <w:trHeight w:val="255"/>
        </w:trPr>
        <w:tc>
          <w:tcPr>
            <w:tcW w:w="1107" w:type="pct"/>
            <w:vMerge/>
            <w:tcBorders>
              <w:top w:val="single" w:sz="4" w:space="0" w:color="auto"/>
              <w:left w:val="single" w:sz="4" w:space="0" w:color="auto"/>
              <w:bottom w:val="single" w:sz="4" w:space="0" w:color="auto"/>
              <w:right w:val="single" w:sz="4" w:space="0" w:color="auto"/>
            </w:tcBorders>
            <w:vAlign w:val="center"/>
          </w:tcPr>
          <w:p w:rsidR="0093583A" w:rsidRPr="007D5748" w:rsidRDefault="0093583A" w:rsidP="00DA7207">
            <w:pPr>
              <w:spacing w:after="0" w:line="240" w:lineRule="auto"/>
              <w:rPr>
                <w:rFonts w:ascii="Times New Roman" w:eastAsia="Times New Roman" w:hAnsi="Times New Roman" w:cs="Times New Roman"/>
                <w:b/>
                <w:bCs/>
                <w:color w:val="FFFFFF"/>
                <w:sz w:val="24"/>
                <w:szCs w:val="24"/>
                <w:lang w:eastAsia="sk-SK"/>
              </w:rPr>
            </w:pPr>
          </w:p>
        </w:tc>
        <w:tc>
          <w:tcPr>
            <w:tcW w:w="248" w:type="pct"/>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248" w:type="pct"/>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8" w:type="pct"/>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8" w:type="pct"/>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900" w:type="pct"/>
            <w:vMerge/>
            <w:tcBorders>
              <w:top w:val="single" w:sz="4" w:space="0" w:color="auto"/>
              <w:left w:val="single" w:sz="4" w:space="0" w:color="auto"/>
              <w:bottom w:val="single" w:sz="4" w:space="0" w:color="auto"/>
              <w:right w:val="single" w:sz="4" w:space="0" w:color="auto"/>
            </w:tcBorders>
            <w:vAlign w:val="center"/>
          </w:tcPr>
          <w:p w:rsidR="0093583A" w:rsidRPr="007D5748" w:rsidRDefault="0093583A" w:rsidP="00DA7207">
            <w:pPr>
              <w:spacing w:after="0" w:line="240" w:lineRule="auto"/>
              <w:rPr>
                <w:rFonts w:ascii="Times New Roman" w:eastAsia="Times New Roman" w:hAnsi="Times New Roman" w:cs="Times New Roman"/>
                <w:b/>
                <w:bCs/>
                <w:color w:val="FFFFFF"/>
                <w:sz w:val="24"/>
                <w:szCs w:val="24"/>
                <w:lang w:eastAsia="sk-SK"/>
              </w:rPr>
            </w:pP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900" w:type="pct"/>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p>
        </w:tc>
        <w:tc>
          <w:tcPr>
            <w:tcW w:w="2900" w:type="pct"/>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určité príjmy budú z pokút za nedodržanie zákona – presná hodnota sa nedá určiť</w:t>
            </w: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900" w:type="pct"/>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D5748">
              <w:rPr>
                <w:rFonts w:ascii="Times New Roman" w:eastAsia="Times New Roman" w:hAnsi="Times New Roman" w:cs="Times New Roman"/>
                <w:b/>
                <w:bCs/>
                <w:sz w:val="24"/>
                <w:szCs w:val="24"/>
                <w:lang w:eastAsia="sk-SK"/>
              </w:rPr>
              <w:t> </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D5748">
              <w:rPr>
                <w:rFonts w:ascii="Times New Roman" w:eastAsia="Times New Roman" w:hAnsi="Times New Roman" w:cs="Times New Roman"/>
                <w:b/>
                <w:bCs/>
                <w:sz w:val="24"/>
                <w:szCs w:val="24"/>
                <w:lang w:eastAsia="sk-SK"/>
              </w:rPr>
              <w:t> </w:t>
            </w:r>
          </w:p>
        </w:tc>
        <w:tc>
          <w:tcPr>
            <w:tcW w:w="2900" w:type="pct"/>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D5748">
              <w:rPr>
                <w:rFonts w:ascii="Times New Roman" w:eastAsia="Times New Roman" w:hAnsi="Times New Roman" w:cs="Times New Roman"/>
                <w:b/>
                <w:bCs/>
                <w:sz w:val="24"/>
                <w:szCs w:val="24"/>
                <w:lang w:eastAsia="sk-SK"/>
              </w:rPr>
              <w:t> </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D5748">
              <w:rPr>
                <w:rFonts w:ascii="Times New Roman" w:eastAsia="Times New Roman" w:hAnsi="Times New Roman" w:cs="Times New Roman"/>
                <w:b/>
                <w:bCs/>
                <w:sz w:val="24"/>
                <w:szCs w:val="24"/>
                <w:lang w:eastAsia="sk-SK"/>
              </w:rPr>
              <w:t> </w:t>
            </w:r>
          </w:p>
        </w:tc>
        <w:tc>
          <w:tcPr>
            <w:tcW w:w="2900" w:type="pct"/>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1107" w:type="pct"/>
            <w:tcBorders>
              <w:top w:val="nil"/>
              <w:left w:val="single" w:sz="4" w:space="0" w:color="auto"/>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248" w:type="pct"/>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8" w:type="pct"/>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900" w:type="pct"/>
            <w:tcBorders>
              <w:top w:val="nil"/>
              <w:left w:val="nil"/>
              <w:bottom w:val="single" w:sz="4" w:space="0" w:color="auto"/>
              <w:right w:val="single" w:sz="4" w:space="0" w:color="auto"/>
            </w:tcBorders>
            <w:shd w:val="clear" w:color="auto" w:fill="BFBFBF" w:themeFill="background1" w:themeFillShade="BF"/>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určité príjmy budú z pokút za nedodržanie zákona – </w:t>
            </w:r>
            <w:r w:rsidRPr="00501CDB">
              <w:rPr>
                <w:rFonts w:ascii="Times New Roman" w:eastAsia="Times New Roman" w:hAnsi="Times New Roman" w:cs="Times New Roman"/>
                <w:b/>
                <w:sz w:val="24"/>
                <w:szCs w:val="24"/>
                <w:lang w:eastAsia="sk-SK"/>
              </w:rPr>
              <w:t>presná hodnota sa nedá určiť</w:t>
            </w:r>
          </w:p>
        </w:tc>
      </w:tr>
    </w:tbl>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p>
    <w:p w:rsidR="0093583A" w:rsidRPr="007D5748" w:rsidRDefault="0093583A" w:rsidP="0093583A">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93583A" w:rsidRPr="007D5748" w:rsidRDefault="0093583A" w:rsidP="0093583A">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93583A" w:rsidRPr="007D5748" w:rsidRDefault="0093583A" w:rsidP="0093583A">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93583A" w:rsidRPr="00674BCE" w:rsidRDefault="0093583A" w:rsidP="0093583A">
      <w:pPr>
        <w:tabs>
          <w:tab w:val="num" w:pos="1080"/>
        </w:tabs>
        <w:spacing w:after="0" w:line="240" w:lineRule="auto"/>
        <w:jc w:val="both"/>
        <w:rPr>
          <w:rFonts w:ascii="Times New Roman" w:eastAsia="Times New Roman" w:hAnsi="Times New Roman" w:cs="Times New Roman"/>
          <w:b/>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3583A" w:rsidRPr="007D5748" w:rsidTr="00DA720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3583A" w:rsidRPr="007D5748" w:rsidTr="00DA720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3583A" w:rsidRPr="007D5748" w:rsidRDefault="0093583A" w:rsidP="00DA7207">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93583A" w:rsidRPr="007D5748" w:rsidRDefault="0093583A" w:rsidP="00DA7207">
            <w:pPr>
              <w:spacing w:after="0" w:line="240" w:lineRule="auto"/>
              <w:rPr>
                <w:rFonts w:ascii="Times New Roman" w:eastAsia="Times New Roman" w:hAnsi="Times New Roman" w:cs="Times New Roman"/>
                <w:b/>
                <w:bCs/>
                <w:color w:val="FFFFFF"/>
                <w:sz w:val="24"/>
                <w:szCs w:val="24"/>
                <w:lang w:eastAsia="sk-SK"/>
              </w:rPr>
            </w:pP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120 </w:t>
            </w:r>
            <w:r w:rsidRPr="00382B5E">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120 </w:t>
            </w:r>
            <w:r w:rsidRPr="00382B5E">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120 </w:t>
            </w:r>
            <w:r w:rsidRPr="00382B5E">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120 </w:t>
            </w:r>
            <w:r w:rsidRPr="00382B5E">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sidRPr="00382B5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sidRPr="00382B5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15 000</w:t>
            </w:r>
          </w:p>
        </w:tc>
        <w:tc>
          <w:tcPr>
            <w:tcW w:w="2220" w:type="dxa"/>
            <w:tcBorders>
              <w:top w:val="nil"/>
              <w:left w:val="nil"/>
              <w:bottom w:val="single" w:sz="4" w:space="0" w:color="auto"/>
              <w:right w:val="single" w:sz="4" w:space="0" w:color="auto"/>
            </w:tcBorders>
            <w:noWrap/>
            <w:vAlign w:val="bottom"/>
          </w:tcPr>
          <w:p w:rsidR="0093583A" w:rsidRPr="00382B5E" w:rsidRDefault="0093583A" w:rsidP="00DA7207">
            <w:pPr>
              <w:spacing w:after="0" w:line="240" w:lineRule="auto"/>
              <w:rPr>
                <w:rFonts w:ascii="Times New Roman" w:eastAsia="Times New Roman" w:hAnsi="Times New Roman" w:cs="Times New Roman"/>
                <w:sz w:val="20"/>
                <w:szCs w:val="20"/>
                <w:lang w:eastAsia="sk-SK"/>
              </w:rPr>
            </w:pP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5D0FCF" w:rsidRDefault="0093583A" w:rsidP="00DA720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  </w:t>
            </w:r>
            <w:r w:rsidRPr="005D0FCF">
              <w:rPr>
                <w:rFonts w:ascii="Times New Roman" w:eastAsia="Times New Roman" w:hAnsi="Times New Roman" w:cs="Times New Roman"/>
                <w:i/>
                <w:sz w:val="20"/>
                <w:szCs w:val="20"/>
                <w:lang w:eastAsia="sk-SK"/>
              </w:rPr>
              <w:t>v tom: 637/podprogram 07601</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15 000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15 000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105 000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105 000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105 000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105 000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vAlign w:val="center"/>
          </w:tcPr>
          <w:p w:rsidR="0093583A" w:rsidRPr="005D0FCF" w:rsidRDefault="0093583A" w:rsidP="00DA7207">
            <w:pPr>
              <w:spacing w:after="0" w:line="240" w:lineRule="auto"/>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 xml:space="preserve"> z toho: príspevkové organizácie (641001)</w:t>
            </w:r>
          </w:p>
          <w:p w:rsidR="0093583A" w:rsidRPr="005D0FCF" w:rsidRDefault="0093583A" w:rsidP="00DA7207">
            <w:pPr>
              <w:spacing w:after="0" w:line="240" w:lineRule="auto"/>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 xml:space="preserve">              v tom: ŠOP SR (0750501)</w:t>
            </w:r>
          </w:p>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5D0FCF">
              <w:rPr>
                <w:rFonts w:ascii="Times New Roman" w:eastAsia="Times New Roman" w:hAnsi="Times New Roman" w:cs="Times New Roman"/>
                <w:i/>
                <w:sz w:val="20"/>
                <w:szCs w:val="20"/>
                <w:lang w:eastAsia="sk-SK"/>
              </w:rPr>
              <w:t xml:space="preserve">                         ZOO Bojnice (0750501)</w:t>
            </w:r>
            <w:r>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10</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8</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20 000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105</w:t>
            </w:r>
            <w:r w:rsidRPr="005D0FCF">
              <w:rPr>
                <w:rFonts w:ascii="Times New Roman" w:eastAsia="Times New Roman" w:hAnsi="Times New Roman" w:cs="Times New Roman"/>
                <w:i/>
                <w:sz w:val="20"/>
                <w:szCs w:val="20"/>
                <w:lang w:eastAsia="sk-SK"/>
              </w:rPr>
              <w:t xml:space="preserve">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85</w:t>
            </w:r>
            <w:r w:rsidRPr="005D0FCF">
              <w:rPr>
                <w:rFonts w:ascii="Times New Roman" w:eastAsia="Times New Roman" w:hAnsi="Times New Roman" w:cs="Times New Roman"/>
                <w:i/>
                <w:sz w:val="20"/>
                <w:szCs w:val="20"/>
                <w:lang w:eastAsia="sk-SK"/>
              </w:rPr>
              <w:t>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20 000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10</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8</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20 000</w:t>
            </w:r>
          </w:p>
        </w:tc>
        <w:tc>
          <w:tcPr>
            <w:tcW w:w="1540" w:type="dxa"/>
            <w:tcBorders>
              <w:top w:val="nil"/>
              <w:left w:val="nil"/>
              <w:bottom w:val="single" w:sz="4" w:space="0" w:color="auto"/>
              <w:right w:val="single" w:sz="4" w:space="0" w:color="auto"/>
            </w:tcBorders>
            <w:vAlign w:val="center"/>
          </w:tcPr>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10</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8</w:t>
            </w:r>
            <w:r w:rsidRPr="005D0FCF">
              <w:rPr>
                <w:rFonts w:ascii="Times New Roman" w:eastAsia="Times New Roman" w:hAnsi="Times New Roman" w:cs="Times New Roman"/>
                <w:i/>
                <w:sz w:val="20"/>
                <w:szCs w:val="20"/>
                <w:lang w:eastAsia="sk-SK"/>
              </w:rPr>
              <w:t>5 000</w:t>
            </w:r>
          </w:p>
          <w:p w:rsidR="0093583A" w:rsidRPr="005D0FCF" w:rsidRDefault="0093583A" w:rsidP="00DA7207">
            <w:pPr>
              <w:spacing w:after="0" w:line="240" w:lineRule="auto"/>
              <w:jc w:val="center"/>
              <w:rPr>
                <w:rFonts w:ascii="Times New Roman" w:eastAsia="Times New Roman" w:hAnsi="Times New Roman" w:cs="Times New Roman"/>
                <w:i/>
                <w:sz w:val="20"/>
                <w:szCs w:val="20"/>
                <w:lang w:eastAsia="sk-SK"/>
              </w:rPr>
            </w:pPr>
            <w:r w:rsidRPr="005D0FCF">
              <w:rPr>
                <w:rFonts w:ascii="Times New Roman" w:eastAsia="Times New Roman" w:hAnsi="Times New Roman" w:cs="Times New Roman"/>
                <w:i/>
                <w:sz w:val="20"/>
                <w:szCs w:val="20"/>
                <w:lang w:eastAsia="sk-SK"/>
              </w:rPr>
              <w:t>20 000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vAlign w:val="center"/>
          </w:tcPr>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sidRPr="00382B5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b/>
                <w:bCs/>
                <w:sz w:val="20"/>
                <w:szCs w:val="20"/>
                <w:lang w:eastAsia="sk-SK"/>
              </w:rPr>
            </w:pPr>
            <w:r w:rsidRPr="00382B5E">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sidRPr="00382B5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7D5748" w:rsidRDefault="0093583A" w:rsidP="00DA720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93583A" w:rsidRPr="00382B5E" w:rsidRDefault="0093583A" w:rsidP="00DA7207">
            <w:pPr>
              <w:spacing w:after="0" w:line="240" w:lineRule="auto"/>
              <w:jc w:val="center"/>
              <w:rPr>
                <w:rFonts w:ascii="Times New Roman" w:eastAsia="Times New Roman" w:hAnsi="Times New Roman" w:cs="Times New Roman"/>
                <w:sz w:val="20"/>
                <w:szCs w:val="20"/>
                <w:lang w:eastAsia="sk-SK"/>
              </w:rPr>
            </w:pPr>
            <w:r w:rsidRPr="00382B5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93583A" w:rsidRPr="00382B5E" w:rsidRDefault="0093583A" w:rsidP="00DA7207">
            <w:pPr>
              <w:spacing w:after="0" w:line="240" w:lineRule="auto"/>
              <w:jc w:val="center"/>
              <w:rPr>
                <w:rFonts w:ascii="Times New Roman" w:eastAsia="Times New Roman" w:hAnsi="Times New Roman" w:cs="Times New Roman"/>
                <w:b/>
                <w:bCs/>
                <w:sz w:val="20"/>
                <w:szCs w:val="20"/>
                <w:lang w:eastAsia="sk-SK"/>
              </w:rPr>
            </w:pPr>
            <w:r w:rsidRPr="00382B5E">
              <w:rPr>
                <w:rFonts w:ascii="Times New Roman" w:eastAsia="Times New Roman" w:hAnsi="Times New Roman" w:cs="Times New Roman"/>
                <w:b/>
                <w:bCs/>
                <w:sz w:val="20"/>
                <w:szCs w:val="20"/>
                <w:lang w:eastAsia="sk-SK"/>
              </w:rPr>
              <w:t>0 </w:t>
            </w:r>
          </w:p>
        </w:tc>
        <w:tc>
          <w:tcPr>
            <w:tcW w:w="2220" w:type="dxa"/>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120 00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120 00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120 00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120 00</w:t>
            </w: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93583A" w:rsidRPr="007D5748" w:rsidRDefault="0093583A" w:rsidP="0093583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93583A" w:rsidRPr="007D5748" w:rsidRDefault="0093583A" w:rsidP="0093583A">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93583A" w:rsidRPr="007D5748" w:rsidRDefault="0093583A" w:rsidP="0093583A">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93583A" w:rsidRPr="007D5748" w:rsidRDefault="0093583A" w:rsidP="0093583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93583A" w:rsidRDefault="0093583A" w:rsidP="0093583A">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3583A" w:rsidRDefault="0093583A" w:rsidP="0093583A">
      <w:pPr>
        <w:tabs>
          <w:tab w:val="num" w:pos="1080"/>
        </w:tabs>
        <w:spacing w:after="0" w:line="240" w:lineRule="auto"/>
        <w:ind w:left="-900"/>
        <w:jc w:val="both"/>
        <w:rPr>
          <w:rFonts w:ascii="Times New Roman" w:hAnsi="Times New Roman"/>
          <w:bCs/>
          <w:sz w:val="24"/>
          <w:szCs w:val="24"/>
        </w:rPr>
      </w:pPr>
      <w:r>
        <w:rPr>
          <w:rFonts w:ascii="Times New Roman" w:eastAsia="Times New Roman" w:hAnsi="Times New Roman" w:cs="Times New Roman"/>
          <w:bCs/>
          <w:sz w:val="24"/>
          <w:szCs w:val="24"/>
          <w:lang w:eastAsia="sk-SK"/>
        </w:rPr>
        <w:t>V rámci položky tovary a služby sú vyčíslené výdavky, ktoré vzniknú v súvislosti so školením zamestnancov orgánov štátnej správy na úseku</w:t>
      </w:r>
      <w:r w:rsidRPr="00914E2A">
        <w:rPr>
          <w:rFonts w:ascii="Times New Roman" w:hAnsi="Times New Roman"/>
          <w:bCs/>
          <w:sz w:val="24"/>
          <w:szCs w:val="24"/>
        </w:rPr>
        <w:t xml:space="preserve"> </w:t>
      </w:r>
      <w:r>
        <w:rPr>
          <w:rFonts w:ascii="Times New Roman" w:hAnsi="Times New Roman"/>
          <w:bCs/>
          <w:sz w:val="24"/>
          <w:szCs w:val="24"/>
        </w:rPr>
        <w:t>prevencie</w:t>
      </w:r>
      <w:r w:rsidRPr="008A7822">
        <w:rPr>
          <w:rFonts w:ascii="Times New Roman" w:hAnsi="Times New Roman"/>
          <w:bCs/>
          <w:sz w:val="24"/>
          <w:szCs w:val="24"/>
        </w:rPr>
        <w:t xml:space="preserve"> a manažment</w:t>
      </w:r>
      <w:r>
        <w:rPr>
          <w:rFonts w:ascii="Times New Roman" w:hAnsi="Times New Roman"/>
          <w:bCs/>
          <w:sz w:val="24"/>
          <w:szCs w:val="24"/>
        </w:rPr>
        <w:t>u</w:t>
      </w:r>
      <w:r w:rsidRPr="008A7822">
        <w:rPr>
          <w:rFonts w:ascii="Times New Roman" w:hAnsi="Times New Roman"/>
          <w:bCs/>
          <w:sz w:val="24"/>
          <w:szCs w:val="24"/>
        </w:rPr>
        <w:t xml:space="preserve"> introdukcie a šírenia inváznych nepôvodných druhov</w:t>
      </w:r>
      <w:r>
        <w:rPr>
          <w:rFonts w:ascii="Times New Roman" w:hAnsi="Times New Roman"/>
          <w:bCs/>
          <w:sz w:val="24"/>
          <w:szCs w:val="24"/>
        </w:rPr>
        <w:t xml:space="preserve"> </w:t>
      </w:r>
      <w:r>
        <w:rPr>
          <w:rFonts w:ascii="Times New Roman" w:eastAsia="Times New Roman" w:hAnsi="Times New Roman" w:cs="Times New Roman"/>
          <w:bCs/>
          <w:sz w:val="24"/>
          <w:szCs w:val="24"/>
          <w:lang w:eastAsia="sk-SK"/>
        </w:rPr>
        <w:t>(SIŽP, OÚ, ŠPaVS SR, ÚKSUP, CÚ)</w:t>
      </w:r>
      <w:r>
        <w:rPr>
          <w:rFonts w:ascii="Times New Roman" w:hAnsi="Times New Roman"/>
          <w:bCs/>
          <w:sz w:val="24"/>
          <w:szCs w:val="24"/>
        </w:rPr>
        <w:t>, ktoré bude zabezpečovať MŽP SR ako ústredný orgán štátnej správy, ako aj v súvislosti s potrebou vypracovania analýz na účely hodnotenia rizík šírenia inváznych nepôvodných druhov a ich prienikových ciest, ktoré budú podkladom pre rozhodovaciu činnosť orgánov štátnej správy, resp. vyhotovenie akčných plánov.</w:t>
      </w:r>
      <w:r w:rsidRPr="00DD00C9">
        <w:rPr>
          <w:rFonts w:ascii="Times New Roman" w:hAnsi="Times New Roman"/>
          <w:bCs/>
          <w:sz w:val="24"/>
          <w:szCs w:val="24"/>
        </w:rPr>
        <w:t xml:space="preserve"> </w:t>
      </w:r>
      <w:r>
        <w:rPr>
          <w:rFonts w:ascii="Times New Roman" w:hAnsi="Times New Roman"/>
          <w:bCs/>
          <w:sz w:val="24"/>
          <w:szCs w:val="24"/>
        </w:rPr>
        <w:t>V rámci položky bežné transfery sú vyčíslené výdavky, ktoré</w:t>
      </w:r>
      <w:r>
        <w:rPr>
          <w:rFonts w:ascii="Times New Roman" w:eastAsia="Times New Roman" w:hAnsi="Times New Roman" w:cs="Times New Roman"/>
          <w:bCs/>
          <w:sz w:val="24"/>
          <w:szCs w:val="24"/>
          <w:lang w:eastAsia="sk-SK"/>
        </w:rPr>
        <w:t xml:space="preserve"> </w:t>
      </w:r>
      <w:r>
        <w:rPr>
          <w:rFonts w:ascii="Times New Roman" w:hAnsi="Times New Roman"/>
          <w:bCs/>
          <w:sz w:val="24"/>
          <w:szCs w:val="24"/>
        </w:rPr>
        <w:t xml:space="preserve">vzniknú v súvislosti s vykonávaním rýchlej eradikácie inváznych nepôvodných druhov (nákup herbicídnych prípravkov a úhrada za veterinárne služby a služby spojené s likvidáciou inváznych nepôvodných druhov), ktorú bude zabezpečovať ŠOP SR a v súvislosti s umiestnením jedincov inváznych nepôvodných druhov v zariadení na držbu inváznych nepôvodných druhov so zamedzením šírenia (ZOO Bojnice) a starostlivosťou o ne, príp. ich likvidáciou (úhrada nákladov vzniknutých pri prevádzke zariadenia, zabezpečenie potravy pre živočíchy, úhrada nákladov </w:t>
      </w:r>
      <w:r>
        <w:rPr>
          <w:rFonts w:ascii="Times New Roman" w:hAnsi="Times New Roman"/>
          <w:bCs/>
          <w:sz w:val="24"/>
          <w:szCs w:val="24"/>
        </w:rPr>
        <w:lastRenderedPageBreak/>
        <w:t xml:space="preserve">za veterinárne služby). Navýšenie finančných prostriedkov pre ŠOP SR oproti pôvodnému návrhu Analýzy vplyvov na rozpočet verejnej správy na zamestnanosť vo verejnej správe a financovania návrhu vyplynulo z uplatnených pripomienok v medzirezortnom pripomienkovom konaní. Toto navýšenie je nevyhnutné z dôvodu potreby zabezpečenia rýchlej súčinnosti ŠOP SR s colnými úradmi pri identifikácii inváznych nepôvodných druhov vzbudzujúcich obavy Únie a zabezpečenia ich následného transportu do ZOO Bojnice.      </w:t>
      </w:r>
    </w:p>
    <w:p w:rsidR="0093583A" w:rsidRDefault="0093583A" w:rsidP="0093583A">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hAnsi="Times New Roman"/>
          <w:bCs/>
          <w:sz w:val="24"/>
          <w:szCs w:val="24"/>
        </w:rPr>
        <w:t xml:space="preserve"> </w:t>
      </w:r>
      <w:r>
        <w:rPr>
          <w:rFonts w:ascii="Times New Roman" w:eastAsia="Times New Roman" w:hAnsi="Times New Roman" w:cs="Times New Roman"/>
          <w:bCs/>
          <w:sz w:val="24"/>
          <w:szCs w:val="24"/>
          <w:lang w:eastAsia="sk-SK"/>
        </w:rPr>
        <w:t xml:space="preserve">   </w:t>
      </w:r>
    </w:p>
    <w:p w:rsidR="0093583A" w:rsidRPr="007D5748" w:rsidRDefault="0093583A" w:rsidP="0093583A">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3583A" w:rsidRPr="007D5748" w:rsidTr="00DA7207">
        <w:trPr>
          <w:cantSplit/>
          <w:trHeight w:val="255"/>
        </w:trPr>
        <w:tc>
          <w:tcPr>
            <w:tcW w:w="6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583A" w:rsidRPr="007D5748" w:rsidRDefault="0093583A" w:rsidP="00DA7207">
            <w:pPr>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583A" w:rsidRPr="007D5748" w:rsidRDefault="0093583A" w:rsidP="00DA7207">
            <w:pPr>
              <w:spacing w:after="0" w:line="240" w:lineRule="auto"/>
              <w:rPr>
                <w:rFonts w:ascii="Times New Roman" w:eastAsia="Times New Roman" w:hAnsi="Times New Roman" w:cs="Times New Roman"/>
                <w:b/>
                <w:bCs/>
                <w:color w:val="FFFFFF"/>
                <w:sz w:val="24"/>
                <w:szCs w:val="24"/>
                <w:lang w:eastAsia="sk-SK"/>
              </w:rPr>
            </w:pP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0"/>
                <w:szCs w:val="20"/>
                <w:lang w:eastAsia="sk-SK"/>
              </w:rPr>
              <w:t xml:space="preserve">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F0F3E" w:rsidRDefault="0093583A" w:rsidP="00DA7207">
            <w:pPr>
              <w:spacing w:after="0" w:line="240" w:lineRule="auto"/>
              <w:rPr>
                <w:rFonts w:ascii="Times New Roman" w:eastAsia="Times New Roman" w:hAnsi="Times New Roman" w:cs="Times New Roman"/>
                <w:sz w:val="20"/>
                <w:szCs w:val="20"/>
                <w:lang w:eastAsia="sk-SK"/>
              </w:rPr>
            </w:pPr>
            <w:r w:rsidRPr="007F0F3E">
              <w:rPr>
                <w:rFonts w:ascii="Times New Roman" w:eastAsia="Times New Roman" w:hAnsi="Times New Roman" w:cs="Times New Roman"/>
                <w:sz w:val="20"/>
                <w:szCs w:val="20"/>
                <w:lang w:eastAsia="sk-SK"/>
              </w:rPr>
              <w:t>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shd w:val="clear" w:color="auto" w:fill="BFBFBF" w:themeFill="background1" w:themeFillShade="BF"/>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3583A" w:rsidRPr="007D5748" w:rsidTr="00DA7207">
        <w:trPr>
          <w:trHeight w:val="255"/>
        </w:trPr>
        <w:tc>
          <w:tcPr>
            <w:tcW w:w="6188" w:type="dxa"/>
            <w:tcBorders>
              <w:top w:val="nil"/>
              <w:left w:val="single" w:sz="4" w:space="0" w:color="auto"/>
              <w:bottom w:val="single" w:sz="4" w:space="0" w:color="auto"/>
              <w:right w:val="single" w:sz="4" w:space="0" w:color="auto"/>
            </w:tcBorders>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93583A" w:rsidRPr="007F4F7F" w:rsidRDefault="0093583A" w:rsidP="00DA720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93583A" w:rsidRPr="007D5748" w:rsidRDefault="0093583A" w:rsidP="00DA720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3583A" w:rsidRPr="007D5748" w:rsidTr="00DA7207">
        <w:trPr>
          <w:trHeight w:val="255"/>
        </w:trPr>
        <w:tc>
          <w:tcPr>
            <w:tcW w:w="618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6188" w:type="dxa"/>
            <w:tcBorders>
              <w:top w:val="nil"/>
              <w:left w:val="nil"/>
              <w:bottom w:val="nil"/>
              <w:right w:val="nil"/>
            </w:tcBorders>
          </w:tcPr>
          <w:p w:rsidR="0093583A" w:rsidRPr="007D5748" w:rsidRDefault="0093583A" w:rsidP="00DA720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13814" w:type="dxa"/>
            <w:gridSpan w:val="6"/>
            <w:tcBorders>
              <w:top w:val="nil"/>
              <w:left w:val="nil"/>
              <w:bottom w:val="nil"/>
              <w:right w:val="nil"/>
            </w:tcBorders>
            <w:noWrap/>
          </w:tcPr>
          <w:p w:rsidR="0093583A" w:rsidRPr="007D5748" w:rsidRDefault="0093583A" w:rsidP="00DA7207">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r w:rsidR="0093583A" w:rsidRPr="007D5748" w:rsidTr="00DA7207">
        <w:trPr>
          <w:trHeight w:val="255"/>
        </w:trPr>
        <w:tc>
          <w:tcPr>
            <w:tcW w:w="10394" w:type="dxa"/>
            <w:gridSpan w:val="4"/>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93583A" w:rsidRPr="007D5748" w:rsidRDefault="0093583A" w:rsidP="00DA7207">
            <w:pPr>
              <w:spacing w:after="0" w:line="240" w:lineRule="auto"/>
              <w:rPr>
                <w:rFonts w:ascii="Times New Roman" w:eastAsia="Times New Roman" w:hAnsi="Times New Roman" w:cs="Times New Roman"/>
                <w:sz w:val="24"/>
                <w:szCs w:val="24"/>
                <w:lang w:eastAsia="sk-SK"/>
              </w:rPr>
            </w:pPr>
          </w:p>
        </w:tc>
      </w:tr>
    </w:tbl>
    <w:p w:rsidR="0093583A" w:rsidRDefault="0093583A" w:rsidP="0093583A"/>
    <w:tbl>
      <w:tblPr>
        <w:tblStyle w:val="Mriekatabuky"/>
        <w:tblW w:w="5000" w:type="pct"/>
        <w:tblLook w:val="04A0" w:firstRow="1" w:lastRow="0" w:firstColumn="1" w:lastColumn="0" w:noHBand="0" w:noVBand="1"/>
      </w:tblPr>
      <w:tblGrid>
        <w:gridCol w:w="14220"/>
      </w:tblGrid>
      <w:tr w:rsidR="0093583A" w:rsidRPr="00F04CCD" w:rsidTr="00DA7207">
        <w:trPr>
          <w:trHeight w:val="567"/>
        </w:trPr>
        <w:tc>
          <w:tcPr>
            <w:tcW w:w="5000" w:type="pct"/>
            <w:shd w:val="clear" w:color="auto" w:fill="D9D9D9" w:themeFill="background1" w:themeFillShade="D9"/>
          </w:tcPr>
          <w:p w:rsidR="0093583A" w:rsidRPr="00042C66" w:rsidRDefault="0093583A" w:rsidP="00DA7207">
            <w:pPr>
              <w:jc w:val="center"/>
              <w:rPr>
                <w:b/>
                <w:sz w:val="24"/>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93583A" w:rsidRPr="00F04CCD" w:rsidRDefault="0093583A" w:rsidP="00DA7207">
            <w:pPr>
              <w:jc w:val="center"/>
              <w:rPr>
                <w:b/>
              </w:rPr>
            </w:pPr>
            <w:r w:rsidRPr="00042C66">
              <w:rPr>
                <w:b/>
                <w:sz w:val="24"/>
              </w:rPr>
              <w:t xml:space="preserve">(vrátane </w:t>
            </w:r>
            <w:r>
              <w:rPr>
                <w:b/>
                <w:sz w:val="24"/>
              </w:rPr>
              <w:t xml:space="preserve">testu </w:t>
            </w:r>
            <w:r w:rsidRPr="00042C66">
              <w:rPr>
                <w:b/>
                <w:sz w:val="24"/>
              </w:rPr>
              <w:t>MSP)</w:t>
            </w:r>
          </w:p>
        </w:tc>
      </w:tr>
      <w:tr w:rsidR="0093583A" w:rsidRPr="00042C66" w:rsidTr="00DA7207">
        <w:trPr>
          <w:trHeight w:val="567"/>
        </w:trPr>
        <w:tc>
          <w:tcPr>
            <w:tcW w:w="5000" w:type="pct"/>
            <w:shd w:val="clear" w:color="auto" w:fill="D9D9D9" w:themeFill="background1" w:themeFillShade="D9"/>
          </w:tcPr>
          <w:p w:rsidR="0093583A" w:rsidRPr="00042C66" w:rsidRDefault="0093583A" w:rsidP="00DA7207">
            <w:pPr>
              <w:rPr>
                <w:b/>
                <w:sz w:val="24"/>
              </w:rPr>
            </w:pPr>
            <w:r w:rsidRPr="00042C66">
              <w:rPr>
                <w:b/>
                <w:sz w:val="24"/>
              </w:rPr>
              <w:t>Materiál bude mať vplyv s ohľadom na veľkostnú kategóriu podnikov:</w:t>
            </w:r>
          </w:p>
        </w:tc>
      </w:tr>
      <w:tr w:rsidR="0093583A" w:rsidRPr="00F04CCD" w:rsidTr="00DA7207">
        <w:trPr>
          <w:trHeight w:val="567"/>
        </w:trPr>
        <w:tc>
          <w:tcPr>
            <w:tcW w:w="5000" w:type="pct"/>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3583A" w:rsidRPr="00F04CCD" w:rsidTr="00DA7207">
              <w:sdt>
                <w:sdtPr>
                  <w:id w:val="43339831"/>
                </w:sdtPr>
                <w:sdtContent>
                  <w:tc>
                    <w:tcPr>
                      <w:tcW w:w="436" w:type="dxa"/>
                    </w:tcPr>
                    <w:p w:rsidR="0093583A" w:rsidRPr="00F04CCD" w:rsidRDefault="0093583A" w:rsidP="00DA7207">
                      <w:pPr>
                        <w:jc w:val="center"/>
                      </w:pPr>
                      <w:r w:rsidRPr="00F04CCD">
                        <w:rPr>
                          <w:rFonts w:ascii="MS Mincho" w:eastAsia="MS Mincho" w:hAnsi="MS Mincho" w:cs="MS Mincho" w:hint="eastAsia"/>
                        </w:rPr>
                        <w:t>☐</w:t>
                      </w:r>
                    </w:p>
                  </w:tc>
                </w:sdtContent>
              </w:sdt>
              <w:tc>
                <w:tcPr>
                  <w:tcW w:w="8545" w:type="dxa"/>
                </w:tcPr>
                <w:p w:rsidR="0093583A" w:rsidRPr="00F04CCD" w:rsidRDefault="0093583A" w:rsidP="00DA7207">
                  <w:pPr>
                    <w:rPr>
                      <w:b/>
                    </w:rPr>
                  </w:pPr>
                  <w:r w:rsidRPr="00F04CCD">
                    <w:rPr>
                      <w:b/>
                    </w:rPr>
                    <w:t xml:space="preserve">iba na MSP (0 - 249 zamestnancov) </w:t>
                  </w:r>
                </w:p>
              </w:tc>
            </w:tr>
            <w:tr w:rsidR="0093583A" w:rsidRPr="00F04CCD" w:rsidTr="00DA7207">
              <w:sdt>
                <w:sdtPr>
                  <w:id w:val="-79453833"/>
                </w:sdtPr>
                <w:sdtContent>
                  <w:tc>
                    <w:tcPr>
                      <w:tcW w:w="436" w:type="dxa"/>
                    </w:tcPr>
                    <w:p w:rsidR="0093583A" w:rsidRPr="00F04CCD" w:rsidRDefault="0093583A" w:rsidP="00DA7207">
                      <w:pPr>
                        <w:jc w:val="center"/>
                      </w:pPr>
                      <w:r w:rsidRPr="00F04CCD">
                        <w:rPr>
                          <w:rFonts w:ascii="MS Mincho" w:eastAsia="MS Mincho" w:hAnsi="MS Mincho" w:cs="MS Mincho" w:hint="eastAsia"/>
                        </w:rPr>
                        <w:t>☐</w:t>
                      </w:r>
                    </w:p>
                  </w:tc>
                </w:sdtContent>
              </w:sdt>
              <w:tc>
                <w:tcPr>
                  <w:tcW w:w="8545" w:type="dxa"/>
                </w:tcPr>
                <w:p w:rsidR="0093583A" w:rsidRPr="00F04CCD" w:rsidRDefault="0093583A" w:rsidP="00DA7207">
                  <w:pPr>
                    <w:rPr>
                      <w:b/>
                    </w:rPr>
                  </w:pPr>
                  <w:r w:rsidRPr="00F04CCD">
                    <w:rPr>
                      <w:b/>
                    </w:rPr>
                    <w:t>iba na veľké podniky (250 a viac zamestnancov)</w:t>
                  </w:r>
                </w:p>
              </w:tc>
            </w:tr>
            <w:tr w:rsidR="0093583A" w:rsidRPr="00F04CCD" w:rsidTr="00DA7207">
              <w:sdt>
                <w:sdtPr>
                  <w:id w:val="1290634502"/>
                </w:sdtPr>
                <w:sdtContent>
                  <w:tc>
                    <w:tcPr>
                      <w:tcW w:w="436" w:type="dxa"/>
                    </w:tcPr>
                    <w:p w:rsidR="0093583A" w:rsidRPr="00F04CCD" w:rsidRDefault="0093583A" w:rsidP="00DA7207">
                      <w:pPr>
                        <w:jc w:val="center"/>
                      </w:pPr>
                      <w:r>
                        <w:rPr>
                          <w:rFonts w:ascii="MS Gothic" w:eastAsia="MS Gothic" w:hAnsi="MS Gothic" w:hint="eastAsia"/>
                        </w:rPr>
                        <w:t>☒</w:t>
                      </w:r>
                    </w:p>
                  </w:tc>
                </w:sdtContent>
              </w:sdt>
              <w:tc>
                <w:tcPr>
                  <w:tcW w:w="8545" w:type="dxa"/>
                </w:tcPr>
                <w:p w:rsidR="0093583A" w:rsidRPr="00F04CCD" w:rsidRDefault="0093583A" w:rsidP="00DA7207">
                  <w:r w:rsidRPr="00F04CCD">
                    <w:rPr>
                      <w:b/>
                    </w:rPr>
                    <w:t xml:space="preserve">na všetky </w:t>
                  </w:r>
                  <w:r>
                    <w:rPr>
                      <w:b/>
                    </w:rPr>
                    <w:t>kategórie</w:t>
                  </w:r>
                  <w:r w:rsidRPr="00F04CCD">
                    <w:rPr>
                      <w:b/>
                    </w:rPr>
                    <w:t xml:space="preserve"> podnikov</w:t>
                  </w:r>
                </w:p>
              </w:tc>
            </w:tr>
          </w:tbl>
          <w:p w:rsidR="0093583A" w:rsidRPr="00F04CCD" w:rsidRDefault="0093583A" w:rsidP="00DA7207">
            <w:pPr>
              <w:rPr>
                <w:b/>
              </w:rPr>
            </w:pPr>
          </w:p>
        </w:tc>
      </w:tr>
      <w:tr w:rsidR="0093583A" w:rsidRPr="00F04CCD" w:rsidTr="00DA7207">
        <w:tc>
          <w:tcPr>
            <w:tcW w:w="5000" w:type="pct"/>
            <w:shd w:val="clear" w:color="auto" w:fill="D9D9D9" w:themeFill="background1" w:themeFillShade="D9"/>
          </w:tcPr>
          <w:p w:rsidR="0093583A" w:rsidRPr="00042C66" w:rsidRDefault="0093583A" w:rsidP="00DA7207">
            <w:pPr>
              <w:rPr>
                <w:b/>
                <w:sz w:val="24"/>
              </w:rPr>
            </w:pPr>
            <w:r>
              <w:rPr>
                <w:b/>
                <w:sz w:val="24"/>
              </w:rPr>
              <w:lastRenderedPageBreak/>
              <w:t>3</w:t>
            </w:r>
            <w:r w:rsidRPr="00042C66">
              <w:rPr>
                <w:b/>
                <w:sz w:val="24"/>
              </w:rPr>
              <w:t>.1 Dotknuté podnikateľské subjekty</w:t>
            </w:r>
          </w:p>
          <w:p w:rsidR="0093583A" w:rsidRPr="00F04CCD" w:rsidRDefault="0093583A" w:rsidP="00DA7207">
            <w:pPr>
              <w:ind w:left="284"/>
              <w:rPr>
                <w:b/>
              </w:rPr>
            </w:pPr>
            <w:r w:rsidRPr="00042C66">
              <w:rPr>
                <w:sz w:val="24"/>
              </w:rPr>
              <w:t xml:space="preserve"> - </w:t>
            </w:r>
            <w:r w:rsidRPr="00042C66">
              <w:rPr>
                <w:b/>
                <w:sz w:val="24"/>
              </w:rPr>
              <w:t>z toho MSP</w:t>
            </w:r>
          </w:p>
        </w:tc>
      </w:tr>
      <w:tr w:rsidR="0093583A" w:rsidRPr="00F04CCD" w:rsidTr="00DA7207">
        <w:tc>
          <w:tcPr>
            <w:tcW w:w="5000" w:type="pct"/>
            <w:tcBorders>
              <w:bottom w:val="single" w:sz="4" w:space="0" w:color="auto"/>
            </w:tcBorders>
          </w:tcPr>
          <w:p w:rsidR="0093583A" w:rsidRPr="00F04CCD" w:rsidRDefault="0093583A" w:rsidP="00DA7207">
            <w:pPr>
              <w:rPr>
                <w:i/>
              </w:rPr>
            </w:pPr>
            <w:r w:rsidRPr="00F04CCD">
              <w:rPr>
                <w:i/>
              </w:rPr>
              <w:t>Uveďte, aké podnikateľské subjekty budú predkladaným návrhom ovplyvnené.</w:t>
            </w:r>
          </w:p>
          <w:p w:rsidR="0093583A" w:rsidRPr="00F04CCD" w:rsidRDefault="0093583A" w:rsidP="00DA7207">
            <w:pPr>
              <w:rPr>
                <w:i/>
              </w:rPr>
            </w:pPr>
            <w:r w:rsidRPr="00F04CCD">
              <w:rPr>
                <w:i/>
              </w:rPr>
              <w:t>Aký je ich počet?</w:t>
            </w:r>
          </w:p>
        </w:tc>
      </w:tr>
      <w:tr w:rsidR="0093583A" w:rsidRPr="00F04CCD" w:rsidTr="00DA7207">
        <w:trPr>
          <w:trHeight w:val="1440"/>
        </w:trPr>
        <w:tc>
          <w:tcPr>
            <w:tcW w:w="5000" w:type="pct"/>
            <w:tcBorders>
              <w:bottom w:val="single" w:sz="4" w:space="0" w:color="auto"/>
            </w:tcBorders>
          </w:tcPr>
          <w:p w:rsidR="0093583A" w:rsidRDefault="0093583A" w:rsidP="00DA7207">
            <w:r w:rsidRPr="00120C2A">
              <w:t>Ovplyvnené budú tie podniky, ktor</w:t>
            </w:r>
            <w:r>
              <w:t>é:</w:t>
            </w:r>
          </w:p>
          <w:p w:rsidR="0093583A" w:rsidRPr="00992993" w:rsidRDefault="0093583A" w:rsidP="00DA7207">
            <w:pPr>
              <w:pStyle w:val="Odsekzoznamu"/>
              <w:numPr>
                <w:ilvl w:val="0"/>
                <w:numId w:val="1"/>
              </w:numPr>
              <w:spacing w:after="200" w:line="276" w:lineRule="auto"/>
              <w:rPr>
                <w:rFonts w:ascii="Times New Roman" w:hAnsi="Times New Roman" w:cs="Times New Roman"/>
                <w:sz w:val="20"/>
                <w:szCs w:val="20"/>
              </w:rPr>
            </w:pPr>
            <w:r w:rsidRPr="00992993">
              <w:rPr>
                <w:rFonts w:ascii="Times New Roman" w:hAnsi="Times New Roman" w:cs="Times New Roman"/>
                <w:sz w:val="20"/>
                <w:szCs w:val="20"/>
              </w:rPr>
              <w:t xml:space="preserve">hospodária na poľnohospodárskej alebo lesnej pôde alebo tie, </w:t>
            </w:r>
            <w:r>
              <w:rPr>
                <w:rFonts w:ascii="Times New Roman" w:hAnsi="Times New Roman" w:cs="Times New Roman"/>
                <w:sz w:val="20"/>
                <w:szCs w:val="20"/>
              </w:rPr>
              <w:t>ktoré</w:t>
            </w:r>
            <w:r w:rsidRPr="00992993">
              <w:rPr>
                <w:rFonts w:ascii="Times New Roman" w:hAnsi="Times New Roman" w:cs="Times New Roman"/>
                <w:sz w:val="20"/>
                <w:szCs w:val="20"/>
              </w:rPr>
              <w:t xml:space="preserve"> vlastnia takýto pozemok (v prípade, že sa na týchto pozemkoch zaznamená výskyt inváznych nepôvodných druhov).</w:t>
            </w:r>
          </w:p>
          <w:p w:rsidR="0093583A" w:rsidRPr="00992993" w:rsidRDefault="0093583A" w:rsidP="00DA7207">
            <w:pPr>
              <w:pStyle w:val="Odsekzoznamu"/>
              <w:numPr>
                <w:ilvl w:val="0"/>
                <w:numId w:val="1"/>
              </w:numPr>
              <w:spacing w:after="200" w:line="276" w:lineRule="auto"/>
              <w:rPr>
                <w:rFonts w:ascii="Times New Roman" w:hAnsi="Times New Roman" w:cs="Times New Roman"/>
                <w:sz w:val="20"/>
                <w:szCs w:val="20"/>
              </w:rPr>
            </w:pPr>
            <w:r w:rsidRPr="00992993">
              <w:rPr>
                <w:rFonts w:ascii="Times New Roman" w:hAnsi="Times New Roman" w:cs="Times New Roman"/>
                <w:sz w:val="20"/>
                <w:szCs w:val="20"/>
              </w:rPr>
              <w:t>podnikajú v oblasti obchodu so živými rastlinami alebo živočíchmi</w:t>
            </w:r>
            <w:r>
              <w:rPr>
                <w:rFonts w:ascii="Times New Roman" w:hAnsi="Times New Roman" w:cs="Times New Roman"/>
                <w:sz w:val="20"/>
                <w:szCs w:val="20"/>
              </w:rPr>
              <w:t xml:space="preserve">  uvedenými </w:t>
            </w:r>
            <w:r w:rsidRPr="00992993">
              <w:rPr>
                <w:rFonts w:ascii="Times New Roman" w:hAnsi="Times New Roman" w:cs="Times New Roman"/>
                <w:sz w:val="20"/>
                <w:szCs w:val="20"/>
              </w:rPr>
              <w:t xml:space="preserve"> v zozname inváznych nepôvodných druhov vzbudzujúcich obavy </w:t>
            </w:r>
            <w:r>
              <w:rPr>
                <w:rFonts w:ascii="Times New Roman" w:hAnsi="Times New Roman" w:cs="Times New Roman"/>
                <w:sz w:val="20"/>
                <w:szCs w:val="20"/>
              </w:rPr>
              <w:t>ú</w:t>
            </w:r>
            <w:r w:rsidRPr="00992993">
              <w:rPr>
                <w:rFonts w:ascii="Times New Roman" w:hAnsi="Times New Roman" w:cs="Times New Roman"/>
                <w:sz w:val="20"/>
                <w:szCs w:val="20"/>
              </w:rPr>
              <w:t xml:space="preserve">nie </w:t>
            </w:r>
            <w:r>
              <w:rPr>
                <w:rFonts w:ascii="Times New Roman" w:hAnsi="Times New Roman" w:cs="Times New Roman"/>
                <w:sz w:val="20"/>
                <w:szCs w:val="20"/>
              </w:rPr>
              <w:t xml:space="preserve">(ďalej len „zoznam EÚ“) </w:t>
            </w:r>
            <w:r w:rsidRPr="00992993">
              <w:rPr>
                <w:rFonts w:ascii="Times New Roman" w:hAnsi="Times New Roman" w:cs="Times New Roman"/>
                <w:sz w:val="20"/>
                <w:szCs w:val="20"/>
              </w:rPr>
              <w:t xml:space="preserve">alebo zozname inváznych nepôvodných druhov národného významu </w:t>
            </w:r>
            <w:r>
              <w:rPr>
                <w:rFonts w:ascii="Times New Roman" w:hAnsi="Times New Roman" w:cs="Times New Roman"/>
                <w:sz w:val="20"/>
                <w:szCs w:val="20"/>
              </w:rPr>
              <w:t xml:space="preserve">(ďalej len „národný zoznam“) </w:t>
            </w:r>
            <w:r w:rsidRPr="00992993">
              <w:rPr>
                <w:rFonts w:ascii="Times New Roman" w:hAnsi="Times New Roman" w:cs="Times New Roman"/>
                <w:sz w:val="20"/>
                <w:szCs w:val="20"/>
              </w:rPr>
              <w:t xml:space="preserve">alebo tieto živočíchy alebo rastliny chovajú a pestujú za účelom zisku (napr. kožušinové zvieratá) </w:t>
            </w:r>
          </w:p>
          <w:p w:rsidR="0093583A" w:rsidRPr="00992993" w:rsidRDefault="0093583A" w:rsidP="00DA7207">
            <w:pPr>
              <w:pStyle w:val="Odsekzoznamu"/>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p</w:t>
            </w:r>
            <w:r w:rsidRPr="00992993">
              <w:rPr>
                <w:rFonts w:ascii="Times New Roman" w:hAnsi="Times New Roman" w:cs="Times New Roman"/>
                <w:sz w:val="20"/>
                <w:szCs w:val="20"/>
              </w:rPr>
              <w:t>odnikajú v oblasti rybolovu a akvakutúry</w:t>
            </w:r>
          </w:p>
          <w:p w:rsidR="0093583A" w:rsidRPr="00992993" w:rsidRDefault="0093583A" w:rsidP="00DA7207">
            <w:pPr>
              <w:pStyle w:val="Odsekzoznamu"/>
              <w:numPr>
                <w:ilvl w:val="0"/>
                <w:numId w:val="1"/>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sa </w:t>
            </w:r>
            <w:r w:rsidRPr="00992993">
              <w:rPr>
                <w:rFonts w:ascii="Times New Roman" w:hAnsi="Times New Roman" w:cs="Times New Roman"/>
                <w:sz w:val="20"/>
                <w:szCs w:val="20"/>
              </w:rPr>
              <w:t>zaoberajú lovom, odchytom a súvisiacimi službami</w:t>
            </w:r>
          </w:p>
          <w:p w:rsidR="0093583A" w:rsidRPr="00F04CCD" w:rsidRDefault="0093583A" w:rsidP="00DA7207">
            <w:pPr>
              <w:rPr>
                <w:i/>
              </w:rPr>
            </w:pPr>
            <w:r w:rsidRPr="00120C2A">
              <w:t xml:space="preserve">Počet dotknutých podnikov </w:t>
            </w:r>
            <w:r>
              <w:t>závisí od konkrétnych druhov, ktoré sú uvedené na zozname EÚ a národnom zozname ich výskytu na území Slovenskej republiky.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v súčasnosti nie je možné odhadnúť ako budú podnikateľské subjekty týmito návrhmi ovplyvnené.</w:t>
            </w:r>
          </w:p>
        </w:tc>
      </w:tr>
      <w:tr w:rsidR="0093583A" w:rsidRPr="00F04CCD" w:rsidTr="00DA7207">
        <w:trPr>
          <w:trHeight w:val="339"/>
        </w:trPr>
        <w:tc>
          <w:tcPr>
            <w:tcW w:w="5000" w:type="pct"/>
            <w:tcBorders>
              <w:bottom w:val="single" w:sz="4" w:space="0" w:color="auto"/>
            </w:tcBorders>
            <w:shd w:val="clear" w:color="auto" w:fill="D9D9D9" w:themeFill="background1" w:themeFillShade="D9"/>
          </w:tcPr>
          <w:p w:rsidR="0093583A" w:rsidRPr="00042C66" w:rsidRDefault="0093583A" w:rsidP="00DA7207">
            <w:pPr>
              <w:rPr>
                <w:b/>
                <w:sz w:val="24"/>
              </w:rPr>
            </w:pPr>
            <w:r>
              <w:rPr>
                <w:b/>
                <w:sz w:val="24"/>
              </w:rPr>
              <w:t>3</w:t>
            </w:r>
            <w:r w:rsidRPr="00042C66">
              <w:rPr>
                <w:b/>
                <w:sz w:val="24"/>
              </w:rPr>
              <w:t>.2 Vyhodnotenie konzultácií</w:t>
            </w:r>
          </w:p>
          <w:p w:rsidR="0093583A" w:rsidRPr="00F04CCD" w:rsidRDefault="0093583A" w:rsidP="00DA7207">
            <w:pPr>
              <w:rPr>
                <w:b/>
              </w:rPr>
            </w:pPr>
            <w:r w:rsidRPr="00042C66">
              <w:rPr>
                <w:sz w:val="24"/>
              </w:rPr>
              <w:t xml:space="preserve">       - </w:t>
            </w:r>
            <w:r w:rsidRPr="00042C66">
              <w:rPr>
                <w:b/>
                <w:sz w:val="24"/>
              </w:rPr>
              <w:t>z toho MSP</w:t>
            </w:r>
          </w:p>
        </w:tc>
      </w:tr>
      <w:tr w:rsidR="0093583A" w:rsidRPr="000D2622" w:rsidTr="00DA7207">
        <w:trPr>
          <w:trHeight w:val="557"/>
        </w:trPr>
        <w:tc>
          <w:tcPr>
            <w:tcW w:w="5000" w:type="pct"/>
            <w:tcBorders>
              <w:bottom w:val="single" w:sz="4" w:space="0" w:color="auto"/>
            </w:tcBorders>
          </w:tcPr>
          <w:p w:rsidR="0093583A" w:rsidRPr="00F04CCD" w:rsidRDefault="0093583A" w:rsidP="00DA7207">
            <w:pPr>
              <w:rPr>
                <w:i/>
              </w:rPr>
            </w:pPr>
            <w:r w:rsidRPr="00F04CCD">
              <w:rPr>
                <w:i/>
              </w:rPr>
              <w:t>Uveďte, akou formou (verejné alebo cielené konzultácie a prečo)</w:t>
            </w:r>
            <w:r>
              <w:rPr>
                <w:i/>
              </w:rPr>
              <w:t xml:space="preserve"> a </w:t>
            </w:r>
            <w:r w:rsidRPr="00F04CCD">
              <w:rPr>
                <w:i/>
              </w:rPr>
              <w:t>s kým bol návrh konzultovaný.</w:t>
            </w:r>
          </w:p>
          <w:p w:rsidR="0093583A" w:rsidRPr="00F04CCD" w:rsidRDefault="0093583A" w:rsidP="00DA7207">
            <w:pPr>
              <w:rPr>
                <w:i/>
              </w:rPr>
            </w:pPr>
            <w:r w:rsidRPr="00F04CCD">
              <w:rPr>
                <w:i/>
              </w:rPr>
              <w:t>Ako dlho trvali konzultácie?</w:t>
            </w:r>
          </w:p>
          <w:p w:rsidR="0093583A" w:rsidRPr="000D2622" w:rsidRDefault="0093583A" w:rsidP="00DA7207">
            <w:pPr>
              <w:rPr>
                <w:i/>
              </w:rPr>
            </w:pPr>
            <w:r w:rsidRPr="00F04CCD">
              <w:rPr>
                <w:i/>
              </w:rPr>
              <w:t xml:space="preserve">Uveďte hlavné body konzultácií a výsledky konzultácií. </w:t>
            </w:r>
          </w:p>
        </w:tc>
      </w:tr>
      <w:tr w:rsidR="0093583A" w:rsidRPr="00120C2A" w:rsidTr="00DA7207">
        <w:trPr>
          <w:trHeight w:val="1440"/>
        </w:trPr>
        <w:tc>
          <w:tcPr>
            <w:tcW w:w="5000" w:type="pct"/>
            <w:tcBorders>
              <w:bottom w:val="single" w:sz="4" w:space="0" w:color="auto"/>
            </w:tcBorders>
          </w:tcPr>
          <w:p w:rsidR="0093583A" w:rsidRPr="00120C2A" w:rsidRDefault="0093583A" w:rsidP="00DA7207">
            <w:r>
              <w:t xml:space="preserve">Návrh zákona implementuje nariadenie Európskeho parlamentu a Rady (EÚ) č. 1143/2014 o prevencii a manažmente introdukcie a šírenia inváznych nepôvodných druhov (ďalej len „nariadenie EÚ“). K uvedenému nariadeniu EÚ bolo spracované kompletné hodnotenie dopadov, na príprave ktorého sa podieľali aj záujmové skupiny (komplexné hodnotenie dopadov je verejne prístupné na stránkach Eur-Lex).  </w:t>
            </w:r>
          </w:p>
        </w:tc>
      </w:tr>
      <w:tr w:rsidR="0093583A" w:rsidRPr="00F04CCD" w:rsidTr="00DA7207">
        <w:tc>
          <w:tcPr>
            <w:tcW w:w="5000" w:type="pct"/>
            <w:shd w:val="clear" w:color="auto" w:fill="D9D9D9" w:themeFill="background1" w:themeFillShade="D9"/>
          </w:tcPr>
          <w:p w:rsidR="0093583A" w:rsidRPr="00042C66" w:rsidRDefault="0093583A" w:rsidP="00DA7207">
            <w:pPr>
              <w:rPr>
                <w:b/>
                <w:sz w:val="24"/>
              </w:rPr>
            </w:pPr>
            <w:r>
              <w:rPr>
                <w:b/>
                <w:sz w:val="24"/>
              </w:rPr>
              <w:t>3</w:t>
            </w:r>
            <w:r w:rsidRPr="00042C66">
              <w:rPr>
                <w:b/>
                <w:sz w:val="24"/>
              </w:rPr>
              <w:t>.3 Náklady regulácie</w:t>
            </w:r>
          </w:p>
          <w:p w:rsidR="0093583A" w:rsidRPr="00F04CCD" w:rsidRDefault="0093583A" w:rsidP="00DA7207">
            <w:pPr>
              <w:rPr>
                <w:b/>
              </w:rPr>
            </w:pPr>
            <w:r w:rsidRPr="00042C66">
              <w:rPr>
                <w:sz w:val="24"/>
              </w:rPr>
              <w:lastRenderedPageBreak/>
              <w:t xml:space="preserve">      - </w:t>
            </w:r>
            <w:r w:rsidRPr="00042C66">
              <w:rPr>
                <w:b/>
                <w:sz w:val="24"/>
              </w:rPr>
              <w:t>z toho MSP</w:t>
            </w:r>
          </w:p>
        </w:tc>
      </w:tr>
      <w:tr w:rsidR="0093583A" w:rsidRPr="00F04CCD" w:rsidTr="00DA7207">
        <w:tc>
          <w:tcPr>
            <w:tcW w:w="5000" w:type="pct"/>
            <w:tcBorders>
              <w:bottom w:val="single" w:sz="4" w:space="0" w:color="auto"/>
            </w:tcBorders>
          </w:tcPr>
          <w:p w:rsidR="0093583A" w:rsidRPr="00F04CCD" w:rsidRDefault="0093583A" w:rsidP="00DA7207">
            <w:pPr>
              <w:rPr>
                <w:b/>
                <w:i/>
              </w:rPr>
            </w:pPr>
            <w:r>
              <w:rPr>
                <w:b/>
                <w:i/>
              </w:rPr>
              <w:lastRenderedPageBreak/>
              <w:t>3</w:t>
            </w:r>
            <w:r w:rsidRPr="00F04CCD">
              <w:rPr>
                <w:b/>
                <w:i/>
              </w:rPr>
              <w:t>.3.1 Priame finančné náklady</w:t>
            </w:r>
          </w:p>
          <w:p w:rsidR="0093583A" w:rsidRPr="00F04CCD" w:rsidRDefault="0093583A" w:rsidP="00DA7207">
            <w:pPr>
              <w:rPr>
                <w:i/>
              </w:rPr>
            </w:pPr>
            <w:r w:rsidRPr="00F04CCD">
              <w:rPr>
                <w:i/>
              </w:rPr>
              <w:t xml:space="preserve">Dochádza k zvýšeniu/zníženiu priamych finančných nákladov (poplatky, odvody, dane clá...)? Ak áno, popíšte a vyčíslite ich. Uveďte tiež spôsob ich výpočtu. </w:t>
            </w:r>
          </w:p>
        </w:tc>
      </w:tr>
      <w:tr w:rsidR="0093583A" w:rsidRPr="00EF5FE5" w:rsidTr="00DA7207">
        <w:tc>
          <w:tcPr>
            <w:tcW w:w="5000" w:type="pct"/>
            <w:tcBorders>
              <w:bottom w:val="single" w:sz="4" w:space="0" w:color="auto"/>
            </w:tcBorders>
          </w:tcPr>
          <w:p w:rsidR="0093583A" w:rsidRPr="00EF5FE5" w:rsidRDefault="0093583A" w:rsidP="00DA7207">
            <w:pPr>
              <w:rPr>
                <w:i/>
              </w:rPr>
            </w:pPr>
          </w:p>
          <w:p w:rsidR="0093583A" w:rsidRPr="00120C2A" w:rsidRDefault="0093583A" w:rsidP="00DA7207">
            <w:r w:rsidRPr="00120C2A">
              <w:t>Nedochádza.</w:t>
            </w:r>
          </w:p>
          <w:p w:rsidR="0093583A" w:rsidRPr="00EF5FE5" w:rsidRDefault="0093583A" w:rsidP="00DA7207">
            <w:pPr>
              <w:rPr>
                <w:i/>
              </w:rPr>
            </w:pPr>
          </w:p>
          <w:p w:rsidR="0093583A" w:rsidRPr="00EF5FE5" w:rsidRDefault="0093583A" w:rsidP="00DA7207">
            <w:pPr>
              <w:rPr>
                <w:i/>
              </w:rPr>
            </w:pPr>
          </w:p>
          <w:p w:rsidR="0093583A" w:rsidRPr="00EF5FE5" w:rsidRDefault="0093583A" w:rsidP="00DA7207">
            <w:pPr>
              <w:rPr>
                <w:i/>
              </w:rPr>
            </w:pPr>
          </w:p>
        </w:tc>
      </w:tr>
      <w:tr w:rsidR="0093583A" w:rsidRPr="00F04CCD" w:rsidTr="00DA7207">
        <w:tc>
          <w:tcPr>
            <w:tcW w:w="5000" w:type="pct"/>
            <w:tcBorders>
              <w:bottom w:val="single" w:sz="4" w:space="0" w:color="auto"/>
            </w:tcBorders>
          </w:tcPr>
          <w:p w:rsidR="0093583A" w:rsidRPr="00F04CCD" w:rsidRDefault="0093583A" w:rsidP="00DA7207">
            <w:pPr>
              <w:rPr>
                <w:b/>
                <w:i/>
              </w:rPr>
            </w:pPr>
            <w:r>
              <w:rPr>
                <w:b/>
                <w:i/>
              </w:rPr>
              <w:t>3</w:t>
            </w:r>
            <w:r w:rsidRPr="00F04CCD">
              <w:rPr>
                <w:b/>
                <w:i/>
              </w:rPr>
              <w:t>.3.2 Nepriame finančné náklady</w:t>
            </w:r>
          </w:p>
          <w:p w:rsidR="0093583A" w:rsidRPr="00F04CCD" w:rsidRDefault="0093583A" w:rsidP="00DA7207">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93583A" w:rsidRPr="00F04CCD" w:rsidTr="00DA7207">
        <w:tc>
          <w:tcPr>
            <w:tcW w:w="5000" w:type="pct"/>
            <w:tcBorders>
              <w:bottom w:val="single" w:sz="4" w:space="0" w:color="auto"/>
            </w:tcBorders>
          </w:tcPr>
          <w:p w:rsidR="0093583A" w:rsidRPr="00120C2A" w:rsidRDefault="0093583A" w:rsidP="00DA7207">
            <w:r w:rsidRPr="00120C2A">
              <w:t>Predpokladajú sa nepriame náklady na odstraňovanie inváznych nepôvodných druhov z ich pozemkov. Presné náklady sa momentálne nedajú odhadnúť, nakoľko nie je zmapovaný výskyt týchto druhov na ich pozemkoch. Odhadované náklady na hektár budú závisieť od druhu, ktorý sa na pozemkoch bude nachádzať a použitej metódy odstraňovania.</w:t>
            </w:r>
          </w:p>
          <w:p w:rsidR="0093583A" w:rsidRPr="00120C2A" w:rsidRDefault="0093583A" w:rsidP="00DA7207">
            <w:r w:rsidRPr="00120C2A">
              <w:t>1 ha kosenia porastov cca 100 - 700 Eur ( v závislosti, či bude práca realizovaná vlastnými kapacitami alebo bude objednaná) a následné odstránenie biomasy z plochy a jej kompostovanie, alebo iný spôsob likvidácie biologického odpadu.</w:t>
            </w:r>
          </w:p>
          <w:p w:rsidR="0093583A" w:rsidRPr="00EF5FE5" w:rsidRDefault="0093583A" w:rsidP="00DA7207">
            <w:pPr>
              <w:rPr>
                <w:i/>
              </w:rPr>
            </w:pPr>
            <w:r w:rsidRPr="00120C2A">
              <w:t>V prípade chemického zásahu, je potrebné počítať s cenou herbicídu, prepočítanou podľa odhadovanej plochy, ktorá sa bude chemicky ošetrovať.</w:t>
            </w:r>
          </w:p>
          <w:p w:rsidR="0093583A" w:rsidRPr="00F04CCD" w:rsidRDefault="0093583A" w:rsidP="00DA7207">
            <w:pPr>
              <w:rPr>
                <w:b/>
                <w:i/>
              </w:rPr>
            </w:pPr>
          </w:p>
        </w:tc>
      </w:tr>
      <w:tr w:rsidR="0093583A" w:rsidRPr="00F04CCD" w:rsidTr="00DA7207">
        <w:tc>
          <w:tcPr>
            <w:tcW w:w="5000" w:type="pct"/>
            <w:tcBorders>
              <w:bottom w:val="single" w:sz="4" w:space="0" w:color="auto"/>
            </w:tcBorders>
          </w:tcPr>
          <w:p w:rsidR="0093583A" w:rsidRPr="00F04CCD" w:rsidRDefault="0093583A" w:rsidP="00DA7207">
            <w:pPr>
              <w:rPr>
                <w:b/>
                <w:i/>
              </w:rPr>
            </w:pPr>
            <w:r>
              <w:rPr>
                <w:b/>
                <w:i/>
              </w:rPr>
              <w:t>3</w:t>
            </w:r>
            <w:r w:rsidRPr="00F04CCD">
              <w:rPr>
                <w:b/>
                <w:i/>
              </w:rPr>
              <w:t>.3.3 Administratívne náklady</w:t>
            </w:r>
          </w:p>
          <w:p w:rsidR="0093583A" w:rsidRPr="00F04CCD" w:rsidRDefault="0093583A" w:rsidP="00DA7207">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3583A" w:rsidRPr="00120C2A" w:rsidTr="00DA7207">
        <w:tc>
          <w:tcPr>
            <w:tcW w:w="5000" w:type="pct"/>
            <w:tcBorders>
              <w:bottom w:val="single" w:sz="4" w:space="0" w:color="auto"/>
            </w:tcBorders>
          </w:tcPr>
          <w:p w:rsidR="0093583A" w:rsidRPr="00120C2A" w:rsidRDefault="0093583A" w:rsidP="00DA7207">
            <w:r w:rsidRPr="00120C2A">
              <w:t>Nedochádza.</w:t>
            </w:r>
          </w:p>
        </w:tc>
      </w:tr>
      <w:tr w:rsidR="0093583A" w:rsidRPr="00F04CCD" w:rsidTr="00DA7207">
        <w:trPr>
          <w:trHeight w:val="2318"/>
        </w:trPr>
        <w:tc>
          <w:tcPr>
            <w:tcW w:w="5000" w:type="pct"/>
            <w:tcBorders>
              <w:bottom w:val="single" w:sz="4" w:space="0" w:color="auto"/>
            </w:tcBorders>
          </w:tcPr>
          <w:p w:rsidR="0093583A" w:rsidRPr="00F04CCD" w:rsidRDefault="0093583A" w:rsidP="00DA7207">
            <w:pPr>
              <w:rPr>
                <w:i/>
              </w:rPr>
            </w:pPr>
            <w:r>
              <w:rPr>
                <w:b/>
                <w:i/>
              </w:rPr>
              <w:t>3</w:t>
            </w:r>
            <w:r w:rsidRPr="00F04CCD">
              <w:rPr>
                <w:b/>
                <w:i/>
              </w:rPr>
              <w:t>.3.4 Súhrnná tabuľka nákladov regulácie</w:t>
            </w:r>
          </w:p>
          <w:p w:rsidR="0093583A" w:rsidRPr="00F04CCD" w:rsidRDefault="0093583A" w:rsidP="00DA7207">
            <w:pPr>
              <w:rPr>
                <w:i/>
              </w:rPr>
            </w:pPr>
          </w:p>
          <w:tbl>
            <w:tblPr>
              <w:tblStyle w:val="Mriekatabuky"/>
              <w:tblW w:w="0" w:type="auto"/>
              <w:tblLook w:val="04A0" w:firstRow="1" w:lastRow="0" w:firstColumn="1" w:lastColumn="0" w:noHBand="0" w:noVBand="1"/>
            </w:tblPr>
            <w:tblGrid>
              <w:gridCol w:w="2993"/>
              <w:gridCol w:w="2994"/>
              <w:gridCol w:w="2994"/>
            </w:tblGrid>
            <w:tr w:rsidR="0093583A" w:rsidRPr="00F04CCD" w:rsidTr="00DA7207">
              <w:tc>
                <w:tcPr>
                  <w:tcW w:w="2993" w:type="dxa"/>
                </w:tcPr>
                <w:p w:rsidR="0093583A" w:rsidRPr="00F04CCD" w:rsidRDefault="0093583A" w:rsidP="00DA7207">
                  <w:pPr>
                    <w:rPr>
                      <w:i/>
                    </w:rPr>
                  </w:pPr>
                </w:p>
              </w:tc>
              <w:tc>
                <w:tcPr>
                  <w:tcW w:w="2994" w:type="dxa"/>
                </w:tcPr>
                <w:p w:rsidR="0093583A" w:rsidRPr="00F04CCD" w:rsidRDefault="0093583A" w:rsidP="00DA7207">
                  <w:pPr>
                    <w:jc w:val="center"/>
                    <w:rPr>
                      <w:i/>
                    </w:rPr>
                  </w:pPr>
                  <w:r w:rsidRPr="00F04CCD">
                    <w:rPr>
                      <w:i/>
                    </w:rPr>
                    <w:t>Náklady na 1 podnikateľa</w:t>
                  </w:r>
                </w:p>
              </w:tc>
              <w:tc>
                <w:tcPr>
                  <w:tcW w:w="2994" w:type="dxa"/>
                </w:tcPr>
                <w:p w:rsidR="0093583A" w:rsidRPr="00F04CCD" w:rsidRDefault="0093583A" w:rsidP="00DA7207">
                  <w:pPr>
                    <w:jc w:val="center"/>
                    <w:rPr>
                      <w:i/>
                    </w:rPr>
                  </w:pPr>
                  <w:r w:rsidRPr="00F04CCD">
                    <w:rPr>
                      <w:i/>
                    </w:rPr>
                    <w:t>Náklady na celé podnikateľské prostredie</w:t>
                  </w:r>
                </w:p>
              </w:tc>
            </w:tr>
            <w:tr w:rsidR="0093583A" w:rsidRPr="00F04CCD" w:rsidTr="00DA7207">
              <w:tc>
                <w:tcPr>
                  <w:tcW w:w="2993" w:type="dxa"/>
                </w:tcPr>
                <w:p w:rsidR="0093583A" w:rsidRPr="00F04CCD" w:rsidRDefault="0093583A" w:rsidP="00DA7207">
                  <w:pPr>
                    <w:rPr>
                      <w:i/>
                    </w:rPr>
                  </w:pPr>
                  <w:r w:rsidRPr="00F04CCD">
                    <w:rPr>
                      <w:i/>
                    </w:rPr>
                    <w:t>Priame finančné náklady</w:t>
                  </w:r>
                </w:p>
              </w:tc>
              <w:tc>
                <w:tcPr>
                  <w:tcW w:w="2994" w:type="dxa"/>
                </w:tcPr>
                <w:p w:rsidR="0093583A" w:rsidRPr="00F04CCD" w:rsidRDefault="0093583A" w:rsidP="00DA7207">
                  <w:pPr>
                    <w:jc w:val="center"/>
                    <w:rPr>
                      <w:i/>
                    </w:rPr>
                  </w:pPr>
                  <w:r w:rsidRPr="00F04CCD">
                    <w:rPr>
                      <w:i/>
                    </w:rPr>
                    <w:t>0</w:t>
                  </w:r>
                </w:p>
              </w:tc>
              <w:tc>
                <w:tcPr>
                  <w:tcW w:w="2994" w:type="dxa"/>
                </w:tcPr>
                <w:p w:rsidR="0093583A" w:rsidRPr="00F04CCD" w:rsidRDefault="0093583A" w:rsidP="00DA7207">
                  <w:pPr>
                    <w:jc w:val="center"/>
                    <w:rPr>
                      <w:i/>
                    </w:rPr>
                  </w:pPr>
                  <w:r w:rsidRPr="00F04CCD">
                    <w:rPr>
                      <w:i/>
                    </w:rPr>
                    <w:t>0</w:t>
                  </w:r>
                </w:p>
              </w:tc>
            </w:tr>
            <w:tr w:rsidR="0093583A" w:rsidRPr="00F04CCD" w:rsidTr="00DA7207">
              <w:tc>
                <w:tcPr>
                  <w:tcW w:w="2993" w:type="dxa"/>
                </w:tcPr>
                <w:p w:rsidR="0093583A" w:rsidRPr="00F04CCD" w:rsidRDefault="0093583A" w:rsidP="00DA7207">
                  <w:pPr>
                    <w:rPr>
                      <w:i/>
                    </w:rPr>
                  </w:pPr>
                  <w:r w:rsidRPr="00F04CCD">
                    <w:rPr>
                      <w:i/>
                    </w:rPr>
                    <w:t>Nepriame finančné náklady</w:t>
                  </w:r>
                </w:p>
              </w:tc>
              <w:tc>
                <w:tcPr>
                  <w:tcW w:w="2994" w:type="dxa"/>
                </w:tcPr>
                <w:p w:rsidR="0093583A" w:rsidRDefault="0093583A" w:rsidP="00DA7207">
                  <w:pPr>
                    <w:jc w:val="center"/>
                    <w:rPr>
                      <w:i/>
                    </w:rPr>
                  </w:pPr>
                  <w:r>
                    <w:rPr>
                      <w:i/>
                    </w:rPr>
                    <w:t>100 – 700 Eur/ha</w:t>
                  </w:r>
                </w:p>
                <w:p w:rsidR="0093583A" w:rsidRPr="00F04CCD" w:rsidRDefault="0093583A" w:rsidP="00DA7207">
                  <w:pPr>
                    <w:jc w:val="center"/>
                    <w:rPr>
                      <w:i/>
                    </w:rPr>
                  </w:pPr>
                  <w:r>
                    <w:rPr>
                      <w:i/>
                    </w:rPr>
                    <w:t>(v závislosti od druhu a spôsobu odstraňovania)</w:t>
                  </w:r>
                </w:p>
              </w:tc>
              <w:tc>
                <w:tcPr>
                  <w:tcW w:w="2994" w:type="dxa"/>
                </w:tcPr>
                <w:p w:rsidR="0093583A" w:rsidRPr="00F04CCD" w:rsidRDefault="0093583A" w:rsidP="00DA7207">
                  <w:pPr>
                    <w:jc w:val="center"/>
                    <w:rPr>
                      <w:i/>
                    </w:rPr>
                  </w:pPr>
                  <w:r>
                    <w:rPr>
                      <w:i/>
                    </w:rPr>
                    <w:t xml:space="preserve">Nedá sa odhadnúť rozsah (nie je známe presné rozšírenie týchto druhov) </w:t>
                  </w:r>
                </w:p>
              </w:tc>
            </w:tr>
            <w:tr w:rsidR="0093583A" w:rsidRPr="00F04CCD" w:rsidTr="00DA7207">
              <w:tc>
                <w:tcPr>
                  <w:tcW w:w="2993" w:type="dxa"/>
                </w:tcPr>
                <w:p w:rsidR="0093583A" w:rsidRPr="00F04CCD" w:rsidRDefault="0093583A" w:rsidP="00DA7207">
                  <w:pPr>
                    <w:rPr>
                      <w:i/>
                    </w:rPr>
                  </w:pPr>
                  <w:r w:rsidRPr="00F04CCD">
                    <w:rPr>
                      <w:i/>
                    </w:rPr>
                    <w:t>Administratívne náklady</w:t>
                  </w:r>
                </w:p>
              </w:tc>
              <w:tc>
                <w:tcPr>
                  <w:tcW w:w="2994" w:type="dxa"/>
                </w:tcPr>
                <w:p w:rsidR="0093583A" w:rsidRPr="00F04CCD" w:rsidRDefault="0093583A" w:rsidP="00DA7207">
                  <w:pPr>
                    <w:jc w:val="center"/>
                    <w:rPr>
                      <w:i/>
                    </w:rPr>
                  </w:pPr>
                  <w:r w:rsidRPr="00F04CCD">
                    <w:rPr>
                      <w:i/>
                    </w:rPr>
                    <w:t>0</w:t>
                  </w:r>
                </w:p>
              </w:tc>
              <w:tc>
                <w:tcPr>
                  <w:tcW w:w="2994" w:type="dxa"/>
                </w:tcPr>
                <w:p w:rsidR="0093583A" w:rsidRPr="00F04CCD" w:rsidRDefault="0093583A" w:rsidP="00DA7207">
                  <w:pPr>
                    <w:jc w:val="center"/>
                    <w:rPr>
                      <w:i/>
                    </w:rPr>
                  </w:pPr>
                  <w:r w:rsidRPr="00F04CCD">
                    <w:rPr>
                      <w:i/>
                    </w:rPr>
                    <w:t>0</w:t>
                  </w:r>
                </w:p>
              </w:tc>
            </w:tr>
            <w:tr w:rsidR="0093583A" w:rsidRPr="00F04CCD" w:rsidTr="00DA7207">
              <w:tc>
                <w:tcPr>
                  <w:tcW w:w="2993" w:type="dxa"/>
                </w:tcPr>
                <w:p w:rsidR="0093583A" w:rsidRPr="00F04CCD" w:rsidRDefault="0093583A" w:rsidP="00DA7207">
                  <w:pPr>
                    <w:rPr>
                      <w:b/>
                      <w:i/>
                    </w:rPr>
                  </w:pPr>
                  <w:r w:rsidRPr="00F04CCD">
                    <w:rPr>
                      <w:b/>
                      <w:i/>
                    </w:rPr>
                    <w:t>Celkové náklady regulácie</w:t>
                  </w:r>
                </w:p>
              </w:tc>
              <w:tc>
                <w:tcPr>
                  <w:tcW w:w="2994" w:type="dxa"/>
                </w:tcPr>
                <w:p w:rsidR="0093583A" w:rsidRDefault="0093583A" w:rsidP="00DA7207">
                  <w:pPr>
                    <w:jc w:val="center"/>
                    <w:rPr>
                      <w:b/>
                      <w:i/>
                    </w:rPr>
                  </w:pPr>
                  <w:r>
                    <w:rPr>
                      <w:b/>
                      <w:i/>
                    </w:rPr>
                    <w:t>100 – 700 Eur/ha</w:t>
                  </w:r>
                </w:p>
                <w:p w:rsidR="0093583A" w:rsidRPr="00F04CCD" w:rsidRDefault="0093583A" w:rsidP="00DA7207">
                  <w:pPr>
                    <w:jc w:val="center"/>
                    <w:rPr>
                      <w:b/>
                      <w:i/>
                    </w:rPr>
                  </w:pPr>
                  <w:r w:rsidRPr="003B075E">
                    <w:rPr>
                      <w:b/>
                      <w:i/>
                    </w:rPr>
                    <w:t xml:space="preserve">(v závislosti od druhu </w:t>
                  </w:r>
                  <w:r w:rsidRPr="003B075E">
                    <w:rPr>
                      <w:b/>
                      <w:i/>
                    </w:rPr>
                    <w:lastRenderedPageBreak/>
                    <w:t>a spôsobu odstraňovania)</w:t>
                  </w:r>
                </w:p>
              </w:tc>
              <w:tc>
                <w:tcPr>
                  <w:tcW w:w="2994" w:type="dxa"/>
                </w:tcPr>
                <w:p w:rsidR="0093583A" w:rsidRPr="00F04CCD" w:rsidRDefault="0093583A" w:rsidP="00DA7207">
                  <w:pPr>
                    <w:jc w:val="center"/>
                    <w:rPr>
                      <w:b/>
                      <w:i/>
                    </w:rPr>
                  </w:pPr>
                  <w:r>
                    <w:rPr>
                      <w:b/>
                      <w:i/>
                    </w:rPr>
                    <w:lastRenderedPageBreak/>
                    <w:t xml:space="preserve">Nedá sa odhadnúť rozsah </w:t>
                  </w:r>
                  <w:r w:rsidRPr="003B075E">
                    <w:rPr>
                      <w:b/>
                      <w:i/>
                    </w:rPr>
                    <w:t xml:space="preserve">(nie je známe presné rozšírenie </w:t>
                  </w:r>
                  <w:r w:rsidRPr="003B075E">
                    <w:rPr>
                      <w:b/>
                      <w:i/>
                    </w:rPr>
                    <w:lastRenderedPageBreak/>
                    <w:t>týchto druhov)</w:t>
                  </w:r>
                </w:p>
              </w:tc>
            </w:tr>
          </w:tbl>
          <w:p w:rsidR="0093583A" w:rsidRPr="00F04CCD" w:rsidRDefault="0093583A" w:rsidP="00DA7207">
            <w:pPr>
              <w:rPr>
                <w:i/>
              </w:rPr>
            </w:pPr>
          </w:p>
        </w:tc>
      </w:tr>
      <w:tr w:rsidR="0093583A" w:rsidRPr="00F04CCD" w:rsidTr="00DA7207">
        <w:tc>
          <w:tcPr>
            <w:tcW w:w="5000" w:type="pct"/>
            <w:shd w:val="clear" w:color="auto" w:fill="D9D9D9" w:themeFill="background1" w:themeFillShade="D9"/>
          </w:tcPr>
          <w:p w:rsidR="0093583A" w:rsidRPr="00042C66" w:rsidRDefault="0093583A" w:rsidP="00DA7207">
            <w:pPr>
              <w:rPr>
                <w:b/>
                <w:sz w:val="24"/>
              </w:rPr>
            </w:pPr>
            <w:r>
              <w:rPr>
                <w:b/>
                <w:sz w:val="24"/>
              </w:rPr>
              <w:lastRenderedPageBreak/>
              <w:t>3</w:t>
            </w:r>
            <w:r w:rsidRPr="00042C66">
              <w:rPr>
                <w:b/>
                <w:sz w:val="24"/>
              </w:rPr>
              <w:t>.4 Konkurencieschopnosť a správanie sa podnikov na trhu</w:t>
            </w:r>
          </w:p>
          <w:p w:rsidR="0093583A" w:rsidRPr="00F04CCD" w:rsidRDefault="0093583A" w:rsidP="00DA7207">
            <w:r w:rsidRPr="00042C66">
              <w:rPr>
                <w:b/>
                <w:sz w:val="24"/>
              </w:rPr>
              <w:t xml:space="preserve">       </w:t>
            </w:r>
            <w:r w:rsidRPr="00042C66">
              <w:rPr>
                <w:sz w:val="24"/>
              </w:rPr>
              <w:t xml:space="preserve">- </w:t>
            </w:r>
            <w:r w:rsidRPr="00042C66">
              <w:rPr>
                <w:b/>
                <w:sz w:val="24"/>
              </w:rPr>
              <w:t>z toho MSP</w:t>
            </w:r>
          </w:p>
        </w:tc>
      </w:tr>
      <w:tr w:rsidR="0093583A" w:rsidRPr="00F04CCD" w:rsidTr="00DA7207">
        <w:tc>
          <w:tcPr>
            <w:tcW w:w="5000" w:type="pct"/>
            <w:tcBorders>
              <w:bottom w:val="single" w:sz="4" w:space="0" w:color="auto"/>
            </w:tcBorders>
          </w:tcPr>
          <w:p w:rsidR="0093583A" w:rsidRPr="00F04CCD" w:rsidRDefault="0093583A" w:rsidP="00DA720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3583A" w:rsidRPr="00F04CCD" w:rsidRDefault="0093583A" w:rsidP="00DA720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3583A" w:rsidRPr="00F04CCD" w:rsidRDefault="0093583A" w:rsidP="00DA7207">
            <w:pPr>
              <w:rPr>
                <w:i/>
              </w:rPr>
            </w:pPr>
            <w:r w:rsidRPr="00F04CCD">
              <w:rPr>
                <w:i/>
              </w:rPr>
              <w:t>Ako ovplyvní cenu alebo dostupnosť základných zdrojov (suroviny, mechanizmy, pracovná sila, energie atď.)?</w:t>
            </w:r>
          </w:p>
          <w:p w:rsidR="0093583A" w:rsidRPr="00F04CCD" w:rsidRDefault="0093583A" w:rsidP="00DA7207">
            <w:pPr>
              <w:rPr>
                <w:i/>
              </w:rPr>
            </w:pPr>
            <w:r w:rsidRPr="00F04CCD">
              <w:rPr>
                <w:i/>
              </w:rPr>
              <w:t>Ovplyvňuje prístup k financiám? Ak áno, ako?</w:t>
            </w:r>
          </w:p>
        </w:tc>
      </w:tr>
      <w:tr w:rsidR="0093583A" w:rsidRPr="00120C2A" w:rsidTr="00DA7207">
        <w:trPr>
          <w:trHeight w:val="1282"/>
        </w:trPr>
        <w:tc>
          <w:tcPr>
            <w:tcW w:w="5000" w:type="pct"/>
            <w:tcBorders>
              <w:bottom w:val="single" w:sz="4" w:space="0" w:color="auto"/>
            </w:tcBorders>
          </w:tcPr>
          <w:p w:rsidR="0093583A" w:rsidRPr="00120C2A" w:rsidRDefault="0093583A" w:rsidP="00DA7207">
            <w:r w:rsidRPr="00120C2A">
              <w:t>Nedochádza.</w:t>
            </w:r>
          </w:p>
        </w:tc>
      </w:tr>
      <w:tr w:rsidR="0093583A" w:rsidRPr="00F04CCD" w:rsidTr="00DA7207">
        <w:tc>
          <w:tcPr>
            <w:tcW w:w="5000" w:type="pct"/>
            <w:shd w:val="clear" w:color="auto" w:fill="D9D9D9" w:themeFill="background1" w:themeFillShade="D9"/>
          </w:tcPr>
          <w:p w:rsidR="0093583A" w:rsidRPr="00042C66" w:rsidRDefault="0093583A" w:rsidP="00DA7207">
            <w:pPr>
              <w:rPr>
                <w:b/>
                <w:sz w:val="24"/>
              </w:rPr>
            </w:pPr>
            <w:r>
              <w:rPr>
                <w:b/>
                <w:sz w:val="24"/>
              </w:rPr>
              <w:t>3</w:t>
            </w:r>
            <w:r w:rsidRPr="00042C66">
              <w:rPr>
                <w:b/>
                <w:sz w:val="24"/>
              </w:rPr>
              <w:t xml:space="preserve">.5 Inovácie </w:t>
            </w:r>
          </w:p>
          <w:p w:rsidR="0093583A" w:rsidRPr="00F04CCD" w:rsidRDefault="0093583A" w:rsidP="00DA7207">
            <w:pPr>
              <w:rPr>
                <w:b/>
              </w:rPr>
            </w:pPr>
            <w:r w:rsidRPr="00042C66">
              <w:rPr>
                <w:sz w:val="24"/>
              </w:rPr>
              <w:t xml:space="preserve">       - </w:t>
            </w:r>
            <w:r w:rsidRPr="00042C66">
              <w:rPr>
                <w:b/>
                <w:sz w:val="24"/>
              </w:rPr>
              <w:t>z toho MSP</w:t>
            </w:r>
          </w:p>
        </w:tc>
      </w:tr>
      <w:tr w:rsidR="0093583A" w:rsidRPr="00F04CCD" w:rsidTr="00DA7207">
        <w:trPr>
          <w:trHeight w:val="1400"/>
        </w:trPr>
        <w:tc>
          <w:tcPr>
            <w:tcW w:w="5000" w:type="pct"/>
          </w:tcPr>
          <w:p w:rsidR="0093583A" w:rsidRPr="00F04CCD" w:rsidRDefault="0093583A" w:rsidP="00DA7207">
            <w:pPr>
              <w:rPr>
                <w:i/>
              </w:rPr>
            </w:pPr>
            <w:r w:rsidRPr="00F04CCD">
              <w:rPr>
                <w:i/>
              </w:rPr>
              <w:t>Uveďte, ako podporuje navrhovaná zmena inovácie.</w:t>
            </w:r>
          </w:p>
          <w:p w:rsidR="0093583A" w:rsidRPr="00F04CCD" w:rsidRDefault="0093583A" w:rsidP="00DA7207">
            <w:pPr>
              <w:rPr>
                <w:i/>
              </w:rPr>
            </w:pPr>
            <w:r w:rsidRPr="00F04CCD">
              <w:rPr>
                <w:i/>
              </w:rPr>
              <w:t>Zjednodušuje uvedenie alebo rozšírenie nových výrobných metód, technológií a výrobkov na trh?</w:t>
            </w:r>
          </w:p>
          <w:p w:rsidR="0093583A" w:rsidRPr="00F04CCD" w:rsidRDefault="0093583A" w:rsidP="00DA7207">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93583A" w:rsidRDefault="0093583A" w:rsidP="00DA7207">
            <w:pPr>
              <w:rPr>
                <w:i/>
              </w:rPr>
            </w:pPr>
            <w:r w:rsidRPr="00F04CCD">
              <w:rPr>
                <w:i/>
              </w:rPr>
              <w:t>Podporuje vyššiu efektivitu výroby/využívania zdrojov? Ak áno, ako?</w:t>
            </w:r>
          </w:p>
          <w:p w:rsidR="0093583A" w:rsidRPr="00F04CCD" w:rsidRDefault="0093583A" w:rsidP="00DA7207">
            <w:r w:rsidRPr="00154881">
              <w:rPr>
                <w:i/>
              </w:rPr>
              <w:t>Vytvorí zmena nové pracovné miesta pre zamestnancov výskumu a vývoja v</w:t>
            </w:r>
            <w:r>
              <w:rPr>
                <w:i/>
              </w:rPr>
              <w:t> </w:t>
            </w:r>
            <w:r w:rsidRPr="00154881">
              <w:rPr>
                <w:i/>
              </w:rPr>
              <w:t>SR</w:t>
            </w:r>
            <w:r>
              <w:rPr>
                <w:i/>
              </w:rPr>
              <w:t>?</w:t>
            </w:r>
          </w:p>
        </w:tc>
      </w:tr>
      <w:tr w:rsidR="0093583A" w:rsidRPr="00120C2A" w:rsidTr="00DA7207">
        <w:trPr>
          <w:trHeight w:val="1747"/>
        </w:trPr>
        <w:tc>
          <w:tcPr>
            <w:tcW w:w="5000" w:type="pct"/>
          </w:tcPr>
          <w:p w:rsidR="0093583A" w:rsidRPr="00120C2A" w:rsidRDefault="0093583A" w:rsidP="00DA7207">
            <w:r w:rsidRPr="00120C2A">
              <w:lastRenderedPageBreak/>
              <w:t>Nepodporuje inovácie.</w:t>
            </w:r>
          </w:p>
        </w:tc>
      </w:tr>
    </w:tbl>
    <w:p w:rsidR="0093583A" w:rsidRDefault="0093583A" w:rsidP="009358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3583A" w:rsidRPr="002E32C0" w:rsidTr="00DA7207">
        <w:trPr>
          <w:trHeight w:val="566"/>
        </w:trPr>
        <w:tc>
          <w:tcPr>
            <w:tcW w:w="5000" w:type="pct"/>
            <w:shd w:val="clear" w:color="auto" w:fill="D9D9D9"/>
            <w:vAlign w:val="center"/>
            <w:hideMark/>
          </w:tcPr>
          <w:p w:rsidR="0093583A" w:rsidRPr="002E32C0" w:rsidRDefault="0093583A" w:rsidP="00DA7207">
            <w:pPr>
              <w:jc w:val="center"/>
              <w:rPr>
                <w:sz w:val="24"/>
                <w:szCs w:val="24"/>
              </w:rPr>
            </w:pPr>
            <w:r w:rsidRPr="002E32C0">
              <w:rPr>
                <w:b/>
                <w:sz w:val="28"/>
                <w:szCs w:val="24"/>
              </w:rPr>
              <w:t>Analýza vplyvov na životné prostredie</w:t>
            </w:r>
          </w:p>
        </w:tc>
      </w:tr>
      <w:tr w:rsidR="0093583A" w:rsidRPr="002E32C0" w:rsidTr="00DA7207">
        <w:trPr>
          <w:trHeight w:val="688"/>
        </w:trPr>
        <w:tc>
          <w:tcPr>
            <w:tcW w:w="5000" w:type="pct"/>
            <w:shd w:val="clear" w:color="auto" w:fill="D9D9D9"/>
            <w:vAlign w:val="center"/>
            <w:hideMark/>
          </w:tcPr>
          <w:p w:rsidR="0093583A" w:rsidRPr="002E32C0" w:rsidRDefault="0093583A" w:rsidP="00DA7207">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93583A" w:rsidRPr="002E32C0" w:rsidTr="00DA7207">
        <w:trPr>
          <w:trHeight w:val="995"/>
        </w:trPr>
        <w:tc>
          <w:tcPr>
            <w:tcW w:w="5000" w:type="pct"/>
          </w:tcPr>
          <w:p w:rsidR="0093583A" w:rsidRDefault="0093583A" w:rsidP="00DA7207">
            <w:pPr>
              <w:jc w:val="both"/>
              <w:rPr>
                <w:i/>
                <w:sz w:val="24"/>
                <w:szCs w:val="24"/>
              </w:rPr>
            </w:pPr>
            <w:r w:rsidRPr="002E32C0">
              <w:rPr>
                <w:i/>
                <w:sz w:val="24"/>
                <w:szCs w:val="24"/>
              </w:rPr>
              <w:t>Typ, veľkosť a rozsah vplyvu</w:t>
            </w:r>
          </w:p>
          <w:p w:rsidR="0093583A" w:rsidRDefault="0093583A" w:rsidP="00DA7207">
            <w:pPr>
              <w:jc w:val="both"/>
              <w:rPr>
                <w:i/>
                <w:sz w:val="24"/>
                <w:szCs w:val="24"/>
              </w:rPr>
            </w:pPr>
            <w:r>
              <w:t>Návrh zákona bude mať priamy pozitívny environmentálny vplyv na organizmy.</w:t>
            </w:r>
          </w:p>
          <w:p w:rsidR="0093583A" w:rsidRPr="006A0246" w:rsidRDefault="0093583A" w:rsidP="00DA7207">
            <w:pPr>
              <w:rPr>
                <w:sz w:val="24"/>
                <w:szCs w:val="24"/>
              </w:rPr>
            </w:pPr>
          </w:p>
        </w:tc>
      </w:tr>
      <w:tr w:rsidR="0093583A" w:rsidRPr="002E32C0" w:rsidTr="00DA7207">
        <w:trPr>
          <w:trHeight w:val="404"/>
        </w:trPr>
        <w:tc>
          <w:tcPr>
            <w:tcW w:w="5000" w:type="pct"/>
            <w:shd w:val="clear" w:color="auto" w:fill="D9D9D9"/>
            <w:vAlign w:val="center"/>
            <w:hideMark/>
          </w:tcPr>
          <w:p w:rsidR="0093583A" w:rsidRPr="002E32C0" w:rsidRDefault="0093583A" w:rsidP="00DA7207">
            <w:pPr>
              <w:rPr>
                <w:b/>
                <w:sz w:val="24"/>
                <w:szCs w:val="24"/>
              </w:rPr>
            </w:pPr>
            <w:r w:rsidRPr="002E32C0">
              <w:rPr>
                <w:b/>
                <w:sz w:val="24"/>
                <w:szCs w:val="24"/>
              </w:rPr>
              <w:t xml:space="preserve">5.2 Bude mať predkladaný materiál vplyv na chránené územia a ak áno, aký? </w:t>
            </w:r>
          </w:p>
        </w:tc>
      </w:tr>
      <w:tr w:rsidR="0093583A" w:rsidRPr="002E32C0" w:rsidTr="00DA7207">
        <w:trPr>
          <w:trHeight w:val="987"/>
        </w:trPr>
        <w:tc>
          <w:tcPr>
            <w:tcW w:w="5000" w:type="pct"/>
          </w:tcPr>
          <w:p w:rsidR="0093583A" w:rsidRDefault="0093583A" w:rsidP="00DA7207">
            <w:pPr>
              <w:jc w:val="both"/>
              <w:rPr>
                <w:i/>
                <w:sz w:val="24"/>
                <w:szCs w:val="24"/>
              </w:rPr>
            </w:pPr>
            <w:r w:rsidRPr="002E32C0">
              <w:rPr>
                <w:i/>
                <w:sz w:val="24"/>
                <w:szCs w:val="24"/>
              </w:rPr>
              <w:t>Typ, veľkosť a rozsah vplyvu</w:t>
            </w:r>
          </w:p>
          <w:p w:rsidR="0093583A" w:rsidRPr="006A0246" w:rsidRDefault="0093583A" w:rsidP="00DA7207">
            <w:pPr>
              <w:jc w:val="both"/>
              <w:rPr>
                <w:sz w:val="24"/>
                <w:szCs w:val="24"/>
              </w:rPr>
            </w:pPr>
            <w:r>
              <w:t>Návrh zákona bude mať pozitívny vplyv na všetky biotopy, teda aj na biotopy v chránených územiach. Zabezpečením odstraňovania inváznych druhov sa zachová priaznivý stav biotopov a druhov európskeho a národného významu, ktoré sú predmetom ochrany chránených území.</w:t>
            </w:r>
          </w:p>
        </w:tc>
      </w:tr>
      <w:tr w:rsidR="0093583A" w:rsidRPr="002E32C0" w:rsidTr="00DA7207">
        <w:trPr>
          <w:trHeight w:val="698"/>
        </w:trPr>
        <w:tc>
          <w:tcPr>
            <w:tcW w:w="5000" w:type="pct"/>
            <w:shd w:val="clear" w:color="auto" w:fill="D9D9D9"/>
            <w:vAlign w:val="center"/>
          </w:tcPr>
          <w:p w:rsidR="0093583A" w:rsidRPr="002E32C0" w:rsidRDefault="0093583A" w:rsidP="00DA7207">
            <w:pPr>
              <w:rPr>
                <w:b/>
                <w:sz w:val="24"/>
                <w:szCs w:val="24"/>
              </w:rPr>
            </w:pPr>
            <w:r w:rsidRPr="002E32C0">
              <w:rPr>
                <w:b/>
                <w:sz w:val="24"/>
                <w:szCs w:val="24"/>
              </w:rPr>
              <w:t>5.3 Bude mať predkladaný materiál vplyvy na životné prostredie presahujúce štátne hranice? (ktoré zložky a ako budú najviac ovplyvnené)?</w:t>
            </w:r>
          </w:p>
        </w:tc>
      </w:tr>
      <w:tr w:rsidR="0093583A" w:rsidRPr="002E32C0" w:rsidTr="00DA7207">
        <w:trPr>
          <w:trHeight w:val="969"/>
        </w:trPr>
        <w:tc>
          <w:tcPr>
            <w:tcW w:w="5000" w:type="pct"/>
          </w:tcPr>
          <w:p w:rsidR="0093583A" w:rsidRDefault="0093583A" w:rsidP="00DA7207">
            <w:pPr>
              <w:jc w:val="both"/>
              <w:rPr>
                <w:i/>
                <w:sz w:val="24"/>
                <w:szCs w:val="24"/>
              </w:rPr>
            </w:pPr>
            <w:r w:rsidRPr="002E32C0">
              <w:rPr>
                <w:i/>
                <w:sz w:val="24"/>
                <w:szCs w:val="24"/>
              </w:rPr>
              <w:t>Typ, veľkosť a rozsah vplyvu</w:t>
            </w:r>
          </w:p>
          <w:p w:rsidR="0093583A" w:rsidRPr="006A0246" w:rsidRDefault="0093583A" w:rsidP="00DA7207">
            <w:pPr>
              <w:jc w:val="both"/>
              <w:rPr>
                <w:b/>
                <w:sz w:val="24"/>
                <w:szCs w:val="24"/>
              </w:rPr>
            </w:pPr>
            <w:r>
              <w:t xml:space="preserve">Návrhom zákona sa implementuje nariadenie Európskeho parlamentu a Rady (EÚ) č. 1143/2014 o prevencii a manažmente introdukcie a šírenia inváznych </w:t>
            </w:r>
            <w:r>
              <w:lastRenderedPageBreak/>
              <w:t>nepôvodných druhov (ďalej len „nariadenie EÚ“), čo znamená, že opatrenia sa pozitívne prejavia vo všetkých členských štátoch Európskej únie.</w:t>
            </w:r>
          </w:p>
        </w:tc>
      </w:tr>
      <w:tr w:rsidR="0093583A" w:rsidRPr="002E32C0" w:rsidTr="00DA7207">
        <w:trPr>
          <w:trHeight w:val="713"/>
        </w:trPr>
        <w:tc>
          <w:tcPr>
            <w:tcW w:w="5000" w:type="pct"/>
            <w:shd w:val="clear" w:color="auto" w:fill="D9D9D9"/>
            <w:vAlign w:val="center"/>
          </w:tcPr>
          <w:p w:rsidR="0093583A" w:rsidRPr="002E32C0" w:rsidRDefault="0093583A" w:rsidP="00DA7207">
            <w:pPr>
              <w:rPr>
                <w:b/>
                <w:sz w:val="24"/>
                <w:szCs w:val="24"/>
              </w:rPr>
            </w:pPr>
            <w:r w:rsidRPr="002E32C0">
              <w:rPr>
                <w:b/>
                <w:sz w:val="24"/>
                <w:szCs w:val="24"/>
              </w:rPr>
              <w:lastRenderedPageBreak/>
              <w:t>5.4 Aké opatrenia budú prijaté na zmiernenie negatívneho vplyvu na životné prostredie?</w:t>
            </w:r>
          </w:p>
        </w:tc>
      </w:tr>
      <w:tr w:rsidR="0093583A" w:rsidRPr="002E32C0" w:rsidTr="00DA7207">
        <w:trPr>
          <w:trHeight w:val="979"/>
        </w:trPr>
        <w:tc>
          <w:tcPr>
            <w:tcW w:w="5000" w:type="pct"/>
            <w:shd w:val="clear" w:color="auto" w:fill="FFFFFF"/>
          </w:tcPr>
          <w:p w:rsidR="0093583A" w:rsidRDefault="0093583A" w:rsidP="00DA7207">
            <w:pPr>
              <w:spacing w:after="120"/>
              <w:jc w:val="both"/>
              <w:rPr>
                <w:bCs/>
              </w:rPr>
            </w:pPr>
            <w:r>
              <w:rPr>
                <w:bCs/>
              </w:rPr>
              <w:t xml:space="preserve">Komplexné riešenie problematiky inváznych nepôvodných druhov, regulácia ich výskytu na území Slovenskej republiky bude zabezpečené odstraňovaním inváznych nepôvodných druhov vlastníkmi, správcami a užívateľmi pozemkov, užívateľmi poľovných a rybárskych revírov a reguláciou obchodu s inváznymi nepôvodnými druhmi. Z nariadenia EÚ vyplýva, že bude potrebné zriadenie systému dohľadu nad inváznymi nepôvodnými druhmi, ktorým sa budú zbierať a zaznamenávať údaje o výskyte inváznych nepôvodných druhov v životnom prostredí prostredníctvom prieskumu, monitorovania alebo iných postupov s cieľom zabrániť šíreniu inváznych nepôvodných druhov do Únie alebo v rámci nej. Ďalej bude potrebné zaviesť plne funkčné štruktúry na vykonávanie úradných kontrol potrebných na zabránenie úmyselnej introdukcii inváznych nepôvodných druhov vzbudzujúcich obavy Únie do Únie (kontroly na hraniciach EÚ).  Pri zaznamenaní výskytu invázneho nepôvodného druhu vzbudzujúceho obavy Únie vyplýva z nariadenia EÚ nutnosť uskutočnenia manažmentových opatrení, ktoré zabezpečia rýchlu eradikáciu tohto druhu alebo zabránia jeho šírenie do iných členských štátov EÚ a následnú obnovu poškodených ekosystémov. Súčasne sa predpokladá vypracovanie akčných plánov týkajúcich sa prienikových ciest inváznych nepôvodných druhov, ktoré vyžadujú prioritné opatrenia a prípadné zavedenie núdzových opatrení pri výskyte invázneho nepôvodného druhu, ktorý nie je zaradený do zoznamu Únie. </w:t>
            </w:r>
          </w:p>
          <w:p w:rsidR="0093583A" w:rsidRDefault="0093583A" w:rsidP="00DA7207">
            <w:pPr>
              <w:spacing w:after="120"/>
              <w:jc w:val="both"/>
              <w:rPr>
                <w:bCs/>
              </w:rPr>
            </w:pPr>
            <w:r>
              <w:rPr>
                <w:bCs/>
              </w:rPr>
              <w:t>Realizáciou účinných opatrení sa zabezpečí zachovanie pôvodnej biodiverzity, t.j. druhov a biotopov národného a európskeho významu.</w:t>
            </w:r>
          </w:p>
          <w:p w:rsidR="0093583A" w:rsidRPr="002E32C0" w:rsidRDefault="0093583A" w:rsidP="00DA7207">
            <w:pPr>
              <w:spacing w:after="120"/>
              <w:jc w:val="both"/>
              <w:rPr>
                <w:b/>
                <w:sz w:val="24"/>
                <w:szCs w:val="24"/>
              </w:rPr>
            </w:pPr>
          </w:p>
        </w:tc>
      </w:tr>
    </w:tbl>
    <w:p w:rsidR="0093583A" w:rsidRDefault="0093583A" w:rsidP="0093583A"/>
    <w:p w:rsidR="007B0328" w:rsidRDefault="007B0328">
      <w:bookmarkStart w:id="1" w:name="_GoBack"/>
      <w:bookmarkEnd w:id="1"/>
    </w:p>
    <w:sectPr w:rsidR="007B0328" w:rsidSect="00266D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5A" w:rsidRDefault="0093583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66D5A" w:rsidRDefault="009358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5A" w:rsidRDefault="0093583A">
    <w:pPr>
      <w:pStyle w:val="Pta"/>
      <w:jc w:val="right"/>
    </w:pPr>
    <w:r>
      <w:fldChar w:fldCharType="begin"/>
    </w:r>
    <w:r>
      <w:instrText>PAGE   \* MERGEFORMAT</w:instrText>
    </w:r>
    <w:r>
      <w:fldChar w:fldCharType="separate"/>
    </w:r>
    <w:r>
      <w:rPr>
        <w:noProof/>
      </w:rPr>
      <w:t>7</w:t>
    </w:r>
    <w:r>
      <w:rPr>
        <w:noProof/>
      </w:rPr>
      <w:fldChar w:fldCharType="end"/>
    </w:r>
  </w:p>
  <w:p w:rsidR="00266D5A" w:rsidRDefault="0093583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5A" w:rsidRDefault="0093583A">
    <w:pPr>
      <w:pStyle w:val="Pta"/>
      <w:jc w:val="right"/>
    </w:pPr>
    <w:r>
      <w:fldChar w:fldCharType="begin"/>
    </w:r>
    <w:r>
      <w:instrText>PAGE   \* MERGEFORMAT</w:instrText>
    </w:r>
    <w:r>
      <w:fldChar w:fldCharType="separate"/>
    </w:r>
    <w:r>
      <w:rPr>
        <w:noProof/>
      </w:rPr>
      <w:t>0</w:t>
    </w:r>
    <w:r>
      <w:rPr>
        <w:noProof/>
      </w:rPr>
      <w:fldChar w:fldCharType="end"/>
    </w:r>
  </w:p>
  <w:p w:rsidR="00266D5A" w:rsidRDefault="0093583A">
    <w:pPr>
      <w:pStyle w:val="Pt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5A" w:rsidRDefault="0093583A" w:rsidP="00266D5A">
    <w:pPr>
      <w:pStyle w:val="Hlavika"/>
      <w:jc w:val="right"/>
      <w:rPr>
        <w:sz w:val="24"/>
        <w:szCs w:val="24"/>
      </w:rPr>
    </w:pPr>
    <w:r>
      <w:rPr>
        <w:sz w:val="24"/>
        <w:szCs w:val="24"/>
      </w:rPr>
      <w:t>Príloha č. 2</w:t>
    </w:r>
  </w:p>
  <w:p w:rsidR="00266D5A" w:rsidRPr="00EB59C8" w:rsidRDefault="0093583A" w:rsidP="00266D5A">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5A" w:rsidRPr="000A15AE" w:rsidRDefault="0093583A" w:rsidP="00266D5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2562"/>
    <w:multiLevelType w:val="hybridMultilevel"/>
    <w:tmpl w:val="83DCF16C"/>
    <w:lvl w:ilvl="0" w:tplc="F2903FF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E"/>
    <w:rsid w:val="007B0328"/>
    <w:rsid w:val="0093583A"/>
    <w:rsid w:val="00F73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8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83A"/>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93583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3583A"/>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93583A"/>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3583A"/>
    <w:rPr>
      <w:rFonts w:cs="Times New Roman"/>
    </w:rPr>
  </w:style>
  <w:style w:type="table" w:styleId="Mriekatabuky">
    <w:name w:val="Table Grid"/>
    <w:basedOn w:val="Normlnatabuka"/>
    <w:uiPriority w:val="59"/>
    <w:rsid w:val="0093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3583A"/>
    <w:pPr>
      <w:ind w:left="720"/>
      <w:contextualSpacing/>
    </w:pPr>
  </w:style>
  <w:style w:type="paragraph" w:styleId="Textbubliny">
    <w:name w:val="Balloon Text"/>
    <w:basedOn w:val="Normlny"/>
    <w:link w:val="TextbublinyChar"/>
    <w:uiPriority w:val="99"/>
    <w:semiHidden/>
    <w:unhideWhenUsed/>
    <w:rsid w:val="009358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5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8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83A"/>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93583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3583A"/>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93583A"/>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3583A"/>
    <w:rPr>
      <w:rFonts w:cs="Times New Roman"/>
    </w:rPr>
  </w:style>
  <w:style w:type="table" w:styleId="Mriekatabuky">
    <w:name w:val="Table Grid"/>
    <w:basedOn w:val="Normlnatabuka"/>
    <w:uiPriority w:val="59"/>
    <w:rsid w:val="0093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3583A"/>
    <w:pPr>
      <w:ind w:left="720"/>
      <w:contextualSpacing/>
    </w:pPr>
  </w:style>
  <w:style w:type="paragraph" w:styleId="Textbubliny">
    <w:name w:val="Balloon Text"/>
    <w:basedOn w:val="Normlny"/>
    <w:link w:val="TextbublinyChar"/>
    <w:uiPriority w:val="99"/>
    <w:semiHidden/>
    <w:unhideWhenUsed/>
    <w:rsid w:val="009358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5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er" Target="footer2.xml"></Relationship><Relationship Id="rId3" Type="http://schemas.microsoft.com/office/2007/relationships/stylesWithEffects" Target="stylesWithEffects.xml"></Relationship><Relationship Id="rId7" Type="http://schemas.openxmlformats.org/officeDocument/2006/relationships/footer" Target="footer1.xml"></Relationship><Relationship Id="rId12"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header" Target="header1.xml"></Relationship><Relationship Id="rId11" Type="http://schemas.openxmlformats.org/officeDocument/2006/relationships/fontTable" Target="fontTable.xml"></Relationship><Relationship Id="rId5" Type="http://schemas.openxmlformats.org/officeDocument/2006/relationships/webSettings" Target="webSettings.xml"></Relationship><Relationship Id="rId10" Type="http://schemas.openxmlformats.org/officeDocument/2006/relationships/footer" Target="footer3.xml"></Relationship><Relationship Id="rId4" Type="http://schemas.openxmlformats.org/officeDocument/2006/relationships/settings" Target="settings.xml"></Relationship><Relationship Id="rId9" Type="http://schemas.openxmlformats.org/officeDocument/2006/relationships/header" Target="header2.xml"></Relationship><Relationship Id="rId13"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ýzy-vplyvov"/>
    <f:field ref="objsubject" par="" edit="true" text=""/>
    <f:field ref="objcreatedby" par="" text="Kozlíková, Barbora, Mgr."/>
    <f:field ref="objcreatedat" par="" text="9.8.2016 20:35:04"/>
    <f:field ref="objchangedby" par="" text="Administrator, System"/>
    <f:field ref="objmodifiedat" par="" text="9.8.2016 20:35: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2</cp:revision>
  <dcterms:created xsi:type="dcterms:W3CDTF">2016-08-09T18:34:00Z</dcterms:created>
  <dcterms:modified xsi:type="dcterms:W3CDTF">2016-08-09T18:34:00Z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o prevencii a manažmente introdukcie a šírenia inváznych nepôvodných druhov a o zmene a doplnení niektorých zákonov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2016</vt:lpwstr>
  </property>
  <property name="FSC#SKEDITIONSLOVLEX@103.510:plnynazovpredpis" pid="23" fmtid="{D5CDD505-2E9C-101B-9397-08002B2CF9AE}">
    <vt:lpwstr> Zákon o prevencii a manažmente introdukcie a šírenia inváznych nepôvodných druhov a o zmene a doplnení niektorých zákonov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7082/2016-min</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LP/2016/707</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 Čl. 191 až 193 Zmluvy o fungovaní Európskej únie v platnom znení.   </vt:lpwstr>
  </property>
  <property name="FSC#SKEDITIONSLOVLEX@103.510:AttrStrListDocPropSekundarneLegPravoPO" pid="4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2. január 2016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8" fmtid="{D5CDD505-2E9C-101B-9397-08002B2CF9AE}">
    <vt:lpwstr>1. 7. 2016</vt:lpwstr>
  </property>
  <property name="FSC#SKEDITIONSLOVLEX@103.510:AttrDateDocPropUkonceniePKK" pid="59" fmtid="{D5CDD505-2E9C-101B-9397-08002B2CF9AE}">
    <vt:lpwstr>7. 7. 2016</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6" fmtid="{D5CDD505-2E9C-101B-9397-08002B2CF9AE}">
    <vt:lpwstr>Nie sú alternatívne riešenia.</vt:lpwstr>
  </property>
  <property name="FSC#SKEDITIONSLOVLEX@103.510:AttrStrListDocPropStanoviskoGest" pid="6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ministera životného prostredia Slovenskej republiky</vt:lpwstr>
  </property>
  <property name="FSC#SKEDITIONSLOVLEX@103.510:funkciaZodpPredDativ" pid="143" fmtid="{D5CDD505-2E9C-101B-9397-08002B2CF9AE}">
    <vt:lpwstr>ministerovi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50" fmtid="{D5CDD505-2E9C-101B-9397-08002B2CF9AE}">
    <vt:lpwstr>COO.2145.1000.3.1562963</vt:lpwstr>
  </property>
  <property name="FSC#FSCFOLIO@1.1001:docpropproject" pid="151" fmtid="{D5CDD505-2E9C-101B-9397-08002B2CF9AE}">
    <vt:lpwstr/>
  </property>
</Properties>
</file>