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rsidP="009A54C3">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69A856E9" w:rsidR="008570D4" w:rsidRPr="00117A7E" w:rsidRDefault="00B10DDF" w:rsidP="002B14DD">
            <w:pPr>
              <w:pStyle w:val="Odsekzoznamu"/>
              <w:numPr>
                <w:ilvl w:val="0"/>
                <w:numId w:val="7"/>
              </w:numPr>
              <w:tabs>
                <w:tab w:val="left" w:pos="360"/>
              </w:tabs>
            </w:pPr>
            <w:r>
              <w:rPr>
                <w:rFonts w:ascii="Times" w:hAnsi="Times" w:cs="Times"/>
                <w:sz w:val="25"/>
                <w:szCs w:val="25"/>
              </w:rPr>
              <w:t>je upravená v práve Európskej únie</w:t>
            </w:r>
          </w:p>
          <w:p w14:paraId="26C3A81A" w14:textId="7FCA8365" w:rsidR="00B10DDF" w:rsidRDefault="00B10DDF" w:rsidP="005F1231">
            <w:pPr>
              <w:jc w:val="both"/>
              <w:divId w:val="718480224"/>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Zmluva o fungovaní Európskej únie (</w:t>
            </w:r>
            <w:r w:rsidR="00A7320A">
              <w:rPr>
                <w:rFonts w:ascii="Times" w:hAnsi="Times" w:cs="Times"/>
                <w:sz w:val="25"/>
                <w:szCs w:val="25"/>
              </w:rPr>
              <w:t xml:space="preserve">Tretia časť Vnútorné politiky a činnosti Únie </w:t>
            </w:r>
            <w:r>
              <w:rPr>
                <w:rFonts w:ascii="Times" w:hAnsi="Times" w:cs="Times"/>
                <w:sz w:val="25"/>
                <w:szCs w:val="25"/>
              </w:rPr>
              <w:t>Hlava XIV – Verejné zdravie) je upravená v článku 168 prostredníctvom, ktorého Európska únia podporuje a zameriava sa na zlepšenie verejného zdravia, prevenciu ľudských chorôb a ochorení, a odstraňovanie zdrojov nebezpečenstva pre telesné a duševné zdravie. Takéto postupy zahŕňajú boj proti najzávažnejším chorobám podporou výskumu ich príčin, prenosu a prevencie, ako aj zdravotnícke informácie a osvetu, monitorovanie závažných cezhraničných ohrození zdravia, včasné varovanie a boj proti nim.</w:t>
            </w:r>
          </w:p>
          <w:p w14:paraId="394454C0" w14:textId="604102AB" w:rsidR="00054456" w:rsidRPr="00117A7E" w:rsidRDefault="00054456" w:rsidP="00054456">
            <w:pPr>
              <w:pStyle w:val="Odsekzoznamu"/>
              <w:tabs>
                <w:tab w:val="left" w:pos="360"/>
              </w:tabs>
              <w:ind w:left="360"/>
            </w:pPr>
          </w:p>
          <w:p w14:paraId="47C8A381" w14:textId="4544050D" w:rsidR="0023485C" w:rsidRPr="00117A7E" w:rsidRDefault="00B10DDF" w:rsidP="00045716">
            <w:r>
              <w:rPr>
                <w:rFonts w:ascii="Times" w:hAnsi="Times" w:cs="Times"/>
                <w:i/>
                <w:iCs/>
                <w:sz w:val="25"/>
                <w:szCs w:val="25"/>
              </w:rPr>
              <w:t>- sekundárnom (prijatom po nadobudnutím platnosti Lisabonskej zmluvy, ktorou sa mení a dopĺňa Zmluva o Európskom spoločenstve a Zmluva o Európskej únii – po 30. novembri 2009)</w:t>
            </w:r>
            <w:r w:rsidR="00045716">
              <w:rPr>
                <w:rFonts w:ascii="Times" w:hAnsi="Times" w:cs="Times"/>
                <w:sz w:val="25"/>
                <w:szCs w:val="25"/>
              </w:rPr>
              <w:br/>
            </w:r>
            <w:r w:rsidR="00045716">
              <w:rPr>
                <w:rFonts w:ascii="Times" w:hAnsi="Times" w:cs="Times"/>
                <w:sz w:val="25"/>
                <w:szCs w:val="25"/>
              </w:rPr>
              <w:br/>
            </w: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10E820A7" w14:textId="5840D28F" w:rsidR="0023485C" w:rsidRPr="00117A7E" w:rsidRDefault="00B10DDF" w:rsidP="00045716">
            <w:pPr>
              <w:pStyle w:val="Odsekzoznamu"/>
              <w:numPr>
                <w:ilvl w:val="0"/>
                <w:numId w:val="7"/>
              </w:numPr>
              <w:tabs>
                <w:tab w:val="left" w:pos="360"/>
              </w:tabs>
            </w:pPr>
            <w:r>
              <w:rPr>
                <w:rFonts w:ascii="Times" w:hAnsi="Times" w:cs="Times"/>
                <w:sz w:val="25"/>
                <w:szCs w:val="25"/>
              </w:rPr>
              <w:t>nie je obsiahnutá v judikatúre Súdneho dvora Európskej únie</w:t>
            </w: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39E2F231" w14:textId="4B656B06" w:rsidR="00B10DDF" w:rsidRDefault="00B10DDF"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B10DDF" w14:paraId="43C3FF85" w14:textId="77777777">
        <w:trPr>
          <w:divId w:val="541939337"/>
          <w:jc w:val="center"/>
        </w:trPr>
        <w:tc>
          <w:tcPr>
            <w:tcW w:w="250" w:type="pct"/>
            <w:tcBorders>
              <w:top w:val="nil"/>
              <w:left w:val="nil"/>
              <w:bottom w:val="nil"/>
              <w:right w:val="nil"/>
            </w:tcBorders>
            <w:hideMark/>
          </w:tcPr>
          <w:p w14:paraId="23ACC912" w14:textId="77777777" w:rsidR="00B10DDF" w:rsidRDefault="00B10DDF">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6AA7129" w14:textId="77777777" w:rsidR="00B10DDF" w:rsidRDefault="00B10DD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B10DDF" w14:paraId="1131661D" w14:textId="77777777">
        <w:trPr>
          <w:divId w:val="541939337"/>
          <w:jc w:val="center"/>
        </w:trPr>
        <w:tc>
          <w:tcPr>
            <w:tcW w:w="0" w:type="auto"/>
            <w:tcBorders>
              <w:top w:val="nil"/>
              <w:left w:val="nil"/>
              <w:bottom w:val="nil"/>
              <w:right w:val="nil"/>
            </w:tcBorders>
            <w:hideMark/>
          </w:tcPr>
          <w:p w14:paraId="512E720C" w14:textId="77777777" w:rsidR="00B10DDF" w:rsidRDefault="00B10DDF">
            <w:pPr>
              <w:spacing w:after="250"/>
              <w:rPr>
                <w:rFonts w:ascii="Times" w:hAnsi="Times" w:cs="Times"/>
                <w:b/>
                <w:bCs/>
                <w:sz w:val="25"/>
                <w:szCs w:val="25"/>
              </w:rPr>
            </w:pPr>
          </w:p>
        </w:tc>
        <w:tc>
          <w:tcPr>
            <w:tcW w:w="150" w:type="pct"/>
            <w:tcBorders>
              <w:top w:val="nil"/>
              <w:left w:val="nil"/>
              <w:bottom w:val="nil"/>
              <w:right w:val="nil"/>
            </w:tcBorders>
            <w:hideMark/>
          </w:tcPr>
          <w:p w14:paraId="7DDA234D" w14:textId="77777777" w:rsidR="00B10DDF" w:rsidRDefault="00B10DD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34894539" w14:textId="77777777" w:rsidR="00B10DDF" w:rsidRDefault="00B10DDF" w:rsidP="005F1231">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tc>
      </w:tr>
      <w:tr w:rsidR="00B10DDF" w14:paraId="52134BFB" w14:textId="77777777">
        <w:trPr>
          <w:divId w:val="541939337"/>
          <w:jc w:val="center"/>
        </w:trPr>
        <w:tc>
          <w:tcPr>
            <w:tcW w:w="0" w:type="auto"/>
            <w:tcBorders>
              <w:top w:val="nil"/>
              <w:left w:val="nil"/>
              <w:bottom w:val="nil"/>
              <w:right w:val="nil"/>
            </w:tcBorders>
            <w:hideMark/>
          </w:tcPr>
          <w:p w14:paraId="2F27282C"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0C3CFE53" w14:textId="77777777" w:rsidR="00B10DDF" w:rsidRDefault="00B10DDF">
            <w:pPr>
              <w:rPr>
                <w:sz w:val="20"/>
                <w:szCs w:val="20"/>
              </w:rPr>
            </w:pPr>
          </w:p>
        </w:tc>
        <w:tc>
          <w:tcPr>
            <w:tcW w:w="0" w:type="auto"/>
            <w:tcBorders>
              <w:top w:val="nil"/>
              <w:left w:val="nil"/>
              <w:bottom w:val="nil"/>
              <w:right w:val="nil"/>
            </w:tcBorders>
            <w:vAlign w:val="center"/>
            <w:hideMark/>
          </w:tcPr>
          <w:p w14:paraId="1AF55D91" w14:textId="77777777" w:rsidR="00B10DDF" w:rsidRDefault="00B10DDF">
            <w:pPr>
              <w:spacing w:after="250"/>
              <w:rPr>
                <w:rFonts w:ascii="Times" w:hAnsi="Times" w:cs="Times"/>
                <w:sz w:val="25"/>
                <w:szCs w:val="25"/>
              </w:rPr>
            </w:pPr>
          </w:p>
        </w:tc>
      </w:tr>
      <w:tr w:rsidR="00B10DDF" w14:paraId="303EE71F" w14:textId="77777777">
        <w:trPr>
          <w:divId w:val="541939337"/>
          <w:jc w:val="center"/>
        </w:trPr>
        <w:tc>
          <w:tcPr>
            <w:tcW w:w="0" w:type="auto"/>
            <w:tcBorders>
              <w:top w:val="nil"/>
              <w:left w:val="nil"/>
              <w:bottom w:val="nil"/>
              <w:right w:val="nil"/>
            </w:tcBorders>
            <w:hideMark/>
          </w:tcPr>
          <w:p w14:paraId="4956C0E3"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32A31A" w14:textId="77777777" w:rsidR="00B10DDF" w:rsidRDefault="00B10DD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51A7DFBB" w14:textId="77777777" w:rsidR="00B10DDF" w:rsidRDefault="00B10DDF" w:rsidP="005F1231">
            <w:pPr>
              <w:spacing w:after="250"/>
              <w:jc w:val="both"/>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B10DDF" w14:paraId="1D1CC79F" w14:textId="77777777">
        <w:trPr>
          <w:divId w:val="541939337"/>
          <w:jc w:val="center"/>
        </w:trPr>
        <w:tc>
          <w:tcPr>
            <w:tcW w:w="0" w:type="auto"/>
            <w:tcBorders>
              <w:top w:val="nil"/>
              <w:left w:val="nil"/>
              <w:bottom w:val="nil"/>
              <w:right w:val="nil"/>
            </w:tcBorders>
            <w:hideMark/>
          </w:tcPr>
          <w:p w14:paraId="7835501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304EC5FF" w14:textId="77777777" w:rsidR="00B10DDF" w:rsidRDefault="00B10DDF">
            <w:pPr>
              <w:rPr>
                <w:sz w:val="20"/>
                <w:szCs w:val="20"/>
              </w:rPr>
            </w:pPr>
          </w:p>
        </w:tc>
        <w:tc>
          <w:tcPr>
            <w:tcW w:w="0" w:type="auto"/>
            <w:tcBorders>
              <w:top w:val="nil"/>
              <w:left w:val="nil"/>
              <w:bottom w:val="nil"/>
              <w:right w:val="nil"/>
            </w:tcBorders>
            <w:vAlign w:val="center"/>
            <w:hideMark/>
          </w:tcPr>
          <w:p w14:paraId="590E854D" w14:textId="77777777" w:rsidR="00B10DDF" w:rsidRDefault="00B10DDF">
            <w:pPr>
              <w:spacing w:after="250"/>
              <w:rPr>
                <w:rFonts w:ascii="Times" w:hAnsi="Times" w:cs="Times"/>
                <w:sz w:val="25"/>
                <w:szCs w:val="25"/>
              </w:rPr>
            </w:pPr>
          </w:p>
        </w:tc>
      </w:tr>
      <w:tr w:rsidR="00B10DDF" w14:paraId="7336C633" w14:textId="77777777">
        <w:trPr>
          <w:divId w:val="541939337"/>
          <w:jc w:val="center"/>
        </w:trPr>
        <w:tc>
          <w:tcPr>
            <w:tcW w:w="0" w:type="auto"/>
            <w:tcBorders>
              <w:top w:val="nil"/>
              <w:left w:val="nil"/>
              <w:bottom w:val="nil"/>
              <w:right w:val="nil"/>
            </w:tcBorders>
            <w:hideMark/>
          </w:tcPr>
          <w:p w14:paraId="7422E0C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7915E6BD" w14:textId="77777777" w:rsidR="00B10DDF" w:rsidRDefault="00B10DD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841E68E" w14:textId="77777777" w:rsidR="00B10DDF" w:rsidRDefault="00B10DDF" w:rsidP="005F1231">
            <w:pPr>
              <w:spacing w:after="250"/>
              <w:jc w:val="both"/>
              <w:rPr>
                <w:rFonts w:ascii="Times" w:hAnsi="Times" w:cs="Times"/>
                <w:sz w:val="25"/>
                <w:szCs w:val="25"/>
              </w:rPr>
            </w:pPr>
            <w:r>
              <w:rPr>
                <w:rFonts w:ascii="Times" w:hAnsi="Times" w:cs="Times"/>
                <w:sz w:val="25"/>
                <w:szCs w:val="25"/>
              </w:rPr>
              <w:t xml:space="preserve">informácia o konaní začatom proti Slovenskej republike o porušení podľa čl. 258 až </w:t>
            </w:r>
            <w:r>
              <w:rPr>
                <w:rFonts w:ascii="Times" w:hAnsi="Times" w:cs="Times"/>
                <w:sz w:val="25"/>
                <w:szCs w:val="25"/>
              </w:rPr>
              <w:lastRenderedPageBreak/>
              <w:t>260 Zmluvy o fungovaní Európskej únie</w:t>
            </w:r>
          </w:p>
        </w:tc>
      </w:tr>
      <w:tr w:rsidR="00B10DDF" w14:paraId="483AF5A4" w14:textId="77777777">
        <w:trPr>
          <w:divId w:val="541939337"/>
          <w:jc w:val="center"/>
        </w:trPr>
        <w:tc>
          <w:tcPr>
            <w:tcW w:w="0" w:type="auto"/>
            <w:tcBorders>
              <w:top w:val="nil"/>
              <w:left w:val="nil"/>
              <w:bottom w:val="nil"/>
              <w:right w:val="nil"/>
            </w:tcBorders>
            <w:hideMark/>
          </w:tcPr>
          <w:p w14:paraId="175E92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238815F" w14:textId="77777777" w:rsidR="00B10DDF" w:rsidRDefault="00B10DDF">
            <w:pPr>
              <w:rPr>
                <w:sz w:val="20"/>
                <w:szCs w:val="20"/>
              </w:rPr>
            </w:pPr>
          </w:p>
        </w:tc>
        <w:tc>
          <w:tcPr>
            <w:tcW w:w="0" w:type="auto"/>
            <w:tcBorders>
              <w:top w:val="nil"/>
              <w:left w:val="nil"/>
              <w:bottom w:val="nil"/>
              <w:right w:val="nil"/>
            </w:tcBorders>
            <w:vAlign w:val="center"/>
            <w:hideMark/>
          </w:tcPr>
          <w:p w14:paraId="6CC7CE1C" w14:textId="19090392" w:rsidR="00B10DDF" w:rsidRPr="00045716" w:rsidRDefault="00B10DDF" w:rsidP="00045716">
            <w:pPr>
              <w:pStyle w:val="Odsekzoznamu"/>
              <w:numPr>
                <w:ilvl w:val="0"/>
                <w:numId w:val="8"/>
              </w:numPr>
              <w:spacing w:after="250"/>
              <w:jc w:val="both"/>
              <w:rPr>
                <w:rFonts w:ascii="Times" w:hAnsi="Times" w:cs="Times"/>
                <w:sz w:val="25"/>
                <w:szCs w:val="25"/>
              </w:rPr>
            </w:pPr>
            <w:r w:rsidRPr="00045716">
              <w:rPr>
                <w:rFonts w:ascii="Times" w:hAnsi="Times" w:cs="Times"/>
                <w:sz w:val="25"/>
                <w:szCs w:val="25"/>
              </w:rPr>
              <w:t>proti Slovenskej republike je začaté konanie podľa čl. 258 až 260 o porušení Zmluvy o fungovaní Európskej únie - Odôvodnené stanovisko – Porušenie č.2014/4141 C(2016) 3065 final zo dňa 26. 05. 2016</w:t>
            </w:r>
            <w:r w:rsidRPr="00045716">
              <w:rPr>
                <w:rFonts w:ascii="Times" w:hAnsi="Times" w:cs="Times"/>
                <w:sz w:val="25"/>
                <w:szCs w:val="25"/>
              </w:rPr>
              <w:br/>
            </w:r>
          </w:p>
        </w:tc>
      </w:tr>
      <w:tr w:rsidR="00B10DDF" w14:paraId="1F1EC307" w14:textId="77777777">
        <w:trPr>
          <w:divId w:val="541939337"/>
          <w:jc w:val="center"/>
        </w:trPr>
        <w:tc>
          <w:tcPr>
            <w:tcW w:w="0" w:type="auto"/>
            <w:tcBorders>
              <w:top w:val="nil"/>
              <w:left w:val="nil"/>
              <w:bottom w:val="nil"/>
              <w:right w:val="nil"/>
            </w:tcBorders>
            <w:hideMark/>
          </w:tcPr>
          <w:p w14:paraId="18EE7C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103C7775" w14:textId="77777777" w:rsidR="00B10DDF" w:rsidRDefault="00B10DDF">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7ABF7CAC" w14:textId="77777777" w:rsidR="00B10DDF" w:rsidRDefault="00B10DDF" w:rsidP="005F1231">
            <w:pPr>
              <w:spacing w:after="250"/>
              <w:jc w:val="both"/>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B10DDF" w14:paraId="3A91AC6A" w14:textId="77777777">
        <w:trPr>
          <w:divId w:val="541939337"/>
          <w:jc w:val="center"/>
        </w:trPr>
        <w:tc>
          <w:tcPr>
            <w:tcW w:w="0" w:type="auto"/>
            <w:tcBorders>
              <w:top w:val="nil"/>
              <w:left w:val="nil"/>
              <w:bottom w:val="nil"/>
              <w:right w:val="nil"/>
            </w:tcBorders>
            <w:hideMark/>
          </w:tcPr>
          <w:p w14:paraId="7A2CB6C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6D35A8" w14:textId="77777777" w:rsidR="00B10DDF" w:rsidRDefault="00B10DDF">
            <w:pPr>
              <w:rPr>
                <w:sz w:val="20"/>
                <w:szCs w:val="20"/>
              </w:rPr>
            </w:pPr>
          </w:p>
        </w:tc>
        <w:tc>
          <w:tcPr>
            <w:tcW w:w="0" w:type="auto"/>
            <w:tcBorders>
              <w:top w:val="nil"/>
              <w:left w:val="nil"/>
              <w:bottom w:val="nil"/>
              <w:right w:val="nil"/>
            </w:tcBorders>
            <w:vAlign w:val="center"/>
            <w:hideMark/>
          </w:tcPr>
          <w:p w14:paraId="18B03298" w14:textId="77777777" w:rsidR="00B10DDF" w:rsidRDefault="00B10DDF">
            <w:pPr>
              <w:spacing w:after="250"/>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B10DDF" w14:paraId="2E1AC7F7" w14:textId="77777777">
        <w:trPr>
          <w:divId w:val="541939337"/>
          <w:jc w:val="center"/>
        </w:trPr>
        <w:tc>
          <w:tcPr>
            <w:tcW w:w="0" w:type="auto"/>
            <w:tcBorders>
              <w:top w:val="nil"/>
              <w:left w:val="nil"/>
              <w:bottom w:val="nil"/>
              <w:right w:val="nil"/>
            </w:tcBorders>
            <w:hideMark/>
          </w:tcPr>
          <w:p w14:paraId="01902505" w14:textId="77777777" w:rsidR="00B10DDF" w:rsidRDefault="00B10DD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11E8E160" w14:textId="77777777" w:rsidR="00B10DDF" w:rsidRDefault="00B10DDF">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B10DDF" w14:paraId="6247B825" w14:textId="77777777">
        <w:trPr>
          <w:divId w:val="541939337"/>
          <w:jc w:val="center"/>
        </w:trPr>
        <w:tc>
          <w:tcPr>
            <w:tcW w:w="0" w:type="auto"/>
            <w:tcBorders>
              <w:top w:val="nil"/>
              <w:left w:val="nil"/>
              <w:bottom w:val="nil"/>
              <w:right w:val="nil"/>
            </w:tcBorders>
            <w:hideMark/>
          </w:tcPr>
          <w:p w14:paraId="5476148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50FE4D4E" w14:textId="77777777" w:rsidR="00B10DDF" w:rsidRDefault="00B10DDF">
            <w:pPr>
              <w:rPr>
                <w:sz w:val="20"/>
                <w:szCs w:val="20"/>
              </w:rPr>
            </w:pPr>
          </w:p>
        </w:tc>
        <w:tc>
          <w:tcPr>
            <w:tcW w:w="0" w:type="auto"/>
            <w:tcBorders>
              <w:top w:val="nil"/>
              <w:left w:val="nil"/>
              <w:bottom w:val="nil"/>
              <w:right w:val="nil"/>
            </w:tcBorders>
            <w:vAlign w:val="center"/>
            <w:hideMark/>
          </w:tcPr>
          <w:p w14:paraId="46E88BCB" w14:textId="77777777" w:rsidR="00B10DDF" w:rsidRDefault="00B10DDF">
            <w:pPr>
              <w:spacing w:after="250"/>
              <w:rPr>
                <w:rFonts w:ascii="Times" w:hAnsi="Times" w:cs="Times"/>
                <w:sz w:val="25"/>
                <w:szCs w:val="25"/>
              </w:rPr>
            </w:pPr>
            <w:r>
              <w:rPr>
                <w:rFonts w:ascii="Times" w:hAnsi="Times" w:cs="Times"/>
                <w:sz w:val="25"/>
                <w:szCs w:val="25"/>
              </w:rPr>
              <w:t>úplný</w:t>
            </w:r>
          </w:p>
        </w:tc>
      </w:tr>
      <w:tr w:rsidR="00B10DDF" w14:paraId="3F4F40F2" w14:textId="77777777">
        <w:trPr>
          <w:divId w:val="541939337"/>
          <w:jc w:val="center"/>
        </w:trPr>
        <w:tc>
          <w:tcPr>
            <w:tcW w:w="0" w:type="auto"/>
            <w:tcBorders>
              <w:top w:val="nil"/>
              <w:left w:val="nil"/>
              <w:bottom w:val="nil"/>
              <w:right w:val="nil"/>
            </w:tcBorders>
            <w:hideMark/>
          </w:tcPr>
          <w:p w14:paraId="747055A1" w14:textId="77777777" w:rsidR="00B10DDF" w:rsidRDefault="00B10DDF">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1491FACD" w14:textId="77777777" w:rsidR="00B10DDF" w:rsidRDefault="00B10DDF">
            <w:pPr>
              <w:spacing w:after="250"/>
              <w:rPr>
                <w:rFonts w:ascii="Times" w:hAnsi="Times" w:cs="Times"/>
                <w:b/>
                <w:bCs/>
                <w:sz w:val="25"/>
                <w:szCs w:val="25"/>
              </w:rPr>
            </w:pPr>
            <w:r>
              <w:rPr>
                <w:rFonts w:ascii="Times" w:hAnsi="Times" w:cs="Times"/>
                <w:b/>
                <w:bCs/>
                <w:sz w:val="25"/>
                <w:szCs w:val="25"/>
              </w:rPr>
              <w:t>Gestor a spolupracujúce rezorty:</w:t>
            </w:r>
          </w:p>
        </w:tc>
      </w:tr>
      <w:tr w:rsidR="00B10DDF" w14:paraId="3AF44DD8" w14:textId="77777777">
        <w:trPr>
          <w:divId w:val="541939337"/>
          <w:jc w:val="center"/>
        </w:trPr>
        <w:tc>
          <w:tcPr>
            <w:tcW w:w="0" w:type="auto"/>
            <w:tcBorders>
              <w:top w:val="nil"/>
              <w:left w:val="nil"/>
              <w:bottom w:val="nil"/>
              <w:right w:val="nil"/>
            </w:tcBorders>
            <w:hideMark/>
          </w:tcPr>
          <w:p w14:paraId="5E7B5FC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3E16234B" w14:textId="77777777" w:rsidR="00B10DDF" w:rsidRDefault="00B10DDF">
            <w:pPr>
              <w:rPr>
                <w:sz w:val="20"/>
                <w:szCs w:val="20"/>
              </w:rPr>
            </w:pPr>
          </w:p>
        </w:tc>
        <w:tc>
          <w:tcPr>
            <w:tcW w:w="0" w:type="auto"/>
            <w:tcBorders>
              <w:top w:val="nil"/>
              <w:left w:val="nil"/>
              <w:bottom w:val="nil"/>
              <w:right w:val="nil"/>
            </w:tcBorders>
            <w:vAlign w:val="center"/>
            <w:hideMark/>
          </w:tcPr>
          <w:p w14:paraId="7254D174" w14:textId="77777777" w:rsidR="00B10DDF" w:rsidRDefault="00B10DDF">
            <w:pPr>
              <w:spacing w:after="250"/>
              <w:rPr>
                <w:rFonts w:ascii="Times" w:hAnsi="Times" w:cs="Times"/>
                <w:sz w:val="25"/>
                <w:szCs w:val="25"/>
              </w:rPr>
            </w:pPr>
            <w:r>
              <w:rPr>
                <w:rFonts w:ascii="Times" w:hAnsi="Times" w:cs="Times"/>
                <w:sz w:val="25"/>
                <w:szCs w:val="25"/>
              </w:rPr>
              <w:t>Ministerstvo zdravotníctva Slovenskej republiky</w:t>
            </w:r>
            <w:r>
              <w:rPr>
                <w:rFonts w:ascii="Times" w:hAnsi="Times" w:cs="Times"/>
                <w:sz w:val="25"/>
                <w:szCs w:val="25"/>
              </w:rPr>
              <w:br/>
            </w:r>
          </w:p>
        </w:tc>
      </w:tr>
    </w:tbl>
    <w:p w14:paraId="0FF88273" w14:textId="0CC7AE28"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864"/>
    <w:multiLevelType w:val="hybridMultilevel"/>
    <w:tmpl w:val="65FE1B34"/>
    <w:lvl w:ilvl="0" w:tplc="587CFA34">
      <w:start w:val="27"/>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45716"/>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5F1231"/>
    <w:rsid w:val="00632C56"/>
    <w:rsid w:val="006C0FA0"/>
    <w:rsid w:val="006E1D9C"/>
    <w:rsid w:val="006F3E6F"/>
    <w:rsid w:val="0075648A"/>
    <w:rsid w:val="00785F65"/>
    <w:rsid w:val="007F5B72"/>
    <w:rsid w:val="00806932"/>
    <w:rsid w:val="00814DF5"/>
    <w:rsid w:val="00824CCF"/>
    <w:rsid w:val="00847169"/>
    <w:rsid w:val="008570D4"/>
    <w:rsid w:val="008655C8"/>
    <w:rsid w:val="008E2891"/>
    <w:rsid w:val="00970F68"/>
    <w:rsid w:val="009A54C3"/>
    <w:rsid w:val="009C63EB"/>
    <w:rsid w:val="00A7320A"/>
    <w:rsid w:val="00B10DDF"/>
    <w:rsid w:val="00B128CD"/>
    <w:rsid w:val="00B326AA"/>
    <w:rsid w:val="00B603D3"/>
    <w:rsid w:val="00C12975"/>
    <w:rsid w:val="00C90146"/>
    <w:rsid w:val="00CA5D08"/>
    <w:rsid w:val="00D14B99"/>
    <w:rsid w:val="00D465F6"/>
    <w:rsid w:val="00D506B0"/>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4A1B43B2-EB8C-40F1-A187-551DACD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8562">
      <w:bodyDiv w:val="1"/>
      <w:marLeft w:val="0"/>
      <w:marRight w:val="0"/>
      <w:marTop w:val="0"/>
      <w:marBottom w:val="0"/>
      <w:divBdr>
        <w:top w:val="none" w:sz="0" w:space="0" w:color="auto"/>
        <w:left w:val="none" w:sz="0" w:space="0" w:color="auto"/>
        <w:bottom w:val="none" w:sz="0" w:space="0" w:color="auto"/>
        <w:right w:val="none" w:sz="0" w:space="0" w:color="auto"/>
      </w:divBdr>
      <w:divsChild>
        <w:div w:id="510800847">
          <w:marLeft w:val="0"/>
          <w:marRight w:val="0"/>
          <w:marTop w:val="0"/>
          <w:marBottom w:val="0"/>
          <w:divBdr>
            <w:top w:val="none" w:sz="0" w:space="0" w:color="auto"/>
            <w:left w:val="none" w:sz="0" w:space="0" w:color="auto"/>
            <w:bottom w:val="none" w:sz="0" w:space="0" w:color="auto"/>
            <w:right w:val="none" w:sz="0" w:space="0" w:color="auto"/>
          </w:divBdr>
        </w:div>
      </w:divsChild>
    </w:div>
    <w:div w:id="465777684">
      <w:bodyDiv w:val="1"/>
      <w:marLeft w:val="0"/>
      <w:marRight w:val="0"/>
      <w:marTop w:val="0"/>
      <w:marBottom w:val="0"/>
      <w:divBdr>
        <w:top w:val="none" w:sz="0" w:space="0" w:color="auto"/>
        <w:left w:val="none" w:sz="0" w:space="0" w:color="auto"/>
        <w:bottom w:val="none" w:sz="0" w:space="0" w:color="auto"/>
        <w:right w:val="none" w:sz="0" w:space="0" w:color="auto"/>
      </w:divBdr>
      <w:divsChild>
        <w:div w:id="129714021">
          <w:marLeft w:val="0"/>
          <w:marRight w:val="0"/>
          <w:marTop w:val="0"/>
          <w:marBottom w:val="0"/>
          <w:divBdr>
            <w:top w:val="none" w:sz="0" w:space="0" w:color="auto"/>
            <w:left w:val="none" w:sz="0" w:space="0" w:color="auto"/>
            <w:bottom w:val="none" w:sz="0" w:space="0" w:color="auto"/>
            <w:right w:val="none" w:sz="0" w:space="0" w:color="auto"/>
          </w:divBdr>
        </w:div>
      </w:divsChild>
    </w:div>
    <w:div w:id="541939337">
      <w:bodyDiv w:val="1"/>
      <w:marLeft w:val="0"/>
      <w:marRight w:val="0"/>
      <w:marTop w:val="0"/>
      <w:marBottom w:val="0"/>
      <w:divBdr>
        <w:top w:val="none" w:sz="0" w:space="0" w:color="auto"/>
        <w:left w:val="none" w:sz="0" w:space="0" w:color="auto"/>
        <w:bottom w:val="none" w:sz="0" w:space="0" w:color="auto"/>
        <w:right w:val="none" w:sz="0" w:space="0" w:color="auto"/>
      </w:divBdr>
    </w:div>
    <w:div w:id="1024208557">
      <w:bodyDiv w:val="1"/>
      <w:marLeft w:val="0"/>
      <w:marRight w:val="0"/>
      <w:marTop w:val="0"/>
      <w:marBottom w:val="0"/>
      <w:divBdr>
        <w:top w:val="none" w:sz="0" w:space="0" w:color="auto"/>
        <w:left w:val="none" w:sz="0" w:space="0" w:color="auto"/>
        <w:bottom w:val="none" w:sz="0" w:space="0" w:color="auto"/>
        <w:right w:val="none" w:sz="0" w:space="0" w:color="auto"/>
      </w:divBdr>
      <w:divsChild>
        <w:div w:id="71848022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24768742">
      <w:bodyDiv w:val="1"/>
      <w:marLeft w:val="0"/>
      <w:marRight w:val="0"/>
      <w:marTop w:val="0"/>
      <w:marBottom w:val="0"/>
      <w:divBdr>
        <w:top w:val="none" w:sz="0" w:space="0" w:color="auto"/>
        <w:left w:val="none" w:sz="0" w:space="0" w:color="auto"/>
        <w:bottom w:val="none" w:sz="0" w:space="0" w:color="auto"/>
        <w:right w:val="none" w:sz="0" w:space="0" w:color="auto"/>
      </w:divBdr>
      <w:divsChild>
        <w:div w:id="341787472">
          <w:marLeft w:val="0"/>
          <w:marRight w:val="0"/>
          <w:marTop w:val="0"/>
          <w:marBottom w:val="0"/>
          <w:divBdr>
            <w:top w:val="none" w:sz="0" w:space="0" w:color="auto"/>
            <w:left w:val="none" w:sz="0" w:space="0" w:color="auto"/>
            <w:bottom w:val="none" w:sz="0" w:space="0" w:color="auto"/>
            <w:right w:val="none" w:sz="0" w:space="0" w:color="auto"/>
          </w:divBdr>
        </w:div>
      </w:divsChild>
    </w:div>
    <w:div w:id="1625381707">
      <w:bodyDiv w:val="1"/>
      <w:marLeft w:val="0"/>
      <w:marRight w:val="0"/>
      <w:marTop w:val="0"/>
      <w:marBottom w:val="0"/>
      <w:divBdr>
        <w:top w:val="none" w:sz="0" w:space="0" w:color="auto"/>
        <w:left w:val="none" w:sz="0" w:space="0" w:color="auto"/>
        <w:bottom w:val="none" w:sz="0" w:space="0" w:color="auto"/>
        <w:right w:val="none" w:sz="0" w:space="0" w:color="auto"/>
      </w:divBdr>
      <w:divsChild>
        <w:div w:id="1547793852">
          <w:marLeft w:val="0"/>
          <w:marRight w:val="0"/>
          <w:marTop w:val="0"/>
          <w:marBottom w:val="0"/>
          <w:divBdr>
            <w:top w:val="none" w:sz="0" w:space="0" w:color="auto"/>
            <w:left w:val="none" w:sz="0" w:space="0" w:color="auto"/>
            <w:bottom w:val="none" w:sz="0" w:space="0" w:color="auto"/>
            <w:right w:val="none" w:sz="0" w:space="0" w:color="auto"/>
          </w:divBdr>
        </w:div>
      </w:divsChild>
    </w:div>
    <w:div w:id="1682581583">
      <w:bodyDiv w:val="1"/>
      <w:marLeft w:val="0"/>
      <w:marRight w:val="0"/>
      <w:marTop w:val="0"/>
      <w:marBottom w:val="0"/>
      <w:divBdr>
        <w:top w:val="none" w:sz="0" w:space="0" w:color="auto"/>
        <w:left w:val="none" w:sz="0" w:space="0" w:color="auto"/>
        <w:bottom w:val="none" w:sz="0" w:space="0" w:color="auto"/>
        <w:right w:val="none" w:sz="0" w:space="0" w:color="auto"/>
      </w:divBdr>
      <w:divsChild>
        <w:div w:id="51201792">
          <w:marLeft w:val="0"/>
          <w:marRight w:val="0"/>
          <w:marTop w:val="0"/>
          <w:marBottom w:val="0"/>
          <w:divBdr>
            <w:top w:val="none" w:sz="0" w:space="0" w:color="auto"/>
            <w:left w:val="none" w:sz="0" w:space="0" w:color="auto"/>
            <w:bottom w:val="none" w:sz="0" w:space="0" w:color="auto"/>
            <w:right w:val="none" w:sz="0" w:space="0" w:color="auto"/>
          </w:divBdr>
        </w:div>
      </w:divsChild>
    </w:div>
    <w:div w:id="1885288359">
      <w:bodyDiv w:val="1"/>
      <w:marLeft w:val="0"/>
      <w:marRight w:val="0"/>
      <w:marTop w:val="0"/>
      <w:marBottom w:val="0"/>
      <w:divBdr>
        <w:top w:val="none" w:sz="0" w:space="0" w:color="auto"/>
        <w:left w:val="none" w:sz="0" w:space="0" w:color="auto"/>
        <w:bottom w:val="none" w:sz="0" w:space="0" w:color="auto"/>
        <w:right w:val="none" w:sz="0" w:space="0" w:color="auto"/>
      </w:divBdr>
      <w:divsChild>
        <w:div w:id="54548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3.6.2016 15:02:02"/>
    <f:field ref="objchangedby" par="" text="Administrator, System"/>
    <f:field ref="objmodifiedat" par="" text="23.6.2016 15:02:07"/>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70ABF8-5B61-4AD3-A955-BD172884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2</cp:revision>
  <dcterms:created xsi:type="dcterms:W3CDTF">2016-07-28T13:58:00Z</dcterms:created>
  <dcterms:modified xsi:type="dcterms:W3CDTF">2016-07-28T13:58:00Z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COO.2145.1000.3.1472801</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republiky_x000d_
na rok 2016</vt:lpwstr>
  </property>
  <property fmtid="{D5CDD505-2E9C-101B-9397-08002B2CF9AE}" pid="18"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9" name="FSC#SKEDITIONSLOVLEX@103.510:rezortcislopredpis">
    <vt:lpwstr>S05211-OL-2016</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LP/2016/650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7" name="FSC#SKEDITIONSLOVLEX@103.510:AttrStrListDocPropInfoUzPreberanePP">
    <vt:lpwstr>bezpredmetné</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Pozitívne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zdravotníctva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zdravotníctva Slovenskej republiky</vt:lpwstr>
  </property>
  <property fmtid="{D5CDD505-2E9C-101B-9397-08002B2CF9AE}" pid="138" name="FSC#SKEDITIONSLOVLEX@103.510:funkciaZodpPredAkuzativ">
    <vt:lpwstr>ministera zdravotníctva Slovenskej republiky</vt:lpwstr>
  </property>
  <property fmtid="{D5CDD505-2E9C-101B-9397-08002B2CF9AE}" pid="139" name="FSC#SKEDITIONSLOVLEX@103.510:funkciaZodpPredDativ">
    <vt:lpwstr>ministerovi zdravotníctva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Tomáš Drucker_x000d_
minister zdravotníctva Slovenskej republiky</vt:lpwstr>
  </property>
  <property fmtid="{D5CDD505-2E9C-101B-9397-08002B2CF9AE}" pid="144" name="FSC#SKEDITIONSLOVLEX@103.510:cisloparlamenttlac">
    <vt:lpwstr/>
  </property>
  <property fmtid="{D5CDD505-2E9C-101B-9397-08002B2CF9AE}" pid="14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2016</vt:lpwstr>
  </property>
</Properties>
</file>