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60pt" o:ole="">
            <v:imagedata r:id="rId8" o:title=""/>
          </v:shape>
          <o:OLEObject Type="Embed" ProgID="Imaging.Document" ShapeID="_x0000_i1025" DrawAspect="Content" ObjectID="_1501657662" r:id="rId9"/>
        </w:object>
      </w:r>
      <w:r w:rsidRPr="001D4939">
        <w:rPr>
          <w:rFonts w:ascii="Arial Narrow" w:hAnsi="Arial Narrow"/>
          <w:lang w:val="sk-SK"/>
        </w:rPr>
        <w:t xml:space="preserve">                                                        </w:t>
      </w:r>
      <w:r w:rsidR="00411FFE"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411FFE">
        <w:rPr>
          <w:rStyle w:val="PsacstrojHTML"/>
          <w:rFonts w:ascii="Arial Narrow" w:hAnsi="Arial Narrow"/>
          <w:sz w:val="22"/>
          <w:szCs w:val="22"/>
        </w:rPr>
        <w:t>29</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411FFE" w:rsidRPr="00411FFE" w:rsidRDefault="00411FFE" w:rsidP="00411FFE">
      <w:pPr>
        <w:numPr>
          <w:ilvl w:val="0"/>
          <w:numId w:val="1"/>
        </w:numPr>
        <w:autoSpaceDE w:val="0"/>
        <w:autoSpaceDN w:val="0"/>
        <w:adjustRightInd w:val="0"/>
        <w:contextualSpacing/>
        <w:jc w:val="center"/>
        <w:rPr>
          <w:rFonts w:ascii="Arial Narrow" w:eastAsia="Arial Unicode MS" w:hAnsi="Arial Narrow" w:cs="Arial Unicode MS"/>
          <w:sz w:val="22"/>
          <w:szCs w:val="22"/>
        </w:rPr>
      </w:pPr>
      <w:r>
        <w:rPr>
          <w:rFonts w:ascii="Arial Narrow" w:eastAsia="Arial Unicode MS" w:hAnsi="Arial Narrow" w:cs="Arial Unicode MS"/>
          <w:sz w:val="22"/>
          <w:szCs w:val="22"/>
        </w:rPr>
        <w:t>k n</w:t>
      </w:r>
      <w:r w:rsidRPr="00411FFE">
        <w:rPr>
          <w:rFonts w:ascii="Arial Narrow" w:eastAsia="Arial Unicode MS" w:hAnsi="Arial Narrow" w:cs="Arial Unicode MS"/>
          <w:sz w:val="22"/>
          <w:szCs w:val="22"/>
        </w:rPr>
        <w:t>ávrh</w:t>
      </w:r>
      <w:r>
        <w:rPr>
          <w:rFonts w:ascii="Arial Narrow" w:eastAsia="Arial Unicode MS" w:hAnsi="Arial Narrow" w:cs="Arial Unicode MS"/>
          <w:sz w:val="22"/>
          <w:szCs w:val="22"/>
        </w:rPr>
        <w:t>u</w:t>
      </w:r>
      <w:r w:rsidRPr="00411FFE">
        <w:rPr>
          <w:rFonts w:ascii="Arial Narrow" w:eastAsia="Arial Unicode MS" w:hAnsi="Arial Narrow" w:cs="Arial Unicode MS"/>
          <w:sz w:val="22"/>
          <w:szCs w:val="22"/>
        </w:rPr>
        <w:t xml:space="preserve"> zákona o tvorbe právnych predpisov a o Zbierke zákonov Slovenskej republiky a o zmene a doplnení niektorých zákonov</w:t>
      </w:r>
    </w:p>
    <w:p w:rsidR="005A3DAC" w:rsidRDefault="005A3DAC" w:rsidP="005A3DAC">
      <w:pPr>
        <w:autoSpaceDE w:val="0"/>
        <w:autoSpaceDN w:val="0"/>
        <w:adjustRightInd w:val="0"/>
        <w:ind w:left="720"/>
        <w:contextualSpacing/>
        <w:rPr>
          <w:rFonts w:ascii="Arial Narrow" w:eastAsia="Arial Unicode MS" w:hAnsi="Arial Narrow" w:cs="Arial Unicode MS"/>
          <w:bCs/>
          <w:color w:val="000000"/>
          <w:sz w:val="22"/>
          <w:szCs w:val="22"/>
        </w:rPr>
      </w:pPr>
    </w:p>
    <w:p w:rsidR="004E5CDF" w:rsidRPr="001D4939" w:rsidRDefault="0057124B" w:rsidP="006E16A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343B53">
        <w:rPr>
          <w:rFonts w:ascii="Arial Narrow" w:eastAsia="Arial Unicode MS" w:hAnsi="Arial Narrow" w:cs="Arial Unicode MS"/>
          <w:sz w:val="22"/>
          <w:szCs w:val="22"/>
        </w:rPr>
        <w:t>24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A40407" w:rsidRPr="001D4939">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6D48A6"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na rokovanie HSR</w:t>
      </w:r>
      <w:r w:rsidR="00411FFE">
        <w:rPr>
          <w:rFonts w:ascii="Arial Narrow" w:hAnsi="Arial Narrow" w:cs="Arial Narrow"/>
          <w:sz w:val="22"/>
          <w:szCs w:val="22"/>
        </w:rPr>
        <w:t xml:space="preserve"> SR</w:t>
      </w:r>
      <w:r w:rsidR="001A2871" w:rsidRPr="001D4939">
        <w:rPr>
          <w:rFonts w:ascii="Arial Narrow" w:hAnsi="Arial Narrow" w:cs="Arial Narrow"/>
          <w:sz w:val="22"/>
          <w:szCs w:val="22"/>
        </w:rPr>
        <w:t xml:space="preserve"> </w:t>
      </w:r>
      <w:r w:rsidR="00A33290">
        <w:rPr>
          <w:rFonts w:ascii="Arial Narrow" w:hAnsi="Arial Narrow" w:cs="Arial Narrow"/>
          <w:sz w:val="22"/>
          <w:szCs w:val="22"/>
        </w:rPr>
        <w:t xml:space="preserve">Ministerstvom </w:t>
      </w:r>
      <w:r w:rsidR="006E16A0">
        <w:rPr>
          <w:rFonts w:ascii="Arial Narrow" w:hAnsi="Arial Narrow" w:cs="Arial Narrow"/>
          <w:sz w:val="22"/>
          <w:szCs w:val="22"/>
        </w:rPr>
        <w:t>spravodlivosti</w:t>
      </w:r>
      <w:r w:rsidR="00343B53">
        <w:rPr>
          <w:rFonts w:ascii="Arial Narrow" w:hAnsi="Arial Narrow" w:cs="Arial Narrow"/>
          <w:sz w:val="22"/>
          <w:szCs w:val="22"/>
        </w:rPr>
        <w:t xml:space="preserve"> </w:t>
      </w:r>
      <w:r w:rsidR="0078566F" w:rsidRPr="001D4939">
        <w:rPr>
          <w:rFonts w:ascii="Arial Narrow" w:hAnsi="Arial Narrow" w:cs="Arial Narrow"/>
          <w:sz w:val="22"/>
          <w:szCs w:val="22"/>
        </w:rPr>
        <w:t>SR</w:t>
      </w:r>
      <w:r w:rsidR="00411FFE">
        <w:rPr>
          <w:rFonts w:ascii="Arial Narrow" w:hAnsi="Arial Narrow" w:cs="Arial Narrow"/>
          <w:sz w:val="22"/>
          <w:szCs w:val="22"/>
        </w:rPr>
        <w:t xml:space="preserve"> a to na základe </w:t>
      </w:r>
      <w:r w:rsidR="00411FFE" w:rsidRPr="00411FFE">
        <w:rPr>
          <w:rFonts w:ascii="Arial Narrow" w:hAnsi="Arial Narrow" w:cs="Arial Narrow"/>
          <w:sz w:val="22"/>
          <w:szCs w:val="22"/>
        </w:rPr>
        <w:t>Plánu legislatívnych úloh vlády Slovenskej republiky na rok 2014.</w:t>
      </w:r>
      <w:r w:rsidR="00411FFE">
        <w:rPr>
          <w:rStyle w:val="Zstupntext"/>
          <w:rFonts w:ascii="&amp;quot" w:hAnsi="&amp;quot" w:cs="&amp;quot"/>
          <w:color w:val="000000"/>
        </w:rPr>
        <w:t xml:space="preserve"> </w:t>
      </w:r>
      <w:r w:rsidR="00E35346">
        <w:rPr>
          <w:rFonts w:ascii="Arial Narrow" w:hAnsi="Arial Narrow" w:cs="Arial Narrow"/>
          <w:sz w:val="22"/>
          <w:szCs w:val="22"/>
        </w:rPr>
        <w:t xml:space="preserve"> </w:t>
      </w:r>
    </w:p>
    <w:p w:rsidR="00411FFE" w:rsidRPr="001D4939" w:rsidRDefault="00411FFE" w:rsidP="00AA60A8">
      <w:pPr>
        <w:contextualSpacing/>
        <w:jc w:val="both"/>
        <w:rPr>
          <w:rFonts w:ascii="Arial Narrow" w:hAnsi="Arial Narrow" w:cs="Arial Narrow"/>
          <w:sz w:val="22"/>
          <w:szCs w:val="22"/>
        </w:rPr>
      </w:pPr>
    </w:p>
    <w:p w:rsidR="004A2266" w:rsidRPr="001D4939"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411FFE" w:rsidRPr="00411FFE" w:rsidRDefault="00411FFE" w:rsidP="00411FFE">
      <w:pPr>
        <w:contextualSpacing/>
        <w:jc w:val="both"/>
        <w:rPr>
          <w:rFonts w:ascii="Arial Narrow" w:hAnsi="Arial Narrow" w:cs="Arial Narrow"/>
          <w:sz w:val="22"/>
          <w:szCs w:val="22"/>
        </w:rPr>
      </w:pPr>
      <w:r w:rsidRPr="00411FFE">
        <w:rPr>
          <w:rFonts w:ascii="Arial Narrow" w:hAnsi="Arial Narrow" w:cs="Arial Narrow"/>
          <w:sz w:val="22"/>
          <w:szCs w:val="22"/>
        </w:rPr>
        <w:t xml:space="preserve">Cieľom predloženého návrhu zákona je zvýšenie úrovne tvorby právnych predpisov a odstránenie nedostatkov súčasnej legislatívnej praxe prostredníctvom vymedzenia základného rámca pravidiel tvorby právnych predpisov týkajúcich sa vonkajšej stránky, vnútornej štruktúry a obsahu právnych predpisov, ktoré je potrebné dodržiavať pri tvorbe právnych predpisov, a ktoré sú nevyhnutné na to, aby sa vytvorený právny predpis stal funkčnou súčasťou právneho poriadku a aby bola zabezpečená vzájomná súladnosť, vyváženosť a bezrozpornosť právnych predpisov v právnom poriadku. Zároveň predložený návrh zákona predpokladá zachovanie dvoch osobitných dokumentov, a to Legislatívnych pravidiel vlády Slovenskej republiky a Legislatívnych pravidiel tvorby zákonov, ktoré detailne upravia postup pri tvorbe príslušných právnych predpisov a tiež proces ich prípravy, predkladania a prerokúvania. </w:t>
      </w:r>
    </w:p>
    <w:p w:rsidR="00411FFE" w:rsidRPr="00411FFE" w:rsidRDefault="00411FFE" w:rsidP="00411FFE">
      <w:pPr>
        <w:contextualSpacing/>
        <w:jc w:val="both"/>
        <w:rPr>
          <w:rFonts w:ascii="Arial Narrow" w:hAnsi="Arial Narrow" w:cs="Arial Narrow"/>
          <w:sz w:val="22"/>
          <w:szCs w:val="22"/>
        </w:rPr>
      </w:pPr>
    </w:p>
    <w:p w:rsidR="00411FFE" w:rsidRPr="00411FFE" w:rsidRDefault="00411FFE" w:rsidP="00411FFE">
      <w:pPr>
        <w:contextualSpacing/>
        <w:jc w:val="both"/>
        <w:rPr>
          <w:rFonts w:ascii="Arial Narrow" w:hAnsi="Arial Narrow" w:cs="Arial Narrow"/>
          <w:sz w:val="22"/>
          <w:szCs w:val="22"/>
        </w:rPr>
      </w:pPr>
      <w:r w:rsidRPr="00411FFE">
        <w:rPr>
          <w:rFonts w:ascii="Arial Narrow" w:hAnsi="Arial Narrow" w:cs="Arial Narrow"/>
          <w:sz w:val="22"/>
          <w:szCs w:val="22"/>
        </w:rPr>
        <w:t>Ministerstvo spravodlivosti preto pripravilo projekt elektronizácie Zbierky zákonov, ktorý by mal zabezpečiť dostupnosť informácii (v tomto prípade aktuálneho práva) takým spôsobom a takými formami, aké sú od informačných systémov na začiatku druhej dekády tretieho tisícročia predpokladané. Cieľom elektronizácie je vytvoriť elektronickú podobu Zbierky zákonov, ktorá by bola rovnocenná v súčasnosti primárnej listinnej podobe Zbierky zákonov</w:t>
      </w:r>
    </w:p>
    <w:p w:rsidR="00411FFE" w:rsidRPr="00411FFE" w:rsidRDefault="00411FFE" w:rsidP="00411FFE">
      <w:pPr>
        <w:contextualSpacing/>
        <w:jc w:val="both"/>
        <w:rPr>
          <w:rFonts w:ascii="Arial Narrow" w:hAnsi="Arial Narrow" w:cs="Arial Narrow"/>
          <w:b/>
          <w:sz w:val="22"/>
          <w:szCs w:val="22"/>
        </w:rPr>
      </w:pPr>
      <w:r w:rsidRPr="00411FFE">
        <w:rPr>
          <w:rFonts w:ascii="Arial Narrow" w:hAnsi="Arial Narrow" w:cs="Arial Narrow"/>
          <w:b/>
          <w:sz w:val="22"/>
          <w:szCs w:val="22"/>
        </w:rPr>
        <w:t>Je samozrejmé, že uvedený návrh zákona bude mať negatívny dopad na rozpočet verejnej správy.</w:t>
      </w:r>
      <w:r w:rsidRPr="00411FFE">
        <w:rPr>
          <w:rFonts w:cs="Arial Narrow"/>
          <w:b/>
        </w:rPr>
        <w:t xml:space="preserve"> </w:t>
      </w:r>
      <w:r w:rsidRPr="00411FFE">
        <w:rPr>
          <w:rFonts w:ascii="Arial Narrow" w:hAnsi="Arial Narrow" w:cs="Arial Narrow"/>
          <w:b/>
          <w:sz w:val="22"/>
          <w:szCs w:val="22"/>
        </w:rPr>
        <w:t>V zmysle zmluvy o poskytovaní servisných služieb pre Elektronickú zbierku zákonov uzatvorenej v roku 2015 bude ročné plnenie vo výške cca 1 200 000 eur. Tieto prostriedky sú zabezpečené v  rámci aktuálnych ukazovateľov návrhu rozpočtu kapitoly Ministerstvo spravodlivosti Slovenskej republiky na jednotlivé roky.</w:t>
      </w:r>
    </w:p>
    <w:p w:rsidR="00411FFE" w:rsidRPr="00411FFE" w:rsidRDefault="00411FFE" w:rsidP="00411FFE">
      <w:pPr>
        <w:contextualSpacing/>
        <w:jc w:val="both"/>
        <w:rPr>
          <w:rFonts w:ascii="Arial Narrow" w:hAnsi="Arial Narrow" w:cs="Arial Narrow"/>
          <w:b/>
          <w:sz w:val="22"/>
          <w:szCs w:val="22"/>
        </w:rPr>
      </w:pPr>
    </w:p>
    <w:p w:rsidR="00411FFE" w:rsidRPr="00411FFE" w:rsidRDefault="00411FFE" w:rsidP="00411FFE">
      <w:pPr>
        <w:contextualSpacing/>
        <w:jc w:val="both"/>
        <w:rPr>
          <w:rFonts w:ascii="Arial Narrow" w:hAnsi="Arial Narrow" w:cs="Arial Narrow"/>
          <w:b/>
          <w:sz w:val="22"/>
          <w:szCs w:val="22"/>
        </w:rPr>
      </w:pPr>
      <w:r w:rsidRPr="00411FFE">
        <w:rPr>
          <w:rFonts w:ascii="Arial Narrow" w:hAnsi="Arial Narrow" w:cs="Arial Narrow"/>
          <w:b/>
          <w:sz w:val="22"/>
          <w:szCs w:val="22"/>
        </w:rPr>
        <w:t xml:space="preserve">Negatívny dopad na podnikateľské prostredie sa nepredpokladá. Predpokladá sa značný pozitívny dopad na informatizáciu spoločnosti. </w:t>
      </w:r>
    </w:p>
    <w:p w:rsidR="00411FFE" w:rsidRPr="00E35346" w:rsidRDefault="00411FFE" w:rsidP="00AA60A8">
      <w:pPr>
        <w:suppressAutoHyphens/>
        <w:contextualSpacing/>
        <w:jc w:val="both"/>
        <w:rPr>
          <w:rStyle w:val="Zstupntext"/>
          <w:rFonts w:ascii="Arial Narrow" w:hAnsi="Arial Narrow"/>
          <w:b/>
          <w:color w:val="auto"/>
          <w:sz w:val="22"/>
          <w:szCs w:val="22"/>
        </w:rPr>
      </w:pPr>
    </w:p>
    <w:p w:rsidR="00E35346" w:rsidRPr="00E35346" w:rsidRDefault="00E35346" w:rsidP="00AA60A8">
      <w:pPr>
        <w:suppressAutoHyphens/>
        <w:contextualSpacing/>
        <w:jc w:val="both"/>
        <w:rPr>
          <w:rStyle w:val="Zstupntext"/>
          <w:rFonts w:ascii="Arial Narrow" w:hAnsi="Arial Narrow"/>
          <w:b/>
          <w:color w:val="auto"/>
          <w:sz w:val="22"/>
          <w:szCs w:val="22"/>
        </w:rPr>
      </w:pPr>
      <w:r>
        <w:rPr>
          <w:rStyle w:val="Zstupntext"/>
          <w:rFonts w:ascii="Arial Narrow" w:hAnsi="Arial Narrow"/>
          <w:b/>
          <w:color w:val="auto"/>
          <w:sz w:val="22"/>
          <w:szCs w:val="22"/>
        </w:rPr>
        <w:t>Návrh zákona má na</w:t>
      </w:r>
      <w:r w:rsidR="00411FFE">
        <w:rPr>
          <w:rStyle w:val="Zstupntext"/>
          <w:rFonts w:ascii="Arial Narrow" w:hAnsi="Arial Narrow"/>
          <w:b/>
          <w:color w:val="auto"/>
          <w:sz w:val="22"/>
          <w:szCs w:val="22"/>
        </w:rPr>
        <w:t xml:space="preserve">dobudnúť účinnosť dňa 01.01.2016 a výnimkou vybraných ustanovení, ktoré majú nadobudnúť účinnosť 1.4.2016. </w:t>
      </w:r>
    </w:p>
    <w:p w:rsidR="00E35346" w:rsidRPr="001D4939" w:rsidRDefault="00E35346"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E35346" w:rsidRDefault="00411FFE" w:rsidP="00AA60A8">
      <w:pPr>
        <w:contextualSpacing/>
        <w:jc w:val="both"/>
        <w:rPr>
          <w:rStyle w:val="Zstupntext"/>
          <w:rFonts w:ascii="Arial Narrow" w:hAnsi="Arial Narrow"/>
          <w:color w:val="auto"/>
          <w:sz w:val="22"/>
          <w:szCs w:val="22"/>
        </w:rPr>
      </w:pPr>
      <w:r>
        <w:rPr>
          <w:rStyle w:val="Zstupntext"/>
          <w:rFonts w:ascii="Arial Narrow" w:hAnsi="Arial Narrow"/>
          <w:color w:val="auto"/>
          <w:sz w:val="22"/>
          <w:szCs w:val="22"/>
        </w:rPr>
        <w:t xml:space="preserve">RÚZ materiál pripomienkovala v rámci pripomienkového konania, pričom rozpory vzniknuté boli na ňom odstránené. </w:t>
      </w:r>
    </w:p>
    <w:p w:rsidR="00411FFE" w:rsidRDefault="00411FFE" w:rsidP="00AA60A8">
      <w:pPr>
        <w:contextualSpacing/>
        <w:jc w:val="both"/>
        <w:rPr>
          <w:rStyle w:val="Zstupntext"/>
          <w:rFonts w:ascii="Arial Narrow" w:hAnsi="Arial Narrow"/>
          <w:color w:val="auto"/>
          <w:sz w:val="22"/>
          <w:szCs w:val="22"/>
        </w:rPr>
      </w:pPr>
    </w:p>
    <w:p w:rsidR="00411FFE" w:rsidRDefault="00411FFE" w:rsidP="00AA60A8">
      <w:pPr>
        <w:contextualSpacing/>
        <w:jc w:val="both"/>
        <w:rPr>
          <w:rFonts w:cs="Calibri"/>
          <w:sz w:val="20"/>
          <w:szCs w:val="20"/>
        </w:rPr>
      </w:pPr>
      <w:r>
        <w:rPr>
          <w:rStyle w:val="Zstupntext"/>
          <w:rFonts w:ascii="Arial Narrow" w:hAnsi="Arial Narrow"/>
          <w:color w:val="auto"/>
          <w:sz w:val="22"/>
          <w:szCs w:val="22"/>
        </w:rPr>
        <w:t xml:space="preserve">RÚZ však zdôrazňuje a pripomína predkladateľovi návrhu zákona, aby požiadavka  </w:t>
      </w:r>
      <w:r w:rsidRPr="00411FFE">
        <w:rPr>
          <w:rStyle w:val="Zstupntext"/>
          <w:rFonts w:ascii="Arial Narrow" w:hAnsi="Arial Narrow"/>
          <w:b/>
          <w:color w:val="auto"/>
          <w:sz w:val="22"/>
          <w:szCs w:val="22"/>
        </w:rPr>
        <w:t xml:space="preserve">„gold platingu“ </w:t>
      </w:r>
      <w:r w:rsidRPr="00411FFE">
        <w:rPr>
          <w:rStyle w:val="Zstupntext"/>
          <w:rFonts w:ascii="Arial Narrow" w:hAnsi="Arial Narrow"/>
          <w:color w:val="auto"/>
          <w:sz w:val="22"/>
          <w:szCs w:val="22"/>
        </w:rPr>
        <w:t>bola  vo forme odporúčania zakotvená v legislatívnych pravidlách vlády SR, pričom súčasťou návrhu právneho predpisu by malo byť aj zdôvodnenie prečo sa rozširuje rozsah požiadaviek nad rámec právneho predpisu EÚ.</w:t>
      </w:r>
      <w:r w:rsidRPr="00E942DE">
        <w:rPr>
          <w:rFonts w:cs="Calibri"/>
          <w:sz w:val="20"/>
          <w:szCs w:val="20"/>
        </w:rPr>
        <w:t xml:space="preserve">  </w:t>
      </w:r>
    </w:p>
    <w:p w:rsidR="00411FFE" w:rsidRDefault="00411FFE" w:rsidP="00AA60A8">
      <w:pPr>
        <w:contextualSpacing/>
        <w:jc w:val="both"/>
        <w:rPr>
          <w:rFonts w:cs="Calibri"/>
          <w:sz w:val="20"/>
          <w:szCs w:val="20"/>
        </w:rPr>
      </w:pPr>
    </w:p>
    <w:p w:rsidR="00411FFE" w:rsidRDefault="00411FFE" w:rsidP="00AA60A8">
      <w:pPr>
        <w:contextualSpacing/>
        <w:jc w:val="both"/>
        <w:rPr>
          <w:rStyle w:val="Zstupntext"/>
          <w:rFonts w:ascii="Arial Narrow" w:hAnsi="Arial Narrow"/>
          <w:color w:val="auto"/>
          <w:sz w:val="22"/>
          <w:szCs w:val="22"/>
        </w:rPr>
      </w:pPr>
      <w:r>
        <w:rPr>
          <w:rStyle w:val="Zstupntext"/>
          <w:rFonts w:ascii="Arial Narrow" w:hAnsi="Arial Narrow"/>
          <w:color w:val="auto"/>
          <w:sz w:val="22"/>
          <w:szCs w:val="22"/>
        </w:rPr>
        <w:t xml:space="preserve">RÚZ apeluje  na </w:t>
      </w:r>
      <w:r w:rsidRPr="00411FFE">
        <w:rPr>
          <w:rStyle w:val="Zstupntext"/>
          <w:rFonts w:ascii="Arial Narrow" w:hAnsi="Arial Narrow"/>
          <w:b/>
          <w:color w:val="auto"/>
          <w:sz w:val="22"/>
          <w:szCs w:val="22"/>
        </w:rPr>
        <w:t>stanovovanie dostatočnej legisvakanci</w:t>
      </w:r>
      <w:r>
        <w:rPr>
          <w:rStyle w:val="Zstupntext"/>
          <w:rFonts w:ascii="Arial Narrow" w:hAnsi="Arial Narrow"/>
          <w:b/>
          <w:color w:val="auto"/>
          <w:sz w:val="22"/>
          <w:szCs w:val="22"/>
        </w:rPr>
        <w:t>e</w:t>
      </w:r>
      <w:r w:rsidRPr="00411FFE">
        <w:rPr>
          <w:rStyle w:val="Zstupntext"/>
          <w:rFonts w:ascii="Arial Narrow" w:hAnsi="Arial Narrow"/>
          <w:color w:val="auto"/>
          <w:sz w:val="22"/>
          <w:szCs w:val="22"/>
        </w:rPr>
        <w:t xml:space="preserve"> pri prijímaní právnych predpisov tak, aby mali adresáti právnych noriem dostatočný časový priestor na to, aby sa oboznámili s novou reguláciou a mohli sa na ňu adekvátne pripraviť.  </w:t>
      </w:r>
    </w:p>
    <w:p w:rsidR="00E97F49" w:rsidRPr="0026106A" w:rsidRDefault="0026106A" w:rsidP="00AA60A8">
      <w:pPr>
        <w:contextualSpacing/>
        <w:jc w:val="both"/>
        <w:rPr>
          <w:rFonts w:ascii="Arial Narrow" w:hAnsi="Arial Narrow" w:cs="Arial Narrow"/>
          <w:b/>
          <w:bCs/>
          <w:sz w:val="22"/>
          <w:szCs w:val="22"/>
        </w:rPr>
      </w:pPr>
      <w:r w:rsidRPr="00FF11B2">
        <w:rPr>
          <w:rFonts w:ascii="Arial Narrow" w:hAnsi="Arial Narrow"/>
          <w:b/>
          <w:sz w:val="22"/>
          <w:szCs w:val="22"/>
        </w:rPr>
        <w:t>RÚZ berie</w:t>
      </w:r>
      <w:r w:rsidR="003E13E2">
        <w:rPr>
          <w:rFonts w:ascii="Arial Narrow" w:hAnsi="Arial Narrow"/>
          <w:b/>
          <w:sz w:val="22"/>
          <w:szCs w:val="22"/>
        </w:rPr>
        <w:t xml:space="preserve"> </w:t>
      </w:r>
      <w:r w:rsidR="00423645">
        <w:rPr>
          <w:rFonts w:ascii="Arial Narrow" w:hAnsi="Arial Narrow"/>
          <w:b/>
          <w:sz w:val="22"/>
          <w:szCs w:val="22"/>
        </w:rPr>
        <w:t>materiál</w:t>
      </w:r>
      <w:r w:rsidR="00B7242A">
        <w:rPr>
          <w:rFonts w:ascii="Arial Narrow" w:hAnsi="Arial Narrow"/>
          <w:b/>
          <w:sz w:val="22"/>
          <w:szCs w:val="22"/>
        </w:rPr>
        <w:t xml:space="preserve"> podporuje a odporúča na ďalšie konanie</w:t>
      </w:r>
      <w:r>
        <w:rPr>
          <w:rFonts w:ascii="Arial Narrow" w:hAnsi="Arial Narrow"/>
          <w:b/>
          <w:sz w:val="22"/>
          <w:szCs w:val="22"/>
        </w:rPr>
        <w:t>.</w:t>
      </w:r>
    </w:p>
    <w:p w:rsidR="007E6787" w:rsidRPr="001D4939" w:rsidRDefault="007E6787" w:rsidP="00AA60A8">
      <w:pPr>
        <w:contextualSpacing/>
        <w:jc w:val="both"/>
        <w:rPr>
          <w:rFonts w:ascii="Arial Narrow" w:hAnsi="Arial Narrow" w:cs="Arial Narrow"/>
          <w:bCs/>
          <w:sz w:val="22"/>
          <w:szCs w:val="22"/>
        </w:rPr>
      </w:pPr>
    </w:p>
    <w:p w:rsidR="00343B53" w:rsidRPr="007D5D26" w:rsidRDefault="004A2266" w:rsidP="00482770">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bookmarkStart w:id="0" w:name="_GoBack"/>
      <w:bookmarkEnd w:id="0"/>
    </w:p>
    <w:p w:rsidR="005B00C1" w:rsidRDefault="00343B53" w:rsidP="00482770">
      <w:pPr>
        <w:jc w:val="both"/>
        <w:rPr>
          <w:rFonts w:ascii="Arial Narrow" w:hAnsi="Arial Narrow"/>
          <w:sz w:val="22"/>
          <w:szCs w:val="22"/>
        </w:rPr>
      </w:pPr>
      <w:r>
        <w:rPr>
          <w:rFonts w:ascii="Arial Narrow" w:hAnsi="Arial Narrow"/>
          <w:sz w:val="22"/>
          <w:szCs w:val="22"/>
        </w:rPr>
        <w:t>Bez pripomienok zo strany RÚZ</w:t>
      </w:r>
    </w:p>
    <w:p w:rsidR="00343B53" w:rsidRPr="00343B53" w:rsidRDefault="00343B53"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7D5D26">
      <w:pgSz w:w="12240" w:h="15840"/>
      <w:pgMar w:top="284" w:right="1417" w:bottom="426"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7E" w:rsidRDefault="004A2E7E">
      <w:r>
        <w:separator/>
      </w:r>
    </w:p>
  </w:endnote>
  <w:endnote w:type="continuationSeparator" w:id="0">
    <w:p w:rsidR="004A2E7E" w:rsidRDefault="004A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7E" w:rsidRDefault="004A2E7E">
      <w:r>
        <w:separator/>
      </w:r>
    </w:p>
  </w:footnote>
  <w:footnote w:type="continuationSeparator" w:id="0">
    <w:p w:rsidR="004A2E7E" w:rsidRDefault="004A2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15:restartNumberingAfterBreak="0">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15:restartNumberingAfterBreak="0">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15:restartNumberingAfterBreak="0">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3" w15:restartNumberingAfterBreak="0">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15:restartNumberingAfterBreak="0">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5" w15:restartNumberingAfterBreak="0">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7" w15:restartNumberingAfterBreak="0">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0"/>
  </w:num>
  <w:num w:numId="5">
    <w:abstractNumId w:val="18"/>
  </w:num>
  <w:num w:numId="6">
    <w:abstractNumId w:val="12"/>
  </w:num>
  <w:num w:numId="7">
    <w:abstractNumId w:val="8"/>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6"/>
  </w:num>
  <w:num w:numId="12">
    <w:abstractNumId w:val="20"/>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15"/>
  </w:num>
  <w:num w:numId="19">
    <w:abstractNumId w:val="3"/>
  </w:num>
  <w:num w:numId="20">
    <w:abstractNumId w:val="9"/>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1DAF"/>
    <w:rsid w:val="0020295B"/>
    <w:rsid w:val="002122CB"/>
    <w:rsid w:val="00214AD8"/>
    <w:rsid w:val="00215304"/>
    <w:rsid w:val="00221A8E"/>
    <w:rsid w:val="00224928"/>
    <w:rsid w:val="00225E40"/>
    <w:rsid w:val="002268BE"/>
    <w:rsid w:val="00230396"/>
    <w:rsid w:val="0024023B"/>
    <w:rsid w:val="0024195B"/>
    <w:rsid w:val="00244E09"/>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5567"/>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1FFE"/>
    <w:rsid w:val="00415079"/>
    <w:rsid w:val="004179F0"/>
    <w:rsid w:val="00422084"/>
    <w:rsid w:val="00423645"/>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2E7E"/>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3DAC"/>
    <w:rsid w:val="005A4988"/>
    <w:rsid w:val="005A50C0"/>
    <w:rsid w:val="005A5CDC"/>
    <w:rsid w:val="005A7645"/>
    <w:rsid w:val="005A7822"/>
    <w:rsid w:val="005A7BBE"/>
    <w:rsid w:val="005B00C1"/>
    <w:rsid w:val="005B176F"/>
    <w:rsid w:val="005B40BF"/>
    <w:rsid w:val="005B4E30"/>
    <w:rsid w:val="005B6D25"/>
    <w:rsid w:val="005B6E44"/>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4661"/>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16A0"/>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60083"/>
    <w:rsid w:val="00761176"/>
    <w:rsid w:val="0076188F"/>
    <w:rsid w:val="00770947"/>
    <w:rsid w:val="007755D3"/>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5D26"/>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373"/>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42A"/>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1010"/>
    <w:rsid w:val="00D527A6"/>
    <w:rsid w:val="00D5540A"/>
    <w:rsid w:val="00D5543D"/>
    <w:rsid w:val="00D63BD6"/>
    <w:rsid w:val="00D63C80"/>
    <w:rsid w:val="00D66D9A"/>
    <w:rsid w:val="00D700EB"/>
    <w:rsid w:val="00D7190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5346"/>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7111631-09D3-47AC-8620-0E891E48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F17A-A754-4AA4-9434-ECBE184C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3104</Characters>
  <Application>Microsoft Office Word</Application>
  <DocSecurity>0</DocSecurity>
  <Lines>25</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3546</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sekretariat</cp:lastModifiedBy>
  <cp:revision>3</cp:revision>
  <dcterms:created xsi:type="dcterms:W3CDTF">2015-08-20T15:22:00Z</dcterms:created>
  <dcterms:modified xsi:type="dcterms:W3CDTF">2015-08-21T08:21:00Z</dcterms:modified>
</cp:coreProperties>
</file>