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DA" w:rsidRDefault="00BD5CDA" w:rsidP="0079491A">
      <w:pPr>
        <w:spacing w:after="120" w:line="320" w:lineRule="atLeast"/>
        <w:ind w:right="6" w:firstLine="0"/>
        <w:jc w:val="right"/>
      </w:pPr>
      <w:r w:rsidRPr="00E73BBA">
        <w:rPr>
          <w:b/>
          <w:lang w:val="sk-SK"/>
        </w:rPr>
        <w:t>Príloha</w:t>
      </w:r>
      <w:r>
        <w:rPr>
          <w:b/>
        </w:rPr>
        <w:t xml:space="preserve"> 5 </w:t>
      </w:r>
    </w:p>
    <w:p w:rsidR="00BD5CDA" w:rsidRDefault="00FD2E08" w:rsidP="0079491A">
      <w:pPr>
        <w:spacing w:after="120" w:line="320" w:lineRule="atLeast"/>
        <w:ind w:left="-6" w:right="0" w:hanging="11"/>
        <w:jc w:val="left"/>
      </w:pPr>
      <w:bookmarkStart w:id="0" w:name="_GoBack"/>
      <w:bookmarkEnd w:id="0"/>
      <w:r w:rsidRPr="00FD2E08">
        <w:rPr>
          <w:b/>
          <w:noProof/>
          <w:lang w:val="sk-SK"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2.65pt;margin-top:-.05pt;width:453.5pt;height:20.15pt;z-index:-251658752" fillcolor="#c2d69b" stroked="f" strokecolor="#c2d69b" strokeweight="10pt">
            <v:stroke linestyle="thinThin"/>
            <v:imagedata embosscolor="shadow add(51)"/>
            <v:shadow on="t" opacity=".5" offset="-6pt,-6pt"/>
          </v:shape>
        </w:pict>
      </w:r>
      <w:r w:rsidR="00BD5CDA">
        <w:rPr>
          <w:b/>
        </w:rPr>
        <w:t xml:space="preserve">REGIONÁLNY ROZVOJ </w:t>
      </w:r>
    </w:p>
    <w:p w:rsidR="00BD5CDA" w:rsidRPr="00CF0C84" w:rsidRDefault="00BD5CDA" w:rsidP="0079491A">
      <w:pPr>
        <w:spacing w:after="120" w:line="320" w:lineRule="atLeast"/>
        <w:ind w:left="-6" w:right="0" w:hanging="11"/>
        <w:jc w:val="left"/>
        <w:rPr>
          <w:lang w:val="sk-SK"/>
        </w:rPr>
      </w:pPr>
      <w:r w:rsidRPr="00CF0C84">
        <w:rPr>
          <w:b/>
          <w:lang w:val="sk-SK"/>
        </w:rPr>
        <w:t xml:space="preserve">Operačné programy pod Sekciou riadenia programov regionálneho rozvoja a  Útvarom Implementácie programov </w:t>
      </w:r>
      <w:r w:rsidR="00B54F2E">
        <w:rPr>
          <w:b/>
          <w:lang w:val="sk-SK"/>
        </w:rPr>
        <w:t>regionálneho rozvoja v roku 2014</w:t>
      </w:r>
    </w:p>
    <w:p w:rsidR="00BD5CDA" w:rsidRPr="00CF0C84" w:rsidRDefault="00BD5CDA" w:rsidP="0079491A">
      <w:pPr>
        <w:spacing w:after="120" w:line="320" w:lineRule="atLeast"/>
        <w:ind w:left="-15" w:right="0" w:firstLine="0"/>
        <w:rPr>
          <w:lang w:val="sk-SK"/>
        </w:rPr>
      </w:pPr>
      <w:r w:rsidRPr="00CF0C84">
        <w:rPr>
          <w:lang w:val="sk-SK"/>
        </w:rPr>
        <w:t xml:space="preserve">           Agentúra na podporu regionálneho rozvoja </w:t>
      </w:r>
      <w:r w:rsidR="000C7A2C" w:rsidRPr="00CF0C84">
        <w:rPr>
          <w:lang w:val="sk-SK"/>
        </w:rPr>
        <w:t xml:space="preserve">(ďalej len „APRR“) </w:t>
      </w:r>
      <w:r w:rsidRPr="00CF0C84">
        <w:rPr>
          <w:lang w:val="sk-SK"/>
        </w:rPr>
        <w:t>zabezpečovala do</w:t>
      </w:r>
      <w:r w:rsidR="000C7A2C">
        <w:rPr>
          <w:lang w:val="sk-SK"/>
        </w:rPr>
        <w:t> </w:t>
      </w:r>
      <w:r w:rsidRPr="00CF0C84">
        <w:rPr>
          <w:lang w:val="sk-SK"/>
        </w:rPr>
        <w:t>31.12.2012 v rámci Národného strategického referenčného rámca na roky 2007 – 2013 realizáciu Regionálneho operačného programu, Operačného programu Bratislavský kraj, operačných programov cezhraničnej spolupráce a plnila úlohy v oblasti monitorovania a</w:t>
      </w:r>
      <w:r w:rsidR="000C7A2C">
        <w:rPr>
          <w:lang w:val="sk-SK"/>
        </w:rPr>
        <w:t> </w:t>
      </w:r>
      <w:r w:rsidRPr="00CF0C84">
        <w:rPr>
          <w:lang w:val="sk-SK"/>
        </w:rPr>
        <w:t>vyhodnocovania programov pomoci EÚ .</w:t>
      </w:r>
    </w:p>
    <w:p w:rsidR="00BD5CDA" w:rsidRPr="00CF0C84" w:rsidRDefault="00BD5CDA" w:rsidP="0079491A">
      <w:pPr>
        <w:spacing w:after="120" w:line="320" w:lineRule="atLeast"/>
        <w:ind w:left="-15" w:right="0"/>
        <w:rPr>
          <w:lang w:val="sk-SK"/>
        </w:rPr>
      </w:pPr>
      <w:r w:rsidRPr="00CF0C84">
        <w:rPr>
          <w:lang w:val="sk-SK"/>
        </w:rPr>
        <w:t xml:space="preserve">Agentúra na podporu regionálneho rozvoja sa k 01.01.2013  organizačnou zmenou rozčlenila na Sekciu riadenia programov regionálneho rozvoja (ďalej len SRPRR) a na Útvar implementácie programov regionálneho rozvoja Ministerstva pôdohospodárstva a rozvoja vidieka SR. </w:t>
      </w:r>
    </w:p>
    <w:p w:rsidR="00991F03" w:rsidRDefault="00BD5CDA" w:rsidP="0079491A">
      <w:pPr>
        <w:spacing w:after="120" w:line="320" w:lineRule="atLeast"/>
        <w:ind w:right="0" w:firstLine="0"/>
        <w:rPr>
          <w:lang w:val="sk-SK"/>
        </w:rPr>
      </w:pPr>
      <w:r w:rsidRPr="00CF0C84">
        <w:rPr>
          <w:lang w:val="sk-SK"/>
        </w:rPr>
        <w:t xml:space="preserve"> </w:t>
      </w:r>
      <w:r w:rsidR="00565EDA">
        <w:rPr>
          <w:lang w:val="sk-SK"/>
        </w:rPr>
        <w:tab/>
      </w:r>
      <w:r w:rsidR="00991F03" w:rsidRPr="00C61DBF">
        <w:rPr>
          <w:lang w:val="sk-SK"/>
        </w:rPr>
        <w:t>Sekcia riadenia programov regionálneho rozvoja a Útvar Implementácie programov regionálneho rozvoja plnia v programovom období 2007 – 2013 úlohy Riadiaceho orgánu pre</w:t>
      </w:r>
      <w:r w:rsidR="000C7A2C">
        <w:rPr>
          <w:lang w:val="sk-SK"/>
        </w:rPr>
        <w:t> </w:t>
      </w:r>
      <w:r w:rsidR="00991F03" w:rsidRPr="00C61DBF">
        <w:rPr>
          <w:lang w:val="sk-SK"/>
        </w:rPr>
        <w:t>Regionálny operačný program, Riadiaceho orgánu pre Operačný program Bratislavský kraj a zabezpečujú realizáciu programov cezhraničnej spolupráce.</w:t>
      </w:r>
    </w:p>
    <w:p w:rsidR="00BD5CDA" w:rsidRPr="00CF0C84" w:rsidRDefault="00BD5CDA" w:rsidP="0079491A">
      <w:pPr>
        <w:spacing w:after="120" w:line="320" w:lineRule="atLeast"/>
        <w:ind w:left="-5" w:right="0" w:hanging="10"/>
        <w:jc w:val="left"/>
        <w:rPr>
          <w:lang w:val="sk-SK"/>
        </w:rPr>
      </w:pPr>
      <w:r w:rsidRPr="0089354C">
        <w:rPr>
          <w:b/>
          <w:lang w:val="sk-SK"/>
        </w:rPr>
        <w:t>Operačný program Bratislavský kraj</w:t>
      </w:r>
      <w:r w:rsidRPr="00CF0C84">
        <w:rPr>
          <w:b/>
          <w:lang w:val="sk-SK"/>
        </w:rPr>
        <w:t xml:space="preserve"> </w:t>
      </w:r>
    </w:p>
    <w:p w:rsidR="00BD5CDA" w:rsidRPr="00CF0C84" w:rsidRDefault="00BD5CDA" w:rsidP="000C7A2C">
      <w:pPr>
        <w:spacing w:after="120" w:line="320" w:lineRule="atLeast"/>
        <w:ind w:right="0" w:firstLine="683"/>
        <w:rPr>
          <w:rFonts w:ascii="Arial" w:hAnsi="Arial" w:cs="Arial"/>
          <w:sz w:val="20"/>
          <w:szCs w:val="20"/>
          <w:lang w:val="sk-SK" w:eastAsia="sk-SK"/>
        </w:rPr>
      </w:pPr>
      <w:r w:rsidRPr="00CF0C84">
        <w:rPr>
          <w:i/>
          <w:lang w:val="sk-SK"/>
        </w:rPr>
        <w:t xml:space="preserve">Odbor riadenia Operačného programu Bratislavský kraj a Odbor realizácie Operačného program Bratislavský kraj </w:t>
      </w:r>
      <w:r w:rsidRPr="00CF0C84">
        <w:rPr>
          <w:lang w:val="sk-SK"/>
        </w:rPr>
        <w:t>zabezpečujú výkon úloh Riadiaceho orgánu pre</w:t>
      </w:r>
      <w:r w:rsidR="000C7A2C">
        <w:rPr>
          <w:lang w:val="sk-SK"/>
        </w:rPr>
        <w:t> </w:t>
      </w:r>
      <w:r w:rsidRPr="00CF0C84">
        <w:rPr>
          <w:b/>
          <w:lang w:val="sk-SK"/>
        </w:rPr>
        <w:t>Operačný program Bratislavský kraj</w:t>
      </w:r>
      <w:r w:rsidRPr="00CF0C84">
        <w:rPr>
          <w:lang w:val="sk-SK"/>
        </w:rPr>
        <w:t xml:space="preserve"> (ďalej len „OPBK“). OPBK predstavuje strategický dokument, pričom oprávneným územím na realizovanie intervencií je územie Bratislavského kraja. </w:t>
      </w:r>
    </w:p>
    <w:p w:rsidR="00BD5CDA" w:rsidRPr="00CF0C84" w:rsidRDefault="00BD5CDA" w:rsidP="0079491A">
      <w:pPr>
        <w:spacing w:after="120" w:line="320" w:lineRule="atLeast"/>
        <w:ind w:left="-15" w:right="0"/>
        <w:rPr>
          <w:lang w:val="sk-SK"/>
        </w:rPr>
      </w:pPr>
      <w:r w:rsidRPr="00CF0C84">
        <w:rPr>
          <w:lang w:val="sk-SK"/>
        </w:rPr>
        <w:t xml:space="preserve">Globálnym cieľom OPBK je posilnenie konkurenčnej schopnosti regiónu rozvojom vedomostnej ekonomiky a budovaním regiónu atraktívneho pre život. Špecifické ciele OPBK sú napĺňané prostredníctvom dvoch prioritných osí OPBK: Prioritná os 1 Infraštruktúra a Prioritná os 2 Vedomostná ekonomika. V rámci OPBK sú verejné prostriedky (štátny rozpočet a rozpočet územnej samosprávy), súkromné zdroje a prostriedky ERDF sústredené na štyri základné opatrenia v 2 prioritných osiach.  </w:t>
      </w:r>
    </w:p>
    <w:p w:rsidR="00BD5CDA" w:rsidRPr="00CF0C84" w:rsidRDefault="00BD5CDA" w:rsidP="0079491A">
      <w:pPr>
        <w:spacing w:after="120" w:line="320" w:lineRule="atLeast"/>
        <w:ind w:left="-15" w:right="0"/>
        <w:rPr>
          <w:lang w:val="sk-SK"/>
        </w:rPr>
      </w:pPr>
      <w:r w:rsidRPr="00CF0C84">
        <w:rPr>
          <w:lang w:val="sk-SK"/>
        </w:rPr>
        <w:t>Prvá prioritná os „Infraštruktúra“ je zameraná na podporu budovania moderného a</w:t>
      </w:r>
      <w:r w:rsidR="00565EDA">
        <w:rPr>
          <w:lang w:val="sk-SK"/>
        </w:rPr>
        <w:t> </w:t>
      </w:r>
      <w:r w:rsidRPr="00CF0C84">
        <w:rPr>
          <w:lang w:val="sk-SK"/>
        </w:rPr>
        <w:t xml:space="preserve">atraktívneho regiónu pre občanov, návštevníkov a investorov. Druhá prioritná os „Vedomostná ekonomika“ podporuje v rámci OPBK inovácie a informatizáciu spoločnosti ako kľúčové tematické okruhy pre zabezpečenie dlhodobej konkurencieschopnosti regiónu. </w:t>
      </w:r>
    </w:p>
    <w:p w:rsidR="00BD5CDA" w:rsidRPr="00CF0C84" w:rsidRDefault="00BD5CDA" w:rsidP="0079491A">
      <w:pPr>
        <w:spacing w:after="120" w:line="320" w:lineRule="atLeast"/>
        <w:ind w:left="-15" w:right="0"/>
        <w:rPr>
          <w:lang w:val="sk-SK"/>
        </w:rPr>
      </w:pPr>
      <w:r w:rsidRPr="00CF0C84">
        <w:rPr>
          <w:lang w:val="sk-SK"/>
        </w:rPr>
        <w:t>OPBK stanovuje stratégiu a prioritné osi podporované zo štrukturálnych fondov a</w:t>
      </w:r>
      <w:r w:rsidR="00565EDA">
        <w:rPr>
          <w:lang w:val="sk-SK"/>
        </w:rPr>
        <w:t> </w:t>
      </w:r>
      <w:r w:rsidRPr="00CF0C84">
        <w:rPr>
          <w:lang w:val="sk-SK"/>
        </w:rPr>
        <w:t>zo</w:t>
      </w:r>
      <w:r w:rsidR="00565EDA">
        <w:rPr>
          <w:lang w:val="sk-SK"/>
        </w:rPr>
        <w:t> </w:t>
      </w:r>
      <w:r w:rsidRPr="00CF0C84">
        <w:rPr>
          <w:lang w:val="sk-SK"/>
        </w:rPr>
        <w:t>zdrojov členského štátu, ich špecifické ciele, príspevok zo štrukturálnych fondov a</w:t>
      </w:r>
      <w:r w:rsidR="00565EDA">
        <w:rPr>
          <w:lang w:val="sk-SK"/>
        </w:rPr>
        <w:t> </w:t>
      </w:r>
      <w:r w:rsidRPr="00CF0C84">
        <w:rPr>
          <w:lang w:val="sk-SK"/>
        </w:rPr>
        <w:t>ostatné finančné prostriedky v súlade s Nariadením Rady (ES) č. 1083/2006 z 11. júla 2006, ktorým sa ustanovujú všeobecné ustanovenia o Európskom fonde regionálneho rozvoja, Európskom sociálnom fonde a Kohéznom fonde</w:t>
      </w:r>
      <w:r w:rsidR="000C7A2C">
        <w:rPr>
          <w:lang w:val="sk-SK"/>
        </w:rPr>
        <w:t xml:space="preserve">, a ktorým sa </w:t>
      </w:r>
      <w:r w:rsidRPr="00CF0C84">
        <w:rPr>
          <w:lang w:val="sk-SK"/>
        </w:rPr>
        <w:t>ruš</w:t>
      </w:r>
      <w:r w:rsidR="000C7A2C">
        <w:rPr>
          <w:lang w:val="sk-SK"/>
        </w:rPr>
        <w:t xml:space="preserve">í </w:t>
      </w:r>
      <w:r w:rsidRPr="00CF0C84">
        <w:rPr>
          <w:lang w:val="sk-SK"/>
        </w:rPr>
        <w:t xml:space="preserve">nariadenie (ES) č.1260/1999 („všeobecné nariadenie“) a v súlade s Nariadením Komisie (ES) č. 1828/2006 </w:t>
      </w:r>
      <w:r w:rsidRPr="00CF0C84">
        <w:rPr>
          <w:lang w:val="sk-SK"/>
        </w:rPr>
        <w:lastRenderedPageBreak/>
        <w:t>z</w:t>
      </w:r>
      <w:r w:rsidR="00565EDA">
        <w:rPr>
          <w:lang w:val="sk-SK"/>
        </w:rPr>
        <w:t> </w:t>
      </w:r>
      <w:r w:rsidRPr="00CF0C84">
        <w:rPr>
          <w:lang w:val="sk-SK"/>
        </w:rPr>
        <w:t>8. decembra 2006, ktorým sa stanovujú vykonávacie pravidlá nariadenia Rady (ES) č.</w:t>
      </w:r>
      <w:r w:rsidR="00565EDA">
        <w:rPr>
          <w:lang w:val="sk-SK"/>
        </w:rPr>
        <w:t> </w:t>
      </w:r>
      <w:r w:rsidRPr="00CF0C84">
        <w:rPr>
          <w:lang w:val="sk-SK"/>
        </w:rPr>
        <w:t>1083/2006, ktorým sa ustanovujú všeobecné ustanovenia o Európskom fonde regionálneho rozvoja, Európskom sociálnom fonde a Kohéznom fonde a nariadenia Európskeho parlamentu a Rady (ES) č. 1080/2006 o Európskom fonde regionálneho rozvoja v znení neskorších zmien a doplnení („vykonávacie nariadenie“). Okrem toho Riadiaci orgán pre OPBK postupuje pri</w:t>
      </w:r>
      <w:r w:rsidR="00A1240E">
        <w:rPr>
          <w:lang w:val="sk-SK"/>
        </w:rPr>
        <w:t> </w:t>
      </w:r>
      <w:r w:rsidRPr="00CF0C84">
        <w:rPr>
          <w:lang w:val="sk-SK"/>
        </w:rPr>
        <w:t>implementácii OPBK v súlade s ďalšími nariadeniami EÚ/ES, platnými právnymi predpismi Slovenskej republiky, najmä podľa zákona č. 111/2012, ktorým sa mení a dopĺňa zákon č.</w:t>
      </w:r>
      <w:r w:rsidR="00565EDA">
        <w:rPr>
          <w:lang w:val="sk-SK"/>
        </w:rPr>
        <w:t> </w:t>
      </w:r>
      <w:r w:rsidRPr="00CF0C84">
        <w:rPr>
          <w:lang w:val="sk-SK"/>
        </w:rPr>
        <w:t>528/2008 Z. z. o poskytovaní pomoci a podpory z fondov Európskych spoločenstiev v znení neskorších predpisov, ako aj ďalšími záväznými dokumentmi, najmä v súlade so</w:t>
      </w:r>
      <w:r w:rsidR="00A1240E">
        <w:rPr>
          <w:lang w:val="sk-SK"/>
        </w:rPr>
        <w:t> </w:t>
      </w:r>
      <w:r w:rsidRPr="00CF0C84">
        <w:rPr>
          <w:lang w:val="sk-SK"/>
        </w:rPr>
        <w:t>Systémom riadenia štrukturálnych fondov a Kohézneho fondu na programové obdobie 2007 – 2013 v</w:t>
      </w:r>
      <w:r w:rsidR="00565EDA">
        <w:rPr>
          <w:lang w:val="sk-SK"/>
        </w:rPr>
        <w:t> </w:t>
      </w:r>
      <w:r w:rsidRPr="00CF0C84">
        <w:rPr>
          <w:lang w:val="sk-SK"/>
        </w:rPr>
        <w:t>aktuálnom znení a Systémom finančného riadenia štrukturálnych fondov a</w:t>
      </w:r>
      <w:r w:rsidR="00A1240E">
        <w:rPr>
          <w:lang w:val="sk-SK"/>
        </w:rPr>
        <w:t> </w:t>
      </w:r>
      <w:r w:rsidRPr="00CF0C84">
        <w:rPr>
          <w:lang w:val="sk-SK"/>
        </w:rPr>
        <w:t>Kohézneho fondu na programové obdobie 2007 – 2013 v platnom znení. Prijímateľmi pomoci z OPBK sú obce a mestá Bratislavského kraja založené v zmysle zákona č. 369/1990 Zb. o obecnom zriadení v znení neskorších predpisov; Bratislavský samosprávny kraj, založený v zmysle zákona č. 302/2001 Z. z. o samospráve vyšších územných celkov v znení neskorších predpisov, Hlavné mesto SR Bratislava a jeho mestské časti v zmysle zákona č.</w:t>
      </w:r>
      <w:r w:rsidR="00A1240E">
        <w:rPr>
          <w:lang w:val="sk-SK"/>
        </w:rPr>
        <w:t> </w:t>
      </w:r>
      <w:r w:rsidRPr="00CF0C84">
        <w:rPr>
          <w:lang w:val="sk-SK"/>
        </w:rPr>
        <w:t>377/1990 Zb. o hlavnom  meste SR Bratislave v znení neskorších predpisov; Združenia miest a obcí založené v zmysle zákona č. 369/1990 Zb. o obecnom zriadení v znení neskorších predpisov; Subjekt správy bytového domu v zmysle zákona č. 182/1993 Z. z. o</w:t>
      </w:r>
      <w:r w:rsidR="00A1240E">
        <w:rPr>
          <w:lang w:val="sk-SK"/>
        </w:rPr>
        <w:t> </w:t>
      </w:r>
      <w:r w:rsidRPr="00CF0C84">
        <w:rPr>
          <w:lang w:val="sk-SK"/>
        </w:rPr>
        <w:t>vlastníctve bytov a</w:t>
      </w:r>
      <w:r w:rsidR="00565EDA">
        <w:rPr>
          <w:lang w:val="sk-SK"/>
        </w:rPr>
        <w:t> </w:t>
      </w:r>
      <w:r w:rsidRPr="00CF0C84">
        <w:rPr>
          <w:lang w:val="sk-SK"/>
        </w:rPr>
        <w:t xml:space="preserve">nebytových priestorov v znení neskorších predpisov; a </w:t>
      </w:r>
      <w:proofErr w:type="spellStart"/>
      <w:r w:rsidRPr="00CF0C84">
        <w:rPr>
          <w:lang w:val="sk-SK"/>
        </w:rPr>
        <w:t>Mikro</w:t>
      </w:r>
      <w:proofErr w:type="spellEnd"/>
      <w:r w:rsidRPr="00CF0C84">
        <w:rPr>
          <w:lang w:val="sk-SK"/>
        </w:rPr>
        <w:t>, malí a</w:t>
      </w:r>
      <w:r w:rsidR="00A1240E">
        <w:rPr>
          <w:lang w:val="sk-SK"/>
        </w:rPr>
        <w:t> </w:t>
      </w:r>
      <w:r w:rsidRPr="00CF0C84">
        <w:rPr>
          <w:lang w:val="sk-SK"/>
        </w:rPr>
        <w:t>strední podnikatelia (MSP) – fyzické alebo právnické osoby podnikajúce v oblasti výroby oprávnené na</w:t>
      </w:r>
      <w:r w:rsidR="00565EDA">
        <w:rPr>
          <w:lang w:val="sk-SK"/>
        </w:rPr>
        <w:t> </w:t>
      </w:r>
      <w:r w:rsidRPr="00CF0C84">
        <w:rPr>
          <w:lang w:val="sk-SK"/>
        </w:rPr>
        <w:t>podnikanie v zmysle § 2 ods. 2 písm. a) a b) Obchodného zákonníka, registrované na</w:t>
      </w:r>
      <w:r w:rsidR="00565EDA">
        <w:rPr>
          <w:lang w:val="sk-SK"/>
        </w:rPr>
        <w:t> </w:t>
      </w:r>
      <w:r w:rsidRPr="00CF0C84">
        <w:rPr>
          <w:lang w:val="sk-SK"/>
        </w:rPr>
        <w:t xml:space="preserve">území SR.  </w:t>
      </w:r>
    </w:p>
    <w:p w:rsidR="00BD5CDA" w:rsidRPr="00CF0C84" w:rsidRDefault="00BD5CDA" w:rsidP="0079491A">
      <w:pPr>
        <w:spacing w:after="120" w:line="320" w:lineRule="atLeast"/>
        <w:ind w:left="-15" w:right="0"/>
        <w:rPr>
          <w:lang w:val="sk-SK"/>
        </w:rPr>
      </w:pPr>
      <w:r w:rsidRPr="00CF0C84">
        <w:rPr>
          <w:lang w:val="sk-SK"/>
        </w:rPr>
        <w:t>Do implementácie OPBK je aktívne zapojený aj Bratislavský samosprávny kraj, ktorý vo vymedzenom rozsahu plní úlohy sprostredkovateľského orgánu p</w:t>
      </w:r>
      <w:r w:rsidR="00565EDA">
        <w:rPr>
          <w:lang w:val="sk-SK"/>
        </w:rPr>
        <w:t xml:space="preserve">od Riadiacim orgánom pre OPBK. </w:t>
      </w:r>
    </w:p>
    <w:p w:rsidR="00087AE5" w:rsidRPr="0089354C" w:rsidRDefault="00087AE5" w:rsidP="00A1240E">
      <w:pPr>
        <w:spacing w:after="120" w:line="320" w:lineRule="atLeast"/>
        <w:ind w:left="-15" w:right="0"/>
        <w:rPr>
          <w:lang w:val="sk-SK"/>
        </w:rPr>
      </w:pPr>
      <w:r w:rsidRPr="0089354C">
        <w:rPr>
          <w:lang w:val="sk-SK"/>
        </w:rPr>
        <w:t xml:space="preserve">V rámci Prioritnej osi 1 Infraštruktúra bolo od začiatku programového obdobia vyhlásených 10 výziev na predkladanie </w:t>
      </w:r>
      <w:proofErr w:type="spellStart"/>
      <w:r w:rsidRPr="0089354C">
        <w:rPr>
          <w:lang w:val="sk-SK"/>
        </w:rPr>
        <w:t>ŽoNFP</w:t>
      </w:r>
      <w:proofErr w:type="spellEnd"/>
      <w:r w:rsidRPr="0089354C">
        <w:rPr>
          <w:lang w:val="sk-SK"/>
        </w:rPr>
        <w:t xml:space="preserve"> (bez iniciatívy JESSICA). V rámci výziev bolo prijatých 236 </w:t>
      </w:r>
      <w:proofErr w:type="spellStart"/>
      <w:r w:rsidRPr="0089354C">
        <w:rPr>
          <w:lang w:val="sk-SK"/>
        </w:rPr>
        <w:t>ŽoNFP</w:t>
      </w:r>
      <w:proofErr w:type="spellEnd"/>
      <w:r w:rsidRPr="0089354C">
        <w:rPr>
          <w:lang w:val="sk-SK"/>
        </w:rPr>
        <w:t xml:space="preserve"> v celk</w:t>
      </w:r>
      <w:r w:rsidR="0089354C">
        <w:rPr>
          <w:lang w:val="sk-SK"/>
        </w:rPr>
        <w:t xml:space="preserve">ovej výške NFP 127 968 416,24 </w:t>
      </w:r>
      <w:r w:rsidR="00565EDA">
        <w:rPr>
          <w:lang w:val="sk-SK"/>
        </w:rPr>
        <w:t>€</w:t>
      </w:r>
      <w:r w:rsidRPr="0089354C">
        <w:rPr>
          <w:lang w:val="sk-SK"/>
        </w:rPr>
        <w:t xml:space="preserve">, (z toho v rámci opatrenia 1.1 Regenerácia sídiel bolo prijatých 215 </w:t>
      </w:r>
      <w:proofErr w:type="spellStart"/>
      <w:r w:rsidRPr="0089354C">
        <w:rPr>
          <w:lang w:val="sk-SK"/>
        </w:rPr>
        <w:t>ŽoNFP</w:t>
      </w:r>
      <w:proofErr w:type="spellEnd"/>
      <w:r w:rsidRPr="0089354C">
        <w:rPr>
          <w:lang w:val="sk-SK"/>
        </w:rPr>
        <w:t xml:space="preserve"> v cel</w:t>
      </w:r>
      <w:r w:rsidR="0089354C">
        <w:rPr>
          <w:lang w:val="sk-SK"/>
        </w:rPr>
        <w:t>kovej výške NFP 101</w:t>
      </w:r>
      <w:r w:rsidR="00565EDA">
        <w:rPr>
          <w:lang w:val="sk-SK"/>
        </w:rPr>
        <w:t> </w:t>
      </w:r>
      <w:r w:rsidR="0089354C">
        <w:rPr>
          <w:lang w:val="sk-SK"/>
        </w:rPr>
        <w:t xml:space="preserve">361 314,43 </w:t>
      </w:r>
      <w:r w:rsidR="00565EDA">
        <w:rPr>
          <w:lang w:val="sk-SK"/>
        </w:rPr>
        <w:t>€</w:t>
      </w:r>
      <w:r w:rsidRPr="0089354C">
        <w:rPr>
          <w:lang w:val="sk-SK"/>
        </w:rPr>
        <w:t xml:space="preserve"> a</w:t>
      </w:r>
      <w:r w:rsidR="00565EDA">
        <w:rPr>
          <w:lang w:val="sk-SK"/>
        </w:rPr>
        <w:t> </w:t>
      </w:r>
      <w:r w:rsidRPr="0089354C">
        <w:rPr>
          <w:lang w:val="sk-SK"/>
        </w:rPr>
        <w:t>v</w:t>
      </w:r>
      <w:r w:rsidR="00565EDA">
        <w:rPr>
          <w:lang w:val="sk-SK"/>
        </w:rPr>
        <w:t> </w:t>
      </w:r>
      <w:r w:rsidRPr="0089354C">
        <w:rPr>
          <w:lang w:val="sk-SK"/>
        </w:rPr>
        <w:t xml:space="preserve">rámci opatrenia 1.2 Regionálna a mestská hromadná doprava bolo prijatých 21 </w:t>
      </w:r>
      <w:proofErr w:type="spellStart"/>
      <w:r w:rsidRPr="0089354C">
        <w:rPr>
          <w:lang w:val="sk-SK"/>
        </w:rPr>
        <w:t>ŽoNFP</w:t>
      </w:r>
      <w:proofErr w:type="spellEnd"/>
      <w:r w:rsidRPr="0089354C">
        <w:rPr>
          <w:lang w:val="sk-SK"/>
        </w:rPr>
        <w:t xml:space="preserve"> v</w:t>
      </w:r>
      <w:r w:rsidR="00565EDA">
        <w:rPr>
          <w:lang w:val="sk-SK"/>
        </w:rPr>
        <w:t> </w:t>
      </w:r>
      <w:r w:rsidRPr="0089354C">
        <w:rPr>
          <w:lang w:val="sk-SK"/>
        </w:rPr>
        <w:t>ce</w:t>
      </w:r>
      <w:r w:rsidR="0089354C">
        <w:rPr>
          <w:lang w:val="sk-SK"/>
        </w:rPr>
        <w:t xml:space="preserve">lkovej výške NFP 26 607 101,81 </w:t>
      </w:r>
      <w:r w:rsidR="00565EDA">
        <w:rPr>
          <w:lang w:val="sk-SK"/>
        </w:rPr>
        <w:t>€</w:t>
      </w:r>
      <w:r w:rsidRPr="0089354C">
        <w:rPr>
          <w:lang w:val="sk-SK"/>
        </w:rPr>
        <w:t xml:space="preserve">.V rámci Prioritnej osi 1 bolo k 31.12.2014 schválených 129 </w:t>
      </w:r>
      <w:proofErr w:type="spellStart"/>
      <w:r w:rsidRPr="0089354C">
        <w:rPr>
          <w:lang w:val="sk-SK"/>
        </w:rPr>
        <w:t>ŽoNFP</w:t>
      </w:r>
      <w:proofErr w:type="spellEnd"/>
      <w:r w:rsidRPr="0089354C">
        <w:rPr>
          <w:lang w:val="sk-SK"/>
        </w:rPr>
        <w:t xml:space="preserve"> v cel</w:t>
      </w:r>
      <w:r w:rsidR="0089354C">
        <w:rPr>
          <w:lang w:val="sk-SK"/>
        </w:rPr>
        <w:t xml:space="preserve">kovej výške NFP  67 167 764,82 </w:t>
      </w:r>
      <w:r w:rsidR="00565EDA">
        <w:rPr>
          <w:lang w:val="sk-SK"/>
        </w:rPr>
        <w:t>€</w:t>
      </w:r>
      <w:r w:rsidRPr="0089354C">
        <w:rPr>
          <w:lang w:val="sk-SK"/>
        </w:rPr>
        <w:t xml:space="preserve"> (z toho v rámci opatrenia 1.1 Regenerácia sídiel bolo schválených 113 </w:t>
      </w:r>
      <w:proofErr w:type="spellStart"/>
      <w:r w:rsidRPr="0089354C">
        <w:rPr>
          <w:lang w:val="sk-SK"/>
        </w:rPr>
        <w:t>ŽoNFP</w:t>
      </w:r>
      <w:proofErr w:type="spellEnd"/>
      <w:r w:rsidRPr="0089354C">
        <w:rPr>
          <w:lang w:val="sk-SK"/>
        </w:rPr>
        <w:t xml:space="preserve"> v celkovej výške NFP</w:t>
      </w:r>
      <w:r w:rsidR="00A1240E">
        <w:rPr>
          <w:lang w:val="sk-SK"/>
        </w:rPr>
        <w:t xml:space="preserve"> </w:t>
      </w:r>
      <w:r w:rsidR="0089354C">
        <w:rPr>
          <w:lang w:val="sk-SK"/>
        </w:rPr>
        <w:t xml:space="preserve">52 367 912,29 </w:t>
      </w:r>
      <w:r w:rsidR="00565EDA">
        <w:rPr>
          <w:lang w:val="sk-SK"/>
        </w:rPr>
        <w:t>€</w:t>
      </w:r>
      <w:r w:rsidR="00A1240E">
        <w:rPr>
          <w:lang w:val="sk-SK"/>
        </w:rPr>
        <w:t>)</w:t>
      </w:r>
      <w:r w:rsidRPr="0089354C">
        <w:rPr>
          <w:lang w:val="sk-SK"/>
        </w:rPr>
        <w:t xml:space="preserve"> a v rámci opatrenia 1.1 bolo riadne ukončených 58 projektov v celkovej výške čerpaných </w:t>
      </w:r>
      <w:r w:rsidR="0089354C">
        <w:rPr>
          <w:lang w:val="sk-SK"/>
        </w:rPr>
        <w:t xml:space="preserve">prostriedkov NFP 21 621 469,31 </w:t>
      </w:r>
      <w:r w:rsidR="00565EDA">
        <w:rPr>
          <w:lang w:val="sk-SK"/>
        </w:rPr>
        <w:t>€</w:t>
      </w:r>
      <w:r w:rsidRPr="0089354C">
        <w:rPr>
          <w:lang w:val="sk-SK"/>
        </w:rPr>
        <w:t>.  V rámci opatrenia 1.2 Regionálna a</w:t>
      </w:r>
      <w:r w:rsidR="00565EDA">
        <w:rPr>
          <w:lang w:val="sk-SK"/>
        </w:rPr>
        <w:t> </w:t>
      </w:r>
      <w:r w:rsidRPr="0089354C">
        <w:rPr>
          <w:lang w:val="sk-SK"/>
        </w:rPr>
        <w:t xml:space="preserve">mestská hromadná doprava bolo schválených 16 </w:t>
      </w:r>
      <w:proofErr w:type="spellStart"/>
      <w:r w:rsidRPr="0089354C">
        <w:rPr>
          <w:lang w:val="sk-SK"/>
        </w:rPr>
        <w:t>ŽoNFP</w:t>
      </w:r>
      <w:proofErr w:type="spellEnd"/>
      <w:r w:rsidRPr="0089354C">
        <w:rPr>
          <w:lang w:val="sk-SK"/>
        </w:rPr>
        <w:t xml:space="preserve"> v celkovej vý</w:t>
      </w:r>
      <w:r w:rsidR="0089354C">
        <w:rPr>
          <w:lang w:val="sk-SK"/>
        </w:rPr>
        <w:t xml:space="preserve">ške NFP 14 799 852,53 </w:t>
      </w:r>
      <w:r w:rsidR="00565EDA">
        <w:rPr>
          <w:lang w:val="sk-SK"/>
        </w:rPr>
        <w:t>€</w:t>
      </w:r>
      <w:r w:rsidRPr="0089354C">
        <w:rPr>
          <w:lang w:val="sk-SK"/>
        </w:rPr>
        <w:t>.</w:t>
      </w:r>
      <w:r w:rsidR="00565EDA">
        <w:rPr>
          <w:lang w:val="sk-SK"/>
        </w:rPr>
        <w:t xml:space="preserve"> </w:t>
      </w:r>
      <w:r w:rsidRPr="0089354C">
        <w:rPr>
          <w:lang w:val="sk-SK"/>
        </w:rPr>
        <w:t xml:space="preserve">K 31.12.2014 bolo v rámci Prioritnej osi 1 </w:t>
      </w:r>
      <w:proofErr w:type="spellStart"/>
      <w:r w:rsidRPr="0089354C">
        <w:rPr>
          <w:lang w:val="sk-SK"/>
        </w:rPr>
        <w:t>zazmluvnených</w:t>
      </w:r>
      <w:proofErr w:type="spellEnd"/>
      <w:r w:rsidRPr="0089354C">
        <w:rPr>
          <w:lang w:val="sk-SK"/>
        </w:rPr>
        <w:t xml:space="preserve"> 123 projektov v cel</w:t>
      </w:r>
      <w:r w:rsidR="0089354C">
        <w:rPr>
          <w:lang w:val="sk-SK"/>
        </w:rPr>
        <w:t>kovej výške NFP 53</w:t>
      </w:r>
      <w:r w:rsidR="00A1240E">
        <w:rPr>
          <w:lang w:val="sk-SK"/>
        </w:rPr>
        <w:t> </w:t>
      </w:r>
      <w:r w:rsidR="0089354C">
        <w:rPr>
          <w:lang w:val="sk-SK"/>
        </w:rPr>
        <w:t xml:space="preserve">604 610,18 </w:t>
      </w:r>
      <w:r w:rsidR="00565EDA">
        <w:rPr>
          <w:lang w:val="sk-SK"/>
        </w:rPr>
        <w:t>€</w:t>
      </w:r>
      <w:r w:rsidRPr="0089354C">
        <w:rPr>
          <w:lang w:val="sk-SK"/>
        </w:rPr>
        <w:t xml:space="preserve"> (z toho v rámci opatrenia 1.1 Regenerácia sídiel bolo </w:t>
      </w:r>
      <w:proofErr w:type="spellStart"/>
      <w:r w:rsidRPr="0089354C">
        <w:rPr>
          <w:lang w:val="sk-SK"/>
        </w:rPr>
        <w:t>zazmluvnených</w:t>
      </w:r>
      <w:proofErr w:type="spellEnd"/>
      <w:r w:rsidRPr="0089354C">
        <w:rPr>
          <w:lang w:val="sk-SK"/>
        </w:rPr>
        <w:t xml:space="preserve"> 109</w:t>
      </w:r>
      <w:r w:rsidR="00A1240E">
        <w:rPr>
          <w:lang w:val="sk-SK"/>
        </w:rPr>
        <w:t> </w:t>
      </w:r>
      <w:r w:rsidRPr="0089354C">
        <w:rPr>
          <w:lang w:val="sk-SK"/>
        </w:rPr>
        <w:t>projektov v ce</w:t>
      </w:r>
      <w:r w:rsidR="0089354C">
        <w:rPr>
          <w:lang w:val="sk-SK"/>
        </w:rPr>
        <w:t xml:space="preserve">lkovej výške NFP 42 182 151,39 </w:t>
      </w:r>
      <w:r w:rsidR="00565EDA">
        <w:rPr>
          <w:lang w:val="sk-SK"/>
        </w:rPr>
        <w:t>€</w:t>
      </w:r>
      <w:r w:rsidRPr="0089354C">
        <w:rPr>
          <w:lang w:val="sk-SK"/>
        </w:rPr>
        <w:t xml:space="preserve"> a v rámci opatrenia 1.2 Regionálna a</w:t>
      </w:r>
      <w:r w:rsidR="00A1240E">
        <w:rPr>
          <w:lang w:val="sk-SK"/>
        </w:rPr>
        <w:t> </w:t>
      </w:r>
      <w:r w:rsidRPr="0089354C">
        <w:rPr>
          <w:lang w:val="sk-SK"/>
        </w:rPr>
        <w:t xml:space="preserve">mestská hromadná doprava bolo </w:t>
      </w:r>
      <w:proofErr w:type="spellStart"/>
      <w:r w:rsidRPr="0089354C">
        <w:rPr>
          <w:lang w:val="sk-SK"/>
        </w:rPr>
        <w:t>zazmluvnenýc</w:t>
      </w:r>
      <w:r w:rsidR="0089354C">
        <w:rPr>
          <w:lang w:val="sk-SK"/>
        </w:rPr>
        <w:t>h</w:t>
      </w:r>
      <w:proofErr w:type="spellEnd"/>
      <w:r w:rsidR="0089354C">
        <w:rPr>
          <w:lang w:val="sk-SK"/>
        </w:rPr>
        <w:t xml:space="preserve"> 14 projektov v celkovej výške NFP 11</w:t>
      </w:r>
      <w:r w:rsidR="00A1240E">
        <w:rPr>
          <w:lang w:val="sk-SK"/>
        </w:rPr>
        <w:t> </w:t>
      </w:r>
      <w:r w:rsidR="0089354C">
        <w:rPr>
          <w:lang w:val="sk-SK"/>
        </w:rPr>
        <w:t xml:space="preserve">422 458,79 </w:t>
      </w:r>
      <w:r w:rsidR="00565EDA">
        <w:rPr>
          <w:lang w:val="sk-SK"/>
        </w:rPr>
        <w:t>€</w:t>
      </w:r>
      <w:r w:rsidRPr="0089354C">
        <w:rPr>
          <w:lang w:val="sk-SK"/>
        </w:rPr>
        <w:t xml:space="preserve">. K 31.12.2014 je 59 projektov v realizácii v celkovej </w:t>
      </w:r>
      <w:proofErr w:type="spellStart"/>
      <w:r w:rsidRPr="0089354C">
        <w:rPr>
          <w:lang w:val="sk-SK"/>
        </w:rPr>
        <w:t>zazmluv</w:t>
      </w:r>
      <w:r w:rsidR="0089354C">
        <w:rPr>
          <w:lang w:val="sk-SK"/>
        </w:rPr>
        <w:t>nenej</w:t>
      </w:r>
      <w:proofErr w:type="spellEnd"/>
      <w:r w:rsidR="0089354C">
        <w:rPr>
          <w:lang w:val="sk-SK"/>
        </w:rPr>
        <w:t xml:space="preserve"> výške </w:t>
      </w:r>
      <w:r w:rsidR="0089354C">
        <w:rPr>
          <w:lang w:val="sk-SK"/>
        </w:rPr>
        <w:lastRenderedPageBreak/>
        <w:t xml:space="preserve">NFP 26 266 254,54 </w:t>
      </w:r>
      <w:r w:rsidR="00565EDA">
        <w:rPr>
          <w:lang w:val="sk-SK"/>
        </w:rPr>
        <w:t>€</w:t>
      </w:r>
      <w:r w:rsidRPr="0089354C">
        <w:rPr>
          <w:lang w:val="sk-SK"/>
        </w:rPr>
        <w:t xml:space="preserve">  (z toho v rámci opatrenia 1.1 Regenerácia sídiel bolo v realizácii 51</w:t>
      </w:r>
      <w:r w:rsidR="00A1240E">
        <w:rPr>
          <w:lang w:val="sk-SK"/>
        </w:rPr>
        <w:t> </w:t>
      </w:r>
      <w:r w:rsidRPr="0089354C">
        <w:rPr>
          <w:lang w:val="sk-SK"/>
        </w:rPr>
        <w:t xml:space="preserve">projektov v celkovej </w:t>
      </w:r>
      <w:proofErr w:type="spellStart"/>
      <w:r w:rsidRPr="0089354C">
        <w:rPr>
          <w:lang w:val="sk-SK"/>
        </w:rPr>
        <w:t>zazmlu</w:t>
      </w:r>
      <w:r w:rsidR="0089354C">
        <w:rPr>
          <w:lang w:val="sk-SK"/>
        </w:rPr>
        <w:t>vnenej</w:t>
      </w:r>
      <w:proofErr w:type="spellEnd"/>
      <w:r w:rsidR="0089354C">
        <w:rPr>
          <w:lang w:val="sk-SK"/>
        </w:rPr>
        <w:t xml:space="preserve"> výške NFP 20 342 380,02 </w:t>
      </w:r>
      <w:r w:rsidR="00565EDA">
        <w:rPr>
          <w:lang w:val="sk-SK"/>
        </w:rPr>
        <w:t>€</w:t>
      </w:r>
      <w:r w:rsidRPr="0089354C">
        <w:rPr>
          <w:lang w:val="sk-SK"/>
        </w:rPr>
        <w:t xml:space="preserve"> a</w:t>
      </w:r>
      <w:r w:rsidR="00387C04">
        <w:rPr>
          <w:lang w:val="sk-SK"/>
        </w:rPr>
        <w:t xml:space="preserve"> </w:t>
      </w:r>
      <w:r w:rsidRPr="0089354C">
        <w:rPr>
          <w:lang w:val="sk-SK"/>
        </w:rPr>
        <w:t>v rámci opatrenia 1.2</w:t>
      </w:r>
      <w:r w:rsidR="00A1240E">
        <w:rPr>
          <w:lang w:val="sk-SK"/>
        </w:rPr>
        <w:t> </w:t>
      </w:r>
      <w:r w:rsidRPr="0089354C">
        <w:rPr>
          <w:lang w:val="sk-SK"/>
        </w:rPr>
        <w:t>Regionálna a mestská hromadná doprava bolo v realizácii 8 pr</w:t>
      </w:r>
      <w:r w:rsidR="0089354C">
        <w:rPr>
          <w:lang w:val="sk-SK"/>
        </w:rPr>
        <w:t>ojektov vo výške 5 923 874,52</w:t>
      </w:r>
      <w:r w:rsidR="00387C04">
        <w:rPr>
          <w:lang w:val="sk-SK"/>
        </w:rPr>
        <w:t> </w:t>
      </w:r>
      <w:r w:rsidR="00565EDA">
        <w:rPr>
          <w:lang w:val="sk-SK"/>
        </w:rPr>
        <w:t>€</w:t>
      </w:r>
      <w:r w:rsidRPr="0089354C">
        <w:rPr>
          <w:lang w:val="sk-SK"/>
        </w:rPr>
        <w:t xml:space="preserve">. </w:t>
      </w:r>
    </w:p>
    <w:p w:rsidR="00087AE5" w:rsidRPr="0089354C" w:rsidRDefault="00087AE5" w:rsidP="0079491A">
      <w:pPr>
        <w:spacing w:after="120" w:line="320" w:lineRule="atLeast"/>
        <w:ind w:left="-15" w:right="0"/>
        <w:rPr>
          <w:lang w:val="sk-SK"/>
        </w:rPr>
      </w:pPr>
      <w:r w:rsidRPr="0089354C">
        <w:rPr>
          <w:lang w:val="sk-SK"/>
        </w:rPr>
        <w:t>V rámci Prioritnej osi 2 Vedomostná ekonomika bolo od začiatku programového obdobia vyhlásených 13 výziev (bez iniciatívy JEREMIE). V rámci výziev bolo prijatých 544</w:t>
      </w:r>
      <w:r w:rsidR="00A1240E">
        <w:rPr>
          <w:lang w:val="sk-SK"/>
        </w:rPr>
        <w:t> </w:t>
      </w:r>
      <w:proofErr w:type="spellStart"/>
      <w:r w:rsidRPr="0089354C">
        <w:rPr>
          <w:lang w:val="sk-SK"/>
        </w:rPr>
        <w:t>ŽoNFP</w:t>
      </w:r>
      <w:proofErr w:type="spellEnd"/>
      <w:r w:rsidRPr="0089354C">
        <w:rPr>
          <w:lang w:val="sk-SK"/>
        </w:rPr>
        <w:t xml:space="preserve"> v cel</w:t>
      </w:r>
      <w:r w:rsidR="0089354C">
        <w:rPr>
          <w:lang w:val="sk-SK"/>
        </w:rPr>
        <w:t xml:space="preserve">kovej výške NFP 66 936 837,52 </w:t>
      </w:r>
      <w:r w:rsidR="00565EDA">
        <w:rPr>
          <w:lang w:val="sk-SK"/>
        </w:rPr>
        <w:t>€</w:t>
      </w:r>
      <w:r w:rsidRPr="0089354C">
        <w:rPr>
          <w:lang w:val="sk-SK"/>
        </w:rPr>
        <w:t xml:space="preserve"> (z toho v rámci opatrenia 2.1 Inovácie a</w:t>
      </w:r>
      <w:r w:rsidR="00387C04">
        <w:rPr>
          <w:lang w:val="sk-SK"/>
        </w:rPr>
        <w:t> </w:t>
      </w:r>
      <w:r w:rsidRPr="0089354C">
        <w:rPr>
          <w:lang w:val="sk-SK"/>
        </w:rPr>
        <w:t xml:space="preserve">technologické transfery bolo prijatých 304 </w:t>
      </w:r>
      <w:proofErr w:type="spellStart"/>
      <w:r w:rsidRPr="0089354C">
        <w:rPr>
          <w:lang w:val="sk-SK"/>
        </w:rPr>
        <w:t>ŽoNFP</w:t>
      </w:r>
      <w:proofErr w:type="spellEnd"/>
      <w:r w:rsidRPr="0089354C">
        <w:rPr>
          <w:lang w:val="sk-SK"/>
        </w:rPr>
        <w:t xml:space="preserve"> v cel</w:t>
      </w:r>
      <w:r w:rsidR="0089354C">
        <w:rPr>
          <w:lang w:val="sk-SK"/>
        </w:rPr>
        <w:t xml:space="preserve">kovej výške NFP 41 822 220,86 </w:t>
      </w:r>
      <w:r w:rsidR="00565EDA">
        <w:rPr>
          <w:lang w:val="sk-SK"/>
        </w:rPr>
        <w:t>€</w:t>
      </w:r>
      <w:r w:rsidRPr="0089354C">
        <w:rPr>
          <w:lang w:val="sk-SK"/>
        </w:rPr>
        <w:t xml:space="preserve"> a</w:t>
      </w:r>
      <w:r w:rsidR="00387C04">
        <w:rPr>
          <w:lang w:val="sk-SK"/>
        </w:rPr>
        <w:t> </w:t>
      </w:r>
      <w:r w:rsidRPr="0089354C">
        <w:rPr>
          <w:lang w:val="sk-SK"/>
        </w:rPr>
        <w:t xml:space="preserve">v rámci opatrenia 2.2 Informatizácia spoločnosti bolo prijatých 240 </w:t>
      </w:r>
      <w:proofErr w:type="spellStart"/>
      <w:r w:rsidRPr="0089354C">
        <w:rPr>
          <w:lang w:val="sk-SK"/>
        </w:rPr>
        <w:t>ŽoNFP</w:t>
      </w:r>
      <w:proofErr w:type="spellEnd"/>
      <w:r w:rsidRPr="0089354C">
        <w:rPr>
          <w:lang w:val="sk-SK"/>
        </w:rPr>
        <w:t xml:space="preserve"> v cel</w:t>
      </w:r>
      <w:r w:rsidR="0089354C">
        <w:rPr>
          <w:lang w:val="sk-SK"/>
        </w:rPr>
        <w:t xml:space="preserve">kovej výške NFP 25 114 616,66 </w:t>
      </w:r>
      <w:r w:rsidR="00565EDA">
        <w:rPr>
          <w:lang w:val="sk-SK"/>
        </w:rPr>
        <w:t>€</w:t>
      </w:r>
      <w:r w:rsidR="00A1240E">
        <w:rPr>
          <w:lang w:val="sk-SK"/>
        </w:rPr>
        <w:t>)</w:t>
      </w:r>
      <w:r w:rsidRPr="0089354C">
        <w:rPr>
          <w:lang w:val="sk-SK"/>
        </w:rPr>
        <w:t xml:space="preserve">. V rámci </w:t>
      </w:r>
      <w:proofErr w:type="spellStart"/>
      <w:r w:rsidRPr="0089354C">
        <w:rPr>
          <w:lang w:val="sk-SK"/>
        </w:rPr>
        <w:t>Prioirtnej</w:t>
      </w:r>
      <w:proofErr w:type="spellEnd"/>
      <w:r w:rsidRPr="0089354C">
        <w:rPr>
          <w:lang w:val="sk-SK"/>
        </w:rPr>
        <w:t xml:space="preserve"> osi 2 bolo schválených 297 </w:t>
      </w:r>
      <w:proofErr w:type="spellStart"/>
      <w:r w:rsidRPr="0089354C">
        <w:rPr>
          <w:lang w:val="sk-SK"/>
        </w:rPr>
        <w:t>ŽoNFP</w:t>
      </w:r>
      <w:proofErr w:type="spellEnd"/>
      <w:r w:rsidRPr="0089354C">
        <w:rPr>
          <w:lang w:val="sk-SK"/>
        </w:rPr>
        <w:t xml:space="preserve"> v ce</w:t>
      </w:r>
      <w:r w:rsidR="0089354C">
        <w:rPr>
          <w:lang w:val="sk-SK"/>
        </w:rPr>
        <w:t xml:space="preserve">lkovej výške NFP 42 248 546,81 </w:t>
      </w:r>
      <w:r w:rsidR="00565EDA">
        <w:rPr>
          <w:lang w:val="sk-SK"/>
        </w:rPr>
        <w:t>€</w:t>
      </w:r>
      <w:r w:rsidRPr="0089354C">
        <w:rPr>
          <w:lang w:val="sk-SK"/>
        </w:rPr>
        <w:t xml:space="preserve"> (z toho v rámci opatrenia 2.1  Inovácie a technologické transfery bolo schválených  162 </w:t>
      </w:r>
      <w:proofErr w:type="spellStart"/>
      <w:r w:rsidRPr="0089354C">
        <w:rPr>
          <w:lang w:val="sk-SK"/>
        </w:rPr>
        <w:t>ŽoNFP</w:t>
      </w:r>
      <w:proofErr w:type="spellEnd"/>
      <w:r w:rsidRPr="0089354C">
        <w:rPr>
          <w:lang w:val="sk-SK"/>
        </w:rPr>
        <w:t xml:space="preserve"> v cel</w:t>
      </w:r>
      <w:r w:rsidR="0089354C">
        <w:rPr>
          <w:lang w:val="sk-SK"/>
        </w:rPr>
        <w:t xml:space="preserve">kovej výške NFP  24 405 762,76 </w:t>
      </w:r>
      <w:r w:rsidR="00565EDA">
        <w:rPr>
          <w:lang w:val="sk-SK"/>
        </w:rPr>
        <w:t>€</w:t>
      </w:r>
      <w:r w:rsidRPr="0089354C">
        <w:rPr>
          <w:lang w:val="sk-SK"/>
        </w:rPr>
        <w:t xml:space="preserve"> a v rámci opatrenia 2.2</w:t>
      </w:r>
      <w:r w:rsidR="00A1240E">
        <w:rPr>
          <w:lang w:val="sk-SK"/>
        </w:rPr>
        <w:t> </w:t>
      </w:r>
      <w:r w:rsidRPr="0089354C">
        <w:rPr>
          <w:lang w:val="sk-SK"/>
        </w:rPr>
        <w:t xml:space="preserve">Informatizácia spoločnosti bolo schválených 135 </w:t>
      </w:r>
      <w:proofErr w:type="spellStart"/>
      <w:r w:rsidRPr="0089354C">
        <w:rPr>
          <w:lang w:val="sk-SK"/>
        </w:rPr>
        <w:t>ŽoNFP</w:t>
      </w:r>
      <w:proofErr w:type="spellEnd"/>
      <w:r w:rsidRPr="0089354C">
        <w:rPr>
          <w:lang w:val="sk-SK"/>
        </w:rPr>
        <w:t xml:space="preserve"> v cel</w:t>
      </w:r>
      <w:r w:rsidR="0089354C">
        <w:rPr>
          <w:lang w:val="sk-SK"/>
        </w:rPr>
        <w:t xml:space="preserve">kovej výške NFP 17 842 784,05 </w:t>
      </w:r>
      <w:r w:rsidR="00565EDA">
        <w:rPr>
          <w:lang w:val="sk-SK"/>
        </w:rPr>
        <w:t>€</w:t>
      </w:r>
      <w:r w:rsidRPr="0089354C">
        <w:rPr>
          <w:lang w:val="sk-SK"/>
        </w:rPr>
        <w:t xml:space="preserve">. K 31.12.2014 bolo v rámci Prioritnej osi 2 </w:t>
      </w:r>
      <w:proofErr w:type="spellStart"/>
      <w:r w:rsidRPr="0089354C">
        <w:rPr>
          <w:lang w:val="sk-SK"/>
        </w:rPr>
        <w:t>zazmluvnených</w:t>
      </w:r>
      <w:proofErr w:type="spellEnd"/>
      <w:r w:rsidRPr="0089354C">
        <w:rPr>
          <w:lang w:val="sk-SK"/>
        </w:rPr>
        <w:t xml:space="preserve"> 284 projektov</w:t>
      </w:r>
      <w:r w:rsidR="00387C04">
        <w:rPr>
          <w:lang w:val="sk-SK"/>
        </w:rPr>
        <w:t xml:space="preserve"> </w:t>
      </w:r>
      <w:r w:rsidRPr="0089354C">
        <w:rPr>
          <w:lang w:val="sk-SK"/>
        </w:rPr>
        <w:t>v</w:t>
      </w:r>
      <w:r w:rsidR="00A1240E">
        <w:rPr>
          <w:lang w:val="sk-SK"/>
        </w:rPr>
        <w:t> </w:t>
      </w:r>
      <w:r w:rsidRPr="0089354C">
        <w:rPr>
          <w:lang w:val="sk-SK"/>
        </w:rPr>
        <w:t>ce</w:t>
      </w:r>
      <w:r w:rsidR="0089354C">
        <w:rPr>
          <w:lang w:val="sk-SK"/>
        </w:rPr>
        <w:t xml:space="preserve">lkovej výške NFP 37 179 852,88 </w:t>
      </w:r>
      <w:r w:rsidR="00565EDA">
        <w:rPr>
          <w:lang w:val="sk-SK"/>
        </w:rPr>
        <w:t>€</w:t>
      </w:r>
      <w:r w:rsidRPr="0089354C">
        <w:rPr>
          <w:lang w:val="sk-SK"/>
        </w:rPr>
        <w:t xml:space="preserve"> (z toho v rámci opatrenia 2.1 Inovácie a technologické transfery bolo </w:t>
      </w:r>
      <w:proofErr w:type="spellStart"/>
      <w:r w:rsidRPr="0089354C">
        <w:rPr>
          <w:lang w:val="sk-SK"/>
        </w:rPr>
        <w:t>zazmluvnených</w:t>
      </w:r>
      <w:proofErr w:type="spellEnd"/>
      <w:r w:rsidRPr="0089354C">
        <w:rPr>
          <w:lang w:val="sk-SK"/>
        </w:rPr>
        <w:t xml:space="preserve"> 152 projektov v ce</w:t>
      </w:r>
      <w:r w:rsidR="0089354C">
        <w:rPr>
          <w:lang w:val="sk-SK"/>
        </w:rPr>
        <w:t xml:space="preserve">lkovej výške NFP 22 469 706,16 </w:t>
      </w:r>
      <w:r w:rsidR="00565EDA">
        <w:rPr>
          <w:lang w:val="sk-SK"/>
        </w:rPr>
        <w:t>€</w:t>
      </w:r>
      <w:r w:rsidRPr="0089354C">
        <w:rPr>
          <w:lang w:val="sk-SK"/>
        </w:rPr>
        <w:t xml:space="preserve"> a v rámci opatrenia 2.2 Informatizácia spoločnosti bolo </w:t>
      </w:r>
      <w:proofErr w:type="spellStart"/>
      <w:r w:rsidRPr="0089354C">
        <w:rPr>
          <w:lang w:val="sk-SK"/>
        </w:rPr>
        <w:t>zazmluvnených</w:t>
      </w:r>
      <w:proofErr w:type="spellEnd"/>
      <w:r w:rsidRPr="0089354C">
        <w:rPr>
          <w:lang w:val="sk-SK"/>
        </w:rPr>
        <w:t> 132 projektov v celk</w:t>
      </w:r>
      <w:r w:rsidR="0089354C">
        <w:rPr>
          <w:lang w:val="sk-SK"/>
        </w:rPr>
        <w:t xml:space="preserve">ovej výške NFP 14 709 876,72 </w:t>
      </w:r>
      <w:r w:rsidR="00565EDA">
        <w:rPr>
          <w:lang w:val="sk-SK"/>
        </w:rPr>
        <w:t>€</w:t>
      </w:r>
      <w:r w:rsidRPr="0089354C">
        <w:rPr>
          <w:lang w:val="sk-SK"/>
        </w:rPr>
        <w:t>. K 31.12.2014 bolo v rámci Prioritnej osi 2 celkovo 55 projektov v</w:t>
      </w:r>
      <w:r w:rsidR="00A1240E">
        <w:rPr>
          <w:lang w:val="sk-SK"/>
        </w:rPr>
        <w:t> </w:t>
      </w:r>
      <w:r w:rsidRPr="0089354C">
        <w:rPr>
          <w:lang w:val="sk-SK"/>
        </w:rPr>
        <w:t xml:space="preserve">realizácii v celkovej </w:t>
      </w:r>
      <w:proofErr w:type="spellStart"/>
      <w:r w:rsidRPr="0089354C">
        <w:rPr>
          <w:lang w:val="sk-SK"/>
        </w:rPr>
        <w:t>zazmlu</w:t>
      </w:r>
      <w:r w:rsidR="0089354C">
        <w:rPr>
          <w:lang w:val="sk-SK"/>
        </w:rPr>
        <w:t>vnenej</w:t>
      </w:r>
      <w:proofErr w:type="spellEnd"/>
      <w:r w:rsidR="0089354C">
        <w:rPr>
          <w:lang w:val="sk-SK"/>
        </w:rPr>
        <w:t xml:space="preserve"> výške NFP 10 733 544,34 </w:t>
      </w:r>
      <w:r w:rsidR="00565EDA">
        <w:rPr>
          <w:lang w:val="sk-SK"/>
        </w:rPr>
        <w:t>€</w:t>
      </w:r>
      <w:r w:rsidR="0089354C">
        <w:rPr>
          <w:lang w:val="sk-SK"/>
        </w:rPr>
        <w:t xml:space="preserve"> </w:t>
      </w:r>
      <w:r w:rsidRPr="0089354C">
        <w:rPr>
          <w:lang w:val="sk-SK"/>
        </w:rPr>
        <w:t>(z toho v rámci opatrenia 2.1</w:t>
      </w:r>
      <w:r w:rsidR="00A1240E">
        <w:rPr>
          <w:lang w:val="sk-SK"/>
        </w:rPr>
        <w:t> </w:t>
      </w:r>
      <w:r w:rsidRPr="0089354C">
        <w:rPr>
          <w:lang w:val="sk-SK"/>
        </w:rPr>
        <w:t>Inovácie a</w:t>
      </w:r>
      <w:r w:rsidR="00387C04">
        <w:rPr>
          <w:lang w:val="sk-SK"/>
        </w:rPr>
        <w:t> </w:t>
      </w:r>
      <w:r w:rsidRPr="0089354C">
        <w:rPr>
          <w:lang w:val="sk-SK"/>
        </w:rPr>
        <w:t xml:space="preserve">technologické transfery bolo v realizácii 2 projektov v celkovej </w:t>
      </w:r>
      <w:proofErr w:type="spellStart"/>
      <w:r w:rsidRPr="0089354C">
        <w:rPr>
          <w:lang w:val="sk-SK"/>
        </w:rPr>
        <w:t>zaz</w:t>
      </w:r>
      <w:r w:rsidR="0089354C">
        <w:rPr>
          <w:lang w:val="sk-SK"/>
        </w:rPr>
        <w:t>mluvnenej</w:t>
      </w:r>
      <w:proofErr w:type="spellEnd"/>
      <w:r w:rsidR="0089354C">
        <w:rPr>
          <w:lang w:val="sk-SK"/>
        </w:rPr>
        <w:t xml:space="preserve"> výške NFP 682 095,00 </w:t>
      </w:r>
      <w:r w:rsidR="00565EDA">
        <w:rPr>
          <w:lang w:val="sk-SK"/>
        </w:rPr>
        <w:t>€</w:t>
      </w:r>
      <w:r w:rsidRPr="0089354C">
        <w:rPr>
          <w:lang w:val="sk-SK"/>
        </w:rPr>
        <w:t xml:space="preserve"> a v rámci opatrenia 2.2 Informatizácia spoločnosti bolo v realizácii 53 projektov v celkovej </w:t>
      </w:r>
      <w:proofErr w:type="spellStart"/>
      <w:r w:rsidRPr="0089354C">
        <w:rPr>
          <w:lang w:val="sk-SK"/>
        </w:rPr>
        <w:t>zazmluv</w:t>
      </w:r>
      <w:r w:rsidR="0089354C">
        <w:rPr>
          <w:lang w:val="sk-SK"/>
        </w:rPr>
        <w:t>nenej</w:t>
      </w:r>
      <w:proofErr w:type="spellEnd"/>
      <w:r w:rsidR="0089354C">
        <w:rPr>
          <w:lang w:val="sk-SK"/>
        </w:rPr>
        <w:t xml:space="preserve"> výške NFP 10 051 449,34 </w:t>
      </w:r>
      <w:r w:rsidR="00565EDA">
        <w:rPr>
          <w:lang w:val="sk-SK"/>
        </w:rPr>
        <w:t>€</w:t>
      </w:r>
      <w:r w:rsidRPr="0089354C">
        <w:rPr>
          <w:lang w:val="sk-SK"/>
        </w:rPr>
        <w:t xml:space="preserve"> a 9 projektov bolo riadne ukončených v</w:t>
      </w:r>
      <w:r w:rsidR="00387C04">
        <w:rPr>
          <w:lang w:val="sk-SK"/>
        </w:rPr>
        <w:t> </w:t>
      </w:r>
      <w:r w:rsidRPr="0089354C">
        <w:rPr>
          <w:lang w:val="sk-SK"/>
        </w:rPr>
        <w:t xml:space="preserve">celkovej výške čerpaných </w:t>
      </w:r>
      <w:r w:rsidR="0089354C">
        <w:rPr>
          <w:lang w:val="sk-SK"/>
        </w:rPr>
        <w:t xml:space="preserve">prostriedkov NFP 26 318 275,11 </w:t>
      </w:r>
      <w:r w:rsidR="00565EDA">
        <w:rPr>
          <w:lang w:val="sk-SK"/>
        </w:rPr>
        <w:t>€</w:t>
      </w:r>
      <w:r w:rsidRPr="0089354C">
        <w:rPr>
          <w:lang w:val="sk-SK"/>
        </w:rPr>
        <w:t xml:space="preserve"> (z toho v rámci opatrenia 2.1 Inovácie a technologické transfery bolo riadne ukončených 150 projektov v</w:t>
      </w:r>
      <w:r w:rsidR="00A1240E">
        <w:rPr>
          <w:lang w:val="sk-SK"/>
        </w:rPr>
        <w:t> </w:t>
      </w:r>
      <w:r w:rsidRPr="0089354C">
        <w:rPr>
          <w:lang w:val="sk-SK"/>
        </w:rPr>
        <w:t xml:space="preserve">celkovej výške čerpaných </w:t>
      </w:r>
      <w:r w:rsidR="0089354C">
        <w:rPr>
          <w:lang w:val="sk-SK"/>
        </w:rPr>
        <w:t xml:space="preserve">prostriedkov NFP 21 693 319,81 </w:t>
      </w:r>
      <w:r w:rsidR="00565EDA">
        <w:rPr>
          <w:lang w:val="sk-SK"/>
        </w:rPr>
        <w:t>€</w:t>
      </w:r>
      <w:r w:rsidRPr="0089354C">
        <w:rPr>
          <w:lang w:val="sk-SK"/>
        </w:rPr>
        <w:t xml:space="preserve"> a v rámci opatrenia 2.2</w:t>
      </w:r>
      <w:r w:rsidR="00A1240E">
        <w:rPr>
          <w:lang w:val="sk-SK"/>
        </w:rPr>
        <w:t> </w:t>
      </w:r>
      <w:r w:rsidRPr="0089354C">
        <w:rPr>
          <w:lang w:val="sk-SK"/>
        </w:rPr>
        <w:t xml:space="preserve">Informatizácia spoločnosti bolo riadne ukončených 79 projektov v celkovej výške čerpaných </w:t>
      </w:r>
      <w:r w:rsidR="0089354C">
        <w:rPr>
          <w:lang w:val="sk-SK"/>
        </w:rPr>
        <w:t xml:space="preserve">prostriedkov NFP 4 624 955,30 </w:t>
      </w:r>
      <w:r w:rsidR="00565EDA">
        <w:rPr>
          <w:lang w:val="sk-SK"/>
        </w:rPr>
        <w:t>€</w:t>
      </w:r>
      <w:r w:rsidR="00387C04">
        <w:rPr>
          <w:lang w:val="sk-SK"/>
        </w:rPr>
        <w:t>)</w:t>
      </w:r>
      <w:r w:rsidRPr="0089354C">
        <w:rPr>
          <w:lang w:val="sk-SK"/>
        </w:rPr>
        <w:t>.</w:t>
      </w:r>
    </w:p>
    <w:p w:rsidR="00087AE5" w:rsidRPr="0089354C" w:rsidRDefault="00087AE5" w:rsidP="0079491A">
      <w:pPr>
        <w:pStyle w:val="Default"/>
        <w:spacing w:after="120" w:line="320" w:lineRule="atLeast"/>
        <w:ind w:firstLine="708"/>
        <w:jc w:val="both"/>
      </w:pPr>
      <w:r w:rsidRPr="0089354C">
        <w:t xml:space="preserve">V roku 2014 </w:t>
      </w:r>
      <w:r w:rsidRPr="0089354C">
        <w:rPr>
          <w:b/>
        </w:rPr>
        <w:t>Riadiaci orgán pre Operačný program Bratislavský kraj</w:t>
      </w:r>
      <w:r w:rsidRPr="0089354C">
        <w:t xml:space="preserve"> za účelom dočerpania finančných prostriedkov vyhlásil jednu časovo ohraničenú výzvu s dátumom platnosti od 25.06.2014 do 25.09.2014 na zostatkovú alokáciu opatrenia 2.1 Inovácie a technologické transfery a to vo výške nenávratného finančného príspevku 1 7</w:t>
      </w:r>
      <w:r w:rsidR="0089354C">
        <w:t xml:space="preserve">30 386,00 </w:t>
      </w:r>
      <w:r w:rsidR="00565EDA">
        <w:t>€</w:t>
      </w:r>
      <w:r w:rsidR="0089354C">
        <w:t xml:space="preserve">, z toho 1 470 828,10 </w:t>
      </w:r>
      <w:r w:rsidR="00565EDA">
        <w:t>€</w:t>
      </w:r>
      <w:r w:rsidRPr="0089354C">
        <w:t xml:space="preserve"> za zdroj ERDF. Vzhľadom na záväzok Vlády Slovenskej republiky kontrahovať disponibilné voľné finančné prostriedky v rámci operačných programov do</w:t>
      </w:r>
      <w:r w:rsidR="00050623">
        <w:t> </w:t>
      </w:r>
      <w:r w:rsidRPr="0089354C">
        <w:t xml:space="preserve">konca roka 2014, RO </w:t>
      </w:r>
      <w:r w:rsidRPr="00A1240E">
        <w:t xml:space="preserve">OPBK navýšil indikatívnu výšku finančných prostriedkov určených na výzvu </w:t>
      </w:r>
      <w:r w:rsidR="0089354C" w:rsidRPr="00A1240E">
        <w:t xml:space="preserve">o 2 570 761,98 </w:t>
      </w:r>
      <w:r w:rsidR="00565EDA" w:rsidRPr="00A1240E">
        <w:t>€</w:t>
      </w:r>
      <w:r w:rsidRPr="00A1240E">
        <w:t xml:space="preserve"> (zdroj ERDF), t.</w:t>
      </w:r>
      <w:r w:rsidRPr="0089354C">
        <w:t>j. indikatívna výška alokácie nenávratného finančného príspevku na výzvu p</w:t>
      </w:r>
      <w:r w:rsidR="0089354C">
        <w:t xml:space="preserve">o navýšení bola 4 754 811,86 </w:t>
      </w:r>
      <w:r w:rsidR="00565EDA">
        <w:t>€</w:t>
      </w:r>
      <w:r w:rsidR="0089354C">
        <w:t xml:space="preserve">, z toho 4 041 590,08 </w:t>
      </w:r>
      <w:r w:rsidR="00565EDA">
        <w:t>€</w:t>
      </w:r>
      <w:r w:rsidR="0089354C">
        <w:t xml:space="preserve"> zdroj ERDF a 713 221,78 </w:t>
      </w:r>
      <w:r w:rsidR="00565EDA">
        <w:t>€</w:t>
      </w:r>
      <w:r w:rsidRPr="0089354C">
        <w:t xml:space="preserve"> zdroj ŠR. </w:t>
      </w:r>
    </w:p>
    <w:p w:rsidR="00087AE5" w:rsidRPr="0089354C" w:rsidRDefault="00087AE5" w:rsidP="0079491A">
      <w:pPr>
        <w:spacing w:after="120" w:line="320" w:lineRule="atLeast"/>
        <w:ind w:right="0" w:firstLine="708"/>
        <w:rPr>
          <w:lang w:val="sk-SK"/>
        </w:rPr>
      </w:pPr>
      <w:r w:rsidRPr="0089354C">
        <w:rPr>
          <w:lang w:val="sk-SK"/>
        </w:rPr>
        <w:t xml:space="preserve">V rámci procesu konania o žiadosti overovacia komisia aplikácie výberových kritérií odporučila 49 </w:t>
      </w:r>
      <w:proofErr w:type="spellStart"/>
      <w:r w:rsidRPr="0089354C">
        <w:rPr>
          <w:lang w:val="sk-SK"/>
        </w:rPr>
        <w:t>ŽoNFP</w:t>
      </w:r>
      <w:proofErr w:type="spellEnd"/>
      <w:r w:rsidRPr="0089354C">
        <w:rPr>
          <w:lang w:val="sk-SK"/>
        </w:rPr>
        <w:t xml:space="preserve"> schváliť, 23 </w:t>
      </w:r>
      <w:proofErr w:type="spellStart"/>
      <w:r w:rsidRPr="0089354C">
        <w:rPr>
          <w:lang w:val="sk-SK"/>
        </w:rPr>
        <w:t>ŽoNFP</w:t>
      </w:r>
      <w:proofErr w:type="spellEnd"/>
      <w:r w:rsidRPr="0089354C">
        <w:rPr>
          <w:lang w:val="sk-SK"/>
        </w:rPr>
        <w:t xml:space="preserve"> neschváliť, z toho 13 </w:t>
      </w:r>
      <w:proofErr w:type="spellStart"/>
      <w:r w:rsidRPr="0089354C">
        <w:rPr>
          <w:lang w:val="sk-SK"/>
        </w:rPr>
        <w:t>ŽoNFP</w:t>
      </w:r>
      <w:proofErr w:type="spellEnd"/>
      <w:r w:rsidRPr="0089354C">
        <w:rPr>
          <w:lang w:val="sk-SK"/>
        </w:rPr>
        <w:t xml:space="preserve"> bolo odporučených na neschválenie z dôvodu nedostatku finančných prostriedkov. Schválením žiadostí o NFP bola alokácia finančných prostriedkov určených na výzvu vyčerpaná na 99,98 % a alokácia </w:t>
      </w:r>
      <w:r w:rsidRPr="0089354C">
        <w:rPr>
          <w:lang w:val="sk-SK"/>
        </w:rPr>
        <w:lastRenderedPageBreak/>
        <w:t xml:space="preserve">finančných prostriedkov určených na opatrenia 2.1 Inovácie a technologické transfery bola vyčerpaná na 99,98 %. </w:t>
      </w:r>
    </w:p>
    <w:p w:rsidR="00BD5CDA" w:rsidRPr="0089354C" w:rsidRDefault="00BD5CDA" w:rsidP="0079491A">
      <w:pPr>
        <w:spacing w:after="120" w:line="320" w:lineRule="atLeast"/>
        <w:ind w:left="-5" w:right="0" w:hanging="10"/>
        <w:jc w:val="left"/>
        <w:rPr>
          <w:lang w:val="sk-SK"/>
        </w:rPr>
      </w:pPr>
      <w:r w:rsidRPr="0089354C">
        <w:rPr>
          <w:b/>
          <w:lang w:val="sk-SK"/>
        </w:rPr>
        <w:t xml:space="preserve">Programy cezhraničnej spolupráce </w:t>
      </w:r>
    </w:p>
    <w:p w:rsidR="00BD5CDA" w:rsidRPr="0089354C" w:rsidRDefault="00BD5CDA" w:rsidP="00747ED8">
      <w:pPr>
        <w:spacing w:after="120" w:line="320" w:lineRule="atLeast"/>
        <w:ind w:right="0" w:firstLine="708"/>
        <w:rPr>
          <w:lang w:val="sk-SK"/>
        </w:rPr>
      </w:pPr>
      <w:r w:rsidRPr="0089354C">
        <w:rPr>
          <w:b/>
          <w:lang w:val="sk-SK"/>
        </w:rPr>
        <w:t xml:space="preserve"> </w:t>
      </w:r>
      <w:r w:rsidRPr="0089354C">
        <w:rPr>
          <w:lang w:val="sk-SK"/>
        </w:rPr>
        <w:t>Programy cezhraničnej spolupráce spadajú pod Európsku územnú spoluprácu a</w:t>
      </w:r>
      <w:r w:rsidR="00A1240E">
        <w:rPr>
          <w:lang w:val="sk-SK"/>
        </w:rPr>
        <w:t> </w:t>
      </w:r>
      <w:r w:rsidRPr="0089354C">
        <w:rPr>
          <w:lang w:val="sk-SK"/>
        </w:rPr>
        <w:t>sú</w:t>
      </w:r>
      <w:r w:rsidR="00A1240E">
        <w:rPr>
          <w:lang w:val="sk-SK"/>
        </w:rPr>
        <w:t> </w:t>
      </w:r>
      <w:r w:rsidRPr="0089354C">
        <w:rPr>
          <w:lang w:val="sk-SK"/>
        </w:rPr>
        <w:t>realizované s podporou štrukturálnych fondov EÚ, z Európskeho fondu regionálneho rozvoja so súčasnou finančnou účasťou jednotlivých národných rozpočtov. Odbor programov cezhraničnej spolupráce spadajúci pod Sekciu riadenia programov regionálneho rozvoja MPRV SR zodpovedá za realizáciu jednotlivých programov, na ktorých participujú susediace štáty, Česká republika, Maďarsko, Poľsko, Rakúsko a tiež spoločný program ENPI</w:t>
      </w:r>
      <w:r w:rsidR="00A1240E">
        <w:rPr>
          <w:lang w:val="sk-SK"/>
        </w:rPr>
        <w:t>,</w:t>
      </w:r>
      <w:r w:rsidRPr="0089354C">
        <w:rPr>
          <w:lang w:val="sk-SK"/>
        </w:rPr>
        <w:t xml:space="preserve"> kde spolupracujú na programe Maďarsko – Slovensko – Rumunsko a Ukrajina. Jednotlivé programy cezhraničnej spolupráce spoločne pripravujú Operačné programy, ktoré definujú rámec spolupráce, určujú priestor pre aktivity, projektové zámery na danom vymedzenom území. Odbor programov cezhraničnej spolupráce zodpovedá za riadenie Operačného programu cezhraničnej spolupráce Slovenská republika – Česká republika, plní úlohu Riadiaceho orgánu pre obdobie 2007-2013. V ostatných programoch cezhraničnej spolupráce Slovenská republika – Rakúsko, Maďarsko – Slovenská republika, Poľsko – Slovenská republika a</w:t>
      </w:r>
      <w:r w:rsidR="00FD2DC5" w:rsidRPr="0089354C">
        <w:rPr>
          <w:lang w:val="sk-SK"/>
        </w:rPr>
        <w:t> </w:t>
      </w:r>
      <w:r w:rsidRPr="0089354C">
        <w:rPr>
          <w:lang w:val="sk-SK"/>
        </w:rPr>
        <w:t>operačného</w:t>
      </w:r>
      <w:r w:rsidR="00FD2DC5" w:rsidRPr="0089354C">
        <w:rPr>
          <w:lang w:val="sk-SK"/>
        </w:rPr>
        <w:t xml:space="preserve"> </w:t>
      </w:r>
      <w:r w:rsidRPr="0089354C">
        <w:rPr>
          <w:lang w:val="sk-SK"/>
        </w:rPr>
        <w:t xml:space="preserve"> programu ENPI</w:t>
      </w:r>
      <w:r w:rsidR="00FD2DC5" w:rsidRPr="0089354C">
        <w:rPr>
          <w:lang w:val="sk-SK"/>
        </w:rPr>
        <w:t xml:space="preserve"> </w:t>
      </w:r>
      <w:r w:rsidRPr="0089354C">
        <w:rPr>
          <w:lang w:val="sk-SK"/>
        </w:rPr>
        <w:t>Maďarsko</w:t>
      </w:r>
      <w:r w:rsidR="00FD2DC5" w:rsidRPr="0089354C">
        <w:rPr>
          <w:lang w:val="sk-SK"/>
        </w:rPr>
        <w:t xml:space="preserve"> </w:t>
      </w:r>
      <w:r w:rsidRPr="0089354C">
        <w:rPr>
          <w:lang w:val="sk-SK"/>
        </w:rPr>
        <w:t>– Slovensko</w:t>
      </w:r>
      <w:r w:rsidR="00FD2DC5" w:rsidRPr="0089354C">
        <w:rPr>
          <w:lang w:val="sk-SK"/>
        </w:rPr>
        <w:t xml:space="preserve"> </w:t>
      </w:r>
      <w:r w:rsidRPr="0089354C">
        <w:rPr>
          <w:lang w:val="sk-SK"/>
        </w:rPr>
        <w:t>– Rumunsko – Ukrajina 2007 -2013 zastáva Slovenská republika pozíciu Národného orgánu, čo znamená, že</w:t>
      </w:r>
      <w:r w:rsidR="00A1240E">
        <w:rPr>
          <w:lang w:val="sk-SK"/>
        </w:rPr>
        <w:t> </w:t>
      </w:r>
      <w:r w:rsidRPr="0089354C">
        <w:rPr>
          <w:lang w:val="sk-SK"/>
        </w:rPr>
        <w:t xml:space="preserve">koordinuje Program na Slovensku a tiež spolupracuje s jednotlivými Riadiacimi orgánmi. </w:t>
      </w:r>
    </w:p>
    <w:p w:rsidR="00BD5CDA" w:rsidRPr="0089354C" w:rsidRDefault="00BD5CDA" w:rsidP="0079491A">
      <w:pPr>
        <w:spacing w:after="120" w:line="320" w:lineRule="atLeast"/>
        <w:ind w:left="-15" w:right="0"/>
        <w:rPr>
          <w:lang w:val="sk-SK"/>
        </w:rPr>
      </w:pPr>
      <w:r w:rsidRPr="0089354C">
        <w:rPr>
          <w:lang w:val="sk-SK"/>
        </w:rPr>
        <w:t>Programy cezhraničnej spolupráce sú zamerané na hospodársku spoluprácu rôznych partnerov, zvýšenie sociálnej a kultúrnej súdržnosti, zlepšenie dostupnosti a komunikácie a</w:t>
      </w:r>
      <w:r w:rsidR="0079491A">
        <w:rPr>
          <w:lang w:val="sk-SK"/>
        </w:rPr>
        <w:t> </w:t>
      </w:r>
      <w:r w:rsidRPr="0089354C">
        <w:rPr>
          <w:lang w:val="sk-SK"/>
        </w:rPr>
        <w:t xml:space="preserve">ochranu prírodných hodnôt v prihraničných regiónoch. Programy podporujú zvyšovanie hospodárskej a sociálnej integrácie prihraničných regiónov. </w:t>
      </w:r>
    </w:p>
    <w:p w:rsidR="00BD5CDA" w:rsidRPr="0089354C" w:rsidRDefault="00BD5CDA" w:rsidP="0079491A">
      <w:pPr>
        <w:spacing w:after="120" w:line="320" w:lineRule="atLeast"/>
        <w:ind w:left="-15" w:right="0"/>
        <w:rPr>
          <w:lang w:val="sk-SK"/>
        </w:rPr>
      </w:pPr>
      <w:r w:rsidRPr="0089354C">
        <w:rPr>
          <w:lang w:val="sk-SK"/>
        </w:rPr>
        <w:t xml:space="preserve">Projektové zámery realizujú v oprávnených územiach jednotlivých programov rôzne subjekty, samosprávne kraje, obce, mestá, združenia obcí, príspevkové a rozpočtové organizácie ako aj školy, neziskové organizácie, záujmové združenia právnických osôb, občianske združenia a ďalšie subjekty. Špecifikom cezhraničných programov je podmienka spoločnej realizácie projektového zámeru minimálne dvoma projektovými partnermi, z každej strany hranice jedným a podmienka preukázateľného cezhraničného dopadu. </w:t>
      </w:r>
    </w:p>
    <w:p w:rsidR="00BD5CDA" w:rsidRPr="0089354C" w:rsidRDefault="00BD5CDA" w:rsidP="0079491A">
      <w:pPr>
        <w:spacing w:after="120" w:line="320" w:lineRule="atLeast"/>
        <w:ind w:left="-15" w:right="0"/>
        <w:rPr>
          <w:lang w:val="sk-SK"/>
        </w:rPr>
      </w:pPr>
      <w:r w:rsidRPr="0089354C">
        <w:rPr>
          <w:lang w:val="sk-SK"/>
        </w:rPr>
        <w:t>Oprávnené územia, v rámci ktorých je možné realizovať projekty s finančnou podporou niektorého z programov sú určené podľa geografickej orientácie programu na</w:t>
      </w:r>
      <w:r w:rsidR="00A1240E">
        <w:rPr>
          <w:lang w:val="sk-SK"/>
        </w:rPr>
        <w:t> </w:t>
      </w:r>
      <w:r w:rsidRPr="0089354C">
        <w:rPr>
          <w:lang w:val="sk-SK"/>
        </w:rPr>
        <w:t xml:space="preserve">úrovni NUTS III v rámci susediacich regiónov zúčastnených štátov. </w:t>
      </w:r>
    </w:p>
    <w:p w:rsidR="00BD5CDA" w:rsidRPr="0089354C" w:rsidRDefault="00BD5CDA" w:rsidP="0079491A">
      <w:pPr>
        <w:spacing w:after="120" w:line="320" w:lineRule="atLeast"/>
        <w:ind w:left="-15" w:right="0"/>
        <w:rPr>
          <w:lang w:val="sk-SK"/>
        </w:rPr>
      </w:pPr>
      <w:r w:rsidRPr="0089354C">
        <w:rPr>
          <w:lang w:val="sk-SK"/>
        </w:rPr>
        <w:t>Výzvy na predkladanie žiadostí o poskytnutie finančného príspevku z ERDF za jednotlivé programy boli vyhlasované priebežne. V rámci programu cezhraničnej spolupráce SR-ČR 2007</w:t>
      </w:r>
      <w:r w:rsidR="0089354C">
        <w:rPr>
          <w:lang w:val="sk-SK"/>
        </w:rPr>
        <w:t xml:space="preserve">-2013 s alokáciou 92 740 141,- </w:t>
      </w:r>
      <w:r w:rsidR="00565EDA">
        <w:rPr>
          <w:lang w:val="sk-SK"/>
        </w:rPr>
        <w:t>€</w:t>
      </w:r>
      <w:r w:rsidRPr="0089354C">
        <w:rPr>
          <w:lang w:val="sk-SK"/>
        </w:rPr>
        <w:t xml:space="preserve"> z prostriedkov E</w:t>
      </w:r>
      <w:r w:rsidR="005B15EE" w:rsidRPr="0089354C">
        <w:rPr>
          <w:lang w:val="sk-SK"/>
        </w:rPr>
        <w:t xml:space="preserve">RDF bolo doteraz vyhlásených šesť </w:t>
      </w:r>
      <w:r w:rsidRPr="0089354C">
        <w:rPr>
          <w:lang w:val="sk-SK"/>
        </w:rPr>
        <w:t>výziev na predkladanie žiadostí o poskytnutie fi</w:t>
      </w:r>
      <w:r w:rsidR="005B15EE" w:rsidRPr="0089354C">
        <w:rPr>
          <w:lang w:val="sk-SK"/>
        </w:rPr>
        <w:t>nančného príspevku.</w:t>
      </w:r>
      <w:r w:rsidR="0079491A">
        <w:rPr>
          <w:lang w:val="sk-SK"/>
        </w:rPr>
        <w:t xml:space="preserve"> </w:t>
      </w:r>
      <w:r w:rsidR="005B15EE" w:rsidRPr="0089354C">
        <w:rPr>
          <w:lang w:val="sk-SK"/>
        </w:rPr>
        <w:t>K</w:t>
      </w:r>
      <w:r w:rsidR="0079491A">
        <w:rPr>
          <w:lang w:val="sk-SK"/>
        </w:rPr>
        <w:t> </w:t>
      </w:r>
      <w:r w:rsidR="005B15EE" w:rsidRPr="0089354C">
        <w:rPr>
          <w:lang w:val="sk-SK"/>
        </w:rPr>
        <w:t>31.12.2014 program eviduje 311</w:t>
      </w:r>
      <w:r w:rsidRPr="0089354C">
        <w:rPr>
          <w:lang w:val="sk-SK"/>
        </w:rPr>
        <w:t xml:space="preserve"> schválených projektov</w:t>
      </w:r>
      <w:r w:rsidR="006739B6" w:rsidRPr="0089354C">
        <w:rPr>
          <w:lang w:val="sk-SK"/>
        </w:rPr>
        <w:t xml:space="preserve"> vo výške 96,5</w:t>
      </w:r>
      <w:r w:rsidR="0089354C">
        <w:rPr>
          <w:lang w:val="sk-SK"/>
        </w:rPr>
        <w:t xml:space="preserve"> mil. </w:t>
      </w:r>
      <w:r w:rsidR="00565EDA">
        <w:rPr>
          <w:lang w:val="sk-SK"/>
        </w:rPr>
        <w:t>€</w:t>
      </w:r>
      <w:r w:rsidR="006739B6" w:rsidRPr="0089354C">
        <w:rPr>
          <w:lang w:val="sk-SK"/>
        </w:rPr>
        <w:t xml:space="preserve"> (za zdroj ERDF) a 311</w:t>
      </w:r>
      <w:r w:rsidRPr="0089354C">
        <w:rPr>
          <w:lang w:val="sk-SK"/>
        </w:rPr>
        <w:t xml:space="preserve"> zmlúv o poskytnutí finančného príspevku z</w:t>
      </w:r>
      <w:r w:rsidR="006739B6" w:rsidRPr="0089354C">
        <w:rPr>
          <w:lang w:val="sk-SK"/>
        </w:rPr>
        <w:t xml:space="preserve"> ERDF v celkovej výške takmer 96</w:t>
      </w:r>
      <w:r w:rsidR="0089354C">
        <w:rPr>
          <w:lang w:val="sk-SK"/>
        </w:rPr>
        <w:t>,5</w:t>
      </w:r>
      <w:r w:rsidR="0079491A">
        <w:rPr>
          <w:lang w:val="sk-SK"/>
        </w:rPr>
        <w:t> </w:t>
      </w:r>
      <w:r w:rsidR="0089354C">
        <w:rPr>
          <w:lang w:val="sk-SK"/>
        </w:rPr>
        <w:t xml:space="preserve">mil. </w:t>
      </w:r>
      <w:r w:rsidR="00565EDA">
        <w:rPr>
          <w:lang w:val="sk-SK"/>
        </w:rPr>
        <w:t>€</w:t>
      </w:r>
      <w:r w:rsidRPr="0089354C">
        <w:rPr>
          <w:lang w:val="sk-SK"/>
        </w:rPr>
        <w:t>. K uvedenému obdobiu b</w:t>
      </w:r>
      <w:r w:rsidR="006739B6" w:rsidRPr="0089354C">
        <w:rPr>
          <w:lang w:val="sk-SK"/>
        </w:rPr>
        <w:t>olo prijímateľom vyplatených 69,7</w:t>
      </w:r>
      <w:r w:rsidR="0089354C">
        <w:rPr>
          <w:lang w:val="sk-SK"/>
        </w:rPr>
        <w:t xml:space="preserve"> mil. </w:t>
      </w:r>
      <w:r w:rsidR="00565EDA">
        <w:rPr>
          <w:lang w:val="sk-SK"/>
        </w:rPr>
        <w:t>€</w:t>
      </w:r>
      <w:r w:rsidR="006739B6" w:rsidRPr="0089354C">
        <w:rPr>
          <w:lang w:val="sk-SK"/>
        </w:rPr>
        <w:t xml:space="preserve"> (za zdroj ERDF), čo tvorí 72</w:t>
      </w:r>
      <w:r w:rsidRPr="0089354C">
        <w:rPr>
          <w:lang w:val="sk-SK"/>
        </w:rPr>
        <w:t xml:space="preserve">,2 % zo záväzku pre program.  </w:t>
      </w:r>
    </w:p>
    <w:p w:rsidR="00BD5CDA" w:rsidRPr="0089354C" w:rsidRDefault="00BD5CDA" w:rsidP="0079491A">
      <w:pPr>
        <w:spacing w:after="120" w:line="320" w:lineRule="atLeast"/>
        <w:ind w:left="-15" w:right="0"/>
        <w:rPr>
          <w:lang w:val="sk-SK"/>
        </w:rPr>
      </w:pPr>
      <w:r w:rsidRPr="0089354C">
        <w:rPr>
          <w:lang w:val="sk-SK"/>
        </w:rPr>
        <w:lastRenderedPageBreak/>
        <w:t xml:space="preserve">Na program cezhraničnej spolupráce  </w:t>
      </w:r>
      <w:r w:rsidRPr="0089354C">
        <w:rPr>
          <w:b/>
          <w:lang w:val="sk-SK"/>
        </w:rPr>
        <w:t>Maďarsko - Slovensko</w:t>
      </w:r>
      <w:r w:rsidRPr="0089354C">
        <w:rPr>
          <w:lang w:val="sk-SK"/>
        </w:rPr>
        <w:t xml:space="preserve"> </w:t>
      </w:r>
      <w:r w:rsidR="000C7CE5">
        <w:rPr>
          <w:lang w:val="sk-SK"/>
        </w:rPr>
        <w:t>bolo alokovaných 176</w:t>
      </w:r>
      <w:r w:rsidR="0079491A">
        <w:rPr>
          <w:lang w:val="sk-SK"/>
        </w:rPr>
        <w:t> </w:t>
      </w:r>
      <w:r w:rsidR="000C7CE5">
        <w:rPr>
          <w:lang w:val="sk-SK"/>
        </w:rPr>
        <w:t xml:space="preserve">496 479,- </w:t>
      </w:r>
      <w:r w:rsidR="00565EDA">
        <w:rPr>
          <w:lang w:val="sk-SK"/>
        </w:rPr>
        <w:t>€</w:t>
      </w:r>
      <w:r w:rsidRPr="0089354C">
        <w:rPr>
          <w:lang w:val="sk-SK"/>
        </w:rPr>
        <w:t xml:space="preserve"> z prost</w:t>
      </w:r>
      <w:r w:rsidR="006739B6" w:rsidRPr="0089354C">
        <w:rPr>
          <w:lang w:val="sk-SK"/>
        </w:rPr>
        <w:t>riedkov ERDF. Do konca roka 2014 bolo vyčerpaných takmer 147,14</w:t>
      </w:r>
      <w:r w:rsidR="0079491A">
        <w:rPr>
          <w:lang w:val="sk-SK"/>
        </w:rPr>
        <w:t> </w:t>
      </w:r>
      <w:r w:rsidRPr="0089354C">
        <w:rPr>
          <w:lang w:val="sk-SK"/>
        </w:rPr>
        <w:t>mil.</w:t>
      </w:r>
      <w:r w:rsidR="000C7CE5">
        <w:rPr>
          <w:lang w:val="sk-SK"/>
        </w:rPr>
        <w:t xml:space="preserve"> </w:t>
      </w:r>
      <w:r w:rsidR="00565EDA">
        <w:rPr>
          <w:lang w:val="sk-SK"/>
        </w:rPr>
        <w:t>€</w:t>
      </w:r>
      <w:r w:rsidR="006739B6" w:rsidRPr="0089354C">
        <w:rPr>
          <w:lang w:val="sk-SK"/>
        </w:rPr>
        <w:t>, čo predstavuje 83,3</w:t>
      </w:r>
      <w:r w:rsidRPr="0089354C">
        <w:rPr>
          <w:lang w:val="sk-SK"/>
        </w:rPr>
        <w:t>7 % z celkovej alokácie programu. V rám</w:t>
      </w:r>
      <w:r w:rsidR="006739B6" w:rsidRPr="0089354C">
        <w:rPr>
          <w:lang w:val="sk-SK"/>
        </w:rPr>
        <w:t>ci programu bolo schválených 358</w:t>
      </w:r>
      <w:r w:rsidRPr="0089354C">
        <w:rPr>
          <w:lang w:val="sk-SK"/>
        </w:rPr>
        <w:t xml:space="preserve"> žiadostí o poskytnutie finančného príspevku. </w:t>
      </w:r>
    </w:p>
    <w:p w:rsidR="00BD5CDA" w:rsidRPr="0089354C" w:rsidRDefault="00BD5CDA" w:rsidP="0079491A">
      <w:pPr>
        <w:spacing w:after="120" w:line="320" w:lineRule="atLeast"/>
        <w:ind w:left="-15" w:right="0"/>
        <w:rPr>
          <w:lang w:val="sk-SK"/>
        </w:rPr>
      </w:pPr>
      <w:r w:rsidRPr="0089354C">
        <w:rPr>
          <w:lang w:val="sk-SK"/>
        </w:rPr>
        <w:t xml:space="preserve">Schválená alokácia ERDF pre Program cezhraničnej spolupráce </w:t>
      </w:r>
      <w:r w:rsidRPr="0089354C">
        <w:rPr>
          <w:b/>
          <w:lang w:val="sk-SK"/>
        </w:rPr>
        <w:t>Poľsko – Slovenská republika 2007-2013</w:t>
      </w:r>
      <w:r w:rsidR="006739B6" w:rsidRPr="0089354C">
        <w:rPr>
          <w:lang w:val="sk-SK"/>
        </w:rPr>
        <w:t xml:space="preserve"> predstavuje</w:t>
      </w:r>
      <w:r w:rsidR="000C7CE5">
        <w:rPr>
          <w:lang w:val="sk-SK"/>
        </w:rPr>
        <w:t xml:space="preserve"> 159 535 701,- </w:t>
      </w:r>
      <w:r w:rsidR="00565EDA">
        <w:rPr>
          <w:lang w:val="sk-SK"/>
        </w:rPr>
        <w:t>€</w:t>
      </w:r>
      <w:r w:rsidRPr="0089354C">
        <w:rPr>
          <w:lang w:val="sk-SK"/>
        </w:rPr>
        <w:t>. V rámci programu boli vyhlásené 2 výzvy na predkladanie žiadostí o pos</w:t>
      </w:r>
      <w:r w:rsidR="002008B8" w:rsidRPr="0089354C">
        <w:rPr>
          <w:lang w:val="sk-SK"/>
        </w:rPr>
        <w:t>kytnutie FP. K 31. decembru 2014 bolo schválených 131</w:t>
      </w:r>
      <w:r w:rsidR="0079491A">
        <w:rPr>
          <w:lang w:val="sk-SK"/>
        </w:rPr>
        <w:t> </w:t>
      </w:r>
      <w:r w:rsidRPr="0089354C">
        <w:rPr>
          <w:lang w:val="sk-SK"/>
        </w:rPr>
        <w:t>projektov v hodnote viac</w:t>
      </w:r>
      <w:r w:rsidR="002008B8" w:rsidRPr="0089354C">
        <w:rPr>
          <w:lang w:val="sk-SK"/>
        </w:rPr>
        <w:t xml:space="preserve"> ako 191</w:t>
      </w:r>
      <w:r w:rsidR="000C7CE5">
        <w:rPr>
          <w:lang w:val="sk-SK"/>
        </w:rPr>
        <w:t xml:space="preserve"> mil. </w:t>
      </w:r>
      <w:r w:rsidR="00565EDA">
        <w:rPr>
          <w:lang w:val="sk-SK"/>
        </w:rPr>
        <w:t>€</w:t>
      </w:r>
      <w:r w:rsidRPr="0089354C">
        <w:rPr>
          <w:lang w:val="sk-SK"/>
        </w:rPr>
        <w:t xml:space="preserve"> z ERDF. K uvedenému dátumu dosiahlo čerpanie pros</w:t>
      </w:r>
      <w:r w:rsidR="002008B8" w:rsidRPr="0089354C">
        <w:rPr>
          <w:lang w:val="sk-SK"/>
        </w:rPr>
        <w:t>triedkov ERDF za program sumu 114,98</w:t>
      </w:r>
      <w:r w:rsidR="000C7CE5">
        <w:rPr>
          <w:lang w:val="sk-SK"/>
        </w:rPr>
        <w:t xml:space="preserve"> mil. </w:t>
      </w:r>
      <w:r w:rsidR="00565EDA">
        <w:rPr>
          <w:lang w:val="sk-SK"/>
        </w:rPr>
        <w:t>€</w:t>
      </w:r>
      <w:r w:rsidRPr="0089354C">
        <w:rPr>
          <w:lang w:val="sk-SK"/>
        </w:rPr>
        <w:t>,</w:t>
      </w:r>
      <w:r w:rsidR="002008B8" w:rsidRPr="0089354C">
        <w:rPr>
          <w:lang w:val="sk-SK"/>
        </w:rPr>
        <w:t xml:space="preserve"> čo predstavuje 72,08</w:t>
      </w:r>
      <w:r w:rsidRPr="0089354C">
        <w:rPr>
          <w:lang w:val="sk-SK"/>
        </w:rPr>
        <w:t xml:space="preserve"> % alokácie na</w:t>
      </w:r>
      <w:r w:rsidR="0079491A">
        <w:rPr>
          <w:lang w:val="sk-SK"/>
        </w:rPr>
        <w:t> </w:t>
      </w:r>
      <w:r w:rsidRPr="0089354C">
        <w:rPr>
          <w:lang w:val="sk-SK"/>
        </w:rPr>
        <w:t xml:space="preserve">program.  </w:t>
      </w:r>
    </w:p>
    <w:p w:rsidR="00BD5CDA" w:rsidRPr="0089354C" w:rsidRDefault="00BD5CDA" w:rsidP="0079491A">
      <w:pPr>
        <w:spacing w:after="120" w:line="320" w:lineRule="atLeast"/>
        <w:ind w:left="-15" w:right="0"/>
        <w:rPr>
          <w:lang w:val="sk-SK"/>
        </w:rPr>
      </w:pPr>
      <w:r w:rsidRPr="0089354C">
        <w:rPr>
          <w:lang w:val="sk-SK"/>
        </w:rPr>
        <w:t xml:space="preserve">V rámci programu cezhraničnej spolupráce </w:t>
      </w:r>
      <w:r w:rsidRPr="0089354C">
        <w:rPr>
          <w:b/>
          <w:lang w:val="sk-SK"/>
        </w:rPr>
        <w:t>SK-AT 2007-2013</w:t>
      </w:r>
      <w:r w:rsidR="000C7CE5">
        <w:rPr>
          <w:lang w:val="sk-SK"/>
        </w:rPr>
        <w:t xml:space="preserve"> s alokáciou 59</w:t>
      </w:r>
      <w:r w:rsidR="0079491A">
        <w:rPr>
          <w:lang w:val="sk-SK"/>
        </w:rPr>
        <w:t> </w:t>
      </w:r>
      <w:r w:rsidR="000C7CE5">
        <w:rPr>
          <w:lang w:val="sk-SK"/>
        </w:rPr>
        <w:t>906</w:t>
      </w:r>
      <w:r w:rsidR="0079491A">
        <w:rPr>
          <w:lang w:val="sk-SK"/>
        </w:rPr>
        <w:t> </w:t>
      </w:r>
      <w:r w:rsidR="000C7CE5">
        <w:rPr>
          <w:lang w:val="sk-SK"/>
        </w:rPr>
        <w:t xml:space="preserve">355,13 </w:t>
      </w:r>
      <w:r w:rsidR="00565EDA">
        <w:rPr>
          <w:lang w:val="sk-SK"/>
        </w:rPr>
        <w:t>€</w:t>
      </w:r>
      <w:r w:rsidRPr="0089354C">
        <w:rPr>
          <w:lang w:val="sk-SK"/>
        </w:rPr>
        <w:t xml:space="preserve"> z prostriedkov ER</w:t>
      </w:r>
      <w:r w:rsidR="002008B8" w:rsidRPr="0089354C">
        <w:rPr>
          <w:lang w:val="sk-SK"/>
        </w:rPr>
        <w:t>DF bolo vyhlásených 12</w:t>
      </w:r>
      <w:r w:rsidRPr="0089354C">
        <w:rPr>
          <w:lang w:val="sk-SK"/>
        </w:rPr>
        <w:t xml:space="preserve"> kôl priebežnej výzvy na</w:t>
      </w:r>
      <w:r w:rsidR="00A1240E">
        <w:rPr>
          <w:lang w:val="sk-SK"/>
        </w:rPr>
        <w:t> </w:t>
      </w:r>
      <w:r w:rsidRPr="0089354C">
        <w:rPr>
          <w:lang w:val="sk-SK"/>
        </w:rPr>
        <w:t>predkladanie žiadostí o poskytnutie fi</w:t>
      </w:r>
      <w:r w:rsidR="002008B8" w:rsidRPr="0089354C">
        <w:rPr>
          <w:lang w:val="sk-SK"/>
        </w:rPr>
        <w:t>nančného príspevku. K 31.12.2014 program eviduje 97</w:t>
      </w:r>
      <w:r w:rsidRPr="0089354C">
        <w:rPr>
          <w:lang w:val="sk-SK"/>
        </w:rPr>
        <w:t xml:space="preserve"> schválených projektov vo výške </w:t>
      </w:r>
      <w:r w:rsidR="00C55566" w:rsidRPr="0089354C">
        <w:rPr>
          <w:lang w:val="sk-SK"/>
        </w:rPr>
        <w:t>57,67</w:t>
      </w:r>
      <w:r w:rsidR="000C7CE5">
        <w:rPr>
          <w:lang w:val="sk-SK"/>
        </w:rPr>
        <w:t xml:space="preserve"> mil. </w:t>
      </w:r>
      <w:r w:rsidR="00565EDA">
        <w:rPr>
          <w:lang w:val="sk-SK"/>
        </w:rPr>
        <w:t>€</w:t>
      </w:r>
      <w:r w:rsidR="00C55566" w:rsidRPr="0089354C">
        <w:rPr>
          <w:lang w:val="sk-SK"/>
        </w:rPr>
        <w:t xml:space="preserve"> </w:t>
      </w:r>
      <w:r w:rsidR="002008B8" w:rsidRPr="0089354C">
        <w:rPr>
          <w:lang w:val="sk-SK"/>
        </w:rPr>
        <w:t>(za zdroj ERDF) a 97</w:t>
      </w:r>
      <w:r w:rsidRPr="0089354C">
        <w:rPr>
          <w:lang w:val="sk-SK"/>
        </w:rPr>
        <w:t xml:space="preserve"> zmlúv o poskytnutí finančného príspevku z ERDF v celko</w:t>
      </w:r>
      <w:r w:rsidR="002008B8" w:rsidRPr="0089354C">
        <w:rPr>
          <w:lang w:val="sk-SK"/>
        </w:rPr>
        <w:t xml:space="preserve">vej výške takmer </w:t>
      </w:r>
      <w:r w:rsidR="00C55566" w:rsidRPr="0089354C">
        <w:rPr>
          <w:lang w:val="sk-SK"/>
        </w:rPr>
        <w:t>57,67</w:t>
      </w:r>
      <w:r w:rsidR="000C7CE5">
        <w:rPr>
          <w:lang w:val="sk-SK"/>
        </w:rPr>
        <w:t xml:space="preserve"> mil. </w:t>
      </w:r>
      <w:r w:rsidR="00565EDA">
        <w:rPr>
          <w:lang w:val="sk-SK"/>
        </w:rPr>
        <w:t>€</w:t>
      </w:r>
      <w:r w:rsidRPr="0089354C">
        <w:rPr>
          <w:lang w:val="sk-SK"/>
        </w:rPr>
        <w:t xml:space="preserve">. K uvedenému obdobiu </w:t>
      </w:r>
      <w:r w:rsidR="008353F0" w:rsidRPr="0089354C">
        <w:rPr>
          <w:lang w:val="sk-SK"/>
        </w:rPr>
        <w:t>bolo prijímateľom vyplatených 35,39</w:t>
      </w:r>
      <w:r w:rsidR="000C7CE5">
        <w:rPr>
          <w:lang w:val="sk-SK"/>
        </w:rPr>
        <w:t xml:space="preserve"> mil. </w:t>
      </w:r>
      <w:r w:rsidR="00565EDA">
        <w:rPr>
          <w:lang w:val="sk-SK"/>
        </w:rPr>
        <w:t>€</w:t>
      </w:r>
      <w:r w:rsidR="008353F0" w:rsidRPr="0089354C">
        <w:rPr>
          <w:lang w:val="sk-SK"/>
        </w:rPr>
        <w:t xml:space="preserve"> (za zdroj ERDF), čo tvorí 59,08</w:t>
      </w:r>
      <w:r w:rsidRPr="0089354C">
        <w:rPr>
          <w:lang w:val="sk-SK"/>
        </w:rPr>
        <w:t xml:space="preserve"> % zo záväzku pre program.  </w:t>
      </w:r>
    </w:p>
    <w:p w:rsidR="00BD5CDA" w:rsidRPr="0089354C" w:rsidRDefault="00BD5CDA" w:rsidP="0079491A">
      <w:pPr>
        <w:spacing w:after="120" w:line="320" w:lineRule="atLeast"/>
        <w:ind w:left="-15" w:right="0"/>
        <w:rPr>
          <w:lang w:val="sk-SK"/>
        </w:rPr>
      </w:pPr>
      <w:r w:rsidRPr="0089354C">
        <w:rPr>
          <w:lang w:val="sk-SK"/>
        </w:rPr>
        <w:t xml:space="preserve">Čerpanie programu cezhraničnej spolupráce </w:t>
      </w:r>
      <w:r w:rsidRPr="0089354C">
        <w:rPr>
          <w:b/>
          <w:lang w:val="sk-SK"/>
        </w:rPr>
        <w:t>ENPI HU-SK-RO-UA 2007-2013</w:t>
      </w:r>
      <w:r w:rsidR="008353F0" w:rsidRPr="0089354C">
        <w:rPr>
          <w:lang w:val="sk-SK"/>
        </w:rPr>
        <w:t xml:space="preserve"> je</w:t>
      </w:r>
      <w:r w:rsidR="00A1240E">
        <w:rPr>
          <w:lang w:val="sk-SK"/>
        </w:rPr>
        <w:t> </w:t>
      </w:r>
      <w:r w:rsidR="008353F0" w:rsidRPr="0089354C">
        <w:rPr>
          <w:lang w:val="sk-SK"/>
        </w:rPr>
        <w:t>v</w:t>
      </w:r>
      <w:r w:rsidR="00A1240E">
        <w:rPr>
          <w:lang w:val="sk-SK"/>
        </w:rPr>
        <w:t> </w:t>
      </w:r>
      <w:r w:rsidR="008353F0" w:rsidRPr="0089354C">
        <w:rPr>
          <w:lang w:val="sk-SK"/>
        </w:rPr>
        <w:t>súčasnosti  68,63</w:t>
      </w:r>
      <w:r w:rsidR="000C7CE5">
        <w:rPr>
          <w:lang w:val="sk-SK"/>
        </w:rPr>
        <w:t xml:space="preserve"> mil. </w:t>
      </w:r>
      <w:r w:rsidR="00565EDA">
        <w:rPr>
          <w:lang w:val="sk-SK"/>
        </w:rPr>
        <w:t>€</w:t>
      </w:r>
      <w:r w:rsidRPr="0089354C">
        <w:rPr>
          <w:lang w:val="sk-SK"/>
        </w:rPr>
        <w:t xml:space="preserve"> z prostriedkov E</w:t>
      </w:r>
      <w:r w:rsidR="008353F0" w:rsidRPr="0089354C">
        <w:rPr>
          <w:lang w:val="sk-SK"/>
        </w:rPr>
        <w:t>NPI, čo predstavuje približne 75,51</w:t>
      </w:r>
      <w:r w:rsidRPr="0089354C">
        <w:rPr>
          <w:lang w:val="sk-SK"/>
        </w:rPr>
        <w:t xml:space="preserve"> % al</w:t>
      </w:r>
      <w:r w:rsidR="008353F0" w:rsidRPr="0089354C">
        <w:rPr>
          <w:lang w:val="sk-SK"/>
        </w:rPr>
        <w:t>okácie pre</w:t>
      </w:r>
      <w:r w:rsidR="0079491A">
        <w:rPr>
          <w:lang w:val="sk-SK"/>
        </w:rPr>
        <w:t> </w:t>
      </w:r>
      <w:r w:rsidR="008353F0" w:rsidRPr="0089354C">
        <w:rPr>
          <w:lang w:val="sk-SK"/>
        </w:rPr>
        <w:t>program. K 31.12.2014</w:t>
      </w:r>
      <w:r w:rsidRPr="0089354C">
        <w:rPr>
          <w:lang w:val="sk-SK"/>
        </w:rPr>
        <w:t xml:space="preserve"> bolo uzatvorených 129 zmlúv.  </w:t>
      </w:r>
    </w:p>
    <w:p w:rsidR="00BD5CDA" w:rsidRPr="00747ED8" w:rsidRDefault="00BD5CDA" w:rsidP="0079491A">
      <w:pPr>
        <w:spacing w:after="120" w:line="320" w:lineRule="atLeast"/>
        <w:ind w:right="0" w:firstLine="0"/>
        <w:jc w:val="left"/>
        <w:rPr>
          <w:b/>
          <w:lang w:val="sk-SK"/>
        </w:rPr>
      </w:pPr>
      <w:r w:rsidRPr="00747ED8">
        <w:rPr>
          <w:b/>
          <w:lang w:val="sk-SK"/>
        </w:rPr>
        <w:t xml:space="preserve">Regionálny operačný program </w:t>
      </w:r>
    </w:p>
    <w:p w:rsidR="00BD5CDA" w:rsidRPr="0089354C" w:rsidRDefault="00BD5CDA" w:rsidP="00A1240E">
      <w:pPr>
        <w:spacing w:after="120" w:line="320" w:lineRule="atLeast"/>
        <w:ind w:right="0" w:firstLine="0"/>
        <w:rPr>
          <w:lang w:val="sk-SK"/>
        </w:rPr>
      </w:pPr>
      <w:r w:rsidRPr="0089354C">
        <w:t xml:space="preserve"> </w:t>
      </w:r>
      <w:r w:rsidR="0079491A">
        <w:tab/>
      </w:r>
      <w:r w:rsidRPr="0089354C">
        <w:rPr>
          <w:lang w:val="sk-SK"/>
        </w:rPr>
        <w:t xml:space="preserve">Odbor riadenia Regionálneho operačného programu a Odbor realizácie Regionálneho operačného programu zabezpečujú výkon úloh Riadiaceho orgánu pre </w:t>
      </w:r>
      <w:r w:rsidRPr="0089354C">
        <w:rPr>
          <w:b/>
          <w:lang w:val="sk-SK"/>
        </w:rPr>
        <w:t xml:space="preserve">Regionálny operačný program </w:t>
      </w:r>
      <w:r w:rsidRPr="0089354C">
        <w:rPr>
          <w:lang w:val="sk-SK"/>
        </w:rPr>
        <w:t xml:space="preserve">(ďalej len „ROP“). </w:t>
      </w:r>
    </w:p>
    <w:p w:rsidR="00BD5CDA" w:rsidRPr="0089354C" w:rsidRDefault="00BD5CDA" w:rsidP="0079491A">
      <w:pPr>
        <w:spacing w:after="120" w:line="320" w:lineRule="atLeast"/>
        <w:rPr>
          <w:lang w:val="sk-SK"/>
        </w:rPr>
      </w:pPr>
      <w:r w:rsidRPr="0089354C">
        <w:rPr>
          <w:lang w:val="sk-SK"/>
        </w:rPr>
        <w:t>Globálny cieľ ROP je definovaný ako „Zvýšenie dostupnosti a kvality občianskej infraštruktúry a vybavenosti územia v regiónoch“. Globálny cieľ ROP je napĺňaný prostredníctvom dosahovania špecifických cieľov ROP, ktorých napĺňanie je merateľné na</w:t>
      </w:r>
      <w:r w:rsidR="0079491A">
        <w:rPr>
          <w:lang w:val="sk-SK"/>
        </w:rPr>
        <w:t> </w:t>
      </w:r>
      <w:r w:rsidRPr="0089354C">
        <w:rPr>
          <w:lang w:val="sk-SK"/>
        </w:rPr>
        <w:t xml:space="preserve">úrovni prioritných osí ROP. Špecifické ciele ROP sú určené nasledovne: </w:t>
      </w:r>
    </w:p>
    <w:p w:rsidR="00BD5CDA" w:rsidRPr="0089354C" w:rsidRDefault="00BD5CDA" w:rsidP="0079491A">
      <w:pPr>
        <w:numPr>
          <w:ilvl w:val="0"/>
          <w:numId w:val="1"/>
        </w:numPr>
        <w:spacing w:after="120" w:line="320" w:lineRule="atLeast"/>
        <w:rPr>
          <w:lang w:val="sk-SK"/>
        </w:rPr>
      </w:pPr>
      <w:r w:rsidRPr="0089354C">
        <w:rPr>
          <w:lang w:val="sk-SK"/>
        </w:rPr>
        <w:t>Zvýšenie úrovne poskytovaných služieb v oblasti vzdelávania</w:t>
      </w:r>
    </w:p>
    <w:p w:rsidR="00BD5CDA" w:rsidRPr="0089354C" w:rsidRDefault="00BD5CDA" w:rsidP="0079491A">
      <w:pPr>
        <w:numPr>
          <w:ilvl w:val="0"/>
          <w:numId w:val="1"/>
        </w:numPr>
        <w:spacing w:after="120" w:line="320" w:lineRule="atLeast"/>
        <w:rPr>
          <w:lang w:val="sk-SK"/>
        </w:rPr>
      </w:pPr>
      <w:r w:rsidRPr="0089354C">
        <w:rPr>
          <w:lang w:val="sk-SK"/>
        </w:rPr>
        <w:t>Zvýšenie rozsahu a úrovne poskytovaných služieb v sociálnej oblasti</w:t>
      </w:r>
    </w:p>
    <w:p w:rsidR="00BD5CDA" w:rsidRPr="0089354C" w:rsidRDefault="00BD5CDA" w:rsidP="0079491A">
      <w:pPr>
        <w:numPr>
          <w:ilvl w:val="0"/>
          <w:numId w:val="1"/>
        </w:numPr>
        <w:spacing w:after="120" w:line="320" w:lineRule="atLeast"/>
        <w:rPr>
          <w:lang w:val="sk-SK"/>
        </w:rPr>
      </w:pPr>
      <w:r w:rsidRPr="0089354C">
        <w:rPr>
          <w:lang w:val="sk-SK"/>
        </w:rPr>
        <w:t>Posilnenie kultúrneho potenciálu regiónov a rozvoja cestovného ruchu</w:t>
      </w:r>
    </w:p>
    <w:p w:rsidR="00BD5CDA" w:rsidRPr="0089354C" w:rsidRDefault="00BD5CDA" w:rsidP="0079491A">
      <w:pPr>
        <w:numPr>
          <w:ilvl w:val="0"/>
          <w:numId w:val="1"/>
        </w:numPr>
        <w:spacing w:after="120" w:line="320" w:lineRule="atLeast"/>
        <w:rPr>
          <w:lang w:val="sk-SK"/>
        </w:rPr>
      </w:pPr>
      <w:r w:rsidRPr="0089354C">
        <w:rPr>
          <w:lang w:val="sk-SK"/>
        </w:rPr>
        <w:t>Posilnenie konkurencieschopnosti sídiel a zvýšenie kvality a bezpečnosti verejných priestranstiev</w:t>
      </w:r>
    </w:p>
    <w:p w:rsidR="00BD5CDA" w:rsidRPr="0089354C" w:rsidRDefault="00BD5CDA" w:rsidP="0079491A">
      <w:pPr>
        <w:numPr>
          <w:ilvl w:val="0"/>
          <w:numId w:val="1"/>
        </w:numPr>
        <w:spacing w:after="120" w:line="320" w:lineRule="atLeast"/>
        <w:rPr>
          <w:lang w:val="sk-SK"/>
        </w:rPr>
      </w:pPr>
      <w:r w:rsidRPr="0089354C">
        <w:rPr>
          <w:lang w:val="sk-SK"/>
        </w:rPr>
        <w:t>Zvýšenie úrovne dopravnej obslužnosti regiónov</w:t>
      </w:r>
    </w:p>
    <w:p w:rsidR="00BD5CDA" w:rsidRPr="0089354C" w:rsidRDefault="00BD5CDA" w:rsidP="0079491A">
      <w:pPr>
        <w:numPr>
          <w:ilvl w:val="0"/>
          <w:numId w:val="1"/>
        </w:numPr>
        <w:spacing w:after="120" w:line="320" w:lineRule="atLeast"/>
        <w:rPr>
          <w:lang w:val="sk-SK"/>
        </w:rPr>
      </w:pPr>
      <w:r w:rsidRPr="0089354C">
        <w:rPr>
          <w:lang w:val="sk-SK"/>
        </w:rPr>
        <w:t xml:space="preserve">Efektívne riadenie a implementácia ROP </w:t>
      </w:r>
    </w:p>
    <w:p w:rsidR="00BD5CDA" w:rsidRPr="0089354C" w:rsidRDefault="00BD5CDA" w:rsidP="0079491A">
      <w:pPr>
        <w:spacing w:after="120" w:line="320" w:lineRule="atLeast"/>
        <w:ind w:left="360" w:firstLine="0"/>
        <w:rPr>
          <w:lang w:val="sk-SK"/>
        </w:rPr>
      </w:pPr>
      <w:r w:rsidRPr="0089354C">
        <w:rPr>
          <w:lang w:val="sk-SK"/>
        </w:rPr>
        <w:t xml:space="preserve">7.  Posilnenie kultúrneho potenciálu a konkurencieschopnosti regiónu NUTS 2 – Východ v súvislosti s realizáciou projektu Európske hlavné mesto kultúry – Košice 2013 </w:t>
      </w:r>
    </w:p>
    <w:p w:rsidR="00BD5CDA" w:rsidRPr="0089354C" w:rsidRDefault="00BD5CDA" w:rsidP="0079491A">
      <w:pPr>
        <w:spacing w:after="120" w:line="320" w:lineRule="atLeast"/>
        <w:rPr>
          <w:rFonts w:ascii="Arial" w:hAnsi="Arial" w:cs="Arial"/>
          <w:sz w:val="20"/>
          <w:szCs w:val="20"/>
          <w:lang w:val="sk-SK" w:eastAsia="sk-SK"/>
        </w:rPr>
      </w:pPr>
    </w:p>
    <w:p w:rsidR="00BD5CDA" w:rsidRPr="0089354C" w:rsidRDefault="00BD5CDA" w:rsidP="00163029">
      <w:pPr>
        <w:spacing w:after="120" w:line="320" w:lineRule="atLeast"/>
        <w:ind w:left="-15" w:right="0" w:firstLine="697"/>
        <w:rPr>
          <w:b/>
          <w:bCs/>
          <w:color w:val="auto"/>
          <w:szCs w:val="24"/>
          <w:lang w:val="sk-SK" w:eastAsia="sk-SK"/>
        </w:rPr>
      </w:pPr>
      <w:r w:rsidRPr="0089354C">
        <w:rPr>
          <w:lang w:val="sk-SK"/>
        </w:rPr>
        <w:lastRenderedPageBreak/>
        <w:t xml:space="preserve">Špecifické ciele ROP sú napĺňané prostredníctvom siedmich prioritných osí ROP </w:t>
      </w:r>
      <w:r w:rsidRPr="0089354C">
        <w:rPr>
          <w:bCs/>
          <w:color w:val="auto"/>
          <w:szCs w:val="24"/>
          <w:lang w:val="sk-SK" w:eastAsia="sk-SK"/>
        </w:rPr>
        <w:t xml:space="preserve">Prioritná os 1 Infraštruktúra, Prioritná os 2 Infraštruktúra sociálnych služieb, sociálnoprávnej ochrany a sociálnej kurately,  </w:t>
      </w:r>
      <w:r w:rsidRPr="0089354C">
        <w:rPr>
          <w:color w:val="auto"/>
          <w:szCs w:val="24"/>
          <w:lang w:val="sk-SK" w:eastAsia="sk-SK"/>
        </w:rPr>
        <w:t xml:space="preserve">Prioritná os </w:t>
      </w:r>
      <w:r w:rsidRPr="0089354C">
        <w:rPr>
          <w:bCs/>
          <w:color w:val="auto"/>
          <w:szCs w:val="24"/>
          <w:lang w:val="sk-SK" w:eastAsia="sk-SK"/>
        </w:rPr>
        <w:t>3: Posilnenie kultúrneho potenciálu regiónov a</w:t>
      </w:r>
      <w:r w:rsidR="0079491A">
        <w:rPr>
          <w:bCs/>
          <w:color w:val="auto"/>
          <w:szCs w:val="24"/>
          <w:lang w:val="sk-SK" w:eastAsia="sk-SK"/>
        </w:rPr>
        <w:t> </w:t>
      </w:r>
      <w:r w:rsidRPr="0089354C">
        <w:rPr>
          <w:bCs/>
          <w:color w:val="auto"/>
          <w:szCs w:val="24"/>
          <w:lang w:val="sk-SK" w:eastAsia="sk-SK"/>
        </w:rPr>
        <w:t xml:space="preserve">infraštruktúry cestovného ruchu, Prioritná os 4: Regenerácia sídiel, </w:t>
      </w:r>
      <w:r w:rsidRPr="0089354C">
        <w:rPr>
          <w:color w:val="auto"/>
          <w:szCs w:val="24"/>
          <w:lang w:val="sk-SK" w:eastAsia="sk-SK"/>
        </w:rPr>
        <w:t xml:space="preserve">Prioritná os </w:t>
      </w:r>
      <w:r w:rsidRPr="0089354C">
        <w:rPr>
          <w:bCs/>
          <w:color w:val="auto"/>
          <w:szCs w:val="24"/>
          <w:lang w:val="sk-SK" w:eastAsia="sk-SK"/>
        </w:rPr>
        <w:t>5:</w:t>
      </w:r>
      <w:r w:rsidR="0079491A">
        <w:rPr>
          <w:bCs/>
          <w:color w:val="auto"/>
          <w:szCs w:val="24"/>
          <w:lang w:val="sk-SK" w:eastAsia="sk-SK"/>
        </w:rPr>
        <w:t> </w:t>
      </w:r>
      <w:r w:rsidRPr="0089354C">
        <w:rPr>
          <w:bCs/>
          <w:color w:val="auto"/>
          <w:szCs w:val="24"/>
          <w:lang w:val="sk-SK" w:eastAsia="sk-SK"/>
        </w:rPr>
        <w:t>Regionálne komunikácie zabezpečujúce dopravnú obslužnosť regiónov, Prioritná os 6:</w:t>
      </w:r>
      <w:r w:rsidR="0079491A">
        <w:rPr>
          <w:bCs/>
          <w:color w:val="auto"/>
          <w:szCs w:val="24"/>
          <w:lang w:val="sk-SK" w:eastAsia="sk-SK"/>
        </w:rPr>
        <w:t> </w:t>
      </w:r>
      <w:r w:rsidRPr="0089354C">
        <w:rPr>
          <w:bCs/>
          <w:color w:val="auto"/>
          <w:szCs w:val="24"/>
          <w:lang w:val="sk-SK" w:eastAsia="sk-SK"/>
        </w:rPr>
        <w:t>Technická pomoc  a Prioritná os 7 Európske hlavné mesto kultúry – Košice 2013.</w:t>
      </w:r>
    </w:p>
    <w:p w:rsidR="00BD5CDA" w:rsidRPr="0091796D" w:rsidRDefault="00BD5CDA" w:rsidP="00163029">
      <w:pPr>
        <w:spacing w:after="120" w:line="320" w:lineRule="atLeast"/>
        <w:ind w:left="-15" w:right="0" w:firstLine="697"/>
        <w:rPr>
          <w:lang w:val="sk-SK"/>
        </w:rPr>
      </w:pPr>
      <w:r w:rsidRPr="0089354C">
        <w:rPr>
          <w:lang w:val="sk-SK"/>
        </w:rPr>
        <w:t>ROP stanovuje stratégiu a prioritné osi podporované zo štrukturálnych fondov a</w:t>
      </w:r>
      <w:r w:rsidR="0079491A">
        <w:rPr>
          <w:lang w:val="sk-SK"/>
        </w:rPr>
        <w:t> </w:t>
      </w:r>
      <w:r w:rsidRPr="0089354C">
        <w:rPr>
          <w:lang w:val="sk-SK"/>
        </w:rPr>
        <w:t>zo</w:t>
      </w:r>
      <w:r w:rsidR="0079491A">
        <w:rPr>
          <w:lang w:val="sk-SK"/>
        </w:rPr>
        <w:t> </w:t>
      </w:r>
      <w:r w:rsidRPr="0089354C">
        <w:rPr>
          <w:lang w:val="sk-SK"/>
        </w:rPr>
        <w:t>zdrojov členského štátu, ich špecifické ciele, príspevok zo štrukturálnych fondov a</w:t>
      </w:r>
      <w:r w:rsidR="0079491A">
        <w:rPr>
          <w:lang w:val="sk-SK"/>
        </w:rPr>
        <w:t> </w:t>
      </w:r>
      <w:r w:rsidRPr="0089354C">
        <w:rPr>
          <w:lang w:val="sk-SK"/>
        </w:rPr>
        <w:t>ostatné finančné prostriedky v súlade s Nariadením Rady (ES) č. 1083/2006 z 11. júla 2006, ktorým sa ustanovujú všeobecné ustanovenia o Európskom fonde regionálneho rozvoja, Európskom sociálnom fonde a Kohéznom fonde a ktorým sa zrušuje nariadenie (ES) č.1260/1999 („všeobecné nariadenie“) a v súlade s Nariadením Komisie (ES) č. 1828/2006 z</w:t>
      </w:r>
      <w:r w:rsidR="00302357">
        <w:rPr>
          <w:lang w:val="sk-SK"/>
        </w:rPr>
        <w:t> </w:t>
      </w:r>
      <w:r w:rsidRPr="0089354C">
        <w:rPr>
          <w:lang w:val="sk-SK"/>
        </w:rPr>
        <w:t>8. decembra 2006, ktorým sa stanovujú vykonávacie pravidlá nariadenia Rady (ES) č.</w:t>
      </w:r>
      <w:r w:rsidR="00302357">
        <w:rPr>
          <w:lang w:val="sk-SK"/>
        </w:rPr>
        <w:t> </w:t>
      </w:r>
      <w:r w:rsidRPr="0089354C">
        <w:rPr>
          <w:lang w:val="sk-SK"/>
        </w:rPr>
        <w:t>1083/2006, ktorým sa ustanovujú všeobecné ustanovenia o Európskom fonde regionálneho rozvoja, Európskom sociálnom fonde a Kohéznom fonde a nariadenia Európskeho parlamentu a Rady (ES) č.</w:t>
      </w:r>
      <w:r w:rsidR="0079491A">
        <w:rPr>
          <w:lang w:val="sk-SK"/>
        </w:rPr>
        <w:t> </w:t>
      </w:r>
      <w:r w:rsidRPr="0089354C">
        <w:rPr>
          <w:lang w:val="sk-SK"/>
        </w:rPr>
        <w:t>1080/2006 o Európskom fonde regionálneho rozvoja v znení neskorších zmien a doplnení („vykonávacie nariadenie“). Okrem toho Riadiaci orgán pre ROP postupuje pri implementácii ROP v súlade s ďalšími nariadeniami EÚ /ES, platnými právnymi predpismi Slovenskej republiky, najmä podľa zákona č. 111/2012</w:t>
      </w:r>
      <w:r w:rsidR="00302357">
        <w:rPr>
          <w:lang w:val="sk-SK"/>
        </w:rPr>
        <w:t xml:space="preserve"> </w:t>
      </w:r>
      <w:proofErr w:type="spellStart"/>
      <w:r w:rsidR="00302357">
        <w:rPr>
          <w:lang w:val="sk-SK"/>
        </w:rPr>
        <w:t>Z.z</w:t>
      </w:r>
      <w:proofErr w:type="spellEnd"/>
      <w:r w:rsidR="00302357">
        <w:rPr>
          <w:lang w:val="sk-SK"/>
        </w:rPr>
        <w:t>.</w:t>
      </w:r>
      <w:r w:rsidRPr="0089354C">
        <w:rPr>
          <w:lang w:val="sk-SK"/>
        </w:rPr>
        <w:t>, ktorým sa mení a dopĺňa zákon č.</w:t>
      </w:r>
      <w:r w:rsidR="00302357">
        <w:rPr>
          <w:lang w:val="sk-SK"/>
        </w:rPr>
        <w:t> </w:t>
      </w:r>
      <w:r w:rsidRPr="0089354C">
        <w:rPr>
          <w:lang w:val="sk-SK"/>
        </w:rPr>
        <w:t>528/2008 Z. z. o poskytovaní pomoci a podpory z fondov Európskych spoločenstiev v znení neskorších predpisov, ako aj ďalšími záväznými dokumentmi, najmä v súlade so Systémom riadenia štrukturálnych fondov a Kohézneho fondu na programové obdobie 2007 – 2013 v</w:t>
      </w:r>
      <w:r w:rsidR="00302357">
        <w:rPr>
          <w:lang w:val="sk-SK"/>
        </w:rPr>
        <w:t> </w:t>
      </w:r>
      <w:r w:rsidRPr="0089354C">
        <w:rPr>
          <w:lang w:val="sk-SK"/>
        </w:rPr>
        <w:t xml:space="preserve">aktuálnom znení a Systémom finančného riadenia štrukturálnych fondov a Kohézneho </w:t>
      </w:r>
      <w:r w:rsidRPr="0091796D">
        <w:rPr>
          <w:lang w:val="sk-SK"/>
        </w:rPr>
        <w:t>fondu na</w:t>
      </w:r>
      <w:r w:rsidR="0079491A" w:rsidRPr="0091796D">
        <w:rPr>
          <w:lang w:val="sk-SK"/>
        </w:rPr>
        <w:t> </w:t>
      </w:r>
      <w:r w:rsidRPr="0091796D">
        <w:rPr>
          <w:lang w:val="sk-SK"/>
        </w:rPr>
        <w:t xml:space="preserve">programové obdobie 2007 – 2013 v platnom znení. </w:t>
      </w:r>
    </w:p>
    <w:p w:rsidR="00163029" w:rsidRDefault="00163029" w:rsidP="00163029">
      <w:pPr>
        <w:spacing w:after="120" w:line="320" w:lineRule="atLeast"/>
        <w:ind w:firstLine="697"/>
        <w:rPr>
          <w:lang w:val="sk-SK"/>
        </w:rPr>
      </w:pPr>
    </w:p>
    <w:p w:rsidR="00BD5CDA" w:rsidRPr="0091796D" w:rsidRDefault="00446CBB" w:rsidP="00163029">
      <w:pPr>
        <w:spacing w:after="120" w:line="320" w:lineRule="atLeast"/>
        <w:ind w:firstLine="697"/>
        <w:rPr>
          <w:lang w:val="sk-SK"/>
        </w:rPr>
      </w:pPr>
      <w:r w:rsidRPr="0091796D">
        <w:rPr>
          <w:lang w:val="sk-SK"/>
        </w:rPr>
        <w:t>V priebehu roka boli</w:t>
      </w:r>
      <w:r w:rsidR="00BD5CDA" w:rsidRPr="0091796D">
        <w:rPr>
          <w:lang w:val="sk-SK"/>
        </w:rPr>
        <w:t xml:space="preserve"> v zmysle harmonogramu výziev Riadia</w:t>
      </w:r>
      <w:r w:rsidRPr="0091796D">
        <w:rPr>
          <w:lang w:val="sk-SK"/>
        </w:rPr>
        <w:t>cim orgánom pre ROP zverejnené celkovo 2 výz</w:t>
      </w:r>
      <w:r w:rsidR="00BD5CDA" w:rsidRPr="0091796D">
        <w:rPr>
          <w:lang w:val="sk-SK"/>
        </w:rPr>
        <w:t>v</w:t>
      </w:r>
      <w:r w:rsidRPr="0091796D">
        <w:rPr>
          <w:lang w:val="sk-SK"/>
        </w:rPr>
        <w:t>y</w:t>
      </w:r>
      <w:r w:rsidR="00BD5CDA" w:rsidRPr="0091796D">
        <w:rPr>
          <w:lang w:val="sk-SK"/>
        </w:rPr>
        <w:t>, čo v</w:t>
      </w:r>
      <w:r w:rsidRPr="0091796D">
        <w:rPr>
          <w:lang w:val="sk-SK"/>
        </w:rPr>
        <w:t xml:space="preserve">ytvára dobré predpoklady </w:t>
      </w:r>
      <w:r w:rsidR="00BD5CDA" w:rsidRPr="0091796D">
        <w:rPr>
          <w:lang w:val="sk-SK"/>
        </w:rPr>
        <w:t>na úspešné dovŕšenie pr</w:t>
      </w:r>
      <w:r w:rsidRPr="0091796D">
        <w:rPr>
          <w:lang w:val="sk-SK"/>
        </w:rPr>
        <w:t>ocesov kontrahovania v roku 2015</w:t>
      </w:r>
      <w:r w:rsidR="00BD5CDA" w:rsidRPr="0091796D">
        <w:rPr>
          <w:lang w:val="sk-SK"/>
        </w:rPr>
        <w:t>.</w:t>
      </w:r>
    </w:p>
    <w:p w:rsidR="00A657EF" w:rsidRPr="0089354C" w:rsidRDefault="00A657EF" w:rsidP="00163029">
      <w:pPr>
        <w:spacing w:after="120" w:line="320" w:lineRule="atLeast"/>
        <w:ind w:firstLine="697"/>
        <w:rPr>
          <w:szCs w:val="24"/>
          <w:lang w:val="sk-SK"/>
        </w:rPr>
      </w:pPr>
      <w:r w:rsidRPr="0091796D">
        <w:rPr>
          <w:szCs w:val="24"/>
          <w:lang w:val="sk-SK"/>
        </w:rPr>
        <w:t>Prvá vyhlásená výzva v roku 2014 bola priebežná výzva ROP-1.1-2014/01 Infraštruktúra vzdelávania v súlade s cieľom prioritnej osi 1 Infraštruktúra vzdelávania ROP, a tým aj v súlade s globálnym cieľom operačného programu. Cieľ prioritnej osi 1</w:t>
      </w:r>
      <w:r w:rsidR="00302357" w:rsidRPr="0091796D">
        <w:rPr>
          <w:szCs w:val="24"/>
          <w:lang w:val="sk-SK"/>
        </w:rPr>
        <w:t> </w:t>
      </w:r>
      <w:r w:rsidRPr="0091796D">
        <w:rPr>
          <w:szCs w:val="24"/>
          <w:lang w:val="sk-SK"/>
        </w:rPr>
        <w:t>Infraštruktúra vzdelávania ROP je definovaný ako „Zvýšenie úrovne poskytovaných služieb v</w:t>
      </w:r>
      <w:r w:rsidR="0072300B" w:rsidRPr="0091796D">
        <w:rPr>
          <w:szCs w:val="24"/>
          <w:lang w:val="sk-SK"/>
        </w:rPr>
        <w:t> </w:t>
      </w:r>
      <w:r w:rsidRPr="0091796D">
        <w:rPr>
          <w:szCs w:val="24"/>
          <w:lang w:val="sk-SK"/>
        </w:rPr>
        <w:t>oblasti vzdelávania“ a globálny cieľ operačného</w:t>
      </w:r>
      <w:r w:rsidRPr="0089354C">
        <w:rPr>
          <w:szCs w:val="24"/>
          <w:lang w:val="sk-SK"/>
        </w:rPr>
        <w:t xml:space="preserve"> programu je definovaný ako „Zvýšenie dostupnosti a kvality občianskej infraštruktúry a vybavenosti územia v regiónoch“. Výzva bola vyhlásená a zverejnená dňa 03.07.2014. Indikatívna výška finančných prostriedkov určených na výzvu ROP-1.1-2014/01 bola 46 832 941,18 </w:t>
      </w:r>
      <w:r w:rsidR="00565EDA">
        <w:rPr>
          <w:szCs w:val="24"/>
          <w:lang w:val="sk-SK"/>
        </w:rPr>
        <w:t>€</w:t>
      </w:r>
      <w:r w:rsidRPr="0089354C">
        <w:rPr>
          <w:szCs w:val="24"/>
          <w:lang w:val="sk-SK"/>
        </w:rPr>
        <w:t xml:space="preserve">, z toho maximálny príspevok Európskeho fondu regionálneho rozvoja bol 39 808 000,00 </w:t>
      </w:r>
      <w:r w:rsidR="00565EDA">
        <w:rPr>
          <w:szCs w:val="24"/>
          <w:lang w:val="sk-SK"/>
        </w:rPr>
        <w:t>€</w:t>
      </w:r>
      <w:r w:rsidRPr="0089354C">
        <w:rPr>
          <w:szCs w:val="24"/>
          <w:lang w:val="sk-SK"/>
        </w:rPr>
        <w:t xml:space="preserve"> (85</w:t>
      </w:r>
      <w:r w:rsidR="00302357">
        <w:rPr>
          <w:szCs w:val="24"/>
          <w:lang w:val="sk-SK"/>
        </w:rPr>
        <w:t xml:space="preserve"> </w:t>
      </w:r>
      <w:r w:rsidRPr="0089354C">
        <w:rPr>
          <w:szCs w:val="24"/>
          <w:lang w:val="sk-SK"/>
        </w:rPr>
        <w:t>%).</w:t>
      </w:r>
    </w:p>
    <w:p w:rsidR="00163029" w:rsidRDefault="00163029" w:rsidP="00163029">
      <w:pPr>
        <w:spacing w:after="120" w:line="320" w:lineRule="atLeast"/>
        <w:ind w:firstLine="697"/>
        <w:rPr>
          <w:szCs w:val="24"/>
          <w:lang w:val="sk-SK"/>
        </w:rPr>
      </w:pPr>
    </w:p>
    <w:p w:rsidR="00C816CE" w:rsidRPr="0089354C" w:rsidRDefault="00C816CE" w:rsidP="00163029">
      <w:pPr>
        <w:spacing w:after="120" w:line="320" w:lineRule="atLeast"/>
        <w:ind w:firstLine="697"/>
        <w:rPr>
          <w:bCs/>
          <w:szCs w:val="24"/>
          <w:lang w:val="sk-SK"/>
        </w:rPr>
      </w:pPr>
      <w:r w:rsidRPr="0089354C">
        <w:rPr>
          <w:szCs w:val="24"/>
          <w:lang w:val="sk-SK"/>
        </w:rPr>
        <w:t xml:space="preserve">Vzhľadom na skutočnosť vykrytia deficitu </w:t>
      </w:r>
      <w:proofErr w:type="spellStart"/>
      <w:r w:rsidRPr="0089354C">
        <w:rPr>
          <w:szCs w:val="24"/>
          <w:lang w:val="sk-SK"/>
        </w:rPr>
        <w:t>nadschválenia</w:t>
      </w:r>
      <w:proofErr w:type="spellEnd"/>
      <w:r w:rsidRPr="0089354C">
        <w:rPr>
          <w:szCs w:val="24"/>
          <w:lang w:val="sk-SK"/>
        </w:rPr>
        <w:t xml:space="preserve"> v prioritnej</w:t>
      </w:r>
      <w:r w:rsidR="00CC5B4A" w:rsidRPr="0089354C">
        <w:rPr>
          <w:szCs w:val="24"/>
          <w:lang w:val="sk-SK"/>
        </w:rPr>
        <w:t xml:space="preserve"> osi 1, pri</w:t>
      </w:r>
      <w:r w:rsidRPr="0089354C">
        <w:rPr>
          <w:szCs w:val="24"/>
          <w:lang w:val="sk-SK"/>
        </w:rPr>
        <w:t xml:space="preserve">šlo k presunu finančných prostriedkov v sume 18 154 000 </w:t>
      </w:r>
      <w:r w:rsidR="00565EDA">
        <w:rPr>
          <w:szCs w:val="24"/>
          <w:lang w:val="sk-SK"/>
        </w:rPr>
        <w:t>€</w:t>
      </w:r>
      <w:r w:rsidRPr="0089354C">
        <w:rPr>
          <w:szCs w:val="24"/>
          <w:lang w:val="sk-SK"/>
        </w:rPr>
        <w:t xml:space="preserve"> do prioritnej osi 1 (po poslednej </w:t>
      </w:r>
      <w:r w:rsidRPr="0089354C">
        <w:rPr>
          <w:szCs w:val="24"/>
          <w:lang w:val="sk-SK"/>
        </w:rPr>
        <w:lastRenderedPageBreak/>
        <w:t xml:space="preserve">revízii ROP pôvodný rozpočet ERDF pre opatrenie 2.1 bol </w:t>
      </w:r>
      <w:r w:rsidRPr="0089354C">
        <w:rPr>
          <w:bCs/>
          <w:szCs w:val="24"/>
          <w:lang w:val="sk-SK"/>
        </w:rPr>
        <w:t xml:space="preserve">203 274 984 </w:t>
      </w:r>
      <w:r w:rsidR="00565EDA">
        <w:rPr>
          <w:bCs/>
          <w:szCs w:val="24"/>
          <w:lang w:val="sk-SK"/>
        </w:rPr>
        <w:t>€</w:t>
      </w:r>
      <w:r w:rsidRPr="0089354C">
        <w:rPr>
          <w:bCs/>
          <w:szCs w:val="24"/>
          <w:lang w:val="sk-SK"/>
        </w:rPr>
        <w:t xml:space="preserve">, aktuálny rozpočet po revízii je 185 120 984 </w:t>
      </w:r>
      <w:r w:rsidR="00565EDA">
        <w:rPr>
          <w:bCs/>
          <w:szCs w:val="24"/>
          <w:lang w:val="sk-SK"/>
        </w:rPr>
        <w:t>€</w:t>
      </w:r>
      <w:r w:rsidRPr="0089354C">
        <w:rPr>
          <w:bCs/>
          <w:szCs w:val="24"/>
          <w:lang w:val="sk-SK"/>
        </w:rPr>
        <w:t xml:space="preserve">.)  </w:t>
      </w:r>
    </w:p>
    <w:p w:rsidR="00C816CE" w:rsidRPr="0089354C" w:rsidRDefault="00C816CE" w:rsidP="0079491A">
      <w:pPr>
        <w:spacing w:after="120" w:line="320" w:lineRule="atLeast"/>
        <w:rPr>
          <w:szCs w:val="24"/>
          <w:lang w:val="sk-SK"/>
        </w:rPr>
      </w:pPr>
      <w:r w:rsidRPr="0089354C">
        <w:rPr>
          <w:szCs w:val="24"/>
          <w:lang w:val="sk-SK"/>
        </w:rPr>
        <w:t>Dňa 18.11.2014 bola vyhlásená a zverejnená druhá, časovo ohraničená výzva ROP</w:t>
      </w:r>
      <w:r w:rsidR="00302357">
        <w:rPr>
          <w:szCs w:val="24"/>
          <w:lang w:val="sk-SK"/>
        </w:rPr>
        <w:t> </w:t>
      </w:r>
      <w:r w:rsidRPr="0089354C">
        <w:rPr>
          <w:szCs w:val="24"/>
          <w:lang w:val="sk-SK"/>
        </w:rPr>
        <w:t>-</w:t>
      </w:r>
      <w:r w:rsidR="00302357">
        <w:rPr>
          <w:szCs w:val="24"/>
          <w:lang w:val="sk-SK"/>
        </w:rPr>
        <w:t> </w:t>
      </w:r>
      <w:r w:rsidRPr="0089354C">
        <w:rPr>
          <w:szCs w:val="24"/>
          <w:lang w:val="sk-SK"/>
        </w:rPr>
        <w:t>3.1-2014/01 Posilnenie kultúrneho potenciálu regiónov. Výzva na predkladanie žiadostí o</w:t>
      </w:r>
      <w:r w:rsidR="0072300B">
        <w:rPr>
          <w:szCs w:val="24"/>
          <w:lang w:val="sk-SK"/>
        </w:rPr>
        <w:t> </w:t>
      </w:r>
      <w:r w:rsidRPr="0089354C">
        <w:rPr>
          <w:szCs w:val="24"/>
          <w:lang w:val="sk-SK"/>
        </w:rPr>
        <w:t>nenávratný finančný príspevok (ďalej aj „NFP“), označená kódom ROP-3.1-2014/01 bola vyhlasovaná za účelom poskytnutia pomoci oprávneným žiadateľom na realizáciu projektov, ktorých ciele prispievajú k napĺňaniu cieľa opatrenia 3.1 Posilnenie kultúrneho potenciálu regiónov ROP. Cieľ opatrenia 3.1 ROP je v zmysle Programového manuálu ROP definovaný ako „Zvýšenie kvality služieb poskytovaných pamäťovými</w:t>
      </w:r>
      <w:r w:rsidR="0079491A">
        <w:rPr>
          <w:szCs w:val="24"/>
          <w:lang w:val="sk-SK"/>
        </w:rPr>
        <w:t xml:space="preserve"> </w:t>
      </w:r>
      <w:r w:rsidRPr="0089354C">
        <w:rPr>
          <w:szCs w:val="24"/>
          <w:lang w:val="sk-SK"/>
        </w:rPr>
        <w:t>a fondovými inštitúciami na</w:t>
      </w:r>
      <w:r w:rsidR="00302357">
        <w:rPr>
          <w:szCs w:val="24"/>
          <w:lang w:val="sk-SK"/>
        </w:rPr>
        <w:t> </w:t>
      </w:r>
      <w:r w:rsidRPr="0089354C">
        <w:rPr>
          <w:szCs w:val="24"/>
          <w:lang w:val="sk-SK"/>
        </w:rPr>
        <w:t>miestnej a regionálnej úrovni prostredníctvom ich rekonštrukcie, rozširovania a</w:t>
      </w:r>
      <w:r w:rsidR="00302357">
        <w:rPr>
          <w:szCs w:val="24"/>
          <w:lang w:val="sk-SK"/>
        </w:rPr>
        <w:t> </w:t>
      </w:r>
      <w:r w:rsidRPr="0089354C">
        <w:rPr>
          <w:szCs w:val="24"/>
          <w:lang w:val="sk-SK"/>
        </w:rPr>
        <w:t>modernizácie, vrátane obstarania ich vybavenia a revitalizáci</w:t>
      </w:r>
      <w:r w:rsidR="00302357">
        <w:rPr>
          <w:szCs w:val="24"/>
          <w:lang w:val="sk-SK"/>
        </w:rPr>
        <w:t>e</w:t>
      </w:r>
      <w:r w:rsidRPr="0089354C">
        <w:rPr>
          <w:szCs w:val="24"/>
          <w:lang w:val="sk-SK"/>
        </w:rPr>
        <w:t xml:space="preserve"> významných pamiatkových objektov v</w:t>
      </w:r>
      <w:r w:rsidR="0079491A">
        <w:rPr>
          <w:szCs w:val="24"/>
          <w:lang w:val="sk-SK"/>
        </w:rPr>
        <w:t> </w:t>
      </w:r>
      <w:r w:rsidRPr="0089354C">
        <w:rPr>
          <w:szCs w:val="24"/>
          <w:lang w:val="sk-SK"/>
        </w:rPr>
        <w:t xml:space="preserve">súvislosti so zachovaním kultúrneho dedičstva a jeho využitia v kultúrno-poznávacom cestovnom ruchu.“ Cieľom výzvy ROP-3.1-2014/01 bolo posilnenie kultúrneho potenciálu regiónov zvýšením kvality služieb poskytovaných pamäťovými a fondovými inštitúciami a revitalizáciou významných pamiatkových objektov. Indikatívna výška finančných prostriedkov určených na výzvu ROP-3.1-2014/01 vrátane spolufinancovania prijímateľa bola 25 642 586,78 </w:t>
      </w:r>
      <w:r w:rsidR="00565EDA">
        <w:rPr>
          <w:szCs w:val="24"/>
          <w:lang w:val="sk-SK"/>
        </w:rPr>
        <w:t>€</w:t>
      </w:r>
      <w:r w:rsidRPr="0089354C">
        <w:rPr>
          <w:szCs w:val="24"/>
          <w:lang w:val="sk-SK"/>
        </w:rPr>
        <w:t>, z toho maximálny príspevok Európskeho fondu regionálneho rozvoja bol 21</w:t>
      </w:r>
      <w:r w:rsidR="0072300B">
        <w:rPr>
          <w:szCs w:val="24"/>
          <w:lang w:val="sk-SK"/>
        </w:rPr>
        <w:t> </w:t>
      </w:r>
      <w:r w:rsidRPr="0089354C">
        <w:rPr>
          <w:szCs w:val="24"/>
          <w:lang w:val="sk-SK"/>
        </w:rPr>
        <w:t xml:space="preserve">796 198,76 </w:t>
      </w:r>
      <w:r w:rsidR="00565EDA">
        <w:rPr>
          <w:szCs w:val="24"/>
          <w:lang w:val="sk-SK"/>
        </w:rPr>
        <w:t>€</w:t>
      </w:r>
      <w:r w:rsidRPr="0089354C">
        <w:rPr>
          <w:szCs w:val="24"/>
          <w:lang w:val="sk-SK"/>
        </w:rPr>
        <w:t xml:space="preserve"> (85%).</w:t>
      </w:r>
    </w:p>
    <w:p w:rsidR="00446CBB" w:rsidRPr="0089354C" w:rsidRDefault="00446CBB" w:rsidP="0079491A">
      <w:pPr>
        <w:spacing w:after="120" w:line="320" w:lineRule="atLeast"/>
        <w:rPr>
          <w:szCs w:val="24"/>
          <w:lang w:val="sk-SK"/>
        </w:rPr>
      </w:pPr>
      <w:r w:rsidRPr="0089354C">
        <w:rPr>
          <w:szCs w:val="24"/>
          <w:lang w:val="sk-SK"/>
        </w:rPr>
        <w:t>V roku 2014 bolo v rámci ROP prijatých 567 žiadostí o platbu, schválených bolo 620 žiadostí, vrátane žiadostí schválených v predchádzajúcom období.</w:t>
      </w:r>
    </w:p>
    <w:p w:rsidR="002F4EF8" w:rsidRPr="0089354C" w:rsidRDefault="002F4EF8" w:rsidP="00302357">
      <w:pPr>
        <w:spacing w:after="120" w:line="320" w:lineRule="atLeast"/>
        <w:rPr>
          <w:szCs w:val="24"/>
          <w:lang w:val="sk-SK"/>
        </w:rPr>
      </w:pPr>
      <w:r w:rsidRPr="0089354C">
        <w:rPr>
          <w:lang w:val="sk-SK"/>
        </w:rPr>
        <w:t>K 31. decembru 2014 bol na úrovni ROP – za všetky prioritné osi (7) – počet riadne ukončených projektov 1 460, v hodnote čerpania</w:t>
      </w:r>
      <w:r w:rsidR="000C7CE5">
        <w:rPr>
          <w:lang w:val="sk-SK"/>
        </w:rPr>
        <w:t xml:space="preserve"> prostriedkov 1 194 315 360,08 </w:t>
      </w:r>
      <w:r w:rsidR="00565EDA">
        <w:rPr>
          <w:lang w:val="sk-SK"/>
        </w:rPr>
        <w:t>€</w:t>
      </w:r>
      <w:r w:rsidRPr="0089354C">
        <w:rPr>
          <w:lang w:val="sk-SK"/>
        </w:rPr>
        <w:t xml:space="preserve"> z ERDF.</w:t>
      </w:r>
    </w:p>
    <w:p w:rsidR="00BD5CDA" w:rsidRPr="0089354C" w:rsidRDefault="00BD5CDA" w:rsidP="0079491A">
      <w:pPr>
        <w:spacing w:after="120" w:line="320" w:lineRule="atLeast"/>
        <w:rPr>
          <w:lang w:val="sk-SK"/>
        </w:rPr>
      </w:pPr>
      <w:r w:rsidRPr="0089354C">
        <w:rPr>
          <w:lang w:val="sk-SK"/>
        </w:rPr>
        <w:t>V </w:t>
      </w:r>
      <w:r w:rsidR="00446CBB" w:rsidRPr="0089354C">
        <w:rPr>
          <w:lang w:val="sk-SK"/>
        </w:rPr>
        <w:t>období od 1.1.2007 do 31.12.2014</w:t>
      </w:r>
      <w:r w:rsidRPr="0089354C">
        <w:rPr>
          <w:lang w:val="sk-SK"/>
        </w:rPr>
        <w:t xml:space="preserve"> bolo zo strany Platobnej</w:t>
      </w:r>
      <w:r w:rsidR="00446CBB" w:rsidRPr="0089354C">
        <w:rPr>
          <w:lang w:val="sk-SK"/>
        </w:rPr>
        <w:t xml:space="preserve"> jednotky na CO predložených 130</w:t>
      </w:r>
      <w:r w:rsidRPr="0089354C">
        <w:rPr>
          <w:lang w:val="sk-SK"/>
        </w:rPr>
        <w:t xml:space="preserve"> súhrnných žiadostí o platbu v celkovej výške prostriedkov EÚ a ŠR na</w:t>
      </w:r>
      <w:r w:rsidR="0079491A">
        <w:rPr>
          <w:lang w:val="sk-SK"/>
        </w:rPr>
        <w:t> </w:t>
      </w:r>
      <w:r w:rsidRPr="0089354C">
        <w:rPr>
          <w:szCs w:val="24"/>
          <w:lang w:val="sk-SK"/>
        </w:rPr>
        <w:t>sp</w:t>
      </w:r>
      <w:r w:rsidR="00446CBB" w:rsidRPr="0089354C">
        <w:rPr>
          <w:szCs w:val="24"/>
          <w:lang w:val="sk-SK"/>
        </w:rPr>
        <w:t>olufinancovanie 1 361 142 347,17</w:t>
      </w:r>
      <w:r w:rsidR="00446CBB" w:rsidRPr="0089354C">
        <w:rPr>
          <w:sz w:val="20"/>
          <w:szCs w:val="20"/>
          <w:lang w:val="sk-SK"/>
        </w:rPr>
        <w:t> </w:t>
      </w:r>
      <w:r w:rsidR="00565EDA">
        <w:rPr>
          <w:lang w:val="sk-SK"/>
        </w:rPr>
        <w:t>€</w:t>
      </w:r>
      <w:r w:rsidRPr="0089354C">
        <w:rPr>
          <w:lang w:val="sk-SK"/>
        </w:rPr>
        <w:t xml:space="preserve">, z toho zo </w:t>
      </w:r>
      <w:r w:rsidRPr="0089354C">
        <w:rPr>
          <w:szCs w:val="24"/>
          <w:lang w:val="sk-SK"/>
        </w:rPr>
        <w:t xml:space="preserve">zdrojov EÚ: </w:t>
      </w:r>
      <w:r w:rsidR="00446CBB" w:rsidRPr="0089354C">
        <w:rPr>
          <w:szCs w:val="24"/>
          <w:lang w:val="sk-SK"/>
        </w:rPr>
        <w:t xml:space="preserve">1 210 054 118,60 </w:t>
      </w:r>
      <w:r w:rsidR="00565EDA">
        <w:rPr>
          <w:szCs w:val="24"/>
          <w:lang w:val="sk-SK"/>
        </w:rPr>
        <w:t>€</w:t>
      </w:r>
      <w:r w:rsidRPr="0089354C">
        <w:rPr>
          <w:szCs w:val="24"/>
          <w:lang w:val="sk-SK"/>
        </w:rPr>
        <w:t xml:space="preserve"> a</w:t>
      </w:r>
      <w:r w:rsidR="0079491A">
        <w:rPr>
          <w:szCs w:val="24"/>
          <w:lang w:val="sk-SK"/>
        </w:rPr>
        <w:t> </w:t>
      </w:r>
      <w:r w:rsidRPr="0089354C">
        <w:rPr>
          <w:szCs w:val="24"/>
          <w:lang w:val="sk-SK"/>
        </w:rPr>
        <w:t>zo</w:t>
      </w:r>
      <w:r w:rsidR="0079491A">
        <w:rPr>
          <w:szCs w:val="24"/>
          <w:lang w:val="sk-SK"/>
        </w:rPr>
        <w:t> </w:t>
      </w:r>
      <w:r w:rsidRPr="0089354C">
        <w:rPr>
          <w:szCs w:val="24"/>
          <w:lang w:val="sk-SK"/>
        </w:rPr>
        <w:t>zdrojov</w:t>
      </w:r>
      <w:r w:rsidRPr="0089354C">
        <w:rPr>
          <w:lang w:val="sk-SK"/>
        </w:rPr>
        <w:t xml:space="preserve"> </w:t>
      </w:r>
      <w:r w:rsidRPr="0089354C">
        <w:rPr>
          <w:szCs w:val="24"/>
          <w:lang w:val="sk-SK"/>
        </w:rPr>
        <w:t xml:space="preserve">ŠR: </w:t>
      </w:r>
      <w:r w:rsidR="00911FA0" w:rsidRPr="0089354C">
        <w:rPr>
          <w:szCs w:val="24"/>
          <w:lang w:val="sk-SK"/>
        </w:rPr>
        <w:t xml:space="preserve">151 088 228,57 </w:t>
      </w:r>
      <w:r w:rsidR="00565EDA">
        <w:rPr>
          <w:szCs w:val="24"/>
          <w:lang w:val="sk-SK"/>
        </w:rPr>
        <w:t>€</w:t>
      </w:r>
      <w:r w:rsidRPr="0089354C">
        <w:rPr>
          <w:szCs w:val="24"/>
          <w:lang w:val="sk-SK"/>
        </w:rPr>
        <w:t>,</w:t>
      </w:r>
      <w:r w:rsidR="00911FA0" w:rsidRPr="0089354C">
        <w:rPr>
          <w:lang w:val="sk-SK"/>
        </w:rPr>
        <w:t xml:space="preserve"> pričom: 114</w:t>
      </w:r>
      <w:r w:rsidRPr="0089354C">
        <w:rPr>
          <w:lang w:val="sk-SK"/>
        </w:rPr>
        <w:t xml:space="preserve"> SŽP bolo </w:t>
      </w:r>
      <w:r w:rsidR="00911FA0" w:rsidRPr="0089354C">
        <w:rPr>
          <w:lang w:val="sk-SK"/>
        </w:rPr>
        <w:t xml:space="preserve">na CO </w:t>
      </w:r>
      <w:r w:rsidRPr="0089354C">
        <w:rPr>
          <w:lang w:val="sk-SK"/>
        </w:rPr>
        <w:t>schválených v plnej sume a</w:t>
      </w:r>
      <w:r w:rsidR="0079491A">
        <w:rPr>
          <w:lang w:val="sk-SK"/>
        </w:rPr>
        <w:t> </w:t>
      </w:r>
      <w:r w:rsidR="00911FA0" w:rsidRPr="0089354C">
        <w:rPr>
          <w:lang w:val="sk-SK"/>
        </w:rPr>
        <w:t>16</w:t>
      </w:r>
      <w:r w:rsidRPr="0089354C">
        <w:rPr>
          <w:lang w:val="sk-SK"/>
        </w:rPr>
        <w:t xml:space="preserve"> SŽP bolo schválených v zníženej sume. Celková s</w:t>
      </w:r>
      <w:r w:rsidR="00911FA0" w:rsidRPr="0089354C">
        <w:rPr>
          <w:lang w:val="sk-SK"/>
        </w:rPr>
        <w:t>uma schválených SŽP k 31.12.2014</w:t>
      </w:r>
      <w:r w:rsidRPr="0089354C">
        <w:rPr>
          <w:lang w:val="sk-SK"/>
        </w:rPr>
        <w:t xml:space="preserve"> predstavuje sumu za zdroje EÚ a </w:t>
      </w:r>
      <w:r w:rsidRPr="0089354C">
        <w:rPr>
          <w:szCs w:val="24"/>
          <w:lang w:val="sk-SK"/>
        </w:rPr>
        <w:t xml:space="preserve">zdroje ŠR: </w:t>
      </w:r>
      <w:r w:rsidR="00572ABD" w:rsidRPr="0089354C">
        <w:rPr>
          <w:szCs w:val="24"/>
          <w:lang w:val="sk-SK"/>
        </w:rPr>
        <w:t>1 357 438 787,73</w:t>
      </w:r>
      <w:r w:rsidR="00572ABD" w:rsidRPr="0089354C">
        <w:rPr>
          <w:lang w:val="sk-SK"/>
        </w:rPr>
        <w:t xml:space="preserve"> </w:t>
      </w:r>
      <w:r w:rsidR="00565EDA">
        <w:rPr>
          <w:lang w:val="sk-SK"/>
        </w:rPr>
        <w:t>€</w:t>
      </w:r>
      <w:r w:rsidRPr="0089354C">
        <w:rPr>
          <w:lang w:val="sk-SK"/>
        </w:rPr>
        <w:t xml:space="preserve">, </w:t>
      </w:r>
      <w:r w:rsidRPr="0089354C">
        <w:rPr>
          <w:szCs w:val="24"/>
          <w:lang w:val="sk-SK"/>
        </w:rPr>
        <w:t xml:space="preserve">z toho </w:t>
      </w:r>
      <w:r w:rsidR="00572ABD" w:rsidRPr="0089354C">
        <w:rPr>
          <w:szCs w:val="24"/>
          <w:lang w:val="sk-SK"/>
        </w:rPr>
        <w:t xml:space="preserve"> 1 206 772 123,18 </w:t>
      </w:r>
      <w:r w:rsidRPr="0089354C">
        <w:rPr>
          <w:szCs w:val="24"/>
          <w:lang w:val="sk-SK"/>
        </w:rPr>
        <w:t>€</w:t>
      </w:r>
      <w:r w:rsidR="00572ABD" w:rsidRPr="0089354C">
        <w:rPr>
          <w:lang w:val="sk-SK"/>
        </w:rPr>
        <w:t xml:space="preserve"> zo zdrojov </w:t>
      </w:r>
      <w:r w:rsidR="00572ABD" w:rsidRPr="0089354C">
        <w:rPr>
          <w:szCs w:val="24"/>
          <w:lang w:val="sk-SK"/>
        </w:rPr>
        <w:t xml:space="preserve">EÚ a 150 666 664,55 </w:t>
      </w:r>
      <w:r w:rsidR="00565EDA">
        <w:rPr>
          <w:szCs w:val="24"/>
          <w:lang w:val="sk-SK"/>
        </w:rPr>
        <w:t>€</w:t>
      </w:r>
      <w:r w:rsidRPr="0089354C">
        <w:rPr>
          <w:lang w:val="sk-SK"/>
        </w:rPr>
        <w:t xml:space="preserve"> zo zdrojov ŠR na spolufinancovanie.</w:t>
      </w:r>
    </w:p>
    <w:p w:rsidR="00260989" w:rsidRPr="0089354C" w:rsidRDefault="00260989" w:rsidP="0079491A">
      <w:pPr>
        <w:spacing w:after="120" w:line="320" w:lineRule="atLeast"/>
        <w:rPr>
          <w:bCs/>
          <w:szCs w:val="24"/>
          <w:lang w:val="sk-SK"/>
        </w:rPr>
      </w:pPr>
      <w:r w:rsidRPr="0089354C">
        <w:rPr>
          <w:szCs w:val="24"/>
          <w:lang w:val="sk-SK"/>
        </w:rPr>
        <w:t>Na financovanie projektov sa prijímateľom okrem refundovaných prostriedkov za</w:t>
      </w:r>
      <w:r w:rsidR="00302357">
        <w:rPr>
          <w:szCs w:val="24"/>
          <w:lang w:val="sk-SK"/>
        </w:rPr>
        <w:t> </w:t>
      </w:r>
      <w:r w:rsidRPr="0089354C">
        <w:rPr>
          <w:szCs w:val="24"/>
          <w:lang w:val="sk-SK"/>
        </w:rPr>
        <w:t xml:space="preserve">realizované a schválené oprávnené výdavky poskytuje aj zálohové financovanie zo zdrojov štátneho rozpočtu (t. j. zálohové platby alebo </w:t>
      </w:r>
      <w:proofErr w:type="spellStart"/>
      <w:r w:rsidRPr="0089354C">
        <w:rPr>
          <w:szCs w:val="24"/>
          <w:lang w:val="sk-SK"/>
        </w:rPr>
        <w:t>predfinancovanie</w:t>
      </w:r>
      <w:proofErr w:type="spellEnd"/>
      <w:r w:rsidRPr="0089354C">
        <w:rPr>
          <w:szCs w:val="24"/>
          <w:lang w:val="sk-SK"/>
        </w:rPr>
        <w:t xml:space="preserve">). K 31.12.2014 je na úrovni prijímateľov poskytnutých a k tomuto dátumu </w:t>
      </w:r>
      <w:r w:rsidRPr="0089354C">
        <w:rPr>
          <w:bCs/>
          <w:szCs w:val="24"/>
          <w:lang w:val="sk-SK"/>
        </w:rPr>
        <w:t xml:space="preserve">nezúčtovaných celkom 10 020 965,65 </w:t>
      </w:r>
      <w:r w:rsidR="00565EDA">
        <w:rPr>
          <w:bCs/>
          <w:szCs w:val="24"/>
          <w:lang w:val="sk-SK"/>
        </w:rPr>
        <w:t>€</w:t>
      </w:r>
      <w:r w:rsidRPr="0089354C">
        <w:rPr>
          <w:szCs w:val="24"/>
          <w:lang w:val="sk-SK"/>
        </w:rPr>
        <w:t xml:space="preserve"> (8 912 346,67 </w:t>
      </w:r>
      <w:r w:rsidR="00565EDA">
        <w:rPr>
          <w:szCs w:val="24"/>
          <w:lang w:val="sk-SK"/>
        </w:rPr>
        <w:t>€</w:t>
      </w:r>
      <w:r w:rsidRPr="0089354C">
        <w:rPr>
          <w:szCs w:val="24"/>
          <w:lang w:val="sk-SK"/>
        </w:rPr>
        <w:t xml:space="preserve"> za zdroj EÚ, 1 108 618,98 </w:t>
      </w:r>
      <w:r w:rsidR="00565EDA">
        <w:rPr>
          <w:szCs w:val="24"/>
          <w:lang w:val="sk-SK"/>
        </w:rPr>
        <w:t>€</w:t>
      </w:r>
      <w:r w:rsidRPr="0089354C">
        <w:rPr>
          <w:szCs w:val="24"/>
          <w:lang w:val="sk-SK"/>
        </w:rPr>
        <w:t xml:space="preserve"> za zdroj spolufinancovania zo štátneho rozpočtu). Celkové čerpanie ROP k 31.12.2014 na úrovni platobnej jednotky, t. j. súčet výdavkov schválených certifikačným orgánom v SŽP znížených o nezrovnalosti a prostriedkov poskytnutých prijímateľom, ktoré neboli k tomuto termínu zúčtované, predstavuje sumu 1 353 263 971,41 </w:t>
      </w:r>
      <w:r w:rsidR="00565EDA">
        <w:rPr>
          <w:szCs w:val="24"/>
          <w:lang w:val="sk-SK"/>
        </w:rPr>
        <w:t>€</w:t>
      </w:r>
      <w:r w:rsidRPr="0089354C">
        <w:rPr>
          <w:szCs w:val="24"/>
          <w:lang w:val="sk-SK"/>
        </w:rPr>
        <w:t xml:space="preserve">. Z toho za zdroj EÚ sumu 1 203 227 706,75 </w:t>
      </w:r>
      <w:r w:rsidR="00565EDA">
        <w:rPr>
          <w:szCs w:val="24"/>
          <w:lang w:val="sk-SK"/>
        </w:rPr>
        <w:t>€</w:t>
      </w:r>
      <w:r w:rsidRPr="0089354C">
        <w:rPr>
          <w:szCs w:val="24"/>
          <w:lang w:val="sk-SK"/>
        </w:rPr>
        <w:t xml:space="preserve"> a za zdroj spolufinancovania zo štátneho rozpočtu sumu 150 036 264,66 </w:t>
      </w:r>
      <w:r w:rsidR="00565EDA">
        <w:rPr>
          <w:szCs w:val="24"/>
          <w:lang w:val="sk-SK"/>
        </w:rPr>
        <w:t>€</w:t>
      </w:r>
      <w:r w:rsidRPr="0089354C">
        <w:rPr>
          <w:szCs w:val="24"/>
          <w:lang w:val="sk-SK"/>
        </w:rPr>
        <w:t xml:space="preserve">. </w:t>
      </w:r>
      <w:r w:rsidRPr="0089354C">
        <w:rPr>
          <w:bCs/>
          <w:szCs w:val="24"/>
          <w:lang w:val="sk-SK"/>
        </w:rPr>
        <w:t>Podiel celkového čerpania za</w:t>
      </w:r>
      <w:r w:rsidR="00302357">
        <w:rPr>
          <w:bCs/>
          <w:szCs w:val="24"/>
          <w:lang w:val="sk-SK"/>
        </w:rPr>
        <w:t> </w:t>
      </w:r>
      <w:r w:rsidRPr="0089354C">
        <w:rPr>
          <w:bCs/>
          <w:szCs w:val="24"/>
          <w:lang w:val="sk-SK"/>
        </w:rPr>
        <w:t>zdroj EÚ na úrovni PJ na celkovom záväzku 2007-2013 predstavuje za ROP 77,40 %.</w:t>
      </w:r>
    </w:p>
    <w:p w:rsidR="0079491A" w:rsidRDefault="0079491A" w:rsidP="0079491A">
      <w:pPr>
        <w:spacing w:after="120" w:line="320" w:lineRule="atLeast"/>
        <w:ind w:left="-5" w:right="0" w:hanging="10"/>
        <w:jc w:val="left"/>
        <w:rPr>
          <w:b/>
          <w:lang w:val="sk-SK"/>
        </w:rPr>
      </w:pPr>
    </w:p>
    <w:p w:rsidR="00BD5CDA" w:rsidRPr="0089354C" w:rsidRDefault="00BD5CDA" w:rsidP="00302357">
      <w:pPr>
        <w:spacing w:after="0" w:line="240" w:lineRule="auto"/>
        <w:ind w:left="-5" w:right="0" w:hanging="10"/>
        <w:jc w:val="left"/>
        <w:rPr>
          <w:lang w:val="sk-SK"/>
        </w:rPr>
      </w:pPr>
      <w:r w:rsidRPr="0089354C">
        <w:rPr>
          <w:b/>
          <w:lang w:val="sk-SK"/>
        </w:rPr>
        <w:lastRenderedPageBreak/>
        <w:t>Čerpanie  fin</w:t>
      </w:r>
      <w:r w:rsidR="00605D4F" w:rsidRPr="0089354C">
        <w:rPr>
          <w:b/>
          <w:lang w:val="sk-SK"/>
        </w:rPr>
        <w:t>ančných prostriedkov za obdobie 2007-</w:t>
      </w:r>
      <w:r w:rsidR="003D33C5" w:rsidRPr="0089354C">
        <w:rPr>
          <w:b/>
          <w:lang w:val="sk-SK"/>
        </w:rPr>
        <w:t>2014</w:t>
      </w:r>
      <w:r w:rsidRPr="0089354C">
        <w:rPr>
          <w:b/>
          <w:lang w:val="sk-SK"/>
        </w:rPr>
        <w:t xml:space="preserve"> v €  (zdroje ERDF a ŠR)</w:t>
      </w:r>
      <w:r w:rsidRPr="0089354C">
        <w:rPr>
          <w:lang w:val="sk-SK"/>
        </w:rPr>
        <w:t xml:space="preserve"> </w:t>
      </w:r>
    </w:p>
    <w:p w:rsidR="00BD5CDA" w:rsidRPr="0089354C" w:rsidRDefault="00302357" w:rsidP="00302357">
      <w:pPr>
        <w:spacing w:after="0" w:line="240" w:lineRule="auto"/>
        <w:ind w:right="235" w:firstLine="0"/>
        <w:jc w:val="right"/>
        <w:rPr>
          <w:lang w:val="sk-SK"/>
        </w:rPr>
      </w:pPr>
      <w:r>
        <w:rPr>
          <w:sz w:val="20"/>
          <w:lang w:val="sk-SK"/>
        </w:rPr>
        <w:t>Tabuľka 1</w:t>
      </w:r>
      <w:r w:rsidR="00BD5CDA" w:rsidRPr="0089354C">
        <w:rPr>
          <w:sz w:val="20"/>
          <w:lang w:val="sk-SK"/>
        </w:rPr>
        <w:t xml:space="preserve"> </w:t>
      </w:r>
    </w:p>
    <w:tbl>
      <w:tblPr>
        <w:tblStyle w:val="TableGrid"/>
        <w:tblW w:w="901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 w:type="dxa"/>
          <w:left w:w="106" w:type="dxa"/>
          <w:right w:w="49" w:type="dxa"/>
        </w:tblCellMar>
        <w:tblLook w:val="04A0"/>
      </w:tblPr>
      <w:tblGrid>
        <w:gridCol w:w="3346"/>
        <w:gridCol w:w="1850"/>
        <w:gridCol w:w="1679"/>
        <w:gridCol w:w="2138"/>
      </w:tblGrid>
      <w:tr w:rsidR="00BD5CDA" w:rsidRPr="0089354C" w:rsidTr="00E83F0E">
        <w:trPr>
          <w:trHeight w:val="777"/>
        </w:trPr>
        <w:tc>
          <w:tcPr>
            <w:tcW w:w="3346" w:type="dxa"/>
            <w:tcBorders>
              <w:bottom w:val="single" w:sz="8" w:space="0" w:color="auto"/>
            </w:tcBorders>
            <w:shd w:val="clear" w:color="auto" w:fill="C2D69B"/>
            <w:vAlign w:val="center"/>
          </w:tcPr>
          <w:p w:rsidR="00BD5CDA" w:rsidRPr="0089354C" w:rsidRDefault="00BD5CDA" w:rsidP="00302357">
            <w:pPr>
              <w:spacing w:after="0" w:line="240" w:lineRule="auto"/>
              <w:ind w:right="0" w:firstLine="0"/>
              <w:jc w:val="left"/>
              <w:rPr>
                <w:lang w:val="sk-SK"/>
              </w:rPr>
            </w:pPr>
            <w:r w:rsidRPr="0089354C">
              <w:rPr>
                <w:b/>
                <w:lang w:val="sk-SK"/>
              </w:rPr>
              <w:t xml:space="preserve">Programový dokument </w:t>
            </w:r>
          </w:p>
        </w:tc>
        <w:tc>
          <w:tcPr>
            <w:tcW w:w="1850" w:type="dxa"/>
            <w:tcBorders>
              <w:bottom w:val="single" w:sz="8" w:space="0" w:color="auto"/>
            </w:tcBorders>
            <w:shd w:val="clear" w:color="auto" w:fill="C2D69B"/>
            <w:vAlign w:val="center"/>
          </w:tcPr>
          <w:p w:rsidR="00BD5CDA" w:rsidRPr="0089354C" w:rsidRDefault="00BD5CDA" w:rsidP="00302357">
            <w:pPr>
              <w:spacing w:after="0" w:line="240" w:lineRule="auto"/>
              <w:ind w:right="60" w:firstLine="0"/>
              <w:jc w:val="center"/>
              <w:rPr>
                <w:lang w:val="sk-SK"/>
              </w:rPr>
            </w:pPr>
            <w:r w:rsidRPr="0089354C">
              <w:rPr>
                <w:b/>
                <w:lang w:val="sk-SK"/>
              </w:rPr>
              <w:t>ERDF</w:t>
            </w:r>
          </w:p>
        </w:tc>
        <w:tc>
          <w:tcPr>
            <w:tcW w:w="1679" w:type="dxa"/>
            <w:tcBorders>
              <w:bottom w:val="single" w:sz="8" w:space="0" w:color="auto"/>
            </w:tcBorders>
            <w:shd w:val="clear" w:color="auto" w:fill="C2D69B"/>
            <w:vAlign w:val="center"/>
          </w:tcPr>
          <w:p w:rsidR="00BD5CDA" w:rsidRPr="0089354C" w:rsidRDefault="00BD5CDA" w:rsidP="00302357">
            <w:pPr>
              <w:spacing w:after="0" w:line="240" w:lineRule="auto"/>
              <w:ind w:right="56" w:firstLine="0"/>
              <w:jc w:val="center"/>
              <w:rPr>
                <w:lang w:val="sk-SK"/>
              </w:rPr>
            </w:pPr>
            <w:r w:rsidRPr="0089354C">
              <w:rPr>
                <w:b/>
                <w:lang w:val="sk-SK"/>
              </w:rPr>
              <w:t xml:space="preserve">ŠR </w:t>
            </w:r>
          </w:p>
        </w:tc>
        <w:tc>
          <w:tcPr>
            <w:tcW w:w="2138" w:type="dxa"/>
            <w:tcBorders>
              <w:bottom w:val="single" w:sz="8" w:space="0" w:color="auto"/>
            </w:tcBorders>
            <w:shd w:val="clear" w:color="auto" w:fill="C2D69B"/>
          </w:tcPr>
          <w:p w:rsidR="00BD5CDA" w:rsidRPr="0089354C" w:rsidRDefault="00BD5CDA" w:rsidP="00302357">
            <w:pPr>
              <w:spacing w:after="0" w:line="240" w:lineRule="auto"/>
              <w:ind w:right="0" w:firstLine="0"/>
              <w:jc w:val="center"/>
              <w:rPr>
                <w:lang w:val="sk-SK"/>
              </w:rPr>
            </w:pPr>
            <w:r w:rsidRPr="0089354C">
              <w:rPr>
                <w:b/>
                <w:lang w:val="sk-SK"/>
              </w:rPr>
              <w:t xml:space="preserve">Spolu Nenávratný finančný príspevok </w:t>
            </w:r>
          </w:p>
          <w:p w:rsidR="00BD5CDA" w:rsidRPr="0089354C" w:rsidRDefault="00BD5CDA" w:rsidP="00302357">
            <w:pPr>
              <w:spacing w:after="0" w:line="240" w:lineRule="auto"/>
              <w:ind w:right="53" w:firstLine="0"/>
              <w:jc w:val="center"/>
              <w:rPr>
                <w:lang w:val="sk-SK"/>
              </w:rPr>
            </w:pPr>
            <w:r w:rsidRPr="0089354C">
              <w:rPr>
                <w:b/>
                <w:lang w:val="sk-SK"/>
              </w:rPr>
              <w:t xml:space="preserve">(ERDF+ŠR) </w:t>
            </w:r>
          </w:p>
        </w:tc>
      </w:tr>
      <w:tr w:rsidR="00BD5CDA" w:rsidRPr="0089354C" w:rsidTr="00E83F0E">
        <w:trPr>
          <w:trHeight w:val="318"/>
        </w:trPr>
        <w:tc>
          <w:tcPr>
            <w:tcW w:w="3346" w:type="dxa"/>
            <w:shd w:val="clear" w:color="auto" w:fill="FFFFFF" w:themeFill="background1"/>
          </w:tcPr>
          <w:p w:rsidR="00BD5CDA" w:rsidRPr="00E83F0E" w:rsidRDefault="00BD5CDA" w:rsidP="00302357">
            <w:pPr>
              <w:spacing w:after="0" w:line="240" w:lineRule="auto"/>
              <w:ind w:right="0" w:firstLine="0"/>
              <w:jc w:val="left"/>
              <w:rPr>
                <w:lang w:val="sk-SK"/>
              </w:rPr>
            </w:pPr>
            <w:r w:rsidRPr="00E83F0E">
              <w:rPr>
                <w:lang w:val="sk-SK"/>
              </w:rPr>
              <w:t xml:space="preserve">Regionálny operačný program </w:t>
            </w:r>
          </w:p>
        </w:tc>
        <w:tc>
          <w:tcPr>
            <w:tcW w:w="1850" w:type="dxa"/>
            <w:shd w:val="clear" w:color="auto" w:fill="FFFFFF" w:themeFill="background1"/>
            <w:vAlign w:val="center"/>
          </w:tcPr>
          <w:p w:rsidR="00BD5CDA" w:rsidRPr="0089354C" w:rsidRDefault="002A656E" w:rsidP="00E83F0E">
            <w:pPr>
              <w:spacing w:after="0" w:line="240" w:lineRule="auto"/>
              <w:ind w:right="56" w:firstLine="0"/>
              <w:jc w:val="right"/>
              <w:rPr>
                <w:lang w:val="sk-SK"/>
              </w:rPr>
            </w:pPr>
            <w:r w:rsidRPr="0089354C">
              <w:rPr>
                <w:lang w:val="sk-SK"/>
              </w:rPr>
              <w:t>1 194 315 360,08</w:t>
            </w:r>
            <w:r w:rsidR="00BD5CDA" w:rsidRPr="0089354C">
              <w:rPr>
                <w:lang w:val="sk-SK"/>
              </w:rPr>
              <w:t xml:space="preserve"> </w:t>
            </w:r>
          </w:p>
        </w:tc>
        <w:tc>
          <w:tcPr>
            <w:tcW w:w="1679" w:type="dxa"/>
            <w:shd w:val="clear" w:color="auto" w:fill="FFFFFF" w:themeFill="background1"/>
            <w:vAlign w:val="center"/>
          </w:tcPr>
          <w:p w:rsidR="00BD5CDA" w:rsidRPr="0089354C" w:rsidRDefault="0048301D" w:rsidP="00E83F0E">
            <w:pPr>
              <w:spacing w:after="0" w:line="240" w:lineRule="auto"/>
              <w:ind w:left="78" w:right="0" w:firstLine="0"/>
              <w:jc w:val="right"/>
              <w:rPr>
                <w:lang w:val="sk-SK"/>
              </w:rPr>
            </w:pPr>
            <w:r w:rsidRPr="0089354C">
              <w:rPr>
                <w:lang w:val="sk-SK"/>
              </w:rPr>
              <w:t>210 761 534,10</w:t>
            </w:r>
            <w:r w:rsidR="00BD5CDA" w:rsidRPr="0089354C">
              <w:rPr>
                <w:lang w:val="sk-SK"/>
              </w:rPr>
              <w:t xml:space="preserve"> </w:t>
            </w:r>
          </w:p>
        </w:tc>
        <w:tc>
          <w:tcPr>
            <w:tcW w:w="2138" w:type="dxa"/>
            <w:shd w:val="clear" w:color="auto" w:fill="FFFFFF" w:themeFill="background1"/>
            <w:vAlign w:val="center"/>
          </w:tcPr>
          <w:p w:rsidR="00BD5CDA" w:rsidRPr="0089354C" w:rsidRDefault="0048301D" w:rsidP="00E83F0E">
            <w:pPr>
              <w:spacing w:after="0" w:line="240" w:lineRule="auto"/>
              <w:ind w:right="53" w:firstLine="0"/>
              <w:jc w:val="right"/>
              <w:rPr>
                <w:lang w:val="sk-SK"/>
              </w:rPr>
            </w:pPr>
            <w:r w:rsidRPr="0089354C">
              <w:rPr>
                <w:lang w:val="sk-SK"/>
              </w:rPr>
              <w:t>1 405 076 894,18</w:t>
            </w:r>
            <w:r w:rsidR="00BD5CDA" w:rsidRPr="0089354C">
              <w:rPr>
                <w:lang w:val="sk-SK"/>
              </w:rPr>
              <w:t xml:space="preserve"> </w:t>
            </w:r>
          </w:p>
        </w:tc>
      </w:tr>
      <w:tr w:rsidR="00BD5CDA" w:rsidRPr="0089354C" w:rsidTr="00E83F0E">
        <w:trPr>
          <w:trHeight w:val="530"/>
        </w:trPr>
        <w:tc>
          <w:tcPr>
            <w:tcW w:w="3346" w:type="dxa"/>
            <w:shd w:val="clear" w:color="auto" w:fill="FFFFFF" w:themeFill="background1"/>
          </w:tcPr>
          <w:p w:rsidR="00BD5CDA" w:rsidRPr="00E83F0E" w:rsidRDefault="00BD5CDA" w:rsidP="00302357">
            <w:pPr>
              <w:spacing w:after="0" w:line="240" w:lineRule="auto"/>
              <w:ind w:right="0" w:firstLine="0"/>
              <w:jc w:val="left"/>
              <w:rPr>
                <w:lang w:val="sk-SK"/>
              </w:rPr>
            </w:pPr>
            <w:r w:rsidRPr="00E83F0E">
              <w:rPr>
                <w:lang w:val="sk-SK"/>
              </w:rPr>
              <w:t xml:space="preserve">Operačný program Bratislavský kraj  </w:t>
            </w:r>
          </w:p>
        </w:tc>
        <w:tc>
          <w:tcPr>
            <w:tcW w:w="1850" w:type="dxa"/>
            <w:shd w:val="clear" w:color="auto" w:fill="FFFFFF" w:themeFill="background1"/>
            <w:vAlign w:val="center"/>
          </w:tcPr>
          <w:p w:rsidR="00BD5CDA" w:rsidRPr="0089354C" w:rsidRDefault="00A60489" w:rsidP="00E83F0E">
            <w:pPr>
              <w:spacing w:after="0" w:line="240" w:lineRule="auto"/>
              <w:ind w:right="55" w:firstLine="0"/>
              <w:jc w:val="right"/>
              <w:rPr>
                <w:lang w:val="sk-SK"/>
              </w:rPr>
            </w:pPr>
            <w:r w:rsidRPr="0089354C">
              <w:rPr>
                <w:lang w:val="sk-SK"/>
              </w:rPr>
              <w:t>56 159 115,41</w:t>
            </w:r>
            <w:r w:rsidR="00BD5CDA" w:rsidRPr="0089354C">
              <w:rPr>
                <w:lang w:val="sk-SK"/>
              </w:rPr>
              <w:t xml:space="preserve"> </w:t>
            </w:r>
          </w:p>
        </w:tc>
        <w:tc>
          <w:tcPr>
            <w:tcW w:w="1679" w:type="dxa"/>
            <w:shd w:val="clear" w:color="auto" w:fill="FFFFFF" w:themeFill="background1"/>
            <w:vAlign w:val="center"/>
          </w:tcPr>
          <w:p w:rsidR="00BD5CDA" w:rsidRPr="0089354C" w:rsidRDefault="00A60489" w:rsidP="00E83F0E">
            <w:pPr>
              <w:spacing w:after="0" w:line="240" w:lineRule="auto"/>
              <w:ind w:right="56" w:firstLine="0"/>
              <w:jc w:val="right"/>
              <w:rPr>
                <w:lang w:val="sk-SK"/>
              </w:rPr>
            </w:pPr>
            <w:r w:rsidRPr="0089354C">
              <w:rPr>
                <w:lang w:val="sk-SK"/>
              </w:rPr>
              <w:t>8 357 714,66</w:t>
            </w:r>
            <w:r w:rsidR="00BD5CDA" w:rsidRPr="0089354C">
              <w:rPr>
                <w:lang w:val="sk-SK"/>
              </w:rPr>
              <w:t xml:space="preserve"> </w:t>
            </w:r>
          </w:p>
        </w:tc>
        <w:tc>
          <w:tcPr>
            <w:tcW w:w="2138" w:type="dxa"/>
            <w:shd w:val="clear" w:color="auto" w:fill="FFFFFF" w:themeFill="background1"/>
            <w:vAlign w:val="center"/>
          </w:tcPr>
          <w:p w:rsidR="00BD5CDA" w:rsidRPr="0089354C" w:rsidRDefault="00A60489" w:rsidP="00E83F0E">
            <w:pPr>
              <w:spacing w:after="0" w:line="240" w:lineRule="auto"/>
              <w:ind w:right="53" w:firstLine="0"/>
              <w:jc w:val="right"/>
              <w:rPr>
                <w:lang w:val="sk-SK"/>
              </w:rPr>
            </w:pPr>
            <w:r w:rsidRPr="0089354C">
              <w:rPr>
                <w:lang w:val="sk-SK"/>
              </w:rPr>
              <w:t>64 516 830,07</w:t>
            </w:r>
            <w:r w:rsidR="00BD5CDA" w:rsidRPr="0089354C">
              <w:rPr>
                <w:lang w:val="sk-SK"/>
              </w:rPr>
              <w:t xml:space="preserve"> </w:t>
            </w:r>
          </w:p>
        </w:tc>
      </w:tr>
      <w:tr w:rsidR="00BD5CDA" w:rsidRPr="0089354C" w:rsidTr="00E83F0E">
        <w:trPr>
          <w:trHeight w:val="314"/>
        </w:trPr>
        <w:tc>
          <w:tcPr>
            <w:tcW w:w="3346" w:type="dxa"/>
            <w:shd w:val="clear" w:color="auto" w:fill="FFFFFF" w:themeFill="background1"/>
          </w:tcPr>
          <w:p w:rsidR="00BD5CDA" w:rsidRPr="00E83F0E" w:rsidRDefault="00BD5CDA" w:rsidP="00302357">
            <w:pPr>
              <w:spacing w:after="0" w:line="240" w:lineRule="auto"/>
              <w:ind w:right="0" w:firstLine="0"/>
              <w:jc w:val="left"/>
              <w:rPr>
                <w:lang w:val="sk-SK"/>
              </w:rPr>
            </w:pPr>
            <w:r w:rsidRPr="00E83F0E">
              <w:rPr>
                <w:lang w:val="sk-SK"/>
              </w:rPr>
              <w:t xml:space="preserve">Cezhraničná spolupráca ČR-SR </w:t>
            </w:r>
          </w:p>
        </w:tc>
        <w:tc>
          <w:tcPr>
            <w:tcW w:w="1850" w:type="dxa"/>
            <w:shd w:val="clear" w:color="auto" w:fill="FFFFFF" w:themeFill="background1"/>
            <w:vAlign w:val="center"/>
          </w:tcPr>
          <w:p w:rsidR="00BD5CDA" w:rsidRPr="0089354C" w:rsidRDefault="00556CA1" w:rsidP="00E83F0E">
            <w:pPr>
              <w:spacing w:after="0" w:line="240" w:lineRule="auto"/>
              <w:ind w:right="55" w:firstLine="0"/>
              <w:jc w:val="right"/>
              <w:rPr>
                <w:lang w:val="sk-SK"/>
              </w:rPr>
            </w:pPr>
            <w:r w:rsidRPr="0089354C">
              <w:rPr>
                <w:lang w:val="sk-SK"/>
              </w:rPr>
              <w:t>69 774 502,84</w:t>
            </w:r>
            <w:r w:rsidR="00BD5CDA" w:rsidRPr="0089354C">
              <w:rPr>
                <w:lang w:val="sk-SK"/>
              </w:rPr>
              <w:t xml:space="preserve"> </w:t>
            </w:r>
          </w:p>
        </w:tc>
        <w:tc>
          <w:tcPr>
            <w:tcW w:w="1679" w:type="dxa"/>
            <w:shd w:val="clear" w:color="auto" w:fill="FFFFFF" w:themeFill="background1"/>
            <w:vAlign w:val="center"/>
          </w:tcPr>
          <w:p w:rsidR="00BD5CDA" w:rsidRPr="0089354C" w:rsidRDefault="00556CA1" w:rsidP="00E83F0E">
            <w:pPr>
              <w:spacing w:after="0" w:line="240" w:lineRule="auto"/>
              <w:ind w:right="56" w:firstLine="0"/>
              <w:jc w:val="right"/>
              <w:rPr>
                <w:lang w:val="sk-SK"/>
              </w:rPr>
            </w:pPr>
            <w:r w:rsidRPr="0089354C">
              <w:rPr>
                <w:lang w:val="sk-SK"/>
              </w:rPr>
              <w:t>4 501 215,11</w:t>
            </w:r>
            <w:r w:rsidR="00BD5CDA" w:rsidRPr="0089354C">
              <w:rPr>
                <w:lang w:val="sk-SK"/>
              </w:rPr>
              <w:t xml:space="preserve"> </w:t>
            </w:r>
          </w:p>
        </w:tc>
        <w:tc>
          <w:tcPr>
            <w:tcW w:w="2138" w:type="dxa"/>
            <w:shd w:val="clear" w:color="auto" w:fill="FFFFFF" w:themeFill="background1"/>
            <w:vAlign w:val="center"/>
          </w:tcPr>
          <w:p w:rsidR="00BD5CDA" w:rsidRPr="0089354C" w:rsidRDefault="00556CA1" w:rsidP="00E83F0E">
            <w:pPr>
              <w:spacing w:after="0" w:line="240" w:lineRule="auto"/>
              <w:ind w:right="53" w:firstLine="0"/>
              <w:jc w:val="right"/>
              <w:rPr>
                <w:lang w:val="sk-SK"/>
              </w:rPr>
            </w:pPr>
            <w:r w:rsidRPr="0089354C">
              <w:rPr>
                <w:lang w:val="sk-SK"/>
              </w:rPr>
              <w:t>74 275 717,95</w:t>
            </w:r>
            <w:r w:rsidR="00BD5CDA" w:rsidRPr="0089354C">
              <w:rPr>
                <w:lang w:val="sk-SK"/>
              </w:rPr>
              <w:t xml:space="preserve"> </w:t>
            </w:r>
          </w:p>
        </w:tc>
      </w:tr>
      <w:tr w:rsidR="00BD5CDA" w:rsidRPr="0089354C" w:rsidTr="00E83F0E">
        <w:trPr>
          <w:trHeight w:val="341"/>
        </w:trPr>
        <w:tc>
          <w:tcPr>
            <w:tcW w:w="3346" w:type="dxa"/>
            <w:shd w:val="clear" w:color="auto" w:fill="FFFFFF" w:themeFill="background1"/>
          </w:tcPr>
          <w:p w:rsidR="00BD5CDA" w:rsidRPr="00E83F0E" w:rsidRDefault="00BD5CDA" w:rsidP="00302357">
            <w:pPr>
              <w:spacing w:after="0" w:line="240" w:lineRule="auto"/>
              <w:ind w:right="0" w:firstLine="0"/>
              <w:jc w:val="left"/>
              <w:rPr>
                <w:lang w:val="sk-SK"/>
              </w:rPr>
            </w:pPr>
            <w:r w:rsidRPr="00E83F0E">
              <w:rPr>
                <w:lang w:val="sk-SK"/>
              </w:rPr>
              <w:t xml:space="preserve">OP Cezhraničnej spolupráce** </w:t>
            </w:r>
          </w:p>
        </w:tc>
        <w:tc>
          <w:tcPr>
            <w:tcW w:w="1850" w:type="dxa"/>
            <w:shd w:val="clear" w:color="auto" w:fill="FFFFFF" w:themeFill="background1"/>
            <w:vAlign w:val="center"/>
          </w:tcPr>
          <w:p w:rsidR="00BD5CDA" w:rsidRPr="0089354C" w:rsidRDefault="00BD5CDA" w:rsidP="00E83F0E">
            <w:pPr>
              <w:spacing w:after="0" w:line="240" w:lineRule="auto"/>
              <w:ind w:right="55" w:firstLine="0"/>
              <w:jc w:val="right"/>
              <w:rPr>
                <w:lang w:val="sk-SK"/>
              </w:rPr>
            </w:pPr>
            <w:r w:rsidRPr="0089354C">
              <w:rPr>
                <w:lang w:val="sk-SK"/>
              </w:rPr>
              <w:t xml:space="preserve">0,00 </w:t>
            </w:r>
          </w:p>
        </w:tc>
        <w:tc>
          <w:tcPr>
            <w:tcW w:w="1679" w:type="dxa"/>
            <w:shd w:val="clear" w:color="auto" w:fill="FFFFFF" w:themeFill="background1"/>
            <w:vAlign w:val="center"/>
          </w:tcPr>
          <w:p w:rsidR="00BD5CDA" w:rsidRPr="0089354C" w:rsidRDefault="007E2F73" w:rsidP="00E83F0E">
            <w:pPr>
              <w:spacing w:after="0" w:line="240" w:lineRule="auto"/>
              <w:ind w:right="56" w:firstLine="0"/>
              <w:jc w:val="right"/>
              <w:rPr>
                <w:lang w:val="sk-SK"/>
              </w:rPr>
            </w:pPr>
            <w:r w:rsidRPr="0089354C">
              <w:rPr>
                <w:lang w:val="sk-SK"/>
              </w:rPr>
              <w:t>17 852 269,24</w:t>
            </w:r>
            <w:r w:rsidR="00BD5CDA" w:rsidRPr="0089354C">
              <w:rPr>
                <w:lang w:val="sk-SK"/>
              </w:rPr>
              <w:t xml:space="preserve"> </w:t>
            </w:r>
          </w:p>
        </w:tc>
        <w:tc>
          <w:tcPr>
            <w:tcW w:w="2138" w:type="dxa"/>
            <w:shd w:val="clear" w:color="auto" w:fill="FFFFFF" w:themeFill="background1"/>
            <w:vAlign w:val="center"/>
          </w:tcPr>
          <w:p w:rsidR="00BD5CDA" w:rsidRPr="0089354C" w:rsidRDefault="007E2F73" w:rsidP="00E83F0E">
            <w:pPr>
              <w:spacing w:after="0" w:line="240" w:lineRule="auto"/>
              <w:ind w:right="53" w:firstLine="0"/>
              <w:jc w:val="right"/>
              <w:rPr>
                <w:lang w:val="sk-SK"/>
              </w:rPr>
            </w:pPr>
            <w:r w:rsidRPr="0089354C">
              <w:rPr>
                <w:lang w:val="sk-SK"/>
              </w:rPr>
              <w:t>17 852 269,24</w:t>
            </w:r>
            <w:r w:rsidR="00BD5CDA" w:rsidRPr="0089354C">
              <w:rPr>
                <w:lang w:val="sk-SK"/>
              </w:rPr>
              <w:t xml:space="preserve"> </w:t>
            </w:r>
          </w:p>
        </w:tc>
      </w:tr>
      <w:tr w:rsidR="00BD5CDA" w:rsidRPr="00CC5B4A" w:rsidTr="00E83F0E">
        <w:trPr>
          <w:trHeight w:val="330"/>
        </w:trPr>
        <w:tc>
          <w:tcPr>
            <w:tcW w:w="3346" w:type="dxa"/>
            <w:shd w:val="clear" w:color="auto" w:fill="FFFFFF" w:themeFill="background1"/>
          </w:tcPr>
          <w:p w:rsidR="00BD5CDA" w:rsidRPr="0089354C" w:rsidRDefault="00BD5CDA" w:rsidP="00302357">
            <w:pPr>
              <w:spacing w:after="0" w:line="240" w:lineRule="auto"/>
              <w:ind w:right="0" w:firstLine="0"/>
              <w:jc w:val="left"/>
              <w:rPr>
                <w:lang w:val="sk-SK"/>
              </w:rPr>
            </w:pPr>
            <w:r w:rsidRPr="0089354C">
              <w:rPr>
                <w:b/>
                <w:lang w:val="sk-SK"/>
              </w:rPr>
              <w:t xml:space="preserve">Spolu </w:t>
            </w:r>
          </w:p>
        </w:tc>
        <w:tc>
          <w:tcPr>
            <w:tcW w:w="1850" w:type="dxa"/>
            <w:shd w:val="clear" w:color="auto" w:fill="FFFFFF" w:themeFill="background1"/>
            <w:vAlign w:val="center"/>
          </w:tcPr>
          <w:p w:rsidR="00BD5CDA" w:rsidRPr="0089354C" w:rsidRDefault="00605D4F" w:rsidP="00E83F0E">
            <w:pPr>
              <w:spacing w:after="0" w:line="240" w:lineRule="auto"/>
              <w:ind w:right="55" w:firstLine="0"/>
              <w:jc w:val="right"/>
              <w:rPr>
                <w:lang w:val="sk-SK"/>
              </w:rPr>
            </w:pPr>
            <w:r w:rsidRPr="0089354C">
              <w:rPr>
                <w:b/>
                <w:lang w:val="sk-SK"/>
              </w:rPr>
              <w:t>1 320 248 978,33</w:t>
            </w:r>
            <w:r w:rsidR="00BD5CDA" w:rsidRPr="0089354C">
              <w:rPr>
                <w:b/>
                <w:lang w:val="sk-SK"/>
              </w:rPr>
              <w:t xml:space="preserve"> </w:t>
            </w:r>
          </w:p>
        </w:tc>
        <w:tc>
          <w:tcPr>
            <w:tcW w:w="1679" w:type="dxa"/>
            <w:shd w:val="clear" w:color="auto" w:fill="FFFFFF" w:themeFill="background1"/>
            <w:vAlign w:val="center"/>
          </w:tcPr>
          <w:p w:rsidR="00BD5CDA" w:rsidRPr="0089354C" w:rsidRDefault="00605D4F" w:rsidP="00E83F0E">
            <w:pPr>
              <w:spacing w:after="0" w:line="240" w:lineRule="auto"/>
              <w:ind w:left="78" w:right="0" w:firstLine="0"/>
              <w:jc w:val="right"/>
              <w:rPr>
                <w:lang w:val="sk-SK"/>
              </w:rPr>
            </w:pPr>
            <w:r w:rsidRPr="0089354C">
              <w:rPr>
                <w:b/>
                <w:lang w:val="sk-SK"/>
              </w:rPr>
              <w:t>241 472 733,11</w:t>
            </w:r>
          </w:p>
        </w:tc>
        <w:tc>
          <w:tcPr>
            <w:tcW w:w="2138" w:type="dxa"/>
            <w:shd w:val="clear" w:color="auto" w:fill="FFFFFF" w:themeFill="background1"/>
            <w:vAlign w:val="center"/>
          </w:tcPr>
          <w:p w:rsidR="00BD5CDA" w:rsidRPr="0089354C" w:rsidRDefault="00605D4F" w:rsidP="00E83F0E">
            <w:pPr>
              <w:spacing w:after="0" w:line="240" w:lineRule="auto"/>
              <w:ind w:right="53" w:firstLine="0"/>
              <w:jc w:val="right"/>
              <w:rPr>
                <w:lang w:val="sk-SK"/>
              </w:rPr>
            </w:pPr>
            <w:r w:rsidRPr="0089354C">
              <w:rPr>
                <w:b/>
                <w:lang w:val="sk-SK"/>
              </w:rPr>
              <w:t xml:space="preserve"> 1 561 721 711,44</w:t>
            </w:r>
            <w:r w:rsidR="00BD5CDA" w:rsidRPr="0089354C">
              <w:rPr>
                <w:b/>
                <w:lang w:val="sk-SK"/>
              </w:rPr>
              <w:t xml:space="preserve"> </w:t>
            </w:r>
          </w:p>
        </w:tc>
      </w:tr>
    </w:tbl>
    <w:p w:rsidR="00BD5CDA" w:rsidRPr="00CC5B4A" w:rsidRDefault="00BD5CDA" w:rsidP="00302357">
      <w:pPr>
        <w:spacing w:after="0" w:line="240" w:lineRule="auto"/>
        <w:ind w:left="-5" w:right="0" w:hanging="10"/>
        <w:rPr>
          <w:lang w:val="sk-SK"/>
        </w:rPr>
      </w:pPr>
      <w:r w:rsidRPr="00CC5B4A">
        <w:rPr>
          <w:sz w:val="20"/>
          <w:lang w:val="sk-SK"/>
        </w:rPr>
        <w:t xml:space="preserve">Prameň: </w:t>
      </w:r>
      <w:r w:rsidR="0079491A">
        <w:rPr>
          <w:sz w:val="20"/>
          <w:lang w:val="sk-SK"/>
        </w:rPr>
        <w:t>MPRV SR</w:t>
      </w:r>
    </w:p>
    <w:p w:rsidR="00BD5CDA" w:rsidRPr="00CC5B4A" w:rsidRDefault="00BD5CDA" w:rsidP="00302357">
      <w:pPr>
        <w:spacing w:after="0" w:line="240" w:lineRule="auto"/>
        <w:ind w:left="-5" w:right="0" w:hanging="10"/>
        <w:rPr>
          <w:lang w:val="sk-SK"/>
        </w:rPr>
      </w:pPr>
      <w:r w:rsidRPr="00CC5B4A">
        <w:rPr>
          <w:sz w:val="20"/>
          <w:lang w:val="sk-SK"/>
        </w:rPr>
        <w:t xml:space="preserve">** V prípade programov Cezhraničnej spolupráce 2007-2013 okrem programu Cezhraničná spolupráca ČR-SR platobná jednotka uhrádza len časť spolufinancovania zo štátneho rozpočtu. </w:t>
      </w:r>
    </w:p>
    <w:p w:rsidR="00BD5CDA" w:rsidRPr="00CC5B4A" w:rsidRDefault="00BD5CDA" w:rsidP="0079491A">
      <w:pPr>
        <w:spacing w:after="120" w:line="320" w:lineRule="atLeast"/>
        <w:ind w:right="0" w:firstLine="0"/>
        <w:jc w:val="left"/>
        <w:rPr>
          <w:lang w:val="sk-SK"/>
        </w:rPr>
      </w:pPr>
    </w:p>
    <w:p w:rsidR="00A00547" w:rsidRPr="00CC5B4A" w:rsidRDefault="00A00547" w:rsidP="0079491A">
      <w:pPr>
        <w:spacing w:after="120" w:line="320" w:lineRule="atLeast"/>
        <w:ind w:right="0" w:firstLine="0"/>
        <w:jc w:val="left"/>
        <w:rPr>
          <w:b/>
          <w:lang w:val="sk-SK"/>
        </w:rPr>
      </w:pPr>
      <w:r w:rsidRPr="0089354C">
        <w:rPr>
          <w:b/>
          <w:lang w:val="sk-SK"/>
        </w:rPr>
        <w:t>Integrovaný regionálny operačný prog</w:t>
      </w:r>
      <w:r w:rsidR="0079491A">
        <w:rPr>
          <w:b/>
          <w:lang w:val="sk-SK"/>
        </w:rPr>
        <w:t>r</w:t>
      </w:r>
      <w:r w:rsidRPr="0089354C">
        <w:rPr>
          <w:b/>
          <w:lang w:val="sk-SK"/>
        </w:rPr>
        <w:t>am</w:t>
      </w:r>
    </w:p>
    <w:p w:rsidR="00A00547" w:rsidRPr="0091796D" w:rsidRDefault="00A00547" w:rsidP="0079491A">
      <w:pPr>
        <w:spacing w:after="120" w:line="320" w:lineRule="atLeast"/>
        <w:rPr>
          <w:lang w:val="sk-SK"/>
        </w:rPr>
      </w:pPr>
      <w:r w:rsidRPr="00CC5B4A">
        <w:rPr>
          <w:lang w:val="sk-SK"/>
        </w:rPr>
        <w:t xml:space="preserve">Odbor prierezových činností a financovania projektov, oddelenie  prípravy programov regionálneho </w:t>
      </w:r>
      <w:r w:rsidRPr="0091796D">
        <w:rPr>
          <w:lang w:val="sk-SK"/>
        </w:rPr>
        <w:t>rozvoja zabezpeč</w:t>
      </w:r>
      <w:r w:rsidR="0095526E" w:rsidRPr="0091796D">
        <w:rPr>
          <w:lang w:val="sk-SK"/>
        </w:rPr>
        <w:t>ovalo v roku 2014</w:t>
      </w:r>
      <w:r w:rsidRPr="0091796D">
        <w:rPr>
          <w:lang w:val="sk-SK"/>
        </w:rPr>
        <w:t xml:space="preserve"> výkon úloh Riadiaceho orgánu pre IROP.</w:t>
      </w:r>
    </w:p>
    <w:p w:rsidR="00A00547" w:rsidRPr="00CC5B4A" w:rsidRDefault="00753E3E" w:rsidP="0079491A">
      <w:pPr>
        <w:spacing w:after="120" w:line="320" w:lineRule="atLeast"/>
        <w:rPr>
          <w:lang w:val="sk-SK"/>
        </w:rPr>
      </w:pPr>
      <w:r w:rsidRPr="0091796D">
        <w:rPr>
          <w:lang w:val="sk-SK"/>
        </w:rPr>
        <w:t>G</w:t>
      </w:r>
      <w:r w:rsidR="00A00547" w:rsidRPr="0091796D">
        <w:rPr>
          <w:lang w:val="sk-SK"/>
        </w:rPr>
        <w:t xml:space="preserve">lobálnym cieľom </w:t>
      </w:r>
      <w:r w:rsidRPr="0091796D">
        <w:rPr>
          <w:lang w:val="sk-SK"/>
        </w:rPr>
        <w:t xml:space="preserve">IROP </w:t>
      </w:r>
      <w:r w:rsidR="00A00547" w:rsidRPr="0091796D">
        <w:rPr>
          <w:lang w:val="sk-SK"/>
        </w:rPr>
        <w:t>je prispieť k zlepšeniu kvality života a zabezpečiť udržateľné poskytovanie verejných služieb s dopadom na vyvážený</w:t>
      </w:r>
      <w:r w:rsidR="00A00547" w:rsidRPr="00CC5B4A">
        <w:rPr>
          <w:lang w:val="sk-SK"/>
        </w:rPr>
        <w:t xml:space="preserve"> a udržateľný územný rozvoj, hospodársku, územnú a sociálnu súdržnosť regiónov, miest a obcí.</w:t>
      </w:r>
    </w:p>
    <w:p w:rsidR="00A00547" w:rsidRPr="00CC5B4A" w:rsidRDefault="00A00547" w:rsidP="0079491A">
      <w:pPr>
        <w:spacing w:after="120" w:line="320" w:lineRule="atLeast"/>
        <w:rPr>
          <w:lang w:val="sk-SK"/>
        </w:rPr>
      </w:pPr>
      <w:r w:rsidRPr="00CC5B4A">
        <w:rPr>
          <w:lang w:val="sk-SK"/>
        </w:rPr>
        <w:tab/>
        <w:t>IROP má mnohoodvetvový charakter a je vo svojej väčšine určený pre regionálnu a</w:t>
      </w:r>
      <w:r w:rsidR="0079491A">
        <w:rPr>
          <w:lang w:val="sk-SK"/>
        </w:rPr>
        <w:t> </w:t>
      </w:r>
      <w:r w:rsidRPr="00CC5B4A">
        <w:rPr>
          <w:lang w:val="sk-SK"/>
        </w:rPr>
        <w:t xml:space="preserve">miestnu samosprávu a má 6 prioritných osí. Oprávneným územím je celé územie Slovenska -  viac rozvinutý región Bratislavský samosprávny kraj a menej rozvinuté regióny – všetky ostatné samosprávne kraje. </w:t>
      </w:r>
    </w:p>
    <w:p w:rsidR="00A00547" w:rsidRPr="00CC5B4A" w:rsidRDefault="00A00547" w:rsidP="0079491A">
      <w:pPr>
        <w:spacing w:after="120" w:line="320" w:lineRule="atLeast"/>
        <w:ind w:right="6"/>
        <w:rPr>
          <w:lang w:val="sk-SK"/>
        </w:rPr>
      </w:pPr>
      <w:r w:rsidRPr="00CC5B4A">
        <w:rPr>
          <w:lang w:val="sk-SK"/>
        </w:rPr>
        <w:tab/>
        <w:t>Alokácia IROP predstavuje 1 754 490 415 € z Európskeho fondu regionálneho rozvoja (EFRR) a celková alokácia vrátane národného spol</w:t>
      </w:r>
      <w:r w:rsidR="000C7CE5">
        <w:rPr>
          <w:lang w:val="sk-SK"/>
        </w:rPr>
        <w:t xml:space="preserve">ufinancovania je 2 122 886 242 </w:t>
      </w:r>
      <w:r w:rsidR="00565EDA">
        <w:rPr>
          <w:lang w:val="sk-SK"/>
        </w:rPr>
        <w:t>€</w:t>
      </w:r>
      <w:r w:rsidRPr="00CC5B4A">
        <w:rPr>
          <w:lang w:val="sk-SK"/>
        </w:rPr>
        <w:t xml:space="preserve"> (národné zdroje v</w:t>
      </w:r>
      <w:r w:rsidR="000C7CE5">
        <w:rPr>
          <w:lang w:val="sk-SK"/>
        </w:rPr>
        <w:t xml:space="preserve">erejné sú vo výške 348 486 522 </w:t>
      </w:r>
      <w:r w:rsidR="00565EDA">
        <w:rPr>
          <w:lang w:val="sk-SK"/>
        </w:rPr>
        <w:t>€</w:t>
      </w:r>
      <w:r w:rsidRPr="00CC5B4A">
        <w:rPr>
          <w:lang w:val="sk-SK"/>
        </w:rPr>
        <w:t xml:space="preserve"> a s</w:t>
      </w:r>
      <w:r w:rsidR="000C7CE5">
        <w:rPr>
          <w:lang w:val="sk-SK"/>
        </w:rPr>
        <w:t xml:space="preserve">úkromné sú vo výške 19 909 305 </w:t>
      </w:r>
      <w:r w:rsidR="00565EDA">
        <w:rPr>
          <w:lang w:val="sk-SK"/>
        </w:rPr>
        <w:t>€</w:t>
      </w:r>
      <w:r w:rsidRPr="00CC5B4A">
        <w:rPr>
          <w:lang w:val="sk-SK"/>
        </w:rPr>
        <w:t xml:space="preserve">). </w:t>
      </w:r>
    </w:p>
    <w:p w:rsidR="00A00547" w:rsidRPr="0079491A" w:rsidRDefault="00A00547" w:rsidP="0079491A">
      <w:pPr>
        <w:spacing w:after="120" w:line="320" w:lineRule="atLeast"/>
        <w:ind w:right="6" w:firstLine="0"/>
        <w:rPr>
          <w:rFonts w:ascii="Arial" w:hAnsi="Arial" w:cs="Arial"/>
          <w:b/>
          <w:sz w:val="20"/>
          <w:szCs w:val="20"/>
          <w:u w:val="single"/>
          <w:lang w:val="sk-SK"/>
        </w:rPr>
      </w:pPr>
      <w:r w:rsidRPr="0079491A">
        <w:rPr>
          <w:b/>
          <w:u w:val="single"/>
          <w:lang w:val="sk-SK"/>
        </w:rPr>
        <w:t>Štruktúra IROP</w:t>
      </w:r>
      <w:r w:rsidRPr="0079491A">
        <w:rPr>
          <w:rFonts w:ascii="Arial" w:hAnsi="Arial" w:cs="Arial"/>
          <w:b/>
          <w:sz w:val="20"/>
          <w:szCs w:val="20"/>
          <w:u w:val="single"/>
          <w:lang w:val="sk-SK"/>
        </w:rPr>
        <w:t xml:space="preserve"> </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Prioritná os č. 1: Bezpečná a ekologická doprava v regiónoch</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 xml:space="preserve">Prioritná os č. 2: Ľahší prístup k efektívnym a kvalitnejším verejným službám </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 xml:space="preserve">Prioritná os č. 3: Mobilizácia kreatívneho potenciálu v regiónoch </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Prioritná os č. 4: Zlepšenie kvality života v regiónoch s dôrazom na životné prostredie</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Prioritná os č. 5: Miestny rozvoj vedený komunitou</w:t>
      </w:r>
    </w:p>
    <w:p w:rsidR="00A00547" w:rsidRPr="00CC5B4A" w:rsidRDefault="00A00547" w:rsidP="0079491A">
      <w:pPr>
        <w:spacing w:after="120" w:line="320" w:lineRule="atLeast"/>
        <w:ind w:firstLine="0"/>
        <w:rPr>
          <w:rFonts w:ascii="Arial" w:hAnsi="Arial" w:cs="Arial"/>
          <w:b/>
          <w:sz w:val="20"/>
          <w:szCs w:val="20"/>
          <w:lang w:val="sk-SK"/>
        </w:rPr>
      </w:pPr>
      <w:r w:rsidRPr="00CC5B4A">
        <w:rPr>
          <w:lang w:val="sk-SK"/>
        </w:rPr>
        <w:t>Prioritná os č. 6: Technická pomoc</w:t>
      </w:r>
    </w:p>
    <w:p w:rsidR="00A00547" w:rsidRPr="00747ED8" w:rsidRDefault="00A00547" w:rsidP="00747ED8">
      <w:pPr>
        <w:spacing w:after="120" w:line="320" w:lineRule="atLeast"/>
        <w:ind w:firstLine="0"/>
        <w:rPr>
          <w:b/>
          <w:szCs w:val="24"/>
          <w:lang w:val="sk-SK"/>
        </w:rPr>
      </w:pPr>
      <w:r w:rsidRPr="00747ED8">
        <w:rPr>
          <w:b/>
          <w:szCs w:val="24"/>
          <w:lang w:val="sk-SK"/>
        </w:rPr>
        <w:t xml:space="preserve">Prehľad aktivít jednotlivých prioritných osí: </w:t>
      </w:r>
    </w:p>
    <w:p w:rsidR="00A00547" w:rsidRPr="00CC5B4A" w:rsidRDefault="00A00547" w:rsidP="0079491A">
      <w:pPr>
        <w:pStyle w:val="Odsekzoznamu"/>
        <w:spacing w:after="120" w:line="320" w:lineRule="atLeast"/>
        <w:ind w:left="0"/>
        <w:jc w:val="both"/>
        <w:rPr>
          <w:rFonts w:ascii="Times New Roman" w:hAnsi="Times New Roman" w:cs="Times New Roman"/>
          <w:b/>
          <w:sz w:val="24"/>
          <w:szCs w:val="24"/>
          <w:u w:val="single"/>
        </w:rPr>
      </w:pPr>
      <w:r w:rsidRPr="00CC5B4A">
        <w:rPr>
          <w:rFonts w:ascii="Times New Roman" w:hAnsi="Times New Roman" w:cs="Times New Roman"/>
          <w:b/>
          <w:sz w:val="24"/>
          <w:szCs w:val="24"/>
          <w:u w:val="single"/>
        </w:rPr>
        <w:t xml:space="preserve">Prioritná os 1: </w:t>
      </w:r>
      <w:r w:rsidRPr="00CC5B4A">
        <w:rPr>
          <w:rFonts w:ascii="Times New Roman" w:hAnsi="Times New Roman" w:cs="Times New Roman"/>
          <w:b/>
          <w:bCs/>
          <w:sz w:val="24"/>
          <w:szCs w:val="24"/>
          <w:u w:val="single"/>
        </w:rPr>
        <w:t>Bezpečná a ekologická doprava v regiónoch</w:t>
      </w:r>
    </w:p>
    <w:p w:rsidR="00A00547" w:rsidRPr="00CC5B4A" w:rsidRDefault="00A00547" w:rsidP="0079491A">
      <w:pPr>
        <w:spacing w:after="120" w:line="320" w:lineRule="atLeast"/>
        <w:rPr>
          <w:i/>
          <w:szCs w:val="24"/>
          <w:lang w:val="sk-SK"/>
        </w:rPr>
      </w:pPr>
      <w:r w:rsidRPr="00CC5B4A">
        <w:rPr>
          <w:b/>
          <w:bCs/>
          <w:i/>
          <w:szCs w:val="24"/>
          <w:lang w:val="sk-SK"/>
        </w:rPr>
        <w:t xml:space="preserve">Regionálna mobilita - Podpora regionálnych ciest II. a III. triedy (špecifický cieľ </w:t>
      </w:r>
      <w:r w:rsidRPr="00CC5B4A">
        <w:rPr>
          <w:b/>
          <w:bCs/>
          <w:i/>
          <w:szCs w:val="24"/>
          <w:lang w:val="sk-SK"/>
        </w:rPr>
        <w:tab/>
        <w:t>1.1)</w:t>
      </w:r>
    </w:p>
    <w:p w:rsidR="00A00547" w:rsidRPr="00CC5B4A" w:rsidRDefault="00A00547" w:rsidP="0079491A">
      <w:pPr>
        <w:numPr>
          <w:ilvl w:val="1"/>
          <w:numId w:val="2"/>
        </w:numPr>
        <w:spacing w:after="120" w:line="320" w:lineRule="atLeast"/>
        <w:ind w:left="709" w:right="0" w:hanging="283"/>
        <w:rPr>
          <w:szCs w:val="24"/>
          <w:lang w:val="sk-SK"/>
        </w:rPr>
      </w:pPr>
      <w:r w:rsidRPr="00CC5B4A">
        <w:rPr>
          <w:szCs w:val="24"/>
          <w:lang w:val="sk-SK"/>
        </w:rPr>
        <w:lastRenderedPageBreak/>
        <w:t>rozvoj miestnych/regionálnych plánov udržateľnej mobility (predpoklad pre všetky navrhované intervencie do dopravného systému),</w:t>
      </w:r>
    </w:p>
    <w:p w:rsidR="00A00547" w:rsidRPr="00CC5B4A" w:rsidRDefault="00A00547" w:rsidP="0079491A">
      <w:pPr>
        <w:numPr>
          <w:ilvl w:val="1"/>
          <w:numId w:val="2"/>
        </w:numPr>
        <w:spacing w:after="120" w:line="320" w:lineRule="atLeast"/>
        <w:ind w:left="709" w:right="0" w:hanging="283"/>
        <w:rPr>
          <w:szCs w:val="24"/>
          <w:lang w:val="sk-SK"/>
        </w:rPr>
      </w:pPr>
      <w:r w:rsidRPr="00CC5B4A">
        <w:rPr>
          <w:szCs w:val="24"/>
          <w:lang w:val="sk-SK"/>
        </w:rPr>
        <w:t>rekonštrukcia a modernizácia ciest II. a III. triedy (výnimočne ciest III. triedy, s</w:t>
      </w:r>
      <w:r w:rsidR="0072300B">
        <w:rPr>
          <w:szCs w:val="24"/>
          <w:lang w:val="sk-SK"/>
        </w:rPr>
        <w:t> </w:t>
      </w:r>
      <w:r w:rsidRPr="00CC5B4A">
        <w:rPr>
          <w:szCs w:val="24"/>
          <w:lang w:val="sk-SK"/>
        </w:rPr>
        <w:t>podmienkou priameho napojenia na sieť TEN-T),</w:t>
      </w:r>
    </w:p>
    <w:p w:rsidR="00A00547" w:rsidRPr="00CC5B4A" w:rsidRDefault="00A00547" w:rsidP="0079491A">
      <w:pPr>
        <w:numPr>
          <w:ilvl w:val="1"/>
          <w:numId w:val="2"/>
        </w:numPr>
        <w:spacing w:after="120" w:line="320" w:lineRule="atLeast"/>
        <w:ind w:left="709" w:right="0" w:hanging="283"/>
        <w:rPr>
          <w:szCs w:val="24"/>
          <w:lang w:val="sk-SK"/>
        </w:rPr>
      </w:pPr>
      <w:r w:rsidRPr="00CC5B4A">
        <w:rPr>
          <w:szCs w:val="24"/>
          <w:lang w:val="sk-SK"/>
        </w:rPr>
        <w:t>výstavba nových úsekov ciest II. triedy (výnimočne ciest III. triedy).</w:t>
      </w:r>
    </w:p>
    <w:p w:rsidR="00A00547" w:rsidRPr="00CC5B4A" w:rsidRDefault="00A00547" w:rsidP="0079491A">
      <w:pPr>
        <w:spacing w:after="120" w:line="320" w:lineRule="atLeast"/>
        <w:rPr>
          <w:i/>
          <w:szCs w:val="24"/>
          <w:lang w:val="sk-SK"/>
        </w:rPr>
      </w:pPr>
      <w:r w:rsidRPr="00CC5B4A">
        <w:rPr>
          <w:b/>
          <w:bCs/>
          <w:i/>
          <w:szCs w:val="24"/>
          <w:lang w:val="sk-SK"/>
        </w:rPr>
        <w:t>Rozvoj ekologicky priaznivých a </w:t>
      </w:r>
      <w:proofErr w:type="spellStart"/>
      <w:r w:rsidRPr="00CC5B4A">
        <w:rPr>
          <w:b/>
          <w:bCs/>
          <w:i/>
          <w:szCs w:val="24"/>
          <w:lang w:val="sk-SK"/>
        </w:rPr>
        <w:t>nízkouhlíkových</w:t>
      </w:r>
      <w:proofErr w:type="spellEnd"/>
      <w:r w:rsidRPr="00CC5B4A">
        <w:rPr>
          <w:b/>
          <w:bCs/>
          <w:i/>
          <w:szCs w:val="24"/>
          <w:lang w:val="sk-SK"/>
        </w:rPr>
        <w:t xml:space="preserve"> dopravných systémov </w:t>
      </w:r>
    </w:p>
    <w:p w:rsidR="00A00547" w:rsidRPr="00CC5B4A" w:rsidRDefault="00A00547" w:rsidP="0079491A">
      <w:pPr>
        <w:spacing w:after="120" w:line="320" w:lineRule="atLeast"/>
        <w:rPr>
          <w:szCs w:val="24"/>
          <w:lang w:val="sk-SK"/>
        </w:rPr>
      </w:pPr>
      <w:r w:rsidRPr="00CC5B4A">
        <w:rPr>
          <w:b/>
          <w:bCs/>
          <w:szCs w:val="24"/>
          <w:lang w:val="sk-SK"/>
        </w:rPr>
        <w:t xml:space="preserve">Verejná osobná doprava </w:t>
      </w:r>
      <w:r w:rsidRPr="00CC5B4A">
        <w:rPr>
          <w:b/>
          <w:bCs/>
          <w:i/>
          <w:szCs w:val="24"/>
          <w:lang w:val="sk-SK"/>
        </w:rPr>
        <w:t>(špecifický cieľ 1.2.1)</w:t>
      </w:r>
      <w:r w:rsidRPr="00CC5B4A">
        <w:rPr>
          <w:b/>
          <w:bCs/>
          <w:szCs w:val="24"/>
          <w:lang w:val="sk-SK"/>
        </w:rPr>
        <w:t>:</w:t>
      </w:r>
    </w:p>
    <w:p w:rsidR="00A00547" w:rsidRPr="00CC5B4A" w:rsidRDefault="00A00547" w:rsidP="0079491A">
      <w:pPr>
        <w:numPr>
          <w:ilvl w:val="0"/>
          <w:numId w:val="3"/>
        </w:numPr>
        <w:spacing w:after="120" w:line="320" w:lineRule="atLeast"/>
        <w:ind w:right="0"/>
        <w:rPr>
          <w:szCs w:val="24"/>
          <w:lang w:val="sk-SK"/>
        </w:rPr>
      </w:pPr>
      <w:r w:rsidRPr="00CC5B4A">
        <w:rPr>
          <w:szCs w:val="24"/>
          <w:lang w:val="sk-SK"/>
        </w:rPr>
        <w:t xml:space="preserve">spracovanie strategických dokumentov pre oblasť dopravy, </w:t>
      </w:r>
    </w:p>
    <w:p w:rsidR="00A00547" w:rsidRPr="00CC5B4A" w:rsidRDefault="00A00547" w:rsidP="0079491A">
      <w:pPr>
        <w:numPr>
          <w:ilvl w:val="0"/>
          <w:numId w:val="3"/>
        </w:numPr>
        <w:spacing w:after="120" w:line="320" w:lineRule="atLeast"/>
        <w:ind w:right="0"/>
        <w:rPr>
          <w:szCs w:val="24"/>
          <w:lang w:val="sk-SK"/>
        </w:rPr>
      </w:pPr>
      <w:r w:rsidRPr="00CC5B4A">
        <w:rPr>
          <w:szCs w:val="24"/>
          <w:lang w:val="sk-SK"/>
        </w:rPr>
        <w:t>zabezpečenie moderných tarifných, informačných a dispečerských systémov, zlepšenie informačného a oznamovacieho systému,</w:t>
      </w:r>
    </w:p>
    <w:p w:rsidR="00A00547" w:rsidRPr="00CC5B4A" w:rsidRDefault="00A00547" w:rsidP="0079491A">
      <w:pPr>
        <w:numPr>
          <w:ilvl w:val="0"/>
          <w:numId w:val="3"/>
        </w:numPr>
        <w:spacing w:after="120" w:line="320" w:lineRule="atLeast"/>
        <w:ind w:right="0"/>
        <w:rPr>
          <w:szCs w:val="24"/>
          <w:lang w:val="sk-SK"/>
        </w:rPr>
      </w:pPr>
      <w:r w:rsidRPr="00CC5B4A">
        <w:rPr>
          <w:szCs w:val="24"/>
          <w:lang w:val="sk-SK"/>
        </w:rPr>
        <w:t>zlepšenie infraštruktúry verejnej osobnej dopravy (prestupné uzly, zastávky),</w:t>
      </w:r>
    </w:p>
    <w:p w:rsidR="00A00547" w:rsidRPr="00CC5B4A" w:rsidRDefault="00A00547" w:rsidP="0079491A">
      <w:pPr>
        <w:numPr>
          <w:ilvl w:val="0"/>
          <w:numId w:val="3"/>
        </w:numPr>
        <w:spacing w:after="120" w:line="320" w:lineRule="atLeast"/>
        <w:ind w:right="0"/>
        <w:rPr>
          <w:szCs w:val="24"/>
          <w:lang w:val="sk-SK"/>
        </w:rPr>
      </w:pPr>
      <w:r w:rsidRPr="00CC5B4A">
        <w:rPr>
          <w:szCs w:val="24"/>
          <w:lang w:val="sk-SK"/>
        </w:rPr>
        <w:t>zlepšenie kvality vozidlového parku autobusovej dopravy (MHD, prímestská doprava).</w:t>
      </w:r>
    </w:p>
    <w:p w:rsidR="00A00547" w:rsidRPr="00CC5B4A" w:rsidRDefault="00A00547" w:rsidP="0079491A">
      <w:pPr>
        <w:spacing w:after="120" w:line="320" w:lineRule="atLeast"/>
        <w:rPr>
          <w:szCs w:val="24"/>
          <w:lang w:val="sk-SK"/>
        </w:rPr>
      </w:pPr>
      <w:r w:rsidRPr="00CC5B4A">
        <w:rPr>
          <w:b/>
          <w:bCs/>
          <w:szCs w:val="24"/>
          <w:lang w:val="sk-SK"/>
        </w:rPr>
        <w:t xml:space="preserve">Cyklistická a nemotorová doprava </w:t>
      </w:r>
      <w:r w:rsidRPr="00CC5B4A">
        <w:rPr>
          <w:b/>
          <w:bCs/>
          <w:i/>
          <w:szCs w:val="24"/>
          <w:lang w:val="sk-SK"/>
        </w:rPr>
        <w:t>(špecifický cieľ 1.2.2)</w:t>
      </w:r>
      <w:r w:rsidRPr="00CC5B4A">
        <w:rPr>
          <w:b/>
          <w:bCs/>
          <w:szCs w:val="24"/>
          <w:lang w:val="sk-SK"/>
        </w:rPr>
        <w:t xml:space="preserve">: </w:t>
      </w:r>
    </w:p>
    <w:p w:rsidR="00A00547" w:rsidRPr="00CC5B4A" w:rsidRDefault="00A00547" w:rsidP="0079491A">
      <w:pPr>
        <w:numPr>
          <w:ilvl w:val="0"/>
          <w:numId w:val="4"/>
        </w:numPr>
        <w:spacing w:after="120" w:line="320" w:lineRule="atLeast"/>
        <w:ind w:right="0"/>
        <w:rPr>
          <w:szCs w:val="24"/>
          <w:lang w:val="sk-SK"/>
        </w:rPr>
      </w:pPr>
      <w:r w:rsidRPr="00CC5B4A">
        <w:rPr>
          <w:szCs w:val="24"/>
          <w:lang w:val="sk-SK"/>
        </w:rPr>
        <w:t>rekonštrukcia, modernizácia a výstavba infraštruktúry pre nemotorovú dopravu (cyklistické komunikácie a doplnková infraštruktúra),</w:t>
      </w:r>
    </w:p>
    <w:p w:rsidR="00A00547" w:rsidRPr="00CC5B4A" w:rsidRDefault="00A00547" w:rsidP="0079491A">
      <w:pPr>
        <w:numPr>
          <w:ilvl w:val="0"/>
          <w:numId w:val="4"/>
        </w:numPr>
        <w:spacing w:after="120" w:line="320" w:lineRule="atLeast"/>
        <w:ind w:right="0"/>
        <w:rPr>
          <w:szCs w:val="24"/>
          <w:lang w:val="sk-SK"/>
        </w:rPr>
      </w:pPr>
      <w:r w:rsidRPr="00CC5B4A">
        <w:rPr>
          <w:szCs w:val="24"/>
          <w:lang w:val="sk-SK"/>
        </w:rPr>
        <w:t>propagácia a zvyšovanie atraktivity cyklistickej dopravy.</w:t>
      </w:r>
    </w:p>
    <w:p w:rsidR="00A00547" w:rsidRPr="00CC5B4A" w:rsidRDefault="00A00547" w:rsidP="0079491A">
      <w:pPr>
        <w:spacing w:after="120" w:line="320" w:lineRule="atLeast"/>
        <w:rPr>
          <w:b/>
          <w:szCs w:val="24"/>
          <w:lang w:val="sk-SK"/>
        </w:rPr>
      </w:pPr>
      <w:r w:rsidRPr="00CC5B4A">
        <w:rPr>
          <w:b/>
          <w:szCs w:val="24"/>
          <w:lang w:val="sk-SK"/>
        </w:rPr>
        <w:t>Prijímatelia</w:t>
      </w:r>
    </w:p>
    <w:p w:rsidR="00A00547" w:rsidRPr="00CC5B4A" w:rsidRDefault="00A00547" w:rsidP="0079491A">
      <w:pPr>
        <w:spacing w:after="120" w:line="320" w:lineRule="atLeast"/>
        <w:rPr>
          <w:szCs w:val="24"/>
          <w:lang w:val="sk-SK"/>
        </w:rPr>
      </w:pPr>
      <w:r w:rsidRPr="00CC5B4A">
        <w:rPr>
          <w:szCs w:val="24"/>
          <w:u w:val="single"/>
          <w:lang w:val="sk-SK"/>
        </w:rPr>
        <w:t>cesty II. a III. triedy</w:t>
      </w:r>
    </w:p>
    <w:p w:rsidR="00A00547" w:rsidRPr="00CC5B4A" w:rsidRDefault="00A00547" w:rsidP="0079491A">
      <w:pPr>
        <w:numPr>
          <w:ilvl w:val="0"/>
          <w:numId w:val="5"/>
        </w:numPr>
        <w:spacing w:after="120" w:line="320" w:lineRule="atLeast"/>
        <w:ind w:right="0"/>
        <w:rPr>
          <w:szCs w:val="24"/>
          <w:lang w:val="sk-SK"/>
        </w:rPr>
      </w:pPr>
      <w:r w:rsidRPr="00CC5B4A">
        <w:rPr>
          <w:szCs w:val="24"/>
          <w:lang w:val="sk-SK"/>
        </w:rPr>
        <w:t xml:space="preserve">VÚC, </w:t>
      </w:r>
    </w:p>
    <w:p w:rsidR="00A00547" w:rsidRPr="00CC5B4A" w:rsidRDefault="00A00547" w:rsidP="0079491A">
      <w:pPr>
        <w:numPr>
          <w:ilvl w:val="0"/>
          <w:numId w:val="5"/>
        </w:numPr>
        <w:spacing w:after="120" w:line="320" w:lineRule="atLeast"/>
        <w:ind w:right="0"/>
        <w:rPr>
          <w:szCs w:val="24"/>
          <w:lang w:val="sk-SK"/>
        </w:rPr>
      </w:pPr>
      <w:r w:rsidRPr="00CC5B4A">
        <w:rPr>
          <w:szCs w:val="24"/>
          <w:lang w:val="sk-SK"/>
        </w:rPr>
        <w:t>mestá Bratislava a Košice (vlastníci ciest II. a III. triedy).</w:t>
      </w:r>
    </w:p>
    <w:p w:rsidR="00A00547" w:rsidRPr="00CC5B4A" w:rsidRDefault="00A00547" w:rsidP="0079491A">
      <w:pPr>
        <w:spacing w:after="120" w:line="320" w:lineRule="atLeast"/>
        <w:rPr>
          <w:szCs w:val="24"/>
          <w:lang w:val="sk-SK"/>
        </w:rPr>
      </w:pPr>
      <w:r w:rsidRPr="00CC5B4A">
        <w:rPr>
          <w:szCs w:val="24"/>
          <w:u w:val="single"/>
          <w:lang w:val="sk-SK"/>
        </w:rPr>
        <w:t xml:space="preserve">IDS + </w:t>
      </w:r>
      <w:proofErr w:type="spellStart"/>
      <w:r w:rsidRPr="00CC5B4A">
        <w:rPr>
          <w:szCs w:val="24"/>
          <w:u w:val="single"/>
          <w:lang w:val="sk-SK"/>
        </w:rPr>
        <w:t>cyklodoprava</w:t>
      </w:r>
      <w:proofErr w:type="spellEnd"/>
      <w:r w:rsidRPr="00CC5B4A">
        <w:rPr>
          <w:szCs w:val="24"/>
          <w:u w:val="single"/>
          <w:lang w:val="sk-SK"/>
        </w:rPr>
        <w:t>/nemotorová doprava</w:t>
      </w:r>
    </w:p>
    <w:p w:rsidR="00A00547" w:rsidRPr="00CC5B4A" w:rsidRDefault="00A00547" w:rsidP="0079491A">
      <w:pPr>
        <w:numPr>
          <w:ilvl w:val="0"/>
          <w:numId w:val="6"/>
        </w:numPr>
        <w:spacing w:after="120" w:line="320" w:lineRule="atLeast"/>
        <w:ind w:right="0"/>
        <w:rPr>
          <w:szCs w:val="24"/>
          <w:lang w:val="sk-SK"/>
        </w:rPr>
      </w:pPr>
      <w:r w:rsidRPr="00CC5B4A">
        <w:rPr>
          <w:szCs w:val="24"/>
          <w:lang w:val="sk-SK"/>
        </w:rPr>
        <w:t>mestá, obce, združenia obcí, VÚC,</w:t>
      </w:r>
    </w:p>
    <w:p w:rsidR="00A00547" w:rsidRPr="00CC5B4A" w:rsidRDefault="00A00547" w:rsidP="0079491A">
      <w:pPr>
        <w:numPr>
          <w:ilvl w:val="0"/>
          <w:numId w:val="6"/>
        </w:numPr>
        <w:spacing w:after="120" w:line="320" w:lineRule="atLeast"/>
        <w:ind w:right="0"/>
        <w:rPr>
          <w:szCs w:val="24"/>
          <w:lang w:val="sk-SK"/>
        </w:rPr>
      </w:pPr>
      <w:r w:rsidRPr="00CC5B4A">
        <w:rPr>
          <w:szCs w:val="24"/>
          <w:lang w:val="sk-SK"/>
        </w:rPr>
        <w:t xml:space="preserve">subjekty poskytujúce pravidelnú verejnú osobnú dopravu, subjekty organizujúce integrované dopravné systémy. </w:t>
      </w:r>
    </w:p>
    <w:p w:rsidR="00A00547" w:rsidRPr="00CC5B4A" w:rsidRDefault="00A00547" w:rsidP="0079491A">
      <w:pPr>
        <w:spacing w:after="120" w:line="320" w:lineRule="atLeast"/>
        <w:ind w:left="360" w:hanging="360"/>
        <w:rPr>
          <w:b/>
          <w:szCs w:val="24"/>
          <w:lang w:val="sk-SK"/>
        </w:rPr>
      </w:pPr>
      <w:r w:rsidRPr="00CC5B4A">
        <w:rPr>
          <w:b/>
          <w:szCs w:val="24"/>
          <w:lang w:val="sk-SK"/>
        </w:rPr>
        <w:tab/>
      </w:r>
      <w:r w:rsidRPr="00CC5B4A">
        <w:rPr>
          <w:b/>
          <w:szCs w:val="24"/>
          <w:lang w:val="sk-SK"/>
        </w:rPr>
        <w:tab/>
        <w:t>Cieľové územie</w:t>
      </w:r>
    </w:p>
    <w:p w:rsidR="00A00547" w:rsidRPr="00CC5B4A" w:rsidRDefault="00A00547" w:rsidP="0079491A">
      <w:pPr>
        <w:numPr>
          <w:ilvl w:val="0"/>
          <w:numId w:val="6"/>
        </w:numPr>
        <w:spacing w:after="120" w:line="320" w:lineRule="atLeast"/>
        <w:ind w:right="0"/>
        <w:rPr>
          <w:szCs w:val="24"/>
          <w:lang w:val="sk-SK"/>
        </w:rPr>
      </w:pPr>
      <w:r w:rsidRPr="00CC5B4A">
        <w:rPr>
          <w:szCs w:val="24"/>
          <w:lang w:val="sk-SK"/>
        </w:rPr>
        <w:t xml:space="preserve">SR, v prípade VOD – mestské aglomerácie. </w:t>
      </w:r>
    </w:p>
    <w:p w:rsidR="00A00547" w:rsidRPr="00CC5B4A" w:rsidRDefault="00A00547" w:rsidP="0079491A">
      <w:pPr>
        <w:spacing w:after="120" w:line="320" w:lineRule="atLeast"/>
        <w:rPr>
          <w:szCs w:val="24"/>
          <w:lang w:val="sk-SK"/>
        </w:rPr>
      </w:pPr>
    </w:p>
    <w:p w:rsidR="00A00547" w:rsidRPr="00CC5B4A" w:rsidRDefault="00A00547" w:rsidP="0079491A">
      <w:pPr>
        <w:spacing w:after="120" w:line="320" w:lineRule="atLeast"/>
        <w:rPr>
          <w:szCs w:val="24"/>
          <w:lang w:val="sk-SK"/>
        </w:rPr>
      </w:pPr>
      <w:r w:rsidRPr="00CC5B4A">
        <w:rPr>
          <w:b/>
          <w:szCs w:val="24"/>
          <w:lang w:val="sk-SK"/>
        </w:rPr>
        <w:t xml:space="preserve">Alokácie na prioritnú os: </w:t>
      </w:r>
      <w:r w:rsidRPr="00CC5B4A">
        <w:rPr>
          <w:b/>
          <w:szCs w:val="24"/>
          <w:lang w:val="sk-SK"/>
        </w:rPr>
        <w:tab/>
        <w:t xml:space="preserve">421 mil. </w:t>
      </w:r>
      <w:r w:rsidR="00565EDA">
        <w:rPr>
          <w:b/>
          <w:szCs w:val="24"/>
          <w:lang w:val="sk-SK"/>
        </w:rPr>
        <w:t>€</w:t>
      </w:r>
      <w:r w:rsidRPr="00CC5B4A">
        <w:rPr>
          <w:b/>
          <w:szCs w:val="24"/>
          <w:lang w:val="sk-SK"/>
        </w:rPr>
        <w:t xml:space="preserve"> (EFRR), 512 588 239 </w:t>
      </w:r>
      <w:r w:rsidR="00565EDA">
        <w:rPr>
          <w:b/>
          <w:szCs w:val="24"/>
          <w:lang w:val="sk-SK"/>
        </w:rPr>
        <w:t>€</w:t>
      </w:r>
      <w:r w:rsidRPr="00CC5B4A">
        <w:rPr>
          <w:b/>
          <w:szCs w:val="24"/>
          <w:lang w:val="sk-SK"/>
        </w:rPr>
        <w:t xml:space="preserve"> (spolu) </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400 mil. </w:t>
      </w:r>
      <w:r w:rsidR="00565EDA">
        <w:rPr>
          <w:szCs w:val="24"/>
          <w:lang w:val="sk-SK"/>
        </w:rPr>
        <w:t>€</w:t>
      </w:r>
      <w:r w:rsidRPr="00CC5B4A">
        <w:rPr>
          <w:szCs w:val="24"/>
          <w:lang w:val="sk-SK"/>
        </w:rPr>
        <w:t xml:space="preserve"> (EFRR), 470 588 239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viac rozvinutý región:</w:t>
      </w:r>
      <w:r w:rsidRPr="00CC5B4A">
        <w:rPr>
          <w:szCs w:val="24"/>
          <w:lang w:val="sk-SK"/>
        </w:rPr>
        <w:tab/>
      </w:r>
      <w:r w:rsidRPr="00CC5B4A">
        <w:rPr>
          <w:szCs w:val="24"/>
          <w:lang w:val="sk-SK"/>
        </w:rPr>
        <w:tab/>
      </w:r>
      <w:r w:rsidR="00747ED8">
        <w:rPr>
          <w:szCs w:val="24"/>
          <w:lang w:val="sk-SK"/>
        </w:rPr>
        <w:t xml:space="preserve">  </w:t>
      </w:r>
      <w:r w:rsidRPr="00CC5B4A">
        <w:rPr>
          <w:szCs w:val="24"/>
          <w:lang w:val="sk-SK"/>
        </w:rPr>
        <w:t xml:space="preserve">21 mil. </w:t>
      </w:r>
      <w:r w:rsidR="00565EDA">
        <w:rPr>
          <w:szCs w:val="24"/>
          <w:lang w:val="sk-SK"/>
        </w:rPr>
        <w:t>€</w:t>
      </w:r>
      <w:r w:rsidRPr="00CC5B4A">
        <w:rPr>
          <w:szCs w:val="24"/>
          <w:lang w:val="sk-SK"/>
        </w:rPr>
        <w:t xml:space="preserve"> (EFRR), 42 mil.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b/>
          <w:szCs w:val="24"/>
          <w:u w:val="single"/>
          <w:lang w:val="sk-SK"/>
        </w:rPr>
      </w:pPr>
      <w:r w:rsidRPr="00CC5B4A">
        <w:rPr>
          <w:b/>
          <w:szCs w:val="24"/>
          <w:u w:val="single"/>
          <w:lang w:val="sk-SK"/>
        </w:rPr>
        <w:t xml:space="preserve">Prioritná os č. 2: </w:t>
      </w:r>
      <w:r w:rsidRPr="00CC5B4A">
        <w:rPr>
          <w:b/>
          <w:bCs/>
          <w:szCs w:val="24"/>
          <w:u w:val="single"/>
          <w:lang w:val="sk-SK"/>
        </w:rPr>
        <w:t>Ľahší prístup k efektívnym a kvalitnejším verejným službám</w:t>
      </w:r>
      <w:r w:rsidRPr="00CC5B4A">
        <w:rPr>
          <w:b/>
          <w:szCs w:val="24"/>
          <w:u w:val="single"/>
          <w:lang w:val="sk-SK"/>
        </w:rPr>
        <w:t xml:space="preserve"> </w:t>
      </w:r>
    </w:p>
    <w:p w:rsidR="00A00547" w:rsidRPr="00CC5B4A" w:rsidRDefault="00A00547" w:rsidP="0079491A">
      <w:pPr>
        <w:spacing w:after="120" w:line="320" w:lineRule="atLeast"/>
        <w:rPr>
          <w:i/>
          <w:szCs w:val="24"/>
          <w:lang w:val="sk-SK"/>
        </w:rPr>
      </w:pPr>
      <w:r w:rsidRPr="00CC5B4A">
        <w:rPr>
          <w:b/>
          <w:bCs/>
          <w:i/>
          <w:szCs w:val="24"/>
          <w:lang w:val="sk-SK"/>
        </w:rPr>
        <w:t>Podpora sociálnej infraštruktúry (špecifický cieľ 2.1.1)</w:t>
      </w:r>
    </w:p>
    <w:p w:rsidR="00A00547" w:rsidRPr="00CC5B4A" w:rsidRDefault="00A00547" w:rsidP="0079491A">
      <w:pPr>
        <w:numPr>
          <w:ilvl w:val="0"/>
          <w:numId w:val="7"/>
        </w:numPr>
        <w:spacing w:after="120" w:line="320" w:lineRule="atLeast"/>
        <w:ind w:right="0"/>
        <w:rPr>
          <w:szCs w:val="24"/>
          <w:lang w:val="sk-SK"/>
        </w:rPr>
      </w:pPr>
      <w:r w:rsidRPr="00CC5B4A">
        <w:rPr>
          <w:szCs w:val="24"/>
          <w:lang w:val="sk-SK"/>
        </w:rPr>
        <w:lastRenderedPageBreak/>
        <w:t xml:space="preserve">investície do zariadení </w:t>
      </w:r>
      <w:r w:rsidRPr="00CC5B4A">
        <w:rPr>
          <w:b/>
          <w:bCs/>
          <w:szCs w:val="24"/>
          <w:lang w:val="sk-SK"/>
        </w:rPr>
        <w:t xml:space="preserve">sociálnych služieb </w:t>
      </w:r>
      <w:r w:rsidRPr="00CC5B4A">
        <w:rPr>
          <w:szCs w:val="24"/>
          <w:lang w:val="sk-SK"/>
        </w:rPr>
        <w:t>(napr. podporované bývanie, detské jasle) a</w:t>
      </w:r>
      <w:r w:rsidR="0072300B">
        <w:rPr>
          <w:szCs w:val="24"/>
          <w:lang w:val="sk-SK"/>
        </w:rPr>
        <w:t> </w:t>
      </w:r>
      <w:r w:rsidRPr="00CC5B4A">
        <w:rPr>
          <w:b/>
          <w:bCs/>
          <w:szCs w:val="24"/>
          <w:lang w:val="sk-SK"/>
        </w:rPr>
        <w:t xml:space="preserve">náhradnej starostlivosti </w:t>
      </w:r>
      <w:r w:rsidRPr="00CC5B4A">
        <w:rPr>
          <w:szCs w:val="24"/>
          <w:lang w:val="sk-SK"/>
        </w:rPr>
        <w:t>(napr. detské domovy) – veľkokapacitné objekty sa</w:t>
      </w:r>
      <w:r w:rsidR="0072300B">
        <w:rPr>
          <w:szCs w:val="24"/>
          <w:lang w:val="sk-SK"/>
        </w:rPr>
        <w:t> </w:t>
      </w:r>
      <w:r w:rsidRPr="00CC5B4A">
        <w:rPr>
          <w:szCs w:val="24"/>
          <w:lang w:val="sk-SK"/>
        </w:rPr>
        <w:t>podporovať nebudú,</w:t>
      </w:r>
    </w:p>
    <w:p w:rsidR="00A00547" w:rsidRPr="00CC5B4A" w:rsidRDefault="00A00547" w:rsidP="0079491A">
      <w:pPr>
        <w:numPr>
          <w:ilvl w:val="0"/>
          <w:numId w:val="7"/>
        </w:numPr>
        <w:spacing w:after="120" w:line="320" w:lineRule="atLeast"/>
        <w:ind w:right="0"/>
        <w:rPr>
          <w:szCs w:val="24"/>
          <w:lang w:val="sk-SK"/>
        </w:rPr>
      </w:pPr>
      <w:r w:rsidRPr="00CC5B4A">
        <w:rPr>
          <w:b/>
          <w:bCs/>
          <w:szCs w:val="24"/>
          <w:lang w:val="sk-SK"/>
        </w:rPr>
        <w:t xml:space="preserve">investície do budov - </w:t>
      </w:r>
      <w:r w:rsidRPr="00CC5B4A">
        <w:rPr>
          <w:szCs w:val="24"/>
          <w:lang w:val="sk-SK"/>
        </w:rPr>
        <w:t>rekonštrukcia (vrátane rozširovania) a modernizácia objektov, zriaďovanie a výstavba nových objektov,</w:t>
      </w:r>
    </w:p>
    <w:p w:rsidR="00A00547" w:rsidRPr="00CC5B4A" w:rsidRDefault="00A00547" w:rsidP="0079491A">
      <w:pPr>
        <w:numPr>
          <w:ilvl w:val="0"/>
          <w:numId w:val="7"/>
        </w:numPr>
        <w:spacing w:after="120" w:line="320" w:lineRule="atLeast"/>
        <w:ind w:right="0"/>
        <w:rPr>
          <w:szCs w:val="24"/>
          <w:lang w:val="sk-SK"/>
        </w:rPr>
      </w:pPr>
      <w:r w:rsidRPr="00CC5B4A">
        <w:rPr>
          <w:b/>
          <w:bCs/>
          <w:szCs w:val="24"/>
          <w:lang w:val="sk-SK"/>
        </w:rPr>
        <w:t>investície do materiálno-technického vybavenia zariadení.</w:t>
      </w:r>
    </w:p>
    <w:p w:rsidR="00A00547" w:rsidRPr="00CC5B4A" w:rsidRDefault="00A00547" w:rsidP="0079491A">
      <w:pPr>
        <w:spacing w:after="120" w:line="320" w:lineRule="atLeast"/>
        <w:rPr>
          <w:b/>
          <w:szCs w:val="24"/>
          <w:lang w:val="sk-SK"/>
        </w:rPr>
      </w:pPr>
      <w:r w:rsidRPr="00CC5B4A">
        <w:rPr>
          <w:b/>
          <w:szCs w:val="24"/>
          <w:lang w:val="sk-SK"/>
        </w:rPr>
        <w:t xml:space="preserve">Prijímatelia </w:t>
      </w:r>
    </w:p>
    <w:p w:rsidR="00A00547" w:rsidRPr="00CC5B4A" w:rsidRDefault="00A00547" w:rsidP="0079491A">
      <w:pPr>
        <w:pStyle w:val="Odsekzoznamu"/>
        <w:numPr>
          <w:ilvl w:val="0"/>
          <w:numId w:val="8"/>
        </w:numPr>
        <w:spacing w:after="120" w:line="320" w:lineRule="atLeast"/>
        <w:jc w:val="both"/>
        <w:rPr>
          <w:rFonts w:ascii="Times New Roman" w:hAnsi="Times New Roman" w:cs="Times New Roman"/>
          <w:sz w:val="24"/>
          <w:szCs w:val="24"/>
        </w:rPr>
      </w:pPr>
      <w:r w:rsidRPr="00CC5B4A">
        <w:rPr>
          <w:rFonts w:ascii="Times New Roman" w:hAnsi="Times New Roman" w:cs="Times New Roman"/>
          <w:sz w:val="24"/>
          <w:szCs w:val="24"/>
        </w:rPr>
        <w:t>poskytovatelia sociálnych služieb (napr. obce, právnická osoba zriadená alebo založená obcou alebo VÚC, neverejní poskytovatelia),</w:t>
      </w:r>
    </w:p>
    <w:p w:rsidR="00A00547" w:rsidRPr="00CC5B4A" w:rsidRDefault="00A00547" w:rsidP="0079491A">
      <w:pPr>
        <w:numPr>
          <w:ilvl w:val="0"/>
          <w:numId w:val="8"/>
        </w:numPr>
        <w:spacing w:after="120" w:line="320" w:lineRule="atLeast"/>
        <w:ind w:right="0"/>
        <w:rPr>
          <w:szCs w:val="24"/>
          <w:lang w:val="sk-SK"/>
        </w:rPr>
      </w:pPr>
      <w:r w:rsidRPr="00CC5B4A">
        <w:rPr>
          <w:szCs w:val="24"/>
          <w:lang w:val="sk-SK"/>
        </w:rPr>
        <w:t>zriaďovatelia poskytovateľov sociálnych služieb (napr. VÚC),</w:t>
      </w:r>
    </w:p>
    <w:p w:rsidR="00A00547" w:rsidRPr="00CC5B4A" w:rsidRDefault="00A00547" w:rsidP="0079491A">
      <w:pPr>
        <w:numPr>
          <w:ilvl w:val="0"/>
          <w:numId w:val="8"/>
        </w:numPr>
        <w:spacing w:after="120" w:line="320" w:lineRule="atLeast"/>
        <w:ind w:right="0"/>
        <w:rPr>
          <w:szCs w:val="24"/>
          <w:lang w:val="sk-SK"/>
        </w:rPr>
      </w:pPr>
      <w:r w:rsidRPr="00CC5B4A">
        <w:rPr>
          <w:szCs w:val="24"/>
          <w:lang w:val="sk-SK"/>
        </w:rPr>
        <w:t xml:space="preserve">zriaďovatelia zariadení na výkon opatrení sociálnoprávnej ochrany detí a sociálnej kurately (obec, </w:t>
      </w:r>
      <w:r w:rsidRPr="00ED121D">
        <w:rPr>
          <w:szCs w:val="24"/>
          <w:lang w:val="sk-SK"/>
        </w:rPr>
        <w:t xml:space="preserve">VÚC, Ústredie </w:t>
      </w:r>
      <w:r w:rsidR="00F25257" w:rsidRPr="00ED121D">
        <w:rPr>
          <w:szCs w:val="24"/>
          <w:lang w:val="sk-SK"/>
        </w:rPr>
        <w:t>p</w:t>
      </w:r>
      <w:r w:rsidR="009E13D6" w:rsidRPr="00ED121D">
        <w:rPr>
          <w:szCs w:val="24"/>
          <w:lang w:val="sk-SK"/>
        </w:rPr>
        <w:t>ráce sociálnych vecí a rodiny</w:t>
      </w:r>
      <w:r w:rsidRPr="00ED121D">
        <w:rPr>
          <w:szCs w:val="24"/>
          <w:lang w:val="sk-SK"/>
        </w:rPr>
        <w:t>, akreditované</w:t>
      </w:r>
      <w:r w:rsidRPr="00CC5B4A">
        <w:rPr>
          <w:szCs w:val="24"/>
          <w:lang w:val="sk-SK"/>
        </w:rPr>
        <w:t xml:space="preserve"> fyzické a právnické osoby).</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celé územie SR.</w:t>
      </w:r>
    </w:p>
    <w:p w:rsidR="00A00547" w:rsidRPr="00CC5B4A" w:rsidRDefault="00A00547" w:rsidP="0079491A">
      <w:pPr>
        <w:spacing w:after="120" w:line="320" w:lineRule="atLeast"/>
        <w:jc w:val="left"/>
        <w:rPr>
          <w:szCs w:val="24"/>
          <w:lang w:val="sk-SK"/>
        </w:rPr>
      </w:pPr>
      <w:r w:rsidRPr="00CC5B4A">
        <w:rPr>
          <w:b/>
          <w:szCs w:val="24"/>
          <w:lang w:val="sk-SK"/>
        </w:rPr>
        <w:t>Alokácie na špecifický cieľ:</w:t>
      </w:r>
      <w:r w:rsidRPr="00CC5B4A">
        <w:rPr>
          <w:b/>
          <w:szCs w:val="24"/>
          <w:lang w:val="sk-SK"/>
        </w:rPr>
        <w:tab/>
        <w:t xml:space="preserve">214 913 197 </w:t>
      </w:r>
      <w:r w:rsidR="00565EDA">
        <w:rPr>
          <w:b/>
          <w:szCs w:val="24"/>
          <w:lang w:val="sk-SK"/>
        </w:rPr>
        <w:t>€</w:t>
      </w:r>
      <w:r w:rsidRPr="00CC5B4A">
        <w:rPr>
          <w:b/>
          <w:szCs w:val="24"/>
          <w:lang w:val="sk-SK"/>
        </w:rPr>
        <w:t xml:space="preserve"> (EFRR), 262 364 597 </w:t>
      </w:r>
      <w:r w:rsidR="00565EDA">
        <w:rPr>
          <w:b/>
          <w:szCs w:val="24"/>
          <w:lang w:val="sk-SK"/>
        </w:rPr>
        <w:t>€</w:t>
      </w:r>
      <w:r w:rsidRPr="00CC5B4A">
        <w:rPr>
          <w:b/>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203 346 472 </w:t>
      </w:r>
      <w:r w:rsidR="00565EDA">
        <w:rPr>
          <w:szCs w:val="24"/>
          <w:lang w:val="sk-SK"/>
        </w:rPr>
        <w:t>€</w:t>
      </w:r>
      <w:r w:rsidRPr="00CC5B4A">
        <w:rPr>
          <w:szCs w:val="24"/>
          <w:lang w:val="sk-SK"/>
        </w:rPr>
        <w:t xml:space="preserve"> (EFRR), 239 231 146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viac rozvinutý región:</w:t>
      </w:r>
      <w:r w:rsidRPr="00CC5B4A">
        <w:rPr>
          <w:szCs w:val="24"/>
          <w:lang w:val="sk-SK"/>
        </w:rPr>
        <w:tab/>
      </w:r>
      <w:r w:rsidRPr="00CC5B4A">
        <w:rPr>
          <w:szCs w:val="24"/>
          <w:lang w:val="sk-SK"/>
        </w:rPr>
        <w:tab/>
      </w:r>
      <w:r w:rsidR="00747ED8">
        <w:rPr>
          <w:szCs w:val="24"/>
          <w:lang w:val="sk-SK"/>
        </w:rPr>
        <w:t xml:space="preserve"> </w:t>
      </w:r>
      <w:r w:rsidRPr="00CC5B4A">
        <w:rPr>
          <w:szCs w:val="24"/>
          <w:lang w:val="sk-SK"/>
        </w:rPr>
        <w:t xml:space="preserve">11 566 725 </w:t>
      </w:r>
      <w:r w:rsidR="00565EDA">
        <w:rPr>
          <w:szCs w:val="24"/>
          <w:lang w:val="sk-SK"/>
        </w:rPr>
        <w:t>€</w:t>
      </w:r>
      <w:r w:rsidRPr="00CC5B4A">
        <w:rPr>
          <w:szCs w:val="24"/>
          <w:lang w:val="sk-SK"/>
        </w:rPr>
        <w:t xml:space="preserve"> (EFRR), </w:t>
      </w:r>
      <w:r w:rsidR="00747ED8">
        <w:rPr>
          <w:szCs w:val="24"/>
          <w:lang w:val="sk-SK"/>
        </w:rPr>
        <w:t xml:space="preserve">   </w:t>
      </w:r>
      <w:r w:rsidRPr="00CC5B4A">
        <w:rPr>
          <w:szCs w:val="24"/>
          <w:lang w:val="sk-SK"/>
        </w:rPr>
        <w:t xml:space="preserve">23 133 451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i/>
          <w:szCs w:val="24"/>
          <w:lang w:val="sk-SK"/>
        </w:rPr>
      </w:pPr>
      <w:r w:rsidRPr="00CC5B4A">
        <w:rPr>
          <w:b/>
          <w:bCs/>
          <w:i/>
          <w:szCs w:val="24"/>
          <w:lang w:val="sk-SK"/>
        </w:rPr>
        <w:t xml:space="preserve">Podpora zdravotníckej infraštruktúry (špecifický cieľ 2.1.2 a 2.1.3 ) </w:t>
      </w:r>
    </w:p>
    <w:p w:rsidR="00A00547" w:rsidRPr="00CC5B4A" w:rsidRDefault="00A00547" w:rsidP="0079491A">
      <w:pPr>
        <w:pStyle w:val="Odsekzoznamu"/>
        <w:numPr>
          <w:ilvl w:val="0"/>
          <w:numId w:val="9"/>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sz w:val="24"/>
          <w:szCs w:val="24"/>
        </w:rPr>
        <w:t xml:space="preserve">budovanie infraštruktúry </w:t>
      </w:r>
      <w:r w:rsidRPr="00CC5B4A">
        <w:rPr>
          <w:rFonts w:ascii="Times New Roman" w:hAnsi="Times New Roman" w:cs="Times New Roman"/>
          <w:b/>
          <w:bCs/>
          <w:sz w:val="24"/>
          <w:szCs w:val="24"/>
        </w:rPr>
        <w:t>centier integrovanej zdravotnej starostlivosti,</w:t>
      </w:r>
    </w:p>
    <w:p w:rsidR="00A00547" w:rsidRPr="00CC5B4A" w:rsidRDefault="00A00547" w:rsidP="0079491A">
      <w:pPr>
        <w:pStyle w:val="Odsekzoznamu"/>
        <w:numPr>
          <w:ilvl w:val="0"/>
          <w:numId w:val="9"/>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sz w:val="24"/>
          <w:szCs w:val="24"/>
        </w:rPr>
        <w:t xml:space="preserve">modernizácia </w:t>
      </w:r>
      <w:r w:rsidRPr="00CC5B4A">
        <w:rPr>
          <w:rFonts w:ascii="Times New Roman" w:hAnsi="Times New Roman" w:cs="Times New Roman"/>
          <w:b/>
          <w:bCs/>
          <w:sz w:val="24"/>
          <w:szCs w:val="24"/>
        </w:rPr>
        <w:t xml:space="preserve">infraštruktúry nemocníc </w:t>
      </w:r>
      <w:r w:rsidRPr="00CC5B4A">
        <w:rPr>
          <w:rFonts w:ascii="Times New Roman" w:hAnsi="Times New Roman" w:cs="Times New Roman"/>
          <w:sz w:val="24"/>
          <w:szCs w:val="24"/>
        </w:rPr>
        <w:t>poskytujúcich akútnu zdravotnú starostlivosť za účelom zlepšenia ich produktivity,</w:t>
      </w:r>
    </w:p>
    <w:p w:rsidR="00A00547" w:rsidRPr="00CC5B4A" w:rsidRDefault="00A00547" w:rsidP="0079491A">
      <w:pPr>
        <w:pStyle w:val="Odsekzoznamu"/>
        <w:numPr>
          <w:ilvl w:val="0"/>
          <w:numId w:val="9"/>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 xml:space="preserve">investície do budov </w:t>
      </w:r>
      <w:r w:rsidRPr="00CC5B4A">
        <w:rPr>
          <w:rFonts w:ascii="Times New Roman" w:hAnsi="Times New Roman" w:cs="Times New Roman"/>
          <w:sz w:val="24"/>
          <w:szCs w:val="24"/>
        </w:rPr>
        <w:t>a materiálno-technického vybavenia.</w:t>
      </w:r>
    </w:p>
    <w:p w:rsidR="00A00547" w:rsidRPr="00CC5B4A" w:rsidRDefault="00A00547" w:rsidP="0079491A">
      <w:pPr>
        <w:spacing w:after="120" w:line="320" w:lineRule="atLeast"/>
        <w:rPr>
          <w:b/>
          <w:szCs w:val="24"/>
          <w:lang w:val="sk-SK"/>
        </w:rPr>
      </w:pPr>
      <w:r w:rsidRPr="00CC5B4A">
        <w:rPr>
          <w:b/>
          <w:szCs w:val="24"/>
          <w:lang w:val="sk-SK"/>
        </w:rPr>
        <w:t xml:space="preserve">Prijímatelia: </w:t>
      </w:r>
    </w:p>
    <w:p w:rsidR="00A00547" w:rsidRPr="00CC5B4A" w:rsidRDefault="00A00547" w:rsidP="0079491A">
      <w:pPr>
        <w:numPr>
          <w:ilvl w:val="0"/>
          <w:numId w:val="10"/>
        </w:numPr>
        <w:spacing w:after="120" w:line="320" w:lineRule="atLeast"/>
        <w:ind w:right="0" w:hanging="436"/>
        <w:rPr>
          <w:szCs w:val="24"/>
          <w:lang w:val="sk-SK"/>
        </w:rPr>
      </w:pPr>
      <w:r w:rsidRPr="00CC5B4A">
        <w:rPr>
          <w:szCs w:val="24"/>
          <w:lang w:val="sk-SK"/>
        </w:rPr>
        <w:t>neziskové organizácie zriadené Ministerstvom zdravotníctva SR v spolupráci s VÚC a obcami,</w:t>
      </w:r>
    </w:p>
    <w:p w:rsidR="00A00547" w:rsidRPr="00CC5B4A" w:rsidRDefault="00A00547" w:rsidP="0079491A">
      <w:pPr>
        <w:numPr>
          <w:ilvl w:val="0"/>
          <w:numId w:val="10"/>
        </w:numPr>
        <w:spacing w:after="120" w:line="320" w:lineRule="atLeast"/>
        <w:ind w:right="0" w:hanging="436"/>
        <w:rPr>
          <w:szCs w:val="24"/>
          <w:lang w:val="sk-SK"/>
        </w:rPr>
      </w:pPr>
      <w:r w:rsidRPr="00CC5B4A">
        <w:rPr>
          <w:szCs w:val="24"/>
          <w:lang w:val="sk-SK"/>
        </w:rPr>
        <w:t>všeobecné nemocnice.</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menej rozvinuté regióny (okrem Bratislavského kraja).</w:t>
      </w:r>
    </w:p>
    <w:p w:rsidR="00A00547" w:rsidRPr="00CC5B4A" w:rsidRDefault="00A00547" w:rsidP="0079491A">
      <w:pPr>
        <w:spacing w:after="120" w:line="320" w:lineRule="atLeast"/>
        <w:rPr>
          <w:szCs w:val="24"/>
          <w:lang w:val="sk-SK"/>
        </w:rPr>
      </w:pPr>
      <w:r w:rsidRPr="00CC5B4A">
        <w:rPr>
          <w:b/>
          <w:szCs w:val="24"/>
          <w:lang w:val="sk-SK"/>
        </w:rPr>
        <w:t>Alokácie na špecifický cieľ</w:t>
      </w:r>
      <w:r w:rsidRPr="00CC5B4A">
        <w:rPr>
          <w:szCs w:val="24"/>
          <w:lang w:val="sk-SK"/>
        </w:rPr>
        <w:t xml:space="preserve"> (menej rozvinutý región): </w:t>
      </w:r>
      <w:r w:rsidRPr="00CC5B4A">
        <w:rPr>
          <w:b/>
          <w:szCs w:val="24"/>
          <w:lang w:val="sk-SK"/>
        </w:rPr>
        <w:t xml:space="preserve">278 mil. </w:t>
      </w:r>
      <w:r w:rsidR="00565EDA">
        <w:rPr>
          <w:b/>
          <w:szCs w:val="24"/>
          <w:lang w:val="sk-SK"/>
        </w:rPr>
        <w:t>€</w:t>
      </w:r>
      <w:r w:rsidRPr="00CC5B4A">
        <w:rPr>
          <w:b/>
          <w:szCs w:val="24"/>
          <w:lang w:val="sk-SK"/>
        </w:rPr>
        <w:t xml:space="preserve"> (EFRR), </w:t>
      </w:r>
      <w:r w:rsidRPr="00CC5B4A">
        <w:rPr>
          <w:b/>
          <w:szCs w:val="24"/>
          <w:lang w:val="sk-SK"/>
        </w:rPr>
        <w:tab/>
        <w:t xml:space="preserve">327 058 825 </w:t>
      </w:r>
      <w:r w:rsidR="00565EDA">
        <w:rPr>
          <w:b/>
          <w:szCs w:val="24"/>
          <w:lang w:val="sk-SK"/>
        </w:rPr>
        <w:t>€</w:t>
      </w:r>
      <w:r w:rsidRPr="00CC5B4A">
        <w:rPr>
          <w:b/>
          <w:szCs w:val="24"/>
          <w:lang w:val="sk-SK"/>
        </w:rPr>
        <w:t xml:space="preserve"> (spolu)</w:t>
      </w:r>
      <w:r w:rsidRPr="00CC5B4A">
        <w:rPr>
          <w:szCs w:val="24"/>
          <w:lang w:val="sk-SK"/>
        </w:rPr>
        <w:t xml:space="preserve"> </w:t>
      </w:r>
    </w:p>
    <w:p w:rsidR="00A00547" w:rsidRPr="00CC5B4A" w:rsidRDefault="00A00547" w:rsidP="0079491A">
      <w:pPr>
        <w:spacing w:after="120" w:line="320" w:lineRule="atLeast"/>
        <w:rPr>
          <w:i/>
          <w:szCs w:val="24"/>
          <w:lang w:val="sk-SK"/>
        </w:rPr>
      </w:pPr>
      <w:r w:rsidRPr="00CC5B4A">
        <w:rPr>
          <w:b/>
          <w:bCs/>
          <w:i/>
          <w:szCs w:val="24"/>
          <w:lang w:val="sk-SK"/>
        </w:rPr>
        <w:t xml:space="preserve">Podpora infraštruktúry vzdelávania a celoživotného vzdelávania (špecifický cieľ </w:t>
      </w:r>
      <w:r w:rsidRPr="00CC5B4A">
        <w:rPr>
          <w:b/>
          <w:bCs/>
          <w:i/>
          <w:szCs w:val="24"/>
          <w:lang w:val="sk-SK"/>
        </w:rPr>
        <w:tab/>
        <w:t>2.2.1, 2.2.2 a 2.2.3)</w:t>
      </w:r>
    </w:p>
    <w:p w:rsidR="00A00547" w:rsidRPr="00CC5B4A" w:rsidRDefault="00A00547" w:rsidP="0079491A">
      <w:pPr>
        <w:spacing w:after="120" w:line="320" w:lineRule="atLeast"/>
        <w:rPr>
          <w:szCs w:val="24"/>
          <w:lang w:val="sk-SK"/>
        </w:rPr>
      </w:pPr>
      <w:r w:rsidRPr="00CC5B4A">
        <w:rPr>
          <w:szCs w:val="24"/>
          <w:lang w:val="sk-SK"/>
        </w:rPr>
        <w:t xml:space="preserve">Podpora investícií do </w:t>
      </w:r>
      <w:r w:rsidRPr="00CC5B4A">
        <w:rPr>
          <w:b/>
          <w:bCs/>
          <w:szCs w:val="24"/>
          <w:lang w:val="sk-SK"/>
        </w:rPr>
        <w:t>budov</w:t>
      </w:r>
      <w:r w:rsidRPr="00CC5B4A">
        <w:rPr>
          <w:szCs w:val="24"/>
          <w:lang w:val="sk-SK"/>
        </w:rPr>
        <w:t xml:space="preserve"> a </w:t>
      </w:r>
      <w:r w:rsidRPr="00CC5B4A">
        <w:rPr>
          <w:b/>
          <w:bCs/>
          <w:szCs w:val="24"/>
          <w:lang w:val="sk-SK"/>
        </w:rPr>
        <w:t xml:space="preserve">materiálno-technologického vybavenia: </w:t>
      </w:r>
    </w:p>
    <w:p w:rsidR="00A00547" w:rsidRPr="00CC5B4A" w:rsidRDefault="00A00547" w:rsidP="0079491A">
      <w:pPr>
        <w:numPr>
          <w:ilvl w:val="0"/>
          <w:numId w:val="11"/>
        </w:numPr>
        <w:spacing w:after="120" w:line="320" w:lineRule="atLeast"/>
        <w:ind w:right="0"/>
        <w:rPr>
          <w:szCs w:val="24"/>
          <w:lang w:val="sk-SK"/>
        </w:rPr>
      </w:pPr>
      <w:r w:rsidRPr="00CC5B4A">
        <w:rPr>
          <w:b/>
          <w:bCs/>
          <w:szCs w:val="24"/>
          <w:lang w:val="sk-SK"/>
        </w:rPr>
        <w:t xml:space="preserve">materských škôl – rozširovanie kapacít (vrátane výstavby), </w:t>
      </w:r>
      <w:r w:rsidRPr="00CC5B4A">
        <w:rPr>
          <w:szCs w:val="24"/>
          <w:lang w:val="sk-SK"/>
        </w:rPr>
        <w:t xml:space="preserve">modernizácia budov, </w:t>
      </w:r>
      <w:r w:rsidRPr="00CC5B4A">
        <w:rPr>
          <w:b/>
          <w:bCs/>
          <w:szCs w:val="24"/>
          <w:lang w:val="sk-SK"/>
        </w:rPr>
        <w:t>stavebno-technické úpravy</w:t>
      </w:r>
      <w:r w:rsidRPr="00CC5B4A">
        <w:rPr>
          <w:szCs w:val="24"/>
          <w:lang w:val="sk-SK"/>
        </w:rPr>
        <w:t xml:space="preserve">, </w:t>
      </w:r>
      <w:r w:rsidRPr="00CC5B4A">
        <w:rPr>
          <w:b/>
          <w:bCs/>
          <w:szCs w:val="24"/>
          <w:lang w:val="sk-SK"/>
        </w:rPr>
        <w:t>vnútorné vybavenie</w:t>
      </w:r>
      <w:r w:rsidRPr="00CC5B4A">
        <w:rPr>
          <w:szCs w:val="24"/>
          <w:lang w:val="sk-SK"/>
        </w:rPr>
        <w:t xml:space="preserve"> vrátane areálov škôl, </w:t>
      </w:r>
    </w:p>
    <w:p w:rsidR="00A00547" w:rsidRPr="00CC5B4A" w:rsidRDefault="00A00547" w:rsidP="0079491A">
      <w:pPr>
        <w:numPr>
          <w:ilvl w:val="0"/>
          <w:numId w:val="11"/>
        </w:numPr>
        <w:spacing w:after="120" w:line="320" w:lineRule="atLeast"/>
        <w:ind w:right="0"/>
        <w:rPr>
          <w:szCs w:val="24"/>
          <w:lang w:val="sk-SK"/>
        </w:rPr>
      </w:pPr>
      <w:r w:rsidRPr="00CC5B4A">
        <w:rPr>
          <w:b/>
          <w:bCs/>
          <w:szCs w:val="24"/>
          <w:lang w:val="sk-SK"/>
        </w:rPr>
        <w:lastRenderedPageBreak/>
        <w:t xml:space="preserve">základných škôl </w:t>
      </w:r>
      <w:r w:rsidRPr="00CC5B4A">
        <w:rPr>
          <w:szCs w:val="24"/>
          <w:lang w:val="sk-SK"/>
        </w:rPr>
        <w:t xml:space="preserve">- </w:t>
      </w:r>
      <w:r w:rsidRPr="00CC5B4A">
        <w:rPr>
          <w:b/>
          <w:bCs/>
          <w:szCs w:val="24"/>
          <w:lang w:val="sk-SK"/>
        </w:rPr>
        <w:t xml:space="preserve">materiálno-technické vybavenie </w:t>
      </w:r>
      <w:r w:rsidRPr="00CC5B4A">
        <w:rPr>
          <w:szCs w:val="24"/>
          <w:lang w:val="sk-SK"/>
        </w:rPr>
        <w:t xml:space="preserve">jazykových, technických a prírodovedných </w:t>
      </w:r>
      <w:r w:rsidRPr="00CC5B4A">
        <w:rPr>
          <w:b/>
          <w:bCs/>
          <w:szCs w:val="24"/>
          <w:lang w:val="sk-SK"/>
        </w:rPr>
        <w:t>učební,</w:t>
      </w:r>
    </w:p>
    <w:p w:rsidR="00A00547" w:rsidRPr="00CC5B4A" w:rsidRDefault="00A00547" w:rsidP="0079491A">
      <w:pPr>
        <w:numPr>
          <w:ilvl w:val="0"/>
          <w:numId w:val="11"/>
        </w:numPr>
        <w:spacing w:after="120" w:line="320" w:lineRule="atLeast"/>
        <w:ind w:right="0"/>
        <w:rPr>
          <w:szCs w:val="24"/>
          <w:lang w:val="sk-SK"/>
        </w:rPr>
      </w:pPr>
      <w:r w:rsidRPr="00CC5B4A">
        <w:rPr>
          <w:b/>
          <w:bCs/>
          <w:szCs w:val="24"/>
          <w:lang w:val="sk-SK"/>
        </w:rPr>
        <w:t>stredných odborných škôl</w:t>
      </w:r>
      <w:r w:rsidRPr="00CC5B4A">
        <w:rPr>
          <w:szCs w:val="24"/>
          <w:lang w:val="sk-SK"/>
        </w:rPr>
        <w:t xml:space="preserve"> (najmä centier odborného vzdelávania a prípravy) – napr. </w:t>
      </w:r>
      <w:r w:rsidRPr="00CC5B4A">
        <w:rPr>
          <w:b/>
          <w:bCs/>
          <w:szCs w:val="24"/>
          <w:lang w:val="sk-SK"/>
        </w:rPr>
        <w:t>dielne, učebne, knižnice</w:t>
      </w:r>
      <w:r w:rsidRPr="00CC5B4A">
        <w:rPr>
          <w:szCs w:val="24"/>
          <w:lang w:val="sk-SK"/>
        </w:rPr>
        <w:t xml:space="preserve">, stavebné úpravy, prvky </w:t>
      </w:r>
      <w:proofErr w:type="spellStart"/>
      <w:r w:rsidRPr="00CC5B4A">
        <w:rPr>
          <w:szCs w:val="24"/>
          <w:lang w:val="sk-SK"/>
        </w:rPr>
        <w:t>inkluzívneho</w:t>
      </w:r>
      <w:proofErr w:type="spellEnd"/>
      <w:r w:rsidRPr="00CC5B4A">
        <w:rPr>
          <w:szCs w:val="24"/>
          <w:lang w:val="sk-SK"/>
        </w:rPr>
        <w:t xml:space="preserve"> vzdelávania, </w:t>
      </w:r>
      <w:r w:rsidRPr="00CC5B4A">
        <w:rPr>
          <w:b/>
          <w:bCs/>
          <w:szCs w:val="24"/>
          <w:lang w:val="sk-SK"/>
        </w:rPr>
        <w:t>podnikateľské inkubátory, vybavenie internátov.</w:t>
      </w:r>
      <w:r w:rsidRPr="00CC5B4A">
        <w:rPr>
          <w:szCs w:val="24"/>
          <w:lang w:val="sk-SK"/>
        </w:rPr>
        <w:t xml:space="preserve"> </w:t>
      </w:r>
    </w:p>
    <w:p w:rsidR="00A00547" w:rsidRPr="00CC5B4A" w:rsidRDefault="00A00547" w:rsidP="0079491A">
      <w:pPr>
        <w:spacing w:after="120" w:line="320" w:lineRule="atLeast"/>
        <w:rPr>
          <w:b/>
          <w:szCs w:val="24"/>
          <w:lang w:val="sk-SK"/>
        </w:rPr>
      </w:pPr>
      <w:r w:rsidRPr="00CC5B4A">
        <w:rPr>
          <w:b/>
          <w:szCs w:val="24"/>
          <w:lang w:val="sk-SK"/>
        </w:rPr>
        <w:t xml:space="preserve">Prijímatelia </w:t>
      </w:r>
    </w:p>
    <w:p w:rsidR="00A00547" w:rsidRPr="00CC5B4A" w:rsidRDefault="00A00547" w:rsidP="0079491A">
      <w:pPr>
        <w:numPr>
          <w:ilvl w:val="0"/>
          <w:numId w:val="12"/>
        </w:numPr>
        <w:spacing w:after="120" w:line="320" w:lineRule="atLeast"/>
        <w:ind w:right="0"/>
        <w:rPr>
          <w:szCs w:val="24"/>
          <w:lang w:val="sk-SK"/>
        </w:rPr>
      </w:pPr>
      <w:r w:rsidRPr="00CC5B4A">
        <w:rPr>
          <w:szCs w:val="24"/>
          <w:lang w:val="sk-SK"/>
        </w:rPr>
        <w:t>obce, mestské časti, VÚC, okresné úrady,</w:t>
      </w:r>
    </w:p>
    <w:p w:rsidR="00A00547" w:rsidRPr="00CC5B4A" w:rsidRDefault="00A00547" w:rsidP="0079491A">
      <w:pPr>
        <w:numPr>
          <w:ilvl w:val="0"/>
          <w:numId w:val="12"/>
        </w:numPr>
        <w:spacing w:after="120" w:line="320" w:lineRule="atLeast"/>
        <w:ind w:right="0"/>
        <w:rPr>
          <w:szCs w:val="24"/>
          <w:lang w:val="sk-SK"/>
        </w:rPr>
      </w:pPr>
      <w:r w:rsidRPr="00CC5B4A">
        <w:rPr>
          <w:szCs w:val="24"/>
          <w:lang w:val="sk-SK"/>
        </w:rPr>
        <w:t xml:space="preserve">cirkvi a náboženské spoločnosti, združenia, právnické a fyzické osoby, neziskové organizácie, </w:t>
      </w:r>
    </w:p>
    <w:p w:rsidR="00A00547" w:rsidRPr="00CC5B4A" w:rsidRDefault="00A00547" w:rsidP="0079491A">
      <w:pPr>
        <w:numPr>
          <w:ilvl w:val="0"/>
          <w:numId w:val="12"/>
        </w:numPr>
        <w:spacing w:after="120" w:line="320" w:lineRule="atLeast"/>
        <w:ind w:right="0"/>
        <w:rPr>
          <w:szCs w:val="24"/>
          <w:lang w:val="sk-SK"/>
        </w:rPr>
      </w:pPr>
      <w:r w:rsidRPr="00CC5B4A">
        <w:rPr>
          <w:szCs w:val="24"/>
          <w:lang w:val="sk-SK"/>
        </w:rPr>
        <w:t>stredné odborné školy v zriaďovateľskej pôsobnosti VÚC.</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SR</w:t>
      </w:r>
    </w:p>
    <w:p w:rsidR="00A00547" w:rsidRPr="00CC5B4A" w:rsidRDefault="00A00547" w:rsidP="0079491A">
      <w:pPr>
        <w:spacing w:after="120" w:line="320" w:lineRule="atLeast"/>
        <w:rPr>
          <w:szCs w:val="24"/>
          <w:lang w:val="sk-SK"/>
        </w:rPr>
      </w:pPr>
      <w:r w:rsidRPr="00CC5B4A">
        <w:rPr>
          <w:b/>
          <w:szCs w:val="24"/>
          <w:lang w:val="sk-SK"/>
        </w:rPr>
        <w:t>Alokácie na špecifický cieľ:</w:t>
      </w:r>
      <w:r w:rsidRPr="00CC5B4A">
        <w:rPr>
          <w:b/>
          <w:szCs w:val="24"/>
          <w:lang w:val="sk-SK"/>
        </w:rPr>
        <w:tab/>
        <w:t xml:space="preserve">263 mil. </w:t>
      </w:r>
      <w:r w:rsidR="00565EDA">
        <w:rPr>
          <w:b/>
          <w:szCs w:val="24"/>
          <w:lang w:val="sk-SK"/>
        </w:rPr>
        <w:t>€</w:t>
      </w:r>
      <w:r w:rsidRPr="00CC5B4A">
        <w:rPr>
          <w:b/>
          <w:szCs w:val="24"/>
          <w:lang w:val="sk-SK"/>
        </w:rPr>
        <w:t xml:space="preserve"> (EFRR), 326 705 888 (spolu)</w:t>
      </w:r>
      <w:r w:rsidRPr="00CC5B4A">
        <w:rPr>
          <w:szCs w:val="24"/>
          <w:lang w:val="sk-SK"/>
        </w:rPr>
        <w:t xml:space="preserve"> </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242 mil. </w:t>
      </w:r>
      <w:r w:rsidR="00565EDA">
        <w:rPr>
          <w:szCs w:val="24"/>
          <w:lang w:val="sk-SK"/>
        </w:rPr>
        <w:t>€</w:t>
      </w:r>
      <w:r w:rsidRPr="00CC5B4A">
        <w:rPr>
          <w:szCs w:val="24"/>
          <w:lang w:val="sk-SK"/>
        </w:rPr>
        <w:t xml:space="preserve"> (EFRR), 284 705 888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viac rozvinutý región: </w:t>
      </w:r>
      <w:r w:rsidRPr="00CC5B4A">
        <w:rPr>
          <w:szCs w:val="24"/>
          <w:lang w:val="sk-SK"/>
        </w:rPr>
        <w:tab/>
      </w:r>
      <w:r w:rsidR="00747ED8">
        <w:rPr>
          <w:szCs w:val="24"/>
          <w:lang w:val="sk-SK"/>
        </w:rPr>
        <w:t xml:space="preserve"> </w:t>
      </w:r>
      <w:r w:rsidRPr="00CC5B4A">
        <w:rPr>
          <w:szCs w:val="24"/>
          <w:lang w:val="sk-SK"/>
        </w:rPr>
        <w:t xml:space="preserve">42 mil. </w:t>
      </w:r>
      <w:r w:rsidR="00565EDA">
        <w:rPr>
          <w:szCs w:val="24"/>
          <w:lang w:val="sk-SK"/>
        </w:rPr>
        <w:t>€</w:t>
      </w:r>
      <w:r w:rsidRPr="00CC5B4A">
        <w:rPr>
          <w:szCs w:val="24"/>
          <w:lang w:val="sk-SK"/>
        </w:rPr>
        <w:t xml:space="preserve"> (EFRR), 21 mil.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b/>
          <w:szCs w:val="24"/>
          <w:u w:val="single"/>
          <w:lang w:val="sk-SK"/>
        </w:rPr>
      </w:pPr>
      <w:r w:rsidRPr="00CC5B4A">
        <w:rPr>
          <w:b/>
          <w:szCs w:val="24"/>
          <w:u w:val="single"/>
          <w:lang w:val="sk-SK"/>
        </w:rPr>
        <w:t xml:space="preserve">Prioritná os č. 3: </w:t>
      </w:r>
      <w:r w:rsidRPr="00CC5B4A">
        <w:rPr>
          <w:b/>
          <w:bCs/>
          <w:szCs w:val="24"/>
          <w:u w:val="single"/>
          <w:lang w:val="sk-SK"/>
        </w:rPr>
        <w:t xml:space="preserve">Mobilizácia kreatívneho potenciálu v regiónoch </w:t>
      </w:r>
    </w:p>
    <w:p w:rsidR="00A00547" w:rsidRPr="00CC5B4A" w:rsidRDefault="00A00547" w:rsidP="0079491A">
      <w:pPr>
        <w:spacing w:after="120" w:line="320" w:lineRule="atLeast"/>
        <w:rPr>
          <w:i/>
          <w:szCs w:val="24"/>
          <w:lang w:val="sk-SK"/>
        </w:rPr>
      </w:pPr>
      <w:r w:rsidRPr="00CC5B4A">
        <w:rPr>
          <w:b/>
          <w:bCs/>
          <w:i/>
          <w:szCs w:val="24"/>
          <w:lang w:val="sk-SK"/>
        </w:rPr>
        <w:t xml:space="preserve">Podpora rastu a zamestnanosti v kultúrnom a kreatívnom priemysle (špecifický cieľ </w:t>
      </w:r>
      <w:r w:rsidRPr="00CC5B4A">
        <w:rPr>
          <w:b/>
          <w:bCs/>
          <w:i/>
          <w:szCs w:val="24"/>
          <w:lang w:val="sk-SK"/>
        </w:rPr>
        <w:tab/>
        <w:t>3.1)</w:t>
      </w:r>
    </w:p>
    <w:p w:rsidR="00A00547" w:rsidRPr="00CC5B4A" w:rsidRDefault="00A00547" w:rsidP="0079491A">
      <w:pPr>
        <w:pStyle w:val="Odsekzoznamu"/>
        <w:numPr>
          <w:ilvl w:val="0"/>
          <w:numId w:val="13"/>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sz w:val="24"/>
          <w:szCs w:val="24"/>
        </w:rPr>
        <w:t>zriadenie kreatívnych centier a podpora ich služieb,</w:t>
      </w:r>
    </w:p>
    <w:p w:rsidR="00A00547" w:rsidRPr="00CC5B4A" w:rsidRDefault="00A00547" w:rsidP="0079491A">
      <w:pPr>
        <w:pStyle w:val="Odsekzoznamu"/>
        <w:numPr>
          <w:ilvl w:val="0"/>
          <w:numId w:val="13"/>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sz w:val="24"/>
          <w:szCs w:val="24"/>
        </w:rPr>
        <w:t>podpora MSP v kultúrnom a kreatívnom priemysle (priestorové a technické vybavenie, marketing a pod.).</w:t>
      </w:r>
    </w:p>
    <w:p w:rsidR="00A00547" w:rsidRPr="00CC5B4A" w:rsidRDefault="00A00547" w:rsidP="0079491A">
      <w:pPr>
        <w:spacing w:after="120" w:line="320" w:lineRule="atLeast"/>
        <w:rPr>
          <w:b/>
          <w:szCs w:val="24"/>
          <w:lang w:val="sk-SK"/>
        </w:rPr>
      </w:pPr>
      <w:r w:rsidRPr="00CC5B4A">
        <w:rPr>
          <w:b/>
          <w:szCs w:val="24"/>
          <w:lang w:val="sk-SK"/>
        </w:rPr>
        <w:t>Prijímatelia</w:t>
      </w:r>
    </w:p>
    <w:p w:rsidR="00A00547" w:rsidRPr="00CC5B4A" w:rsidRDefault="00A00547" w:rsidP="00EA5557">
      <w:pPr>
        <w:pStyle w:val="Odsekzoznamu"/>
        <w:numPr>
          <w:ilvl w:val="0"/>
          <w:numId w:val="14"/>
        </w:numPr>
        <w:spacing w:after="60" w:line="320" w:lineRule="atLeast"/>
        <w:ind w:left="714" w:hanging="357"/>
        <w:jc w:val="both"/>
        <w:rPr>
          <w:rFonts w:ascii="Times New Roman" w:hAnsi="Times New Roman" w:cs="Times New Roman"/>
          <w:sz w:val="24"/>
          <w:szCs w:val="24"/>
        </w:rPr>
      </w:pPr>
      <w:r w:rsidRPr="00CC5B4A">
        <w:rPr>
          <w:rFonts w:ascii="Times New Roman" w:hAnsi="Times New Roman" w:cs="Times New Roman"/>
          <w:sz w:val="24"/>
          <w:szCs w:val="24"/>
        </w:rPr>
        <w:t xml:space="preserve">štátna a verejná správa, samospráva, </w:t>
      </w:r>
    </w:p>
    <w:p w:rsidR="00A00547" w:rsidRPr="00CC5B4A" w:rsidRDefault="00A00547" w:rsidP="00EA5557">
      <w:pPr>
        <w:numPr>
          <w:ilvl w:val="0"/>
          <w:numId w:val="14"/>
        </w:numPr>
        <w:spacing w:after="60" w:line="320" w:lineRule="atLeast"/>
        <w:ind w:left="714" w:right="0" w:hanging="357"/>
        <w:rPr>
          <w:szCs w:val="24"/>
          <w:lang w:val="sk-SK"/>
        </w:rPr>
      </w:pPr>
      <w:r w:rsidRPr="00CC5B4A">
        <w:rPr>
          <w:szCs w:val="24"/>
          <w:lang w:val="sk-SK"/>
        </w:rPr>
        <w:t>neziskové organizácie, súkromný sektor.</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celé územie SR</w:t>
      </w:r>
    </w:p>
    <w:p w:rsidR="00A00547" w:rsidRPr="00CC5B4A" w:rsidRDefault="00A00547" w:rsidP="0079491A">
      <w:pPr>
        <w:spacing w:after="120" w:line="320" w:lineRule="atLeast"/>
        <w:rPr>
          <w:szCs w:val="24"/>
          <w:lang w:val="sk-SK"/>
        </w:rPr>
      </w:pPr>
      <w:r w:rsidRPr="00CC5B4A">
        <w:rPr>
          <w:b/>
          <w:szCs w:val="24"/>
          <w:lang w:val="sk-SK"/>
        </w:rPr>
        <w:t>Alokácie na prioritnú os:</w:t>
      </w:r>
      <w:r w:rsidRPr="00CC5B4A">
        <w:rPr>
          <w:szCs w:val="24"/>
          <w:lang w:val="sk-SK"/>
        </w:rPr>
        <w:t xml:space="preserve"> </w:t>
      </w:r>
      <w:r w:rsidRPr="00CC5B4A">
        <w:rPr>
          <w:szCs w:val="24"/>
          <w:lang w:val="sk-SK"/>
        </w:rPr>
        <w:tab/>
      </w:r>
      <w:r w:rsidRPr="00CC5B4A">
        <w:rPr>
          <w:b/>
          <w:szCs w:val="24"/>
          <w:lang w:val="sk-SK"/>
        </w:rPr>
        <w:t xml:space="preserve">215 860 548 </w:t>
      </w:r>
      <w:r w:rsidR="00565EDA">
        <w:rPr>
          <w:b/>
          <w:szCs w:val="24"/>
          <w:lang w:val="sk-SK"/>
        </w:rPr>
        <w:t>€</w:t>
      </w:r>
      <w:r w:rsidRPr="00CC5B4A">
        <w:rPr>
          <w:b/>
          <w:szCs w:val="24"/>
          <w:lang w:val="sk-SK"/>
        </w:rPr>
        <w:t xml:space="preserve"> (EFRR), 270 424 175 </w:t>
      </w:r>
      <w:r w:rsidR="00565EDA">
        <w:rPr>
          <w:b/>
          <w:szCs w:val="24"/>
          <w:lang w:val="sk-SK"/>
        </w:rPr>
        <w:t>€</w:t>
      </w:r>
      <w:r w:rsidRPr="00CC5B4A">
        <w:rPr>
          <w:b/>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195 860 548 </w:t>
      </w:r>
      <w:r w:rsidR="00565EDA">
        <w:rPr>
          <w:szCs w:val="24"/>
          <w:lang w:val="sk-SK"/>
        </w:rPr>
        <w:t>€</w:t>
      </w:r>
      <w:r w:rsidRPr="00CC5B4A">
        <w:rPr>
          <w:szCs w:val="24"/>
          <w:lang w:val="sk-SK"/>
        </w:rPr>
        <w:t xml:space="preserve"> (EFRR), 230 424 175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viac rozvinutý región: </w:t>
      </w:r>
      <w:r w:rsidRPr="00CC5B4A">
        <w:rPr>
          <w:szCs w:val="24"/>
          <w:lang w:val="sk-SK"/>
        </w:rPr>
        <w:tab/>
      </w:r>
      <w:r w:rsidR="00747ED8">
        <w:rPr>
          <w:szCs w:val="24"/>
          <w:lang w:val="sk-SK"/>
        </w:rPr>
        <w:t xml:space="preserve">        </w:t>
      </w:r>
      <w:r w:rsidRPr="00CC5B4A">
        <w:rPr>
          <w:szCs w:val="24"/>
          <w:lang w:val="sk-SK"/>
        </w:rPr>
        <w:t xml:space="preserve">20 mil. </w:t>
      </w:r>
      <w:r w:rsidR="00565EDA">
        <w:rPr>
          <w:szCs w:val="24"/>
          <w:lang w:val="sk-SK"/>
        </w:rPr>
        <w:t>€</w:t>
      </w:r>
      <w:r w:rsidRPr="00CC5B4A">
        <w:rPr>
          <w:szCs w:val="24"/>
          <w:lang w:val="sk-SK"/>
        </w:rPr>
        <w:t xml:space="preserve"> (EFRR), 40 mil.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b/>
          <w:szCs w:val="24"/>
          <w:u w:val="single"/>
          <w:lang w:val="sk-SK"/>
        </w:rPr>
      </w:pPr>
      <w:r w:rsidRPr="00CC5B4A">
        <w:rPr>
          <w:b/>
          <w:szCs w:val="24"/>
          <w:u w:val="single"/>
          <w:lang w:val="sk-SK"/>
        </w:rPr>
        <w:t xml:space="preserve">Prioritná os č. 4: </w:t>
      </w:r>
      <w:r w:rsidRPr="00CC5B4A">
        <w:rPr>
          <w:b/>
          <w:bCs/>
          <w:szCs w:val="24"/>
          <w:u w:val="single"/>
          <w:lang w:val="sk-SK"/>
        </w:rPr>
        <w:t>Zlepšenie kvality života v regiónoch s dôrazom na životné prostredie</w:t>
      </w:r>
    </w:p>
    <w:p w:rsidR="00A00547" w:rsidRPr="00CC5B4A" w:rsidRDefault="00A00547" w:rsidP="0079491A">
      <w:pPr>
        <w:spacing w:after="120" w:line="320" w:lineRule="atLeast"/>
        <w:rPr>
          <w:i/>
          <w:szCs w:val="24"/>
          <w:lang w:val="sk-SK"/>
        </w:rPr>
      </w:pPr>
      <w:r w:rsidRPr="00CC5B4A">
        <w:rPr>
          <w:b/>
          <w:bCs/>
          <w:i/>
          <w:szCs w:val="24"/>
          <w:lang w:val="sk-SK"/>
        </w:rPr>
        <w:t>Zvýšenie energetickej efektívnosti bytových domov (špecifický cieľ 4.1)</w:t>
      </w:r>
    </w:p>
    <w:p w:rsidR="00A00547" w:rsidRPr="00CC5B4A" w:rsidRDefault="00A00547" w:rsidP="0079491A">
      <w:pPr>
        <w:pStyle w:val="Odsekzoznamu"/>
        <w:numPr>
          <w:ilvl w:val="0"/>
          <w:numId w:val="15"/>
        </w:numPr>
        <w:spacing w:after="120" w:line="320" w:lineRule="atLeast"/>
        <w:jc w:val="both"/>
        <w:rPr>
          <w:rFonts w:ascii="Times New Roman" w:hAnsi="Times New Roman" w:cs="Times New Roman"/>
          <w:sz w:val="24"/>
          <w:szCs w:val="24"/>
        </w:rPr>
      </w:pPr>
      <w:r w:rsidRPr="00CC5B4A">
        <w:rPr>
          <w:rFonts w:ascii="Times New Roman" w:hAnsi="Times New Roman" w:cs="Times New Roman"/>
          <w:sz w:val="24"/>
          <w:szCs w:val="24"/>
        </w:rPr>
        <w:t xml:space="preserve">komplexná rekonštrukcia budov vrátane podpory inovačných </w:t>
      </w:r>
      <w:proofErr w:type="spellStart"/>
      <w:r w:rsidRPr="00CC5B4A">
        <w:rPr>
          <w:rFonts w:ascii="Times New Roman" w:hAnsi="Times New Roman" w:cs="Times New Roman"/>
          <w:sz w:val="24"/>
          <w:szCs w:val="24"/>
        </w:rPr>
        <w:t>nízkouhlíkových</w:t>
      </w:r>
      <w:proofErr w:type="spellEnd"/>
      <w:r w:rsidRPr="00CC5B4A">
        <w:rPr>
          <w:rFonts w:ascii="Times New Roman" w:hAnsi="Times New Roman" w:cs="Times New Roman"/>
          <w:sz w:val="24"/>
          <w:szCs w:val="24"/>
        </w:rPr>
        <w:t xml:space="preserve"> technológií: </w:t>
      </w:r>
      <w:r w:rsidRPr="00CC5B4A">
        <w:rPr>
          <w:rFonts w:ascii="Times New Roman" w:hAnsi="Times New Roman" w:cs="Times New Roman"/>
          <w:b/>
          <w:bCs/>
          <w:sz w:val="24"/>
          <w:szCs w:val="24"/>
        </w:rPr>
        <w:t>zatepľovanie, modernizácia vykurovacích systémov, modernizácia osvetlenia, modernizácia výťahov</w:t>
      </w:r>
    </w:p>
    <w:p w:rsidR="00A00547" w:rsidRPr="00CC5B4A" w:rsidRDefault="00A00547" w:rsidP="0079491A">
      <w:pPr>
        <w:spacing w:after="120" w:line="320" w:lineRule="atLeast"/>
        <w:rPr>
          <w:b/>
          <w:szCs w:val="24"/>
          <w:lang w:val="sk-SK"/>
        </w:rPr>
      </w:pPr>
      <w:r w:rsidRPr="00CC5B4A">
        <w:rPr>
          <w:b/>
          <w:szCs w:val="24"/>
          <w:lang w:val="sk-SK"/>
        </w:rPr>
        <w:t>Prijímatelia:</w:t>
      </w:r>
    </w:p>
    <w:p w:rsidR="00A00547" w:rsidRPr="00CC5B4A" w:rsidRDefault="00A00547" w:rsidP="0079491A">
      <w:pPr>
        <w:pStyle w:val="Odsekzoznamu"/>
        <w:numPr>
          <w:ilvl w:val="0"/>
          <w:numId w:val="15"/>
        </w:numPr>
        <w:spacing w:after="120" w:line="320" w:lineRule="atLeast"/>
        <w:jc w:val="both"/>
        <w:rPr>
          <w:rFonts w:ascii="Times New Roman" w:hAnsi="Times New Roman" w:cs="Times New Roman"/>
          <w:sz w:val="24"/>
          <w:szCs w:val="24"/>
        </w:rPr>
      </w:pPr>
      <w:r w:rsidRPr="00CC5B4A">
        <w:rPr>
          <w:rFonts w:ascii="Times New Roman" w:hAnsi="Times New Roman" w:cs="Times New Roman"/>
          <w:sz w:val="24"/>
          <w:szCs w:val="24"/>
        </w:rPr>
        <w:t>rozpočtové a príspevkové organizácie,</w:t>
      </w:r>
    </w:p>
    <w:p w:rsidR="00A00547" w:rsidRPr="00CC5B4A" w:rsidRDefault="00A00547" w:rsidP="0079491A">
      <w:pPr>
        <w:pStyle w:val="Odsekzoznamu"/>
        <w:numPr>
          <w:ilvl w:val="0"/>
          <w:numId w:val="15"/>
        </w:numPr>
        <w:spacing w:after="120" w:line="320" w:lineRule="atLeast"/>
        <w:jc w:val="both"/>
        <w:rPr>
          <w:rFonts w:ascii="Times New Roman" w:hAnsi="Times New Roman" w:cs="Times New Roman"/>
          <w:sz w:val="24"/>
          <w:szCs w:val="24"/>
        </w:rPr>
      </w:pPr>
      <w:r w:rsidRPr="00CC5B4A">
        <w:rPr>
          <w:rFonts w:ascii="Times New Roman" w:hAnsi="Times New Roman" w:cs="Times New Roman"/>
          <w:sz w:val="24"/>
          <w:szCs w:val="24"/>
        </w:rPr>
        <w:lastRenderedPageBreak/>
        <w:t>fyzické osoby cez združenia vlastníkov bytov.</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celé územie SR</w:t>
      </w:r>
    </w:p>
    <w:p w:rsidR="00A00547" w:rsidRPr="00CC5B4A" w:rsidRDefault="00A00547" w:rsidP="0079491A">
      <w:pPr>
        <w:spacing w:after="120" w:line="320" w:lineRule="atLeast"/>
        <w:rPr>
          <w:b/>
          <w:szCs w:val="24"/>
          <w:lang w:val="sk-SK"/>
        </w:rPr>
      </w:pPr>
      <w:r w:rsidRPr="00CC5B4A">
        <w:rPr>
          <w:b/>
          <w:szCs w:val="24"/>
          <w:lang w:val="sk-SK"/>
        </w:rPr>
        <w:t xml:space="preserve">Alokácie na špecifický cieľ: 111 388 554 </w:t>
      </w:r>
      <w:r w:rsidR="00565EDA">
        <w:rPr>
          <w:b/>
          <w:szCs w:val="24"/>
          <w:lang w:val="sk-SK"/>
        </w:rPr>
        <w:t>€</w:t>
      </w:r>
      <w:r w:rsidRPr="00CC5B4A">
        <w:rPr>
          <w:b/>
          <w:szCs w:val="24"/>
          <w:lang w:val="sk-SK"/>
        </w:rPr>
        <w:t xml:space="preserve"> (EFRR), 139 249 179 </w:t>
      </w:r>
      <w:r w:rsidR="00565EDA">
        <w:rPr>
          <w:b/>
          <w:szCs w:val="24"/>
          <w:lang w:val="sk-SK"/>
        </w:rPr>
        <w:t>€</w:t>
      </w:r>
      <w:r w:rsidRPr="00CC5B4A">
        <w:rPr>
          <w:b/>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101 426 772 </w:t>
      </w:r>
      <w:r w:rsidR="00565EDA">
        <w:rPr>
          <w:szCs w:val="24"/>
          <w:lang w:val="sk-SK"/>
        </w:rPr>
        <w:t>€</w:t>
      </w:r>
      <w:r w:rsidRPr="00CC5B4A">
        <w:rPr>
          <w:szCs w:val="24"/>
          <w:lang w:val="sk-SK"/>
        </w:rPr>
        <w:t xml:space="preserve"> (EFRR), 119 325 615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viac rozvinutý región: </w:t>
      </w:r>
      <w:r w:rsidRPr="00CC5B4A">
        <w:rPr>
          <w:szCs w:val="24"/>
          <w:lang w:val="sk-SK"/>
        </w:rPr>
        <w:tab/>
        <w:t xml:space="preserve">9 961 782 </w:t>
      </w:r>
      <w:r w:rsidR="00565EDA">
        <w:rPr>
          <w:szCs w:val="24"/>
          <w:lang w:val="sk-SK"/>
        </w:rPr>
        <w:t>€</w:t>
      </w:r>
      <w:r w:rsidRPr="00CC5B4A">
        <w:rPr>
          <w:szCs w:val="24"/>
          <w:lang w:val="sk-SK"/>
        </w:rPr>
        <w:t xml:space="preserve"> (EFRR), 19 923 564 </w:t>
      </w:r>
      <w:r w:rsidR="00565EDA">
        <w:rPr>
          <w:szCs w:val="24"/>
          <w:lang w:val="sk-SK"/>
        </w:rPr>
        <w:t>€</w:t>
      </w:r>
      <w:r w:rsidRPr="00CC5B4A">
        <w:rPr>
          <w:szCs w:val="24"/>
          <w:lang w:val="sk-SK"/>
        </w:rPr>
        <w:t xml:space="preserve"> (spolu)</w:t>
      </w:r>
    </w:p>
    <w:p w:rsidR="00A00547" w:rsidRPr="00CC5B4A" w:rsidRDefault="00A00547" w:rsidP="0072300B">
      <w:pPr>
        <w:spacing w:after="120" w:line="320" w:lineRule="atLeast"/>
        <w:ind w:left="709" w:firstLine="0"/>
        <w:rPr>
          <w:i/>
          <w:szCs w:val="24"/>
          <w:lang w:val="sk-SK"/>
        </w:rPr>
      </w:pPr>
      <w:r w:rsidRPr="00CC5B4A">
        <w:rPr>
          <w:b/>
          <w:bCs/>
          <w:i/>
          <w:szCs w:val="24"/>
          <w:lang w:val="sk-SK"/>
        </w:rPr>
        <w:t>Zabezpečenie bezproblémového zásobovania obyvateľstva kvalitnou pitnou vodou a</w:t>
      </w:r>
      <w:r w:rsidR="0072300B">
        <w:rPr>
          <w:b/>
          <w:bCs/>
          <w:i/>
          <w:szCs w:val="24"/>
          <w:lang w:val="sk-SK"/>
        </w:rPr>
        <w:t> </w:t>
      </w:r>
      <w:r w:rsidRPr="00CC5B4A">
        <w:rPr>
          <w:b/>
          <w:bCs/>
          <w:i/>
          <w:szCs w:val="24"/>
          <w:lang w:val="sk-SK"/>
        </w:rPr>
        <w:t>efektívna likvidácia odpadových vôd (špecifický cieľ 4.2.1)</w:t>
      </w:r>
    </w:p>
    <w:p w:rsidR="00A00547" w:rsidRPr="00CC5B4A" w:rsidRDefault="00A00547" w:rsidP="0079491A">
      <w:pPr>
        <w:pStyle w:val="Odsekzoznamu"/>
        <w:numPr>
          <w:ilvl w:val="0"/>
          <w:numId w:val="16"/>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rekonštrukcia prívodov vody</w:t>
      </w:r>
      <w:r w:rsidRPr="00CC5B4A">
        <w:rPr>
          <w:rFonts w:ascii="Times New Roman" w:hAnsi="Times New Roman" w:cs="Times New Roman"/>
          <w:sz w:val="24"/>
          <w:szCs w:val="24"/>
        </w:rPr>
        <w:t>, vodovodných sietí a vodárenských zariadení v</w:t>
      </w:r>
      <w:r w:rsidR="00747ED8">
        <w:rPr>
          <w:rFonts w:ascii="Times New Roman" w:hAnsi="Times New Roman" w:cs="Times New Roman"/>
          <w:sz w:val="24"/>
          <w:szCs w:val="24"/>
        </w:rPr>
        <w:t> </w:t>
      </w:r>
      <w:r w:rsidRPr="00CC5B4A">
        <w:rPr>
          <w:rFonts w:ascii="Times New Roman" w:hAnsi="Times New Roman" w:cs="Times New Roman"/>
          <w:sz w:val="24"/>
          <w:szCs w:val="24"/>
        </w:rPr>
        <w:t>obciach</w:t>
      </w:r>
      <w:r w:rsidR="00747ED8">
        <w:rPr>
          <w:rFonts w:ascii="Times New Roman" w:hAnsi="Times New Roman" w:cs="Times New Roman"/>
          <w:sz w:val="24"/>
          <w:szCs w:val="24"/>
        </w:rPr>
        <w:t>,</w:t>
      </w:r>
    </w:p>
    <w:p w:rsidR="00A00547" w:rsidRPr="00CC5B4A" w:rsidRDefault="00A00547" w:rsidP="0079491A">
      <w:pPr>
        <w:pStyle w:val="Odsekzoznamu"/>
        <w:numPr>
          <w:ilvl w:val="0"/>
          <w:numId w:val="16"/>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 xml:space="preserve">rekonštrukcia stokovej siete </w:t>
      </w:r>
      <w:r w:rsidRPr="00CC5B4A">
        <w:rPr>
          <w:rFonts w:ascii="Times New Roman" w:hAnsi="Times New Roman" w:cs="Times New Roman"/>
          <w:sz w:val="24"/>
          <w:szCs w:val="24"/>
        </w:rPr>
        <w:t>a kanalizačných zariadení v</w:t>
      </w:r>
      <w:r w:rsidR="00747ED8">
        <w:rPr>
          <w:rFonts w:ascii="Times New Roman" w:hAnsi="Times New Roman" w:cs="Times New Roman"/>
          <w:sz w:val="24"/>
          <w:szCs w:val="24"/>
        </w:rPr>
        <w:t> </w:t>
      </w:r>
      <w:r w:rsidRPr="00CC5B4A">
        <w:rPr>
          <w:rFonts w:ascii="Times New Roman" w:hAnsi="Times New Roman" w:cs="Times New Roman"/>
          <w:sz w:val="24"/>
          <w:szCs w:val="24"/>
        </w:rPr>
        <w:t>obciach</w:t>
      </w:r>
      <w:r w:rsidR="00747ED8">
        <w:rPr>
          <w:rFonts w:ascii="Times New Roman" w:hAnsi="Times New Roman" w:cs="Times New Roman"/>
          <w:sz w:val="24"/>
          <w:szCs w:val="24"/>
        </w:rPr>
        <w:t>,</w:t>
      </w:r>
    </w:p>
    <w:p w:rsidR="00A00547" w:rsidRPr="00CC5B4A" w:rsidRDefault="00A00547" w:rsidP="0079491A">
      <w:pPr>
        <w:pStyle w:val="Odsekzoznamu"/>
        <w:numPr>
          <w:ilvl w:val="0"/>
          <w:numId w:val="16"/>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budovanie verejných vodovodov</w:t>
      </w:r>
      <w:r w:rsidRPr="00CC5B4A">
        <w:rPr>
          <w:rFonts w:ascii="Times New Roman" w:hAnsi="Times New Roman" w:cs="Times New Roman"/>
          <w:sz w:val="24"/>
          <w:szCs w:val="24"/>
        </w:rPr>
        <w:t>, okrem prípadov ich súbežnej výstavby s výstavbou verejnej kanalizácie prostredníctvom OP KŽP</w:t>
      </w:r>
      <w:r w:rsidR="00747ED8">
        <w:rPr>
          <w:rFonts w:ascii="Times New Roman" w:hAnsi="Times New Roman" w:cs="Times New Roman"/>
          <w:sz w:val="24"/>
          <w:szCs w:val="24"/>
        </w:rPr>
        <w:t>,</w:t>
      </w:r>
    </w:p>
    <w:p w:rsidR="00A00547" w:rsidRPr="00CC5B4A" w:rsidRDefault="00A00547" w:rsidP="0079491A">
      <w:pPr>
        <w:pStyle w:val="Odsekzoznamu"/>
        <w:numPr>
          <w:ilvl w:val="0"/>
          <w:numId w:val="16"/>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budovanie verejných kanalizácií a čistiarní odpadových vôd</w:t>
      </w:r>
      <w:r w:rsidRPr="00CC5B4A">
        <w:rPr>
          <w:rFonts w:ascii="Times New Roman" w:hAnsi="Times New Roman" w:cs="Times New Roman"/>
          <w:sz w:val="24"/>
          <w:szCs w:val="24"/>
        </w:rPr>
        <w:t xml:space="preserve"> pre obce do 2 000 obyvateľov</w:t>
      </w:r>
      <w:r w:rsidR="00747ED8">
        <w:rPr>
          <w:rFonts w:ascii="Times New Roman" w:hAnsi="Times New Roman" w:cs="Times New Roman"/>
          <w:sz w:val="24"/>
          <w:szCs w:val="24"/>
        </w:rPr>
        <w:t>,</w:t>
      </w:r>
    </w:p>
    <w:p w:rsidR="00A00547" w:rsidRPr="00CC5B4A" w:rsidRDefault="00A00547" w:rsidP="0079491A">
      <w:pPr>
        <w:pStyle w:val="Odsekzoznamu"/>
        <w:numPr>
          <w:ilvl w:val="0"/>
          <w:numId w:val="16"/>
        </w:numPr>
        <w:spacing w:after="120" w:line="320" w:lineRule="atLeas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rekonštrukcia, rozširovanie kapacity a budovanie (v limitovaných prípadoch) nových</w:t>
      </w:r>
      <w:r w:rsidRPr="00CC5B4A">
        <w:rPr>
          <w:rFonts w:ascii="Times New Roman" w:hAnsi="Times New Roman" w:cs="Times New Roman"/>
          <w:sz w:val="24"/>
          <w:szCs w:val="24"/>
        </w:rPr>
        <w:t xml:space="preserve"> zdrojov podzemnej vody</w:t>
      </w:r>
      <w:r w:rsidR="00747ED8">
        <w:rPr>
          <w:rFonts w:ascii="Times New Roman" w:hAnsi="Times New Roman" w:cs="Times New Roman"/>
          <w:sz w:val="24"/>
          <w:szCs w:val="24"/>
        </w:rPr>
        <w:t>.</w:t>
      </w:r>
    </w:p>
    <w:p w:rsidR="00A00547" w:rsidRPr="00CC5B4A" w:rsidRDefault="00A00547" w:rsidP="0079491A">
      <w:pPr>
        <w:spacing w:after="120" w:line="320" w:lineRule="atLeast"/>
        <w:rPr>
          <w:b/>
          <w:szCs w:val="24"/>
          <w:lang w:val="sk-SK"/>
        </w:rPr>
      </w:pPr>
      <w:r w:rsidRPr="00CC5B4A">
        <w:rPr>
          <w:b/>
          <w:szCs w:val="24"/>
          <w:lang w:val="sk-SK"/>
        </w:rPr>
        <w:t xml:space="preserve">Prijímatelia: </w:t>
      </w:r>
    </w:p>
    <w:p w:rsidR="00A00547" w:rsidRPr="00CC5B4A" w:rsidRDefault="00A00547" w:rsidP="0079491A">
      <w:pPr>
        <w:numPr>
          <w:ilvl w:val="0"/>
          <w:numId w:val="17"/>
        </w:numPr>
        <w:spacing w:after="120" w:line="320" w:lineRule="atLeast"/>
        <w:ind w:right="0"/>
        <w:rPr>
          <w:szCs w:val="24"/>
          <w:lang w:val="sk-SK"/>
        </w:rPr>
      </w:pPr>
      <w:r w:rsidRPr="00CC5B4A">
        <w:rPr>
          <w:szCs w:val="24"/>
          <w:lang w:val="sk-SK"/>
        </w:rPr>
        <w:t>verejný sektor (obce/mestá, združenia miest a obcí),</w:t>
      </w:r>
    </w:p>
    <w:p w:rsidR="00A00547" w:rsidRPr="00CC5B4A" w:rsidRDefault="00A00547" w:rsidP="0079491A">
      <w:pPr>
        <w:numPr>
          <w:ilvl w:val="0"/>
          <w:numId w:val="17"/>
        </w:numPr>
        <w:spacing w:after="120" w:line="320" w:lineRule="atLeast"/>
        <w:ind w:right="0"/>
        <w:rPr>
          <w:szCs w:val="24"/>
          <w:lang w:val="sk-SK"/>
        </w:rPr>
      </w:pPr>
      <w:r w:rsidRPr="00CC5B4A">
        <w:rPr>
          <w:szCs w:val="24"/>
          <w:lang w:val="sk-SK"/>
        </w:rPr>
        <w:t>vlastníci verejných vodovodov,</w:t>
      </w:r>
    </w:p>
    <w:p w:rsidR="00A00547" w:rsidRPr="00CC5B4A" w:rsidRDefault="00A00547" w:rsidP="0079491A">
      <w:pPr>
        <w:numPr>
          <w:ilvl w:val="0"/>
          <w:numId w:val="17"/>
        </w:numPr>
        <w:spacing w:after="120" w:line="320" w:lineRule="atLeast"/>
        <w:ind w:right="0"/>
        <w:rPr>
          <w:szCs w:val="24"/>
          <w:lang w:val="sk-SK"/>
        </w:rPr>
      </w:pPr>
      <w:r w:rsidRPr="00CC5B4A">
        <w:rPr>
          <w:szCs w:val="24"/>
          <w:lang w:val="sk-SK"/>
        </w:rPr>
        <w:t>právnické osoby oprávnené na podnikanie v oblasti verejných, vodovodov a verejných kanali</w:t>
      </w:r>
      <w:r w:rsidR="00747ED8">
        <w:rPr>
          <w:szCs w:val="24"/>
          <w:lang w:val="sk-SK"/>
        </w:rPr>
        <w:t>z</w:t>
      </w:r>
      <w:r w:rsidRPr="00CC5B4A">
        <w:rPr>
          <w:szCs w:val="24"/>
          <w:lang w:val="sk-SK"/>
        </w:rPr>
        <w:t>ácií.</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menej rozvinuté regióny (okrem Bratislavského kraja)</w:t>
      </w:r>
    </w:p>
    <w:p w:rsidR="00A00547" w:rsidRPr="00CC5B4A" w:rsidRDefault="00A00547" w:rsidP="0079491A">
      <w:pPr>
        <w:spacing w:after="120" w:line="320" w:lineRule="atLeast"/>
        <w:rPr>
          <w:szCs w:val="24"/>
          <w:lang w:val="sk-SK"/>
        </w:rPr>
      </w:pPr>
    </w:p>
    <w:p w:rsidR="00A00547" w:rsidRPr="00CC5B4A" w:rsidRDefault="00A00547" w:rsidP="0079491A">
      <w:pPr>
        <w:spacing w:after="120" w:line="320" w:lineRule="atLeast"/>
        <w:rPr>
          <w:szCs w:val="24"/>
          <w:lang w:val="sk-SK"/>
        </w:rPr>
      </w:pPr>
      <w:r w:rsidRPr="00CC5B4A">
        <w:rPr>
          <w:b/>
          <w:szCs w:val="24"/>
          <w:lang w:val="sk-SK"/>
        </w:rPr>
        <w:t>Alokácie na špecifický cieľ</w:t>
      </w:r>
      <w:r w:rsidRPr="00CC5B4A">
        <w:rPr>
          <w:szCs w:val="24"/>
          <w:lang w:val="sk-SK"/>
        </w:rPr>
        <w:t xml:space="preserve"> (menej rozvinutý región): 55 mil. </w:t>
      </w:r>
      <w:r w:rsidR="00565EDA">
        <w:rPr>
          <w:szCs w:val="24"/>
          <w:lang w:val="sk-SK"/>
        </w:rPr>
        <w:t>€</w:t>
      </w:r>
      <w:r w:rsidRPr="00CC5B4A">
        <w:rPr>
          <w:szCs w:val="24"/>
          <w:lang w:val="sk-SK"/>
        </w:rPr>
        <w:t xml:space="preserve"> (EFRR), </w:t>
      </w:r>
      <w:r w:rsidRPr="00CC5B4A">
        <w:rPr>
          <w:szCs w:val="24"/>
          <w:lang w:val="sk-SK"/>
        </w:rPr>
        <w:tab/>
        <w:t xml:space="preserve">64 705 885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i/>
          <w:szCs w:val="24"/>
          <w:lang w:val="sk-SK"/>
        </w:rPr>
      </w:pPr>
      <w:r w:rsidRPr="00CC5B4A">
        <w:rPr>
          <w:b/>
          <w:bCs/>
          <w:i/>
          <w:szCs w:val="24"/>
          <w:lang w:val="sk-SK"/>
        </w:rPr>
        <w:t>Budovanie prvkov zelenej infraštruktúry (špecifický cieľ 4.3.1)</w:t>
      </w:r>
    </w:p>
    <w:p w:rsidR="00A00547" w:rsidRPr="00CC5B4A" w:rsidRDefault="00A00547" w:rsidP="0079491A">
      <w:pPr>
        <w:numPr>
          <w:ilvl w:val="0"/>
          <w:numId w:val="18"/>
        </w:numPr>
        <w:spacing w:after="120" w:line="320" w:lineRule="atLeast"/>
        <w:ind w:right="0"/>
        <w:rPr>
          <w:szCs w:val="24"/>
          <w:lang w:val="sk-SK"/>
        </w:rPr>
      </w:pPr>
      <w:r w:rsidRPr="00CC5B4A">
        <w:rPr>
          <w:szCs w:val="24"/>
          <w:lang w:val="sk-SK"/>
        </w:rPr>
        <w:t xml:space="preserve">prirodzené krajinné prvky ako napr. </w:t>
      </w:r>
      <w:r w:rsidRPr="00CC5B4A">
        <w:rPr>
          <w:b/>
          <w:bCs/>
          <w:szCs w:val="24"/>
          <w:lang w:val="sk-SK"/>
        </w:rPr>
        <w:t>malé vodné toky, ostrovčeky lesa, živé ploty,</w:t>
      </w:r>
    </w:p>
    <w:p w:rsidR="00A00547" w:rsidRPr="00CC5B4A" w:rsidRDefault="00A00547" w:rsidP="0079491A">
      <w:pPr>
        <w:numPr>
          <w:ilvl w:val="0"/>
          <w:numId w:val="18"/>
        </w:numPr>
        <w:spacing w:after="120" w:line="320" w:lineRule="atLeast"/>
        <w:ind w:right="0"/>
        <w:rPr>
          <w:szCs w:val="24"/>
          <w:lang w:val="sk-SK"/>
        </w:rPr>
      </w:pPr>
      <w:r w:rsidRPr="00CC5B4A">
        <w:rPr>
          <w:szCs w:val="24"/>
          <w:lang w:val="sk-SK"/>
        </w:rPr>
        <w:t xml:space="preserve">mestské prvky napr. </w:t>
      </w:r>
      <w:r w:rsidRPr="00CC5B4A">
        <w:rPr>
          <w:b/>
          <w:bCs/>
          <w:szCs w:val="24"/>
          <w:lang w:val="sk-SK"/>
        </w:rPr>
        <w:t>zelené parky, izolačná zeleň</w:t>
      </w:r>
      <w:r w:rsidRPr="00CC5B4A">
        <w:rPr>
          <w:szCs w:val="24"/>
          <w:lang w:val="sk-SK"/>
        </w:rPr>
        <w:t xml:space="preserve">, zelené steny a </w:t>
      </w:r>
      <w:r w:rsidRPr="00CC5B4A">
        <w:rPr>
          <w:b/>
          <w:bCs/>
          <w:szCs w:val="24"/>
          <w:lang w:val="sk-SK"/>
        </w:rPr>
        <w:t>zelené strechy,</w:t>
      </w:r>
    </w:p>
    <w:p w:rsidR="00A00547" w:rsidRPr="00CC5B4A" w:rsidRDefault="00A00547" w:rsidP="0079491A">
      <w:pPr>
        <w:numPr>
          <w:ilvl w:val="0"/>
          <w:numId w:val="18"/>
        </w:numPr>
        <w:spacing w:after="120" w:line="320" w:lineRule="atLeast"/>
        <w:ind w:right="0"/>
        <w:rPr>
          <w:szCs w:val="24"/>
          <w:lang w:val="sk-SK"/>
        </w:rPr>
      </w:pPr>
      <w:r w:rsidRPr="00CC5B4A">
        <w:rPr>
          <w:szCs w:val="24"/>
          <w:lang w:val="sk-SK"/>
        </w:rPr>
        <w:t xml:space="preserve">aktivity v oblasti dopravnej infraštruktúry: </w:t>
      </w:r>
      <w:r w:rsidRPr="00CC5B4A">
        <w:rPr>
          <w:b/>
          <w:bCs/>
          <w:szCs w:val="24"/>
          <w:lang w:val="sk-SK"/>
        </w:rPr>
        <w:t xml:space="preserve">zelené koridory </w:t>
      </w:r>
      <w:r w:rsidRPr="00CC5B4A">
        <w:rPr>
          <w:szCs w:val="24"/>
          <w:lang w:val="sk-SK"/>
        </w:rPr>
        <w:t xml:space="preserve">pozdĺž cyklotrás, </w:t>
      </w:r>
      <w:r w:rsidRPr="00CC5B4A">
        <w:rPr>
          <w:b/>
          <w:bCs/>
          <w:szCs w:val="24"/>
          <w:lang w:val="sk-SK"/>
        </w:rPr>
        <w:t xml:space="preserve">zelené steny </w:t>
      </w:r>
      <w:r w:rsidRPr="00CC5B4A">
        <w:rPr>
          <w:szCs w:val="24"/>
          <w:lang w:val="sk-SK"/>
        </w:rPr>
        <w:t xml:space="preserve">na </w:t>
      </w:r>
      <w:proofErr w:type="spellStart"/>
      <w:r w:rsidRPr="00CC5B4A">
        <w:rPr>
          <w:szCs w:val="24"/>
          <w:lang w:val="sk-SK"/>
        </w:rPr>
        <w:t>protihlukových</w:t>
      </w:r>
      <w:proofErr w:type="spellEnd"/>
      <w:r w:rsidRPr="00CC5B4A">
        <w:rPr>
          <w:szCs w:val="24"/>
          <w:lang w:val="sk-SK"/>
        </w:rPr>
        <w:t xml:space="preserve"> stenách,</w:t>
      </w:r>
    </w:p>
    <w:p w:rsidR="00A00547" w:rsidRPr="00CC5B4A" w:rsidRDefault="00A00547" w:rsidP="0079491A">
      <w:pPr>
        <w:numPr>
          <w:ilvl w:val="0"/>
          <w:numId w:val="18"/>
        </w:numPr>
        <w:spacing w:after="120" w:line="320" w:lineRule="atLeast"/>
        <w:ind w:right="0"/>
        <w:rPr>
          <w:szCs w:val="24"/>
          <w:lang w:val="sk-SK"/>
        </w:rPr>
      </w:pPr>
      <w:r w:rsidRPr="00CC5B4A">
        <w:rPr>
          <w:szCs w:val="24"/>
          <w:lang w:val="sk-SK"/>
        </w:rPr>
        <w:t xml:space="preserve">osobitné </w:t>
      </w:r>
      <w:r w:rsidRPr="00CC5B4A">
        <w:rPr>
          <w:b/>
          <w:bCs/>
          <w:szCs w:val="24"/>
          <w:lang w:val="sk-SK"/>
        </w:rPr>
        <w:t>zberné systémy na odpadovú a dažďovú vodu,</w:t>
      </w:r>
    </w:p>
    <w:p w:rsidR="00A00547" w:rsidRPr="00CC5B4A" w:rsidRDefault="00A00547" w:rsidP="0079491A">
      <w:pPr>
        <w:numPr>
          <w:ilvl w:val="0"/>
          <w:numId w:val="18"/>
        </w:numPr>
        <w:spacing w:after="120" w:line="320" w:lineRule="atLeast"/>
        <w:ind w:right="0"/>
        <w:rPr>
          <w:szCs w:val="24"/>
          <w:lang w:val="sk-SK"/>
        </w:rPr>
      </w:pPr>
      <w:r w:rsidRPr="00CC5B4A">
        <w:rPr>
          <w:b/>
          <w:bCs/>
          <w:szCs w:val="24"/>
          <w:lang w:val="sk-SK"/>
        </w:rPr>
        <w:t xml:space="preserve">regenerácia </w:t>
      </w:r>
      <w:proofErr w:type="spellStart"/>
      <w:r w:rsidRPr="00CC5B4A">
        <w:rPr>
          <w:b/>
          <w:bCs/>
          <w:szCs w:val="24"/>
          <w:lang w:val="sk-SK"/>
        </w:rPr>
        <w:t>vnútroblokov</w:t>
      </w:r>
      <w:proofErr w:type="spellEnd"/>
      <w:r w:rsidRPr="00CC5B4A">
        <w:rPr>
          <w:b/>
          <w:bCs/>
          <w:szCs w:val="24"/>
          <w:lang w:val="sk-SK"/>
        </w:rPr>
        <w:t xml:space="preserve"> sídlisk.</w:t>
      </w:r>
    </w:p>
    <w:p w:rsidR="00A00547" w:rsidRPr="00CC5B4A" w:rsidRDefault="00A00547" w:rsidP="0079491A">
      <w:pPr>
        <w:spacing w:after="120" w:line="320" w:lineRule="atLeast"/>
        <w:rPr>
          <w:szCs w:val="24"/>
          <w:lang w:val="sk-SK"/>
        </w:rPr>
      </w:pPr>
      <w:r w:rsidRPr="00CC5B4A">
        <w:rPr>
          <w:b/>
          <w:bCs/>
          <w:szCs w:val="24"/>
          <w:lang w:val="sk-SK"/>
        </w:rPr>
        <w:t xml:space="preserve"> Prijímatelia:</w:t>
      </w:r>
    </w:p>
    <w:p w:rsidR="00A00547" w:rsidRPr="00CC5B4A" w:rsidRDefault="00A00547" w:rsidP="0079491A">
      <w:pPr>
        <w:numPr>
          <w:ilvl w:val="0"/>
          <w:numId w:val="19"/>
        </w:numPr>
        <w:spacing w:after="120" w:line="320" w:lineRule="atLeast"/>
        <w:ind w:right="0"/>
        <w:rPr>
          <w:szCs w:val="24"/>
          <w:lang w:val="sk-SK"/>
        </w:rPr>
      </w:pPr>
      <w:r w:rsidRPr="00CC5B4A">
        <w:rPr>
          <w:szCs w:val="24"/>
          <w:lang w:val="sk-SK"/>
        </w:rPr>
        <w:t>obce, VÚC, OZ, MVO.</w:t>
      </w:r>
    </w:p>
    <w:p w:rsidR="00A00547" w:rsidRPr="00CC5B4A" w:rsidRDefault="00A00547" w:rsidP="0079491A">
      <w:pPr>
        <w:spacing w:after="120" w:line="320" w:lineRule="atLeast"/>
        <w:rPr>
          <w:szCs w:val="24"/>
          <w:lang w:val="sk-SK"/>
        </w:rPr>
      </w:pPr>
      <w:r w:rsidRPr="00CC5B4A">
        <w:rPr>
          <w:b/>
          <w:szCs w:val="24"/>
          <w:lang w:val="sk-SK"/>
        </w:rPr>
        <w:lastRenderedPageBreak/>
        <w:t>Cieľové územie:</w:t>
      </w:r>
      <w:r w:rsidRPr="00CC5B4A">
        <w:rPr>
          <w:szCs w:val="24"/>
          <w:lang w:val="sk-SK"/>
        </w:rPr>
        <w:t xml:space="preserve"> funkčné územia krajských miest okrem Bratislavského kraja, pre</w:t>
      </w:r>
      <w:r w:rsidR="0072300B">
        <w:rPr>
          <w:szCs w:val="24"/>
          <w:lang w:val="sk-SK"/>
        </w:rPr>
        <w:t> </w:t>
      </w:r>
      <w:r w:rsidRPr="00CC5B4A">
        <w:rPr>
          <w:szCs w:val="24"/>
          <w:lang w:val="sk-SK"/>
        </w:rPr>
        <w:tab/>
        <w:t xml:space="preserve">aktivitu regenerácia </w:t>
      </w:r>
      <w:proofErr w:type="spellStart"/>
      <w:r w:rsidRPr="00CC5B4A">
        <w:rPr>
          <w:szCs w:val="24"/>
          <w:lang w:val="sk-SK"/>
        </w:rPr>
        <w:t>vnútroblokov</w:t>
      </w:r>
      <w:proofErr w:type="spellEnd"/>
      <w:r w:rsidRPr="00CC5B4A">
        <w:rPr>
          <w:szCs w:val="24"/>
          <w:lang w:val="sk-SK"/>
        </w:rPr>
        <w:t xml:space="preserve"> sídlisk celé územie SR s výnimkou Bratislavského </w:t>
      </w:r>
      <w:r w:rsidRPr="00CC5B4A">
        <w:rPr>
          <w:szCs w:val="24"/>
          <w:lang w:val="sk-SK"/>
        </w:rPr>
        <w:tab/>
        <w:t>kraja.</w:t>
      </w:r>
    </w:p>
    <w:p w:rsidR="00A00547" w:rsidRPr="00CC5B4A" w:rsidRDefault="00A00547" w:rsidP="0079491A">
      <w:pPr>
        <w:spacing w:after="120" w:line="320" w:lineRule="atLeast"/>
        <w:rPr>
          <w:szCs w:val="24"/>
          <w:lang w:val="sk-SK"/>
        </w:rPr>
      </w:pPr>
      <w:r w:rsidRPr="00CC5B4A">
        <w:rPr>
          <w:b/>
          <w:szCs w:val="24"/>
          <w:lang w:val="sk-SK"/>
        </w:rPr>
        <w:t>Alokácie na špecifický cieľ</w:t>
      </w:r>
      <w:r w:rsidRPr="00CC5B4A">
        <w:rPr>
          <w:szCs w:val="24"/>
          <w:lang w:val="sk-SK"/>
        </w:rPr>
        <w:t xml:space="preserve"> (menej rozvinutý región): </w:t>
      </w:r>
      <w:r w:rsidRPr="00CC5B4A">
        <w:rPr>
          <w:b/>
          <w:szCs w:val="24"/>
          <w:lang w:val="sk-SK"/>
        </w:rPr>
        <w:t xml:space="preserve">33 328 116 </w:t>
      </w:r>
      <w:r w:rsidR="00565EDA">
        <w:rPr>
          <w:b/>
          <w:szCs w:val="24"/>
          <w:lang w:val="sk-SK"/>
        </w:rPr>
        <w:t>€</w:t>
      </w:r>
      <w:r w:rsidRPr="00CC5B4A">
        <w:rPr>
          <w:b/>
          <w:szCs w:val="24"/>
          <w:lang w:val="sk-SK"/>
        </w:rPr>
        <w:t xml:space="preserve"> (EFRR), </w:t>
      </w:r>
      <w:r w:rsidRPr="00CC5B4A">
        <w:rPr>
          <w:b/>
          <w:szCs w:val="24"/>
          <w:lang w:val="sk-SK"/>
        </w:rPr>
        <w:tab/>
        <w:t xml:space="preserve">39 209 551 </w:t>
      </w:r>
      <w:r w:rsidR="00565EDA">
        <w:rPr>
          <w:b/>
          <w:szCs w:val="24"/>
          <w:lang w:val="sk-SK"/>
        </w:rPr>
        <w:t>€</w:t>
      </w:r>
      <w:r w:rsidRPr="00CC5B4A">
        <w:rPr>
          <w:b/>
          <w:szCs w:val="24"/>
          <w:lang w:val="sk-SK"/>
        </w:rPr>
        <w:t xml:space="preserve"> (spolu)</w:t>
      </w:r>
      <w:r w:rsidRPr="00CC5B4A">
        <w:rPr>
          <w:szCs w:val="24"/>
          <w:lang w:val="sk-SK"/>
        </w:rPr>
        <w:t xml:space="preserve"> </w:t>
      </w:r>
    </w:p>
    <w:p w:rsidR="00A00547" w:rsidRPr="00CC5B4A" w:rsidRDefault="00A00547" w:rsidP="0079491A">
      <w:pPr>
        <w:spacing w:after="120" w:line="320" w:lineRule="atLeast"/>
        <w:rPr>
          <w:b/>
          <w:szCs w:val="24"/>
          <w:u w:val="single"/>
          <w:lang w:val="sk-SK"/>
        </w:rPr>
      </w:pPr>
      <w:r w:rsidRPr="00CC5B4A">
        <w:rPr>
          <w:b/>
          <w:szCs w:val="24"/>
          <w:u w:val="single"/>
          <w:lang w:val="sk-SK"/>
        </w:rPr>
        <w:t xml:space="preserve">Prioritná os č. 5: </w:t>
      </w:r>
      <w:r w:rsidRPr="00CC5B4A">
        <w:rPr>
          <w:b/>
          <w:bCs/>
          <w:szCs w:val="24"/>
          <w:u w:val="single"/>
          <w:lang w:val="sk-SK"/>
        </w:rPr>
        <w:t>Miestny rozvoj vedený komunitou</w:t>
      </w:r>
    </w:p>
    <w:p w:rsidR="00A00547" w:rsidRPr="00CC5B4A" w:rsidRDefault="00A00547" w:rsidP="0079491A">
      <w:pPr>
        <w:spacing w:after="120" w:line="320" w:lineRule="atLeast"/>
        <w:rPr>
          <w:i/>
          <w:szCs w:val="24"/>
          <w:lang w:val="sk-SK"/>
        </w:rPr>
      </w:pPr>
      <w:r w:rsidRPr="00CC5B4A">
        <w:rPr>
          <w:b/>
          <w:bCs/>
          <w:i/>
          <w:szCs w:val="24"/>
          <w:lang w:val="sk-SK"/>
        </w:rPr>
        <w:t xml:space="preserve">Zvýšenie zamestnanosti na miestnej úrovni podporou podnikania a inovácií </w:t>
      </w:r>
      <w:r w:rsidRPr="00CC5B4A">
        <w:rPr>
          <w:b/>
          <w:bCs/>
          <w:i/>
          <w:szCs w:val="24"/>
          <w:lang w:val="sk-SK"/>
        </w:rPr>
        <w:tab/>
        <w:t>(špecifický cieľ 5.1.1) </w:t>
      </w:r>
    </w:p>
    <w:p w:rsidR="00A00547" w:rsidRPr="00CC5B4A" w:rsidRDefault="00A00547" w:rsidP="0079491A">
      <w:pPr>
        <w:pStyle w:val="Odsekzoznamu"/>
        <w:numPr>
          <w:ilvl w:val="0"/>
          <w:numId w:val="20"/>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podpora chodu miestnych akčných skupín (MAS) – okrem Bratislavského kraja a zmiešaných MAS</w:t>
      </w:r>
    </w:p>
    <w:p w:rsidR="00A00547" w:rsidRPr="00CC5B4A" w:rsidRDefault="00A00547" w:rsidP="0079491A">
      <w:pPr>
        <w:pStyle w:val="Odsekzoznamu"/>
        <w:numPr>
          <w:ilvl w:val="0"/>
          <w:numId w:val="20"/>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podpora obstarania materiálno-technického vybavenia </w:t>
      </w:r>
      <w:proofErr w:type="spellStart"/>
      <w:r w:rsidRPr="00CC5B4A">
        <w:rPr>
          <w:rFonts w:ascii="Times New Roman" w:hAnsi="Times New Roman" w:cs="Times New Roman"/>
          <w:sz w:val="24"/>
          <w:szCs w:val="24"/>
        </w:rPr>
        <w:t>mikro</w:t>
      </w:r>
      <w:proofErr w:type="spellEnd"/>
      <w:r w:rsidRPr="00CC5B4A">
        <w:rPr>
          <w:rFonts w:ascii="Times New Roman" w:hAnsi="Times New Roman" w:cs="Times New Roman"/>
          <w:sz w:val="24"/>
          <w:szCs w:val="24"/>
        </w:rPr>
        <w:t xml:space="preserve"> a malých podnikov (do</w:t>
      </w:r>
      <w:r w:rsidR="00302357">
        <w:rPr>
          <w:rFonts w:ascii="Times New Roman" w:hAnsi="Times New Roman" w:cs="Times New Roman"/>
          <w:sz w:val="24"/>
          <w:szCs w:val="24"/>
        </w:rPr>
        <w:t> </w:t>
      </w:r>
      <w:r w:rsidRPr="00CC5B4A">
        <w:rPr>
          <w:rFonts w:ascii="Times New Roman" w:hAnsi="Times New Roman" w:cs="Times New Roman"/>
          <w:sz w:val="24"/>
          <w:szCs w:val="24"/>
        </w:rPr>
        <w:t>49</w:t>
      </w:r>
      <w:r w:rsidR="00302357">
        <w:rPr>
          <w:rFonts w:ascii="Times New Roman" w:hAnsi="Times New Roman" w:cs="Times New Roman"/>
          <w:sz w:val="24"/>
          <w:szCs w:val="24"/>
        </w:rPr>
        <w:t> </w:t>
      </w:r>
      <w:r w:rsidRPr="00CC5B4A">
        <w:rPr>
          <w:rFonts w:ascii="Times New Roman" w:hAnsi="Times New Roman" w:cs="Times New Roman"/>
          <w:sz w:val="24"/>
          <w:szCs w:val="24"/>
        </w:rPr>
        <w:t>zamestnancov),</w:t>
      </w:r>
    </w:p>
    <w:p w:rsidR="00A00547" w:rsidRPr="00CC5B4A" w:rsidRDefault="00A00547" w:rsidP="0079491A">
      <w:pPr>
        <w:pStyle w:val="Odsekzoznamu"/>
        <w:numPr>
          <w:ilvl w:val="0"/>
          <w:numId w:val="20"/>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podpora „mäkkých“ aktivít pre podnikateľov a podniky (vzdelávanie, sieťovanie, marketing, poradenstvo, prenos poznatkov). </w:t>
      </w:r>
    </w:p>
    <w:p w:rsidR="00A00547" w:rsidRPr="00CC5B4A" w:rsidRDefault="00A00547" w:rsidP="0079491A">
      <w:pPr>
        <w:spacing w:after="120" w:line="320" w:lineRule="atLeast"/>
        <w:rPr>
          <w:i/>
          <w:szCs w:val="24"/>
          <w:lang w:val="sk-SK"/>
        </w:rPr>
      </w:pPr>
      <w:r w:rsidRPr="00CC5B4A">
        <w:rPr>
          <w:b/>
          <w:bCs/>
          <w:i/>
          <w:szCs w:val="24"/>
          <w:lang w:val="sk-SK"/>
        </w:rPr>
        <w:t xml:space="preserve">Podpora udržateľných vzťahov medzi vidieckymi rozvojovými centrami a ich </w:t>
      </w:r>
      <w:r w:rsidRPr="00CC5B4A">
        <w:rPr>
          <w:b/>
          <w:bCs/>
          <w:i/>
          <w:szCs w:val="24"/>
          <w:lang w:val="sk-SK"/>
        </w:rPr>
        <w:tab/>
        <w:t xml:space="preserve">zázemím vo verejných službách a vo verejných infraštruktúrach (špecifický cieľ </w:t>
      </w:r>
      <w:r w:rsidRPr="00CC5B4A">
        <w:rPr>
          <w:b/>
          <w:bCs/>
          <w:i/>
          <w:szCs w:val="24"/>
          <w:lang w:val="sk-SK"/>
        </w:rPr>
        <w:tab/>
        <w:t>5.1.2) </w:t>
      </w:r>
    </w:p>
    <w:p w:rsidR="00A00547" w:rsidRPr="00CC5B4A" w:rsidRDefault="00A00547" w:rsidP="0079491A">
      <w:pPr>
        <w:pStyle w:val="Odsekzoznamu"/>
        <w:numPr>
          <w:ilvl w:val="0"/>
          <w:numId w:val="21"/>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rozvoj základnej infraštruktúry v obciach v oblasti verejnej osobnej dopravy a</w:t>
      </w:r>
      <w:r w:rsidR="0072300B">
        <w:rPr>
          <w:rFonts w:ascii="Times New Roman" w:hAnsi="Times New Roman" w:cs="Times New Roman"/>
          <w:sz w:val="24"/>
          <w:szCs w:val="24"/>
        </w:rPr>
        <w:t> </w:t>
      </w:r>
      <w:proofErr w:type="spellStart"/>
      <w:r w:rsidRPr="00CC5B4A">
        <w:rPr>
          <w:rFonts w:ascii="Times New Roman" w:hAnsi="Times New Roman" w:cs="Times New Roman"/>
          <w:sz w:val="24"/>
          <w:szCs w:val="24"/>
        </w:rPr>
        <w:t>cyklodopravy</w:t>
      </w:r>
      <w:proofErr w:type="spellEnd"/>
      <w:r w:rsidRPr="00CC5B4A">
        <w:rPr>
          <w:rFonts w:ascii="Times New Roman" w:hAnsi="Times New Roman" w:cs="Times New Roman"/>
          <w:sz w:val="24"/>
          <w:szCs w:val="24"/>
        </w:rPr>
        <w:t xml:space="preserve">, sociálnych služieb a </w:t>
      </w:r>
      <w:proofErr w:type="spellStart"/>
      <w:r w:rsidRPr="00CC5B4A">
        <w:rPr>
          <w:rFonts w:ascii="Times New Roman" w:hAnsi="Times New Roman" w:cs="Times New Roman"/>
          <w:sz w:val="24"/>
          <w:szCs w:val="24"/>
        </w:rPr>
        <w:t>komunitných</w:t>
      </w:r>
      <w:proofErr w:type="spellEnd"/>
      <w:r w:rsidRPr="00CC5B4A">
        <w:rPr>
          <w:rFonts w:ascii="Times New Roman" w:hAnsi="Times New Roman" w:cs="Times New Roman"/>
          <w:sz w:val="24"/>
          <w:szCs w:val="24"/>
        </w:rPr>
        <w:t xml:space="preserve"> služieb, školskej infraštruktúry,</w:t>
      </w:r>
    </w:p>
    <w:p w:rsidR="00A00547" w:rsidRPr="00CC5B4A" w:rsidRDefault="00A00547" w:rsidP="0079491A">
      <w:pPr>
        <w:pStyle w:val="Odsekzoznamu"/>
        <w:numPr>
          <w:ilvl w:val="0"/>
          <w:numId w:val="21"/>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rozvoj miestnych služieb vrátane lokálnych ekologických služieb,</w:t>
      </w:r>
    </w:p>
    <w:p w:rsidR="00A00547" w:rsidRPr="00CC5B4A" w:rsidRDefault="00A00547" w:rsidP="0079491A">
      <w:pPr>
        <w:pStyle w:val="Odsekzoznamu"/>
        <w:numPr>
          <w:ilvl w:val="0"/>
          <w:numId w:val="21"/>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výstavba a obnova mestských trhových priestorov za účelom podpory lokálnych producentov,</w:t>
      </w:r>
    </w:p>
    <w:p w:rsidR="00A00547" w:rsidRPr="00CC5B4A" w:rsidRDefault="00A00547" w:rsidP="0079491A">
      <w:pPr>
        <w:pStyle w:val="Odsekzoznamu"/>
        <w:numPr>
          <w:ilvl w:val="0"/>
          <w:numId w:val="21"/>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rekonštrukcia/budovanie vodovodných sietí, stokovej siete, verejných vodovodov v</w:t>
      </w:r>
      <w:r w:rsidR="0072300B">
        <w:rPr>
          <w:rFonts w:ascii="Times New Roman" w:hAnsi="Times New Roman" w:cs="Times New Roman"/>
          <w:sz w:val="24"/>
          <w:szCs w:val="24"/>
        </w:rPr>
        <w:t> </w:t>
      </w:r>
      <w:r w:rsidRPr="00CC5B4A">
        <w:rPr>
          <w:rFonts w:ascii="Times New Roman" w:hAnsi="Times New Roman" w:cs="Times New Roman"/>
          <w:sz w:val="24"/>
          <w:szCs w:val="24"/>
        </w:rPr>
        <w:t>aglomeráciách do 2 000 ekvivalentných obyvateľov.</w:t>
      </w:r>
    </w:p>
    <w:p w:rsidR="00A00547" w:rsidRPr="00CC5B4A" w:rsidRDefault="00A00547" w:rsidP="0079491A">
      <w:pPr>
        <w:spacing w:after="120" w:line="320" w:lineRule="atLeast"/>
        <w:rPr>
          <w:b/>
          <w:szCs w:val="24"/>
          <w:lang w:val="sk-SK"/>
        </w:rPr>
      </w:pPr>
      <w:r w:rsidRPr="00CC5B4A">
        <w:rPr>
          <w:b/>
          <w:szCs w:val="24"/>
          <w:lang w:val="sk-SK"/>
        </w:rPr>
        <w:t>Prijímatelia:</w:t>
      </w:r>
    </w:p>
    <w:p w:rsidR="00A00547" w:rsidRPr="00CC5B4A" w:rsidRDefault="00A00547" w:rsidP="0079491A">
      <w:pPr>
        <w:numPr>
          <w:ilvl w:val="0"/>
          <w:numId w:val="22"/>
        </w:numPr>
        <w:spacing w:after="120" w:line="320" w:lineRule="atLeast"/>
        <w:ind w:right="0"/>
        <w:rPr>
          <w:szCs w:val="24"/>
          <w:lang w:val="sk-SK"/>
        </w:rPr>
      </w:pPr>
      <w:r w:rsidRPr="00CC5B4A">
        <w:rPr>
          <w:szCs w:val="24"/>
          <w:lang w:val="sk-SK"/>
        </w:rPr>
        <w:t xml:space="preserve">mestá/samostatné mestské časti a obce, združenia miest a obcí, </w:t>
      </w:r>
      <w:proofErr w:type="spellStart"/>
      <w:r w:rsidRPr="00CC5B4A">
        <w:rPr>
          <w:szCs w:val="24"/>
          <w:lang w:val="sk-SK"/>
        </w:rPr>
        <w:t>mikroregionálne</w:t>
      </w:r>
      <w:proofErr w:type="spellEnd"/>
      <w:r w:rsidRPr="00CC5B4A">
        <w:rPr>
          <w:szCs w:val="24"/>
          <w:lang w:val="sk-SK"/>
        </w:rPr>
        <w:t xml:space="preserve"> združenia, </w:t>
      </w:r>
    </w:p>
    <w:p w:rsidR="00A00547" w:rsidRPr="00CC5B4A" w:rsidRDefault="00A00547" w:rsidP="0079491A">
      <w:pPr>
        <w:numPr>
          <w:ilvl w:val="0"/>
          <w:numId w:val="22"/>
        </w:numPr>
        <w:spacing w:after="120" w:line="320" w:lineRule="atLeast"/>
        <w:ind w:right="0"/>
        <w:rPr>
          <w:szCs w:val="24"/>
          <w:lang w:val="sk-SK"/>
        </w:rPr>
      </w:pPr>
      <w:r w:rsidRPr="00CC5B4A">
        <w:rPr>
          <w:szCs w:val="24"/>
          <w:lang w:val="sk-SK"/>
        </w:rPr>
        <w:t xml:space="preserve">SZČO, </w:t>
      </w:r>
      <w:proofErr w:type="spellStart"/>
      <w:r w:rsidRPr="00CC5B4A">
        <w:rPr>
          <w:szCs w:val="24"/>
          <w:lang w:val="sk-SK"/>
        </w:rPr>
        <w:t>mikro</w:t>
      </w:r>
      <w:proofErr w:type="spellEnd"/>
      <w:r w:rsidRPr="00CC5B4A">
        <w:rPr>
          <w:szCs w:val="24"/>
          <w:lang w:val="sk-SK"/>
        </w:rPr>
        <w:t xml:space="preserve"> a malé podniky, </w:t>
      </w:r>
    </w:p>
    <w:p w:rsidR="00A00547" w:rsidRPr="00CC5B4A" w:rsidRDefault="00A00547" w:rsidP="0079491A">
      <w:pPr>
        <w:numPr>
          <w:ilvl w:val="0"/>
          <w:numId w:val="22"/>
        </w:numPr>
        <w:spacing w:after="120" w:line="320" w:lineRule="atLeast"/>
        <w:ind w:right="0"/>
        <w:rPr>
          <w:szCs w:val="24"/>
          <w:lang w:val="sk-SK"/>
        </w:rPr>
      </w:pPr>
      <w:r w:rsidRPr="00CC5B4A">
        <w:rPr>
          <w:szCs w:val="24"/>
          <w:lang w:val="sk-SK"/>
        </w:rPr>
        <w:t>občianske združenia, neziskové organizácie.</w:t>
      </w:r>
    </w:p>
    <w:p w:rsidR="00A00547" w:rsidRPr="00CC5B4A" w:rsidRDefault="00A00547" w:rsidP="0079491A">
      <w:pPr>
        <w:spacing w:after="120" w:line="320" w:lineRule="atLeast"/>
        <w:rPr>
          <w:szCs w:val="24"/>
          <w:lang w:val="sk-SK"/>
        </w:rPr>
      </w:pPr>
      <w:r w:rsidRPr="00CC5B4A">
        <w:rPr>
          <w:b/>
          <w:szCs w:val="24"/>
          <w:lang w:val="sk-SK"/>
        </w:rPr>
        <w:t>Cieľové územie:</w:t>
      </w:r>
      <w:r w:rsidRPr="00CC5B4A">
        <w:rPr>
          <w:szCs w:val="24"/>
          <w:lang w:val="sk-SK"/>
        </w:rPr>
        <w:t xml:space="preserve"> územia MAS na celom území SR</w:t>
      </w:r>
    </w:p>
    <w:p w:rsidR="00A00547" w:rsidRPr="00CC5B4A" w:rsidRDefault="00A00547" w:rsidP="0079491A">
      <w:pPr>
        <w:spacing w:after="120" w:line="320" w:lineRule="atLeast"/>
        <w:rPr>
          <w:szCs w:val="24"/>
          <w:lang w:val="sk-SK"/>
        </w:rPr>
      </w:pPr>
    </w:p>
    <w:p w:rsidR="00A00547" w:rsidRPr="00CC5B4A" w:rsidRDefault="00A00547" w:rsidP="0079491A">
      <w:pPr>
        <w:spacing w:after="120" w:line="320" w:lineRule="atLeast"/>
        <w:rPr>
          <w:szCs w:val="24"/>
          <w:lang w:val="sk-SK"/>
        </w:rPr>
      </w:pPr>
      <w:r w:rsidRPr="00CC5B4A">
        <w:rPr>
          <w:b/>
          <w:szCs w:val="24"/>
          <w:lang w:val="sk-SK"/>
        </w:rPr>
        <w:t xml:space="preserve">Alokácie na prioritnú os: 100 mil. </w:t>
      </w:r>
      <w:r w:rsidR="00565EDA">
        <w:rPr>
          <w:b/>
          <w:szCs w:val="24"/>
          <w:lang w:val="sk-SK"/>
        </w:rPr>
        <w:t>€</w:t>
      </w:r>
      <w:r w:rsidRPr="00CC5B4A">
        <w:rPr>
          <w:b/>
          <w:szCs w:val="24"/>
          <w:lang w:val="sk-SK"/>
        </w:rPr>
        <w:t xml:space="preserve"> (EFRR), 105 877 196 </w:t>
      </w:r>
      <w:r w:rsidR="00565EDA">
        <w:rPr>
          <w:b/>
          <w:szCs w:val="24"/>
          <w:lang w:val="sk-SK"/>
        </w:rPr>
        <w:t>€</w:t>
      </w:r>
      <w:r w:rsidRPr="00CC5B4A">
        <w:rPr>
          <w:b/>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menej rozvinutý región: 99 mil. </w:t>
      </w:r>
      <w:r w:rsidR="00565EDA">
        <w:rPr>
          <w:szCs w:val="24"/>
          <w:lang w:val="sk-SK"/>
        </w:rPr>
        <w:t>€</w:t>
      </w:r>
      <w:r w:rsidRPr="00CC5B4A">
        <w:rPr>
          <w:szCs w:val="24"/>
          <w:lang w:val="sk-SK"/>
        </w:rPr>
        <w:t xml:space="preserve"> (EFRR), 104 210 529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viac rozvinutý región: 1 mil. </w:t>
      </w:r>
      <w:r w:rsidR="00565EDA">
        <w:rPr>
          <w:szCs w:val="24"/>
          <w:lang w:val="sk-SK"/>
        </w:rPr>
        <w:t>€</w:t>
      </w:r>
      <w:r w:rsidRPr="00CC5B4A">
        <w:rPr>
          <w:szCs w:val="24"/>
          <w:lang w:val="sk-SK"/>
        </w:rPr>
        <w:t xml:space="preserve"> (EFRR), 1 666 667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b/>
          <w:szCs w:val="24"/>
          <w:u w:val="single"/>
          <w:lang w:val="sk-SK"/>
        </w:rPr>
      </w:pPr>
      <w:r w:rsidRPr="00CC5B4A">
        <w:rPr>
          <w:b/>
          <w:szCs w:val="24"/>
          <w:u w:val="single"/>
          <w:lang w:val="sk-SK"/>
        </w:rPr>
        <w:t xml:space="preserve">Prioritná os 6: Technická pomoc </w:t>
      </w:r>
    </w:p>
    <w:p w:rsidR="00A00547" w:rsidRPr="00CC5B4A" w:rsidRDefault="00A00547" w:rsidP="0079491A">
      <w:pPr>
        <w:spacing w:after="120" w:line="320" w:lineRule="atLeast"/>
        <w:rPr>
          <w:b/>
          <w:i/>
          <w:szCs w:val="24"/>
          <w:lang w:val="sk-SK"/>
        </w:rPr>
      </w:pPr>
      <w:r w:rsidRPr="00CC5B4A">
        <w:rPr>
          <w:b/>
          <w:i/>
          <w:szCs w:val="24"/>
          <w:lang w:val="sk-SK"/>
        </w:rPr>
        <w:t>Podpora efektívnej implementácie operačného programu (špecifický cieľ 6.1)</w:t>
      </w:r>
    </w:p>
    <w:p w:rsidR="00A00547" w:rsidRPr="00CC5B4A" w:rsidRDefault="00A00547" w:rsidP="0079491A">
      <w:pPr>
        <w:pStyle w:val="Odsekzoznamu"/>
        <w:numPr>
          <w:ilvl w:val="3"/>
          <w:numId w:val="23"/>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lastRenderedPageBreak/>
        <w:t>podpora administratívnych kapacít, vzdelávanie a zvyšovanie odbornosti zamestnancov</w:t>
      </w:r>
    </w:p>
    <w:p w:rsidR="00A00547" w:rsidRPr="00CC5B4A" w:rsidRDefault="00A00547" w:rsidP="0079491A">
      <w:pPr>
        <w:pStyle w:val="Odsekzoznamu"/>
        <w:numPr>
          <w:ilvl w:val="3"/>
          <w:numId w:val="23"/>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materiálno–technické, priestorové a prevádzkové zabezpečenie a jeho modernizácia</w:t>
      </w:r>
    </w:p>
    <w:p w:rsidR="00A00547" w:rsidRPr="00CC5B4A" w:rsidRDefault="00A00547" w:rsidP="0079491A">
      <w:pPr>
        <w:pStyle w:val="Odsekzoznamu"/>
        <w:numPr>
          <w:ilvl w:val="3"/>
          <w:numId w:val="23"/>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zabezpečenie procesov programovania, riadenia, implementácie, hodnotenia a finančného riadenia </w:t>
      </w:r>
    </w:p>
    <w:p w:rsidR="00A00547" w:rsidRPr="00CC5B4A" w:rsidRDefault="00A00547" w:rsidP="0079491A">
      <w:pPr>
        <w:pStyle w:val="Odsekzoznamu"/>
        <w:numPr>
          <w:ilvl w:val="3"/>
          <w:numId w:val="23"/>
        </w:numPr>
        <w:spacing w:after="120" w:line="320" w:lineRule="atLeas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zabezpečenie monitorovania a kontroly  </w:t>
      </w:r>
    </w:p>
    <w:p w:rsidR="00A00547" w:rsidRPr="00CC5B4A" w:rsidRDefault="00A00547" w:rsidP="0079491A">
      <w:pPr>
        <w:spacing w:after="120" w:line="320" w:lineRule="atLeast"/>
        <w:rPr>
          <w:b/>
          <w:i/>
          <w:szCs w:val="24"/>
          <w:lang w:val="sk-SK"/>
        </w:rPr>
      </w:pPr>
      <w:r w:rsidRPr="00CC5B4A">
        <w:rPr>
          <w:b/>
          <w:i/>
          <w:szCs w:val="24"/>
          <w:lang w:val="sk-SK"/>
        </w:rPr>
        <w:t xml:space="preserve">Zabezpečenie </w:t>
      </w:r>
      <w:r w:rsidRPr="00CC5B4A">
        <w:rPr>
          <w:b/>
          <w:i/>
          <w:iCs/>
          <w:szCs w:val="24"/>
          <w:lang w:val="sk-SK"/>
        </w:rPr>
        <w:t xml:space="preserve">publicity, informovania a podpory prijímateľov v procese </w:t>
      </w:r>
      <w:r w:rsidRPr="00CC5B4A">
        <w:rPr>
          <w:b/>
          <w:i/>
          <w:iCs/>
          <w:szCs w:val="24"/>
          <w:lang w:val="sk-SK"/>
        </w:rPr>
        <w:tab/>
        <w:t xml:space="preserve">implementácie </w:t>
      </w:r>
      <w:r w:rsidRPr="00CC5B4A">
        <w:rPr>
          <w:b/>
          <w:i/>
          <w:szCs w:val="24"/>
          <w:lang w:val="sk-SK"/>
        </w:rPr>
        <w:t>(špecifický cieľ 6.2)</w:t>
      </w:r>
    </w:p>
    <w:p w:rsidR="00A00547" w:rsidRPr="00CC5B4A" w:rsidRDefault="00A00547" w:rsidP="0079491A">
      <w:pPr>
        <w:spacing w:after="120" w:line="320" w:lineRule="atLeast"/>
        <w:rPr>
          <w:szCs w:val="24"/>
          <w:lang w:val="sk-SK"/>
        </w:rPr>
      </w:pPr>
      <w:r w:rsidRPr="00CC5B4A">
        <w:rPr>
          <w:b/>
          <w:szCs w:val="24"/>
          <w:lang w:val="sk-SK"/>
        </w:rPr>
        <w:t xml:space="preserve">Prijímatelia: </w:t>
      </w:r>
      <w:r w:rsidRPr="00CC5B4A">
        <w:rPr>
          <w:szCs w:val="24"/>
          <w:lang w:val="sk-SK"/>
        </w:rPr>
        <w:t xml:space="preserve">Riadiaci orgán pre IROP, sprostredkovateľské orgány, platobná </w:t>
      </w:r>
      <w:r w:rsidRPr="00CC5B4A">
        <w:rPr>
          <w:szCs w:val="24"/>
          <w:lang w:val="sk-SK"/>
        </w:rPr>
        <w:tab/>
        <w:t>jednotka, orgány kontroly, odborný garant v oblasti udržateľného mestského rozvoja</w:t>
      </w:r>
    </w:p>
    <w:p w:rsidR="00A00547" w:rsidRPr="00CC5B4A" w:rsidRDefault="00A00547" w:rsidP="0079491A">
      <w:pPr>
        <w:spacing w:after="120" w:line="320" w:lineRule="atLeast"/>
        <w:rPr>
          <w:b/>
          <w:szCs w:val="24"/>
          <w:lang w:val="sk-SK"/>
        </w:rPr>
      </w:pPr>
      <w:r w:rsidRPr="00CC5B4A">
        <w:rPr>
          <w:b/>
          <w:szCs w:val="24"/>
          <w:lang w:val="sk-SK"/>
        </w:rPr>
        <w:t xml:space="preserve">Alokácia na prioritnú os: </w:t>
      </w:r>
      <w:r w:rsidRPr="00CC5B4A">
        <w:rPr>
          <w:b/>
          <w:szCs w:val="24"/>
          <w:lang w:val="sk-SK"/>
        </w:rPr>
        <w:tab/>
        <w:t xml:space="preserve">62 mil. </w:t>
      </w:r>
      <w:r w:rsidR="00565EDA">
        <w:rPr>
          <w:b/>
          <w:szCs w:val="24"/>
          <w:lang w:val="sk-SK"/>
        </w:rPr>
        <w:t>€</w:t>
      </w:r>
      <w:r w:rsidRPr="00CC5B4A">
        <w:rPr>
          <w:b/>
          <w:szCs w:val="24"/>
          <w:lang w:val="sk-SK"/>
        </w:rPr>
        <w:t xml:space="preserve"> (EFRR), 74 702 707 </w:t>
      </w:r>
      <w:r w:rsidR="00565EDA">
        <w:rPr>
          <w:b/>
          <w:szCs w:val="24"/>
          <w:lang w:val="sk-SK"/>
        </w:rPr>
        <w:t>€</w:t>
      </w:r>
      <w:r w:rsidRPr="00CC5B4A">
        <w:rPr>
          <w:b/>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menej rozvinutý región: </w:t>
      </w:r>
      <w:r w:rsidRPr="00CC5B4A">
        <w:rPr>
          <w:szCs w:val="24"/>
          <w:lang w:val="sk-SK"/>
        </w:rPr>
        <w:tab/>
        <w:t xml:space="preserve">59 861 000 </w:t>
      </w:r>
      <w:r w:rsidR="00565EDA">
        <w:rPr>
          <w:szCs w:val="24"/>
          <w:lang w:val="sk-SK"/>
        </w:rPr>
        <w:t>€</w:t>
      </w:r>
      <w:r w:rsidRPr="00CC5B4A">
        <w:rPr>
          <w:szCs w:val="24"/>
          <w:lang w:val="sk-SK"/>
        </w:rPr>
        <w:t xml:space="preserve"> (EFRR), 70 424 707 </w:t>
      </w:r>
      <w:r w:rsidR="00565EDA">
        <w:rPr>
          <w:szCs w:val="24"/>
          <w:lang w:val="sk-SK"/>
        </w:rPr>
        <w:t>€</w:t>
      </w:r>
      <w:r w:rsidRPr="00CC5B4A">
        <w:rPr>
          <w:szCs w:val="24"/>
          <w:lang w:val="sk-SK"/>
        </w:rPr>
        <w:t xml:space="preserve"> (spolu)</w:t>
      </w:r>
    </w:p>
    <w:p w:rsidR="00A00547" w:rsidRPr="00CC5B4A" w:rsidRDefault="00A00547" w:rsidP="0079491A">
      <w:pPr>
        <w:spacing w:after="120" w:line="320" w:lineRule="atLeast"/>
        <w:rPr>
          <w:szCs w:val="24"/>
          <w:lang w:val="sk-SK"/>
        </w:rPr>
      </w:pPr>
      <w:r w:rsidRPr="00CC5B4A">
        <w:rPr>
          <w:szCs w:val="24"/>
          <w:lang w:val="sk-SK"/>
        </w:rPr>
        <w:t xml:space="preserve">viac rozvinutý región: </w:t>
      </w:r>
      <w:r w:rsidRPr="00CC5B4A">
        <w:rPr>
          <w:szCs w:val="24"/>
          <w:lang w:val="sk-SK"/>
        </w:rPr>
        <w:tab/>
        <w:t xml:space="preserve">2 139 000 </w:t>
      </w:r>
      <w:r w:rsidR="00565EDA">
        <w:rPr>
          <w:szCs w:val="24"/>
          <w:lang w:val="sk-SK"/>
        </w:rPr>
        <w:t>€</w:t>
      </w:r>
      <w:r w:rsidRPr="00CC5B4A">
        <w:rPr>
          <w:szCs w:val="24"/>
          <w:lang w:val="sk-SK"/>
        </w:rPr>
        <w:t xml:space="preserve"> (EFRR), 4 278 000 </w:t>
      </w:r>
      <w:r w:rsidR="00565EDA">
        <w:rPr>
          <w:szCs w:val="24"/>
          <w:lang w:val="sk-SK"/>
        </w:rPr>
        <w:t>€</w:t>
      </w:r>
      <w:r w:rsidRPr="00CC5B4A">
        <w:rPr>
          <w:szCs w:val="24"/>
          <w:lang w:val="sk-SK"/>
        </w:rPr>
        <w:t xml:space="preserve"> (spolu)</w:t>
      </w:r>
    </w:p>
    <w:p w:rsidR="00747ED8" w:rsidRDefault="00747ED8" w:rsidP="00747ED8">
      <w:pPr>
        <w:spacing w:after="0" w:line="240" w:lineRule="auto"/>
        <w:ind w:firstLine="426"/>
        <w:jc w:val="center"/>
        <w:rPr>
          <w:b/>
          <w:szCs w:val="24"/>
          <w:lang w:val="sk-SK"/>
        </w:rPr>
      </w:pPr>
    </w:p>
    <w:p w:rsidR="00A00547" w:rsidRPr="00CC5B4A" w:rsidRDefault="00A00547" w:rsidP="00747ED8">
      <w:pPr>
        <w:spacing w:after="0" w:line="240" w:lineRule="auto"/>
        <w:ind w:firstLine="426"/>
        <w:jc w:val="left"/>
        <w:rPr>
          <w:b/>
          <w:szCs w:val="24"/>
          <w:lang w:val="sk-SK"/>
        </w:rPr>
      </w:pPr>
      <w:r w:rsidRPr="00CC5B4A">
        <w:rPr>
          <w:b/>
          <w:szCs w:val="24"/>
          <w:lang w:val="sk-SK"/>
        </w:rPr>
        <w:t>Sumárny prehľad alokácií IROP podľa špecifických cieľov:</w:t>
      </w:r>
    </w:p>
    <w:tbl>
      <w:tblPr>
        <w:tblStyle w:val="Mriekatabuky"/>
        <w:tblW w:w="0" w:type="auto"/>
        <w:jc w:val="center"/>
        <w:tblLook w:val="04A0"/>
      </w:tblPr>
      <w:tblGrid>
        <w:gridCol w:w="2124"/>
        <w:gridCol w:w="1560"/>
        <w:gridCol w:w="2267"/>
        <w:gridCol w:w="2268"/>
      </w:tblGrid>
      <w:tr w:rsidR="00A00547" w:rsidRPr="00CC5B4A" w:rsidTr="00747ED8">
        <w:trPr>
          <w:jc w:val="center"/>
        </w:trPr>
        <w:tc>
          <w:tcPr>
            <w:tcW w:w="21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ind w:firstLine="173"/>
              <w:rPr>
                <w:b/>
                <w:szCs w:val="24"/>
                <w:lang w:val="sk-SK"/>
              </w:rPr>
            </w:pPr>
            <w:r w:rsidRPr="00CC5B4A">
              <w:rPr>
                <w:b/>
                <w:szCs w:val="24"/>
                <w:lang w:val="sk-SK"/>
              </w:rPr>
              <w:t>Prioritná os</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ind w:firstLine="0"/>
              <w:jc w:val="center"/>
              <w:rPr>
                <w:b/>
                <w:szCs w:val="24"/>
                <w:lang w:val="sk-SK"/>
              </w:rPr>
            </w:pPr>
            <w:r w:rsidRPr="00CC5B4A">
              <w:rPr>
                <w:b/>
                <w:szCs w:val="24"/>
                <w:lang w:val="sk-SK"/>
              </w:rPr>
              <w:t>Špecifický cieľ</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jc w:val="center"/>
              <w:rPr>
                <w:b/>
                <w:szCs w:val="24"/>
                <w:lang w:val="sk-SK"/>
              </w:rPr>
            </w:pPr>
            <w:r w:rsidRPr="00CC5B4A">
              <w:rPr>
                <w:b/>
                <w:szCs w:val="24"/>
                <w:lang w:val="sk-SK"/>
              </w:rPr>
              <w:t>EFRR</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jc w:val="center"/>
              <w:rPr>
                <w:b/>
                <w:szCs w:val="24"/>
                <w:lang w:val="sk-SK"/>
              </w:rPr>
            </w:pPr>
            <w:r w:rsidRPr="00CC5B4A">
              <w:rPr>
                <w:b/>
                <w:szCs w:val="24"/>
                <w:lang w:val="sk-SK"/>
              </w:rPr>
              <w:t>COV</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1.1.1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298 000 000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365 411 765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1.2.1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99 000 000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118 117 649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1.2.2</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24 000 000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29 058 825</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2</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2.1.1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214 913 197</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262 364 597</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2.1.2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127 617 300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150 138 000</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2.1.3</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150 382 700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176 920 825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jc w:val="right"/>
              <w:rPr>
                <w:szCs w:val="24"/>
                <w:lang w:val="sk-SK"/>
              </w:rPr>
            </w:pPr>
            <w:r w:rsidRPr="00CC5B4A">
              <w:rPr>
                <w:szCs w:val="24"/>
                <w:lang w:val="sk-SK"/>
              </w:rPr>
              <w:t>2.2.1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105 000 000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130 117 649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jc w:val="right"/>
              <w:rPr>
                <w:szCs w:val="24"/>
                <w:lang w:val="sk-SK"/>
              </w:rPr>
            </w:pPr>
            <w:r w:rsidRPr="00CC5B4A">
              <w:rPr>
                <w:szCs w:val="24"/>
                <w:lang w:val="sk-SK"/>
              </w:rPr>
              <w:t>2.2.2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52 000 000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64 470 590</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747ED8">
            <w:pPr>
              <w:spacing w:after="0" w:line="240" w:lineRule="auto"/>
              <w:jc w:val="right"/>
              <w:rPr>
                <w:szCs w:val="24"/>
                <w:lang w:val="sk-SK"/>
              </w:rPr>
            </w:pPr>
            <w:r w:rsidRPr="00CC5B4A">
              <w:rPr>
                <w:szCs w:val="24"/>
                <w:lang w:val="sk-SK"/>
              </w:rPr>
              <w:t>2.2.3</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106 000 000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132 117 649</w:t>
            </w:r>
          </w:p>
        </w:tc>
      </w:tr>
      <w:tr w:rsidR="00A00547" w:rsidRPr="00CC5B4A" w:rsidTr="00A00547">
        <w:trPr>
          <w:jc w:val="center"/>
        </w:trPr>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3</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3.1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215 860 548</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270 424 175</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4</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4.1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111 388 554</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139 249 179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4.2.1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55 000 000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64 705 885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4.3.1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33 328 116</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39 209 551</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5.1.1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66 583 400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70 446 019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jc w:val="center"/>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5.1.2</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33 416 600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szCs w:val="24"/>
                <w:lang w:val="sk-SK"/>
              </w:rPr>
            </w:pPr>
            <w:r w:rsidRPr="00CC5B4A">
              <w:rPr>
                <w:szCs w:val="24"/>
                <w:lang w:val="sk-SK"/>
              </w:rPr>
              <w:t>35 431 177</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747ED8">
            <w:pPr>
              <w:spacing w:after="0" w:line="240" w:lineRule="auto"/>
              <w:ind w:firstLine="173"/>
              <w:jc w:val="center"/>
              <w:rPr>
                <w:b/>
                <w:szCs w:val="24"/>
                <w:lang w:val="sk-SK"/>
              </w:rPr>
            </w:pPr>
            <w:r w:rsidRPr="00747ED8">
              <w:rPr>
                <w:b/>
                <w:szCs w:val="24"/>
                <w:lang w:val="sk-SK"/>
              </w:rPr>
              <w:t>6</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6.1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52 700 000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63 497 301</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747ED8">
            <w:pPr>
              <w:spacing w:after="0" w:line="240" w:lineRule="auto"/>
              <w:ind w:firstLine="173"/>
              <w:rPr>
                <w:b/>
                <w:szCs w:val="24"/>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6.2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9 300 000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747ED8">
            <w:pPr>
              <w:spacing w:after="0" w:line="240" w:lineRule="auto"/>
              <w:jc w:val="right"/>
              <w:rPr>
                <w:szCs w:val="24"/>
                <w:lang w:val="sk-SK"/>
              </w:rPr>
            </w:pPr>
            <w:r w:rsidRPr="00CC5B4A">
              <w:rPr>
                <w:szCs w:val="24"/>
                <w:lang w:val="sk-SK"/>
              </w:rPr>
              <w:t>11 205 406</w:t>
            </w:r>
          </w:p>
        </w:tc>
      </w:tr>
      <w:tr w:rsidR="00A00547" w:rsidRPr="00CC5B4A" w:rsidTr="00A00547">
        <w:trPr>
          <w:jc w:val="center"/>
        </w:trPr>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ind w:firstLine="173"/>
              <w:rPr>
                <w:b/>
                <w:szCs w:val="24"/>
                <w:lang w:val="sk-SK"/>
              </w:rPr>
            </w:pPr>
            <w:r w:rsidRPr="00CC5B4A">
              <w:rPr>
                <w:b/>
                <w:szCs w:val="24"/>
                <w:lang w:val="sk-SK"/>
              </w:rPr>
              <w:t>SPOLU</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jc w:val="right"/>
              <w:rPr>
                <w:b/>
                <w:szCs w:val="24"/>
                <w:lang w:val="sk-SK"/>
              </w:rPr>
            </w:pPr>
            <w:r w:rsidRPr="00CC5B4A">
              <w:rPr>
                <w:b/>
                <w:szCs w:val="24"/>
                <w:lang w:val="sk-SK"/>
              </w:rPr>
              <w:t>N/A</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ind w:firstLine="0"/>
              <w:jc w:val="right"/>
              <w:rPr>
                <w:b/>
                <w:szCs w:val="24"/>
                <w:lang w:val="sk-SK"/>
              </w:rPr>
            </w:pPr>
            <w:r w:rsidRPr="00CC5B4A">
              <w:rPr>
                <w:b/>
                <w:szCs w:val="24"/>
                <w:lang w:val="sk-SK"/>
              </w:rPr>
              <w:t xml:space="preserve">        1 754 490 415</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747ED8">
            <w:pPr>
              <w:spacing w:after="0" w:line="240" w:lineRule="auto"/>
              <w:ind w:firstLine="0"/>
              <w:jc w:val="right"/>
              <w:rPr>
                <w:b/>
                <w:szCs w:val="24"/>
                <w:lang w:val="sk-SK"/>
              </w:rPr>
            </w:pPr>
            <w:r w:rsidRPr="00CC5B4A">
              <w:rPr>
                <w:b/>
                <w:szCs w:val="24"/>
                <w:lang w:val="sk-SK"/>
              </w:rPr>
              <w:t xml:space="preserve">          2 122 886 242</w:t>
            </w:r>
          </w:p>
        </w:tc>
      </w:tr>
    </w:tbl>
    <w:p w:rsidR="00A00547" w:rsidRPr="00CC5B4A" w:rsidRDefault="00A00547" w:rsidP="00747ED8">
      <w:pPr>
        <w:spacing w:after="0" w:line="240" w:lineRule="auto"/>
        <w:rPr>
          <w:szCs w:val="24"/>
          <w:lang w:val="sk-SK"/>
        </w:rPr>
      </w:pPr>
    </w:p>
    <w:p w:rsidR="00A00547" w:rsidRPr="00CC5B4A" w:rsidRDefault="00A00547" w:rsidP="0079491A">
      <w:pPr>
        <w:spacing w:after="120" w:line="320" w:lineRule="atLeast"/>
        <w:rPr>
          <w:szCs w:val="24"/>
          <w:lang w:val="sk-SK"/>
        </w:rPr>
      </w:pPr>
      <w:r w:rsidRPr="00CC5B4A">
        <w:rPr>
          <w:szCs w:val="24"/>
          <w:lang w:val="sk-SK"/>
        </w:rPr>
        <w:t xml:space="preserve">IROP je postavený </w:t>
      </w:r>
      <w:r w:rsidRPr="00CC5B4A">
        <w:rPr>
          <w:b/>
          <w:szCs w:val="24"/>
          <w:lang w:val="sk-SK"/>
        </w:rPr>
        <w:t>na integrovanom prístupe</w:t>
      </w:r>
      <w:r w:rsidRPr="00CC5B4A">
        <w:rPr>
          <w:szCs w:val="24"/>
          <w:lang w:val="sk-SK"/>
        </w:rPr>
        <w:t xml:space="preserve"> k európskym št</w:t>
      </w:r>
      <w:r w:rsidR="009B0ABC" w:rsidRPr="00CC5B4A">
        <w:rPr>
          <w:szCs w:val="24"/>
          <w:lang w:val="sk-SK"/>
        </w:rPr>
        <w:t>rukturálnym a investičným fondom</w:t>
      </w:r>
      <w:r w:rsidRPr="00CC5B4A">
        <w:rPr>
          <w:szCs w:val="24"/>
          <w:lang w:val="sk-SK"/>
        </w:rPr>
        <w:t xml:space="preserve"> (EŠIF). V zmysle legislatívy EÚ pre oblasť EŠIF ide o nasledovné spôsoby:</w:t>
      </w:r>
    </w:p>
    <w:p w:rsidR="00A00547" w:rsidRPr="00CC5B4A" w:rsidRDefault="00A00547" w:rsidP="0079491A">
      <w:pPr>
        <w:numPr>
          <w:ilvl w:val="0"/>
          <w:numId w:val="24"/>
        </w:numPr>
        <w:spacing w:after="120" w:line="320" w:lineRule="atLeast"/>
        <w:ind w:left="284" w:right="0" w:hanging="284"/>
        <w:jc w:val="left"/>
        <w:rPr>
          <w:szCs w:val="24"/>
          <w:lang w:val="sk-SK"/>
        </w:rPr>
      </w:pPr>
      <w:r w:rsidRPr="00CC5B4A">
        <w:rPr>
          <w:szCs w:val="24"/>
          <w:lang w:val="sk-SK"/>
        </w:rPr>
        <w:t>integrovaná územná investícia (čl. 36 všeobecného nariadenia),</w:t>
      </w:r>
    </w:p>
    <w:p w:rsidR="00A00547" w:rsidRPr="00CC5B4A" w:rsidRDefault="00A00547" w:rsidP="0079491A">
      <w:pPr>
        <w:numPr>
          <w:ilvl w:val="0"/>
          <w:numId w:val="24"/>
        </w:numPr>
        <w:spacing w:after="120" w:line="320" w:lineRule="atLeast"/>
        <w:ind w:left="284" w:right="0" w:hanging="284"/>
        <w:jc w:val="left"/>
        <w:rPr>
          <w:szCs w:val="24"/>
          <w:lang w:val="sk-SK"/>
        </w:rPr>
      </w:pPr>
      <w:proofErr w:type="spellStart"/>
      <w:r w:rsidRPr="00CC5B4A">
        <w:rPr>
          <w:szCs w:val="24"/>
          <w:lang w:val="sk-SK"/>
        </w:rPr>
        <w:t>trvaloudržateľný</w:t>
      </w:r>
      <w:proofErr w:type="spellEnd"/>
      <w:r w:rsidRPr="00CC5B4A">
        <w:rPr>
          <w:szCs w:val="24"/>
          <w:lang w:val="sk-SK"/>
        </w:rPr>
        <w:t xml:space="preserve"> rozvoj miest (čl. 7 nariadenia o ERDF),</w:t>
      </w:r>
    </w:p>
    <w:p w:rsidR="00A00547" w:rsidRPr="00CC5B4A" w:rsidRDefault="00A00547" w:rsidP="0079491A">
      <w:pPr>
        <w:numPr>
          <w:ilvl w:val="0"/>
          <w:numId w:val="24"/>
        </w:numPr>
        <w:spacing w:after="120" w:line="320" w:lineRule="atLeast"/>
        <w:ind w:left="284" w:right="0" w:hanging="284"/>
        <w:jc w:val="left"/>
        <w:rPr>
          <w:szCs w:val="24"/>
          <w:lang w:val="sk-SK"/>
        </w:rPr>
      </w:pPr>
      <w:r w:rsidRPr="00CC5B4A">
        <w:rPr>
          <w:szCs w:val="24"/>
          <w:lang w:val="sk-SK"/>
        </w:rPr>
        <w:t>miestny rozvoj vedený komunitou (čl. 32 – 35 všeobecného nariadenia).</w:t>
      </w:r>
    </w:p>
    <w:p w:rsidR="00A00547" w:rsidRPr="00CC5B4A" w:rsidRDefault="00A00547" w:rsidP="0079491A">
      <w:pPr>
        <w:spacing w:after="120" w:line="320" w:lineRule="atLeast"/>
        <w:rPr>
          <w:szCs w:val="24"/>
          <w:lang w:val="sk-SK"/>
        </w:rPr>
      </w:pPr>
      <w:r w:rsidRPr="00CC5B4A">
        <w:rPr>
          <w:szCs w:val="24"/>
          <w:lang w:val="sk-SK"/>
        </w:rPr>
        <w:t xml:space="preserve">Implementačným modelom prevažnej časti IROP sú tzv. </w:t>
      </w:r>
      <w:r w:rsidRPr="00CC5B4A">
        <w:rPr>
          <w:b/>
          <w:szCs w:val="24"/>
          <w:lang w:val="sk-SK"/>
        </w:rPr>
        <w:t>regionálne integrované územné stratégie</w:t>
      </w:r>
      <w:r w:rsidRPr="00CC5B4A">
        <w:rPr>
          <w:szCs w:val="24"/>
          <w:lang w:val="sk-SK"/>
        </w:rPr>
        <w:t xml:space="preserve"> (RIÚS). Ide o strategický dokument, ktorý v rozsahu špecifických cieľov </w:t>
      </w:r>
      <w:r w:rsidRPr="00CC5B4A">
        <w:rPr>
          <w:szCs w:val="24"/>
          <w:lang w:val="sk-SK"/>
        </w:rPr>
        <w:lastRenderedPageBreak/>
        <w:t xml:space="preserve">IROP definuje a </w:t>
      </w:r>
      <w:proofErr w:type="spellStart"/>
      <w:r w:rsidRPr="00CC5B4A">
        <w:rPr>
          <w:szCs w:val="24"/>
          <w:lang w:val="sk-SK"/>
        </w:rPr>
        <w:t>prioritizuje</w:t>
      </w:r>
      <w:proofErr w:type="spellEnd"/>
      <w:r w:rsidRPr="00CC5B4A">
        <w:rPr>
          <w:szCs w:val="24"/>
          <w:lang w:val="sk-SK"/>
        </w:rPr>
        <w:t xml:space="preserve">, aké opatrenia sa budú na zodpovedajúcom území realizovať, </w:t>
      </w:r>
      <w:r w:rsidR="00302357">
        <w:rPr>
          <w:szCs w:val="24"/>
          <w:lang w:val="sk-SK"/>
        </w:rPr>
        <w:t>ich</w:t>
      </w:r>
      <w:r w:rsidRPr="00CC5B4A">
        <w:rPr>
          <w:szCs w:val="24"/>
          <w:lang w:val="sk-SK"/>
        </w:rPr>
        <w:t xml:space="preserve"> vzájomnú prepojenosť a doplnkovosť a časovú súslednosť. Do RIÚS je možné komplementárne včleniť aj oblasti spadajúce do iných operačných programov, pokiaľ to tieto umožňujú (napr. aj uvedením plánovaných aktivít z Operačného programu Ľudské zdroje a Operačného programu Kvalita životného prostredia v zozname projektových zámerov/návrhov). RIÚS je vypracovaný na úrovni samosprávneho kraja (8) a súčasťou každého RIÚS je aj </w:t>
      </w:r>
      <w:r w:rsidRPr="00CC5B4A">
        <w:rPr>
          <w:b/>
          <w:szCs w:val="24"/>
          <w:lang w:val="sk-SK"/>
        </w:rPr>
        <w:t>stratégia udržateľného mestského rozvoja</w:t>
      </w:r>
      <w:r w:rsidRPr="00CC5B4A">
        <w:rPr>
          <w:szCs w:val="24"/>
          <w:lang w:val="sk-SK"/>
        </w:rPr>
        <w:t xml:space="preserve"> vypracovaná na úrovni funkčného územia krajského mesta. </w:t>
      </w:r>
    </w:p>
    <w:p w:rsidR="00A00547" w:rsidRPr="00CC5B4A" w:rsidRDefault="00A00547" w:rsidP="0079491A">
      <w:pPr>
        <w:spacing w:after="120" w:line="320" w:lineRule="atLeast"/>
        <w:rPr>
          <w:iCs/>
          <w:szCs w:val="24"/>
          <w:lang w:val="sk-SK"/>
        </w:rPr>
      </w:pPr>
      <w:r w:rsidRPr="00CC5B4A">
        <w:rPr>
          <w:iCs/>
          <w:szCs w:val="24"/>
          <w:lang w:val="sk-SK"/>
        </w:rPr>
        <w:t xml:space="preserve">Do RIÚS/UMR </w:t>
      </w:r>
      <w:r w:rsidRPr="00CC5B4A">
        <w:rPr>
          <w:b/>
          <w:iCs/>
          <w:szCs w:val="24"/>
          <w:lang w:val="sk-SK"/>
        </w:rPr>
        <w:t>nie sú zahrnuté</w:t>
      </w:r>
      <w:r w:rsidRPr="00CC5B4A">
        <w:rPr>
          <w:iCs/>
          <w:szCs w:val="24"/>
          <w:lang w:val="sk-SK"/>
        </w:rPr>
        <w:t xml:space="preserve"> tieto oblasti podpory IROP:</w:t>
      </w:r>
    </w:p>
    <w:p w:rsidR="00A00547" w:rsidRPr="00CC5B4A" w:rsidRDefault="00A00547" w:rsidP="0079491A">
      <w:pPr>
        <w:pStyle w:val="Odsekzoznamu"/>
        <w:numPr>
          <w:ilvl w:val="0"/>
          <w:numId w:val="25"/>
        </w:numPr>
        <w:spacing w:after="120" w:line="320" w:lineRule="atLeas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špecifický cieľ 2.1.3 (integrovaná zdravotnícka infraštruktúra) - vzhľadom na</w:t>
      </w:r>
      <w:r w:rsidR="00747ED8">
        <w:rPr>
          <w:rFonts w:ascii="Times New Roman" w:hAnsi="Times New Roman" w:cs="Times New Roman"/>
          <w:iCs/>
          <w:sz w:val="24"/>
          <w:szCs w:val="24"/>
        </w:rPr>
        <w:t> </w:t>
      </w:r>
      <w:r w:rsidRPr="00CC5B4A">
        <w:rPr>
          <w:rFonts w:ascii="Times New Roman" w:hAnsi="Times New Roman" w:cs="Times New Roman"/>
          <w:iCs/>
          <w:sz w:val="24"/>
          <w:szCs w:val="24"/>
        </w:rPr>
        <w:t xml:space="preserve">nevyhnutnosť koordinácie aktivít integrovaného poskytovania zdravotnej starostlivosti z vecného hľadiska na národnej úrovni), </w:t>
      </w:r>
    </w:p>
    <w:p w:rsidR="00A00547" w:rsidRPr="00CC5B4A" w:rsidRDefault="00A00547" w:rsidP="0079491A">
      <w:pPr>
        <w:pStyle w:val="Odsekzoznamu"/>
        <w:numPr>
          <w:ilvl w:val="0"/>
          <w:numId w:val="25"/>
        </w:numPr>
        <w:spacing w:after="120" w:line="320" w:lineRule="atLeas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časť ŠC 3.1 v rozsahu podpory existujúcich MSP v kultúrnom a kreatívnom priemysle - kvôli špecifickému charakteru činnosti podporovaných subjektov,</w:t>
      </w:r>
    </w:p>
    <w:p w:rsidR="00A00547" w:rsidRPr="00CC5B4A" w:rsidRDefault="00A00547" w:rsidP="0079491A">
      <w:pPr>
        <w:pStyle w:val="Odsekzoznamu"/>
        <w:numPr>
          <w:ilvl w:val="0"/>
          <w:numId w:val="25"/>
        </w:numPr>
        <w:spacing w:after="120" w:line="320" w:lineRule="atLeas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ŠC 4.1 - investície do bytových domov budú realizované formou návratnej finančnej pomoci prostredníctvom nástrojov finančného inžinierstva, </w:t>
      </w:r>
    </w:p>
    <w:p w:rsidR="00A00547" w:rsidRPr="00CC5B4A" w:rsidRDefault="00A00547" w:rsidP="0079491A">
      <w:pPr>
        <w:pStyle w:val="Odsekzoznamu"/>
        <w:numPr>
          <w:ilvl w:val="0"/>
          <w:numId w:val="25"/>
        </w:numPr>
        <w:spacing w:after="120" w:line="320" w:lineRule="atLeas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 xml:space="preserve">ŠC 5.1.1 a 5.1.2 - nakoľko miestny rozvoj vedený komunitou má vytvorený samostatný mechanizmus podpory, </w:t>
      </w:r>
    </w:p>
    <w:p w:rsidR="00A00547" w:rsidRPr="00CC5B4A" w:rsidRDefault="00A00547" w:rsidP="0079491A">
      <w:pPr>
        <w:pStyle w:val="Odsekzoznamu"/>
        <w:numPr>
          <w:ilvl w:val="0"/>
          <w:numId w:val="25"/>
        </w:numPr>
        <w:spacing w:after="120" w:line="320" w:lineRule="atLeas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 xml:space="preserve">ŠC 6.1 a ŠC 6.2 - </w:t>
      </w:r>
      <w:r w:rsidRPr="00CC5B4A">
        <w:rPr>
          <w:rFonts w:ascii="Times New Roman" w:hAnsi="Times New Roman" w:cs="Times New Roman"/>
          <w:sz w:val="24"/>
          <w:szCs w:val="24"/>
        </w:rPr>
        <w:t>technická pomoc.</w:t>
      </w:r>
    </w:p>
    <w:p w:rsidR="00A00547" w:rsidRPr="00CC5B4A" w:rsidRDefault="00A00547" w:rsidP="0079491A">
      <w:pPr>
        <w:spacing w:after="120" w:line="320" w:lineRule="atLeast"/>
        <w:rPr>
          <w:szCs w:val="24"/>
          <w:lang w:val="sk-SK"/>
        </w:rPr>
      </w:pPr>
      <w:r w:rsidRPr="00CC5B4A">
        <w:rPr>
          <w:szCs w:val="24"/>
          <w:lang w:val="sk-SK"/>
        </w:rPr>
        <w:t>K </w:t>
      </w:r>
      <w:r w:rsidRPr="00CC5B4A">
        <w:rPr>
          <w:b/>
          <w:szCs w:val="24"/>
          <w:lang w:val="sk-SK"/>
        </w:rPr>
        <w:t>miestnemu rozvoju vedenému komunitou</w:t>
      </w:r>
      <w:r w:rsidRPr="00CC5B4A">
        <w:rPr>
          <w:szCs w:val="24"/>
          <w:lang w:val="sk-SK"/>
        </w:rPr>
        <w:t xml:space="preserve"> (CLLD) IROP prispieva prostredníctvom Prioritnej osi 5 komplementárne k Programu rozvoja vidieka.  </w:t>
      </w:r>
    </w:p>
    <w:p w:rsidR="00A00547" w:rsidRPr="00CC5B4A" w:rsidRDefault="00A00547" w:rsidP="0079491A">
      <w:pPr>
        <w:autoSpaceDE w:val="0"/>
        <w:autoSpaceDN w:val="0"/>
        <w:adjustRightInd w:val="0"/>
        <w:spacing w:after="120" w:line="320" w:lineRule="atLeast"/>
        <w:rPr>
          <w:szCs w:val="24"/>
          <w:lang w:val="sk-SK"/>
        </w:rPr>
      </w:pPr>
      <w:r w:rsidRPr="00CC5B4A">
        <w:rPr>
          <w:color w:val="231F20"/>
          <w:szCs w:val="24"/>
          <w:lang w:val="sk-SK"/>
        </w:rPr>
        <w:t xml:space="preserve">Základné </w:t>
      </w:r>
      <w:r w:rsidRPr="00CC5B4A">
        <w:rPr>
          <w:b/>
          <w:color w:val="231F20"/>
          <w:szCs w:val="24"/>
          <w:lang w:val="sk-SK"/>
        </w:rPr>
        <w:t>orgány relevantné pre integrované územné investície</w:t>
      </w:r>
      <w:r w:rsidRPr="00CC5B4A">
        <w:rPr>
          <w:color w:val="231F20"/>
          <w:szCs w:val="24"/>
          <w:lang w:val="sk-SK"/>
        </w:rPr>
        <w:t xml:space="preserve"> v Slovenskej republike definuje </w:t>
      </w:r>
      <w:r w:rsidRPr="00CC5B4A">
        <w:rPr>
          <w:szCs w:val="24"/>
          <w:lang w:val="sk-SK"/>
        </w:rPr>
        <w:t>§15 Zákona č. 292/2014</w:t>
      </w:r>
      <w:r w:rsidR="00302357">
        <w:rPr>
          <w:szCs w:val="24"/>
          <w:lang w:val="sk-SK"/>
        </w:rPr>
        <w:t xml:space="preserve"> </w:t>
      </w:r>
      <w:proofErr w:type="spellStart"/>
      <w:r w:rsidR="00302357">
        <w:rPr>
          <w:szCs w:val="24"/>
          <w:lang w:val="sk-SK"/>
        </w:rPr>
        <w:t>Z.z</w:t>
      </w:r>
      <w:proofErr w:type="spellEnd"/>
      <w:r w:rsidR="00302357">
        <w:rPr>
          <w:szCs w:val="24"/>
          <w:lang w:val="sk-SK"/>
        </w:rPr>
        <w:t>.</w:t>
      </w:r>
      <w:r w:rsidRPr="00CC5B4A">
        <w:rPr>
          <w:szCs w:val="24"/>
          <w:lang w:val="sk-SK"/>
        </w:rPr>
        <w:t xml:space="preserve"> </w:t>
      </w:r>
      <w:r w:rsidRPr="00CC5B4A">
        <w:rPr>
          <w:color w:val="231F20"/>
          <w:szCs w:val="24"/>
          <w:lang w:val="sk-SK"/>
        </w:rPr>
        <w:t>o príspevku poskytovanom z európskych štrukturálnych a investičných fondov a o zmene a doplnení niektorých zákonov,</w:t>
      </w:r>
      <w:r w:rsidRPr="00CC5B4A">
        <w:rPr>
          <w:szCs w:val="24"/>
          <w:lang w:val="sk-SK"/>
        </w:rPr>
        <w:t xml:space="preserve"> a to rámcovo nasledovne:</w:t>
      </w:r>
    </w:p>
    <w:p w:rsidR="00A00547" w:rsidRPr="00CC5B4A" w:rsidRDefault="00A00547" w:rsidP="0079491A">
      <w:pPr>
        <w:pStyle w:val="Odsekzoznamu"/>
        <w:numPr>
          <w:ilvl w:val="0"/>
          <w:numId w:val="26"/>
        </w:numPr>
        <w:autoSpaceDE w:val="0"/>
        <w:autoSpaceDN w:val="0"/>
        <w:adjustRightInd w:val="0"/>
        <w:spacing w:after="120" w:line="320" w:lineRule="atLeas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Riadiaci orgán pre IROP (MPRV SR)</w:t>
      </w:r>
      <w:r w:rsidRPr="00CC5B4A">
        <w:rPr>
          <w:rFonts w:ascii="Times New Roman" w:hAnsi="Times New Roman" w:cs="Times New Roman"/>
          <w:color w:val="231F20"/>
          <w:sz w:val="24"/>
          <w:szCs w:val="24"/>
        </w:rPr>
        <w:t xml:space="preserve"> – ktorý koordinuje a metodicky usmerňuje prípravu stratégií RIÚS a UMR, zriaďuje v súlade s princípo</w:t>
      </w:r>
      <w:r w:rsidR="00302357">
        <w:rPr>
          <w:rFonts w:ascii="Times New Roman" w:hAnsi="Times New Roman" w:cs="Times New Roman"/>
          <w:color w:val="231F20"/>
          <w:sz w:val="24"/>
          <w:szCs w:val="24"/>
        </w:rPr>
        <w:t>m</w:t>
      </w:r>
      <w:r w:rsidRPr="00CC5B4A">
        <w:rPr>
          <w:rFonts w:ascii="Times New Roman" w:hAnsi="Times New Roman" w:cs="Times New Roman"/>
          <w:color w:val="231F20"/>
          <w:sz w:val="24"/>
          <w:szCs w:val="24"/>
        </w:rPr>
        <w:t xml:space="preserve"> partnerstva radu partnerstva pre RIÚS a UMR, príp. spoločnú radu partnerstva a schvaľuje stratégie na základe stanoviska rady partnerstva z hľadiska ich súladu s operačným programom, </w:t>
      </w:r>
    </w:p>
    <w:p w:rsidR="00A00547" w:rsidRPr="00CC5B4A" w:rsidRDefault="00A00547" w:rsidP="0079491A">
      <w:pPr>
        <w:pStyle w:val="Odsekzoznamu"/>
        <w:numPr>
          <w:ilvl w:val="0"/>
          <w:numId w:val="26"/>
        </w:numPr>
        <w:autoSpaceDE w:val="0"/>
        <w:autoSpaceDN w:val="0"/>
        <w:adjustRightInd w:val="0"/>
        <w:spacing w:after="120" w:line="320" w:lineRule="atLeas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samosprávny kraj</w:t>
      </w:r>
      <w:r w:rsidRPr="00CC5B4A">
        <w:rPr>
          <w:rFonts w:ascii="Times New Roman" w:hAnsi="Times New Roman" w:cs="Times New Roman"/>
          <w:color w:val="231F20"/>
          <w:sz w:val="24"/>
          <w:szCs w:val="24"/>
        </w:rPr>
        <w:t xml:space="preserve"> – ktorý zabezpečuje prípravu a implementáciu RIÚS v súlade s princípom partnerstva,</w:t>
      </w:r>
    </w:p>
    <w:p w:rsidR="00A00547" w:rsidRDefault="00A00547" w:rsidP="0079491A">
      <w:pPr>
        <w:pStyle w:val="Odsekzoznamu"/>
        <w:numPr>
          <w:ilvl w:val="0"/>
          <w:numId w:val="26"/>
        </w:numPr>
        <w:autoSpaceDE w:val="0"/>
        <w:autoSpaceDN w:val="0"/>
        <w:adjustRightInd w:val="0"/>
        <w:spacing w:after="120" w:line="320" w:lineRule="atLeas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 xml:space="preserve">krajské mesto </w:t>
      </w:r>
      <w:r w:rsidRPr="00CC5B4A">
        <w:rPr>
          <w:rFonts w:ascii="Times New Roman" w:hAnsi="Times New Roman" w:cs="Times New Roman"/>
          <w:color w:val="231F20"/>
          <w:sz w:val="24"/>
          <w:szCs w:val="24"/>
        </w:rPr>
        <w:t xml:space="preserve">– ktoré zabezpečuje prípravu a implementáciu stratégie UMR v  súlade s princípom partnerstva. </w:t>
      </w:r>
    </w:p>
    <w:tbl>
      <w:tblPr>
        <w:tblW w:w="9545" w:type="dxa"/>
        <w:tblInd w:w="-78" w:type="dxa"/>
        <w:tblLayout w:type="fixed"/>
        <w:tblCellMar>
          <w:left w:w="0" w:type="dxa"/>
          <w:right w:w="0" w:type="dxa"/>
        </w:tblCellMar>
        <w:tblLook w:val="0000"/>
      </w:tblPr>
      <w:tblGrid>
        <w:gridCol w:w="9545"/>
      </w:tblGrid>
      <w:tr w:rsidR="002F57DD" w:rsidRPr="002F57DD" w:rsidTr="00302357">
        <w:trPr>
          <w:trHeight w:val="60"/>
        </w:trPr>
        <w:tc>
          <w:tcPr>
            <w:tcW w:w="9545" w:type="dxa"/>
            <w:tcBorders>
              <w:top w:val="nil"/>
              <w:left w:val="nil"/>
              <w:bottom w:val="nil"/>
              <w:right w:val="nil"/>
            </w:tcBorders>
            <w:noWrap/>
            <w:tcMar>
              <w:top w:w="15" w:type="dxa"/>
              <w:left w:w="15" w:type="dxa"/>
              <w:bottom w:w="0" w:type="dxa"/>
              <w:right w:w="15" w:type="dxa"/>
            </w:tcMar>
            <w:vAlign w:val="bottom"/>
          </w:tcPr>
          <w:p w:rsidR="002F57DD" w:rsidRPr="002F57DD" w:rsidRDefault="002F57DD" w:rsidP="00302357">
            <w:pPr>
              <w:keepNext/>
              <w:tabs>
                <w:tab w:val="left" w:pos="709"/>
              </w:tabs>
              <w:spacing w:after="0" w:line="240" w:lineRule="auto"/>
              <w:ind w:right="6" w:firstLine="0"/>
              <w:rPr>
                <w:rFonts w:eastAsia="Arial Unicode MS"/>
                <w:szCs w:val="24"/>
                <w:lang w:val="sk-SK"/>
              </w:rPr>
            </w:pPr>
            <w:r>
              <w:rPr>
                <w:b/>
                <w:bCs/>
                <w:szCs w:val="24"/>
                <w:lang w:eastAsia="sk-SK"/>
              </w:rPr>
              <w:t xml:space="preserve">  </w:t>
            </w:r>
            <w:r w:rsidRPr="0079526E">
              <w:rPr>
                <w:b/>
                <w:bCs/>
                <w:szCs w:val="24"/>
                <w:lang w:val="sk-SK" w:eastAsia="sk-SK"/>
              </w:rPr>
              <w:t>Rozpočtové výdavky na Regionálny rozvoj v roku 201</w:t>
            </w:r>
            <w:r w:rsidR="00C3573C" w:rsidRPr="0079526E">
              <w:rPr>
                <w:b/>
                <w:bCs/>
                <w:szCs w:val="24"/>
                <w:lang w:val="sk-SK" w:eastAsia="sk-SK"/>
              </w:rPr>
              <w:t>4</w:t>
            </w:r>
            <w:r w:rsidR="00302357">
              <w:rPr>
                <w:b/>
                <w:bCs/>
                <w:szCs w:val="24"/>
                <w:lang w:val="sk-SK" w:eastAsia="sk-SK"/>
              </w:rPr>
              <w:t xml:space="preserve">, </w:t>
            </w:r>
            <w:r w:rsidRPr="002F57DD">
              <w:rPr>
                <w:b/>
                <w:bCs/>
                <w:szCs w:val="24"/>
                <w:lang w:eastAsia="sk-SK"/>
              </w:rPr>
              <w:t xml:space="preserve"> </w:t>
            </w:r>
            <w:r>
              <w:rPr>
                <w:bCs/>
                <w:szCs w:val="24"/>
                <w:lang w:eastAsia="sk-SK"/>
              </w:rPr>
              <w:t>v  €</w:t>
            </w:r>
          </w:p>
        </w:tc>
      </w:tr>
    </w:tbl>
    <w:tbl>
      <w:tblPr>
        <w:tblpPr w:leftFromText="141" w:rightFromText="141" w:vertAnchor="text" w:horzAnchor="margin" w:tblpY="108"/>
        <w:tblW w:w="9020" w:type="dxa"/>
        <w:tblCellMar>
          <w:left w:w="0" w:type="dxa"/>
          <w:right w:w="0" w:type="dxa"/>
        </w:tblCellMar>
        <w:tblLook w:val="04A0"/>
      </w:tblPr>
      <w:tblGrid>
        <w:gridCol w:w="2740"/>
        <w:gridCol w:w="1980"/>
        <w:gridCol w:w="2040"/>
        <w:gridCol w:w="2260"/>
      </w:tblGrid>
      <w:tr w:rsidR="002F57DD" w:rsidRPr="002F57DD" w:rsidTr="002F57DD">
        <w:trPr>
          <w:trHeight w:val="540"/>
        </w:trPr>
        <w:tc>
          <w:tcPr>
            <w:tcW w:w="274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left"/>
              <w:rPr>
                <w:b/>
                <w:bCs/>
                <w:lang w:val="sk-SK" w:eastAsia="sk-SK"/>
              </w:rPr>
            </w:pPr>
            <w:r w:rsidRPr="002F57DD">
              <w:rPr>
                <w:b/>
                <w:bCs/>
                <w:lang w:val="sk-SK" w:eastAsia="sk-SK"/>
              </w:rPr>
              <w:t>Ukazovateľ</w:t>
            </w:r>
          </w:p>
        </w:tc>
        <w:tc>
          <w:tcPr>
            <w:tcW w:w="198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2F57DD" w:rsidRDefault="002F57DD" w:rsidP="00302357">
            <w:pPr>
              <w:spacing w:after="0" w:line="240" w:lineRule="auto"/>
              <w:ind w:right="0" w:firstLine="0"/>
              <w:jc w:val="center"/>
              <w:rPr>
                <w:b/>
                <w:bCs/>
                <w:lang w:val="sk-SK" w:eastAsia="sk-SK"/>
              </w:rPr>
            </w:pPr>
            <w:r w:rsidRPr="002F57DD">
              <w:rPr>
                <w:b/>
                <w:bCs/>
                <w:lang w:val="sk-SK" w:eastAsia="sk-SK"/>
              </w:rPr>
              <w:t xml:space="preserve">Pôvodný </w:t>
            </w:r>
          </w:p>
          <w:p w:rsidR="002F57DD" w:rsidRPr="002F57DD" w:rsidRDefault="002F57DD" w:rsidP="00302357">
            <w:pPr>
              <w:spacing w:after="0" w:line="240" w:lineRule="auto"/>
              <w:ind w:right="0" w:firstLine="0"/>
              <w:jc w:val="center"/>
              <w:rPr>
                <w:b/>
                <w:bCs/>
                <w:lang w:val="sk-SK" w:eastAsia="sk-SK"/>
              </w:rPr>
            </w:pPr>
            <w:r w:rsidRPr="002F57DD">
              <w:rPr>
                <w:b/>
                <w:bCs/>
                <w:lang w:val="sk-SK" w:eastAsia="sk-SK"/>
              </w:rPr>
              <w:t>rozpočet</w:t>
            </w:r>
          </w:p>
        </w:tc>
        <w:tc>
          <w:tcPr>
            <w:tcW w:w="204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center"/>
              <w:rPr>
                <w:b/>
                <w:bCs/>
                <w:lang w:val="sk-SK" w:eastAsia="sk-SK"/>
              </w:rPr>
            </w:pPr>
            <w:r w:rsidRPr="002F57DD">
              <w:rPr>
                <w:b/>
                <w:bCs/>
                <w:lang w:val="sk-SK" w:eastAsia="sk-SK"/>
              </w:rPr>
              <w:t>Upravený rozpočet</w:t>
            </w:r>
          </w:p>
        </w:tc>
        <w:tc>
          <w:tcPr>
            <w:tcW w:w="226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center"/>
              <w:rPr>
                <w:b/>
                <w:bCs/>
                <w:lang w:val="sk-SK" w:eastAsia="sk-SK"/>
              </w:rPr>
            </w:pPr>
            <w:r w:rsidRPr="002F57DD">
              <w:rPr>
                <w:b/>
                <w:bCs/>
                <w:lang w:val="sk-SK" w:eastAsia="sk-SK"/>
              </w:rPr>
              <w:t xml:space="preserve">Skutočné </w:t>
            </w:r>
          </w:p>
          <w:p w:rsidR="002F57DD" w:rsidRPr="002F57DD" w:rsidRDefault="002F57DD" w:rsidP="00302357">
            <w:pPr>
              <w:spacing w:after="0" w:line="240" w:lineRule="auto"/>
              <w:ind w:right="0" w:firstLine="0"/>
              <w:jc w:val="center"/>
              <w:rPr>
                <w:b/>
                <w:bCs/>
                <w:lang w:val="sk-SK" w:eastAsia="sk-SK"/>
              </w:rPr>
            </w:pPr>
            <w:r w:rsidRPr="002F57DD">
              <w:rPr>
                <w:b/>
                <w:bCs/>
                <w:lang w:val="sk-SK" w:eastAsia="sk-SK"/>
              </w:rPr>
              <w:t>čerpanie</w:t>
            </w:r>
          </w:p>
        </w:tc>
      </w:tr>
      <w:tr w:rsidR="002F57DD" w:rsidRPr="002F57DD" w:rsidTr="002F57DD">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left"/>
              <w:rPr>
                <w:lang w:val="sk-SK" w:eastAsia="sk-SK"/>
              </w:rPr>
            </w:pPr>
            <w:r w:rsidRPr="002F57DD">
              <w:rPr>
                <w:lang w:val="sk-SK" w:eastAsia="sk-SK"/>
              </w:rPr>
              <w:t>Regionálny rozvoj</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184 448 089</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112 488 055</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112 488 055</w:t>
            </w:r>
          </w:p>
        </w:tc>
      </w:tr>
      <w:tr w:rsidR="002F57DD" w:rsidRPr="002F57DD" w:rsidTr="002F57DD">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left"/>
              <w:rPr>
                <w:lang w:val="sk-SK" w:eastAsia="sk-SK"/>
              </w:rPr>
            </w:pPr>
            <w:r w:rsidRPr="002F57DD">
              <w:rPr>
                <w:lang w:val="sk-SK" w:eastAsia="sk-SK"/>
              </w:rPr>
              <w:t>v tom: výdavky EÚ</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155 160 464</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95 544 963</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95 544 963</w:t>
            </w:r>
          </w:p>
        </w:tc>
      </w:tr>
      <w:tr w:rsidR="002F57DD" w:rsidRPr="002F57DD" w:rsidTr="002F57DD">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left"/>
              <w:rPr>
                <w:lang w:val="sk-SK" w:eastAsia="sk-SK"/>
              </w:rPr>
            </w:pPr>
            <w:r w:rsidRPr="002F57DD">
              <w:rPr>
                <w:lang w:val="sk-SK" w:eastAsia="sk-SK"/>
              </w:rPr>
              <w:t>spolufinancovanie zo ŠR</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29 287 625</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16 943 092</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57DD" w:rsidRPr="002F57DD" w:rsidRDefault="002F57DD" w:rsidP="00302357">
            <w:pPr>
              <w:spacing w:after="0" w:line="240" w:lineRule="auto"/>
              <w:ind w:right="0" w:firstLine="0"/>
              <w:jc w:val="right"/>
              <w:rPr>
                <w:lang w:val="sk-SK" w:eastAsia="sk-SK"/>
              </w:rPr>
            </w:pPr>
            <w:r w:rsidRPr="002F57DD">
              <w:rPr>
                <w:lang w:val="sk-SK" w:eastAsia="sk-SK"/>
              </w:rPr>
              <w:t>16 943 092</w:t>
            </w:r>
          </w:p>
        </w:tc>
      </w:tr>
    </w:tbl>
    <w:p w:rsidR="002F57DD" w:rsidRPr="0079526E" w:rsidRDefault="002F57DD" w:rsidP="00302357">
      <w:pPr>
        <w:keepNext/>
        <w:spacing w:after="0" w:line="240" w:lineRule="auto"/>
        <w:ind w:left="360" w:right="6" w:hanging="502"/>
        <w:rPr>
          <w:sz w:val="22"/>
          <w:szCs w:val="24"/>
          <w:lang w:val="sk-SK"/>
        </w:rPr>
      </w:pPr>
      <w:r w:rsidRPr="0079526E">
        <w:rPr>
          <w:szCs w:val="24"/>
          <w:lang w:val="sk-SK"/>
        </w:rPr>
        <w:t xml:space="preserve">  </w:t>
      </w:r>
      <w:r w:rsidRPr="0079526E">
        <w:rPr>
          <w:sz w:val="22"/>
          <w:szCs w:val="24"/>
          <w:lang w:val="sk-SK"/>
        </w:rPr>
        <w:t>Prameň: MPRV SR,  Návrh záverečného účtu za rok 2014</w:t>
      </w:r>
    </w:p>
    <w:p w:rsidR="00043C19" w:rsidRPr="0079526E" w:rsidRDefault="002F57DD" w:rsidP="00302357">
      <w:pPr>
        <w:spacing w:after="0" w:line="240" w:lineRule="auto"/>
        <w:ind w:firstLine="0"/>
        <w:rPr>
          <w:lang w:val="sk-SK"/>
        </w:rPr>
      </w:pPr>
      <w:r w:rsidRPr="0079526E">
        <w:rPr>
          <w:rFonts w:eastAsia="Arial Unicode MS"/>
          <w:sz w:val="22"/>
          <w:szCs w:val="24"/>
          <w:lang w:val="sk-SK"/>
        </w:rPr>
        <w:t xml:space="preserve">Vypracoval: </w:t>
      </w:r>
      <w:r w:rsidRPr="0079526E">
        <w:rPr>
          <w:sz w:val="22"/>
          <w:szCs w:val="24"/>
          <w:lang w:val="sk-SK"/>
        </w:rPr>
        <w:t>NPPC - VÚEPP</w:t>
      </w:r>
    </w:p>
    <w:sectPr w:rsidR="00043C19" w:rsidRPr="0079526E" w:rsidSect="009256AC">
      <w:footerReference w:type="even" r:id="rId8"/>
      <w:footerReference w:type="default" r:id="rId9"/>
      <w:footerReference w:type="first" r:id="rId10"/>
      <w:footnotePr>
        <w:numRestart w:val="eachPage"/>
      </w:footnotePr>
      <w:pgSz w:w="11906" w:h="16838"/>
      <w:pgMar w:top="1418" w:right="1411" w:bottom="1421" w:left="1419"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11" w:rsidRDefault="00666411">
      <w:pPr>
        <w:spacing w:after="0" w:line="240" w:lineRule="auto"/>
      </w:pPr>
      <w:r>
        <w:separator/>
      </w:r>
    </w:p>
  </w:endnote>
  <w:endnote w:type="continuationSeparator" w:id="0">
    <w:p w:rsidR="00666411" w:rsidRDefault="00666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DA" w:rsidRDefault="00FD2E08">
    <w:pPr>
      <w:spacing w:after="0" w:line="259" w:lineRule="auto"/>
      <w:ind w:firstLine="0"/>
      <w:jc w:val="center"/>
    </w:pPr>
    <w:r w:rsidRPr="00FD2E08">
      <w:fldChar w:fldCharType="begin"/>
    </w:r>
    <w:r w:rsidR="00565EDA">
      <w:instrText xml:space="preserve"> PAGE   \* MERGEFORMAT </w:instrText>
    </w:r>
    <w:r w:rsidRPr="00FD2E08">
      <w:fldChar w:fldCharType="separate"/>
    </w:r>
    <w:r w:rsidR="00565EDA">
      <w:rPr>
        <w:sz w:val="20"/>
      </w:rPr>
      <w:t>1</w:t>
    </w:r>
    <w:r>
      <w:rPr>
        <w:sz w:val="20"/>
      </w:rPr>
      <w:fldChar w:fldCharType="end"/>
    </w:r>
    <w:r w:rsidR="00565EDA">
      <w:rPr>
        <w:sz w:val="20"/>
      </w:rPr>
      <w:t xml:space="preserve"> </w:t>
    </w:r>
  </w:p>
  <w:p w:rsidR="00565EDA" w:rsidRDefault="00565EDA">
    <w:pPr>
      <w:spacing w:after="0" w:line="259" w:lineRule="auto"/>
      <w:ind w:righ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DA" w:rsidRDefault="00FD2E08">
    <w:pPr>
      <w:spacing w:after="0" w:line="259" w:lineRule="auto"/>
      <w:ind w:firstLine="0"/>
      <w:jc w:val="center"/>
    </w:pPr>
    <w:r w:rsidRPr="00FD2E08">
      <w:fldChar w:fldCharType="begin"/>
    </w:r>
    <w:r w:rsidR="00565EDA">
      <w:instrText xml:space="preserve"> PAGE   \* MERGEFORMAT </w:instrText>
    </w:r>
    <w:r w:rsidRPr="00FD2E08">
      <w:fldChar w:fldCharType="separate"/>
    </w:r>
    <w:r w:rsidR="00EA5557" w:rsidRPr="00EA5557">
      <w:rPr>
        <w:noProof/>
        <w:sz w:val="20"/>
      </w:rPr>
      <w:t>10</w:t>
    </w:r>
    <w:r>
      <w:rPr>
        <w:sz w:val="20"/>
      </w:rPr>
      <w:fldChar w:fldCharType="end"/>
    </w:r>
    <w:r w:rsidR="00565EDA">
      <w:rPr>
        <w:sz w:val="20"/>
      </w:rPr>
      <w:t xml:space="preserve"> </w:t>
    </w:r>
  </w:p>
  <w:p w:rsidR="00565EDA" w:rsidRDefault="00565EDA">
    <w:pPr>
      <w:spacing w:after="0" w:line="259" w:lineRule="auto"/>
      <w:ind w:righ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DA" w:rsidRDefault="00FD2E08">
    <w:pPr>
      <w:spacing w:after="0" w:line="259" w:lineRule="auto"/>
      <w:ind w:firstLine="0"/>
      <w:jc w:val="center"/>
    </w:pPr>
    <w:r w:rsidRPr="00FD2E08">
      <w:fldChar w:fldCharType="begin"/>
    </w:r>
    <w:r w:rsidR="00565EDA">
      <w:instrText xml:space="preserve"> PAGE   \* MERGEFORMAT </w:instrText>
    </w:r>
    <w:r w:rsidRPr="00FD2E08">
      <w:fldChar w:fldCharType="separate"/>
    </w:r>
    <w:r w:rsidR="00565EDA">
      <w:rPr>
        <w:sz w:val="20"/>
      </w:rPr>
      <w:t>1</w:t>
    </w:r>
    <w:r>
      <w:rPr>
        <w:sz w:val="20"/>
      </w:rPr>
      <w:fldChar w:fldCharType="end"/>
    </w:r>
    <w:r w:rsidR="00565EDA">
      <w:rPr>
        <w:sz w:val="20"/>
      </w:rPr>
      <w:t xml:space="preserve"> </w:t>
    </w:r>
  </w:p>
  <w:p w:rsidR="00565EDA" w:rsidRDefault="00565EDA">
    <w:pPr>
      <w:spacing w:after="0" w:line="259" w:lineRule="auto"/>
      <w:ind w:right="0" w:firstLine="0"/>
      <w:jc w:val="left"/>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11" w:rsidRDefault="00666411">
      <w:pPr>
        <w:spacing w:after="0" w:line="240" w:lineRule="auto"/>
      </w:pPr>
      <w:r>
        <w:separator/>
      </w:r>
    </w:p>
  </w:footnote>
  <w:footnote w:type="continuationSeparator" w:id="0">
    <w:p w:rsidR="00666411" w:rsidRDefault="00666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9D8"/>
    <w:multiLevelType w:val="hybridMultilevel"/>
    <w:tmpl w:val="8990EA2A"/>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8B65B16"/>
    <w:multiLevelType w:val="hybridMultilevel"/>
    <w:tmpl w:val="6B5660A8"/>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D0667880">
      <w:start w:val="12"/>
      <w:numFmt w:val="decimal"/>
      <w:lvlText w:val="%3."/>
      <w:lvlJc w:val="left"/>
      <w:pPr>
        <w:ind w:left="2415" w:hanging="435"/>
      </w:pPr>
      <w:rPr>
        <w:rFonts w:ascii="Arial" w:eastAsia="Times New Roman" w:hAnsi="Arial" w:cs="Arial" w:hint="default"/>
        <w:b/>
        <w:color w:val="31479E"/>
        <w:sz w:val="28"/>
      </w:rPr>
    </w:lvl>
    <w:lvl w:ilvl="3" w:tplc="04050005">
      <w:start w:val="1"/>
      <w:numFmt w:val="bullet"/>
      <w:lvlText w:val=""/>
      <w:lvlJc w:val="left"/>
      <w:pPr>
        <w:ind w:left="2880" w:hanging="360"/>
      </w:pPr>
      <w:rPr>
        <w:rFonts w:ascii="Wingdings" w:hAnsi="Wingdings" w:cs="Wingding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AA86FF6"/>
    <w:multiLevelType w:val="hybridMultilevel"/>
    <w:tmpl w:val="AC828FDA"/>
    <w:lvl w:ilvl="0" w:tplc="04CA3BD2">
      <w:numFmt w:val="bullet"/>
      <w:lvlText w:val="-"/>
      <w:lvlJc w:val="left"/>
      <w:pPr>
        <w:ind w:left="720" w:hanging="360"/>
      </w:pPr>
      <w:rPr>
        <w:rFonts w:ascii="Calibri" w:eastAsia="Calibri" w:hAnsi="Calibri" w:cs="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DFF2461"/>
    <w:multiLevelType w:val="hybridMultilevel"/>
    <w:tmpl w:val="A21CBF1C"/>
    <w:lvl w:ilvl="0" w:tplc="04050005">
      <w:start w:val="1"/>
      <w:numFmt w:val="bullet"/>
      <w:lvlText w:val=""/>
      <w:lvlJc w:val="left"/>
      <w:pPr>
        <w:tabs>
          <w:tab w:val="num" w:pos="720"/>
        </w:tabs>
        <w:ind w:left="720" w:hanging="360"/>
      </w:pPr>
      <w:rPr>
        <w:rFonts w:ascii="Wingdings" w:hAnsi="Wingdings" w:cs="Wingdings" w:hint="default"/>
      </w:rPr>
    </w:lvl>
    <w:lvl w:ilvl="1" w:tplc="86B2D972">
      <w:start w:val="1"/>
      <w:numFmt w:val="bullet"/>
      <w:lvlText w:val="•"/>
      <w:lvlJc w:val="left"/>
      <w:pPr>
        <w:tabs>
          <w:tab w:val="num" w:pos="1440"/>
        </w:tabs>
        <w:ind w:left="1440" w:hanging="360"/>
      </w:pPr>
      <w:rPr>
        <w:rFonts w:ascii="Arial" w:hAnsi="Arial" w:cs="Times New Roman" w:hint="default"/>
      </w:rPr>
    </w:lvl>
    <w:lvl w:ilvl="2" w:tplc="AC5CDDE8">
      <w:start w:val="1"/>
      <w:numFmt w:val="bullet"/>
      <w:lvlText w:val="•"/>
      <w:lvlJc w:val="left"/>
      <w:pPr>
        <w:tabs>
          <w:tab w:val="num" w:pos="2160"/>
        </w:tabs>
        <w:ind w:left="2160" w:hanging="360"/>
      </w:pPr>
      <w:rPr>
        <w:rFonts w:ascii="Arial" w:hAnsi="Arial" w:cs="Times New Roman" w:hint="default"/>
      </w:rPr>
    </w:lvl>
    <w:lvl w:ilvl="3" w:tplc="B344C506">
      <w:start w:val="1"/>
      <w:numFmt w:val="bullet"/>
      <w:lvlText w:val="•"/>
      <w:lvlJc w:val="left"/>
      <w:pPr>
        <w:tabs>
          <w:tab w:val="num" w:pos="2880"/>
        </w:tabs>
        <w:ind w:left="2880" w:hanging="360"/>
      </w:pPr>
      <w:rPr>
        <w:rFonts w:ascii="Arial" w:hAnsi="Arial" w:cs="Times New Roman" w:hint="default"/>
      </w:rPr>
    </w:lvl>
    <w:lvl w:ilvl="4" w:tplc="EA74F836">
      <w:start w:val="1"/>
      <w:numFmt w:val="bullet"/>
      <w:lvlText w:val="•"/>
      <w:lvlJc w:val="left"/>
      <w:pPr>
        <w:tabs>
          <w:tab w:val="num" w:pos="3600"/>
        </w:tabs>
        <w:ind w:left="3600" w:hanging="360"/>
      </w:pPr>
      <w:rPr>
        <w:rFonts w:ascii="Arial" w:hAnsi="Arial" w:cs="Times New Roman" w:hint="default"/>
      </w:rPr>
    </w:lvl>
    <w:lvl w:ilvl="5" w:tplc="DEF86ED2">
      <w:start w:val="1"/>
      <w:numFmt w:val="bullet"/>
      <w:lvlText w:val="•"/>
      <w:lvlJc w:val="left"/>
      <w:pPr>
        <w:tabs>
          <w:tab w:val="num" w:pos="4320"/>
        </w:tabs>
        <w:ind w:left="4320" w:hanging="360"/>
      </w:pPr>
      <w:rPr>
        <w:rFonts w:ascii="Arial" w:hAnsi="Arial" w:cs="Times New Roman" w:hint="default"/>
      </w:rPr>
    </w:lvl>
    <w:lvl w:ilvl="6" w:tplc="F5E01540">
      <w:start w:val="1"/>
      <w:numFmt w:val="bullet"/>
      <w:lvlText w:val="•"/>
      <w:lvlJc w:val="left"/>
      <w:pPr>
        <w:tabs>
          <w:tab w:val="num" w:pos="5040"/>
        </w:tabs>
        <w:ind w:left="5040" w:hanging="360"/>
      </w:pPr>
      <w:rPr>
        <w:rFonts w:ascii="Arial" w:hAnsi="Arial" w:cs="Times New Roman" w:hint="default"/>
      </w:rPr>
    </w:lvl>
    <w:lvl w:ilvl="7" w:tplc="BB6A72E0">
      <w:start w:val="1"/>
      <w:numFmt w:val="bullet"/>
      <w:lvlText w:val="•"/>
      <w:lvlJc w:val="left"/>
      <w:pPr>
        <w:tabs>
          <w:tab w:val="num" w:pos="5760"/>
        </w:tabs>
        <w:ind w:left="5760" w:hanging="360"/>
      </w:pPr>
      <w:rPr>
        <w:rFonts w:ascii="Arial" w:hAnsi="Arial" w:cs="Times New Roman" w:hint="default"/>
      </w:rPr>
    </w:lvl>
    <w:lvl w:ilvl="8" w:tplc="7CD09DCA">
      <w:start w:val="1"/>
      <w:numFmt w:val="bullet"/>
      <w:lvlText w:val="•"/>
      <w:lvlJc w:val="left"/>
      <w:pPr>
        <w:tabs>
          <w:tab w:val="num" w:pos="6480"/>
        </w:tabs>
        <w:ind w:left="6480" w:hanging="360"/>
      </w:pPr>
      <w:rPr>
        <w:rFonts w:ascii="Arial" w:hAnsi="Arial" w:cs="Times New Roman" w:hint="default"/>
      </w:rPr>
    </w:lvl>
  </w:abstractNum>
  <w:abstractNum w:abstractNumId="4">
    <w:nsid w:val="13BB2ECE"/>
    <w:multiLevelType w:val="hybridMultilevel"/>
    <w:tmpl w:val="BC4C3954"/>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5">
    <w:nsid w:val="15824882"/>
    <w:multiLevelType w:val="hybridMultilevel"/>
    <w:tmpl w:val="DE66A560"/>
    <w:lvl w:ilvl="0" w:tplc="04050005">
      <w:start w:val="1"/>
      <w:numFmt w:val="bullet"/>
      <w:lvlText w:val=""/>
      <w:lvlJc w:val="left"/>
      <w:pPr>
        <w:tabs>
          <w:tab w:val="num" w:pos="720"/>
        </w:tabs>
        <w:ind w:left="720" w:hanging="360"/>
      </w:pPr>
      <w:rPr>
        <w:rFonts w:ascii="Wingdings" w:hAnsi="Wingdings" w:cs="Wingdings" w:hint="default"/>
      </w:rPr>
    </w:lvl>
    <w:lvl w:ilvl="1" w:tplc="7974BE64">
      <w:start w:val="1"/>
      <w:numFmt w:val="bullet"/>
      <w:lvlText w:val="•"/>
      <w:lvlJc w:val="left"/>
      <w:pPr>
        <w:tabs>
          <w:tab w:val="num" w:pos="1440"/>
        </w:tabs>
        <w:ind w:left="1440" w:hanging="360"/>
      </w:pPr>
      <w:rPr>
        <w:rFonts w:ascii="Arial" w:hAnsi="Arial" w:cs="Times New Roman" w:hint="default"/>
      </w:rPr>
    </w:lvl>
    <w:lvl w:ilvl="2" w:tplc="901C2D90">
      <w:start w:val="1"/>
      <w:numFmt w:val="bullet"/>
      <w:lvlText w:val="•"/>
      <w:lvlJc w:val="left"/>
      <w:pPr>
        <w:tabs>
          <w:tab w:val="num" w:pos="2160"/>
        </w:tabs>
        <w:ind w:left="2160" w:hanging="360"/>
      </w:pPr>
      <w:rPr>
        <w:rFonts w:ascii="Arial" w:hAnsi="Arial" w:cs="Times New Roman" w:hint="default"/>
      </w:rPr>
    </w:lvl>
    <w:lvl w:ilvl="3" w:tplc="407C2EEA">
      <w:start w:val="1"/>
      <w:numFmt w:val="bullet"/>
      <w:lvlText w:val="•"/>
      <w:lvlJc w:val="left"/>
      <w:pPr>
        <w:tabs>
          <w:tab w:val="num" w:pos="2880"/>
        </w:tabs>
        <w:ind w:left="2880" w:hanging="360"/>
      </w:pPr>
      <w:rPr>
        <w:rFonts w:ascii="Arial" w:hAnsi="Arial" w:cs="Times New Roman" w:hint="default"/>
      </w:rPr>
    </w:lvl>
    <w:lvl w:ilvl="4" w:tplc="1A3CF0C6">
      <w:start w:val="1"/>
      <w:numFmt w:val="bullet"/>
      <w:lvlText w:val="•"/>
      <w:lvlJc w:val="left"/>
      <w:pPr>
        <w:tabs>
          <w:tab w:val="num" w:pos="3600"/>
        </w:tabs>
        <w:ind w:left="3600" w:hanging="360"/>
      </w:pPr>
      <w:rPr>
        <w:rFonts w:ascii="Arial" w:hAnsi="Arial" w:cs="Times New Roman" w:hint="default"/>
      </w:rPr>
    </w:lvl>
    <w:lvl w:ilvl="5" w:tplc="6BA05E7E">
      <w:start w:val="1"/>
      <w:numFmt w:val="bullet"/>
      <w:lvlText w:val="•"/>
      <w:lvlJc w:val="left"/>
      <w:pPr>
        <w:tabs>
          <w:tab w:val="num" w:pos="4320"/>
        </w:tabs>
        <w:ind w:left="4320" w:hanging="360"/>
      </w:pPr>
      <w:rPr>
        <w:rFonts w:ascii="Arial" w:hAnsi="Arial" w:cs="Times New Roman" w:hint="default"/>
      </w:rPr>
    </w:lvl>
    <w:lvl w:ilvl="6" w:tplc="6D1C2F70">
      <w:start w:val="1"/>
      <w:numFmt w:val="bullet"/>
      <w:lvlText w:val="•"/>
      <w:lvlJc w:val="left"/>
      <w:pPr>
        <w:tabs>
          <w:tab w:val="num" w:pos="5040"/>
        </w:tabs>
        <w:ind w:left="5040" w:hanging="360"/>
      </w:pPr>
      <w:rPr>
        <w:rFonts w:ascii="Arial" w:hAnsi="Arial" w:cs="Times New Roman" w:hint="default"/>
      </w:rPr>
    </w:lvl>
    <w:lvl w:ilvl="7" w:tplc="51966BF2">
      <w:start w:val="1"/>
      <w:numFmt w:val="bullet"/>
      <w:lvlText w:val="•"/>
      <w:lvlJc w:val="left"/>
      <w:pPr>
        <w:tabs>
          <w:tab w:val="num" w:pos="5760"/>
        </w:tabs>
        <w:ind w:left="5760" w:hanging="360"/>
      </w:pPr>
      <w:rPr>
        <w:rFonts w:ascii="Arial" w:hAnsi="Arial" w:cs="Times New Roman" w:hint="default"/>
      </w:rPr>
    </w:lvl>
    <w:lvl w:ilvl="8" w:tplc="925C481C">
      <w:start w:val="1"/>
      <w:numFmt w:val="bullet"/>
      <w:lvlText w:val="•"/>
      <w:lvlJc w:val="left"/>
      <w:pPr>
        <w:tabs>
          <w:tab w:val="num" w:pos="6480"/>
        </w:tabs>
        <w:ind w:left="6480" w:hanging="360"/>
      </w:pPr>
      <w:rPr>
        <w:rFonts w:ascii="Arial" w:hAnsi="Arial" w:cs="Times New Roman" w:hint="default"/>
      </w:rPr>
    </w:lvl>
  </w:abstractNum>
  <w:abstractNum w:abstractNumId="6">
    <w:nsid w:val="19004F2E"/>
    <w:multiLevelType w:val="hybridMultilevel"/>
    <w:tmpl w:val="D836350C"/>
    <w:lvl w:ilvl="0" w:tplc="04050005">
      <w:start w:val="1"/>
      <w:numFmt w:val="bullet"/>
      <w:lvlText w:val=""/>
      <w:lvlJc w:val="left"/>
      <w:pPr>
        <w:tabs>
          <w:tab w:val="num" w:pos="720"/>
        </w:tabs>
        <w:ind w:left="720" w:hanging="360"/>
      </w:pPr>
      <w:rPr>
        <w:rFonts w:ascii="Wingdings" w:hAnsi="Wingdings" w:cs="Wingdings" w:hint="default"/>
      </w:rPr>
    </w:lvl>
    <w:lvl w:ilvl="1" w:tplc="7474EFB6">
      <w:start w:val="1"/>
      <w:numFmt w:val="bullet"/>
      <w:lvlText w:val="•"/>
      <w:lvlJc w:val="left"/>
      <w:pPr>
        <w:tabs>
          <w:tab w:val="num" w:pos="1440"/>
        </w:tabs>
        <w:ind w:left="1440" w:hanging="360"/>
      </w:pPr>
      <w:rPr>
        <w:rFonts w:ascii="Arial" w:hAnsi="Arial" w:cs="Times New Roman" w:hint="default"/>
      </w:rPr>
    </w:lvl>
    <w:lvl w:ilvl="2" w:tplc="C610FDC8">
      <w:start w:val="1"/>
      <w:numFmt w:val="bullet"/>
      <w:lvlText w:val="•"/>
      <w:lvlJc w:val="left"/>
      <w:pPr>
        <w:tabs>
          <w:tab w:val="num" w:pos="2160"/>
        </w:tabs>
        <w:ind w:left="2160" w:hanging="360"/>
      </w:pPr>
      <w:rPr>
        <w:rFonts w:ascii="Arial" w:hAnsi="Arial" w:cs="Times New Roman" w:hint="default"/>
      </w:rPr>
    </w:lvl>
    <w:lvl w:ilvl="3" w:tplc="AABA3CF2">
      <w:start w:val="1"/>
      <w:numFmt w:val="bullet"/>
      <w:lvlText w:val="•"/>
      <w:lvlJc w:val="left"/>
      <w:pPr>
        <w:tabs>
          <w:tab w:val="num" w:pos="2880"/>
        </w:tabs>
        <w:ind w:left="2880" w:hanging="360"/>
      </w:pPr>
      <w:rPr>
        <w:rFonts w:ascii="Arial" w:hAnsi="Arial" w:cs="Times New Roman" w:hint="default"/>
      </w:rPr>
    </w:lvl>
    <w:lvl w:ilvl="4" w:tplc="824AE17A">
      <w:start w:val="1"/>
      <w:numFmt w:val="bullet"/>
      <w:lvlText w:val="•"/>
      <w:lvlJc w:val="left"/>
      <w:pPr>
        <w:tabs>
          <w:tab w:val="num" w:pos="3600"/>
        </w:tabs>
        <w:ind w:left="3600" w:hanging="360"/>
      </w:pPr>
      <w:rPr>
        <w:rFonts w:ascii="Arial" w:hAnsi="Arial" w:cs="Times New Roman" w:hint="default"/>
      </w:rPr>
    </w:lvl>
    <w:lvl w:ilvl="5" w:tplc="938272A8">
      <w:start w:val="1"/>
      <w:numFmt w:val="bullet"/>
      <w:lvlText w:val="•"/>
      <w:lvlJc w:val="left"/>
      <w:pPr>
        <w:tabs>
          <w:tab w:val="num" w:pos="4320"/>
        </w:tabs>
        <w:ind w:left="4320" w:hanging="360"/>
      </w:pPr>
      <w:rPr>
        <w:rFonts w:ascii="Arial" w:hAnsi="Arial" w:cs="Times New Roman" w:hint="default"/>
      </w:rPr>
    </w:lvl>
    <w:lvl w:ilvl="6" w:tplc="355C7EB0">
      <w:start w:val="1"/>
      <w:numFmt w:val="bullet"/>
      <w:lvlText w:val="•"/>
      <w:lvlJc w:val="left"/>
      <w:pPr>
        <w:tabs>
          <w:tab w:val="num" w:pos="5040"/>
        </w:tabs>
        <w:ind w:left="5040" w:hanging="360"/>
      </w:pPr>
      <w:rPr>
        <w:rFonts w:ascii="Arial" w:hAnsi="Arial" w:cs="Times New Roman" w:hint="default"/>
      </w:rPr>
    </w:lvl>
    <w:lvl w:ilvl="7" w:tplc="9C2A612E">
      <w:start w:val="1"/>
      <w:numFmt w:val="bullet"/>
      <w:lvlText w:val="•"/>
      <w:lvlJc w:val="left"/>
      <w:pPr>
        <w:tabs>
          <w:tab w:val="num" w:pos="5760"/>
        </w:tabs>
        <w:ind w:left="5760" w:hanging="360"/>
      </w:pPr>
      <w:rPr>
        <w:rFonts w:ascii="Arial" w:hAnsi="Arial" w:cs="Times New Roman" w:hint="default"/>
      </w:rPr>
    </w:lvl>
    <w:lvl w:ilvl="8" w:tplc="BF92B3D0">
      <w:start w:val="1"/>
      <w:numFmt w:val="bullet"/>
      <w:lvlText w:val="•"/>
      <w:lvlJc w:val="left"/>
      <w:pPr>
        <w:tabs>
          <w:tab w:val="num" w:pos="6480"/>
        </w:tabs>
        <w:ind w:left="6480" w:hanging="360"/>
      </w:pPr>
      <w:rPr>
        <w:rFonts w:ascii="Arial" w:hAnsi="Arial" w:cs="Times New Roman" w:hint="default"/>
      </w:rPr>
    </w:lvl>
  </w:abstractNum>
  <w:abstractNum w:abstractNumId="7">
    <w:nsid w:val="19627A12"/>
    <w:multiLevelType w:val="hybridMultilevel"/>
    <w:tmpl w:val="D1D42DBE"/>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B814799"/>
    <w:multiLevelType w:val="hybridMultilevel"/>
    <w:tmpl w:val="E0468BCE"/>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nsid w:val="1BD43ACB"/>
    <w:multiLevelType w:val="hybridMultilevel"/>
    <w:tmpl w:val="99528564"/>
    <w:lvl w:ilvl="0" w:tplc="0405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nsid w:val="1BD5701D"/>
    <w:multiLevelType w:val="hybridMultilevel"/>
    <w:tmpl w:val="C24432DE"/>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1C616C4A"/>
    <w:multiLevelType w:val="hybridMultilevel"/>
    <w:tmpl w:val="3FC845FC"/>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nsid w:val="26B81266"/>
    <w:multiLevelType w:val="hybridMultilevel"/>
    <w:tmpl w:val="06B2465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nsid w:val="377D6A21"/>
    <w:multiLevelType w:val="hybridMultilevel"/>
    <w:tmpl w:val="B2608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6812AE"/>
    <w:multiLevelType w:val="hybridMultilevel"/>
    <w:tmpl w:val="B0AA0CD6"/>
    <w:lvl w:ilvl="0" w:tplc="04050005">
      <w:start w:val="1"/>
      <w:numFmt w:val="bullet"/>
      <w:lvlText w:val=""/>
      <w:lvlJc w:val="left"/>
      <w:pPr>
        <w:tabs>
          <w:tab w:val="num" w:pos="720"/>
        </w:tabs>
        <w:ind w:left="720" w:hanging="360"/>
      </w:pPr>
      <w:rPr>
        <w:rFonts w:ascii="Wingdings" w:hAnsi="Wingdings" w:cs="Wingdings" w:hint="default"/>
      </w:rPr>
    </w:lvl>
    <w:lvl w:ilvl="1" w:tplc="7298CF1C">
      <w:start w:val="1"/>
      <w:numFmt w:val="bullet"/>
      <w:lvlText w:val="•"/>
      <w:lvlJc w:val="left"/>
      <w:pPr>
        <w:tabs>
          <w:tab w:val="num" w:pos="1440"/>
        </w:tabs>
        <w:ind w:left="1440" w:hanging="360"/>
      </w:pPr>
      <w:rPr>
        <w:rFonts w:ascii="Arial" w:hAnsi="Arial" w:cs="Times New Roman" w:hint="default"/>
      </w:rPr>
    </w:lvl>
    <w:lvl w:ilvl="2" w:tplc="FED02FE6">
      <w:start w:val="1"/>
      <w:numFmt w:val="bullet"/>
      <w:lvlText w:val="•"/>
      <w:lvlJc w:val="left"/>
      <w:pPr>
        <w:tabs>
          <w:tab w:val="num" w:pos="2160"/>
        </w:tabs>
        <w:ind w:left="2160" w:hanging="360"/>
      </w:pPr>
      <w:rPr>
        <w:rFonts w:ascii="Arial" w:hAnsi="Arial" w:cs="Times New Roman" w:hint="default"/>
      </w:rPr>
    </w:lvl>
    <w:lvl w:ilvl="3" w:tplc="E84C6CF2">
      <w:start w:val="1"/>
      <w:numFmt w:val="bullet"/>
      <w:lvlText w:val="•"/>
      <w:lvlJc w:val="left"/>
      <w:pPr>
        <w:tabs>
          <w:tab w:val="num" w:pos="2880"/>
        </w:tabs>
        <w:ind w:left="2880" w:hanging="360"/>
      </w:pPr>
      <w:rPr>
        <w:rFonts w:ascii="Arial" w:hAnsi="Arial" w:cs="Times New Roman" w:hint="default"/>
      </w:rPr>
    </w:lvl>
    <w:lvl w:ilvl="4" w:tplc="183E7914">
      <w:start w:val="1"/>
      <w:numFmt w:val="bullet"/>
      <w:lvlText w:val="•"/>
      <w:lvlJc w:val="left"/>
      <w:pPr>
        <w:tabs>
          <w:tab w:val="num" w:pos="3600"/>
        </w:tabs>
        <w:ind w:left="3600" w:hanging="360"/>
      </w:pPr>
      <w:rPr>
        <w:rFonts w:ascii="Arial" w:hAnsi="Arial" w:cs="Times New Roman" w:hint="default"/>
      </w:rPr>
    </w:lvl>
    <w:lvl w:ilvl="5" w:tplc="88406854">
      <w:start w:val="1"/>
      <w:numFmt w:val="bullet"/>
      <w:lvlText w:val="•"/>
      <w:lvlJc w:val="left"/>
      <w:pPr>
        <w:tabs>
          <w:tab w:val="num" w:pos="4320"/>
        </w:tabs>
        <w:ind w:left="4320" w:hanging="360"/>
      </w:pPr>
      <w:rPr>
        <w:rFonts w:ascii="Arial" w:hAnsi="Arial" w:cs="Times New Roman" w:hint="default"/>
      </w:rPr>
    </w:lvl>
    <w:lvl w:ilvl="6" w:tplc="DBFCE988">
      <w:start w:val="1"/>
      <w:numFmt w:val="bullet"/>
      <w:lvlText w:val="•"/>
      <w:lvlJc w:val="left"/>
      <w:pPr>
        <w:tabs>
          <w:tab w:val="num" w:pos="5040"/>
        </w:tabs>
        <w:ind w:left="5040" w:hanging="360"/>
      </w:pPr>
      <w:rPr>
        <w:rFonts w:ascii="Arial" w:hAnsi="Arial" w:cs="Times New Roman" w:hint="default"/>
      </w:rPr>
    </w:lvl>
    <w:lvl w:ilvl="7" w:tplc="86A02B30">
      <w:start w:val="1"/>
      <w:numFmt w:val="bullet"/>
      <w:lvlText w:val="•"/>
      <w:lvlJc w:val="left"/>
      <w:pPr>
        <w:tabs>
          <w:tab w:val="num" w:pos="5760"/>
        </w:tabs>
        <w:ind w:left="5760" w:hanging="360"/>
      </w:pPr>
      <w:rPr>
        <w:rFonts w:ascii="Arial" w:hAnsi="Arial" w:cs="Times New Roman" w:hint="default"/>
      </w:rPr>
    </w:lvl>
    <w:lvl w:ilvl="8" w:tplc="227C5B2E">
      <w:start w:val="1"/>
      <w:numFmt w:val="bullet"/>
      <w:lvlText w:val="•"/>
      <w:lvlJc w:val="left"/>
      <w:pPr>
        <w:tabs>
          <w:tab w:val="num" w:pos="6480"/>
        </w:tabs>
        <w:ind w:left="6480" w:hanging="360"/>
      </w:pPr>
      <w:rPr>
        <w:rFonts w:ascii="Arial" w:hAnsi="Arial" w:cs="Times New Roman" w:hint="default"/>
      </w:rPr>
    </w:lvl>
  </w:abstractNum>
  <w:abstractNum w:abstractNumId="15">
    <w:nsid w:val="4F4C6CDE"/>
    <w:multiLevelType w:val="hybridMultilevel"/>
    <w:tmpl w:val="84A06E38"/>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16">
    <w:nsid w:val="54034B7A"/>
    <w:multiLevelType w:val="hybridMultilevel"/>
    <w:tmpl w:val="933C12CA"/>
    <w:lvl w:ilvl="0" w:tplc="04050005">
      <w:start w:val="1"/>
      <w:numFmt w:val="bullet"/>
      <w:lvlText w:val=""/>
      <w:lvlJc w:val="left"/>
      <w:pPr>
        <w:tabs>
          <w:tab w:val="num" w:pos="720"/>
        </w:tabs>
        <w:ind w:left="720" w:hanging="360"/>
      </w:pPr>
      <w:rPr>
        <w:rFonts w:ascii="Wingdings" w:hAnsi="Wingdings" w:cs="Wingdings" w:hint="default"/>
      </w:rPr>
    </w:lvl>
    <w:lvl w:ilvl="1" w:tplc="C3261600">
      <w:start w:val="1"/>
      <w:numFmt w:val="bullet"/>
      <w:lvlText w:val="•"/>
      <w:lvlJc w:val="left"/>
      <w:pPr>
        <w:tabs>
          <w:tab w:val="num" w:pos="1440"/>
        </w:tabs>
        <w:ind w:left="1440" w:hanging="360"/>
      </w:pPr>
      <w:rPr>
        <w:rFonts w:ascii="Arial" w:hAnsi="Arial" w:cs="Times New Roman" w:hint="default"/>
      </w:rPr>
    </w:lvl>
    <w:lvl w:ilvl="2" w:tplc="493AAEAA">
      <w:start w:val="1"/>
      <w:numFmt w:val="bullet"/>
      <w:lvlText w:val="•"/>
      <w:lvlJc w:val="left"/>
      <w:pPr>
        <w:tabs>
          <w:tab w:val="num" w:pos="2160"/>
        </w:tabs>
        <w:ind w:left="2160" w:hanging="360"/>
      </w:pPr>
      <w:rPr>
        <w:rFonts w:ascii="Arial" w:hAnsi="Arial" w:cs="Times New Roman" w:hint="default"/>
      </w:rPr>
    </w:lvl>
    <w:lvl w:ilvl="3" w:tplc="47BAFAC2">
      <w:start w:val="1"/>
      <w:numFmt w:val="bullet"/>
      <w:lvlText w:val="•"/>
      <w:lvlJc w:val="left"/>
      <w:pPr>
        <w:tabs>
          <w:tab w:val="num" w:pos="2880"/>
        </w:tabs>
        <w:ind w:left="2880" w:hanging="360"/>
      </w:pPr>
      <w:rPr>
        <w:rFonts w:ascii="Arial" w:hAnsi="Arial" w:cs="Times New Roman" w:hint="default"/>
      </w:rPr>
    </w:lvl>
    <w:lvl w:ilvl="4" w:tplc="8C528872">
      <w:start w:val="1"/>
      <w:numFmt w:val="bullet"/>
      <w:lvlText w:val="•"/>
      <w:lvlJc w:val="left"/>
      <w:pPr>
        <w:tabs>
          <w:tab w:val="num" w:pos="3600"/>
        </w:tabs>
        <w:ind w:left="3600" w:hanging="360"/>
      </w:pPr>
      <w:rPr>
        <w:rFonts w:ascii="Arial" w:hAnsi="Arial" w:cs="Times New Roman" w:hint="default"/>
      </w:rPr>
    </w:lvl>
    <w:lvl w:ilvl="5" w:tplc="E128638A">
      <w:start w:val="1"/>
      <w:numFmt w:val="bullet"/>
      <w:lvlText w:val="•"/>
      <w:lvlJc w:val="left"/>
      <w:pPr>
        <w:tabs>
          <w:tab w:val="num" w:pos="4320"/>
        </w:tabs>
        <w:ind w:left="4320" w:hanging="360"/>
      </w:pPr>
      <w:rPr>
        <w:rFonts w:ascii="Arial" w:hAnsi="Arial" w:cs="Times New Roman" w:hint="default"/>
      </w:rPr>
    </w:lvl>
    <w:lvl w:ilvl="6" w:tplc="0DEEBCEC">
      <w:start w:val="1"/>
      <w:numFmt w:val="bullet"/>
      <w:lvlText w:val="•"/>
      <w:lvlJc w:val="left"/>
      <w:pPr>
        <w:tabs>
          <w:tab w:val="num" w:pos="5040"/>
        </w:tabs>
        <w:ind w:left="5040" w:hanging="360"/>
      </w:pPr>
      <w:rPr>
        <w:rFonts w:ascii="Arial" w:hAnsi="Arial" w:cs="Times New Roman" w:hint="default"/>
      </w:rPr>
    </w:lvl>
    <w:lvl w:ilvl="7" w:tplc="4628CF38">
      <w:start w:val="1"/>
      <w:numFmt w:val="bullet"/>
      <w:lvlText w:val="•"/>
      <w:lvlJc w:val="left"/>
      <w:pPr>
        <w:tabs>
          <w:tab w:val="num" w:pos="5760"/>
        </w:tabs>
        <w:ind w:left="5760" w:hanging="360"/>
      </w:pPr>
      <w:rPr>
        <w:rFonts w:ascii="Arial" w:hAnsi="Arial" w:cs="Times New Roman" w:hint="default"/>
      </w:rPr>
    </w:lvl>
    <w:lvl w:ilvl="8" w:tplc="407409C2">
      <w:start w:val="1"/>
      <w:numFmt w:val="bullet"/>
      <w:lvlText w:val="•"/>
      <w:lvlJc w:val="left"/>
      <w:pPr>
        <w:tabs>
          <w:tab w:val="num" w:pos="6480"/>
        </w:tabs>
        <w:ind w:left="6480" w:hanging="360"/>
      </w:pPr>
      <w:rPr>
        <w:rFonts w:ascii="Arial" w:hAnsi="Arial" w:cs="Times New Roman" w:hint="default"/>
      </w:rPr>
    </w:lvl>
  </w:abstractNum>
  <w:abstractNum w:abstractNumId="17">
    <w:nsid w:val="5A1A7133"/>
    <w:multiLevelType w:val="hybridMultilevel"/>
    <w:tmpl w:val="1E74B2FA"/>
    <w:lvl w:ilvl="0" w:tplc="04050005">
      <w:start w:val="1"/>
      <w:numFmt w:val="bullet"/>
      <w:lvlText w:val=""/>
      <w:lvlJc w:val="left"/>
      <w:pPr>
        <w:tabs>
          <w:tab w:val="num" w:pos="720"/>
        </w:tabs>
        <w:ind w:left="720" w:hanging="360"/>
      </w:pPr>
      <w:rPr>
        <w:rFonts w:ascii="Wingdings" w:hAnsi="Wingdings" w:cs="Wingdings" w:hint="default"/>
      </w:rPr>
    </w:lvl>
    <w:lvl w:ilvl="1" w:tplc="34285EAC">
      <w:start w:val="1"/>
      <w:numFmt w:val="bullet"/>
      <w:lvlText w:val="•"/>
      <w:lvlJc w:val="left"/>
      <w:pPr>
        <w:tabs>
          <w:tab w:val="num" w:pos="1440"/>
        </w:tabs>
        <w:ind w:left="1440" w:hanging="360"/>
      </w:pPr>
      <w:rPr>
        <w:rFonts w:ascii="Arial" w:hAnsi="Arial" w:cs="Times New Roman" w:hint="default"/>
      </w:rPr>
    </w:lvl>
    <w:lvl w:ilvl="2" w:tplc="5072BDF2">
      <w:start w:val="1"/>
      <w:numFmt w:val="bullet"/>
      <w:lvlText w:val="•"/>
      <w:lvlJc w:val="left"/>
      <w:pPr>
        <w:tabs>
          <w:tab w:val="num" w:pos="2160"/>
        </w:tabs>
        <w:ind w:left="2160" w:hanging="360"/>
      </w:pPr>
      <w:rPr>
        <w:rFonts w:ascii="Arial" w:hAnsi="Arial" w:cs="Times New Roman" w:hint="default"/>
      </w:rPr>
    </w:lvl>
    <w:lvl w:ilvl="3" w:tplc="A3FA28B8">
      <w:start w:val="1"/>
      <w:numFmt w:val="bullet"/>
      <w:lvlText w:val="•"/>
      <w:lvlJc w:val="left"/>
      <w:pPr>
        <w:tabs>
          <w:tab w:val="num" w:pos="2880"/>
        </w:tabs>
        <w:ind w:left="2880" w:hanging="360"/>
      </w:pPr>
      <w:rPr>
        <w:rFonts w:ascii="Arial" w:hAnsi="Arial" w:cs="Times New Roman" w:hint="default"/>
      </w:rPr>
    </w:lvl>
    <w:lvl w:ilvl="4" w:tplc="85883A38">
      <w:start w:val="1"/>
      <w:numFmt w:val="bullet"/>
      <w:lvlText w:val="•"/>
      <w:lvlJc w:val="left"/>
      <w:pPr>
        <w:tabs>
          <w:tab w:val="num" w:pos="3600"/>
        </w:tabs>
        <w:ind w:left="3600" w:hanging="360"/>
      </w:pPr>
      <w:rPr>
        <w:rFonts w:ascii="Arial" w:hAnsi="Arial" w:cs="Times New Roman" w:hint="default"/>
      </w:rPr>
    </w:lvl>
    <w:lvl w:ilvl="5" w:tplc="D0E692A2">
      <w:start w:val="1"/>
      <w:numFmt w:val="bullet"/>
      <w:lvlText w:val="•"/>
      <w:lvlJc w:val="left"/>
      <w:pPr>
        <w:tabs>
          <w:tab w:val="num" w:pos="4320"/>
        </w:tabs>
        <w:ind w:left="4320" w:hanging="360"/>
      </w:pPr>
      <w:rPr>
        <w:rFonts w:ascii="Arial" w:hAnsi="Arial" w:cs="Times New Roman" w:hint="default"/>
      </w:rPr>
    </w:lvl>
    <w:lvl w:ilvl="6" w:tplc="ED22FA36">
      <w:start w:val="1"/>
      <w:numFmt w:val="bullet"/>
      <w:lvlText w:val="•"/>
      <w:lvlJc w:val="left"/>
      <w:pPr>
        <w:tabs>
          <w:tab w:val="num" w:pos="5040"/>
        </w:tabs>
        <w:ind w:left="5040" w:hanging="360"/>
      </w:pPr>
      <w:rPr>
        <w:rFonts w:ascii="Arial" w:hAnsi="Arial" w:cs="Times New Roman" w:hint="default"/>
      </w:rPr>
    </w:lvl>
    <w:lvl w:ilvl="7" w:tplc="B0FC5E80">
      <w:start w:val="1"/>
      <w:numFmt w:val="bullet"/>
      <w:lvlText w:val="•"/>
      <w:lvlJc w:val="left"/>
      <w:pPr>
        <w:tabs>
          <w:tab w:val="num" w:pos="5760"/>
        </w:tabs>
        <w:ind w:left="5760" w:hanging="360"/>
      </w:pPr>
      <w:rPr>
        <w:rFonts w:ascii="Arial" w:hAnsi="Arial" w:cs="Times New Roman" w:hint="default"/>
      </w:rPr>
    </w:lvl>
    <w:lvl w:ilvl="8" w:tplc="F070AA4C">
      <w:start w:val="1"/>
      <w:numFmt w:val="bullet"/>
      <w:lvlText w:val="•"/>
      <w:lvlJc w:val="left"/>
      <w:pPr>
        <w:tabs>
          <w:tab w:val="num" w:pos="6480"/>
        </w:tabs>
        <w:ind w:left="6480" w:hanging="360"/>
      </w:pPr>
      <w:rPr>
        <w:rFonts w:ascii="Arial" w:hAnsi="Arial" w:cs="Times New Roman" w:hint="default"/>
      </w:rPr>
    </w:lvl>
  </w:abstractNum>
  <w:abstractNum w:abstractNumId="18">
    <w:nsid w:val="5A71628F"/>
    <w:multiLevelType w:val="hybridMultilevel"/>
    <w:tmpl w:val="AED470D8"/>
    <w:lvl w:ilvl="0" w:tplc="04050005">
      <w:start w:val="1"/>
      <w:numFmt w:val="bullet"/>
      <w:lvlText w:val=""/>
      <w:lvlJc w:val="left"/>
      <w:pPr>
        <w:tabs>
          <w:tab w:val="num" w:pos="720"/>
        </w:tabs>
        <w:ind w:left="720" w:hanging="360"/>
      </w:pPr>
      <w:rPr>
        <w:rFonts w:ascii="Wingdings" w:hAnsi="Wingdings" w:cs="Wingdings" w:hint="default"/>
      </w:rPr>
    </w:lvl>
    <w:lvl w:ilvl="1" w:tplc="67FED756">
      <w:start w:val="1"/>
      <w:numFmt w:val="bullet"/>
      <w:lvlText w:val="•"/>
      <w:lvlJc w:val="left"/>
      <w:pPr>
        <w:tabs>
          <w:tab w:val="num" w:pos="1440"/>
        </w:tabs>
        <w:ind w:left="1440" w:hanging="360"/>
      </w:pPr>
      <w:rPr>
        <w:rFonts w:ascii="Arial" w:hAnsi="Arial" w:cs="Times New Roman" w:hint="default"/>
      </w:rPr>
    </w:lvl>
    <w:lvl w:ilvl="2" w:tplc="A348B460">
      <w:start w:val="1"/>
      <w:numFmt w:val="bullet"/>
      <w:lvlText w:val="•"/>
      <w:lvlJc w:val="left"/>
      <w:pPr>
        <w:tabs>
          <w:tab w:val="num" w:pos="2160"/>
        </w:tabs>
        <w:ind w:left="2160" w:hanging="360"/>
      </w:pPr>
      <w:rPr>
        <w:rFonts w:ascii="Arial" w:hAnsi="Arial" w:cs="Times New Roman" w:hint="default"/>
      </w:rPr>
    </w:lvl>
    <w:lvl w:ilvl="3" w:tplc="432C6F66">
      <w:start w:val="1"/>
      <w:numFmt w:val="bullet"/>
      <w:lvlText w:val="•"/>
      <w:lvlJc w:val="left"/>
      <w:pPr>
        <w:tabs>
          <w:tab w:val="num" w:pos="2880"/>
        </w:tabs>
        <w:ind w:left="2880" w:hanging="360"/>
      </w:pPr>
      <w:rPr>
        <w:rFonts w:ascii="Arial" w:hAnsi="Arial" w:cs="Times New Roman" w:hint="default"/>
      </w:rPr>
    </w:lvl>
    <w:lvl w:ilvl="4" w:tplc="31EA2A74">
      <w:start w:val="1"/>
      <w:numFmt w:val="bullet"/>
      <w:lvlText w:val="•"/>
      <w:lvlJc w:val="left"/>
      <w:pPr>
        <w:tabs>
          <w:tab w:val="num" w:pos="3600"/>
        </w:tabs>
        <w:ind w:left="3600" w:hanging="360"/>
      </w:pPr>
      <w:rPr>
        <w:rFonts w:ascii="Arial" w:hAnsi="Arial" w:cs="Times New Roman" w:hint="default"/>
      </w:rPr>
    </w:lvl>
    <w:lvl w:ilvl="5" w:tplc="10C22ED0">
      <w:start w:val="1"/>
      <w:numFmt w:val="bullet"/>
      <w:lvlText w:val="•"/>
      <w:lvlJc w:val="left"/>
      <w:pPr>
        <w:tabs>
          <w:tab w:val="num" w:pos="4320"/>
        </w:tabs>
        <w:ind w:left="4320" w:hanging="360"/>
      </w:pPr>
      <w:rPr>
        <w:rFonts w:ascii="Arial" w:hAnsi="Arial" w:cs="Times New Roman" w:hint="default"/>
      </w:rPr>
    </w:lvl>
    <w:lvl w:ilvl="6" w:tplc="63CAA98A">
      <w:start w:val="1"/>
      <w:numFmt w:val="bullet"/>
      <w:lvlText w:val="•"/>
      <w:lvlJc w:val="left"/>
      <w:pPr>
        <w:tabs>
          <w:tab w:val="num" w:pos="5040"/>
        </w:tabs>
        <w:ind w:left="5040" w:hanging="360"/>
      </w:pPr>
      <w:rPr>
        <w:rFonts w:ascii="Arial" w:hAnsi="Arial" w:cs="Times New Roman" w:hint="default"/>
      </w:rPr>
    </w:lvl>
    <w:lvl w:ilvl="7" w:tplc="8E5A7FF4">
      <w:start w:val="1"/>
      <w:numFmt w:val="bullet"/>
      <w:lvlText w:val="•"/>
      <w:lvlJc w:val="left"/>
      <w:pPr>
        <w:tabs>
          <w:tab w:val="num" w:pos="5760"/>
        </w:tabs>
        <w:ind w:left="5760" w:hanging="360"/>
      </w:pPr>
      <w:rPr>
        <w:rFonts w:ascii="Arial" w:hAnsi="Arial" w:cs="Times New Roman" w:hint="default"/>
      </w:rPr>
    </w:lvl>
    <w:lvl w:ilvl="8" w:tplc="2C369D62">
      <w:start w:val="1"/>
      <w:numFmt w:val="bullet"/>
      <w:lvlText w:val="•"/>
      <w:lvlJc w:val="left"/>
      <w:pPr>
        <w:tabs>
          <w:tab w:val="num" w:pos="6480"/>
        </w:tabs>
        <w:ind w:left="6480" w:hanging="360"/>
      </w:pPr>
      <w:rPr>
        <w:rFonts w:ascii="Arial" w:hAnsi="Arial" w:cs="Times New Roman" w:hint="default"/>
      </w:rPr>
    </w:lvl>
  </w:abstractNum>
  <w:abstractNum w:abstractNumId="19">
    <w:nsid w:val="5B7B4FCD"/>
    <w:multiLevelType w:val="hybridMultilevel"/>
    <w:tmpl w:val="6388F31A"/>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63713A09"/>
    <w:multiLevelType w:val="hybridMultilevel"/>
    <w:tmpl w:val="5186F5A6"/>
    <w:lvl w:ilvl="0" w:tplc="04050005">
      <w:start w:val="1"/>
      <w:numFmt w:val="bullet"/>
      <w:lvlText w:val=""/>
      <w:lvlJc w:val="left"/>
      <w:pPr>
        <w:tabs>
          <w:tab w:val="num" w:pos="720"/>
        </w:tabs>
        <w:ind w:left="720" w:hanging="360"/>
      </w:pPr>
      <w:rPr>
        <w:rFonts w:ascii="Wingdings" w:hAnsi="Wingdings" w:cs="Wingdings" w:hint="default"/>
      </w:rPr>
    </w:lvl>
    <w:lvl w:ilvl="1" w:tplc="EAFED44E">
      <w:start w:val="1"/>
      <w:numFmt w:val="bullet"/>
      <w:lvlText w:val="•"/>
      <w:lvlJc w:val="left"/>
      <w:pPr>
        <w:tabs>
          <w:tab w:val="num" w:pos="1440"/>
        </w:tabs>
        <w:ind w:left="1440" w:hanging="360"/>
      </w:pPr>
      <w:rPr>
        <w:rFonts w:ascii="Arial" w:hAnsi="Arial" w:cs="Times New Roman" w:hint="default"/>
      </w:rPr>
    </w:lvl>
    <w:lvl w:ilvl="2" w:tplc="4CF83CFA">
      <w:start w:val="1"/>
      <w:numFmt w:val="bullet"/>
      <w:lvlText w:val="•"/>
      <w:lvlJc w:val="left"/>
      <w:pPr>
        <w:tabs>
          <w:tab w:val="num" w:pos="2160"/>
        </w:tabs>
        <w:ind w:left="2160" w:hanging="360"/>
      </w:pPr>
      <w:rPr>
        <w:rFonts w:ascii="Arial" w:hAnsi="Arial" w:cs="Times New Roman" w:hint="default"/>
      </w:rPr>
    </w:lvl>
    <w:lvl w:ilvl="3" w:tplc="D1567CEC">
      <w:start w:val="1"/>
      <w:numFmt w:val="bullet"/>
      <w:lvlText w:val="•"/>
      <w:lvlJc w:val="left"/>
      <w:pPr>
        <w:tabs>
          <w:tab w:val="num" w:pos="2880"/>
        </w:tabs>
        <w:ind w:left="2880" w:hanging="360"/>
      </w:pPr>
      <w:rPr>
        <w:rFonts w:ascii="Arial" w:hAnsi="Arial" w:cs="Times New Roman" w:hint="default"/>
      </w:rPr>
    </w:lvl>
    <w:lvl w:ilvl="4" w:tplc="E18682C4">
      <w:start w:val="1"/>
      <w:numFmt w:val="bullet"/>
      <w:lvlText w:val="•"/>
      <w:lvlJc w:val="left"/>
      <w:pPr>
        <w:tabs>
          <w:tab w:val="num" w:pos="3600"/>
        </w:tabs>
        <w:ind w:left="3600" w:hanging="360"/>
      </w:pPr>
      <w:rPr>
        <w:rFonts w:ascii="Arial" w:hAnsi="Arial" w:cs="Times New Roman" w:hint="default"/>
      </w:rPr>
    </w:lvl>
    <w:lvl w:ilvl="5" w:tplc="3CD2BFE2">
      <w:start w:val="1"/>
      <w:numFmt w:val="bullet"/>
      <w:lvlText w:val="•"/>
      <w:lvlJc w:val="left"/>
      <w:pPr>
        <w:tabs>
          <w:tab w:val="num" w:pos="4320"/>
        </w:tabs>
        <w:ind w:left="4320" w:hanging="360"/>
      </w:pPr>
      <w:rPr>
        <w:rFonts w:ascii="Arial" w:hAnsi="Arial" w:cs="Times New Roman" w:hint="default"/>
      </w:rPr>
    </w:lvl>
    <w:lvl w:ilvl="6" w:tplc="EDE4E0B0">
      <w:start w:val="1"/>
      <w:numFmt w:val="bullet"/>
      <w:lvlText w:val="•"/>
      <w:lvlJc w:val="left"/>
      <w:pPr>
        <w:tabs>
          <w:tab w:val="num" w:pos="5040"/>
        </w:tabs>
        <w:ind w:left="5040" w:hanging="360"/>
      </w:pPr>
      <w:rPr>
        <w:rFonts w:ascii="Arial" w:hAnsi="Arial" w:cs="Times New Roman" w:hint="default"/>
      </w:rPr>
    </w:lvl>
    <w:lvl w:ilvl="7" w:tplc="546E50C4">
      <w:start w:val="1"/>
      <w:numFmt w:val="bullet"/>
      <w:lvlText w:val="•"/>
      <w:lvlJc w:val="left"/>
      <w:pPr>
        <w:tabs>
          <w:tab w:val="num" w:pos="5760"/>
        </w:tabs>
        <w:ind w:left="5760" w:hanging="360"/>
      </w:pPr>
      <w:rPr>
        <w:rFonts w:ascii="Arial" w:hAnsi="Arial" w:cs="Times New Roman" w:hint="default"/>
      </w:rPr>
    </w:lvl>
    <w:lvl w:ilvl="8" w:tplc="CE7E72EA">
      <w:start w:val="1"/>
      <w:numFmt w:val="bullet"/>
      <w:lvlText w:val="•"/>
      <w:lvlJc w:val="left"/>
      <w:pPr>
        <w:tabs>
          <w:tab w:val="num" w:pos="6480"/>
        </w:tabs>
        <w:ind w:left="6480" w:hanging="360"/>
      </w:pPr>
      <w:rPr>
        <w:rFonts w:ascii="Arial" w:hAnsi="Arial" w:cs="Times New Roman" w:hint="default"/>
      </w:rPr>
    </w:lvl>
  </w:abstractNum>
  <w:abstractNum w:abstractNumId="21">
    <w:nsid w:val="63C41532"/>
    <w:multiLevelType w:val="hybridMultilevel"/>
    <w:tmpl w:val="C7FA72B2"/>
    <w:lvl w:ilvl="0" w:tplc="04050005">
      <w:start w:val="1"/>
      <w:numFmt w:val="bullet"/>
      <w:lvlText w:val=""/>
      <w:lvlJc w:val="left"/>
      <w:pPr>
        <w:tabs>
          <w:tab w:val="num" w:pos="720"/>
        </w:tabs>
        <w:ind w:left="720" w:hanging="360"/>
      </w:pPr>
      <w:rPr>
        <w:rFonts w:ascii="Wingdings" w:hAnsi="Wingdings" w:cs="Wingdings" w:hint="default"/>
      </w:rPr>
    </w:lvl>
    <w:lvl w:ilvl="1" w:tplc="B43263CC">
      <w:start w:val="1"/>
      <w:numFmt w:val="bullet"/>
      <w:lvlText w:val="•"/>
      <w:lvlJc w:val="left"/>
      <w:pPr>
        <w:tabs>
          <w:tab w:val="num" w:pos="1440"/>
        </w:tabs>
        <w:ind w:left="1440" w:hanging="360"/>
      </w:pPr>
      <w:rPr>
        <w:rFonts w:ascii="Arial" w:hAnsi="Arial" w:cs="Times New Roman" w:hint="default"/>
      </w:rPr>
    </w:lvl>
    <w:lvl w:ilvl="2" w:tplc="DF5419D8">
      <w:start w:val="1"/>
      <w:numFmt w:val="bullet"/>
      <w:lvlText w:val="•"/>
      <w:lvlJc w:val="left"/>
      <w:pPr>
        <w:tabs>
          <w:tab w:val="num" w:pos="2160"/>
        </w:tabs>
        <w:ind w:left="2160" w:hanging="360"/>
      </w:pPr>
      <w:rPr>
        <w:rFonts w:ascii="Arial" w:hAnsi="Arial" w:cs="Times New Roman" w:hint="default"/>
      </w:rPr>
    </w:lvl>
    <w:lvl w:ilvl="3" w:tplc="F6608CDC">
      <w:start w:val="1"/>
      <w:numFmt w:val="bullet"/>
      <w:lvlText w:val="•"/>
      <w:lvlJc w:val="left"/>
      <w:pPr>
        <w:tabs>
          <w:tab w:val="num" w:pos="2880"/>
        </w:tabs>
        <w:ind w:left="2880" w:hanging="360"/>
      </w:pPr>
      <w:rPr>
        <w:rFonts w:ascii="Arial" w:hAnsi="Arial" w:cs="Times New Roman" w:hint="default"/>
      </w:rPr>
    </w:lvl>
    <w:lvl w:ilvl="4" w:tplc="68785162">
      <w:start w:val="1"/>
      <w:numFmt w:val="bullet"/>
      <w:lvlText w:val="•"/>
      <w:lvlJc w:val="left"/>
      <w:pPr>
        <w:tabs>
          <w:tab w:val="num" w:pos="3600"/>
        </w:tabs>
        <w:ind w:left="3600" w:hanging="360"/>
      </w:pPr>
      <w:rPr>
        <w:rFonts w:ascii="Arial" w:hAnsi="Arial" w:cs="Times New Roman" w:hint="default"/>
      </w:rPr>
    </w:lvl>
    <w:lvl w:ilvl="5" w:tplc="A5C6103A">
      <w:start w:val="1"/>
      <w:numFmt w:val="bullet"/>
      <w:lvlText w:val="•"/>
      <w:lvlJc w:val="left"/>
      <w:pPr>
        <w:tabs>
          <w:tab w:val="num" w:pos="4320"/>
        </w:tabs>
        <w:ind w:left="4320" w:hanging="360"/>
      </w:pPr>
      <w:rPr>
        <w:rFonts w:ascii="Arial" w:hAnsi="Arial" w:cs="Times New Roman" w:hint="default"/>
      </w:rPr>
    </w:lvl>
    <w:lvl w:ilvl="6" w:tplc="DBD64572">
      <w:start w:val="1"/>
      <w:numFmt w:val="bullet"/>
      <w:lvlText w:val="•"/>
      <w:lvlJc w:val="left"/>
      <w:pPr>
        <w:tabs>
          <w:tab w:val="num" w:pos="5040"/>
        </w:tabs>
        <w:ind w:left="5040" w:hanging="360"/>
      </w:pPr>
      <w:rPr>
        <w:rFonts w:ascii="Arial" w:hAnsi="Arial" w:cs="Times New Roman" w:hint="default"/>
      </w:rPr>
    </w:lvl>
    <w:lvl w:ilvl="7" w:tplc="8514CC30">
      <w:start w:val="1"/>
      <w:numFmt w:val="bullet"/>
      <w:lvlText w:val="•"/>
      <w:lvlJc w:val="left"/>
      <w:pPr>
        <w:tabs>
          <w:tab w:val="num" w:pos="5760"/>
        </w:tabs>
        <w:ind w:left="5760" w:hanging="360"/>
      </w:pPr>
      <w:rPr>
        <w:rFonts w:ascii="Arial" w:hAnsi="Arial" w:cs="Times New Roman" w:hint="default"/>
      </w:rPr>
    </w:lvl>
    <w:lvl w:ilvl="8" w:tplc="0400B3E8">
      <w:start w:val="1"/>
      <w:numFmt w:val="bullet"/>
      <w:lvlText w:val="•"/>
      <w:lvlJc w:val="left"/>
      <w:pPr>
        <w:tabs>
          <w:tab w:val="num" w:pos="6480"/>
        </w:tabs>
        <w:ind w:left="6480" w:hanging="360"/>
      </w:pPr>
      <w:rPr>
        <w:rFonts w:ascii="Arial" w:hAnsi="Arial" w:cs="Times New Roman" w:hint="default"/>
      </w:rPr>
    </w:lvl>
  </w:abstractNum>
  <w:abstractNum w:abstractNumId="22">
    <w:nsid w:val="76AE4090"/>
    <w:multiLevelType w:val="hybridMultilevel"/>
    <w:tmpl w:val="3202CA9E"/>
    <w:lvl w:ilvl="0" w:tplc="04050005">
      <w:start w:val="1"/>
      <w:numFmt w:val="bullet"/>
      <w:lvlText w:val=""/>
      <w:lvlJc w:val="left"/>
      <w:pPr>
        <w:tabs>
          <w:tab w:val="num" w:pos="720"/>
        </w:tabs>
        <w:ind w:left="720" w:hanging="360"/>
      </w:pPr>
      <w:rPr>
        <w:rFonts w:ascii="Wingdings" w:hAnsi="Wingdings" w:cs="Wingdings" w:hint="default"/>
      </w:rPr>
    </w:lvl>
    <w:lvl w:ilvl="1" w:tplc="3D0EAA8E">
      <w:start w:val="1"/>
      <w:numFmt w:val="bullet"/>
      <w:lvlText w:val="•"/>
      <w:lvlJc w:val="left"/>
      <w:pPr>
        <w:tabs>
          <w:tab w:val="num" w:pos="1440"/>
        </w:tabs>
        <w:ind w:left="1440" w:hanging="360"/>
      </w:pPr>
      <w:rPr>
        <w:rFonts w:ascii="Arial" w:hAnsi="Arial" w:cs="Times New Roman" w:hint="default"/>
      </w:rPr>
    </w:lvl>
    <w:lvl w:ilvl="2" w:tplc="B4CC817C">
      <w:start w:val="1"/>
      <w:numFmt w:val="bullet"/>
      <w:lvlText w:val="•"/>
      <w:lvlJc w:val="left"/>
      <w:pPr>
        <w:tabs>
          <w:tab w:val="num" w:pos="2160"/>
        </w:tabs>
        <w:ind w:left="2160" w:hanging="360"/>
      </w:pPr>
      <w:rPr>
        <w:rFonts w:ascii="Arial" w:hAnsi="Arial" w:cs="Times New Roman" w:hint="default"/>
      </w:rPr>
    </w:lvl>
    <w:lvl w:ilvl="3" w:tplc="E3944730">
      <w:start w:val="1"/>
      <w:numFmt w:val="bullet"/>
      <w:lvlText w:val="•"/>
      <w:lvlJc w:val="left"/>
      <w:pPr>
        <w:tabs>
          <w:tab w:val="num" w:pos="2880"/>
        </w:tabs>
        <w:ind w:left="2880" w:hanging="360"/>
      </w:pPr>
      <w:rPr>
        <w:rFonts w:ascii="Arial" w:hAnsi="Arial" w:cs="Times New Roman" w:hint="default"/>
      </w:rPr>
    </w:lvl>
    <w:lvl w:ilvl="4" w:tplc="8188C402">
      <w:start w:val="1"/>
      <w:numFmt w:val="bullet"/>
      <w:lvlText w:val="•"/>
      <w:lvlJc w:val="left"/>
      <w:pPr>
        <w:tabs>
          <w:tab w:val="num" w:pos="3600"/>
        </w:tabs>
        <w:ind w:left="3600" w:hanging="360"/>
      </w:pPr>
      <w:rPr>
        <w:rFonts w:ascii="Arial" w:hAnsi="Arial" w:cs="Times New Roman" w:hint="default"/>
      </w:rPr>
    </w:lvl>
    <w:lvl w:ilvl="5" w:tplc="19785CFC">
      <w:start w:val="1"/>
      <w:numFmt w:val="bullet"/>
      <w:lvlText w:val="•"/>
      <w:lvlJc w:val="left"/>
      <w:pPr>
        <w:tabs>
          <w:tab w:val="num" w:pos="4320"/>
        </w:tabs>
        <w:ind w:left="4320" w:hanging="360"/>
      </w:pPr>
      <w:rPr>
        <w:rFonts w:ascii="Arial" w:hAnsi="Arial" w:cs="Times New Roman" w:hint="default"/>
      </w:rPr>
    </w:lvl>
    <w:lvl w:ilvl="6" w:tplc="87C05032">
      <w:start w:val="1"/>
      <w:numFmt w:val="bullet"/>
      <w:lvlText w:val="•"/>
      <w:lvlJc w:val="left"/>
      <w:pPr>
        <w:tabs>
          <w:tab w:val="num" w:pos="5040"/>
        </w:tabs>
        <w:ind w:left="5040" w:hanging="360"/>
      </w:pPr>
      <w:rPr>
        <w:rFonts w:ascii="Arial" w:hAnsi="Arial" w:cs="Times New Roman" w:hint="default"/>
      </w:rPr>
    </w:lvl>
    <w:lvl w:ilvl="7" w:tplc="EA1CC996">
      <w:start w:val="1"/>
      <w:numFmt w:val="bullet"/>
      <w:lvlText w:val="•"/>
      <w:lvlJc w:val="left"/>
      <w:pPr>
        <w:tabs>
          <w:tab w:val="num" w:pos="5760"/>
        </w:tabs>
        <w:ind w:left="5760" w:hanging="360"/>
      </w:pPr>
      <w:rPr>
        <w:rFonts w:ascii="Arial" w:hAnsi="Arial" w:cs="Times New Roman" w:hint="default"/>
      </w:rPr>
    </w:lvl>
    <w:lvl w:ilvl="8" w:tplc="021C521E">
      <w:start w:val="1"/>
      <w:numFmt w:val="bullet"/>
      <w:lvlText w:val="•"/>
      <w:lvlJc w:val="left"/>
      <w:pPr>
        <w:tabs>
          <w:tab w:val="num" w:pos="6480"/>
        </w:tabs>
        <w:ind w:left="6480" w:hanging="360"/>
      </w:pPr>
      <w:rPr>
        <w:rFonts w:ascii="Arial" w:hAnsi="Arial" w:cs="Times New Roman" w:hint="default"/>
      </w:rPr>
    </w:lvl>
  </w:abstractNum>
  <w:abstractNum w:abstractNumId="23">
    <w:nsid w:val="790740F1"/>
    <w:multiLevelType w:val="hybridMultilevel"/>
    <w:tmpl w:val="32287300"/>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7AF67EE3"/>
    <w:multiLevelType w:val="hybridMultilevel"/>
    <w:tmpl w:val="1E227B6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nsid w:val="7E7B0C53"/>
    <w:multiLevelType w:val="hybridMultilevel"/>
    <w:tmpl w:val="D8E0AFCE"/>
    <w:lvl w:ilvl="0" w:tplc="2C760790">
      <w:start w:val="1"/>
      <w:numFmt w:val="bullet"/>
      <w:lvlText w:val="•"/>
      <w:lvlJc w:val="left"/>
      <w:pPr>
        <w:tabs>
          <w:tab w:val="num" w:pos="720"/>
        </w:tabs>
        <w:ind w:left="720" w:hanging="360"/>
      </w:pPr>
      <w:rPr>
        <w:rFonts w:ascii="Arial" w:hAnsi="Arial" w:cs="Times New Roman"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64BE2C70">
      <w:start w:val="1"/>
      <w:numFmt w:val="bullet"/>
      <w:lvlText w:val="•"/>
      <w:lvlJc w:val="left"/>
      <w:pPr>
        <w:tabs>
          <w:tab w:val="num" w:pos="2160"/>
        </w:tabs>
        <w:ind w:left="2160" w:hanging="360"/>
      </w:pPr>
      <w:rPr>
        <w:rFonts w:ascii="Arial" w:hAnsi="Arial" w:cs="Times New Roman" w:hint="default"/>
      </w:rPr>
    </w:lvl>
    <w:lvl w:ilvl="3" w:tplc="117874E4">
      <w:start w:val="1"/>
      <w:numFmt w:val="bullet"/>
      <w:lvlText w:val="•"/>
      <w:lvlJc w:val="left"/>
      <w:pPr>
        <w:tabs>
          <w:tab w:val="num" w:pos="2880"/>
        </w:tabs>
        <w:ind w:left="2880" w:hanging="360"/>
      </w:pPr>
      <w:rPr>
        <w:rFonts w:ascii="Arial" w:hAnsi="Arial" w:cs="Times New Roman" w:hint="default"/>
      </w:rPr>
    </w:lvl>
    <w:lvl w:ilvl="4" w:tplc="F22C3308">
      <w:start w:val="1"/>
      <w:numFmt w:val="bullet"/>
      <w:lvlText w:val="•"/>
      <w:lvlJc w:val="left"/>
      <w:pPr>
        <w:tabs>
          <w:tab w:val="num" w:pos="3600"/>
        </w:tabs>
        <w:ind w:left="3600" w:hanging="360"/>
      </w:pPr>
      <w:rPr>
        <w:rFonts w:ascii="Arial" w:hAnsi="Arial" w:cs="Times New Roman" w:hint="default"/>
      </w:rPr>
    </w:lvl>
    <w:lvl w:ilvl="5" w:tplc="337C93E2">
      <w:start w:val="1"/>
      <w:numFmt w:val="bullet"/>
      <w:lvlText w:val="•"/>
      <w:lvlJc w:val="left"/>
      <w:pPr>
        <w:tabs>
          <w:tab w:val="num" w:pos="4320"/>
        </w:tabs>
        <w:ind w:left="4320" w:hanging="360"/>
      </w:pPr>
      <w:rPr>
        <w:rFonts w:ascii="Arial" w:hAnsi="Arial" w:cs="Times New Roman" w:hint="default"/>
      </w:rPr>
    </w:lvl>
    <w:lvl w:ilvl="6" w:tplc="C50AAAA2">
      <w:start w:val="1"/>
      <w:numFmt w:val="bullet"/>
      <w:lvlText w:val="•"/>
      <w:lvlJc w:val="left"/>
      <w:pPr>
        <w:tabs>
          <w:tab w:val="num" w:pos="5040"/>
        </w:tabs>
        <w:ind w:left="5040" w:hanging="360"/>
      </w:pPr>
      <w:rPr>
        <w:rFonts w:ascii="Arial" w:hAnsi="Arial" w:cs="Times New Roman" w:hint="default"/>
      </w:rPr>
    </w:lvl>
    <w:lvl w:ilvl="7" w:tplc="8A6CE64E">
      <w:start w:val="1"/>
      <w:numFmt w:val="bullet"/>
      <w:lvlText w:val="•"/>
      <w:lvlJc w:val="left"/>
      <w:pPr>
        <w:tabs>
          <w:tab w:val="num" w:pos="5760"/>
        </w:tabs>
        <w:ind w:left="5760" w:hanging="360"/>
      </w:pPr>
      <w:rPr>
        <w:rFonts w:ascii="Arial" w:hAnsi="Arial" w:cs="Times New Roman" w:hint="default"/>
      </w:rPr>
    </w:lvl>
    <w:lvl w:ilvl="8" w:tplc="C9B810B6">
      <w:start w:val="1"/>
      <w:numFmt w:val="bullet"/>
      <w:lvlText w:val="•"/>
      <w:lvlJc w:val="left"/>
      <w:pPr>
        <w:tabs>
          <w:tab w:val="num" w:pos="6480"/>
        </w:tabs>
        <w:ind w:left="6480" w:hanging="360"/>
      </w:pPr>
      <w:rPr>
        <w:rFonts w:ascii="Arial" w:hAnsi="Arial" w:cs="Times New Roman" w:hint="default"/>
      </w:rPr>
    </w:lvl>
  </w:abstractNum>
  <w:num w:numId="1">
    <w:abstractNumId w:val="13"/>
  </w:num>
  <w:num w:numId="2">
    <w:abstractNumId w:val="25"/>
  </w:num>
  <w:num w:numId="3">
    <w:abstractNumId w:val="20"/>
  </w:num>
  <w:num w:numId="4">
    <w:abstractNumId w:val="16"/>
  </w:num>
  <w:num w:numId="5">
    <w:abstractNumId w:val="14"/>
  </w:num>
  <w:num w:numId="6">
    <w:abstractNumId w:val="22"/>
  </w:num>
  <w:num w:numId="7">
    <w:abstractNumId w:val="5"/>
  </w:num>
  <w:num w:numId="8">
    <w:abstractNumId w:val="23"/>
  </w:num>
  <w:num w:numId="9">
    <w:abstractNumId w:val="9"/>
  </w:num>
  <w:num w:numId="10">
    <w:abstractNumId w:val="6"/>
  </w:num>
  <w:num w:numId="11">
    <w:abstractNumId w:val="15"/>
  </w:num>
  <w:num w:numId="12">
    <w:abstractNumId w:val="4"/>
  </w:num>
  <w:num w:numId="13">
    <w:abstractNumId w:val="11"/>
  </w:num>
  <w:num w:numId="14">
    <w:abstractNumId w:val="7"/>
  </w:num>
  <w:num w:numId="15">
    <w:abstractNumId w:val="0"/>
  </w:num>
  <w:num w:numId="16">
    <w:abstractNumId w:val="12"/>
  </w:num>
  <w:num w:numId="17">
    <w:abstractNumId w:val="18"/>
  </w:num>
  <w:num w:numId="18">
    <w:abstractNumId w:val="3"/>
  </w:num>
  <w:num w:numId="19">
    <w:abstractNumId w:val="17"/>
  </w:num>
  <w:num w:numId="20">
    <w:abstractNumId w:val="24"/>
  </w:num>
  <w:num w:numId="21">
    <w:abstractNumId w:val="8"/>
  </w:num>
  <w:num w:numId="22">
    <w:abstractNumId w:val="21"/>
  </w:num>
  <w:num w:numId="23">
    <w:abstractNumId w:val="1"/>
    <w:lvlOverride w:ilvl="0">
      <w:startOverride w:val="1"/>
    </w:lvlOverride>
    <w:lvlOverride w:ilvl="1"/>
    <w:lvlOverride w:ilvl="2">
      <w:startOverride w:val="1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BD5CDA"/>
    <w:rsid w:val="00043C19"/>
    <w:rsid w:val="00050623"/>
    <w:rsid w:val="000633F1"/>
    <w:rsid w:val="00087AE5"/>
    <w:rsid w:val="000C7A2C"/>
    <w:rsid w:val="000C7CE5"/>
    <w:rsid w:val="00105061"/>
    <w:rsid w:val="00112FEB"/>
    <w:rsid w:val="0014239B"/>
    <w:rsid w:val="00161AA0"/>
    <w:rsid w:val="00163029"/>
    <w:rsid w:val="001678D7"/>
    <w:rsid w:val="001B2C4F"/>
    <w:rsid w:val="001B7159"/>
    <w:rsid w:val="001F3C73"/>
    <w:rsid w:val="001F7016"/>
    <w:rsid w:val="00200235"/>
    <w:rsid w:val="002008B8"/>
    <w:rsid w:val="00204C27"/>
    <w:rsid w:val="00236B1B"/>
    <w:rsid w:val="00260989"/>
    <w:rsid w:val="002A656E"/>
    <w:rsid w:val="002F4EF8"/>
    <w:rsid w:val="002F57DD"/>
    <w:rsid w:val="00302357"/>
    <w:rsid w:val="00311170"/>
    <w:rsid w:val="0032149C"/>
    <w:rsid w:val="00370042"/>
    <w:rsid w:val="0037597B"/>
    <w:rsid w:val="00387C04"/>
    <w:rsid w:val="00397121"/>
    <w:rsid w:val="003D33C5"/>
    <w:rsid w:val="003D7D28"/>
    <w:rsid w:val="00446CBB"/>
    <w:rsid w:val="0048301D"/>
    <w:rsid w:val="004A3F94"/>
    <w:rsid w:val="004E2F34"/>
    <w:rsid w:val="00556CA1"/>
    <w:rsid w:val="00565EDA"/>
    <w:rsid w:val="00572ABD"/>
    <w:rsid w:val="00573862"/>
    <w:rsid w:val="005B15EE"/>
    <w:rsid w:val="005B57C4"/>
    <w:rsid w:val="00605D4F"/>
    <w:rsid w:val="006312FC"/>
    <w:rsid w:val="00666411"/>
    <w:rsid w:val="006739B6"/>
    <w:rsid w:val="007227DD"/>
    <w:rsid w:val="0072300B"/>
    <w:rsid w:val="007364CF"/>
    <w:rsid w:val="00747ED8"/>
    <w:rsid w:val="00753E3E"/>
    <w:rsid w:val="0077508F"/>
    <w:rsid w:val="0079491A"/>
    <w:rsid w:val="0079526E"/>
    <w:rsid w:val="007A340C"/>
    <w:rsid w:val="007D313F"/>
    <w:rsid w:val="007E2F73"/>
    <w:rsid w:val="008353F0"/>
    <w:rsid w:val="00851621"/>
    <w:rsid w:val="0089354C"/>
    <w:rsid w:val="008D3BF4"/>
    <w:rsid w:val="00911FA0"/>
    <w:rsid w:val="0091796D"/>
    <w:rsid w:val="009256AC"/>
    <w:rsid w:val="0095526E"/>
    <w:rsid w:val="00991F03"/>
    <w:rsid w:val="00997220"/>
    <w:rsid w:val="009B0ABC"/>
    <w:rsid w:val="009B5B0B"/>
    <w:rsid w:val="009C76B8"/>
    <w:rsid w:val="009E13D6"/>
    <w:rsid w:val="009F743C"/>
    <w:rsid w:val="00A00547"/>
    <w:rsid w:val="00A0724A"/>
    <w:rsid w:val="00A1240E"/>
    <w:rsid w:val="00A444DC"/>
    <w:rsid w:val="00A60489"/>
    <w:rsid w:val="00A657EF"/>
    <w:rsid w:val="00B1368C"/>
    <w:rsid w:val="00B53174"/>
    <w:rsid w:val="00B54F2E"/>
    <w:rsid w:val="00B62414"/>
    <w:rsid w:val="00B76037"/>
    <w:rsid w:val="00BB33B9"/>
    <w:rsid w:val="00BD5CDA"/>
    <w:rsid w:val="00C3573C"/>
    <w:rsid w:val="00C55566"/>
    <w:rsid w:val="00C61DBF"/>
    <w:rsid w:val="00C67475"/>
    <w:rsid w:val="00C816CE"/>
    <w:rsid w:val="00C923CF"/>
    <w:rsid w:val="00CC5B4A"/>
    <w:rsid w:val="00CD0043"/>
    <w:rsid w:val="00CF0C84"/>
    <w:rsid w:val="00D14F42"/>
    <w:rsid w:val="00D32D6D"/>
    <w:rsid w:val="00D3446D"/>
    <w:rsid w:val="00D66975"/>
    <w:rsid w:val="00DC26F8"/>
    <w:rsid w:val="00E83F0E"/>
    <w:rsid w:val="00EA5557"/>
    <w:rsid w:val="00EC75F1"/>
    <w:rsid w:val="00ED121D"/>
    <w:rsid w:val="00ED5253"/>
    <w:rsid w:val="00F25257"/>
    <w:rsid w:val="00FD2DC5"/>
    <w:rsid w:val="00FD2E0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A00547"/>
  </w:style>
  <w:style w:type="paragraph" w:styleId="Odsekzoznamu">
    <w:name w:val="List Paragraph"/>
    <w:aliases w:val="body,Odsek zoznamu2"/>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lang w:val="sk-SK"/>
    </w:rPr>
  </w:style>
  <w:style w:type="table" w:styleId="Mriekatabuky">
    <w:name w:val="Table Grid"/>
    <w:basedOn w:val="Normlnatabuka"/>
    <w:uiPriority w:val="59"/>
    <w:rsid w:val="00A0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A00547"/>
  </w:style>
  <w:style w:type="paragraph" w:styleId="Odsekzoznamu">
    <w:name w:val="List Paragraph"/>
    <w:aliases w:val="body,Odsek zoznamu2"/>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lang w:val="sk-SK"/>
    </w:rPr>
  </w:style>
  <w:style w:type="table" w:styleId="Mriekatabuky">
    <w:name w:val="Table Grid"/>
    <w:basedOn w:val="Normlnatabuka"/>
    <w:uiPriority w:val="59"/>
    <w:rsid w:val="00A0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839554">
      <w:bodyDiv w:val="1"/>
      <w:marLeft w:val="0"/>
      <w:marRight w:val="0"/>
      <w:marTop w:val="0"/>
      <w:marBottom w:val="0"/>
      <w:divBdr>
        <w:top w:val="none" w:sz="0" w:space="0" w:color="auto"/>
        <w:left w:val="none" w:sz="0" w:space="0" w:color="auto"/>
        <w:bottom w:val="none" w:sz="0" w:space="0" w:color="auto"/>
        <w:right w:val="none" w:sz="0" w:space="0" w:color="auto"/>
      </w:divBdr>
    </w:div>
    <w:div w:id="1667896336">
      <w:bodyDiv w:val="1"/>
      <w:marLeft w:val="0"/>
      <w:marRight w:val="0"/>
      <w:marTop w:val="0"/>
      <w:marBottom w:val="0"/>
      <w:divBdr>
        <w:top w:val="none" w:sz="0" w:space="0" w:color="auto"/>
        <w:left w:val="none" w:sz="0" w:space="0" w:color="auto"/>
        <w:bottom w:val="none" w:sz="0" w:space="0" w:color="auto"/>
        <w:right w:val="none" w:sz="0" w:space="0" w:color="auto"/>
      </w:divBdr>
    </w:div>
    <w:div w:id="2138260374">
      <w:bodyDiv w:val="1"/>
      <w:marLeft w:val="0"/>
      <w:marRight w:val="0"/>
      <w:marTop w:val="0"/>
      <w:marBottom w:val="0"/>
      <w:divBdr>
        <w:top w:val="none" w:sz="0" w:space="0" w:color="auto"/>
        <w:left w:val="none" w:sz="0" w:space="0" w:color="auto"/>
        <w:bottom w:val="none" w:sz="0" w:space="0" w:color="auto"/>
        <w:right w:val="none" w:sz="0" w:space="0" w:color="auto"/>
      </w:divBdr>
      <w:divsChild>
        <w:div w:id="1329794696">
          <w:marLeft w:val="0"/>
          <w:marRight w:val="0"/>
          <w:marTop w:val="0"/>
          <w:marBottom w:val="0"/>
          <w:divBdr>
            <w:top w:val="none" w:sz="0" w:space="0" w:color="auto"/>
            <w:left w:val="none" w:sz="0" w:space="0" w:color="auto"/>
            <w:bottom w:val="none" w:sz="0" w:space="0" w:color="auto"/>
            <w:right w:val="none" w:sz="0" w:space="0" w:color="auto"/>
          </w:divBdr>
          <w:divsChild>
            <w:div w:id="1062799162">
              <w:marLeft w:val="0"/>
              <w:marRight w:val="0"/>
              <w:marTop w:val="0"/>
              <w:marBottom w:val="0"/>
              <w:divBdr>
                <w:top w:val="none" w:sz="0" w:space="0" w:color="auto"/>
                <w:left w:val="none" w:sz="0" w:space="0" w:color="auto"/>
                <w:bottom w:val="none" w:sz="0" w:space="0" w:color="auto"/>
                <w:right w:val="none" w:sz="0" w:space="0" w:color="auto"/>
              </w:divBdr>
              <w:divsChild>
                <w:div w:id="9576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9BFE-0B2C-4CE7-9DAD-1F193401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5607</Words>
  <Characters>31962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37495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Zuzana</dc:creator>
  <cp:lastModifiedBy>krizova</cp:lastModifiedBy>
  <cp:revision>24</cp:revision>
  <cp:lastPrinted>2015-07-21T07:29:00Z</cp:lastPrinted>
  <dcterms:created xsi:type="dcterms:W3CDTF">2015-05-15T09:05:00Z</dcterms:created>
  <dcterms:modified xsi:type="dcterms:W3CDTF">2015-07-21T07:31:00Z</dcterms:modified>
</cp:coreProperties>
</file>