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F9" w:rsidRPr="006F6A99" w:rsidRDefault="002B4730" w:rsidP="002D4DF9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b/>
          <w:bCs/>
          <w:sz w:val="28"/>
          <w:szCs w:val="28"/>
          <w:lang w:val="sk-SK"/>
        </w:rPr>
        <w:t xml:space="preserve"> </w:t>
      </w:r>
      <w:r w:rsidR="002D4DF9" w:rsidRPr="006F6A99">
        <w:rPr>
          <w:b/>
          <w:bCs/>
          <w:sz w:val="28"/>
          <w:szCs w:val="28"/>
          <w:lang w:val="sk-SK"/>
        </w:rPr>
        <w:t>Vplyvy na rozpočet verejnej správy,</w:t>
      </w:r>
    </w:p>
    <w:p w:rsidR="002D4DF9" w:rsidRPr="006F6A99" w:rsidRDefault="002D4DF9" w:rsidP="002D4DF9">
      <w:pPr>
        <w:jc w:val="center"/>
        <w:rPr>
          <w:b/>
          <w:bCs/>
          <w:sz w:val="28"/>
          <w:szCs w:val="28"/>
          <w:lang w:val="sk-SK"/>
        </w:rPr>
      </w:pPr>
      <w:r w:rsidRPr="006F6A99"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rPr>
          <w:b/>
          <w:lang w:val="sk-SK"/>
        </w:rPr>
      </w:pPr>
      <w:r w:rsidRPr="006F6A99">
        <w:rPr>
          <w:b/>
          <w:lang w:val="sk-SK"/>
        </w:rPr>
        <w:t>2.1. Zhrnutie vplyvov na rozpočet verejnej správy v návrhu</w:t>
      </w:r>
    </w:p>
    <w:p w:rsidR="002D4DF9" w:rsidRPr="006F6A99" w:rsidRDefault="002D4DF9" w:rsidP="002D4DF9">
      <w:pPr>
        <w:jc w:val="right"/>
        <w:rPr>
          <w:sz w:val="20"/>
          <w:szCs w:val="20"/>
          <w:lang w:val="sk-SK"/>
        </w:rPr>
      </w:pPr>
      <w:r w:rsidRPr="006F6A99">
        <w:rPr>
          <w:sz w:val="20"/>
          <w:szCs w:val="20"/>
          <w:lang w:val="sk-SK"/>
        </w:rPr>
        <w:t xml:space="preserve">Tabuľka č. 1 </w:t>
      </w:r>
    </w:p>
    <w:tbl>
      <w:tblPr>
        <w:tblW w:w="14002" w:type="dxa"/>
        <w:jc w:val="center"/>
        <w:tblInd w:w="-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9"/>
        <w:gridCol w:w="673"/>
        <w:gridCol w:w="1774"/>
        <w:gridCol w:w="1632"/>
        <w:gridCol w:w="1704"/>
      </w:tblGrid>
      <w:tr w:rsidR="002D4DF9" w:rsidRPr="006F6A99" w:rsidTr="00C17A11">
        <w:trPr>
          <w:cantSplit/>
          <w:trHeight w:val="194"/>
          <w:jc w:val="center"/>
        </w:trPr>
        <w:tc>
          <w:tcPr>
            <w:tcW w:w="8219" w:type="dxa"/>
            <w:vMerge w:val="restart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bookmarkStart w:id="1" w:name="OLE_LINK1"/>
            <w:r w:rsidRPr="006F6A99">
              <w:rPr>
                <w:b/>
                <w:bCs/>
                <w:color w:val="FFFFFF"/>
                <w:lang w:val="sk-SK"/>
              </w:rPr>
              <w:t xml:space="preserve">Vplyvy na </w:t>
            </w:r>
            <w:r w:rsidRPr="006F6A99">
              <w:rPr>
                <w:b/>
                <w:bCs/>
                <w:lang w:val="sk-SK"/>
              </w:rPr>
              <w:t>rozpočet verejnej správy</w:t>
            </w:r>
          </w:p>
        </w:tc>
        <w:tc>
          <w:tcPr>
            <w:tcW w:w="5783" w:type="dxa"/>
            <w:gridSpan w:val="4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b/>
                <w:bCs/>
                <w:lang w:val="sk-SK"/>
              </w:rPr>
              <w:t>(v eurách)</w:t>
            </w:r>
          </w:p>
        </w:tc>
      </w:tr>
      <w:tr w:rsidR="002D4DF9" w:rsidRPr="006F6A99" w:rsidTr="00C17A11">
        <w:trPr>
          <w:cantSplit/>
          <w:trHeight w:val="70"/>
          <w:jc w:val="center"/>
        </w:trPr>
        <w:tc>
          <w:tcPr>
            <w:tcW w:w="8219" w:type="dxa"/>
            <w:vMerge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673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774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632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704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shd w:val="clear" w:color="auto" w:fill="C0C0C0"/>
            <w:noWrap/>
            <w:vAlign w:val="center"/>
          </w:tcPr>
          <w:p w:rsidR="002D4DF9" w:rsidRPr="006F6A99" w:rsidRDefault="002D4DF9" w:rsidP="00C17A11">
            <w:pPr>
              <w:rPr>
                <w:lang w:val="sk-SK"/>
              </w:rPr>
            </w:pPr>
            <w:r w:rsidRPr="006F6A99"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673" w:type="dxa"/>
            <w:shd w:val="clear" w:color="auto" w:fill="C0C0C0"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0</w:t>
            </w:r>
          </w:p>
        </w:tc>
        <w:tc>
          <w:tcPr>
            <w:tcW w:w="1774" w:type="dxa"/>
            <w:shd w:val="clear" w:color="auto" w:fill="C0C0C0"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435 191 194</w:t>
            </w:r>
          </w:p>
        </w:tc>
        <w:tc>
          <w:tcPr>
            <w:tcW w:w="1632" w:type="dxa"/>
            <w:shd w:val="clear" w:color="auto" w:fill="C0C0C0"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446 220 754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445 308 631</w:t>
            </w:r>
          </w:p>
        </w:tc>
      </w:tr>
      <w:tr w:rsidR="002D4DF9" w:rsidRPr="006F6A99" w:rsidTr="00C17A11">
        <w:trPr>
          <w:trHeight w:val="132"/>
          <w:jc w:val="center"/>
        </w:trPr>
        <w:tc>
          <w:tcPr>
            <w:tcW w:w="8219" w:type="dxa"/>
            <w:noWrap/>
            <w:vAlign w:val="center"/>
          </w:tcPr>
          <w:p w:rsidR="002D4DF9" w:rsidRPr="006F6A99" w:rsidRDefault="002D4DF9" w:rsidP="00C17A11">
            <w:pPr>
              <w:rPr>
                <w:lang w:val="sk-SK"/>
              </w:rPr>
            </w:pPr>
            <w:r w:rsidRPr="006F6A99">
              <w:rPr>
                <w:lang w:val="sk-SK"/>
              </w:rPr>
              <w:t xml:space="preserve">v tom: </w:t>
            </w:r>
            <w:r>
              <w:rPr>
                <w:lang w:val="sk-SK"/>
              </w:rPr>
              <w:t>MPRV SR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lang w:val="sk-SK"/>
              </w:rPr>
            </w:pPr>
            <w:r w:rsidRPr="00C53169">
              <w:rPr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435 191 194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446 220 754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445 308 631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 xml:space="preserve">z toho:  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2D4DF9" w:rsidRPr="006F6A99" w:rsidTr="00C17A11">
        <w:trPr>
          <w:trHeight w:val="125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 w:rsidR="00A300C8">
              <w:rPr>
                <w:b/>
                <w:bCs/>
                <w:i/>
                <w:iCs/>
                <w:lang w:val="sk-SK"/>
              </w:rPr>
              <w:t>_1AG1</w:t>
            </w:r>
            <w:r>
              <w:rPr>
                <w:b/>
                <w:bCs/>
                <w:i/>
                <w:iCs/>
                <w:lang w:val="sk-SK"/>
              </w:rPr>
              <w:t>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7 438 267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3 719 059</w:t>
            </w:r>
          </w:p>
        </w:tc>
      </w:tr>
      <w:tr w:rsidR="002D4DF9" w:rsidRPr="006F6A99" w:rsidTr="00C17A11">
        <w:trPr>
          <w:trHeight w:val="125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 w:rsidR="00A300C8">
              <w:rPr>
                <w:b/>
                <w:bCs/>
                <w:i/>
                <w:iCs/>
                <w:lang w:val="sk-SK"/>
              </w:rPr>
              <w:t>_1AG1</w:t>
            </w:r>
            <w:r>
              <w:rPr>
                <w:b/>
                <w:bCs/>
                <w:i/>
                <w:iCs/>
                <w:lang w:val="sk-SK"/>
              </w:rPr>
              <w:t>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483 487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111 572</w:t>
            </w:r>
          </w:p>
        </w:tc>
      </w:tr>
      <w:tr w:rsidR="002D4DF9" w:rsidRPr="006F6A99" w:rsidTr="00C17A11">
        <w:trPr>
          <w:trHeight w:val="125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 w:rsidR="00A300C8">
              <w:rPr>
                <w:b/>
                <w:bCs/>
                <w:i/>
                <w:iCs/>
                <w:lang w:val="sk-SK"/>
              </w:rPr>
              <w:t>_1AD1</w:t>
            </w:r>
            <w:r>
              <w:rPr>
                <w:b/>
                <w:bCs/>
                <w:i/>
                <w:iCs/>
                <w:lang w:val="sk-SK"/>
              </w:rPr>
              <w:t>-PP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435 191 194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438 299 000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441 478 000</w:t>
            </w:r>
          </w:p>
        </w:tc>
      </w:tr>
      <w:tr w:rsidR="002D4DF9" w:rsidRPr="006F6A99" w:rsidTr="00C17A11">
        <w:trPr>
          <w:trHeight w:val="125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0</w:t>
            </w:r>
          </w:p>
        </w:tc>
      </w:tr>
      <w:tr w:rsidR="002D4DF9" w:rsidRPr="006F6A99" w:rsidTr="00C17A11">
        <w:trPr>
          <w:trHeight w:val="125"/>
          <w:jc w:val="center"/>
        </w:trPr>
        <w:tc>
          <w:tcPr>
            <w:tcW w:w="8219" w:type="dxa"/>
            <w:shd w:val="clear" w:color="auto" w:fill="C0C0C0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673" w:type="dxa"/>
            <w:shd w:val="clear" w:color="auto" w:fill="C0C0C0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0</w:t>
            </w:r>
          </w:p>
        </w:tc>
        <w:tc>
          <w:tcPr>
            <w:tcW w:w="1774" w:type="dxa"/>
            <w:shd w:val="clear" w:color="auto" w:fill="C0C0C0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632" w:type="dxa"/>
            <w:shd w:val="clear" w:color="auto" w:fill="C0C0C0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704" w:type="dxa"/>
            <w:shd w:val="clear" w:color="auto" w:fill="C0C0C0"/>
            <w:noWrap/>
            <w:vAlign w:val="center"/>
          </w:tcPr>
          <w:p w:rsidR="002D4DF9" w:rsidRPr="000864E0" w:rsidRDefault="002D4DF9" w:rsidP="00B16CB8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468</w:t>
            </w:r>
            <w:r w:rsidR="00B16CB8">
              <w:rPr>
                <w:b/>
                <w:bCs/>
                <w:lang w:val="sk-SK"/>
              </w:rPr>
              <w:t> 817 811</w:t>
            </w:r>
            <w:r w:rsidRPr="000864E0">
              <w:rPr>
                <w:b/>
                <w:bCs/>
                <w:lang w:val="sk-SK"/>
              </w:rPr>
              <w:t xml:space="preserve">   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 xml:space="preserve">v tom: </w:t>
            </w:r>
            <w:r>
              <w:rPr>
                <w:lang w:val="sk-SK"/>
              </w:rPr>
              <w:t>MPRV SR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lang w:val="sk-SK"/>
              </w:rPr>
            </w:pPr>
            <w:r w:rsidRPr="00C53169">
              <w:rPr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B16CB8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468</w:t>
            </w:r>
            <w:r>
              <w:rPr>
                <w:b/>
                <w:bCs/>
                <w:lang w:val="sk-SK"/>
              </w:rPr>
              <w:t> 817 811</w:t>
            </w:r>
            <w:r w:rsidRPr="000864E0">
              <w:rPr>
                <w:b/>
                <w:bCs/>
                <w:lang w:val="sk-SK"/>
              </w:rPr>
              <w:t xml:space="preserve">   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_1AG1/0CD0501-PRV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7 438 267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3 719 059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_1AG2/0CD0501-PRV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 xml:space="preserve"> 2 561 733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1 280 941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_1AG1/0CD0502-PRV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483 487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111 572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_1AG2/0CD0502-PRV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166 513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38 428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_1AD1/0CC0101-PP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435 191 194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438 299 000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441 478 000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_1AD2/0CC0101-PP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3 185 024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3 179 000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3 158 000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_1AI2/0CC0101-PP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19 083 631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19 057 985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19 031 811</w:t>
            </w:r>
          </w:p>
        </w:tc>
      </w:tr>
      <w:tr w:rsidR="002D4DF9" w:rsidRPr="006F6A99" w:rsidTr="00C17A11">
        <w:trPr>
          <w:trHeight w:val="125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0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shd w:val="clear" w:color="auto" w:fill="C0C0C0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673" w:type="dxa"/>
            <w:shd w:val="clear" w:color="auto" w:fill="C0C0C0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0</w:t>
            </w:r>
          </w:p>
        </w:tc>
        <w:tc>
          <w:tcPr>
            <w:tcW w:w="1774" w:type="dxa"/>
            <w:shd w:val="clear" w:color="auto" w:fill="C0C0C0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0</w:t>
            </w:r>
          </w:p>
        </w:tc>
        <w:tc>
          <w:tcPr>
            <w:tcW w:w="1632" w:type="dxa"/>
            <w:shd w:val="clear" w:color="auto" w:fill="C0C0C0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0</w:t>
            </w:r>
          </w:p>
        </w:tc>
        <w:tc>
          <w:tcPr>
            <w:tcW w:w="1704" w:type="dxa"/>
            <w:shd w:val="clear" w:color="auto" w:fill="C0C0C0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0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b/>
                <w:i/>
                <w:lang w:val="sk-SK"/>
              </w:rPr>
              <w:t>- z toho vplyv na ŠR</w:t>
            </w:r>
            <w:r w:rsidRPr="006964CB">
              <w:rPr>
                <w:lang w:val="sk-SK"/>
              </w:rPr>
              <w:t xml:space="preserve"> 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lang w:val="sk-SK"/>
              </w:rPr>
            </w:pPr>
            <w:r w:rsidRPr="00C53169">
              <w:rPr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lang w:val="sk-SK"/>
              </w:rPr>
            </w:pPr>
            <w:r w:rsidRPr="00C53169">
              <w:rPr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lang w:val="sk-SK"/>
              </w:rPr>
            </w:pPr>
            <w:r w:rsidRPr="000864E0">
              <w:rPr>
                <w:lang w:val="sk-SK"/>
              </w:rPr>
              <w:t>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lang w:val="sk-SK"/>
              </w:rPr>
            </w:pPr>
            <w:r w:rsidRPr="000864E0">
              <w:rPr>
                <w:lang w:val="sk-SK"/>
              </w:rPr>
              <w:t>0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shd w:val="clear" w:color="auto" w:fill="C0C0C0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673" w:type="dxa"/>
            <w:shd w:val="clear" w:color="auto" w:fill="C0C0C0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0</w:t>
            </w:r>
          </w:p>
        </w:tc>
        <w:tc>
          <w:tcPr>
            <w:tcW w:w="1774" w:type="dxa"/>
            <w:shd w:val="clear" w:color="auto" w:fill="C0C0C0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632" w:type="dxa"/>
            <w:shd w:val="clear" w:color="auto" w:fill="C0C0C0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704" w:type="dxa"/>
            <w:shd w:val="clear" w:color="auto" w:fill="C0C0C0"/>
            <w:noWrap/>
            <w:vAlign w:val="center"/>
          </w:tcPr>
          <w:p w:rsidR="002D4DF9" w:rsidRPr="000864E0" w:rsidRDefault="00F35DE4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468</w:t>
            </w:r>
            <w:r>
              <w:rPr>
                <w:b/>
                <w:bCs/>
                <w:lang w:val="sk-SK"/>
              </w:rPr>
              <w:t> 817 811</w:t>
            </w:r>
            <w:r w:rsidRPr="000864E0">
              <w:rPr>
                <w:b/>
                <w:bCs/>
                <w:lang w:val="sk-SK"/>
              </w:rPr>
              <w:t xml:space="preserve">   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v tom</w:t>
            </w:r>
            <w:r>
              <w:rPr>
                <w:lang w:val="sk-SK"/>
              </w:rPr>
              <w:t>: MPRV SR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lang w:val="sk-SK"/>
              </w:rPr>
            </w:pPr>
            <w:r w:rsidRPr="00C53169">
              <w:rPr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C5316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F35DE4" w:rsidP="00C17A11">
            <w:pPr>
              <w:jc w:val="right"/>
              <w:rPr>
                <w:b/>
                <w:bCs/>
                <w:lang w:val="sk-SK"/>
              </w:rPr>
            </w:pPr>
            <w:r w:rsidRPr="000864E0">
              <w:rPr>
                <w:b/>
                <w:bCs/>
                <w:lang w:val="sk-SK"/>
              </w:rPr>
              <w:t>468</w:t>
            </w:r>
            <w:r>
              <w:rPr>
                <w:b/>
                <w:bCs/>
                <w:lang w:val="sk-SK"/>
              </w:rPr>
              <w:t> 817 811</w:t>
            </w:r>
            <w:r w:rsidRPr="000864E0">
              <w:rPr>
                <w:b/>
                <w:bCs/>
                <w:lang w:val="sk-SK"/>
              </w:rPr>
              <w:t xml:space="preserve">   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_1AG1/0CD0501-PRV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7 438 267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3 719 059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_1AG2/0CD0501-PRV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 xml:space="preserve"> 2 561 733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1 280 941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_1AG1/0CD0502-PRV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483 487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111 572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>_1AG2/0CD0502-PRV SR 2014-2020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166 513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38 428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 xml:space="preserve">_1AD1/0CC0101-PP SR 2014-2020   </w:t>
            </w:r>
          </w:p>
        </w:tc>
        <w:tc>
          <w:tcPr>
            <w:tcW w:w="673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C53169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C53169">
              <w:rPr>
                <w:b/>
                <w:bCs/>
                <w:iCs/>
                <w:lang w:val="sk-SK"/>
              </w:rPr>
              <w:t>435 191 194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438 299 000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441 478 000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 xml:space="preserve">_1AD2/0CC0101-PP SR 2014-2020 </w:t>
            </w:r>
          </w:p>
        </w:tc>
        <w:tc>
          <w:tcPr>
            <w:tcW w:w="673" w:type="dxa"/>
            <w:noWrap/>
            <w:vAlign w:val="center"/>
          </w:tcPr>
          <w:p w:rsidR="002D4DF9" w:rsidRDefault="002D4DF9" w:rsidP="00C17A11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3 185 024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3 179 000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3 185 000</w:t>
            </w:r>
          </w:p>
        </w:tc>
      </w:tr>
      <w:tr w:rsidR="002D4DF9" w:rsidRPr="006F6A99" w:rsidTr="00C17A11">
        <w:trPr>
          <w:trHeight w:val="70"/>
          <w:jc w:val="center"/>
        </w:trPr>
        <w:tc>
          <w:tcPr>
            <w:tcW w:w="8219" w:type="dxa"/>
            <w:noWrap/>
            <w:vAlign w:val="center"/>
          </w:tcPr>
          <w:p w:rsidR="002D4DF9" w:rsidRPr="006964CB" w:rsidRDefault="002D4DF9" w:rsidP="00C17A11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>- vplyv na ŠR</w:t>
            </w:r>
            <w:r>
              <w:rPr>
                <w:b/>
                <w:bCs/>
                <w:i/>
                <w:iCs/>
                <w:lang w:val="sk-SK"/>
              </w:rPr>
              <w:t xml:space="preserve">_1AI2/0CC0101-PP SR 2014-2020 </w:t>
            </w:r>
          </w:p>
        </w:tc>
        <w:tc>
          <w:tcPr>
            <w:tcW w:w="673" w:type="dxa"/>
            <w:noWrap/>
            <w:vAlign w:val="center"/>
          </w:tcPr>
          <w:p w:rsidR="002D4DF9" w:rsidRDefault="002D4DF9" w:rsidP="00C17A11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77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19 083 631</w:t>
            </w:r>
          </w:p>
        </w:tc>
        <w:tc>
          <w:tcPr>
            <w:tcW w:w="1632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19 057 985</w:t>
            </w:r>
          </w:p>
        </w:tc>
        <w:tc>
          <w:tcPr>
            <w:tcW w:w="1704" w:type="dxa"/>
            <w:noWrap/>
            <w:vAlign w:val="center"/>
          </w:tcPr>
          <w:p w:rsidR="002D4DF9" w:rsidRPr="000864E0" w:rsidRDefault="002D4DF9" w:rsidP="00C17A11">
            <w:pPr>
              <w:jc w:val="right"/>
              <w:rPr>
                <w:b/>
                <w:bCs/>
                <w:iCs/>
                <w:lang w:val="sk-SK"/>
              </w:rPr>
            </w:pPr>
            <w:r w:rsidRPr="000864E0">
              <w:rPr>
                <w:b/>
                <w:bCs/>
                <w:iCs/>
                <w:lang w:val="sk-SK"/>
              </w:rPr>
              <w:t>19 031 811</w:t>
            </w:r>
          </w:p>
        </w:tc>
      </w:tr>
      <w:bookmarkEnd w:id="1"/>
    </w:tbl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2.2. Financovanie návrhu</w:t>
      </w:r>
    </w:p>
    <w:p w:rsidR="002D4DF9" w:rsidRPr="006F6A99" w:rsidRDefault="002D4DF9" w:rsidP="002D4DF9">
      <w:pPr>
        <w:jc w:val="right"/>
        <w:rPr>
          <w:sz w:val="20"/>
          <w:szCs w:val="20"/>
          <w:lang w:val="sk-SK"/>
        </w:rPr>
      </w:pPr>
      <w:r w:rsidRPr="006F6A99">
        <w:rPr>
          <w:sz w:val="20"/>
          <w:szCs w:val="20"/>
          <w:lang w:val="sk-SK"/>
        </w:rPr>
        <w:t>Tabuľka č. 2</w:t>
      </w:r>
    </w:p>
    <w:tbl>
      <w:tblPr>
        <w:tblW w:w="142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2"/>
        <w:gridCol w:w="709"/>
        <w:gridCol w:w="1842"/>
        <w:gridCol w:w="1560"/>
        <w:gridCol w:w="1701"/>
      </w:tblGrid>
      <w:tr w:rsidR="002D4DF9" w:rsidRPr="006F6A99" w:rsidTr="00C17A11">
        <w:trPr>
          <w:cantSplit/>
          <w:trHeight w:val="70"/>
        </w:trPr>
        <w:tc>
          <w:tcPr>
            <w:tcW w:w="8402" w:type="dxa"/>
            <w:vMerge w:val="restart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812" w:type="dxa"/>
            <w:gridSpan w:val="4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b/>
                <w:bCs/>
                <w:lang w:val="sk-SK"/>
              </w:rPr>
              <w:t>(v eurách)</w:t>
            </w:r>
          </w:p>
        </w:tc>
      </w:tr>
      <w:tr w:rsidR="002D4DF9" w:rsidRPr="006F6A99" w:rsidTr="00C17A11">
        <w:trPr>
          <w:cantSplit/>
          <w:trHeight w:val="70"/>
        </w:trPr>
        <w:tc>
          <w:tcPr>
            <w:tcW w:w="8402" w:type="dxa"/>
            <w:vMerge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842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60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701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tr w:rsidR="002D4DF9" w:rsidRPr="006F6A99" w:rsidTr="00C17A11">
        <w:trPr>
          <w:trHeight w:val="70"/>
        </w:trPr>
        <w:tc>
          <w:tcPr>
            <w:tcW w:w="8402" w:type="dxa"/>
            <w:vAlign w:val="center"/>
          </w:tcPr>
          <w:p w:rsidR="002D4DF9" w:rsidRPr="006F6A99" w:rsidRDefault="002D4DF9" w:rsidP="00C17A11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709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B27F37">
              <w:rPr>
                <w:lang w:val="sk-SK"/>
              </w:rPr>
              <w:t>22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268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655</w:t>
            </w:r>
          </w:p>
        </w:tc>
        <w:tc>
          <w:tcPr>
            <w:tcW w:w="1560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B27F37">
              <w:rPr>
                <w:lang w:val="sk-SK"/>
              </w:rPr>
              <w:t>24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965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231</w:t>
            </w:r>
          </w:p>
        </w:tc>
        <w:tc>
          <w:tcPr>
            <w:tcW w:w="1701" w:type="dxa"/>
            <w:noWrap/>
            <w:vAlign w:val="center"/>
          </w:tcPr>
          <w:p w:rsidR="002D4DF9" w:rsidRPr="006F6A99" w:rsidRDefault="002D4DF9" w:rsidP="003C45AB">
            <w:pPr>
              <w:jc w:val="right"/>
              <w:rPr>
                <w:lang w:val="sk-SK"/>
              </w:rPr>
            </w:pPr>
            <w:r w:rsidRPr="00B27F37">
              <w:rPr>
                <w:lang w:val="sk-SK"/>
              </w:rPr>
              <w:t>23</w:t>
            </w:r>
            <w:r w:rsidR="003C45AB">
              <w:rPr>
                <w:lang w:val="sk-SK"/>
              </w:rPr>
              <w:t> 509 180</w:t>
            </w:r>
          </w:p>
        </w:tc>
      </w:tr>
      <w:tr w:rsidR="002D4DF9" w:rsidRPr="006F6A99" w:rsidTr="00C17A11">
        <w:trPr>
          <w:trHeight w:val="70"/>
        </w:trPr>
        <w:tc>
          <w:tcPr>
            <w:tcW w:w="8402" w:type="dxa"/>
            <w:vAlign w:val="center"/>
          </w:tcPr>
          <w:p w:rsidR="002D4DF9" w:rsidRPr="006F6A99" w:rsidRDefault="002D4DF9" w:rsidP="00C17A11">
            <w:pPr>
              <w:rPr>
                <w:lang w:val="sk-SK"/>
              </w:rPr>
            </w:pPr>
            <w:r w:rsidRPr="006F6A99">
              <w:rPr>
                <w:lang w:val="sk-SK"/>
              </w:rPr>
              <w:t xml:space="preserve">  z toho vplyv na ŠR</w:t>
            </w:r>
          </w:p>
        </w:tc>
        <w:tc>
          <w:tcPr>
            <w:tcW w:w="709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B27F37">
              <w:rPr>
                <w:lang w:val="sk-SK"/>
              </w:rPr>
              <w:t>22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268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655</w:t>
            </w:r>
          </w:p>
        </w:tc>
        <w:tc>
          <w:tcPr>
            <w:tcW w:w="1560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B27F37">
              <w:rPr>
                <w:lang w:val="sk-SK"/>
              </w:rPr>
              <w:t>24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965</w:t>
            </w:r>
            <w:r>
              <w:rPr>
                <w:lang w:val="sk-SK"/>
              </w:rPr>
              <w:t xml:space="preserve"> </w:t>
            </w:r>
            <w:r w:rsidRPr="00B27F37">
              <w:rPr>
                <w:lang w:val="sk-SK"/>
              </w:rPr>
              <w:t>231</w:t>
            </w:r>
          </w:p>
        </w:tc>
        <w:tc>
          <w:tcPr>
            <w:tcW w:w="1701" w:type="dxa"/>
            <w:noWrap/>
            <w:vAlign w:val="center"/>
          </w:tcPr>
          <w:p w:rsidR="002D4DF9" w:rsidRPr="006F6A99" w:rsidRDefault="00F67987" w:rsidP="00C17A11">
            <w:pPr>
              <w:jc w:val="right"/>
              <w:rPr>
                <w:lang w:val="sk-SK"/>
              </w:rPr>
            </w:pPr>
            <w:r w:rsidRPr="00B27F37">
              <w:rPr>
                <w:lang w:val="sk-SK"/>
              </w:rPr>
              <w:t>23</w:t>
            </w:r>
            <w:r>
              <w:rPr>
                <w:lang w:val="sk-SK"/>
              </w:rPr>
              <w:t> 509 180</w:t>
            </w:r>
          </w:p>
        </w:tc>
      </w:tr>
      <w:tr w:rsidR="002D4DF9" w:rsidRPr="006F6A99" w:rsidTr="00C17A11">
        <w:trPr>
          <w:trHeight w:val="151"/>
        </w:trPr>
        <w:tc>
          <w:tcPr>
            <w:tcW w:w="8402" w:type="dxa"/>
            <w:vAlign w:val="center"/>
          </w:tcPr>
          <w:p w:rsidR="002D4DF9" w:rsidRPr="006F6A99" w:rsidRDefault="002D4DF9" w:rsidP="00C17A11">
            <w:pPr>
              <w:rPr>
                <w:lang w:val="sk-SK"/>
              </w:rPr>
            </w:pPr>
            <w:r w:rsidRPr="006F6A99">
              <w:rPr>
                <w:lang w:val="sk-SK"/>
              </w:rPr>
              <w:t xml:space="preserve">  financovanie zabezpečené v rozpočte</w:t>
            </w:r>
          </w:p>
        </w:tc>
        <w:tc>
          <w:tcPr>
            <w:tcW w:w="709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560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701" w:type="dxa"/>
            <w:noWrap/>
            <w:vAlign w:val="center"/>
          </w:tcPr>
          <w:p w:rsidR="002D4DF9" w:rsidRPr="006F6A99" w:rsidRDefault="002D4DF9" w:rsidP="00F67987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468</w:t>
            </w:r>
            <w:r w:rsidR="00F67987">
              <w:rPr>
                <w:b/>
                <w:bCs/>
                <w:lang w:val="sk-SK"/>
              </w:rPr>
              <w:t> 817 811</w:t>
            </w:r>
            <w:r w:rsidRPr="006F6A99">
              <w:rPr>
                <w:b/>
                <w:bCs/>
                <w:lang w:val="sk-SK"/>
              </w:rPr>
              <w:t xml:space="preserve">   </w:t>
            </w:r>
          </w:p>
        </w:tc>
      </w:tr>
      <w:tr w:rsidR="002D4DF9" w:rsidRPr="006F6A99" w:rsidTr="00C17A11">
        <w:trPr>
          <w:trHeight w:val="135"/>
        </w:trPr>
        <w:tc>
          <w:tcPr>
            <w:tcW w:w="8402" w:type="dxa"/>
            <w:vAlign w:val="center"/>
          </w:tcPr>
          <w:p w:rsidR="002D4DF9" w:rsidRPr="006F6A99" w:rsidRDefault="002D4DF9" w:rsidP="00C17A11">
            <w:pPr>
              <w:rPr>
                <w:highlight w:val="yellow"/>
                <w:lang w:val="sk-SK"/>
              </w:rPr>
            </w:pPr>
            <w:r w:rsidRPr="006F6A99">
              <w:rPr>
                <w:lang w:val="sk-SK"/>
              </w:rPr>
              <w:t xml:space="preserve">  ostatné zdroje financovania</w:t>
            </w:r>
          </w:p>
        </w:tc>
        <w:tc>
          <w:tcPr>
            <w:tcW w:w="709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lang w:val="sk-SK"/>
              </w:rPr>
            </w:pPr>
            <w:r w:rsidRPr="006F6A99">
              <w:rPr>
                <w:lang w:val="sk-SK"/>
              </w:rPr>
              <w:t>0</w:t>
            </w:r>
          </w:p>
        </w:tc>
      </w:tr>
      <w:tr w:rsidR="002D4DF9" w:rsidRPr="006F6A99" w:rsidTr="00C17A11">
        <w:trPr>
          <w:trHeight w:val="70"/>
        </w:trPr>
        <w:tc>
          <w:tcPr>
            <w:tcW w:w="8402" w:type="dxa"/>
            <w:vAlign w:val="center"/>
          </w:tcPr>
          <w:p w:rsidR="002D4DF9" w:rsidRPr="006F6A99" w:rsidRDefault="002D4DF9" w:rsidP="00C17A11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709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2D4DF9" w:rsidRPr="006F6A99" w:rsidRDefault="002D4DF9" w:rsidP="00C17A11">
            <w:pPr>
              <w:jc w:val="right"/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0</w:t>
            </w:r>
          </w:p>
        </w:tc>
      </w:tr>
    </w:tbl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2D4DF9" w:rsidRPr="006F6A99" w:rsidRDefault="002D4DF9" w:rsidP="002D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2D4DF9" w:rsidRPr="006F6A99" w:rsidRDefault="00E5020C" w:rsidP="00E5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sk-SK"/>
        </w:rPr>
      </w:pPr>
      <w:r>
        <w:rPr>
          <w:b/>
          <w:bCs/>
          <w:lang w:val="sk-SK"/>
        </w:rPr>
        <w:t>Vzhľadom k tomu, že ide o koncepčný strategický materiál, jeho vplyv na štátny rozpočet a verejné financie v rámci jednotlivých rozpočtových rokov sa dá v súčasnosti len predpokladať. Objemy finančných prostriedkov uvedené v materiáli majú len informatívny charakter. Konkrétna výška finančných prostriedkov na jednotlivé rozpočtové roky v členení jednotlivých zdrojov financovania bude uplatňovaná pri zostavovaní návrhu rozpočtu verejnej správna príslušné rozpočtové roky.</w:t>
      </w:r>
    </w:p>
    <w:p w:rsidR="002D4DF9" w:rsidRPr="006F6A99" w:rsidRDefault="002D4DF9" w:rsidP="002D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2.3. Popis a charakteristika návrhu</w:t>
      </w: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jc w:val="both"/>
        <w:rPr>
          <w:b/>
          <w:bCs/>
          <w:lang w:val="sk-SK"/>
        </w:rPr>
      </w:pPr>
      <w:r w:rsidRPr="006F6A99">
        <w:rPr>
          <w:b/>
          <w:bCs/>
          <w:lang w:val="sk-SK"/>
        </w:rPr>
        <w:t>2.3.1. Popis návrhu:</w:t>
      </w:r>
    </w:p>
    <w:p w:rsidR="002D4DF9" w:rsidRPr="006F6A99" w:rsidRDefault="002D4DF9" w:rsidP="002D4DF9">
      <w:pPr>
        <w:jc w:val="both"/>
        <w:rPr>
          <w:b/>
          <w:bCs/>
          <w:lang w:val="sk-SK"/>
        </w:rPr>
      </w:pPr>
    </w:p>
    <w:p w:rsidR="002D4DF9" w:rsidRPr="006F6A99" w:rsidRDefault="002D4DF9" w:rsidP="002D4DF9">
      <w:pPr>
        <w:ind w:firstLine="708"/>
        <w:jc w:val="both"/>
        <w:rPr>
          <w:lang w:val="sk-SK"/>
        </w:rPr>
      </w:pPr>
      <w:r w:rsidRPr="006F6A99">
        <w:rPr>
          <w:lang w:val="sk-SK"/>
        </w:rPr>
        <w:t>Akú problematiku návrhu rieši? Kto bude návrh implementovať? Kde sa budú služby poskytovať?</w:t>
      </w: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rPr>
          <w:lang w:val="sk-SK"/>
        </w:rPr>
      </w:pPr>
      <w:r w:rsidRPr="006F6A99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2.3.2. Charakteristika návrhu podľa bodu  2.3.2. Metodiky :</w:t>
      </w: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pStyle w:val="Zkladntext"/>
        <w:rPr>
          <w:b w:val="0"/>
          <w:szCs w:val="24"/>
        </w:rPr>
      </w:pPr>
      <w:r w:rsidRPr="006F6A99">
        <w:rPr>
          <w:szCs w:val="24"/>
          <w:bdr w:val="single" w:sz="4" w:space="0" w:color="auto"/>
        </w:rPr>
        <w:t xml:space="preserve">     </w:t>
      </w:r>
      <w:r w:rsidRPr="006F6A99">
        <w:rPr>
          <w:szCs w:val="24"/>
        </w:rPr>
        <w:t xml:space="preserve">  </w:t>
      </w:r>
      <w:r w:rsidRPr="006F6A99">
        <w:rPr>
          <w:b w:val="0"/>
          <w:szCs w:val="24"/>
        </w:rPr>
        <w:t>zmena sadzby</w:t>
      </w:r>
    </w:p>
    <w:p w:rsidR="002D4DF9" w:rsidRPr="006F6A99" w:rsidRDefault="002D4DF9" w:rsidP="002D4DF9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t xml:space="preserve">     </w:t>
      </w:r>
      <w:r w:rsidRPr="006F6A99">
        <w:rPr>
          <w:b w:val="0"/>
          <w:szCs w:val="24"/>
        </w:rPr>
        <w:t xml:space="preserve">  zmena v nároku</w:t>
      </w:r>
    </w:p>
    <w:p w:rsidR="002D4DF9" w:rsidRPr="006F6A99" w:rsidRDefault="002D4DF9" w:rsidP="002D4DF9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t xml:space="preserve">     </w:t>
      </w:r>
      <w:r w:rsidRPr="006F6A99">
        <w:rPr>
          <w:b w:val="0"/>
          <w:szCs w:val="24"/>
        </w:rPr>
        <w:t xml:space="preserve">  nová služba alebo nariadenie (alebo ich zrušenie)</w:t>
      </w:r>
    </w:p>
    <w:p w:rsidR="002D4DF9" w:rsidRPr="006F6A99" w:rsidRDefault="002D4DF9" w:rsidP="002D4DF9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t xml:space="preserve">     </w:t>
      </w:r>
      <w:r w:rsidRPr="006F6A99">
        <w:rPr>
          <w:b w:val="0"/>
          <w:szCs w:val="24"/>
        </w:rPr>
        <w:t xml:space="preserve">  kombinovaný návrh</w:t>
      </w:r>
    </w:p>
    <w:p w:rsidR="002D4DF9" w:rsidRDefault="002D4DF9" w:rsidP="002D4DF9">
      <w:pPr>
        <w:pStyle w:val="Zkladntext"/>
        <w:rPr>
          <w:b w:val="0"/>
          <w:szCs w:val="24"/>
        </w:rPr>
      </w:pPr>
      <w:r w:rsidRPr="006F6A99">
        <w:rPr>
          <w:b w:val="0"/>
          <w:szCs w:val="24"/>
          <w:bdr w:val="single" w:sz="4" w:space="0" w:color="auto"/>
        </w:rPr>
        <w:t xml:space="preserve">  </w:t>
      </w:r>
      <w:r>
        <w:rPr>
          <w:b w:val="0"/>
          <w:szCs w:val="24"/>
          <w:bdr w:val="single" w:sz="4" w:space="0" w:color="auto"/>
        </w:rPr>
        <w:t>x</w:t>
      </w:r>
      <w:r w:rsidRPr="006F6A99">
        <w:rPr>
          <w:b w:val="0"/>
          <w:szCs w:val="24"/>
          <w:bdr w:val="single" w:sz="4" w:space="0" w:color="auto"/>
        </w:rPr>
        <w:t xml:space="preserve"> </w:t>
      </w:r>
      <w:r>
        <w:rPr>
          <w:b w:val="0"/>
          <w:szCs w:val="24"/>
        </w:rPr>
        <w:t xml:space="preserve">  iné</w:t>
      </w:r>
    </w:p>
    <w:p w:rsidR="002D4DF9" w:rsidRDefault="002D4DF9" w:rsidP="002D4DF9">
      <w:pPr>
        <w:pStyle w:val="Zkladntext"/>
        <w:rPr>
          <w:b w:val="0"/>
          <w:szCs w:val="24"/>
        </w:rPr>
      </w:pPr>
    </w:p>
    <w:p w:rsidR="002D4DF9" w:rsidRDefault="002D4DF9" w:rsidP="002D4DF9">
      <w:pPr>
        <w:pStyle w:val="Zkladntext"/>
        <w:rPr>
          <w:b w:val="0"/>
          <w:szCs w:val="24"/>
        </w:rPr>
      </w:pPr>
    </w:p>
    <w:p w:rsidR="002D4DF9" w:rsidRDefault="002D4DF9" w:rsidP="002D4DF9">
      <w:pPr>
        <w:pStyle w:val="Zkladntext"/>
        <w:rPr>
          <w:b w:val="0"/>
          <w:szCs w:val="24"/>
        </w:rPr>
      </w:pPr>
    </w:p>
    <w:p w:rsidR="002D4DF9" w:rsidRPr="00553859" w:rsidRDefault="002D4DF9" w:rsidP="002D4DF9">
      <w:pPr>
        <w:pStyle w:val="Zkladntext"/>
        <w:rPr>
          <w:b w:val="0"/>
          <w:szCs w:val="24"/>
        </w:rPr>
      </w:pPr>
    </w:p>
    <w:p w:rsidR="002D4DF9" w:rsidRPr="006F6A99" w:rsidRDefault="002D4DF9" w:rsidP="002D4DF9">
      <w:pPr>
        <w:rPr>
          <w:lang w:val="sk-SK"/>
        </w:rPr>
      </w:pPr>
      <w:r w:rsidRPr="006F6A99">
        <w:rPr>
          <w:b/>
          <w:bCs/>
          <w:lang w:val="sk-SK"/>
        </w:rPr>
        <w:t>2.3.3. Predpoklady vývoja objemu aktivít:</w:t>
      </w: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ind w:firstLine="708"/>
        <w:jc w:val="both"/>
        <w:rPr>
          <w:lang w:val="sk-SK"/>
        </w:rPr>
      </w:pPr>
      <w:r w:rsidRPr="006F6A99"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2D4DF9" w:rsidRPr="006F6A99" w:rsidRDefault="002D4DF9" w:rsidP="002D4DF9">
      <w:pPr>
        <w:jc w:val="right"/>
        <w:rPr>
          <w:sz w:val="20"/>
          <w:szCs w:val="20"/>
          <w:lang w:val="sk-SK"/>
        </w:rPr>
      </w:pPr>
      <w:r w:rsidRPr="006F6A99">
        <w:rPr>
          <w:sz w:val="20"/>
          <w:szCs w:val="20"/>
          <w:lang w:val="sk-SK"/>
        </w:rPr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2"/>
        <w:gridCol w:w="709"/>
        <w:gridCol w:w="1842"/>
        <w:gridCol w:w="1560"/>
        <w:gridCol w:w="1701"/>
      </w:tblGrid>
      <w:tr w:rsidR="002D4DF9" w:rsidRPr="006F6A99" w:rsidTr="00C17A11">
        <w:trPr>
          <w:cantSplit/>
          <w:trHeight w:val="70"/>
        </w:trPr>
        <w:tc>
          <w:tcPr>
            <w:tcW w:w="8252" w:type="dxa"/>
            <w:vMerge w:val="restart"/>
            <w:shd w:val="clear" w:color="auto" w:fill="000000"/>
            <w:vAlign w:val="center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5812" w:type="dxa"/>
            <w:gridSpan w:val="4"/>
            <w:shd w:val="clear" w:color="auto" w:fill="000000"/>
            <w:vAlign w:val="center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Odhadované objemy</w:t>
            </w:r>
          </w:p>
        </w:tc>
      </w:tr>
      <w:tr w:rsidR="002D4DF9" w:rsidRPr="006F6A99" w:rsidTr="00C17A11">
        <w:trPr>
          <w:cantSplit/>
          <w:trHeight w:val="70"/>
        </w:trPr>
        <w:tc>
          <w:tcPr>
            <w:tcW w:w="8252" w:type="dxa"/>
            <w:vMerge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842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560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701" w:type="dxa"/>
            <w:shd w:val="clear" w:color="auto" w:fill="000000"/>
            <w:vAlign w:val="center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r + 3</w:t>
            </w:r>
          </w:p>
        </w:tc>
      </w:tr>
      <w:tr w:rsidR="002D4DF9" w:rsidRPr="006F6A99" w:rsidTr="00C17A11">
        <w:trPr>
          <w:trHeight w:val="70"/>
        </w:trPr>
        <w:tc>
          <w:tcPr>
            <w:tcW w:w="8252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6F6A99">
              <w:rPr>
                <w:color w:val="000000"/>
                <w:lang w:val="sk-SK"/>
              </w:rPr>
              <w:t>Indikátor ABC</w:t>
            </w:r>
          </w:p>
        </w:tc>
        <w:tc>
          <w:tcPr>
            <w:tcW w:w="709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842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560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701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D4DF9" w:rsidRPr="006F6A99" w:rsidTr="00C17A11">
        <w:trPr>
          <w:trHeight w:val="70"/>
        </w:trPr>
        <w:tc>
          <w:tcPr>
            <w:tcW w:w="8252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6F6A99">
              <w:rPr>
                <w:color w:val="000000"/>
                <w:lang w:val="sk-SK"/>
              </w:rPr>
              <w:t>Indikátor KLM</w:t>
            </w:r>
          </w:p>
        </w:tc>
        <w:tc>
          <w:tcPr>
            <w:tcW w:w="709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842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560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701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D4DF9" w:rsidRPr="006F6A99" w:rsidTr="00C17A11">
        <w:trPr>
          <w:trHeight w:val="359"/>
        </w:trPr>
        <w:tc>
          <w:tcPr>
            <w:tcW w:w="8252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6F6A99">
              <w:rPr>
                <w:color w:val="000000"/>
                <w:lang w:val="sk-SK"/>
              </w:rPr>
              <w:t>Indikátor XYZ</w:t>
            </w:r>
          </w:p>
        </w:tc>
        <w:tc>
          <w:tcPr>
            <w:tcW w:w="709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842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560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701" w:type="dxa"/>
          </w:tcPr>
          <w:p w:rsidR="002D4DF9" w:rsidRPr="006F6A99" w:rsidRDefault="002D4DF9" w:rsidP="00C17A1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rPr>
          <w:b/>
          <w:bCs/>
          <w:lang w:val="sk-SK"/>
        </w:rPr>
      </w:pPr>
      <w:r w:rsidRPr="006F6A99">
        <w:rPr>
          <w:b/>
          <w:bCs/>
          <w:lang w:val="sk-SK"/>
        </w:rPr>
        <w:t>2.3.4. Výpočty vplyvov na verejné financie</w:t>
      </w:r>
    </w:p>
    <w:p w:rsidR="002D4DF9" w:rsidRPr="006F6A99" w:rsidRDefault="002D4DF9" w:rsidP="002D4DF9">
      <w:pPr>
        <w:rPr>
          <w:lang w:val="sk-SK"/>
        </w:rPr>
      </w:pPr>
    </w:p>
    <w:p w:rsidR="002D4DF9" w:rsidRPr="006F6A99" w:rsidRDefault="002D4DF9" w:rsidP="002D4DF9">
      <w:pPr>
        <w:ind w:firstLine="708"/>
        <w:jc w:val="both"/>
        <w:rPr>
          <w:lang w:val="sk-SK"/>
        </w:rPr>
      </w:pPr>
      <w:r w:rsidRPr="006F6A99"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556D1E" w:rsidRDefault="00556D1E"/>
    <w:p w:rsidR="002D4DF9" w:rsidRPr="002D4DF9" w:rsidRDefault="002D4DF9" w:rsidP="002D4DF9">
      <w:pPr>
        <w:jc w:val="right"/>
        <w:rPr>
          <w:sz w:val="20"/>
          <w:szCs w:val="20"/>
          <w:lang w:val="sk-SK"/>
        </w:rPr>
      </w:pPr>
      <w:r w:rsidRPr="002D4DF9">
        <w:rPr>
          <w:sz w:val="20"/>
          <w:szCs w:val="20"/>
          <w:lang w:val="sk-SK"/>
        </w:rPr>
        <w:t xml:space="preserve">Tabuľka č. 4 </w:t>
      </w:r>
    </w:p>
    <w:tbl>
      <w:tblPr>
        <w:tblW w:w="139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D4DF9" w:rsidRPr="006F6A99" w:rsidTr="002D4DF9">
        <w:trPr>
          <w:trHeight w:val="255"/>
          <w:jc w:val="center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2D4DF9" w:rsidRPr="006F6A99" w:rsidTr="002D4DF9">
        <w:trPr>
          <w:trHeight w:val="255"/>
          <w:jc w:val="center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2D4DF9" w:rsidRPr="006F6A99" w:rsidTr="002D4DF9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b/>
                <w:bCs/>
                <w:vertAlign w:val="superscript"/>
                <w:lang w:val="sk-SK"/>
              </w:rPr>
            </w:pPr>
            <w:r w:rsidRPr="006F6A99">
              <w:rPr>
                <w:b/>
                <w:bCs/>
                <w:lang w:val="sk-SK"/>
              </w:rPr>
              <w:t>Daňové príjmy (100)</w:t>
            </w:r>
            <w:r w:rsidRPr="006F6A99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Nedaňové príjmy (200)</w:t>
            </w:r>
            <w:r w:rsidRPr="006F6A99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B27F37" w:rsidRDefault="002D4DF9" w:rsidP="002D4DF9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D82EB6" w:rsidRDefault="002D4DF9" w:rsidP="002D4DF9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Granty a transfery (300)</w:t>
            </w:r>
            <w:r w:rsidRPr="006F6A99">
              <w:rPr>
                <w:b/>
                <w:bCs/>
                <w:vertAlign w:val="superscript"/>
                <w:lang w:val="sk-SK"/>
              </w:rPr>
              <w:t>1</w:t>
            </w:r>
            <w:r>
              <w:rPr>
                <w:b/>
                <w:bCs/>
                <w:vertAlign w:val="superscript"/>
                <w:lang w:val="sk-SK"/>
              </w:rPr>
              <w:t xml:space="preserve"> </w:t>
            </w:r>
            <w:r>
              <w:rPr>
                <w:b/>
                <w:bCs/>
                <w:lang w:val="sk-SK"/>
              </w:rPr>
              <w:t>v tom: 341 prostriedky z 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B27F37" w:rsidRDefault="002D4DF9" w:rsidP="002D4DF9">
            <w:pPr>
              <w:jc w:val="right"/>
              <w:rPr>
                <w:b/>
                <w:bCs/>
                <w:lang w:val="sk-SK"/>
              </w:rPr>
            </w:pPr>
            <w:r w:rsidRPr="00B27F37">
              <w:rPr>
                <w:b/>
                <w:bCs/>
                <w:iCs/>
                <w:lang w:val="sk-SK"/>
              </w:rPr>
              <w:t>435 191 194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446 220 754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445 308 631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b/>
                <w:bCs/>
                <w:lang w:val="sk-SK"/>
              </w:rPr>
            </w:pPr>
            <w:r w:rsidRPr="006F6A99"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976C45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976C45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  <w:jc w:val="center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D4DF9" w:rsidRPr="00B27F37" w:rsidRDefault="002D4DF9" w:rsidP="002D4DF9">
            <w:pPr>
              <w:jc w:val="right"/>
              <w:rPr>
                <w:b/>
                <w:bCs/>
                <w:lang w:val="sk-SK"/>
              </w:rPr>
            </w:pPr>
            <w:r w:rsidRPr="00B27F37">
              <w:rPr>
                <w:b/>
                <w:bCs/>
                <w:iCs/>
                <w:lang w:val="sk-SK"/>
              </w:rPr>
              <w:t>435 191 194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446 220 754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445 308 631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D4DF9" w:rsidRPr="006F6A99" w:rsidRDefault="002D4DF9" w:rsidP="002D4DF9">
            <w:pPr>
              <w:rPr>
                <w:color w:val="FFFFFF"/>
                <w:lang w:val="sk-SK"/>
              </w:rPr>
            </w:pPr>
            <w:r w:rsidRPr="006F6A99">
              <w:rPr>
                <w:color w:val="FFFFFF"/>
                <w:lang w:val="sk-SK"/>
              </w:rPr>
              <w:t> </w:t>
            </w:r>
          </w:p>
        </w:tc>
      </w:tr>
    </w:tbl>
    <w:p w:rsidR="002D4DF9" w:rsidRPr="006F6A9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  <w:r w:rsidRPr="006F6A99">
        <w:rPr>
          <w:b w:val="0"/>
          <w:bCs/>
          <w:sz w:val="20"/>
        </w:rPr>
        <w:t>1 –  príjmy rozpísať až do položiek platnej ekonomickej klasifikácie</w:t>
      </w:r>
    </w:p>
    <w:p w:rsidR="002D4DF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D4DF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D4DF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D4DF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D4DF9" w:rsidRPr="006F6A9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D4DF9" w:rsidRPr="002D4DF9" w:rsidRDefault="002D4DF9" w:rsidP="002D4DF9">
      <w:pPr>
        <w:jc w:val="right"/>
        <w:rPr>
          <w:sz w:val="20"/>
          <w:szCs w:val="20"/>
          <w:lang w:val="sk-SK"/>
        </w:rPr>
      </w:pPr>
      <w:r w:rsidRPr="002D4DF9">
        <w:rPr>
          <w:sz w:val="20"/>
          <w:szCs w:val="20"/>
          <w:lang w:val="sk-SK"/>
        </w:rPr>
        <w:t xml:space="preserve"> Tabuľka č. 5 </w:t>
      </w:r>
    </w:p>
    <w:tbl>
      <w:tblPr>
        <w:tblpPr w:leftFromText="141" w:rightFromText="141" w:vertAnchor="text" w:horzAnchor="page" w:tblpX="1550" w:tblpY="2"/>
        <w:tblW w:w="139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93"/>
        <w:gridCol w:w="1540"/>
        <w:gridCol w:w="1540"/>
        <w:gridCol w:w="1540"/>
        <w:gridCol w:w="1475"/>
      </w:tblGrid>
      <w:tr w:rsidR="002D4DF9" w:rsidRPr="006F6A99" w:rsidTr="002D4DF9">
        <w:trPr>
          <w:cantSplit/>
          <w:trHeight w:val="255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color w:val="FFFFFF"/>
                <w:sz w:val="20"/>
                <w:szCs w:val="20"/>
                <w:lang w:val="sk-SK"/>
              </w:rPr>
              <w:t>Výdavky (v eurách)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F6A99"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2D4DF9" w:rsidRPr="006F6A99" w:rsidTr="002D4DF9">
        <w:trPr>
          <w:cantSplit/>
          <w:trHeight w:val="255"/>
        </w:trPr>
        <w:tc>
          <w:tcPr>
            <w:tcW w:w="6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F639CA" w:rsidRDefault="002D4DF9" w:rsidP="002D4DF9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F639CA">
              <w:rPr>
                <w:b/>
                <w:bCs/>
                <w:color w:val="FFFFFF"/>
                <w:sz w:val="20"/>
                <w:szCs w:val="20"/>
                <w:lang w:val="sk-SK"/>
              </w:rPr>
              <w:t>2017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D16CD5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468</w:t>
            </w:r>
            <w:r w:rsidR="00D16CD5">
              <w:rPr>
                <w:b/>
                <w:bCs/>
                <w:lang w:val="sk-SK"/>
              </w:rPr>
              <w:t> 817 811</w:t>
            </w:r>
            <w:r w:rsidRPr="006F6A99">
              <w:rPr>
                <w:b/>
                <w:bCs/>
                <w:lang w:val="sk-SK"/>
              </w:rPr>
              <w:t xml:space="preserve">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lang w:val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lang w:val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Tovary a služby (630)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lang w:val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Bežné transfery (640)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246BE9" w:rsidRDefault="002D4DF9" w:rsidP="002D4DF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246BE9" w:rsidRDefault="002D4DF9" w:rsidP="002D4DF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246BE9" w:rsidRDefault="00D901EF" w:rsidP="002D4DF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 xml:space="preserve">468 817 811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v tom: Transfery ostatnej právnickej osobe (644)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246BE9" w:rsidRDefault="002D4DF9" w:rsidP="002D4DF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246BE9" w:rsidRDefault="002D4DF9" w:rsidP="002D4DF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246BE9" w:rsidRDefault="00D901EF" w:rsidP="002D4DF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 xml:space="preserve">468 817 811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F6A99" w:rsidRDefault="002D4DF9" w:rsidP="002D4DF9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lang w:val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Obstarávanie kapitálových aktív (710)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lang w:val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F6A99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rPr>
                <w:sz w:val="20"/>
                <w:szCs w:val="20"/>
                <w:lang w:val="sk-SK"/>
              </w:rPr>
            </w:pPr>
            <w:r w:rsidRPr="006F6A99">
              <w:rPr>
                <w:sz w:val="20"/>
                <w:szCs w:val="20"/>
                <w:lang w:val="sk-SK"/>
              </w:rPr>
              <w:t xml:space="preserve">  Kapitálové transfery (720)</w:t>
            </w:r>
            <w:r w:rsidRPr="006F6A99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F6A99" w:rsidRDefault="002D4DF9" w:rsidP="002D4DF9">
            <w:pPr>
              <w:jc w:val="center"/>
              <w:rPr>
                <w:lang w:val="sk-S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F6A99" w:rsidRDefault="002D4DF9" w:rsidP="002D4DF9">
            <w:pPr>
              <w:rPr>
                <w:lang w:val="sk-SK"/>
              </w:rPr>
            </w:pPr>
            <w:r w:rsidRPr="006F6A99">
              <w:rPr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4DF9" w:rsidRPr="006964CB" w:rsidRDefault="002D4DF9" w:rsidP="002D4DF9">
            <w:pPr>
              <w:jc w:val="center"/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2D4DF9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2D4DF9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</w:tcPr>
          <w:p w:rsidR="002D4DF9" w:rsidRPr="006F6A99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2D4DF9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F6A99" w:rsidRDefault="00D901EF" w:rsidP="002D4DF9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468 817 811</w:t>
            </w:r>
            <w:r w:rsidRPr="006F6A99">
              <w:rPr>
                <w:b/>
                <w:bCs/>
                <w:lang w:val="sk-SK"/>
              </w:rPr>
              <w:t xml:space="preserve">   </w:t>
            </w:r>
          </w:p>
        </w:tc>
        <w:tc>
          <w:tcPr>
            <w:tcW w:w="1475" w:type="dxa"/>
            <w:tcBorders>
              <w:top w:val="nil"/>
              <w:left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D4DF9" w:rsidRPr="006964CB" w:rsidRDefault="002D4DF9" w:rsidP="002D4DF9">
            <w:pPr>
              <w:rPr>
                <w:color w:val="FFFFFF"/>
                <w:lang w:val="sk-SK"/>
              </w:rPr>
            </w:pPr>
            <w:r w:rsidRPr="006964CB">
              <w:rPr>
                <w:color w:val="FFFFFF"/>
                <w:lang w:val="sk-SK"/>
              </w:rPr>
              <w:t> </w:t>
            </w:r>
          </w:p>
        </w:tc>
      </w:tr>
      <w:tr w:rsidR="00246BE9" w:rsidRPr="006964CB" w:rsidTr="002D4DF9">
        <w:trPr>
          <w:trHeight w:val="255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9" w:rsidRPr="006964CB" w:rsidRDefault="00246BE9" w:rsidP="00246BE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center"/>
              <w:rPr>
                <w:b/>
                <w:lang w:val="sk-SK"/>
              </w:rPr>
            </w:pPr>
            <w:r w:rsidRPr="00246BE9">
              <w:rPr>
                <w:b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 xml:space="preserve">468 817 811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BE9" w:rsidRPr="006964CB" w:rsidRDefault="00246BE9" w:rsidP="00246BE9">
            <w:pPr>
              <w:rPr>
                <w:lang w:val="sk-SK"/>
              </w:rPr>
            </w:pPr>
          </w:p>
        </w:tc>
      </w:tr>
      <w:tr w:rsidR="00246BE9" w:rsidRPr="006964CB" w:rsidTr="002D4DF9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9" w:rsidRPr="006964CB" w:rsidRDefault="00246BE9" w:rsidP="00246BE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964CB">
              <w:rPr>
                <w:bCs/>
                <w:sz w:val="20"/>
                <w:szCs w:val="20"/>
                <w:lang w:val="sk-SK"/>
              </w:rPr>
              <w:t>(600)</w:t>
            </w: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center"/>
              <w:rPr>
                <w:b/>
                <w:lang w:val="sk-SK"/>
              </w:rPr>
            </w:pPr>
            <w:r w:rsidRPr="00246BE9">
              <w:rPr>
                <w:b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457 459 849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>471 185 985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E9" w:rsidRPr="00246BE9" w:rsidRDefault="00246BE9" w:rsidP="00246BE9">
            <w:pPr>
              <w:jc w:val="right"/>
              <w:rPr>
                <w:b/>
                <w:bCs/>
                <w:lang w:val="sk-SK"/>
              </w:rPr>
            </w:pPr>
            <w:r w:rsidRPr="00246BE9">
              <w:rPr>
                <w:b/>
                <w:bCs/>
                <w:lang w:val="sk-SK"/>
              </w:rPr>
              <w:t xml:space="preserve">468 817 811 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BE9" w:rsidRPr="006964CB" w:rsidRDefault="00246BE9" w:rsidP="00246BE9">
            <w:pPr>
              <w:rPr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/>
                <w:bCs/>
                <w:sz w:val="20"/>
                <w:szCs w:val="20"/>
                <w:lang w:val="sk-SK"/>
              </w:rPr>
              <w:t xml:space="preserve">               </w:t>
            </w:r>
            <w:r w:rsidRPr="006964CB">
              <w:rPr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2D4DF9">
            <w:pPr>
              <w:rPr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rPr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2D4DF9">
            <w:pPr>
              <w:rPr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rPr>
                <w:bCs/>
                <w:sz w:val="20"/>
                <w:szCs w:val="20"/>
                <w:lang w:val="sk-SK"/>
              </w:rPr>
            </w:pPr>
            <w:r w:rsidRPr="006964CB">
              <w:rPr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2D4DF9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2D4DF9">
            <w:pPr>
              <w:rPr>
                <w:lang w:val="sk-SK"/>
              </w:rPr>
            </w:pPr>
          </w:p>
        </w:tc>
      </w:tr>
    </w:tbl>
    <w:p w:rsidR="002D4DF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  <w:r w:rsidRPr="006964CB">
        <w:rPr>
          <w:b w:val="0"/>
          <w:bCs/>
          <w:sz w:val="20"/>
        </w:rPr>
        <w:t>2 –  výdavky rozpísať až do položiek platnej ekonomickej klasifikácie</w:t>
      </w:r>
    </w:p>
    <w:p w:rsidR="002D4DF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</w:p>
    <w:p w:rsidR="002D4DF9" w:rsidRPr="006F6A99" w:rsidRDefault="002D4DF9" w:rsidP="002D4DF9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D4DF9" w:rsidRPr="002D4DF9" w:rsidRDefault="002D4DF9" w:rsidP="002D4DF9">
      <w:pPr>
        <w:jc w:val="right"/>
        <w:rPr>
          <w:sz w:val="20"/>
          <w:szCs w:val="20"/>
          <w:lang w:val="sk-SK"/>
        </w:rPr>
      </w:pPr>
      <w:r w:rsidRPr="002D4DF9">
        <w:rPr>
          <w:sz w:val="20"/>
          <w:szCs w:val="20"/>
          <w:lang w:val="sk-SK"/>
        </w:rPr>
        <w:t xml:space="preserve">                 Tabuľka č. 6 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559"/>
        <w:gridCol w:w="720"/>
        <w:gridCol w:w="840"/>
        <w:gridCol w:w="1559"/>
        <w:gridCol w:w="630"/>
        <w:gridCol w:w="788"/>
      </w:tblGrid>
      <w:tr w:rsidR="002D4DF9" w:rsidRPr="006964CB" w:rsidTr="002D4DF9">
        <w:trPr>
          <w:cantSplit/>
          <w:trHeight w:val="25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2D4DF9" w:rsidRPr="006964CB" w:rsidTr="002D4DF9">
        <w:trPr>
          <w:cantSplit/>
          <w:trHeight w:val="25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964CB" w:rsidRDefault="002D4DF9" w:rsidP="00C17A11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r + 3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F9" w:rsidRPr="006964CB" w:rsidRDefault="002D4DF9" w:rsidP="00C17A11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Počet zamestnancov celkom*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Osobné výdavky celkom (v eurách)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D4DF9" w:rsidRPr="006964CB" w:rsidRDefault="002D4DF9" w:rsidP="00C17A11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2D4DF9" w:rsidRPr="006964CB" w:rsidRDefault="002D4DF9" w:rsidP="00C17A11">
            <w:pPr>
              <w:rPr>
                <w:b/>
                <w:bCs/>
                <w:color w:val="FFFFFF"/>
                <w:lang w:val="sk-SK"/>
              </w:rPr>
            </w:pPr>
            <w:r w:rsidRPr="006964CB">
              <w:rPr>
                <w:b/>
                <w:bCs/>
                <w:color w:val="FFFFFF"/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F9" w:rsidRPr="006964CB" w:rsidRDefault="002D4DF9" w:rsidP="00C17A11">
            <w:pPr>
              <w:jc w:val="center"/>
              <w:rPr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 </w:t>
            </w: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D4DF9" w:rsidRDefault="002D4DF9" w:rsidP="00C17A11">
            <w:pPr>
              <w:rPr>
                <w:b/>
                <w:bCs/>
                <w:lang w:val="sk-SK"/>
              </w:rPr>
            </w:pPr>
          </w:p>
          <w:p w:rsidR="002D4DF9" w:rsidRPr="006964CB" w:rsidRDefault="002D4DF9" w:rsidP="00C17A11">
            <w:pPr>
              <w:rPr>
                <w:b/>
                <w:bCs/>
                <w:lang w:val="sk-SK"/>
              </w:rPr>
            </w:pPr>
            <w:r w:rsidRPr="006964CB">
              <w:rPr>
                <w:b/>
                <w:bCs/>
                <w:lang w:val="sk-SK"/>
              </w:rPr>
              <w:t>Poznámky: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126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</w:tr>
      <w:tr w:rsidR="002D4DF9" w:rsidRPr="006964CB" w:rsidTr="002D4DF9">
        <w:trPr>
          <w:trHeight w:val="25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  34,95 %,  pre policajtov, profesionálnych vojakov, colníkov, hasičov vrátane horskej záchrannej služby predstavuje 33,2 %.  Pre ostatné subjekty verejnej správy vrátane prenesených kompetencií výkonu štátnej správy poistné tvorí podiel zodpovedajúci  35,2 %.</w:t>
            </w:r>
          </w:p>
        </w:tc>
      </w:tr>
      <w:tr w:rsidR="002D4DF9" w:rsidRPr="006964CB" w:rsidTr="002D4DF9">
        <w:trPr>
          <w:trHeight w:val="255"/>
        </w:trPr>
        <w:tc>
          <w:tcPr>
            <w:tcW w:w="102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  <w:r w:rsidRPr="006964CB">
              <w:rPr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F9" w:rsidRPr="006964CB" w:rsidRDefault="002D4DF9" w:rsidP="00C17A11">
            <w:pPr>
              <w:rPr>
                <w:lang w:val="sk-SK"/>
              </w:rPr>
            </w:pPr>
          </w:p>
        </w:tc>
      </w:tr>
    </w:tbl>
    <w:p w:rsidR="002D4DF9" w:rsidRDefault="002D4DF9" w:rsidP="002D4DF9">
      <w:pPr>
        <w:rPr>
          <w:b/>
          <w:bCs/>
          <w:lang w:val="sk-SK"/>
        </w:rPr>
      </w:pPr>
      <w:r w:rsidRPr="006964CB">
        <w:rPr>
          <w:b/>
          <w:bCs/>
          <w:lang w:val="sk-SK"/>
        </w:rPr>
        <w:t>* počet zamestnancov,  mzdy a poistné rozpísať podľa spôsobu odmeňovania (napr. policajti, colníci ...)</w:t>
      </w:r>
    </w:p>
    <w:p w:rsidR="002D4DF9" w:rsidRDefault="002D4DF9"/>
    <w:sectPr w:rsidR="002D4DF9" w:rsidSect="00FC1025">
      <w:footerReference w:type="default" r:id="rId7"/>
      <w:pgSz w:w="16838" w:h="11906" w:orient="landscape"/>
      <w:pgMar w:top="567" w:right="1417" w:bottom="568" w:left="1417" w:header="708" w:footer="16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C0" w:rsidRDefault="002A12C0" w:rsidP="002D4DF9">
      <w:r>
        <w:separator/>
      </w:r>
    </w:p>
  </w:endnote>
  <w:endnote w:type="continuationSeparator" w:id="0">
    <w:p w:rsidR="002A12C0" w:rsidRDefault="002A12C0" w:rsidP="002D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F9" w:rsidRDefault="002D4DF9">
    <w:pPr>
      <w:pStyle w:val="Pta"/>
      <w:jc w:val="right"/>
    </w:pPr>
  </w:p>
  <w:p w:rsidR="002D4DF9" w:rsidRDefault="002D4DF9">
    <w:pPr>
      <w:pStyle w:val="Pta"/>
      <w:jc w:val="right"/>
    </w:pPr>
    <w:r w:rsidRPr="002D4DF9">
      <w:rPr>
        <w:sz w:val="20"/>
        <w:szCs w:val="20"/>
      </w:rPr>
      <w:fldChar w:fldCharType="begin"/>
    </w:r>
    <w:r w:rsidRPr="002D4DF9">
      <w:rPr>
        <w:sz w:val="20"/>
        <w:szCs w:val="20"/>
      </w:rPr>
      <w:instrText>PAGE   \* MERGEFORMAT</w:instrText>
    </w:r>
    <w:r w:rsidRPr="002D4DF9">
      <w:rPr>
        <w:sz w:val="20"/>
        <w:szCs w:val="20"/>
      </w:rPr>
      <w:fldChar w:fldCharType="separate"/>
    </w:r>
    <w:r w:rsidR="00CF22CE" w:rsidRPr="00CF22CE">
      <w:rPr>
        <w:noProof/>
        <w:sz w:val="20"/>
        <w:szCs w:val="20"/>
        <w:lang w:val="sk-SK"/>
      </w:rPr>
      <w:t>5</w:t>
    </w:r>
    <w:r w:rsidRPr="002D4DF9">
      <w:rPr>
        <w:sz w:val="20"/>
        <w:szCs w:val="20"/>
      </w:rPr>
      <w:fldChar w:fldCharType="end"/>
    </w:r>
  </w:p>
  <w:p w:rsidR="002D4DF9" w:rsidRDefault="002D4D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C0" w:rsidRDefault="002A12C0" w:rsidP="002D4DF9">
      <w:r>
        <w:separator/>
      </w:r>
    </w:p>
  </w:footnote>
  <w:footnote w:type="continuationSeparator" w:id="0">
    <w:p w:rsidR="002A12C0" w:rsidRDefault="002A12C0" w:rsidP="002D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F9"/>
    <w:rsid w:val="00001E3C"/>
    <w:rsid w:val="000864E0"/>
    <w:rsid w:val="00112624"/>
    <w:rsid w:val="00246BE9"/>
    <w:rsid w:val="002A12C0"/>
    <w:rsid w:val="002B4730"/>
    <w:rsid w:val="002D4DF9"/>
    <w:rsid w:val="003453E9"/>
    <w:rsid w:val="00374C3B"/>
    <w:rsid w:val="003C45AB"/>
    <w:rsid w:val="00543B7C"/>
    <w:rsid w:val="00553859"/>
    <w:rsid w:val="00556D1E"/>
    <w:rsid w:val="00624419"/>
    <w:rsid w:val="006964CB"/>
    <w:rsid w:val="006F6A99"/>
    <w:rsid w:val="008D08E2"/>
    <w:rsid w:val="00976C45"/>
    <w:rsid w:val="00A300C8"/>
    <w:rsid w:val="00B16CB8"/>
    <w:rsid w:val="00B27F37"/>
    <w:rsid w:val="00C17A11"/>
    <w:rsid w:val="00C53169"/>
    <w:rsid w:val="00CA1CE2"/>
    <w:rsid w:val="00CA2708"/>
    <w:rsid w:val="00CF22CE"/>
    <w:rsid w:val="00D16CD5"/>
    <w:rsid w:val="00D82EB6"/>
    <w:rsid w:val="00D901EF"/>
    <w:rsid w:val="00E5020C"/>
    <w:rsid w:val="00ED1DF1"/>
    <w:rsid w:val="00F35DE4"/>
    <w:rsid w:val="00F639CA"/>
    <w:rsid w:val="00F67987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DF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D4DF9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D4DF9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2D4D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4DF9"/>
    <w:rPr>
      <w:rFonts w:ascii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D4D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4DF9"/>
    <w:rPr>
      <w:rFonts w:ascii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A2708"/>
    <w:rPr>
      <w:rFonts w:ascii="Tahoma" w:hAnsi="Tahoma" w:cs="Tahoma"/>
      <w:sz w:val="16"/>
      <w:szCs w:val="16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DF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D4DF9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D4DF9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2D4D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4DF9"/>
    <w:rPr>
      <w:rFonts w:ascii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D4D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4DF9"/>
    <w:rPr>
      <w:rFonts w:ascii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A2708"/>
    <w:rPr>
      <w:rFonts w:ascii="Tahoma" w:hAnsi="Tahoma" w:cs="Tahoma"/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Bobovník Matej</dc:creator>
  <cp:lastModifiedBy>Bobovník Matej</cp:lastModifiedBy>
  <cp:revision>2</cp:revision>
  <cp:lastPrinted>2014-09-16T09:13:00Z</cp:lastPrinted>
  <dcterms:created xsi:type="dcterms:W3CDTF">2014-10-13T11:57:00Z</dcterms:created>
  <dcterms:modified xsi:type="dcterms:W3CDTF">2014-10-13T11:57:00Z</dcterms:modified>
</cp:coreProperties>
</file>