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b/>
          <w:sz w:val="50"/>
          <w:szCs w:val="50"/>
        </w:rPr>
      </w:pPr>
    </w:p>
    <w:p w:rsidR="0022192B" w:rsidRPr="00FD3680" w:rsidRDefault="0022192B" w:rsidP="0022192B">
      <w:pPr>
        <w:spacing w:after="0" w:line="240" w:lineRule="auto"/>
        <w:jc w:val="center"/>
        <w:rPr>
          <w:rFonts w:ascii="Times New Roman" w:hAnsi="Times New Roman" w:cs="Times New Roman"/>
          <w:b/>
          <w:sz w:val="50"/>
          <w:szCs w:val="50"/>
        </w:rPr>
      </w:pPr>
    </w:p>
    <w:p w:rsidR="006F1087" w:rsidRPr="00FD3680" w:rsidRDefault="006F1087" w:rsidP="0022192B">
      <w:pPr>
        <w:spacing w:after="0" w:line="240" w:lineRule="auto"/>
        <w:jc w:val="center"/>
        <w:rPr>
          <w:rFonts w:ascii="Times New Roman" w:hAnsi="Times New Roman" w:cs="Times New Roman"/>
          <w:b/>
          <w:sz w:val="50"/>
          <w:szCs w:val="50"/>
        </w:rPr>
      </w:pPr>
      <w:r w:rsidRPr="00FD3680">
        <w:rPr>
          <w:rFonts w:ascii="Times New Roman" w:hAnsi="Times New Roman" w:cs="Times New Roman"/>
          <w:b/>
          <w:sz w:val="50"/>
          <w:szCs w:val="50"/>
        </w:rPr>
        <w:t xml:space="preserve">Koncepcia </w:t>
      </w:r>
    </w:p>
    <w:p w:rsidR="00CE2F54" w:rsidRPr="00FD3680" w:rsidRDefault="006F1087" w:rsidP="0022192B">
      <w:pPr>
        <w:spacing w:after="0" w:line="240" w:lineRule="auto"/>
        <w:jc w:val="center"/>
        <w:rPr>
          <w:rFonts w:ascii="Times New Roman" w:hAnsi="Times New Roman" w:cs="Times New Roman"/>
          <w:b/>
          <w:sz w:val="50"/>
          <w:szCs w:val="50"/>
        </w:rPr>
      </w:pPr>
      <w:r w:rsidRPr="00FD3680">
        <w:rPr>
          <w:rFonts w:ascii="Times New Roman" w:hAnsi="Times New Roman" w:cs="Times New Roman"/>
          <w:b/>
          <w:sz w:val="50"/>
          <w:szCs w:val="50"/>
        </w:rPr>
        <w:t>p</w:t>
      </w:r>
      <w:r w:rsidR="0022192B" w:rsidRPr="00FD3680">
        <w:rPr>
          <w:rFonts w:ascii="Times New Roman" w:hAnsi="Times New Roman" w:cs="Times New Roman"/>
          <w:b/>
          <w:sz w:val="50"/>
          <w:szCs w:val="50"/>
        </w:rPr>
        <w:t xml:space="preserve">odpory </w:t>
      </w:r>
      <w:r w:rsidR="0083142A" w:rsidRPr="00FD3680">
        <w:rPr>
          <w:rFonts w:ascii="Times New Roman" w:hAnsi="Times New Roman" w:cs="Times New Roman"/>
          <w:b/>
          <w:sz w:val="50"/>
          <w:szCs w:val="50"/>
        </w:rPr>
        <w:t xml:space="preserve">pre </w:t>
      </w:r>
      <w:r w:rsidR="0022192B" w:rsidRPr="00FD3680">
        <w:rPr>
          <w:rFonts w:ascii="Times New Roman" w:hAnsi="Times New Roman" w:cs="Times New Roman"/>
          <w:b/>
          <w:sz w:val="50"/>
          <w:szCs w:val="50"/>
        </w:rPr>
        <w:t>malých, mladých a rodinných farmárov</w:t>
      </w:r>
    </w:p>
    <w:p w:rsidR="0083142A" w:rsidRPr="00FD3680" w:rsidRDefault="0083142A"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22192B" w:rsidRPr="00FD3680" w:rsidRDefault="0022192B" w:rsidP="0022192B">
      <w:pPr>
        <w:spacing w:after="0" w:line="240" w:lineRule="auto"/>
        <w:jc w:val="center"/>
        <w:rPr>
          <w:rFonts w:ascii="Times New Roman" w:hAnsi="Times New Roman" w:cs="Times New Roman"/>
          <w:sz w:val="30"/>
          <w:szCs w:val="30"/>
        </w:rPr>
      </w:pPr>
    </w:p>
    <w:p w:rsidR="00F633BF" w:rsidRPr="00FD3680" w:rsidRDefault="00F633BF" w:rsidP="0022192B">
      <w:pPr>
        <w:spacing w:after="0" w:line="240" w:lineRule="auto"/>
        <w:jc w:val="center"/>
        <w:rPr>
          <w:rFonts w:ascii="Times New Roman" w:hAnsi="Times New Roman" w:cs="Times New Roman"/>
          <w:sz w:val="30"/>
          <w:szCs w:val="30"/>
        </w:rPr>
      </w:pPr>
    </w:p>
    <w:p w:rsidR="0022192B" w:rsidRPr="00FD3680" w:rsidRDefault="00357FD0" w:rsidP="00357FD0">
      <w:pPr>
        <w:tabs>
          <w:tab w:val="left" w:pos="7051"/>
        </w:tabs>
        <w:spacing w:after="0" w:line="240" w:lineRule="auto"/>
        <w:rPr>
          <w:rFonts w:ascii="Times New Roman" w:hAnsi="Times New Roman" w:cs="Times New Roman"/>
          <w:sz w:val="24"/>
          <w:szCs w:val="24"/>
        </w:rPr>
      </w:pPr>
      <w:r w:rsidRPr="00FD3680">
        <w:rPr>
          <w:rFonts w:ascii="Times New Roman" w:hAnsi="Times New Roman" w:cs="Times New Roman"/>
          <w:sz w:val="24"/>
          <w:szCs w:val="24"/>
        </w:rPr>
        <w:tab/>
      </w: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tbl>
      <w:tblPr>
        <w:tblW w:w="9606" w:type="dxa"/>
        <w:tblLook w:val="04A0" w:firstRow="1" w:lastRow="0" w:firstColumn="1" w:lastColumn="0" w:noHBand="0" w:noVBand="1"/>
      </w:tblPr>
      <w:tblGrid>
        <w:gridCol w:w="4786"/>
        <w:gridCol w:w="4820"/>
      </w:tblGrid>
      <w:tr w:rsidR="00FD3680" w:rsidRPr="00FD3680" w:rsidTr="00E3642A">
        <w:trPr>
          <w:trHeight w:val="425"/>
        </w:trPr>
        <w:tc>
          <w:tcPr>
            <w:tcW w:w="9606" w:type="dxa"/>
            <w:gridSpan w:val="2"/>
            <w:shd w:val="clear" w:color="auto" w:fill="auto"/>
          </w:tcPr>
          <w:p w:rsidR="002479B1" w:rsidRPr="00FD3680" w:rsidRDefault="002479B1" w:rsidP="00E3642A">
            <w:pPr>
              <w:spacing w:after="0" w:line="240" w:lineRule="auto"/>
              <w:contextualSpacing/>
              <w:rPr>
                <w:rFonts w:ascii="Times New Roman" w:hAnsi="Times New Roman" w:cs="Times New Roman"/>
                <w:b/>
                <w:bCs/>
                <w:sz w:val="18"/>
                <w:szCs w:val="18"/>
              </w:rPr>
            </w:pPr>
            <w:r w:rsidRPr="00FD3680">
              <w:rPr>
                <w:rFonts w:ascii="Times New Roman" w:hAnsi="Times New Roman" w:cs="Times New Roman"/>
                <w:b/>
                <w:bCs/>
                <w:sz w:val="18"/>
                <w:szCs w:val="18"/>
                <w:u w:val="single"/>
                <w:lang w:eastAsia="sk-SK"/>
              </w:rPr>
              <w:t>Vedúci autorského kolektívu:</w:t>
            </w:r>
          </w:p>
        </w:tc>
      </w:tr>
      <w:tr w:rsidR="00FD3680" w:rsidRPr="00FD3680" w:rsidTr="00E3642A">
        <w:trPr>
          <w:trHeight w:val="828"/>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Jahnátek Ľubomír, prof. Ing. CSc.</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minister pôdohospodárstva a rozvoja vidieka SR</w:t>
            </w:r>
          </w:p>
        </w:tc>
        <w:tc>
          <w:tcPr>
            <w:tcW w:w="4820" w:type="dxa"/>
            <w:shd w:val="clear" w:color="auto" w:fill="auto"/>
          </w:tcPr>
          <w:p w:rsidR="002479B1" w:rsidRPr="00FD3680" w:rsidRDefault="002479B1" w:rsidP="00E3642A">
            <w:pPr>
              <w:spacing w:after="0" w:line="240" w:lineRule="auto"/>
              <w:contextualSpacing/>
              <w:rPr>
                <w:rFonts w:ascii="Times New Roman" w:hAnsi="Times New Roman" w:cs="Times New Roman"/>
                <w:b/>
                <w:bCs/>
                <w:sz w:val="18"/>
                <w:szCs w:val="18"/>
              </w:rPr>
            </w:pPr>
          </w:p>
        </w:tc>
      </w:tr>
      <w:tr w:rsidR="00FD3680" w:rsidRPr="00FD3680" w:rsidTr="00E3642A">
        <w:trPr>
          <w:trHeight w:val="469"/>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u w:val="single"/>
                <w:lang w:eastAsia="sk-SK"/>
              </w:rPr>
              <w:t>Autorský kolektív:</w:t>
            </w:r>
          </w:p>
        </w:tc>
        <w:tc>
          <w:tcPr>
            <w:tcW w:w="4820" w:type="dxa"/>
            <w:shd w:val="clear" w:color="auto" w:fill="auto"/>
          </w:tcPr>
          <w:p w:rsidR="002479B1" w:rsidRPr="00FD3680" w:rsidRDefault="002479B1" w:rsidP="00E3642A">
            <w:pPr>
              <w:spacing w:after="0" w:line="240" w:lineRule="auto"/>
              <w:contextualSpacing/>
              <w:rPr>
                <w:rFonts w:ascii="Times New Roman" w:hAnsi="Times New Roman" w:cs="Times New Roman"/>
                <w:b/>
                <w:bCs/>
                <w:sz w:val="18"/>
                <w:szCs w:val="18"/>
              </w:rPr>
            </w:pPr>
          </w:p>
        </w:tc>
      </w:tr>
      <w:tr w:rsidR="00FD3680" w:rsidRPr="00FD3680" w:rsidTr="00E3642A">
        <w:trPr>
          <w:trHeight w:val="641"/>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Adam Štefan, Ing.</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Štátny tajomník MPRV SR</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lang w:eastAsia="sk-SK"/>
              </w:rPr>
            </w:pPr>
            <w:r w:rsidRPr="00FD3680">
              <w:rPr>
                <w:rFonts w:ascii="Times New Roman" w:hAnsi="Times New Roman" w:cs="Times New Roman"/>
                <w:b/>
                <w:bCs/>
                <w:sz w:val="18"/>
                <w:szCs w:val="18"/>
                <w:lang w:eastAsia="sk-SK"/>
              </w:rPr>
              <w:t>Lacko Bartošová Magdaléna, prof. Ing. CSc.</w:t>
            </w:r>
          </w:p>
          <w:p w:rsidR="002479B1" w:rsidRPr="00FD3680" w:rsidRDefault="002479B1" w:rsidP="00E3642A">
            <w:pPr>
              <w:spacing w:after="0" w:line="240" w:lineRule="auto"/>
              <w:rPr>
                <w:rFonts w:ascii="Times New Roman" w:hAnsi="Times New Roman" w:cs="Times New Roman"/>
                <w:bCs/>
                <w:sz w:val="18"/>
                <w:szCs w:val="18"/>
              </w:rPr>
            </w:pPr>
            <w:r w:rsidRPr="00FD3680">
              <w:rPr>
                <w:rFonts w:ascii="Times New Roman" w:hAnsi="Times New Roman" w:cs="Times New Roman"/>
                <w:bCs/>
                <w:sz w:val="18"/>
                <w:szCs w:val="18"/>
                <w:lang w:eastAsia="sk-SK"/>
              </w:rPr>
              <w:t>Štátna tajomníčka MPRV SR</w:t>
            </w:r>
          </w:p>
        </w:tc>
      </w:tr>
      <w:tr w:rsidR="00FD3680" w:rsidRPr="00FD3680" w:rsidTr="00E3642A">
        <w:trPr>
          <w:trHeight w:val="641"/>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Barbarič Martin, Ing.</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Sekcia rozvoja vidieka a priamych platieb</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Lániková Denisa, Mgr. PhD.</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 xml:space="preserve">Sekcia </w:t>
            </w:r>
            <w:r w:rsidRPr="00FD3680">
              <w:rPr>
                <w:rFonts w:ascii="Times New Roman" w:hAnsi="Times New Roman" w:cs="Times New Roman"/>
                <w:sz w:val="18"/>
                <w:szCs w:val="18"/>
                <w:lang w:eastAsia="sk-SK"/>
              </w:rPr>
              <w:t>pôdohospodárskej politiky a rozpočtu</w:t>
            </w:r>
          </w:p>
        </w:tc>
      </w:tr>
      <w:tr w:rsidR="00FD3680" w:rsidRPr="00FD3680" w:rsidTr="00E3642A">
        <w:trPr>
          <w:trHeight w:val="641"/>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Bobovník Matej, Ing. Mgr.</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 xml:space="preserve">Sekcia </w:t>
            </w:r>
            <w:r w:rsidRPr="00FD3680">
              <w:rPr>
                <w:rFonts w:ascii="Times New Roman" w:hAnsi="Times New Roman" w:cs="Times New Roman"/>
                <w:sz w:val="18"/>
                <w:szCs w:val="18"/>
                <w:lang w:eastAsia="sk-SK"/>
              </w:rPr>
              <w:t>pôdohospodárskej politiky a rozpočtu</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Mihina Štefan, prof. Ing. PhD.</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sz w:val="18"/>
                <w:szCs w:val="18"/>
                <w:lang w:eastAsia="sk-SK"/>
              </w:rPr>
              <w:t>Národné poľnohospodárske a potravinárske centrum</w:t>
            </w:r>
          </w:p>
        </w:tc>
      </w:tr>
      <w:tr w:rsidR="00FD3680" w:rsidRPr="00FD3680" w:rsidTr="00E3642A">
        <w:trPr>
          <w:trHeight w:val="641"/>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 xml:space="preserve">Buday Štefan, doc. Ing. PhD.                           </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sz w:val="18"/>
                <w:szCs w:val="18"/>
                <w:lang w:eastAsia="sk-SK"/>
              </w:rPr>
              <w:t>Výskumný ústav ekonomiky poľnohospodárstva</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rPr>
              <w:t>Nouzovská Zuzana, Ing.</w:t>
            </w:r>
          </w:p>
          <w:p w:rsidR="002479B1" w:rsidRPr="00FD3680" w:rsidRDefault="002479B1" w:rsidP="00E3642A">
            <w:pPr>
              <w:spacing w:after="0" w:line="240" w:lineRule="auto"/>
              <w:rPr>
                <w:rFonts w:ascii="Times New Roman" w:hAnsi="Times New Roman" w:cs="Times New Roman"/>
                <w:bCs/>
                <w:sz w:val="18"/>
                <w:szCs w:val="18"/>
              </w:rPr>
            </w:pPr>
            <w:r w:rsidRPr="00FD3680">
              <w:rPr>
                <w:rFonts w:ascii="Times New Roman" w:hAnsi="Times New Roman" w:cs="Times New Roman"/>
                <w:bCs/>
                <w:sz w:val="18"/>
                <w:szCs w:val="18"/>
              </w:rPr>
              <w:t>Sekcia potravinárstva a obchodu</w:t>
            </w:r>
          </w:p>
        </w:tc>
      </w:tr>
      <w:tr w:rsidR="00FD3680" w:rsidRPr="00FD3680" w:rsidTr="00E3642A">
        <w:trPr>
          <w:trHeight w:val="600"/>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lang w:eastAsia="sk-SK"/>
              </w:rPr>
            </w:pPr>
            <w:r w:rsidRPr="00FD3680">
              <w:rPr>
                <w:rFonts w:ascii="Times New Roman" w:hAnsi="Times New Roman" w:cs="Times New Roman"/>
                <w:b/>
                <w:bCs/>
                <w:sz w:val="18"/>
                <w:szCs w:val="18"/>
                <w:lang w:eastAsia="sk-SK"/>
              </w:rPr>
              <w:t>Círia František, Mgr.</w:t>
            </w:r>
          </w:p>
          <w:p w:rsidR="002479B1" w:rsidRPr="00FD3680" w:rsidRDefault="002479B1" w:rsidP="00E3642A">
            <w:pPr>
              <w:spacing w:after="0" w:line="240" w:lineRule="auto"/>
              <w:rPr>
                <w:rFonts w:ascii="Times New Roman" w:hAnsi="Times New Roman" w:cs="Times New Roman"/>
                <w:sz w:val="18"/>
                <w:szCs w:val="18"/>
                <w:lang w:eastAsia="sk-SK"/>
              </w:rPr>
            </w:pPr>
            <w:r w:rsidRPr="00FD3680">
              <w:rPr>
                <w:rFonts w:ascii="Times New Roman" w:hAnsi="Times New Roman" w:cs="Times New Roman"/>
                <w:sz w:val="18"/>
                <w:szCs w:val="18"/>
                <w:lang w:eastAsia="sk-SK"/>
              </w:rPr>
              <w:t>Sekcia rozvoja vidieka a priamych platieb</w:t>
            </w:r>
          </w:p>
          <w:p w:rsidR="002479B1" w:rsidRPr="00FD3680" w:rsidRDefault="002479B1" w:rsidP="00E3642A">
            <w:pPr>
              <w:spacing w:after="0" w:line="240" w:lineRule="auto"/>
              <w:rPr>
                <w:rFonts w:ascii="Times New Roman" w:hAnsi="Times New Roman" w:cs="Times New Roman"/>
                <w:b/>
                <w:bCs/>
                <w:sz w:val="18"/>
                <w:szCs w:val="18"/>
                <w:lang w:eastAsia="sk-SK"/>
              </w:rPr>
            </w:pP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Pagáčová Dagmar, JUDr.</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Odbor zahraničnej koordinácie</w:t>
            </w:r>
          </w:p>
        </w:tc>
      </w:tr>
      <w:tr w:rsidR="00FD3680" w:rsidRPr="00FD3680" w:rsidTr="00E3642A">
        <w:trPr>
          <w:trHeight w:val="424"/>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Frešová Lýdia, Mgr.</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Odbor zahraničnej koordinácie</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Puškáč Jaroslav, JUDr.</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Sekcia legislatívy</w:t>
            </w:r>
          </w:p>
        </w:tc>
      </w:tr>
      <w:tr w:rsidR="00FD3680" w:rsidRPr="00FD3680" w:rsidTr="00E3642A">
        <w:trPr>
          <w:trHeight w:val="631"/>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lang w:eastAsia="sk-SK"/>
              </w:rPr>
            </w:pP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Hrdá Andrea, Ing.</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Sekcia poľnohospodárstva</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rPr>
              <w:t>Tatarka Peter, Ing.</w:t>
            </w:r>
          </w:p>
          <w:p w:rsidR="002479B1" w:rsidRPr="00FD3680" w:rsidRDefault="002479B1" w:rsidP="00E3642A">
            <w:pPr>
              <w:spacing w:after="0" w:line="240" w:lineRule="auto"/>
              <w:rPr>
                <w:rFonts w:cs="Times New Roman"/>
              </w:rPr>
            </w:pPr>
            <w:r w:rsidRPr="00FD3680">
              <w:rPr>
                <w:rFonts w:ascii="Times New Roman" w:hAnsi="Times New Roman" w:cs="Times New Roman"/>
                <w:bCs/>
                <w:sz w:val="18"/>
                <w:szCs w:val="18"/>
              </w:rPr>
              <w:t>Sekcia potravinárstva a obchodu</w:t>
            </w:r>
          </w:p>
        </w:tc>
      </w:tr>
      <w:tr w:rsidR="00FD3680" w:rsidRPr="00FD3680" w:rsidTr="00E3642A">
        <w:trPr>
          <w:trHeight w:val="631"/>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lang w:eastAsia="sk-SK"/>
              </w:rPr>
            </w:pP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Illáš Martin, Mgr.</w:t>
            </w:r>
          </w:p>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Cs/>
                <w:sz w:val="18"/>
                <w:szCs w:val="18"/>
                <w:lang w:eastAsia="sk-SK"/>
              </w:rPr>
              <w:t>Sekcia legislatívy</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lang w:eastAsia="sk-SK"/>
              </w:rPr>
            </w:pPr>
          </w:p>
          <w:p w:rsidR="002479B1" w:rsidRPr="00FD3680" w:rsidRDefault="002479B1" w:rsidP="00E3642A">
            <w:pPr>
              <w:spacing w:after="0" w:line="240" w:lineRule="auto"/>
              <w:rPr>
                <w:rFonts w:ascii="Times New Roman" w:hAnsi="Times New Roman" w:cs="Times New Roman"/>
                <w:b/>
                <w:bCs/>
                <w:sz w:val="18"/>
                <w:szCs w:val="18"/>
                <w:lang w:eastAsia="sk-SK"/>
              </w:rPr>
            </w:pPr>
            <w:r w:rsidRPr="00FD3680">
              <w:rPr>
                <w:rFonts w:ascii="Times New Roman" w:hAnsi="Times New Roman" w:cs="Times New Roman"/>
                <w:b/>
                <w:bCs/>
                <w:sz w:val="18"/>
                <w:szCs w:val="18"/>
                <w:lang w:eastAsia="sk-SK"/>
              </w:rPr>
              <w:t>Vajs Ján, Ing.</w:t>
            </w:r>
          </w:p>
          <w:p w:rsidR="002479B1" w:rsidRPr="00FD3680" w:rsidRDefault="002479B1" w:rsidP="00E3642A">
            <w:pPr>
              <w:spacing w:after="0" w:line="240" w:lineRule="auto"/>
              <w:rPr>
                <w:rFonts w:ascii="Times New Roman" w:hAnsi="Times New Roman" w:cs="Times New Roman"/>
                <w:bCs/>
                <w:sz w:val="18"/>
                <w:szCs w:val="18"/>
                <w:lang w:eastAsia="sk-SK"/>
              </w:rPr>
            </w:pPr>
            <w:r w:rsidRPr="00FD3680">
              <w:rPr>
                <w:rFonts w:ascii="Times New Roman" w:hAnsi="Times New Roman" w:cs="Times New Roman"/>
                <w:bCs/>
                <w:sz w:val="18"/>
                <w:szCs w:val="18"/>
                <w:lang w:eastAsia="sk-SK"/>
              </w:rPr>
              <w:t>Sekcia poľnohospodárstva</w:t>
            </w:r>
          </w:p>
          <w:p w:rsidR="002479B1" w:rsidRPr="00FD3680" w:rsidRDefault="002479B1" w:rsidP="00E3642A">
            <w:pPr>
              <w:spacing w:after="0" w:line="240" w:lineRule="auto"/>
              <w:rPr>
                <w:rFonts w:cs="Times New Roman"/>
              </w:rPr>
            </w:pPr>
          </w:p>
        </w:tc>
      </w:tr>
      <w:tr w:rsidR="00FD3680" w:rsidRPr="00FD3680" w:rsidTr="00E3642A">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r w:rsidRPr="00FD3680">
              <w:rPr>
                <w:rFonts w:ascii="Times New Roman" w:hAnsi="Times New Roman" w:cs="Times New Roman"/>
                <w:b/>
                <w:bCs/>
                <w:sz w:val="18"/>
                <w:szCs w:val="18"/>
                <w:lang w:eastAsia="sk-SK"/>
              </w:rPr>
              <w:t>Jánošíková Slávka, Ing. PhD.</w:t>
            </w:r>
          </w:p>
          <w:p w:rsidR="002479B1" w:rsidRPr="00FD3680" w:rsidRDefault="002479B1" w:rsidP="00E3642A">
            <w:pPr>
              <w:rPr>
                <w:rFonts w:ascii="Times New Roman" w:hAnsi="Times New Roman" w:cs="Times New Roman"/>
                <w:sz w:val="18"/>
                <w:szCs w:val="18"/>
              </w:rPr>
            </w:pPr>
            <w:r w:rsidRPr="00FD3680">
              <w:rPr>
                <w:rFonts w:ascii="Times New Roman" w:hAnsi="Times New Roman" w:cs="Times New Roman"/>
                <w:sz w:val="18"/>
                <w:szCs w:val="18"/>
                <w:lang w:eastAsia="sk-SK"/>
              </w:rPr>
              <w:t>Sekcia pôdohospodárskej politiky a rozpočtu</w:t>
            </w:r>
          </w:p>
        </w:tc>
        <w:tc>
          <w:tcPr>
            <w:tcW w:w="4820" w:type="dxa"/>
            <w:shd w:val="clear" w:color="auto" w:fill="auto"/>
          </w:tcPr>
          <w:p w:rsidR="002479B1" w:rsidRPr="00FD3680" w:rsidRDefault="002479B1" w:rsidP="00E3642A">
            <w:pPr>
              <w:spacing w:after="0" w:line="240" w:lineRule="auto"/>
              <w:rPr>
                <w:rFonts w:ascii="Times New Roman" w:hAnsi="Times New Roman" w:cs="Times New Roman"/>
                <w:b/>
                <w:bCs/>
                <w:sz w:val="18"/>
                <w:szCs w:val="18"/>
                <w:lang w:eastAsia="sk-SK"/>
              </w:rPr>
            </w:pPr>
            <w:r w:rsidRPr="00FD3680">
              <w:rPr>
                <w:rFonts w:ascii="Times New Roman" w:hAnsi="Times New Roman" w:cs="Times New Roman"/>
                <w:b/>
                <w:bCs/>
                <w:sz w:val="18"/>
                <w:szCs w:val="18"/>
                <w:lang w:eastAsia="sk-SK"/>
              </w:rPr>
              <w:t>Vargová Jana, Ing. PhD.</w:t>
            </w:r>
          </w:p>
          <w:p w:rsidR="002479B1" w:rsidRPr="00FD3680" w:rsidRDefault="002479B1" w:rsidP="00E3642A">
            <w:pPr>
              <w:spacing w:after="0" w:line="240" w:lineRule="auto"/>
              <w:rPr>
                <w:rFonts w:ascii="Times New Roman" w:hAnsi="Times New Roman" w:cs="Times New Roman"/>
                <w:sz w:val="18"/>
                <w:szCs w:val="18"/>
                <w:lang w:eastAsia="sk-SK"/>
              </w:rPr>
            </w:pPr>
            <w:r w:rsidRPr="00FD3680">
              <w:rPr>
                <w:rFonts w:ascii="Times New Roman" w:hAnsi="Times New Roman" w:cs="Times New Roman"/>
                <w:sz w:val="18"/>
                <w:szCs w:val="18"/>
                <w:lang w:eastAsia="sk-SK"/>
              </w:rPr>
              <w:t>Sekcia poľnohospodárstva</w:t>
            </w:r>
          </w:p>
          <w:p w:rsidR="002479B1" w:rsidRPr="00FD3680" w:rsidRDefault="002479B1" w:rsidP="00E3642A">
            <w:pPr>
              <w:spacing w:after="0" w:line="240" w:lineRule="auto"/>
              <w:rPr>
                <w:rFonts w:cs="Times New Roman"/>
              </w:rPr>
            </w:pPr>
          </w:p>
        </w:tc>
      </w:tr>
      <w:tr w:rsidR="00FD3680" w:rsidRPr="00FD3680" w:rsidTr="00E3642A">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lang w:eastAsia="sk-SK"/>
              </w:rPr>
            </w:pPr>
            <w:r w:rsidRPr="00FD3680">
              <w:rPr>
                <w:rFonts w:ascii="Times New Roman" w:hAnsi="Times New Roman" w:cs="Times New Roman"/>
                <w:b/>
                <w:bCs/>
                <w:sz w:val="18"/>
                <w:szCs w:val="18"/>
                <w:lang w:eastAsia="sk-SK"/>
              </w:rPr>
              <w:t>Krištofíková Jana, Ing.</w:t>
            </w:r>
          </w:p>
          <w:p w:rsidR="002479B1" w:rsidRPr="00FD3680" w:rsidRDefault="002479B1" w:rsidP="00E3642A">
            <w:pPr>
              <w:spacing w:after="0" w:line="240" w:lineRule="auto"/>
              <w:rPr>
                <w:rFonts w:ascii="Times New Roman" w:hAnsi="Times New Roman" w:cs="Times New Roman"/>
                <w:b/>
                <w:bCs/>
                <w:sz w:val="18"/>
                <w:szCs w:val="18"/>
                <w:lang w:eastAsia="sk-SK"/>
              </w:rPr>
            </w:pPr>
            <w:r w:rsidRPr="00FD3680">
              <w:rPr>
                <w:rFonts w:ascii="Times New Roman" w:hAnsi="Times New Roman" w:cs="Times New Roman"/>
                <w:bCs/>
                <w:sz w:val="18"/>
                <w:szCs w:val="18"/>
                <w:lang w:eastAsia="sk-SK"/>
              </w:rPr>
              <w:t>Sekcia rozvoja vidieka a priamych platieb</w:t>
            </w:r>
          </w:p>
          <w:p w:rsidR="002479B1" w:rsidRPr="00FD3680" w:rsidRDefault="002479B1" w:rsidP="00E3642A">
            <w:pPr>
              <w:spacing w:after="0" w:line="240" w:lineRule="auto"/>
              <w:rPr>
                <w:rFonts w:ascii="Times New Roman" w:hAnsi="Times New Roman" w:cs="Times New Roman"/>
                <w:bCs/>
                <w:sz w:val="18"/>
                <w:szCs w:val="18"/>
              </w:rPr>
            </w:pPr>
          </w:p>
        </w:tc>
        <w:tc>
          <w:tcPr>
            <w:tcW w:w="4820" w:type="dxa"/>
            <w:shd w:val="clear" w:color="auto" w:fill="auto"/>
          </w:tcPr>
          <w:p w:rsidR="002479B1" w:rsidRPr="00FD3680" w:rsidRDefault="002479B1" w:rsidP="00E3642A">
            <w:pPr>
              <w:spacing w:after="0" w:line="240" w:lineRule="auto"/>
              <w:rPr>
                <w:rFonts w:ascii="Times New Roman" w:hAnsi="Times New Roman" w:cs="Times New Roman"/>
                <w:sz w:val="18"/>
                <w:szCs w:val="18"/>
                <w:lang w:eastAsia="sk-SK"/>
              </w:rPr>
            </w:pPr>
          </w:p>
          <w:p w:rsidR="002479B1" w:rsidRPr="00FD3680" w:rsidRDefault="002479B1" w:rsidP="00E3642A">
            <w:pPr>
              <w:spacing w:after="0" w:line="240" w:lineRule="auto"/>
              <w:rPr>
                <w:rFonts w:cs="Times New Roman"/>
              </w:rPr>
            </w:pPr>
          </w:p>
        </w:tc>
      </w:tr>
      <w:tr w:rsidR="00FD3680" w:rsidRPr="00FD3680" w:rsidTr="00E3642A">
        <w:tc>
          <w:tcPr>
            <w:tcW w:w="4786" w:type="dxa"/>
            <w:shd w:val="clear" w:color="auto" w:fill="auto"/>
          </w:tcPr>
          <w:p w:rsidR="002479B1" w:rsidRPr="00FD3680" w:rsidRDefault="002479B1" w:rsidP="002479B1">
            <w:pPr>
              <w:spacing w:after="0" w:line="240" w:lineRule="auto"/>
              <w:rPr>
                <w:rFonts w:ascii="Times New Roman" w:hAnsi="Times New Roman" w:cs="Times New Roman"/>
                <w:bCs/>
                <w:sz w:val="18"/>
                <w:szCs w:val="18"/>
              </w:rPr>
            </w:pPr>
          </w:p>
        </w:tc>
        <w:tc>
          <w:tcPr>
            <w:tcW w:w="4820" w:type="dxa"/>
            <w:shd w:val="clear" w:color="auto" w:fill="auto"/>
          </w:tcPr>
          <w:p w:rsidR="002479B1" w:rsidRPr="00FD3680" w:rsidRDefault="002479B1" w:rsidP="00E3642A">
            <w:pPr>
              <w:spacing w:after="0" w:line="240" w:lineRule="auto"/>
              <w:rPr>
                <w:rFonts w:ascii="Times New Roman" w:hAnsi="Times New Roman" w:cs="Times New Roman"/>
                <w:sz w:val="18"/>
                <w:szCs w:val="18"/>
                <w:lang w:eastAsia="sk-SK"/>
              </w:rPr>
            </w:pPr>
          </w:p>
          <w:p w:rsidR="002479B1" w:rsidRPr="00FD3680" w:rsidRDefault="002479B1" w:rsidP="00E3642A">
            <w:pPr>
              <w:spacing w:after="0" w:line="240" w:lineRule="auto"/>
              <w:rPr>
                <w:rFonts w:cs="Times New Roman"/>
              </w:rPr>
            </w:pPr>
          </w:p>
        </w:tc>
      </w:tr>
      <w:tr w:rsidR="00FD3680" w:rsidRPr="00FD3680" w:rsidTr="00E3642A">
        <w:trPr>
          <w:trHeight w:val="680"/>
        </w:trPr>
        <w:tc>
          <w:tcPr>
            <w:tcW w:w="4786" w:type="dxa"/>
            <w:shd w:val="clear" w:color="auto" w:fill="auto"/>
          </w:tcPr>
          <w:p w:rsidR="002479B1" w:rsidRPr="00FD3680" w:rsidRDefault="002479B1" w:rsidP="00E3642A">
            <w:pPr>
              <w:spacing w:after="0" w:line="240" w:lineRule="auto"/>
              <w:rPr>
                <w:rFonts w:ascii="Times New Roman" w:hAnsi="Times New Roman" w:cs="Times New Roman"/>
                <w:b/>
                <w:bCs/>
                <w:sz w:val="18"/>
                <w:szCs w:val="18"/>
              </w:rPr>
            </w:pPr>
          </w:p>
        </w:tc>
        <w:tc>
          <w:tcPr>
            <w:tcW w:w="4820" w:type="dxa"/>
            <w:shd w:val="clear" w:color="auto" w:fill="auto"/>
          </w:tcPr>
          <w:p w:rsidR="002479B1" w:rsidRPr="00FD3680" w:rsidRDefault="002479B1" w:rsidP="00E3642A">
            <w:pPr>
              <w:spacing w:after="0" w:line="240" w:lineRule="auto"/>
              <w:rPr>
                <w:rFonts w:cs="Times New Roman"/>
              </w:rPr>
            </w:pPr>
          </w:p>
        </w:tc>
      </w:tr>
    </w:tbl>
    <w:p w:rsidR="002479B1" w:rsidRPr="00FD3680" w:rsidRDefault="002479B1"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E561DC" w:rsidRPr="00FD3680" w:rsidRDefault="00E561DC" w:rsidP="0022192B">
      <w:pPr>
        <w:spacing w:after="0" w:line="240" w:lineRule="auto"/>
        <w:jc w:val="center"/>
        <w:rPr>
          <w:rFonts w:ascii="Times New Roman" w:hAnsi="Times New Roman" w:cs="Times New Roman"/>
          <w:sz w:val="24"/>
          <w:szCs w:val="24"/>
        </w:rPr>
      </w:pPr>
    </w:p>
    <w:p w:rsidR="00E561DC" w:rsidRPr="00FD3680" w:rsidRDefault="00E561DC" w:rsidP="0022192B">
      <w:pPr>
        <w:spacing w:after="0" w:line="240" w:lineRule="auto"/>
        <w:jc w:val="center"/>
        <w:rPr>
          <w:rFonts w:ascii="Times New Roman" w:hAnsi="Times New Roman" w:cs="Times New Roman"/>
          <w:sz w:val="24"/>
          <w:szCs w:val="24"/>
        </w:rPr>
      </w:pPr>
    </w:p>
    <w:p w:rsidR="00E561DC" w:rsidRPr="00FD3680" w:rsidRDefault="00E561DC"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479B1" w:rsidRPr="00FD3680" w:rsidRDefault="002479B1"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p w:rsidR="0022192B" w:rsidRPr="00FD3680" w:rsidRDefault="0022192B" w:rsidP="0022192B">
      <w:pPr>
        <w:spacing w:after="0" w:line="240" w:lineRule="auto"/>
        <w:jc w:val="center"/>
        <w:rPr>
          <w:rFonts w:ascii="Times New Roman" w:hAnsi="Times New Roman" w:cs="Times New Roman"/>
          <w:sz w:val="24"/>
          <w:szCs w:val="24"/>
        </w:rPr>
      </w:pPr>
    </w:p>
    <w:sdt>
      <w:sdtPr>
        <w:rPr>
          <w:rFonts w:asciiTheme="minorHAnsi" w:eastAsiaTheme="minorHAnsi" w:hAnsiTheme="minorHAnsi" w:cstheme="minorBidi"/>
          <w:b w:val="0"/>
          <w:bCs w:val="0"/>
          <w:caps w:val="0"/>
          <w:sz w:val="22"/>
          <w:szCs w:val="22"/>
          <w:lang w:eastAsia="en-US"/>
        </w:rPr>
        <w:id w:val="1428919735"/>
        <w:docPartObj>
          <w:docPartGallery w:val="Table of Contents"/>
          <w:docPartUnique/>
        </w:docPartObj>
      </w:sdtPr>
      <w:sdtEndPr/>
      <w:sdtContent>
        <w:p w:rsidR="00C345A7" w:rsidRPr="00FD3680" w:rsidRDefault="00C345A7" w:rsidP="00C345A7">
          <w:pPr>
            <w:pStyle w:val="Hlavikaobsahu"/>
            <w:numPr>
              <w:ilvl w:val="0"/>
              <w:numId w:val="0"/>
            </w:numPr>
            <w:spacing w:before="0" w:line="240" w:lineRule="auto"/>
            <w:ind w:left="431" w:hanging="431"/>
          </w:pPr>
          <w:r w:rsidRPr="00FD3680">
            <w:t>Obsah</w:t>
          </w:r>
        </w:p>
        <w:p w:rsidR="00293ED7" w:rsidRPr="00FD3680" w:rsidRDefault="00293ED7" w:rsidP="00293ED7">
          <w:pPr>
            <w:rPr>
              <w:lang w:eastAsia="sk-SK"/>
            </w:rPr>
          </w:pPr>
        </w:p>
        <w:p w:rsidR="00C345A7" w:rsidRPr="00FD3680" w:rsidRDefault="00C345A7" w:rsidP="00C345A7">
          <w:pPr>
            <w:spacing w:after="0" w:line="240" w:lineRule="auto"/>
            <w:rPr>
              <w:sz w:val="10"/>
              <w:szCs w:val="10"/>
              <w:lang w:eastAsia="sk-SK"/>
            </w:rPr>
          </w:pPr>
        </w:p>
        <w:p w:rsidR="00174101" w:rsidRPr="00FD3680" w:rsidRDefault="007D09A8" w:rsidP="00C3191F">
          <w:pPr>
            <w:pStyle w:val="Obsah1"/>
            <w:rPr>
              <w:rStyle w:val="Hypertextovprepojenie"/>
              <w:color w:val="auto"/>
            </w:rPr>
          </w:pPr>
          <w:r w:rsidRPr="00FD3680">
            <w:fldChar w:fldCharType="begin"/>
          </w:r>
          <w:r w:rsidR="00C345A7" w:rsidRPr="00FD3680">
            <w:instrText xml:space="preserve"> TOC \o "1-3" \h \z \u </w:instrText>
          </w:r>
          <w:r w:rsidRPr="00FD3680">
            <w:fldChar w:fldCharType="separate"/>
          </w:r>
          <w:hyperlink w:anchor="_Toc394589413" w:history="1">
            <w:r w:rsidR="00C345A7" w:rsidRPr="00FD3680">
              <w:rPr>
                <w:rStyle w:val="Hypertextovprepojenie"/>
                <w:color w:val="auto"/>
              </w:rPr>
              <w:t>1</w:t>
            </w:r>
            <w:r w:rsidR="00C345A7" w:rsidRPr="00FD3680">
              <w:tab/>
            </w:r>
            <w:r w:rsidR="00C345A7" w:rsidRPr="00FD3680">
              <w:rPr>
                <w:rStyle w:val="Hypertextovprepojenie"/>
                <w:color w:val="auto"/>
              </w:rPr>
              <w:t>Východiská koncepcie</w:t>
            </w:r>
            <w:r w:rsidR="00C345A7" w:rsidRPr="00FD3680">
              <w:rPr>
                <w:webHidden/>
              </w:rPr>
              <w:tab/>
            </w:r>
            <w:r w:rsidRPr="00FD3680">
              <w:rPr>
                <w:webHidden/>
              </w:rPr>
              <w:fldChar w:fldCharType="begin"/>
            </w:r>
            <w:r w:rsidR="00C345A7" w:rsidRPr="00FD3680">
              <w:rPr>
                <w:webHidden/>
              </w:rPr>
              <w:instrText xml:space="preserve"> PAGEREF _Toc394589413 \h </w:instrText>
            </w:r>
            <w:r w:rsidRPr="00FD3680">
              <w:rPr>
                <w:webHidden/>
              </w:rPr>
            </w:r>
            <w:r w:rsidRPr="00FD3680">
              <w:rPr>
                <w:webHidden/>
              </w:rPr>
              <w:fldChar w:fldCharType="separate"/>
            </w:r>
            <w:r w:rsidR="002479B1" w:rsidRPr="00FD3680">
              <w:rPr>
                <w:webHidden/>
              </w:rPr>
              <w:t>4</w:t>
            </w:r>
            <w:r w:rsidRPr="00FD3680">
              <w:rPr>
                <w:webHidden/>
              </w:rPr>
              <w:fldChar w:fldCharType="end"/>
            </w:r>
          </w:hyperlink>
        </w:p>
        <w:p w:rsidR="00174101" w:rsidRPr="00FD3680" w:rsidRDefault="00174101" w:rsidP="00174101">
          <w:pPr>
            <w:spacing w:after="0"/>
            <w:rPr>
              <w:noProof/>
            </w:rPr>
          </w:pPr>
        </w:p>
        <w:p w:rsidR="00C345A7" w:rsidRPr="00FD3680" w:rsidRDefault="00664AA4" w:rsidP="00995A3D">
          <w:pPr>
            <w:pStyle w:val="Obsah1"/>
            <w:ind w:left="435" w:hanging="435"/>
          </w:pPr>
          <w:hyperlink w:anchor="_Toc394589414" w:history="1">
            <w:r w:rsidR="00C345A7" w:rsidRPr="00FD3680">
              <w:rPr>
                <w:rStyle w:val="Hypertextovprepojenie"/>
                <w:color w:val="auto"/>
              </w:rPr>
              <w:t>2</w:t>
            </w:r>
            <w:r w:rsidR="00C345A7" w:rsidRPr="00FD3680">
              <w:tab/>
            </w:r>
            <w:r w:rsidR="00C345A7" w:rsidRPr="00FD3680">
              <w:rPr>
                <w:rStyle w:val="Hypertextovprepojenie"/>
                <w:color w:val="auto"/>
              </w:rPr>
              <w:t>Analýza súčasného stavu využitia základných výrobných faktorov              v poľnohospodárstve</w:t>
            </w:r>
            <w:r w:rsidR="00C345A7" w:rsidRPr="00FD3680">
              <w:rPr>
                <w:webHidden/>
              </w:rPr>
              <w:tab/>
            </w:r>
            <w:r w:rsidR="007D09A8" w:rsidRPr="00FD3680">
              <w:rPr>
                <w:webHidden/>
              </w:rPr>
              <w:fldChar w:fldCharType="begin"/>
            </w:r>
            <w:r w:rsidR="00C345A7" w:rsidRPr="00FD3680">
              <w:rPr>
                <w:webHidden/>
              </w:rPr>
              <w:instrText xml:space="preserve"> PAGEREF _Toc394589414 \h </w:instrText>
            </w:r>
            <w:r w:rsidR="007D09A8" w:rsidRPr="00FD3680">
              <w:rPr>
                <w:webHidden/>
              </w:rPr>
            </w:r>
            <w:r w:rsidR="007D09A8" w:rsidRPr="00FD3680">
              <w:rPr>
                <w:webHidden/>
              </w:rPr>
              <w:fldChar w:fldCharType="separate"/>
            </w:r>
            <w:r w:rsidR="002479B1" w:rsidRPr="00FD3680">
              <w:rPr>
                <w:webHidden/>
              </w:rPr>
              <w:t>6</w:t>
            </w:r>
            <w:r w:rsidR="007D09A8" w:rsidRPr="00FD3680">
              <w:rPr>
                <w:webHidden/>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15" w:history="1">
            <w:r w:rsidR="00C345A7" w:rsidRPr="00FD3680">
              <w:rPr>
                <w:rStyle w:val="Hypertextovprepojenie"/>
                <w:rFonts w:ascii="Times New Roman" w:hAnsi="Times New Roman" w:cs="Times New Roman"/>
                <w:noProof/>
                <w:color w:val="auto"/>
                <w:sz w:val="20"/>
                <w:szCs w:val="20"/>
              </w:rPr>
              <w:t>2.1</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Práca</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_Toc394589415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6</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16" w:history="1">
            <w:r w:rsidR="00C345A7" w:rsidRPr="00FD3680">
              <w:rPr>
                <w:rStyle w:val="Hypertextovprepojenie"/>
                <w:rFonts w:ascii="Times New Roman" w:hAnsi="Times New Roman" w:cs="Times New Roman"/>
                <w:noProof/>
                <w:color w:val="auto"/>
                <w:sz w:val="20"/>
                <w:szCs w:val="20"/>
              </w:rPr>
              <w:t>2.2</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Pôda</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_Toc394589416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8</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2"/>
            <w:tabs>
              <w:tab w:val="left" w:pos="880"/>
              <w:tab w:val="right" w:leader="dot" w:pos="9062"/>
            </w:tabs>
            <w:spacing w:after="0" w:line="240" w:lineRule="auto"/>
            <w:rPr>
              <w:rStyle w:val="Hypertextovprepojenie"/>
              <w:rFonts w:ascii="Times New Roman" w:hAnsi="Times New Roman" w:cs="Times New Roman"/>
              <w:noProof/>
              <w:color w:val="auto"/>
              <w:sz w:val="20"/>
              <w:szCs w:val="20"/>
            </w:rPr>
          </w:pPr>
          <w:hyperlink w:anchor="_Toc394589417" w:history="1">
            <w:r w:rsidR="00C345A7" w:rsidRPr="00FD3680">
              <w:rPr>
                <w:rStyle w:val="Hypertextovprepojenie"/>
                <w:rFonts w:ascii="Times New Roman" w:hAnsi="Times New Roman" w:cs="Times New Roman"/>
                <w:noProof/>
                <w:color w:val="auto"/>
                <w:sz w:val="20"/>
                <w:szCs w:val="20"/>
              </w:rPr>
              <w:t>2.3</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Kapitálové vybavenie</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_Toc394589417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11</w:t>
            </w:r>
            <w:r w:rsidR="007D09A8" w:rsidRPr="00FD3680">
              <w:rPr>
                <w:rFonts w:ascii="Times New Roman" w:hAnsi="Times New Roman" w:cs="Times New Roman"/>
                <w:noProof/>
                <w:webHidden/>
                <w:sz w:val="20"/>
                <w:szCs w:val="20"/>
              </w:rPr>
              <w:fldChar w:fldCharType="end"/>
            </w:r>
          </w:hyperlink>
        </w:p>
        <w:p w:rsidR="00174101" w:rsidRPr="00FD3680" w:rsidRDefault="00174101" w:rsidP="00174101">
          <w:pPr>
            <w:spacing w:after="0"/>
            <w:rPr>
              <w:noProof/>
            </w:rPr>
          </w:pPr>
        </w:p>
        <w:p w:rsidR="00C345A7" w:rsidRPr="00FD3680" w:rsidRDefault="00664AA4" w:rsidP="00995A3D">
          <w:pPr>
            <w:pStyle w:val="Obsah1"/>
            <w:ind w:left="435" w:hanging="435"/>
          </w:pPr>
          <w:hyperlink w:anchor="_Toc394589418" w:history="1">
            <w:r w:rsidR="00C345A7" w:rsidRPr="00FD3680">
              <w:rPr>
                <w:rStyle w:val="Hypertextovprepojenie"/>
                <w:color w:val="auto"/>
              </w:rPr>
              <w:t>3</w:t>
            </w:r>
            <w:r w:rsidR="00C345A7" w:rsidRPr="00FD3680">
              <w:tab/>
            </w:r>
            <w:r w:rsidR="00C345A7" w:rsidRPr="00FD3680">
              <w:rPr>
                <w:rStyle w:val="Hypertextovprepojenie"/>
                <w:color w:val="auto"/>
              </w:rPr>
              <w:t>Nevyhnutné kroky pre nastolenie optimálneho stavu využiteľnosti základných výrobných faktorov cieľovou skupinou      poľnohospodárskych subjektov</w:t>
            </w:r>
            <w:r w:rsidR="00C345A7" w:rsidRPr="00FD3680">
              <w:rPr>
                <w:webHidden/>
              </w:rPr>
              <w:tab/>
            </w:r>
            <w:r w:rsidR="007D09A8" w:rsidRPr="00FD3680">
              <w:rPr>
                <w:webHidden/>
              </w:rPr>
              <w:fldChar w:fldCharType="begin"/>
            </w:r>
            <w:r w:rsidR="00C345A7" w:rsidRPr="00FD3680">
              <w:rPr>
                <w:webHidden/>
              </w:rPr>
              <w:instrText xml:space="preserve"> PAGEREF _Toc394589418 \h </w:instrText>
            </w:r>
            <w:r w:rsidR="007D09A8" w:rsidRPr="00FD3680">
              <w:rPr>
                <w:webHidden/>
              </w:rPr>
            </w:r>
            <w:r w:rsidR="007D09A8" w:rsidRPr="00FD3680">
              <w:rPr>
                <w:webHidden/>
              </w:rPr>
              <w:fldChar w:fldCharType="separate"/>
            </w:r>
            <w:r w:rsidR="002479B1" w:rsidRPr="00FD3680">
              <w:rPr>
                <w:webHidden/>
              </w:rPr>
              <w:t>14</w:t>
            </w:r>
            <w:r w:rsidR="007D09A8" w:rsidRPr="00FD3680">
              <w:rPr>
                <w:webHidden/>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19" w:history="1">
            <w:r w:rsidR="00C345A7" w:rsidRPr="00FD3680">
              <w:rPr>
                <w:rStyle w:val="Hypertextovprepojenie"/>
                <w:rFonts w:ascii="Times New Roman" w:hAnsi="Times New Roman" w:cs="Times New Roman"/>
                <w:noProof/>
                <w:color w:val="auto"/>
                <w:sz w:val="20"/>
                <w:szCs w:val="20"/>
              </w:rPr>
              <w:t>3.1</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Podpora prístupu k poľnohospodárskej pôde</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_Toc394589419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15</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3"/>
            <w:spacing w:after="0" w:line="240" w:lineRule="auto"/>
          </w:pPr>
          <w:hyperlink w:anchor="_Toc394589424" w:history="1">
            <w:r w:rsidR="00174101" w:rsidRPr="00FD3680">
              <w:rPr>
                <w:rStyle w:val="Hypertextovprepojenie"/>
                <w:color w:val="auto"/>
              </w:rPr>
              <w:t>3</w:t>
            </w:r>
            <w:r w:rsidR="00C345A7" w:rsidRPr="00FD3680">
              <w:rPr>
                <w:rStyle w:val="Hypertextovprepojenie"/>
                <w:color w:val="auto"/>
              </w:rPr>
              <w:t>.1.1</w:t>
            </w:r>
            <w:r w:rsidR="00C345A7" w:rsidRPr="00FD3680">
              <w:tab/>
            </w:r>
            <w:r w:rsidR="00C345A7" w:rsidRPr="00FD3680">
              <w:rPr>
                <w:rStyle w:val="Hypertextovprepojenie"/>
                <w:color w:val="auto"/>
              </w:rPr>
              <w:t>Dlhodobý prenájom vhodnej poľnohospodárskej pôdy</w:t>
            </w:r>
            <w:r w:rsidR="00C345A7" w:rsidRPr="00FD3680">
              <w:rPr>
                <w:webHidden/>
              </w:rPr>
              <w:tab/>
            </w:r>
            <w:r w:rsidR="007D09A8" w:rsidRPr="00FD3680">
              <w:rPr>
                <w:webHidden/>
              </w:rPr>
              <w:fldChar w:fldCharType="begin"/>
            </w:r>
            <w:r w:rsidR="00C345A7" w:rsidRPr="00FD3680">
              <w:rPr>
                <w:webHidden/>
              </w:rPr>
              <w:instrText xml:space="preserve"> PAGEREF _Toc394589424 \h </w:instrText>
            </w:r>
            <w:r w:rsidR="007D09A8" w:rsidRPr="00FD3680">
              <w:rPr>
                <w:webHidden/>
              </w:rPr>
            </w:r>
            <w:r w:rsidR="007D09A8" w:rsidRPr="00FD3680">
              <w:rPr>
                <w:webHidden/>
              </w:rPr>
              <w:fldChar w:fldCharType="separate"/>
            </w:r>
            <w:r w:rsidR="002479B1" w:rsidRPr="00FD3680">
              <w:rPr>
                <w:webHidden/>
              </w:rPr>
              <w:t>15</w:t>
            </w:r>
            <w:r w:rsidR="007D09A8" w:rsidRPr="00FD3680">
              <w:rPr>
                <w:webHidden/>
              </w:rPr>
              <w:fldChar w:fldCharType="end"/>
            </w:r>
          </w:hyperlink>
        </w:p>
        <w:p w:rsidR="00C345A7" w:rsidRPr="00FD3680" w:rsidRDefault="00664AA4" w:rsidP="00293ED7">
          <w:pPr>
            <w:pStyle w:val="Obsah3"/>
            <w:spacing w:after="0" w:line="240" w:lineRule="auto"/>
          </w:pPr>
          <w:hyperlink w:anchor="_Toc394589425" w:history="1">
            <w:r w:rsidR="00174101" w:rsidRPr="00FD3680">
              <w:rPr>
                <w:rStyle w:val="Hypertextovprepojenie"/>
                <w:color w:val="auto"/>
              </w:rPr>
              <w:t>3</w:t>
            </w:r>
            <w:r w:rsidR="00C345A7" w:rsidRPr="00FD3680">
              <w:rPr>
                <w:rStyle w:val="Hypertextovprepojenie"/>
                <w:color w:val="auto"/>
              </w:rPr>
              <w:t>.1.2</w:t>
            </w:r>
            <w:r w:rsidR="00C345A7" w:rsidRPr="00FD3680">
              <w:tab/>
            </w:r>
            <w:r w:rsidR="00C345A7" w:rsidRPr="00FD3680">
              <w:rPr>
                <w:rStyle w:val="Hypertextovprepojenie"/>
                <w:color w:val="auto"/>
              </w:rPr>
              <w:t>Pomoc pri prefinancovaní kúpy poľnohospodárskej pôdy</w:t>
            </w:r>
            <w:r w:rsidR="00C345A7" w:rsidRPr="00FD3680">
              <w:rPr>
                <w:webHidden/>
              </w:rPr>
              <w:tab/>
            </w:r>
            <w:r w:rsidR="007D09A8" w:rsidRPr="00FD3680">
              <w:rPr>
                <w:webHidden/>
              </w:rPr>
              <w:fldChar w:fldCharType="begin"/>
            </w:r>
            <w:r w:rsidR="00C345A7" w:rsidRPr="00FD3680">
              <w:rPr>
                <w:webHidden/>
              </w:rPr>
              <w:instrText xml:space="preserve"> PAGEREF _Toc394589425 \h </w:instrText>
            </w:r>
            <w:r w:rsidR="007D09A8" w:rsidRPr="00FD3680">
              <w:rPr>
                <w:webHidden/>
              </w:rPr>
            </w:r>
            <w:r w:rsidR="007D09A8" w:rsidRPr="00FD3680">
              <w:rPr>
                <w:webHidden/>
              </w:rPr>
              <w:fldChar w:fldCharType="separate"/>
            </w:r>
            <w:r w:rsidR="002479B1" w:rsidRPr="00FD3680">
              <w:rPr>
                <w:webHidden/>
              </w:rPr>
              <w:t>20</w:t>
            </w:r>
            <w:r w:rsidR="007D09A8" w:rsidRPr="00FD3680">
              <w:rPr>
                <w:webHidden/>
              </w:rPr>
              <w:fldChar w:fldCharType="end"/>
            </w:r>
          </w:hyperlink>
        </w:p>
        <w:p w:rsidR="00C345A7" w:rsidRPr="00FD3680" w:rsidRDefault="00664AA4" w:rsidP="00293ED7">
          <w:pPr>
            <w:pStyle w:val="Obsah3"/>
            <w:spacing w:after="0" w:line="240" w:lineRule="auto"/>
          </w:pPr>
          <w:hyperlink w:anchor="_Toc394589426" w:history="1">
            <w:r w:rsidR="00174101" w:rsidRPr="00FD3680">
              <w:rPr>
                <w:rStyle w:val="Hypertextovprepojenie"/>
                <w:color w:val="auto"/>
              </w:rPr>
              <w:t>3</w:t>
            </w:r>
            <w:r w:rsidR="00C345A7" w:rsidRPr="00FD3680">
              <w:rPr>
                <w:rStyle w:val="Hypertextovprepojenie"/>
                <w:color w:val="auto"/>
              </w:rPr>
              <w:t>.1.3</w:t>
            </w:r>
            <w:r w:rsidR="00C345A7" w:rsidRPr="00FD3680">
              <w:tab/>
            </w:r>
            <w:r w:rsidR="00C345A7" w:rsidRPr="00FD3680">
              <w:rPr>
                <w:rStyle w:val="Hypertextovprepojenie"/>
                <w:color w:val="auto"/>
              </w:rPr>
              <w:t>Pokračovanie realizácie pozemkových úprav</w:t>
            </w:r>
            <w:r w:rsidR="00C345A7" w:rsidRPr="00FD3680">
              <w:rPr>
                <w:webHidden/>
              </w:rPr>
              <w:tab/>
            </w:r>
            <w:r w:rsidR="007D09A8" w:rsidRPr="00FD3680">
              <w:rPr>
                <w:webHidden/>
              </w:rPr>
              <w:fldChar w:fldCharType="begin"/>
            </w:r>
            <w:r w:rsidR="00C345A7" w:rsidRPr="00FD3680">
              <w:rPr>
                <w:webHidden/>
              </w:rPr>
              <w:instrText xml:space="preserve"> PAGEREF _Toc394589426 \h </w:instrText>
            </w:r>
            <w:r w:rsidR="007D09A8" w:rsidRPr="00FD3680">
              <w:rPr>
                <w:webHidden/>
              </w:rPr>
            </w:r>
            <w:r w:rsidR="007D09A8" w:rsidRPr="00FD3680">
              <w:rPr>
                <w:webHidden/>
              </w:rPr>
              <w:fldChar w:fldCharType="separate"/>
            </w:r>
            <w:r w:rsidR="002479B1" w:rsidRPr="00FD3680">
              <w:rPr>
                <w:webHidden/>
              </w:rPr>
              <w:t>21</w:t>
            </w:r>
            <w:r w:rsidR="007D09A8" w:rsidRPr="00FD3680">
              <w:rPr>
                <w:webHidden/>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27" w:history="1">
            <w:r w:rsidR="00C345A7" w:rsidRPr="00FD3680">
              <w:rPr>
                <w:rStyle w:val="Hypertextovprepojenie"/>
                <w:rFonts w:ascii="Times New Roman" w:hAnsi="Times New Roman" w:cs="Times New Roman"/>
                <w:noProof/>
                <w:color w:val="auto"/>
                <w:sz w:val="20"/>
                <w:szCs w:val="20"/>
              </w:rPr>
              <w:t>3.2</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Podpora začatia podnikania v poľnohospodárstve</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_Toc394589427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21</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28" w:history="1">
            <w:r w:rsidR="00C345A7" w:rsidRPr="00FD3680">
              <w:rPr>
                <w:rStyle w:val="Hypertextovprepojenie"/>
                <w:rFonts w:ascii="Times New Roman" w:hAnsi="Times New Roman" w:cs="Times New Roman"/>
                <w:noProof/>
                <w:color w:val="auto"/>
                <w:sz w:val="20"/>
                <w:szCs w:val="20"/>
              </w:rPr>
              <w:t>3.3</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Podpora zamestnávania</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_Toc394589428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22</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3"/>
            <w:spacing w:after="0" w:line="240" w:lineRule="auto"/>
            <w:ind w:left="1320" w:hanging="880"/>
          </w:pPr>
          <w:hyperlink w:anchor="_Toc394589431" w:history="1">
            <w:r w:rsidR="00174101" w:rsidRPr="00FD3680">
              <w:rPr>
                <w:rStyle w:val="Hypertextovprepojenie"/>
                <w:color w:val="auto"/>
              </w:rPr>
              <w:t>3</w:t>
            </w:r>
            <w:r w:rsidR="00C345A7" w:rsidRPr="00FD3680">
              <w:rPr>
                <w:rStyle w:val="Hypertextovprepojenie"/>
                <w:color w:val="auto"/>
              </w:rPr>
              <w:t>.3.1</w:t>
            </w:r>
            <w:r w:rsidR="00C345A7" w:rsidRPr="00FD3680">
              <w:tab/>
            </w:r>
            <w:r w:rsidR="00C345A7" w:rsidRPr="00FD3680">
              <w:rPr>
                <w:rStyle w:val="Hypertextovprepojenie"/>
                <w:color w:val="auto"/>
              </w:rPr>
              <w:t>Schéma štátnej pomoci na podporu zamestnávania znevýhodnených a značne       znevýhodnených osôb</w:t>
            </w:r>
            <w:r w:rsidR="00C345A7" w:rsidRPr="00FD3680">
              <w:rPr>
                <w:webHidden/>
              </w:rPr>
              <w:tab/>
            </w:r>
            <w:r w:rsidR="007D09A8" w:rsidRPr="00FD3680">
              <w:rPr>
                <w:webHidden/>
              </w:rPr>
              <w:fldChar w:fldCharType="begin"/>
            </w:r>
            <w:r w:rsidR="00C345A7" w:rsidRPr="00FD3680">
              <w:rPr>
                <w:webHidden/>
              </w:rPr>
              <w:instrText xml:space="preserve"> PAGEREF _Toc394589431 \h </w:instrText>
            </w:r>
            <w:r w:rsidR="007D09A8" w:rsidRPr="00FD3680">
              <w:rPr>
                <w:webHidden/>
              </w:rPr>
            </w:r>
            <w:r w:rsidR="007D09A8" w:rsidRPr="00FD3680">
              <w:rPr>
                <w:webHidden/>
              </w:rPr>
              <w:fldChar w:fldCharType="separate"/>
            </w:r>
            <w:r w:rsidR="002479B1" w:rsidRPr="00FD3680">
              <w:rPr>
                <w:webHidden/>
              </w:rPr>
              <w:t>22</w:t>
            </w:r>
            <w:r w:rsidR="007D09A8" w:rsidRPr="00FD3680">
              <w:rPr>
                <w:webHidden/>
              </w:rPr>
              <w:fldChar w:fldCharType="end"/>
            </w:r>
          </w:hyperlink>
        </w:p>
        <w:p w:rsidR="00C345A7" w:rsidRPr="00FD3680" w:rsidRDefault="00664AA4" w:rsidP="00293ED7">
          <w:pPr>
            <w:pStyle w:val="Obsah3"/>
            <w:spacing w:after="0" w:line="240" w:lineRule="auto"/>
            <w:ind w:left="1320" w:hanging="880"/>
          </w:pPr>
          <w:hyperlink w:anchor="_Toc394589432" w:history="1">
            <w:r w:rsidR="00174101" w:rsidRPr="00FD3680">
              <w:rPr>
                <w:rStyle w:val="Hypertextovprepojenie"/>
                <w:color w:val="auto"/>
              </w:rPr>
              <w:t>3</w:t>
            </w:r>
            <w:r w:rsidR="00C345A7" w:rsidRPr="00FD3680">
              <w:rPr>
                <w:rStyle w:val="Hypertextovprepojenie"/>
                <w:color w:val="auto"/>
              </w:rPr>
              <w:t>.3.2</w:t>
            </w:r>
            <w:r w:rsidR="00C345A7" w:rsidRPr="00FD3680">
              <w:tab/>
            </w:r>
            <w:r w:rsidR="00C345A7" w:rsidRPr="00FD3680">
              <w:rPr>
                <w:rStyle w:val="Hypertextovprepojenie"/>
                <w:color w:val="auto"/>
              </w:rPr>
              <w:t>Podpora zamestnávania dlhodobo nezamestnaných osôb</w:t>
            </w:r>
            <w:r w:rsidR="00C345A7" w:rsidRPr="00FD3680">
              <w:rPr>
                <w:webHidden/>
              </w:rPr>
              <w:tab/>
            </w:r>
            <w:r w:rsidR="007D09A8" w:rsidRPr="00FD3680">
              <w:rPr>
                <w:webHidden/>
              </w:rPr>
              <w:fldChar w:fldCharType="begin"/>
            </w:r>
            <w:r w:rsidR="00C345A7" w:rsidRPr="00FD3680">
              <w:rPr>
                <w:webHidden/>
              </w:rPr>
              <w:instrText xml:space="preserve"> PAGEREF _Toc394589432 \h </w:instrText>
            </w:r>
            <w:r w:rsidR="007D09A8" w:rsidRPr="00FD3680">
              <w:rPr>
                <w:webHidden/>
              </w:rPr>
            </w:r>
            <w:r w:rsidR="007D09A8" w:rsidRPr="00FD3680">
              <w:rPr>
                <w:webHidden/>
              </w:rPr>
              <w:fldChar w:fldCharType="separate"/>
            </w:r>
            <w:r w:rsidR="002479B1" w:rsidRPr="00FD3680">
              <w:rPr>
                <w:webHidden/>
              </w:rPr>
              <w:t>23</w:t>
            </w:r>
            <w:r w:rsidR="007D09A8" w:rsidRPr="00FD3680">
              <w:rPr>
                <w:webHidden/>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33" w:history="1">
            <w:r w:rsidR="00C345A7" w:rsidRPr="00FD3680">
              <w:rPr>
                <w:rStyle w:val="Hypertextovprepojenie"/>
                <w:rFonts w:ascii="Times New Roman" w:hAnsi="Times New Roman" w:cs="Times New Roman"/>
                <w:noProof/>
                <w:color w:val="auto"/>
                <w:sz w:val="20"/>
                <w:szCs w:val="20"/>
              </w:rPr>
              <w:t>3.4</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Zlepšenie prístupu k možnostiam čerpania projektových podpôr     PRV SR 2014 – 2020</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_Toc394589433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24</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3"/>
            <w:spacing w:after="0" w:line="240" w:lineRule="auto"/>
            <w:ind w:left="1320" w:hanging="880"/>
          </w:pPr>
          <w:hyperlink w:anchor="_Toc394589435" w:history="1">
            <w:r w:rsidR="00174101" w:rsidRPr="00FD3680">
              <w:rPr>
                <w:rStyle w:val="Hypertextovprepojenie"/>
                <w:color w:val="auto"/>
              </w:rPr>
              <w:t>3</w:t>
            </w:r>
            <w:r w:rsidR="00C345A7" w:rsidRPr="00FD3680">
              <w:rPr>
                <w:rStyle w:val="Hypertextovprepojenie"/>
                <w:color w:val="auto"/>
              </w:rPr>
              <w:t>.4.1</w:t>
            </w:r>
            <w:r w:rsidR="00C345A7" w:rsidRPr="00FD3680">
              <w:tab/>
            </w:r>
            <w:r w:rsidR="00C345A7" w:rsidRPr="00FD3680">
              <w:rPr>
                <w:rStyle w:val="Hypertextovprepojenie"/>
                <w:color w:val="auto"/>
              </w:rPr>
              <w:t xml:space="preserve">MLADÝ FARMÁR - mechanizmus na zlepšenie prístupu k projektovým podporám             </w:t>
            </w:r>
            <w:r w:rsidR="00293ED7" w:rsidRPr="00FD3680">
              <w:rPr>
                <w:rStyle w:val="Hypertextovprepojenie"/>
                <w:color w:val="auto"/>
              </w:rPr>
              <w:t xml:space="preserve">       </w:t>
            </w:r>
            <w:r w:rsidR="00C345A7" w:rsidRPr="00FD3680">
              <w:rPr>
                <w:rStyle w:val="Hypertextovprepojenie"/>
                <w:color w:val="auto"/>
              </w:rPr>
              <w:t>PRV SR 2014 – 2020</w:t>
            </w:r>
            <w:r w:rsidR="00C345A7" w:rsidRPr="00FD3680">
              <w:rPr>
                <w:webHidden/>
              </w:rPr>
              <w:tab/>
            </w:r>
            <w:r w:rsidR="007D09A8" w:rsidRPr="00FD3680">
              <w:rPr>
                <w:webHidden/>
              </w:rPr>
              <w:fldChar w:fldCharType="begin"/>
            </w:r>
            <w:r w:rsidR="00C345A7" w:rsidRPr="00FD3680">
              <w:rPr>
                <w:webHidden/>
              </w:rPr>
              <w:instrText xml:space="preserve"> PAGEREF _Toc394589435 \h </w:instrText>
            </w:r>
            <w:r w:rsidR="007D09A8" w:rsidRPr="00FD3680">
              <w:rPr>
                <w:webHidden/>
              </w:rPr>
            </w:r>
            <w:r w:rsidR="007D09A8" w:rsidRPr="00FD3680">
              <w:rPr>
                <w:webHidden/>
              </w:rPr>
              <w:fldChar w:fldCharType="separate"/>
            </w:r>
            <w:r w:rsidR="002479B1" w:rsidRPr="00FD3680">
              <w:rPr>
                <w:webHidden/>
              </w:rPr>
              <w:t>28</w:t>
            </w:r>
            <w:r w:rsidR="007D09A8" w:rsidRPr="00FD3680">
              <w:rPr>
                <w:webHidden/>
              </w:rPr>
              <w:fldChar w:fldCharType="end"/>
            </w:r>
          </w:hyperlink>
        </w:p>
        <w:p w:rsidR="00C345A7" w:rsidRPr="00FD3680" w:rsidRDefault="00664AA4" w:rsidP="00293ED7">
          <w:pPr>
            <w:pStyle w:val="Obsah3"/>
            <w:spacing w:after="0" w:line="240" w:lineRule="auto"/>
            <w:ind w:left="1320" w:hanging="880"/>
          </w:pPr>
          <w:hyperlink w:anchor="_Toc394589436" w:history="1">
            <w:r w:rsidR="00174101" w:rsidRPr="00FD3680">
              <w:rPr>
                <w:rStyle w:val="Hypertextovprepojenie"/>
                <w:color w:val="auto"/>
              </w:rPr>
              <w:t>3</w:t>
            </w:r>
            <w:r w:rsidR="00C345A7" w:rsidRPr="00FD3680">
              <w:rPr>
                <w:rStyle w:val="Hypertextovprepojenie"/>
                <w:color w:val="auto"/>
              </w:rPr>
              <w:t>.4.2</w:t>
            </w:r>
            <w:r w:rsidR="00C345A7" w:rsidRPr="00FD3680">
              <w:tab/>
            </w:r>
            <w:r w:rsidR="00C345A7" w:rsidRPr="00FD3680">
              <w:rPr>
                <w:rStyle w:val="Hypertextovprepojenie"/>
                <w:color w:val="auto"/>
              </w:rPr>
              <w:t xml:space="preserve">MALÝ a RODINNÝ FARMÁR - mechanizmus na zlepšenie prístupu k projektovým </w:t>
            </w:r>
            <w:r w:rsidR="00293ED7" w:rsidRPr="00FD3680">
              <w:rPr>
                <w:rStyle w:val="Hypertextovprepojenie"/>
                <w:color w:val="auto"/>
              </w:rPr>
              <w:t xml:space="preserve">        </w:t>
            </w:r>
            <w:r w:rsidR="00C345A7" w:rsidRPr="00FD3680">
              <w:rPr>
                <w:rStyle w:val="Hypertextovprepojenie"/>
                <w:color w:val="auto"/>
              </w:rPr>
              <w:t>podporám PRV SR 2014 – 2020</w:t>
            </w:r>
            <w:r w:rsidR="00C345A7" w:rsidRPr="00FD3680">
              <w:rPr>
                <w:webHidden/>
              </w:rPr>
              <w:tab/>
            </w:r>
            <w:r w:rsidR="007D09A8" w:rsidRPr="00FD3680">
              <w:rPr>
                <w:webHidden/>
              </w:rPr>
              <w:fldChar w:fldCharType="begin"/>
            </w:r>
            <w:r w:rsidR="00C345A7" w:rsidRPr="00FD3680">
              <w:rPr>
                <w:webHidden/>
              </w:rPr>
              <w:instrText xml:space="preserve"> PAGEREF _Toc394589436 \h </w:instrText>
            </w:r>
            <w:r w:rsidR="007D09A8" w:rsidRPr="00FD3680">
              <w:rPr>
                <w:webHidden/>
              </w:rPr>
            </w:r>
            <w:r w:rsidR="007D09A8" w:rsidRPr="00FD3680">
              <w:rPr>
                <w:webHidden/>
              </w:rPr>
              <w:fldChar w:fldCharType="separate"/>
            </w:r>
            <w:r w:rsidR="002479B1" w:rsidRPr="00FD3680">
              <w:rPr>
                <w:webHidden/>
              </w:rPr>
              <w:t>29</w:t>
            </w:r>
            <w:r w:rsidR="007D09A8" w:rsidRPr="00FD3680">
              <w:rPr>
                <w:webHidden/>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37" w:history="1">
            <w:r w:rsidR="00C345A7" w:rsidRPr="00FD3680">
              <w:rPr>
                <w:rStyle w:val="Hypertextovprepojenie"/>
                <w:rFonts w:ascii="Times New Roman" w:hAnsi="Times New Roman" w:cs="Times New Roman"/>
                <w:noProof/>
                <w:color w:val="auto"/>
                <w:sz w:val="20"/>
                <w:szCs w:val="20"/>
              </w:rPr>
              <w:t>3.5</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Podpora prístupu k úverovému predfinancovaniu prevádzkových a kapitálových potrieb</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_Toc394589437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30</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38" w:history="1">
            <w:r w:rsidR="00C345A7" w:rsidRPr="00FD3680">
              <w:rPr>
                <w:rStyle w:val="Hypertextovprepojenie"/>
                <w:rFonts w:ascii="Times New Roman" w:hAnsi="Times New Roman" w:cs="Times New Roman"/>
                <w:noProof/>
                <w:color w:val="auto"/>
                <w:sz w:val="20"/>
                <w:szCs w:val="20"/>
              </w:rPr>
              <w:t>3.6</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Podpora výroby, odbytu a označovania poľnohospodárskych výrobkov a potravín</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_Toc394589438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31</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3"/>
            <w:spacing w:after="0" w:line="240" w:lineRule="auto"/>
          </w:pPr>
          <w:hyperlink w:anchor="_Toc394589441" w:history="1">
            <w:r w:rsidR="00174101" w:rsidRPr="00FD3680">
              <w:rPr>
                <w:rStyle w:val="Hypertextovprepojenie"/>
                <w:color w:val="auto"/>
              </w:rPr>
              <w:t>3</w:t>
            </w:r>
            <w:r w:rsidR="00C345A7" w:rsidRPr="00FD3680">
              <w:rPr>
                <w:rStyle w:val="Hypertextovprepojenie"/>
                <w:color w:val="auto"/>
              </w:rPr>
              <w:t>.6.1</w:t>
            </w:r>
            <w:r w:rsidR="00C345A7" w:rsidRPr="00FD3680">
              <w:tab/>
            </w:r>
            <w:r w:rsidR="00C345A7" w:rsidRPr="00FD3680">
              <w:rPr>
                <w:rStyle w:val="Hypertextovprepojenie"/>
                <w:color w:val="auto"/>
              </w:rPr>
              <w:t>Priamy predaj konečnému spotrebiteľovi</w:t>
            </w:r>
            <w:r w:rsidR="00C345A7" w:rsidRPr="00FD3680">
              <w:rPr>
                <w:webHidden/>
              </w:rPr>
              <w:tab/>
            </w:r>
            <w:r w:rsidR="007D09A8" w:rsidRPr="00FD3680">
              <w:rPr>
                <w:webHidden/>
              </w:rPr>
              <w:fldChar w:fldCharType="begin"/>
            </w:r>
            <w:r w:rsidR="00C345A7" w:rsidRPr="00FD3680">
              <w:rPr>
                <w:webHidden/>
              </w:rPr>
              <w:instrText xml:space="preserve"> PAGEREF _Toc394589441 \h </w:instrText>
            </w:r>
            <w:r w:rsidR="007D09A8" w:rsidRPr="00FD3680">
              <w:rPr>
                <w:webHidden/>
              </w:rPr>
            </w:r>
            <w:r w:rsidR="007D09A8" w:rsidRPr="00FD3680">
              <w:rPr>
                <w:webHidden/>
              </w:rPr>
              <w:fldChar w:fldCharType="separate"/>
            </w:r>
            <w:r w:rsidR="002479B1" w:rsidRPr="00FD3680">
              <w:rPr>
                <w:webHidden/>
              </w:rPr>
              <w:t>31</w:t>
            </w:r>
            <w:r w:rsidR="007D09A8" w:rsidRPr="00FD3680">
              <w:rPr>
                <w:webHidden/>
              </w:rPr>
              <w:fldChar w:fldCharType="end"/>
            </w:r>
          </w:hyperlink>
        </w:p>
        <w:p w:rsidR="00C345A7" w:rsidRPr="00FD3680" w:rsidRDefault="00664AA4" w:rsidP="00293ED7">
          <w:pPr>
            <w:pStyle w:val="Obsah3"/>
            <w:spacing w:after="0" w:line="240" w:lineRule="auto"/>
            <w:ind w:left="1320" w:hanging="880"/>
          </w:pPr>
          <w:hyperlink w:anchor="_Toc394589442" w:history="1">
            <w:r w:rsidR="00174101" w:rsidRPr="00FD3680">
              <w:rPr>
                <w:rStyle w:val="Hypertextovprepojenie"/>
                <w:color w:val="auto"/>
              </w:rPr>
              <w:t>3</w:t>
            </w:r>
            <w:r w:rsidR="00C345A7" w:rsidRPr="00FD3680">
              <w:rPr>
                <w:rStyle w:val="Hypertextovprepojenie"/>
                <w:color w:val="auto"/>
              </w:rPr>
              <w:t>.6.2</w:t>
            </w:r>
            <w:r w:rsidR="00C345A7" w:rsidRPr="00FD3680">
              <w:tab/>
            </w:r>
            <w:r w:rsidR="00C345A7" w:rsidRPr="00FD3680">
              <w:rPr>
                <w:rStyle w:val="Hypertextovprepojenie"/>
                <w:color w:val="auto"/>
              </w:rPr>
              <w:t>Dobrovoľné označenie poľnohospodárskych výrobkov a potravín a komunikácia                       so spotrebiteľom</w:t>
            </w:r>
            <w:r w:rsidR="00C345A7" w:rsidRPr="00FD3680">
              <w:rPr>
                <w:webHidden/>
              </w:rPr>
              <w:tab/>
            </w:r>
            <w:r w:rsidR="007D09A8" w:rsidRPr="00FD3680">
              <w:rPr>
                <w:webHidden/>
              </w:rPr>
              <w:fldChar w:fldCharType="begin"/>
            </w:r>
            <w:r w:rsidR="00C345A7" w:rsidRPr="00FD3680">
              <w:rPr>
                <w:webHidden/>
              </w:rPr>
              <w:instrText xml:space="preserve"> PAGEREF _Toc394589442 \h </w:instrText>
            </w:r>
            <w:r w:rsidR="007D09A8" w:rsidRPr="00FD3680">
              <w:rPr>
                <w:webHidden/>
              </w:rPr>
            </w:r>
            <w:r w:rsidR="007D09A8" w:rsidRPr="00FD3680">
              <w:rPr>
                <w:webHidden/>
              </w:rPr>
              <w:fldChar w:fldCharType="separate"/>
            </w:r>
            <w:r w:rsidR="002479B1" w:rsidRPr="00FD3680">
              <w:rPr>
                <w:webHidden/>
              </w:rPr>
              <w:t>33</w:t>
            </w:r>
            <w:r w:rsidR="007D09A8" w:rsidRPr="00FD3680">
              <w:rPr>
                <w:webHidden/>
              </w:rPr>
              <w:fldChar w:fldCharType="end"/>
            </w:r>
          </w:hyperlink>
        </w:p>
        <w:p w:rsidR="00C345A7" w:rsidRPr="00FD3680" w:rsidRDefault="00664AA4" w:rsidP="00293ED7">
          <w:pPr>
            <w:pStyle w:val="Obsah2"/>
            <w:tabs>
              <w:tab w:val="left" w:pos="880"/>
              <w:tab w:val="right" w:leader="dot" w:pos="9062"/>
            </w:tabs>
            <w:spacing w:after="0" w:line="240" w:lineRule="auto"/>
            <w:ind w:left="880" w:hanging="660"/>
            <w:rPr>
              <w:rFonts w:ascii="Times New Roman" w:hAnsi="Times New Roman" w:cs="Times New Roman"/>
              <w:noProof/>
              <w:sz w:val="20"/>
              <w:szCs w:val="20"/>
            </w:rPr>
          </w:pPr>
          <w:hyperlink w:anchor="_Toc394589443" w:history="1">
            <w:r w:rsidR="00C345A7" w:rsidRPr="00FD3680">
              <w:rPr>
                <w:rStyle w:val="Hypertextovprepojenie"/>
                <w:rFonts w:ascii="Times New Roman" w:hAnsi="Times New Roman" w:cs="Times New Roman"/>
                <w:noProof/>
                <w:color w:val="auto"/>
                <w:sz w:val="20"/>
                <w:szCs w:val="20"/>
              </w:rPr>
              <w:t>3.7</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 xml:space="preserve">Zlepšenie prístupu  k neprojektovým opatreniam Programu rozvoja vidieka a k podporám </w:t>
            </w:r>
            <w:r w:rsidR="00293ED7" w:rsidRPr="00FD3680">
              <w:rPr>
                <w:rStyle w:val="Hypertextovprepojenie"/>
                <w:rFonts w:ascii="Times New Roman" w:hAnsi="Times New Roman" w:cs="Times New Roman"/>
                <w:noProof/>
                <w:color w:val="auto"/>
                <w:sz w:val="20"/>
                <w:szCs w:val="20"/>
              </w:rPr>
              <w:t xml:space="preserve">         </w:t>
            </w:r>
            <w:r w:rsidR="00C345A7" w:rsidRPr="00FD3680">
              <w:rPr>
                <w:rStyle w:val="Hypertextovprepojenie"/>
                <w:rFonts w:ascii="Times New Roman" w:hAnsi="Times New Roman" w:cs="Times New Roman"/>
                <w:noProof/>
                <w:color w:val="auto"/>
                <w:sz w:val="20"/>
                <w:szCs w:val="20"/>
              </w:rPr>
              <w:t>v rámci priamych platieb a Spoločnej organizácii trhov</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_Toc394589443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34</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3"/>
            <w:spacing w:after="0" w:line="240" w:lineRule="auto"/>
            <w:ind w:left="1320" w:hanging="880"/>
          </w:pPr>
          <w:hyperlink w:anchor="_Toc394589445" w:history="1">
            <w:r w:rsidR="00174101" w:rsidRPr="00FD3680">
              <w:rPr>
                <w:rStyle w:val="Hypertextovprepojenie"/>
                <w:color w:val="auto"/>
              </w:rPr>
              <w:t>3</w:t>
            </w:r>
            <w:r w:rsidR="00C345A7" w:rsidRPr="00FD3680">
              <w:rPr>
                <w:rStyle w:val="Hypertextovprepojenie"/>
                <w:color w:val="auto"/>
              </w:rPr>
              <w:t>.7.1</w:t>
            </w:r>
            <w:r w:rsidR="00C345A7" w:rsidRPr="00FD3680">
              <w:tab/>
            </w:r>
            <w:r w:rsidR="00C345A7" w:rsidRPr="00FD3680">
              <w:rPr>
                <w:rStyle w:val="Hypertextovprepojenie"/>
                <w:color w:val="auto"/>
              </w:rPr>
              <w:t>Zlepšenie prístupu  k neprojektovým opatreniam Programu rozvoja vidieka, k podporám             v rámci priamych platieb a k vnútroštátnej pomoci</w:t>
            </w:r>
            <w:r w:rsidR="00C345A7" w:rsidRPr="00FD3680">
              <w:rPr>
                <w:webHidden/>
              </w:rPr>
              <w:tab/>
            </w:r>
            <w:r w:rsidR="007D09A8" w:rsidRPr="00FD3680">
              <w:rPr>
                <w:webHidden/>
              </w:rPr>
              <w:fldChar w:fldCharType="begin"/>
            </w:r>
            <w:r w:rsidR="00C345A7" w:rsidRPr="00FD3680">
              <w:rPr>
                <w:webHidden/>
              </w:rPr>
              <w:instrText xml:space="preserve"> PAGEREF _Toc394589445 \h </w:instrText>
            </w:r>
            <w:r w:rsidR="007D09A8" w:rsidRPr="00FD3680">
              <w:rPr>
                <w:webHidden/>
              </w:rPr>
            </w:r>
            <w:r w:rsidR="007D09A8" w:rsidRPr="00FD3680">
              <w:rPr>
                <w:webHidden/>
              </w:rPr>
              <w:fldChar w:fldCharType="separate"/>
            </w:r>
            <w:r w:rsidR="002479B1" w:rsidRPr="00FD3680">
              <w:rPr>
                <w:webHidden/>
              </w:rPr>
              <w:t>34</w:t>
            </w:r>
            <w:r w:rsidR="007D09A8" w:rsidRPr="00FD3680">
              <w:rPr>
                <w:webHidden/>
              </w:rPr>
              <w:fldChar w:fldCharType="end"/>
            </w:r>
          </w:hyperlink>
        </w:p>
        <w:p w:rsidR="00C345A7" w:rsidRPr="00FD3680" w:rsidRDefault="00664AA4" w:rsidP="00293ED7">
          <w:pPr>
            <w:pStyle w:val="Obsah3"/>
            <w:spacing w:after="0" w:line="240" w:lineRule="auto"/>
            <w:rPr>
              <w:rStyle w:val="Hypertextovprepojenie"/>
              <w:color w:val="auto"/>
            </w:rPr>
          </w:pPr>
          <w:hyperlink w:anchor="_Toc394589446" w:history="1">
            <w:r w:rsidR="00174101" w:rsidRPr="00FD3680">
              <w:rPr>
                <w:rStyle w:val="Hypertextovprepojenie"/>
                <w:color w:val="auto"/>
              </w:rPr>
              <w:t>3</w:t>
            </w:r>
            <w:r w:rsidR="00C345A7" w:rsidRPr="00FD3680">
              <w:rPr>
                <w:rStyle w:val="Hypertextovprepojenie"/>
                <w:color w:val="auto"/>
              </w:rPr>
              <w:t>.7.2</w:t>
            </w:r>
            <w:r w:rsidR="00C345A7" w:rsidRPr="00FD3680">
              <w:tab/>
            </w:r>
            <w:r w:rsidR="00C345A7" w:rsidRPr="00FD3680">
              <w:rPr>
                <w:rStyle w:val="Hypertextovprepojenie"/>
                <w:color w:val="auto"/>
              </w:rPr>
              <w:t>Zlepšenie prístupu k podporným opatreniam v rámci Spoločnej organizácie trhov (SOT)</w:t>
            </w:r>
            <w:r w:rsidR="00C345A7" w:rsidRPr="00FD3680">
              <w:rPr>
                <w:webHidden/>
              </w:rPr>
              <w:tab/>
            </w:r>
            <w:r w:rsidR="007D09A8" w:rsidRPr="00FD3680">
              <w:rPr>
                <w:webHidden/>
              </w:rPr>
              <w:fldChar w:fldCharType="begin"/>
            </w:r>
            <w:r w:rsidR="00C345A7" w:rsidRPr="00FD3680">
              <w:rPr>
                <w:webHidden/>
              </w:rPr>
              <w:instrText xml:space="preserve"> PAGEREF _Toc394589446 \h </w:instrText>
            </w:r>
            <w:r w:rsidR="007D09A8" w:rsidRPr="00FD3680">
              <w:rPr>
                <w:webHidden/>
              </w:rPr>
            </w:r>
            <w:r w:rsidR="007D09A8" w:rsidRPr="00FD3680">
              <w:rPr>
                <w:webHidden/>
              </w:rPr>
              <w:fldChar w:fldCharType="separate"/>
            </w:r>
            <w:r w:rsidR="002479B1" w:rsidRPr="00FD3680">
              <w:rPr>
                <w:webHidden/>
              </w:rPr>
              <w:t>37</w:t>
            </w:r>
            <w:r w:rsidR="007D09A8" w:rsidRPr="00FD3680">
              <w:rPr>
                <w:webHidden/>
              </w:rPr>
              <w:fldChar w:fldCharType="end"/>
            </w:r>
          </w:hyperlink>
        </w:p>
        <w:p w:rsidR="00174101" w:rsidRPr="00FD3680" w:rsidRDefault="00174101" w:rsidP="00174101">
          <w:pPr>
            <w:spacing w:after="0"/>
            <w:rPr>
              <w:noProof/>
            </w:rPr>
          </w:pPr>
        </w:p>
        <w:p w:rsidR="00C345A7" w:rsidRPr="00FD3680" w:rsidRDefault="00664AA4" w:rsidP="00995A3D">
          <w:pPr>
            <w:pStyle w:val="Obsah1"/>
            <w:ind w:left="435" w:hanging="435"/>
          </w:pPr>
          <w:hyperlink w:anchor="_Toc394589447" w:history="1">
            <w:r w:rsidR="00C345A7" w:rsidRPr="00FD3680">
              <w:rPr>
                <w:rStyle w:val="Hypertextovprepojenie"/>
                <w:color w:val="auto"/>
              </w:rPr>
              <w:t>4</w:t>
            </w:r>
            <w:r w:rsidR="00C345A7" w:rsidRPr="00FD3680">
              <w:tab/>
            </w:r>
            <w:r w:rsidR="00C345A7" w:rsidRPr="00FD3680">
              <w:rPr>
                <w:rStyle w:val="Hypertextovprepojenie"/>
                <w:color w:val="auto"/>
              </w:rPr>
              <w:t>sumarizácia podporných mechanizmov pre cieľové skupiny poľnohospodárskych podnikateľov</w:t>
            </w:r>
            <w:r w:rsidR="00C345A7" w:rsidRPr="00FD3680">
              <w:rPr>
                <w:webHidden/>
              </w:rPr>
              <w:tab/>
            </w:r>
            <w:r w:rsidR="007D09A8" w:rsidRPr="00FD3680">
              <w:rPr>
                <w:webHidden/>
              </w:rPr>
              <w:fldChar w:fldCharType="begin"/>
            </w:r>
            <w:r w:rsidR="00C345A7" w:rsidRPr="00FD3680">
              <w:rPr>
                <w:webHidden/>
              </w:rPr>
              <w:instrText xml:space="preserve"> PAGEREF _Toc394589447 \h </w:instrText>
            </w:r>
            <w:r w:rsidR="007D09A8" w:rsidRPr="00FD3680">
              <w:rPr>
                <w:webHidden/>
              </w:rPr>
            </w:r>
            <w:r w:rsidR="007D09A8" w:rsidRPr="00FD3680">
              <w:rPr>
                <w:webHidden/>
              </w:rPr>
              <w:fldChar w:fldCharType="separate"/>
            </w:r>
            <w:r w:rsidR="002479B1" w:rsidRPr="00FD3680">
              <w:rPr>
                <w:webHidden/>
              </w:rPr>
              <w:t>39</w:t>
            </w:r>
            <w:r w:rsidR="007D09A8" w:rsidRPr="00FD3680">
              <w:rPr>
                <w:webHidden/>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48" w:history="1">
            <w:r w:rsidR="00C345A7" w:rsidRPr="00FD3680">
              <w:rPr>
                <w:rStyle w:val="Hypertextovprepojenie"/>
                <w:rFonts w:ascii="Times New Roman" w:hAnsi="Times New Roman" w:cs="Times New Roman"/>
                <w:noProof/>
                <w:color w:val="auto"/>
                <w:sz w:val="20"/>
                <w:szCs w:val="20"/>
              </w:rPr>
              <w:t>4.1</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Nástroje na priamu podporu cieľových skupín poľnohospodárskych podnikateľov</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_Toc394589448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39</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2"/>
            <w:tabs>
              <w:tab w:val="left" w:pos="880"/>
              <w:tab w:val="right" w:leader="dot" w:pos="9062"/>
            </w:tabs>
            <w:spacing w:after="0" w:line="240" w:lineRule="auto"/>
            <w:rPr>
              <w:rFonts w:ascii="Times New Roman" w:hAnsi="Times New Roman" w:cs="Times New Roman"/>
              <w:noProof/>
              <w:sz w:val="20"/>
              <w:szCs w:val="20"/>
            </w:rPr>
          </w:pPr>
          <w:hyperlink w:anchor="_Toc394589449" w:history="1">
            <w:r w:rsidR="00C345A7" w:rsidRPr="00FD3680">
              <w:rPr>
                <w:rStyle w:val="Hypertextovprepojenie"/>
                <w:rFonts w:ascii="Times New Roman" w:hAnsi="Times New Roman" w:cs="Times New Roman"/>
                <w:noProof/>
                <w:color w:val="auto"/>
                <w:sz w:val="20"/>
                <w:szCs w:val="20"/>
              </w:rPr>
              <w:t>4.2</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Nástroje na nepriamu podporu cieľových skupín poľnohospodárskych podnikateľov</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_Toc394589449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41</w:t>
            </w:r>
            <w:r w:rsidR="007D09A8" w:rsidRPr="00FD3680">
              <w:rPr>
                <w:rFonts w:ascii="Times New Roman" w:hAnsi="Times New Roman" w:cs="Times New Roman"/>
                <w:noProof/>
                <w:webHidden/>
                <w:sz w:val="20"/>
                <w:szCs w:val="20"/>
              </w:rPr>
              <w:fldChar w:fldCharType="end"/>
            </w:r>
          </w:hyperlink>
        </w:p>
        <w:p w:rsidR="00C345A7" w:rsidRPr="00FD3680" w:rsidRDefault="00664AA4" w:rsidP="00293ED7">
          <w:pPr>
            <w:pStyle w:val="Obsah2"/>
            <w:tabs>
              <w:tab w:val="left" w:pos="880"/>
              <w:tab w:val="right" w:leader="dot" w:pos="9062"/>
            </w:tabs>
            <w:spacing w:after="0" w:line="240" w:lineRule="auto"/>
            <w:rPr>
              <w:rStyle w:val="Hypertextovprepojenie"/>
              <w:rFonts w:ascii="Times New Roman" w:hAnsi="Times New Roman" w:cs="Times New Roman"/>
              <w:noProof/>
              <w:color w:val="auto"/>
              <w:sz w:val="20"/>
              <w:szCs w:val="20"/>
            </w:rPr>
          </w:pPr>
          <w:hyperlink w:anchor="_Toc394589450" w:history="1">
            <w:r w:rsidR="00C345A7" w:rsidRPr="00FD3680">
              <w:rPr>
                <w:rStyle w:val="Hypertextovprepojenie"/>
                <w:rFonts w:ascii="Times New Roman" w:hAnsi="Times New Roman" w:cs="Times New Roman"/>
                <w:noProof/>
                <w:color w:val="auto"/>
                <w:sz w:val="20"/>
                <w:szCs w:val="20"/>
              </w:rPr>
              <w:t>4.3</w:t>
            </w:r>
            <w:r w:rsidR="00C345A7" w:rsidRPr="00FD3680">
              <w:rPr>
                <w:rFonts w:ascii="Times New Roman" w:hAnsi="Times New Roman" w:cs="Times New Roman"/>
                <w:noProof/>
                <w:sz w:val="20"/>
                <w:szCs w:val="20"/>
              </w:rPr>
              <w:tab/>
            </w:r>
            <w:r w:rsidR="00C345A7" w:rsidRPr="00FD3680">
              <w:rPr>
                <w:rStyle w:val="Hypertextovprepojenie"/>
                <w:rFonts w:ascii="Times New Roman" w:hAnsi="Times New Roman" w:cs="Times New Roman"/>
                <w:noProof/>
                <w:color w:val="auto"/>
                <w:sz w:val="20"/>
                <w:szCs w:val="20"/>
              </w:rPr>
              <w:t>Vplyvy využívania podporných nástrojov zo strany malých, mladých a rodinných farmárov</w:t>
            </w:r>
            <w:r w:rsidR="00C345A7" w:rsidRPr="00FD3680">
              <w:rPr>
                <w:rFonts w:ascii="Times New Roman" w:hAnsi="Times New Roman" w:cs="Times New Roman"/>
                <w:noProof/>
                <w:webHidden/>
                <w:sz w:val="20"/>
                <w:szCs w:val="20"/>
              </w:rPr>
              <w:tab/>
            </w:r>
            <w:r w:rsidR="007D09A8" w:rsidRPr="00FD3680">
              <w:rPr>
                <w:rFonts w:ascii="Times New Roman" w:hAnsi="Times New Roman" w:cs="Times New Roman"/>
                <w:noProof/>
                <w:webHidden/>
                <w:sz w:val="20"/>
                <w:szCs w:val="20"/>
              </w:rPr>
              <w:fldChar w:fldCharType="begin"/>
            </w:r>
            <w:r w:rsidR="00C345A7" w:rsidRPr="00FD3680">
              <w:rPr>
                <w:rFonts w:ascii="Times New Roman" w:hAnsi="Times New Roman" w:cs="Times New Roman"/>
                <w:noProof/>
                <w:webHidden/>
                <w:sz w:val="20"/>
                <w:szCs w:val="20"/>
              </w:rPr>
              <w:instrText xml:space="preserve"> PAGEREF _Toc394589450 \h </w:instrText>
            </w:r>
            <w:r w:rsidR="007D09A8" w:rsidRPr="00FD3680">
              <w:rPr>
                <w:rFonts w:ascii="Times New Roman" w:hAnsi="Times New Roman" w:cs="Times New Roman"/>
                <w:noProof/>
                <w:webHidden/>
                <w:sz w:val="20"/>
                <w:szCs w:val="20"/>
              </w:rPr>
            </w:r>
            <w:r w:rsidR="007D09A8" w:rsidRPr="00FD3680">
              <w:rPr>
                <w:rFonts w:ascii="Times New Roman" w:hAnsi="Times New Roman" w:cs="Times New Roman"/>
                <w:noProof/>
                <w:webHidden/>
                <w:sz w:val="20"/>
                <w:szCs w:val="20"/>
              </w:rPr>
              <w:fldChar w:fldCharType="separate"/>
            </w:r>
            <w:r w:rsidR="002479B1" w:rsidRPr="00FD3680">
              <w:rPr>
                <w:rFonts w:ascii="Times New Roman" w:hAnsi="Times New Roman" w:cs="Times New Roman"/>
                <w:noProof/>
                <w:webHidden/>
                <w:sz w:val="20"/>
                <w:szCs w:val="20"/>
              </w:rPr>
              <w:t>42</w:t>
            </w:r>
            <w:r w:rsidR="007D09A8" w:rsidRPr="00FD3680">
              <w:rPr>
                <w:rFonts w:ascii="Times New Roman" w:hAnsi="Times New Roman" w:cs="Times New Roman"/>
                <w:noProof/>
                <w:webHidden/>
                <w:sz w:val="20"/>
                <w:szCs w:val="20"/>
              </w:rPr>
              <w:fldChar w:fldCharType="end"/>
            </w:r>
          </w:hyperlink>
        </w:p>
        <w:p w:rsidR="00174101" w:rsidRPr="00FD3680" w:rsidRDefault="00174101" w:rsidP="00174101">
          <w:pPr>
            <w:spacing w:after="0"/>
            <w:rPr>
              <w:noProof/>
            </w:rPr>
          </w:pPr>
        </w:p>
        <w:p w:rsidR="00C3191F" w:rsidRPr="00FD3680" w:rsidRDefault="00664AA4" w:rsidP="00C3191F">
          <w:pPr>
            <w:pStyle w:val="Obsah1"/>
            <w:rPr>
              <w:rStyle w:val="Hypertextovprepojenie"/>
              <w:color w:val="auto"/>
            </w:rPr>
          </w:pPr>
          <w:hyperlink w:anchor="_Toc394589451" w:history="1">
            <w:r w:rsidR="00C345A7" w:rsidRPr="00FD3680">
              <w:rPr>
                <w:rStyle w:val="Hypertextovprepojenie"/>
                <w:color w:val="auto"/>
              </w:rPr>
              <w:t>5</w:t>
            </w:r>
            <w:r w:rsidR="00C345A7" w:rsidRPr="00FD3680">
              <w:tab/>
            </w:r>
            <w:r w:rsidR="00C345A7" w:rsidRPr="00FD3680">
              <w:rPr>
                <w:rStyle w:val="Hypertextovprepojenie"/>
                <w:color w:val="auto"/>
              </w:rPr>
              <w:t>Závery, vyhlásenia a odporúčania</w:t>
            </w:r>
            <w:r w:rsidR="00C345A7" w:rsidRPr="00FD3680">
              <w:rPr>
                <w:webHidden/>
              </w:rPr>
              <w:tab/>
            </w:r>
            <w:r w:rsidR="007D09A8" w:rsidRPr="00FD3680">
              <w:rPr>
                <w:webHidden/>
              </w:rPr>
              <w:fldChar w:fldCharType="begin"/>
            </w:r>
            <w:r w:rsidR="00C345A7" w:rsidRPr="00FD3680">
              <w:rPr>
                <w:webHidden/>
              </w:rPr>
              <w:instrText xml:space="preserve"> PAGEREF _Toc394589451 \h </w:instrText>
            </w:r>
            <w:r w:rsidR="007D09A8" w:rsidRPr="00FD3680">
              <w:rPr>
                <w:webHidden/>
              </w:rPr>
            </w:r>
            <w:r w:rsidR="007D09A8" w:rsidRPr="00FD3680">
              <w:rPr>
                <w:webHidden/>
              </w:rPr>
              <w:fldChar w:fldCharType="separate"/>
            </w:r>
            <w:r w:rsidR="002479B1" w:rsidRPr="00FD3680">
              <w:rPr>
                <w:webHidden/>
              </w:rPr>
              <w:t>44</w:t>
            </w:r>
            <w:r w:rsidR="007D09A8" w:rsidRPr="00FD3680">
              <w:rPr>
                <w:webHidden/>
              </w:rPr>
              <w:fldChar w:fldCharType="end"/>
            </w:r>
          </w:hyperlink>
        </w:p>
        <w:p w:rsidR="00C3191F" w:rsidRPr="00FD3680" w:rsidRDefault="00C3191F" w:rsidP="00C3191F">
          <w:pPr>
            <w:spacing w:after="0"/>
            <w:rPr>
              <w:noProof/>
            </w:rPr>
          </w:pPr>
        </w:p>
        <w:p w:rsidR="00C3191F" w:rsidRPr="00FD3680" w:rsidRDefault="00C3191F" w:rsidP="00C3191F">
          <w:pPr>
            <w:rPr>
              <w:noProof/>
            </w:rPr>
          </w:pPr>
        </w:p>
        <w:p w:rsidR="00C3191F" w:rsidRPr="00FD3680" w:rsidRDefault="00C3191F" w:rsidP="00C3191F">
          <w:pPr>
            <w:rPr>
              <w:noProof/>
            </w:rPr>
          </w:pPr>
        </w:p>
        <w:p w:rsidR="00961606" w:rsidRPr="00FD3680" w:rsidRDefault="007D09A8">
          <w:r w:rsidRPr="00FD3680">
            <w:rPr>
              <w:b/>
              <w:bCs/>
            </w:rPr>
            <w:fldChar w:fldCharType="end"/>
          </w:r>
        </w:p>
      </w:sdtContent>
    </w:sdt>
    <w:bookmarkStart w:id="0" w:name="_Toc394589413" w:displacedByCustomXml="prev"/>
    <w:p w:rsidR="0022192B" w:rsidRPr="00FD3680" w:rsidRDefault="0022192B" w:rsidP="00771A68">
      <w:pPr>
        <w:pStyle w:val="Nadpis1"/>
        <w:numPr>
          <w:ilvl w:val="0"/>
          <w:numId w:val="36"/>
        </w:numPr>
      </w:pPr>
      <w:r w:rsidRPr="00FD3680">
        <w:lastRenderedPageBreak/>
        <w:t>Východiská koncepcie</w:t>
      </w:r>
      <w:bookmarkEnd w:id="0"/>
    </w:p>
    <w:p w:rsidR="0022192B" w:rsidRPr="00FD3680" w:rsidRDefault="0022192B" w:rsidP="0022192B">
      <w:pPr>
        <w:spacing w:after="0" w:line="240" w:lineRule="auto"/>
        <w:jc w:val="both"/>
        <w:rPr>
          <w:rFonts w:ascii="Times New Roman" w:hAnsi="Times New Roman" w:cs="Times New Roman"/>
          <w:sz w:val="24"/>
          <w:szCs w:val="24"/>
        </w:rPr>
      </w:pPr>
    </w:p>
    <w:p w:rsidR="0022192B" w:rsidRPr="00FD3680" w:rsidRDefault="00936A4B" w:rsidP="0022192B">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Koncepciu podpory </w:t>
      </w:r>
      <w:r w:rsidR="0022192B" w:rsidRPr="00FD3680">
        <w:rPr>
          <w:rFonts w:ascii="Times New Roman" w:hAnsi="Times New Roman" w:cs="Times New Roman"/>
          <w:sz w:val="24"/>
          <w:szCs w:val="24"/>
        </w:rPr>
        <w:t>malých</w:t>
      </w:r>
      <w:r w:rsidR="00995A3D" w:rsidRPr="00FD3680">
        <w:rPr>
          <w:rFonts w:ascii="Times New Roman" w:hAnsi="Times New Roman" w:cs="Times New Roman"/>
          <w:sz w:val="24"/>
          <w:szCs w:val="24"/>
        </w:rPr>
        <w:t>, mladých</w:t>
      </w:r>
      <w:r w:rsidR="0022192B" w:rsidRPr="00FD3680">
        <w:rPr>
          <w:rFonts w:ascii="Times New Roman" w:hAnsi="Times New Roman" w:cs="Times New Roman"/>
          <w:sz w:val="24"/>
          <w:szCs w:val="24"/>
        </w:rPr>
        <w:t xml:space="preserve"> </w:t>
      </w:r>
      <w:r w:rsidRPr="00FD3680">
        <w:rPr>
          <w:rFonts w:ascii="Times New Roman" w:hAnsi="Times New Roman" w:cs="Times New Roman"/>
          <w:sz w:val="24"/>
          <w:szCs w:val="24"/>
        </w:rPr>
        <w:t xml:space="preserve">a rodinných </w:t>
      </w:r>
      <w:r w:rsidR="0022192B" w:rsidRPr="00FD3680">
        <w:rPr>
          <w:rFonts w:ascii="Times New Roman" w:hAnsi="Times New Roman" w:cs="Times New Roman"/>
          <w:sz w:val="24"/>
          <w:szCs w:val="24"/>
        </w:rPr>
        <w:t xml:space="preserve">farmárov predkladá Ministerstvo pôdohospodárstva a rozvoja vidieka SR </w:t>
      </w:r>
      <w:r w:rsidR="00222C82" w:rsidRPr="00FD3680">
        <w:rPr>
          <w:rFonts w:ascii="Times New Roman" w:hAnsi="Times New Roman" w:cs="Times New Roman"/>
          <w:sz w:val="24"/>
          <w:szCs w:val="24"/>
        </w:rPr>
        <w:t xml:space="preserve">(ďalej len „MPRV SR“) </w:t>
      </w:r>
      <w:r w:rsidR="0022192B" w:rsidRPr="00FD3680">
        <w:rPr>
          <w:rFonts w:ascii="Times New Roman" w:hAnsi="Times New Roman" w:cs="Times New Roman"/>
          <w:sz w:val="24"/>
          <w:szCs w:val="24"/>
        </w:rPr>
        <w:t xml:space="preserve">na základe programového vyhlásenia vlády SR na roky 2012 – 2016, Koncepcie rozvoja pôdohospodárstva SR na roky 2013 – 2020 a Akčného plánu rozvoja pôdohospodárstva SR na roky 2014 – 2020. </w:t>
      </w:r>
    </w:p>
    <w:p w:rsidR="0022192B" w:rsidRPr="00FD3680" w:rsidRDefault="0022192B" w:rsidP="0022192B">
      <w:pPr>
        <w:spacing w:after="0" w:line="240" w:lineRule="auto"/>
        <w:jc w:val="both"/>
        <w:rPr>
          <w:rFonts w:ascii="Times New Roman" w:hAnsi="Times New Roman" w:cs="Times New Roman"/>
          <w:sz w:val="24"/>
          <w:szCs w:val="24"/>
        </w:rPr>
      </w:pPr>
    </w:p>
    <w:p w:rsidR="0022192B" w:rsidRPr="00FD3680" w:rsidRDefault="0022192B" w:rsidP="0022192B">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Koncepcia podpory</w:t>
      </w:r>
      <w:r w:rsidR="00936A4B" w:rsidRPr="00FD3680">
        <w:rPr>
          <w:rFonts w:ascii="Times New Roman" w:hAnsi="Times New Roman" w:cs="Times New Roman"/>
          <w:sz w:val="24"/>
          <w:szCs w:val="24"/>
        </w:rPr>
        <w:t xml:space="preserve"> malých</w:t>
      </w:r>
      <w:r w:rsidR="00995A3D" w:rsidRPr="00FD3680">
        <w:rPr>
          <w:rFonts w:ascii="Times New Roman" w:hAnsi="Times New Roman" w:cs="Times New Roman"/>
          <w:sz w:val="24"/>
          <w:szCs w:val="24"/>
        </w:rPr>
        <w:t>,</w:t>
      </w:r>
      <w:r w:rsidR="00936A4B" w:rsidRPr="00FD3680">
        <w:rPr>
          <w:rFonts w:ascii="Times New Roman" w:hAnsi="Times New Roman" w:cs="Times New Roman"/>
          <w:sz w:val="24"/>
          <w:szCs w:val="24"/>
        </w:rPr>
        <w:t xml:space="preserve"> </w:t>
      </w:r>
      <w:r w:rsidR="00995A3D" w:rsidRPr="00FD3680">
        <w:rPr>
          <w:rFonts w:ascii="Times New Roman" w:hAnsi="Times New Roman" w:cs="Times New Roman"/>
          <w:sz w:val="24"/>
          <w:szCs w:val="24"/>
        </w:rPr>
        <w:t xml:space="preserve">mladých </w:t>
      </w:r>
      <w:r w:rsidR="00936A4B" w:rsidRPr="00FD3680">
        <w:rPr>
          <w:rFonts w:ascii="Times New Roman" w:hAnsi="Times New Roman" w:cs="Times New Roman"/>
          <w:sz w:val="24"/>
          <w:szCs w:val="24"/>
        </w:rPr>
        <w:t xml:space="preserve">a rodinných farmárov </w:t>
      </w:r>
      <w:r w:rsidR="004B4CA5" w:rsidRPr="00FD3680">
        <w:rPr>
          <w:rFonts w:ascii="Times New Roman" w:hAnsi="Times New Roman" w:cs="Times New Roman"/>
          <w:sz w:val="24"/>
          <w:szCs w:val="24"/>
        </w:rPr>
        <w:t>chce naplniť jeden zo strategických zámerov</w:t>
      </w:r>
      <w:r w:rsidRPr="00FD3680">
        <w:rPr>
          <w:rFonts w:ascii="Times New Roman" w:hAnsi="Times New Roman" w:cs="Times New Roman"/>
          <w:sz w:val="24"/>
          <w:szCs w:val="24"/>
        </w:rPr>
        <w:t xml:space="preserve"> </w:t>
      </w:r>
      <w:r w:rsidR="00222C82" w:rsidRPr="00FD3680">
        <w:rPr>
          <w:rFonts w:ascii="Times New Roman" w:hAnsi="Times New Roman" w:cs="Times New Roman"/>
          <w:sz w:val="24"/>
          <w:szCs w:val="24"/>
        </w:rPr>
        <w:t xml:space="preserve">MPRV SR, a to </w:t>
      </w:r>
      <w:r w:rsidRPr="00FD3680">
        <w:rPr>
          <w:rFonts w:ascii="Times New Roman" w:hAnsi="Times New Roman" w:cs="Times New Roman"/>
          <w:sz w:val="24"/>
          <w:szCs w:val="24"/>
        </w:rPr>
        <w:t>vytvoriť priaznivejšie podmienky pre podnikanie v poľnohosp</w:t>
      </w:r>
      <w:r w:rsidR="00936A4B" w:rsidRPr="00FD3680">
        <w:rPr>
          <w:rFonts w:ascii="Times New Roman" w:hAnsi="Times New Roman" w:cs="Times New Roman"/>
          <w:sz w:val="24"/>
          <w:szCs w:val="24"/>
        </w:rPr>
        <w:t xml:space="preserve">odárstve pre mladých, </w:t>
      </w:r>
      <w:r w:rsidRPr="00FD3680">
        <w:rPr>
          <w:rFonts w:ascii="Times New Roman" w:hAnsi="Times New Roman" w:cs="Times New Roman"/>
          <w:sz w:val="24"/>
          <w:szCs w:val="24"/>
        </w:rPr>
        <w:t>malých</w:t>
      </w:r>
      <w:r w:rsidR="00936A4B" w:rsidRPr="00FD3680">
        <w:rPr>
          <w:rFonts w:ascii="Times New Roman" w:hAnsi="Times New Roman" w:cs="Times New Roman"/>
          <w:sz w:val="24"/>
          <w:szCs w:val="24"/>
        </w:rPr>
        <w:t xml:space="preserve"> a rodinných </w:t>
      </w:r>
      <w:r w:rsidRPr="00FD3680">
        <w:rPr>
          <w:rFonts w:ascii="Times New Roman" w:hAnsi="Times New Roman" w:cs="Times New Roman"/>
          <w:sz w:val="24"/>
          <w:szCs w:val="24"/>
        </w:rPr>
        <w:t xml:space="preserve"> farmárov. Súčasne tým chce riešiť generačnú výmenu v poľnohospodárstve a podporiť zamestnanosť na slovenskom vidieku, kde je poľnohospodárstvo jedným z rozhodujúcich odvetví </w:t>
      </w:r>
      <w:r w:rsidR="009174DC" w:rsidRPr="00FD3680">
        <w:rPr>
          <w:rFonts w:ascii="Times New Roman" w:hAnsi="Times New Roman" w:cs="Times New Roman"/>
          <w:sz w:val="24"/>
          <w:szCs w:val="24"/>
        </w:rPr>
        <w:t>tvorby pracovných príležitostí.</w:t>
      </w:r>
    </w:p>
    <w:p w:rsidR="004B4CA5" w:rsidRPr="00FD3680" w:rsidRDefault="004B4CA5" w:rsidP="004B4CA5">
      <w:pPr>
        <w:spacing w:after="0" w:line="240" w:lineRule="auto"/>
        <w:jc w:val="both"/>
        <w:rPr>
          <w:rFonts w:ascii="Times New Roman" w:hAnsi="Times New Roman" w:cs="Times New Roman"/>
          <w:sz w:val="24"/>
          <w:szCs w:val="24"/>
        </w:rPr>
      </w:pPr>
    </w:p>
    <w:p w:rsidR="004B4CA5" w:rsidRPr="00FD3680" w:rsidRDefault="004B4CA5" w:rsidP="004B4CA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Hlavným cieľom tejto koncepcie je teda predovšetkým podporiť diverzitu štruktúry poľnohospodárskych podnikov, zvýšiť životaschopnosť malých, mladých a rodinných fariem a zvýšiť a podporiť ich integráciu do potravinovej vertikály.</w:t>
      </w:r>
    </w:p>
    <w:p w:rsidR="0022192B" w:rsidRPr="00FD3680" w:rsidRDefault="0022192B" w:rsidP="0022192B">
      <w:pPr>
        <w:spacing w:after="0" w:line="240" w:lineRule="auto"/>
        <w:jc w:val="both"/>
        <w:rPr>
          <w:rFonts w:ascii="Times New Roman" w:hAnsi="Times New Roman" w:cs="Times New Roman"/>
          <w:sz w:val="24"/>
          <w:szCs w:val="24"/>
        </w:rPr>
      </w:pPr>
    </w:p>
    <w:p w:rsidR="00123632" w:rsidRPr="00FD3680" w:rsidRDefault="00FC3F87" w:rsidP="0022192B">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Táto koncepcia chápe </w:t>
      </w:r>
      <w:r w:rsidR="000D5D9C" w:rsidRPr="00FD3680">
        <w:rPr>
          <w:rFonts w:ascii="Times New Roman" w:hAnsi="Times New Roman" w:cs="Times New Roman"/>
          <w:sz w:val="24"/>
          <w:szCs w:val="24"/>
        </w:rPr>
        <w:t xml:space="preserve">pojem „farmár“ ako totožný s pojmom „poľnohospodár“, tak aby sa učinilo za dosť Nariadeniu EP a Rady 1305/2013 zo 17. decembra 2013 o podpore rozvoja vidieka prostredníctvom Európskeho poľnohospodárskeho fondu pre rozvoj vidieka (EPFRV) a o zrušení nariadenia Rady (ES) č. 1698/2005. </w:t>
      </w:r>
    </w:p>
    <w:p w:rsidR="00123632" w:rsidRPr="00FD3680" w:rsidRDefault="00123632" w:rsidP="0022192B">
      <w:pPr>
        <w:spacing w:after="0" w:line="240" w:lineRule="auto"/>
        <w:jc w:val="both"/>
        <w:rPr>
          <w:rFonts w:ascii="Times New Roman" w:hAnsi="Times New Roman" w:cs="Times New Roman"/>
          <w:sz w:val="24"/>
          <w:szCs w:val="24"/>
        </w:rPr>
      </w:pPr>
    </w:p>
    <w:p w:rsidR="0022192B" w:rsidRPr="00FD3680" w:rsidRDefault="000D5D9C" w:rsidP="0022192B">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K</w:t>
      </w:r>
      <w:r w:rsidR="00FC3F87" w:rsidRPr="00FD3680">
        <w:rPr>
          <w:rFonts w:ascii="Times New Roman" w:hAnsi="Times New Roman" w:cs="Times New Roman"/>
          <w:sz w:val="24"/>
          <w:szCs w:val="24"/>
        </w:rPr>
        <w:t xml:space="preserve">ategórie mladých, malých a rodinných farmárov </w:t>
      </w:r>
      <w:r w:rsidRPr="00FD3680">
        <w:rPr>
          <w:rFonts w:ascii="Times New Roman" w:hAnsi="Times New Roman" w:cs="Times New Roman"/>
          <w:sz w:val="24"/>
          <w:szCs w:val="24"/>
        </w:rPr>
        <w:t xml:space="preserve">sa teda v rámci koncepcie chápu </w:t>
      </w:r>
      <w:r w:rsidR="00FC3F87" w:rsidRPr="00FD3680">
        <w:rPr>
          <w:rFonts w:ascii="Times New Roman" w:hAnsi="Times New Roman" w:cs="Times New Roman"/>
          <w:sz w:val="24"/>
          <w:szCs w:val="24"/>
        </w:rPr>
        <w:t>nasledovne</w:t>
      </w:r>
      <w:r w:rsidR="00A02AB1" w:rsidRPr="00FD3680">
        <w:rPr>
          <w:rStyle w:val="Odkaznapoznmkupodiarou"/>
          <w:rFonts w:ascii="Times New Roman" w:hAnsi="Times New Roman" w:cs="Times New Roman"/>
          <w:sz w:val="24"/>
          <w:szCs w:val="24"/>
        </w:rPr>
        <w:footnoteReference w:id="1"/>
      </w:r>
      <w:r w:rsidR="00FC3F87" w:rsidRPr="00FD3680">
        <w:rPr>
          <w:rFonts w:ascii="Times New Roman" w:hAnsi="Times New Roman" w:cs="Times New Roman"/>
          <w:sz w:val="24"/>
          <w:szCs w:val="24"/>
        </w:rPr>
        <w:t>:</w:t>
      </w:r>
    </w:p>
    <w:p w:rsidR="00782D0E" w:rsidRPr="00FD3680" w:rsidRDefault="00782D0E" w:rsidP="0022192B">
      <w:pPr>
        <w:spacing w:after="0" w:line="240" w:lineRule="auto"/>
        <w:jc w:val="both"/>
        <w:rPr>
          <w:rFonts w:ascii="Times New Roman" w:hAnsi="Times New Roman" w:cs="Times New Roman"/>
          <w:sz w:val="24"/>
          <w:szCs w:val="24"/>
        </w:rPr>
      </w:pPr>
    </w:p>
    <w:p w:rsidR="003F2474" w:rsidRPr="00FD3680" w:rsidRDefault="003F2474" w:rsidP="00771A68">
      <w:pPr>
        <w:pStyle w:val="Odsekzoznamu"/>
        <w:numPr>
          <w:ilvl w:val="0"/>
          <w:numId w:val="1"/>
        </w:numPr>
        <w:spacing w:after="0" w:line="240" w:lineRule="auto"/>
        <w:jc w:val="both"/>
        <w:rPr>
          <w:rFonts w:ascii="Times New Roman" w:hAnsi="Times New Roman" w:cs="Times New Roman"/>
          <w:sz w:val="24"/>
          <w:szCs w:val="24"/>
        </w:rPr>
      </w:pPr>
      <w:r w:rsidRPr="00FD3680">
        <w:rPr>
          <w:rFonts w:ascii="Times New Roman" w:hAnsi="Times New Roman" w:cs="Times New Roman"/>
          <w:b/>
          <w:sz w:val="24"/>
          <w:szCs w:val="24"/>
        </w:rPr>
        <w:t>mladý farmár</w:t>
      </w:r>
      <w:r w:rsidRPr="00FD3680">
        <w:rPr>
          <w:rFonts w:ascii="Times New Roman" w:hAnsi="Times New Roman" w:cs="Times New Roman"/>
          <w:sz w:val="24"/>
          <w:szCs w:val="24"/>
        </w:rPr>
        <w:t xml:space="preserve"> je samostatne hospodáriaci roľník, tzn. fyzická osoba (mikropodnik alebo malý podnik v zmysle odporúčania Komisie 2003/361/ES): </w:t>
      </w:r>
    </w:p>
    <w:p w:rsidR="003F2474" w:rsidRPr="00FD3680" w:rsidRDefault="003F2474" w:rsidP="000D5D9C">
      <w:pPr>
        <w:pStyle w:val="Odsekzoznamu"/>
        <w:numPr>
          <w:ilvl w:val="1"/>
          <w:numId w:val="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ktorá  vykonáva poľnohospodársku výrobu </w:t>
      </w:r>
      <w:r w:rsidR="000D5D9C" w:rsidRPr="00FD3680">
        <w:rPr>
          <w:rFonts w:ascii="Times New Roman" w:hAnsi="Times New Roman" w:cs="Times New Roman"/>
          <w:sz w:val="24"/>
          <w:szCs w:val="24"/>
        </w:rPr>
        <w:t>ako podnikanie  v zmysle §2       ods. 1 Zákona č. 513/1991 Zb. Obchodný zákonník v znení neskorších predpisov</w:t>
      </w:r>
      <w:r w:rsidRPr="00FD3680">
        <w:rPr>
          <w:rFonts w:ascii="Times New Roman" w:hAnsi="Times New Roman" w:cs="Times New Roman"/>
          <w:sz w:val="24"/>
          <w:szCs w:val="24"/>
        </w:rPr>
        <w:t xml:space="preserve"> a ku dňu podania žiadosti o nenávratný finančný príspevok </w:t>
      </w:r>
      <w:r w:rsidR="009E17D3" w:rsidRPr="00FD3680">
        <w:rPr>
          <w:rFonts w:ascii="Times New Roman" w:hAnsi="Times New Roman" w:cs="Times New Roman"/>
          <w:sz w:val="24"/>
          <w:szCs w:val="24"/>
        </w:rPr>
        <w:t>nemá viac ako</w:t>
      </w:r>
      <w:r w:rsidRPr="00FD3680">
        <w:rPr>
          <w:rFonts w:ascii="Times New Roman" w:hAnsi="Times New Roman" w:cs="Times New Roman"/>
          <w:sz w:val="24"/>
          <w:szCs w:val="24"/>
        </w:rPr>
        <w:t xml:space="preserve"> 40 rokov; </w:t>
      </w:r>
    </w:p>
    <w:p w:rsidR="003F2474" w:rsidRPr="00FD3680" w:rsidRDefault="003F2474" w:rsidP="00771A68">
      <w:pPr>
        <w:pStyle w:val="Odsekzoznamu"/>
        <w:numPr>
          <w:ilvl w:val="1"/>
          <w:numId w:val="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má zodpovedajúce profesijné zručnosti a schopnosti  a prvýkrát zakladá poľnohospodársky podnik  ako jeho najvyšší predstaviteľ; </w:t>
      </w:r>
    </w:p>
    <w:p w:rsidR="003F2474" w:rsidRPr="00FD3680" w:rsidRDefault="003F2474" w:rsidP="003F2474">
      <w:pPr>
        <w:pStyle w:val="Odsekzoznamu"/>
        <w:spacing w:after="0" w:line="240" w:lineRule="auto"/>
        <w:jc w:val="both"/>
        <w:rPr>
          <w:rFonts w:ascii="Times New Roman" w:hAnsi="Times New Roman" w:cs="Times New Roman"/>
          <w:sz w:val="24"/>
          <w:szCs w:val="24"/>
        </w:rPr>
      </w:pPr>
    </w:p>
    <w:p w:rsidR="003F2474" w:rsidRPr="00FD3680" w:rsidRDefault="003F2474" w:rsidP="00771A68">
      <w:pPr>
        <w:pStyle w:val="Odsekzoznamu"/>
        <w:numPr>
          <w:ilvl w:val="0"/>
          <w:numId w:val="1"/>
        </w:numPr>
        <w:spacing w:after="0" w:line="240" w:lineRule="auto"/>
        <w:jc w:val="both"/>
        <w:rPr>
          <w:rFonts w:ascii="Times New Roman" w:hAnsi="Times New Roman" w:cs="Times New Roman"/>
          <w:sz w:val="24"/>
          <w:szCs w:val="24"/>
        </w:rPr>
      </w:pPr>
      <w:r w:rsidRPr="00FD3680">
        <w:rPr>
          <w:rFonts w:ascii="Times New Roman" w:hAnsi="Times New Roman" w:cs="Times New Roman"/>
          <w:b/>
          <w:sz w:val="24"/>
          <w:szCs w:val="24"/>
        </w:rPr>
        <w:t>malý farmár</w:t>
      </w:r>
      <w:r w:rsidRPr="00FD3680">
        <w:rPr>
          <w:rFonts w:ascii="Times New Roman" w:hAnsi="Times New Roman" w:cs="Times New Roman"/>
          <w:sz w:val="24"/>
          <w:szCs w:val="24"/>
        </w:rPr>
        <w:t xml:space="preserve"> je samostatne hospodáriaci roľník (mikropodnik </w:t>
      </w:r>
      <w:r w:rsidR="00B849F3" w:rsidRPr="00FD3680">
        <w:rPr>
          <w:rFonts w:ascii="Times New Roman" w:hAnsi="Times New Roman" w:cs="Times New Roman"/>
          <w:sz w:val="24"/>
          <w:szCs w:val="24"/>
        </w:rPr>
        <w:t xml:space="preserve">alebo malý podnik </w:t>
      </w:r>
      <w:r w:rsidRPr="00FD3680">
        <w:rPr>
          <w:rFonts w:ascii="Times New Roman" w:hAnsi="Times New Roman" w:cs="Times New Roman"/>
          <w:sz w:val="24"/>
          <w:szCs w:val="24"/>
        </w:rPr>
        <w:t xml:space="preserve">v zmysle odporúčania Komisie 2003/361/ES) podnikajúci v poľnohospodárskej prvovýrobe: </w:t>
      </w:r>
    </w:p>
    <w:p w:rsidR="003F2474" w:rsidRPr="00FD3680" w:rsidRDefault="003F2474" w:rsidP="00753A47">
      <w:pPr>
        <w:pStyle w:val="Odsekzoznamu"/>
        <w:numPr>
          <w:ilvl w:val="1"/>
          <w:numId w:val="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ktorého </w:t>
      </w:r>
      <w:r w:rsidR="00753A47" w:rsidRPr="00FD3680">
        <w:rPr>
          <w:rFonts w:ascii="Times New Roman" w:hAnsi="Times New Roman" w:cs="Times New Roman"/>
          <w:sz w:val="24"/>
          <w:szCs w:val="24"/>
        </w:rPr>
        <w:t>ekonomická veľkosť je stanovená štandardným výstupom v zmysle     čl. 5. Nariadenia EK č. 1242/2008, ktorým sa stanovuje typológia Spoločenstva pre poľnohospodárske podniky;</w:t>
      </w:r>
    </w:p>
    <w:p w:rsidR="00782D0E" w:rsidRPr="00FD3680" w:rsidRDefault="003F2474" w:rsidP="00970396">
      <w:pPr>
        <w:pStyle w:val="Odsekzoznamu"/>
        <w:numPr>
          <w:ilvl w:val="1"/>
          <w:numId w:val="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ktorý je poľnohospodársky podnikateľ, vykonávajúci poľnohospodársku výrobu </w:t>
      </w:r>
      <w:r w:rsidR="00970396" w:rsidRPr="00FD3680">
        <w:rPr>
          <w:rFonts w:ascii="Times New Roman" w:hAnsi="Times New Roman" w:cs="Times New Roman"/>
          <w:sz w:val="24"/>
          <w:szCs w:val="24"/>
        </w:rPr>
        <w:t>ako podnikanie  v zmysle §2 ods. 1 Zákona č. 513/1991 Zb. Obchodný zákonník v znení neskorších predpisov</w:t>
      </w:r>
      <w:r w:rsidRPr="00FD3680">
        <w:rPr>
          <w:rFonts w:ascii="Times New Roman" w:hAnsi="Times New Roman" w:cs="Times New Roman"/>
          <w:sz w:val="24"/>
          <w:szCs w:val="24"/>
        </w:rPr>
        <w:t>, pričom táto fyzická osoba zamestnáva, v priebehu hospodárskeho roka, menej ako</w:t>
      </w:r>
      <w:r w:rsidR="00D0567D" w:rsidRPr="00FD3680">
        <w:rPr>
          <w:rFonts w:ascii="Times New Roman" w:hAnsi="Times New Roman" w:cs="Times New Roman"/>
          <w:sz w:val="24"/>
          <w:szCs w:val="24"/>
        </w:rPr>
        <w:t xml:space="preserve"> </w:t>
      </w:r>
      <w:r w:rsidRPr="00FD3680">
        <w:rPr>
          <w:rFonts w:ascii="Times New Roman" w:hAnsi="Times New Roman" w:cs="Times New Roman"/>
          <w:sz w:val="24"/>
          <w:szCs w:val="24"/>
        </w:rPr>
        <w:t>50 osôb a dosahuje ročný obrat a/alebo celkovú ročnú bilančnú hodnotu menej ako 10 mil. EUR vrátane;</w:t>
      </w:r>
    </w:p>
    <w:p w:rsidR="003F2474" w:rsidRPr="00FD3680" w:rsidRDefault="003F2474" w:rsidP="003F2474">
      <w:pPr>
        <w:spacing w:after="0" w:line="240" w:lineRule="auto"/>
        <w:jc w:val="both"/>
        <w:rPr>
          <w:rFonts w:ascii="Times New Roman" w:hAnsi="Times New Roman" w:cs="Times New Roman"/>
          <w:sz w:val="24"/>
          <w:szCs w:val="24"/>
        </w:rPr>
      </w:pPr>
    </w:p>
    <w:p w:rsidR="00123632" w:rsidRPr="00FD3680" w:rsidRDefault="00123632" w:rsidP="003F2474">
      <w:pPr>
        <w:spacing w:after="0" w:line="240" w:lineRule="auto"/>
        <w:jc w:val="both"/>
        <w:rPr>
          <w:rFonts w:ascii="Times New Roman" w:hAnsi="Times New Roman" w:cs="Times New Roman"/>
          <w:sz w:val="24"/>
          <w:szCs w:val="24"/>
        </w:rPr>
      </w:pPr>
    </w:p>
    <w:p w:rsidR="00123632" w:rsidRPr="00FD3680" w:rsidRDefault="00123632" w:rsidP="003F2474">
      <w:pPr>
        <w:spacing w:after="0" w:line="240" w:lineRule="auto"/>
        <w:jc w:val="both"/>
        <w:rPr>
          <w:rFonts w:ascii="Times New Roman" w:hAnsi="Times New Roman" w:cs="Times New Roman"/>
          <w:sz w:val="24"/>
          <w:szCs w:val="24"/>
        </w:rPr>
      </w:pPr>
    </w:p>
    <w:p w:rsidR="00FC3F87" w:rsidRPr="00FD3680" w:rsidRDefault="00FC3F87" w:rsidP="00123632">
      <w:pPr>
        <w:pStyle w:val="Odsekzoznamu"/>
        <w:numPr>
          <w:ilvl w:val="0"/>
          <w:numId w:val="1"/>
        </w:numPr>
        <w:spacing w:after="0" w:line="240" w:lineRule="auto"/>
        <w:jc w:val="both"/>
        <w:rPr>
          <w:rFonts w:ascii="Times New Roman" w:hAnsi="Times New Roman" w:cs="Times New Roman"/>
          <w:sz w:val="24"/>
          <w:szCs w:val="24"/>
        </w:rPr>
      </w:pPr>
      <w:r w:rsidRPr="00FD3680">
        <w:rPr>
          <w:rFonts w:ascii="Times New Roman" w:hAnsi="Times New Roman" w:cs="Times New Roman"/>
          <w:b/>
          <w:sz w:val="24"/>
          <w:szCs w:val="24"/>
        </w:rPr>
        <w:t>rodinný farmár</w:t>
      </w:r>
      <w:r w:rsidRPr="00FD3680">
        <w:rPr>
          <w:rFonts w:ascii="Times New Roman" w:hAnsi="Times New Roman" w:cs="Times New Roman"/>
          <w:sz w:val="24"/>
          <w:szCs w:val="24"/>
        </w:rPr>
        <w:t xml:space="preserve"> je </w:t>
      </w:r>
      <w:r w:rsidR="009A4FC5" w:rsidRPr="00FD3680">
        <w:rPr>
          <w:rFonts w:ascii="Times New Roman" w:hAnsi="Times New Roman" w:cs="Times New Roman"/>
          <w:sz w:val="24"/>
          <w:szCs w:val="24"/>
        </w:rPr>
        <w:t xml:space="preserve">samostatne hospodáriaci roľník, fyzická osoba, ktorá spĺňa podmienky mikro- alebo malého podniku v zmysle odporúčania Európskej komisie č. 2003/361/ES, ktorá vykonáva poľnohospodársku výrobu </w:t>
      </w:r>
      <w:r w:rsidR="00123632" w:rsidRPr="00FD3680">
        <w:rPr>
          <w:rFonts w:ascii="Times New Roman" w:hAnsi="Times New Roman" w:cs="Times New Roman"/>
          <w:sz w:val="24"/>
          <w:szCs w:val="24"/>
        </w:rPr>
        <w:t>ako podnikanie  v zmysle §2       ods. 1 Zákona č. 513/1991 Zb. Obchodný zákonník v znení neskorších predpisov</w:t>
      </w:r>
      <w:r w:rsidR="009A4FC5" w:rsidRPr="00FD3680">
        <w:rPr>
          <w:rFonts w:ascii="Times New Roman" w:hAnsi="Times New Roman" w:cs="Times New Roman"/>
          <w:sz w:val="24"/>
          <w:szCs w:val="24"/>
        </w:rPr>
        <w:t xml:space="preserve"> a zamestnáva minimálne 2 rodinných príslušníkov v priamom </w:t>
      </w:r>
      <w:r w:rsidR="00081006" w:rsidRPr="00FD3680">
        <w:rPr>
          <w:rFonts w:ascii="Times New Roman" w:hAnsi="Times New Roman" w:cs="Times New Roman"/>
          <w:sz w:val="24"/>
          <w:szCs w:val="24"/>
        </w:rPr>
        <w:t>alebo pobočnom rade, vrátane manžela a manželky,</w:t>
      </w:r>
      <w:r w:rsidR="009A4FC5" w:rsidRPr="00FD3680">
        <w:rPr>
          <w:rFonts w:ascii="Times New Roman" w:hAnsi="Times New Roman" w:cs="Times New Roman"/>
          <w:sz w:val="24"/>
          <w:szCs w:val="24"/>
        </w:rPr>
        <w:t xml:space="preserve"> v zmysle Občianskeho z</w:t>
      </w:r>
      <w:r w:rsidR="00123632" w:rsidRPr="00FD3680">
        <w:rPr>
          <w:rFonts w:ascii="Times New Roman" w:hAnsi="Times New Roman" w:cs="Times New Roman"/>
          <w:sz w:val="24"/>
          <w:szCs w:val="24"/>
        </w:rPr>
        <w:t>ákonníka, ktorí sú zamestnaní     v</w:t>
      </w:r>
      <w:r w:rsidR="009A4FC5" w:rsidRPr="00FD3680">
        <w:rPr>
          <w:rFonts w:ascii="Times New Roman" w:hAnsi="Times New Roman" w:cs="Times New Roman"/>
          <w:sz w:val="24"/>
          <w:szCs w:val="24"/>
        </w:rPr>
        <w:t xml:space="preserve"> pracovnom pomere </w:t>
      </w:r>
      <w:r w:rsidR="00123632" w:rsidRPr="00FD3680">
        <w:rPr>
          <w:rFonts w:ascii="Times New Roman" w:hAnsi="Times New Roman" w:cs="Times New Roman"/>
          <w:sz w:val="24"/>
          <w:szCs w:val="24"/>
        </w:rPr>
        <w:t xml:space="preserve">na ustanovený týždenný pracovný čas </w:t>
      </w:r>
      <w:r w:rsidR="009A4FC5" w:rsidRPr="00FD3680">
        <w:rPr>
          <w:rFonts w:ascii="Times New Roman" w:hAnsi="Times New Roman" w:cs="Times New Roman"/>
          <w:sz w:val="24"/>
          <w:szCs w:val="24"/>
        </w:rPr>
        <w:t>v zmysle Zákonníka práce</w:t>
      </w:r>
      <w:r w:rsidR="00F473F4" w:rsidRPr="00FD3680">
        <w:rPr>
          <w:rFonts w:ascii="Times New Roman" w:hAnsi="Times New Roman" w:cs="Times New Roman"/>
          <w:sz w:val="24"/>
          <w:szCs w:val="24"/>
        </w:rPr>
        <w:t>.</w:t>
      </w:r>
    </w:p>
    <w:p w:rsidR="00A02AB1" w:rsidRPr="00FD3680" w:rsidRDefault="00A02AB1" w:rsidP="004B4CA5">
      <w:pPr>
        <w:spacing w:after="0" w:line="240" w:lineRule="auto"/>
        <w:jc w:val="both"/>
        <w:rPr>
          <w:rFonts w:ascii="Times New Roman" w:hAnsi="Times New Roman" w:cs="Times New Roman"/>
          <w:sz w:val="24"/>
          <w:szCs w:val="24"/>
        </w:rPr>
      </w:pPr>
    </w:p>
    <w:p w:rsidR="004B4CA5" w:rsidRPr="00FD3680" w:rsidRDefault="004B4CA5" w:rsidP="004B4CA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Na účely tejto koncepcie je potrebné tieto kategórie farmárov </w:t>
      </w:r>
      <w:r w:rsidR="003F2474" w:rsidRPr="00FD3680">
        <w:rPr>
          <w:rFonts w:ascii="Times New Roman" w:hAnsi="Times New Roman" w:cs="Times New Roman"/>
          <w:sz w:val="24"/>
          <w:szCs w:val="24"/>
        </w:rPr>
        <w:t xml:space="preserve">chápať len ako relatívne oddelené. </w:t>
      </w:r>
      <w:r w:rsidR="00DA2973" w:rsidRPr="00FD3680">
        <w:rPr>
          <w:rFonts w:ascii="Times New Roman" w:hAnsi="Times New Roman" w:cs="Times New Roman"/>
          <w:sz w:val="24"/>
          <w:szCs w:val="24"/>
        </w:rPr>
        <w:t>To znamená, že malý farmár môže byť, po splnení podmienok, zároveň rodinným farmárom alebo rodinný farmár môže byť mladým farmárom alebo malým farmárom.</w:t>
      </w:r>
      <w:r w:rsidR="003F2474" w:rsidRPr="00FD3680">
        <w:rPr>
          <w:rFonts w:ascii="Times New Roman" w:hAnsi="Times New Roman" w:cs="Times New Roman"/>
          <w:sz w:val="24"/>
          <w:szCs w:val="24"/>
        </w:rPr>
        <w:t xml:space="preserve"> V každom prípade však ide o </w:t>
      </w:r>
      <w:r w:rsidRPr="00FD3680">
        <w:rPr>
          <w:rFonts w:ascii="Times New Roman" w:hAnsi="Times New Roman" w:cs="Times New Roman"/>
          <w:sz w:val="24"/>
          <w:szCs w:val="24"/>
        </w:rPr>
        <w:t xml:space="preserve"> </w:t>
      </w:r>
      <w:r w:rsidR="003F2474" w:rsidRPr="00FD3680">
        <w:rPr>
          <w:rFonts w:ascii="Times New Roman" w:hAnsi="Times New Roman" w:cs="Times New Roman"/>
          <w:sz w:val="24"/>
          <w:szCs w:val="24"/>
        </w:rPr>
        <w:t>osoby</w:t>
      </w:r>
      <w:r w:rsidRPr="00FD3680">
        <w:rPr>
          <w:rFonts w:ascii="Times New Roman" w:hAnsi="Times New Roman" w:cs="Times New Roman"/>
          <w:sz w:val="24"/>
          <w:szCs w:val="24"/>
        </w:rPr>
        <w:t xml:space="preserve"> so špecifickým postavením na trhu práce, ktorých podpora pri začatí podnikateľskej činnosti môže naplniť prirodzenú potrebu sektora poľnohospodárstva uspokojovať aj dopyt po špecifických tovaroch a službách. Úlohou mladých, malých a rodinných farmárov v tomto kontexte je teda vyplniť existujúcu medzeru na trhu poľnohospodárskych produktov a služieb.</w:t>
      </w:r>
      <w:r w:rsidR="00A02AB1" w:rsidRPr="00FD3680">
        <w:rPr>
          <w:rFonts w:ascii="Times New Roman" w:hAnsi="Times New Roman" w:cs="Times New Roman"/>
          <w:sz w:val="24"/>
          <w:szCs w:val="24"/>
        </w:rPr>
        <w:t xml:space="preserve"> </w:t>
      </w:r>
    </w:p>
    <w:p w:rsidR="00BD0437" w:rsidRPr="00FD3680" w:rsidRDefault="00BD0437" w:rsidP="00FC3F87">
      <w:pPr>
        <w:spacing w:after="0" w:line="240" w:lineRule="auto"/>
        <w:jc w:val="both"/>
        <w:rPr>
          <w:rFonts w:ascii="Times New Roman" w:hAnsi="Times New Roman" w:cs="Times New Roman"/>
          <w:sz w:val="24"/>
          <w:szCs w:val="24"/>
        </w:rPr>
      </w:pPr>
    </w:p>
    <w:p w:rsidR="00240F22" w:rsidRPr="00FD3680" w:rsidRDefault="00C824A7"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Myšlienkovým základom tejto koncepcie je vytvoriť na slovenskom trhu špecifickú skupinu poľnohospodárskych subjektov</w:t>
      </w:r>
      <w:r w:rsidR="004B4CA5" w:rsidRPr="00FD3680">
        <w:rPr>
          <w:rFonts w:ascii="Times New Roman" w:hAnsi="Times New Roman" w:cs="Times New Roman"/>
          <w:sz w:val="24"/>
          <w:szCs w:val="24"/>
        </w:rPr>
        <w:t>, integrovanú do potravinovej vertikály</w:t>
      </w:r>
      <w:r w:rsidRPr="00FD3680">
        <w:rPr>
          <w:rFonts w:ascii="Times New Roman" w:hAnsi="Times New Roman" w:cs="Times New Roman"/>
          <w:sz w:val="24"/>
          <w:szCs w:val="24"/>
        </w:rPr>
        <w:t xml:space="preserve">, </w:t>
      </w:r>
      <w:r w:rsidR="004B4CA5" w:rsidRPr="00FD3680">
        <w:rPr>
          <w:rFonts w:ascii="Times New Roman" w:hAnsi="Times New Roman" w:cs="Times New Roman"/>
          <w:sz w:val="24"/>
          <w:szCs w:val="24"/>
        </w:rPr>
        <w:t xml:space="preserve">ktoré uspokojujú dopyt po špecifických tovaroch a službách a plne využívajúcich pozitíva kolektívnych investícií do prvovýroby a spracovania svojich prvovýrobných produktov. </w:t>
      </w:r>
      <w:r w:rsidR="00BD0437" w:rsidRPr="00FD3680">
        <w:rPr>
          <w:rFonts w:ascii="Times New Roman" w:hAnsi="Times New Roman" w:cs="Times New Roman"/>
          <w:sz w:val="24"/>
          <w:szCs w:val="24"/>
        </w:rPr>
        <w:t xml:space="preserve">Týmto spôsobom dôjde k naplneniu jedného z hlavných cieľov Spoločnej poľnohospodárskej politiky na roky 2014 – 2020, ktorým je podpora pridávania hodnoty do poľnohospodárskych produktov a služieb. </w:t>
      </w:r>
    </w:p>
    <w:p w:rsidR="00642DEF" w:rsidRPr="00FD3680" w:rsidRDefault="00642DEF" w:rsidP="00FC3F87">
      <w:pPr>
        <w:spacing w:after="0" w:line="240" w:lineRule="auto"/>
        <w:jc w:val="both"/>
        <w:rPr>
          <w:rFonts w:ascii="Times New Roman" w:hAnsi="Times New Roman" w:cs="Times New Roman"/>
          <w:sz w:val="24"/>
          <w:szCs w:val="24"/>
        </w:rPr>
      </w:pPr>
    </w:p>
    <w:p w:rsidR="00BD0437" w:rsidRPr="00FD3680" w:rsidRDefault="00114F46"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Podpora </w:t>
      </w:r>
      <w:r w:rsidR="002F093A" w:rsidRPr="00FD3680">
        <w:rPr>
          <w:rFonts w:ascii="Times New Roman" w:hAnsi="Times New Roman" w:cs="Times New Roman"/>
          <w:sz w:val="24"/>
          <w:szCs w:val="24"/>
        </w:rPr>
        <w:t>takýchto poľnohospodárskych podnikateľov</w:t>
      </w:r>
      <w:r w:rsidRPr="00FD3680">
        <w:rPr>
          <w:rFonts w:ascii="Times New Roman" w:hAnsi="Times New Roman" w:cs="Times New Roman"/>
          <w:sz w:val="24"/>
          <w:szCs w:val="24"/>
        </w:rPr>
        <w:t xml:space="preserve"> je založená na analýze základných výrobných faktorov – pôdy, práce a kapitálu – pričom </w:t>
      </w:r>
      <w:r w:rsidR="003328A5" w:rsidRPr="00FD3680">
        <w:rPr>
          <w:rFonts w:ascii="Times New Roman" w:hAnsi="Times New Roman" w:cs="Times New Roman"/>
          <w:sz w:val="24"/>
          <w:szCs w:val="24"/>
        </w:rPr>
        <w:t xml:space="preserve"> sa </w:t>
      </w:r>
      <w:r w:rsidRPr="00FD3680">
        <w:rPr>
          <w:rFonts w:ascii="Times New Roman" w:hAnsi="Times New Roman" w:cs="Times New Roman"/>
          <w:sz w:val="24"/>
          <w:szCs w:val="24"/>
        </w:rPr>
        <w:t xml:space="preserve">vychádza z ich vzácnosti v trhovom prostredí. </w:t>
      </w:r>
    </w:p>
    <w:p w:rsidR="002F093A" w:rsidRPr="00FD3680" w:rsidRDefault="00B03F2B" w:rsidP="00B03F2B">
      <w:pPr>
        <w:rPr>
          <w:rFonts w:ascii="Times New Roman" w:hAnsi="Times New Roman" w:cs="Times New Roman"/>
          <w:sz w:val="24"/>
          <w:szCs w:val="24"/>
        </w:rPr>
      </w:pPr>
      <w:r w:rsidRPr="00FD3680">
        <w:rPr>
          <w:rFonts w:ascii="Times New Roman" w:hAnsi="Times New Roman" w:cs="Times New Roman"/>
          <w:sz w:val="24"/>
          <w:szCs w:val="24"/>
        </w:rPr>
        <w:br w:type="page"/>
      </w:r>
    </w:p>
    <w:p w:rsidR="00114F46" w:rsidRPr="00FD3680" w:rsidRDefault="004A44ED" w:rsidP="00771A68">
      <w:pPr>
        <w:pStyle w:val="Nadpis1"/>
        <w:numPr>
          <w:ilvl w:val="0"/>
          <w:numId w:val="36"/>
        </w:numPr>
      </w:pPr>
      <w:bookmarkStart w:id="1" w:name="_Toc394589414"/>
      <w:r w:rsidRPr="00FD3680">
        <w:lastRenderedPageBreak/>
        <w:t>Analýza</w:t>
      </w:r>
      <w:r w:rsidR="00114F46" w:rsidRPr="00FD3680">
        <w:t xml:space="preserve"> súčasného stavu využitia základných výrobných faktorov v poľnohospodárstve</w:t>
      </w:r>
      <w:bookmarkEnd w:id="1"/>
    </w:p>
    <w:p w:rsidR="002C3189" w:rsidRPr="00FD3680" w:rsidRDefault="002C3189" w:rsidP="00FC3F87">
      <w:pPr>
        <w:spacing w:after="0" w:line="240" w:lineRule="auto"/>
        <w:jc w:val="both"/>
        <w:rPr>
          <w:rFonts w:ascii="Times New Roman" w:hAnsi="Times New Roman" w:cs="Times New Roman"/>
          <w:sz w:val="24"/>
          <w:szCs w:val="24"/>
        </w:rPr>
      </w:pPr>
    </w:p>
    <w:p w:rsidR="009C34BD" w:rsidRPr="00FD3680" w:rsidRDefault="009C34BD" w:rsidP="009C34B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Slovenská republika je považovaná z hľadiska tradícií za poľnohospodársku krajinu. Súčasný úpadok poľnohospodárstva je podmienený  transformačným vývojom ekonomiky, v rámci ktorého dochádzalo k procesom reindustrializácie a deagrarizácie. Tieto procesy a prispôsobenie ekonomiky tzv. západnému modelu, t.j. vysoký podiel služieb na úkor tradičných odvetví hospodárstva, však dohnal</w:t>
      </w:r>
      <w:r w:rsidR="00740611" w:rsidRPr="00FD3680">
        <w:rPr>
          <w:rFonts w:ascii="Times New Roman" w:hAnsi="Times New Roman" w:cs="Times New Roman"/>
          <w:sz w:val="24"/>
          <w:szCs w:val="24"/>
        </w:rPr>
        <w:t>i</w:t>
      </w:r>
      <w:r w:rsidRPr="00FD3680">
        <w:rPr>
          <w:rFonts w:ascii="Times New Roman" w:hAnsi="Times New Roman" w:cs="Times New Roman"/>
          <w:sz w:val="24"/>
          <w:szCs w:val="24"/>
        </w:rPr>
        <w:t xml:space="preserve"> sektor poľnohospodárstva na hranicu jeho rentability a atraktívnosti. Slovensko sa v rámci rýchleho zapojenia do „modernej“ výroby zameralo na budovanie nových, pre naše regióny, často netypických ekonomických činností. </w:t>
      </w:r>
    </w:p>
    <w:p w:rsidR="00671962" w:rsidRPr="00FD3680" w:rsidRDefault="009C34BD" w:rsidP="009C34B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Tento stav </w:t>
      </w:r>
      <w:r w:rsidR="00532258" w:rsidRPr="00FD3680">
        <w:rPr>
          <w:rFonts w:ascii="Times New Roman" w:hAnsi="Times New Roman" w:cs="Times New Roman"/>
          <w:sz w:val="24"/>
          <w:szCs w:val="24"/>
        </w:rPr>
        <w:t xml:space="preserve">je </w:t>
      </w:r>
      <w:r w:rsidRPr="00FD3680">
        <w:rPr>
          <w:rFonts w:ascii="Times New Roman" w:hAnsi="Times New Roman" w:cs="Times New Roman"/>
          <w:sz w:val="24"/>
          <w:szCs w:val="24"/>
        </w:rPr>
        <w:t xml:space="preserve">pozitívny, nakoľko pritiahol na Slovensko významné zahraničné investície, ktoré boli hlavným motorom rastu zamestnanosti a produktivity práce. </w:t>
      </w:r>
      <w:r w:rsidR="00326BC3" w:rsidRPr="00FD3680">
        <w:rPr>
          <w:rFonts w:ascii="Times New Roman" w:hAnsi="Times New Roman" w:cs="Times New Roman"/>
          <w:sz w:val="24"/>
          <w:szCs w:val="24"/>
        </w:rPr>
        <w:t>N</w:t>
      </w:r>
      <w:r w:rsidRPr="00FD3680">
        <w:rPr>
          <w:rFonts w:ascii="Times New Roman" w:hAnsi="Times New Roman" w:cs="Times New Roman"/>
          <w:sz w:val="24"/>
          <w:szCs w:val="24"/>
        </w:rPr>
        <w:t>egatívn</w:t>
      </w:r>
      <w:r w:rsidR="00326BC3" w:rsidRPr="00FD3680">
        <w:rPr>
          <w:rFonts w:ascii="Times New Roman" w:hAnsi="Times New Roman" w:cs="Times New Roman"/>
          <w:sz w:val="24"/>
          <w:szCs w:val="24"/>
        </w:rPr>
        <w:t>e</w:t>
      </w:r>
      <w:r w:rsidRPr="00FD3680">
        <w:rPr>
          <w:rFonts w:ascii="Times New Roman" w:hAnsi="Times New Roman" w:cs="Times New Roman"/>
          <w:sz w:val="24"/>
          <w:szCs w:val="24"/>
        </w:rPr>
        <w:t xml:space="preserve"> je, že sa pozabudlo na ekonom</w:t>
      </w:r>
      <w:r w:rsidR="00740611" w:rsidRPr="00FD3680">
        <w:rPr>
          <w:rFonts w:ascii="Times New Roman" w:hAnsi="Times New Roman" w:cs="Times New Roman"/>
          <w:sz w:val="24"/>
          <w:szCs w:val="24"/>
        </w:rPr>
        <w:t xml:space="preserve">ický, </w:t>
      </w:r>
      <w:r w:rsidRPr="00FD3680">
        <w:rPr>
          <w:rFonts w:ascii="Times New Roman" w:hAnsi="Times New Roman" w:cs="Times New Roman"/>
          <w:sz w:val="24"/>
          <w:szCs w:val="24"/>
        </w:rPr>
        <w:t xml:space="preserve">produkčný, sociálny, spoločenský a v neposlednom rade i krajinotvorný výzvam poľnohospodárstva, ktoré bolo „novými“, pre </w:t>
      </w:r>
      <w:r w:rsidR="00326BC3" w:rsidRPr="00FD3680">
        <w:rPr>
          <w:rFonts w:ascii="Times New Roman" w:hAnsi="Times New Roman" w:cs="Times New Roman"/>
          <w:sz w:val="24"/>
          <w:szCs w:val="24"/>
        </w:rPr>
        <w:t xml:space="preserve">Slovensko </w:t>
      </w:r>
      <w:r w:rsidRPr="00FD3680">
        <w:rPr>
          <w:rFonts w:ascii="Times New Roman" w:hAnsi="Times New Roman" w:cs="Times New Roman"/>
          <w:sz w:val="24"/>
          <w:szCs w:val="24"/>
        </w:rPr>
        <w:t>netradičnými hospodárskymi odvetviami zatlačené do úzadia. Tradičné poľnohospodárstvo ustúpi</w:t>
      </w:r>
      <w:r w:rsidR="00326BC3" w:rsidRPr="00FD3680">
        <w:rPr>
          <w:rFonts w:ascii="Times New Roman" w:hAnsi="Times New Roman" w:cs="Times New Roman"/>
          <w:sz w:val="24"/>
          <w:szCs w:val="24"/>
        </w:rPr>
        <w:t>lo</w:t>
      </w:r>
      <w:r w:rsidRPr="00FD3680">
        <w:rPr>
          <w:rFonts w:ascii="Times New Roman" w:hAnsi="Times New Roman" w:cs="Times New Roman"/>
          <w:sz w:val="24"/>
          <w:szCs w:val="24"/>
        </w:rPr>
        <w:t xml:space="preserve"> novej, priemyselnej výrobe, pričom už  v súčasnosti </w:t>
      </w:r>
      <w:r w:rsidR="00326BC3" w:rsidRPr="00FD3680">
        <w:rPr>
          <w:rFonts w:ascii="Times New Roman" w:hAnsi="Times New Roman" w:cs="Times New Roman"/>
          <w:sz w:val="24"/>
          <w:szCs w:val="24"/>
        </w:rPr>
        <w:t>je známe</w:t>
      </w:r>
      <w:r w:rsidRPr="00FD3680">
        <w:rPr>
          <w:rFonts w:ascii="Times New Roman" w:hAnsi="Times New Roman" w:cs="Times New Roman"/>
          <w:sz w:val="24"/>
          <w:szCs w:val="24"/>
        </w:rPr>
        <w:t xml:space="preserve">, že je nevyhnutné vrátiť sa k poľnohospodárskej </w:t>
      </w:r>
      <w:r w:rsidR="00326BC3" w:rsidRPr="00FD3680">
        <w:rPr>
          <w:rFonts w:ascii="Times New Roman" w:hAnsi="Times New Roman" w:cs="Times New Roman"/>
          <w:sz w:val="24"/>
          <w:szCs w:val="24"/>
        </w:rPr>
        <w:t>výrobe</w:t>
      </w:r>
      <w:r w:rsidRPr="00FD3680">
        <w:rPr>
          <w:rFonts w:ascii="Times New Roman" w:hAnsi="Times New Roman" w:cs="Times New Roman"/>
          <w:sz w:val="24"/>
          <w:szCs w:val="24"/>
        </w:rPr>
        <w:t>, avšak v novej atraktívnejšej podobe</w:t>
      </w:r>
      <w:r w:rsidR="00532258" w:rsidRPr="00FD3680">
        <w:rPr>
          <w:rFonts w:ascii="Times New Roman" w:hAnsi="Times New Roman" w:cs="Times New Roman"/>
          <w:sz w:val="24"/>
          <w:szCs w:val="24"/>
        </w:rPr>
        <w:t xml:space="preserve"> tak</w:t>
      </w:r>
      <w:r w:rsidRPr="00FD3680">
        <w:rPr>
          <w:rFonts w:ascii="Times New Roman" w:hAnsi="Times New Roman" w:cs="Times New Roman"/>
          <w:sz w:val="24"/>
          <w:szCs w:val="24"/>
        </w:rPr>
        <w:t xml:space="preserve">, aby regióny Slovenska zvýšili </w:t>
      </w:r>
      <w:r w:rsidR="00B31B70" w:rsidRPr="00FD3680">
        <w:rPr>
          <w:rFonts w:ascii="Times New Roman" w:hAnsi="Times New Roman" w:cs="Times New Roman"/>
          <w:sz w:val="24"/>
          <w:szCs w:val="24"/>
        </w:rPr>
        <w:t xml:space="preserve">svoju </w:t>
      </w:r>
      <w:r w:rsidRPr="00FD3680">
        <w:rPr>
          <w:rFonts w:ascii="Times New Roman" w:hAnsi="Times New Roman" w:cs="Times New Roman"/>
          <w:sz w:val="24"/>
          <w:szCs w:val="24"/>
        </w:rPr>
        <w:t>atraktivitu pre mladé obyvateľstvo, zastavil</w:t>
      </w:r>
      <w:r w:rsidR="00326BC3" w:rsidRPr="00FD3680">
        <w:rPr>
          <w:rFonts w:ascii="Times New Roman" w:hAnsi="Times New Roman" w:cs="Times New Roman"/>
          <w:sz w:val="24"/>
          <w:szCs w:val="24"/>
        </w:rPr>
        <w:t xml:space="preserve"> sa </w:t>
      </w:r>
      <w:r w:rsidRPr="00FD3680">
        <w:rPr>
          <w:rFonts w:ascii="Times New Roman" w:hAnsi="Times New Roman" w:cs="Times New Roman"/>
          <w:sz w:val="24"/>
          <w:szCs w:val="24"/>
        </w:rPr>
        <w:t xml:space="preserve"> postupný úpadok vidieka</w:t>
      </w:r>
      <w:r w:rsidR="00B31B70" w:rsidRPr="00FD3680">
        <w:rPr>
          <w:rFonts w:ascii="Times New Roman" w:hAnsi="Times New Roman" w:cs="Times New Roman"/>
          <w:sz w:val="24"/>
          <w:szCs w:val="24"/>
        </w:rPr>
        <w:t xml:space="preserve"> a jeho vyľudňovanie</w:t>
      </w:r>
      <w:r w:rsidRPr="00FD3680">
        <w:rPr>
          <w:rFonts w:ascii="Times New Roman" w:hAnsi="Times New Roman" w:cs="Times New Roman"/>
          <w:sz w:val="24"/>
          <w:szCs w:val="24"/>
        </w:rPr>
        <w:t>, zabránil</w:t>
      </w:r>
      <w:r w:rsidR="00326BC3" w:rsidRPr="00FD3680">
        <w:rPr>
          <w:rFonts w:ascii="Times New Roman" w:hAnsi="Times New Roman" w:cs="Times New Roman"/>
          <w:sz w:val="24"/>
          <w:szCs w:val="24"/>
        </w:rPr>
        <w:t>o</w:t>
      </w:r>
      <w:r w:rsidRPr="00FD3680">
        <w:rPr>
          <w:rFonts w:ascii="Times New Roman" w:hAnsi="Times New Roman" w:cs="Times New Roman"/>
          <w:sz w:val="24"/>
          <w:szCs w:val="24"/>
        </w:rPr>
        <w:t xml:space="preserve"> </w:t>
      </w:r>
      <w:r w:rsidR="00326BC3" w:rsidRPr="00FD3680">
        <w:rPr>
          <w:rFonts w:ascii="Times New Roman" w:hAnsi="Times New Roman" w:cs="Times New Roman"/>
          <w:sz w:val="24"/>
          <w:szCs w:val="24"/>
        </w:rPr>
        <w:t xml:space="preserve">sa </w:t>
      </w:r>
      <w:r w:rsidRPr="00FD3680">
        <w:rPr>
          <w:rFonts w:ascii="Times New Roman" w:hAnsi="Times New Roman" w:cs="Times New Roman"/>
          <w:sz w:val="24"/>
          <w:szCs w:val="24"/>
        </w:rPr>
        <w:t xml:space="preserve">rozširovaniu </w:t>
      </w:r>
      <w:r w:rsidR="00326BC3" w:rsidRPr="00FD3680">
        <w:rPr>
          <w:rFonts w:ascii="Times New Roman" w:hAnsi="Times New Roman" w:cs="Times New Roman"/>
          <w:sz w:val="24"/>
          <w:szCs w:val="24"/>
        </w:rPr>
        <w:t xml:space="preserve">spôsobu </w:t>
      </w:r>
      <w:r w:rsidRPr="00FD3680">
        <w:rPr>
          <w:rFonts w:ascii="Times New Roman" w:hAnsi="Times New Roman" w:cs="Times New Roman"/>
          <w:sz w:val="24"/>
          <w:szCs w:val="24"/>
        </w:rPr>
        <w:t>života na sociálnych dávkach a</w:t>
      </w:r>
      <w:r w:rsidR="00326BC3" w:rsidRPr="00FD3680">
        <w:rPr>
          <w:rFonts w:ascii="Times New Roman" w:hAnsi="Times New Roman" w:cs="Times New Roman"/>
          <w:sz w:val="24"/>
          <w:szCs w:val="24"/>
        </w:rPr>
        <w:t xml:space="preserve"> regióny si </w:t>
      </w:r>
      <w:r w:rsidR="00532258" w:rsidRPr="00FD3680">
        <w:rPr>
          <w:rFonts w:ascii="Times New Roman" w:hAnsi="Times New Roman" w:cs="Times New Roman"/>
          <w:sz w:val="24"/>
          <w:szCs w:val="24"/>
        </w:rPr>
        <w:t xml:space="preserve">zachovali </w:t>
      </w:r>
      <w:r w:rsidR="0007782D" w:rsidRPr="00FD3680">
        <w:rPr>
          <w:rFonts w:ascii="Times New Roman" w:hAnsi="Times New Roman" w:cs="Times New Roman"/>
          <w:sz w:val="24"/>
          <w:szCs w:val="24"/>
        </w:rPr>
        <w:t xml:space="preserve">svoju </w:t>
      </w:r>
      <w:r w:rsidR="00532258" w:rsidRPr="00FD3680">
        <w:rPr>
          <w:rFonts w:ascii="Times New Roman" w:hAnsi="Times New Roman" w:cs="Times New Roman"/>
          <w:sz w:val="24"/>
          <w:szCs w:val="24"/>
        </w:rPr>
        <w:t xml:space="preserve">kultúrnu </w:t>
      </w:r>
      <w:r w:rsidRPr="00FD3680">
        <w:rPr>
          <w:rFonts w:ascii="Times New Roman" w:hAnsi="Times New Roman" w:cs="Times New Roman"/>
          <w:sz w:val="24"/>
          <w:szCs w:val="24"/>
        </w:rPr>
        <w:t>hodnotu.</w:t>
      </w:r>
    </w:p>
    <w:p w:rsidR="000701A4" w:rsidRPr="00FD3680" w:rsidRDefault="000701A4" w:rsidP="009C34BD">
      <w:pPr>
        <w:spacing w:after="0" w:line="240" w:lineRule="auto"/>
        <w:jc w:val="both"/>
        <w:rPr>
          <w:rFonts w:ascii="Times New Roman" w:hAnsi="Times New Roman" w:cs="Times New Roman"/>
          <w:sz w:val="24"/>
          <w:szCs w:val="24"/>
        </w:rPr>
      </w:pPr>
    </w:p>
    <w:p w:rsidR="000701A4" w:rsidRPr="00FD3680" w:rsidRDefault="00B31B70" w:rsidP="009C34B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Podnikanie</w:t>
      </w:r>
      <w:r w:rsidR="000701A4" w:rsidRPr="00FD3680">
        <w:rPr>
          <w:rFonts w:ascii="Times New Roman" w:hAnsi="Times New Roman" w:cs="Times New Roman"/>
          <w:sz w:val="24"/>
          <w:szCs w:val="24"/>
        </w:rPr>
        <w:t xml:space="preserve"> malých, mladých a rodinných farmárov má na Slovensku tradíciu na</w:t>
      </w:r>
      <w:r w:rsidRPr="00FD3680">
        <w:rPr>
          <w:rFonts w:ascii="Times New Roman" w:hAnsi="Times New Roman" w:cs="Times New Roman"/>
          <w:sz w:val="24"/>
          <w:szCs w:val="24"/>
        </w:rPr>
        <w:t>jmä spred obdobia kolektivizácie</w:t>
      </w:r>
      <w:r w:rsidR="000701A4" w:rsidRPr="00FD3680">
        <w:rPr>
          <w:rFonts w:ascii="Times New Roman" w:hAnsi="Times New Roman" w:cs="Times New Roman"/>
          <w:sz w:val="24"/>
          <w:szCs w:val="24"/>
        </w:rPr>
        <w:t xml:space="preserve">, pričom obnovená bola len s časti po roku 1989. V Slovenskej republike pôsobí, na základe cenzu Štatistického úradu SR z roku 2010, celkovo </w:t>
      </w:r>
      <w:r w:rsidR="00CF6E0C" w:rsidRPr="00FD3680">
        <w:rPr>
          <w:rFonts w:ascii="Times New Roman" w:hAnsi="Times New Roman" w:cs="Times New Roman"/>
          <w:sz w:val="24"/>
          <w:szCs w:val="24"/>
        </w:rPr>
        <w:t xml:space="preserve">             </w:t>
      </w:r>
      <w:r w:rsidR="000701A4" w:rsidRPr="00FD3680">
        <w:rPr>
          <w:rFonts w:ascii="Times New Roman" w:hAnsi="Times New Roman" w:cs="Times New Roman"/>
          <w:sz w:val="24"/>
          <w:szCs w:val="24"/>
        </w:rPr>
        <w:t>24 463 fariem právnických</w:t>
      </w:r>
      <w:r w:rsidR="00C7724A" w:rsidRPr="00FD3680">
        <w:rPr>
          <w:rFonts w:ascii="Times New Roman" w:hAnsi="Times New Roman" w:cs="Times New Roman"/>
          <w:sz w:val="24"/>
          <w:szCs w:val="24"/>
        </w:rPr>
        <w:t xml:space="preserve"> osôb</w:t>
      </w:r>
      <w:r w:rsidR="000701A4" w:rsidRPr="00FD3680">
        <w:rPr>
          <w:rFonts w:ascii="Times New Roman" w:hAnsi="Times New Roman" w:cs="Times New Roman"/>
          <w:sz w:val="24"/>
          <w:szCs w:val="24"/>
        </w:rPr>
        <w:t xml:space="preserve"> a</w:t>
      </w:r>
      <w:r w:rsidR="00C7724A" w:rsidRPr="00FD3680">
        <w:rPr>
          <w:rFonts w:ascii="Times New Roman" w:hAnsi="Times New Roman" w:cs="Times New Roman"/>
          <w:sz w:val="24"/>
          <w:szCs w:val="24"/>
        </w:rPr>
        <w:t> </w:t>
      </w:r>
      <w:r w:rsidR="000701A4" w:rsidRPr="00FD3680">
        <w:rPr>
          <w:rFonts w:ascii="Times New Roman" w:hAnsi="Times New Roman" w:cs="Times New Roman"/>
          <w:sz w:val="24"/>
          <w:szCs w:val="24"/>
        </w:rPr>
        <w:t>fyzických</w:t>
      </w:r>
      <w:r w:rsidR="00C7724A" w:rsidRPr="00FD3680">
        <w:rPr>
          <w:rFonts w:ascii="Times New Roman" w:hAnsi="Times New Roman" w:cs="Times New Roman"/>
          <w:sz w:val="24"/>
          <w:szCs w:val="24"/>
        </w:rPr>
        <w:t xml:space="preserve"> osôb</w:t>
      </w:r>
      <w:r w:rsidR="000701A4" w:rsidRPr="00FD3680">
        <w:rPr>
          <w:rFonts w:ascii="Times New Roman" w:hAnsi="Times New Roman" w:cs="Times New Roman"/>
          <w:sz w:val="24"/>
          <w:szCs w:val="24"/>
        </w:rPr>
        <w:t>, registrovaných a neregistrovaných, osôb, zameraných na poľnohospodársku činnosť, ktoré obhospodarujú celkovo 1 895 500 ha poľnohospodárskej pôdy. Fyzické osoby tvoria až 90 % z celkového počtu fariem</w:t>
      </w:r>
      <w:r w:rsidR="00006D32" w:rsidRPr="00FD3680">
        <w:rPr>
          <w:rFonts w:ascii="Times New Roman" w:hAnsi="Times New Roman" w:cs="Times New Roman"/>
          <w:sz w:val="24"/>
          <w:szCs w:val="24"/>
        </w:rPr>
        <w:t xml:space="preserve">. Početne najviac fariem, s podielom 64,4 %, hospodári na výmere menšej ako 5 ha poľnohospodárskej pôdy. Ide o drobných pestovateľov a chovateľov hospodárskych zvierat väčšinou bez podnikateľského osvedčenia. Tieto fyzické osoby vlastnia v prevažnej väčšine (56,5 %) malé a prídomové hospodárstva, ktorých produkcia predstavuje najmä doplnkový zdroj obživy pre rodinu, resp. miestnu spotrebu. </w:t>
      </w:r>
    </w:p>
    <w:p w:rsidR="00006D32" w:rsidRPr="00FD3680" w:rsidRDefault="00006D32" w:rsidP="009C34BD">
      <w:pPr>
        <w:spacing w:after="0" w:line="240" w:lineRule="auto"/>
        <w:jc w:val="both"/>
        <w:rPr>
          <w:rFonts w:ascii="Times New Roman" w:hAnsi="Times New Roman" w:cs="Times New Roman"/>
          <w:sz w:val="24"/>
          <w:szCs w:val="24"/>
        </w:rPr>
      </w:pPr>
    </w:p>
    <w:p w:rsidR="00006D32" w:rsidRPr="00FD3680" w:rsidRDefault="00006D32" w:rsidP="009C34B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Význam malých, mladých a rodinných farmárov z pohľadu národného hospodárstva, ako aj z pohľadu udržateľnosti poľnohospodárskej výroby spočíva predovšetkým v týchto štrukturálnych vlastnostiach:</w:t>
      </w:r>
    </w:p>
    <w:p w:rsidR="00006D32" w:rsidRPr="00FD3680" w:rsidRDefault="00006D32" w:rsidP="00771A68">
      <w:pPr>
        <w:pStyle w:val="Odsekzoznamu"/>
        <w:numPr>
          <w:ilvl w:val="0"/>
          <w:numId w:val="2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vyšší, spravidla až 100 % podiel vlastnej pôdy a</w:t>
      </w:r>
      <w:r w:rsidR="00B31B70" w:rsidRPr="00FD3680">
        <w:rPr>
          <w:rFonts w:ascii="Times New Roman" w:hAnsi="Times New Roman" w:cs="Times New Roman"/>
          <w:sz w:val="24"/>
          <w:szCs w:val="24"/>
        </w:rPr>
        <w:t> </w:t>
      </w:r>
      <w:r w:rsidRPr="00FD3680">
        <w:rPr>
          <w:rFonts w:ascii="Times New Roman" w:hAnsi="Times New Roman" w:cs="Times New Roman"/>
          <w:sz w:val="24"/>
          <w:szCs w:val="24"/>
        </w:rPr>
        <w:t>práce</w:t>
      </w:r>
      <w:r w:rsidR="00B31B70" w:rsidRPr="00FD3680">
        <w:rPr>
          <w:rFonts w:ascii="Times New Roman" w:hAnsi="Times New Roman" w:cs="Times New Roman"/>
          <w:sz w:val="24"/>
          <w:szCs w:val="24"/>
        </w:rPr>
        <w:t>,</w:t>
      </w:r>
      <w:r w:rsidRPr="00FD3680">
        <w:rPr>
          <w:rFonts w:ascii="Times New Roman" w:hAnsi="Times New Roman" w:cs="Times New Roman"/>
          <w:sz w:val="24"/>
          <w:szCs w:val="24"/>
        </w:rPr>
        <w:t xml:space="preserve"> a tým lepšie odolávanie ekonomickým výkyvom;</w:t>
      </w:r>
    </w:p>
    <w:p w:rsidR="00006D32" w:rsidRPr="00FD3680" w:rsidRDefault="00006D32" w:rsidP="00771A68">
      <w:pPr>
        <w:pStyle w:val="Odsekzoznamu"/>
        <w:numPr>
          <w:ilvl w:val="0"/>
          <w:numId w:val="2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väčšia pružnosť využitia vlastných zdrojov základných výrobných faktorov a tým vyššia miera kooperatívnosti;</w:t>
      </w:r>
    </w:p>
    <w:p w:rsidR="00006D32" w:rsidRPr="00FD3680" w:rsidRDefault="00006D32" w:rsidP="00771A68">
      <w:pPr>
        <w:pStyle w:val="Odsekzoznamu"/>
        <w:numPr>
          <w:ilvl w:val="0"/>
          <w:numId w:val="2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vyšší príspevok ku konceptu multifunkčného charakteru poľnohospodárstva; a</w:t>
      </w:r>
    </w:p>
    <w:p w:rsidR="006D79E7" w:rsidRPr="00FD3680" w:rsidRDefault="00006D32" w:rsidP="00771A68">
      <w:pPr>
        <w:pStyle w:val="Odsekzoznamu"/>
        <w:numPr>
          <w:ilvl w:val="0"/>
          <w:numId w:val="2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internalizácia dosahov podnikania do vlastnej pôdy a života na dedine.</w:t>
      </w:r>
    </w:p>
    <w:p w:rsidR="008962D8" w:rsidRPr="00FD3680" w:rsidRDefault="008962D8" w:rsidP="009C34BD">
      <w:pPr>
        <w:spacing w:after="0" w:line="240" w:lineRule="auto"/>
        <w:jc w:val="both"/>
        <w:rPr>
          <w:rFonts w:ascii="Times New Roman" w:hAnsi="Times New Roman" w:cs="Times New Roman"/>
          <w:sz w:val="24"/>
          <w:szCs w:val="24"/>
        </w:rPr>
      </w:pPr>
    </w:p>
    <w:p w:rsidR="008962D8" w:rsidRPr="00FD3680" w:rsidRDefault="008962D8" w:rsidP="00771A68">
      <w:pPr>
        <w:pStyle w:val="Nadpis2"/>
        <w:numPr>
          <w:ilvl w:val="1"/>
          <w:numId w:val="36"/>
        </w:numPr>
      </w:pPr>
      <w:bookmarkStart w:id="2" w:name="_Toc394589415"/>
      <w:r w:rsidRPr="00FD3680">
        <w:t>Práca</w:t>
      </w:r>
      <w:bookmarkEnd w:id="2"/>
    </w:p>
    <w:p w:rsidR="008962D8" w:rsidRPr="00FD3680" w:rsidRDefault="008962D8" w:rsidP="008962D8">
      <w:pPr>
        <w:spacing w:after="0" w:line="240" w:lineRule="auto"/>
        <w:jc w:val="both"/>
        <w:rPr>
          <w:rFonts w:ascii="Times New Roman" w:hAnsi="Times New Roman" w:cs="Times New Roman"/>
          <w:sz w:val="24"/>
          <w:szCs w:val="24"/>
        </w:rPr>
      </w:pPr>
    </w:p>
    <w:p w:rsidR="008962D8" w:rsidRPr="00FD3680" w:rsidRDefault="008962D8" w:rsidP="008962D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Od začiatku transformačného procesu </w:t>
      </w:r>
      <w:r w:rsidR="00B31B70" w:rsidRPr="00FD3680">
        <w:rPr>
          <w:rFonts w:ascii="Times New Roman" w:hAnsi="Times New Roman" w:cs="Times New Roman"/>
          <w:sz w:val="24"/>
          <w:szCs w:val="24"/>
        </w:rPr>
        <w:t xml:space="preserve">možno </w:t>
      </w:r>
      <w:r w:rsidR="00DF511C" w:rsidRPr="00FD3680">
        <w:rPr>
          <w:rFonts w:ascii="Times New Roman" w:hAnsi="Times New Roman" w:cs="Times New Roman"/>
          <w:sz w:val="24"/>
          <w:szCs w:val="24"/>
        </w:rPr>
        <w:t xml:space="preserve">pozorovať </w:t>
      </w:r>
      <w:r w:rsidRPr="00FD3680">
        <w:rPr>
          <w:rFonts w:ascii="Times New Roman" w:hAnsi="Times New Roman" w:cs="Times New Roman"/>
          <w:sz w:val="24"/>
          <w:szCs w:val="24"/>
        </w:rPr>
        <w:t>v slovenskom poľnohospodárstve výrazný úbytok pracovníkov v</w:t>
      </w:r>
      <w:r w:rsidR="005B5A72" w:rsidRPr="00FD3680">
        <w:rPr>
          <w:rFonts w:ascii="Times New Roman" w:hAnsi="Times New Roman" w:cs="Times New Roman"/>
          <w:sz w:val="24"/>
          <w:szCs w:val="24"/>
        </w:rPr>
        <w:t> pracovnom pomere na ustanovený týždenný pracovný čas</w:t>
      </w:r>
      <w:r w:rsidRPr="00FD3680">
        <w:rPr>
          <w:rFonts w:ascii="Times New Roman" w:hAnsi="Times New Roman" w:cs="Times New Roman"/>
          <w:sz w:val="24"/>
          <w:szCs w:val="24"/>
        </w:rPr>
        <w:t>. Veľmi markantne sa tento trend prejavuje od roku 2002, kedy</w:t>
      </w:r>
      <w:r w:rsidR="00CC5351" w:rsidRPr="00FD3680">
        <w:rPr>
          <w:rFonts w:ascii="Times New Roman" w:hAnsi="Times New Roman" w:cs="Times New Roman"/>
          <w:sz w:val="24"/>
          <w:szCs w:val="24"/>
        </w:rPr>
        <w:t xml:space="preserve">, podľa údajov Výberového </w:t>
      </w:r>
      <w:r w:rsidR="00CC5351" w:rsidRPr="00FD3680">
        <w:rPr>
          <w:rFonts w:ascii="Times New Roman" w:hAnsi="Times New Roman" w:cs="Times New Roman"/>
          <w:sz w:val="24"/>
          <w:szCs w:val="24"/>
        </w:rPr>
        <w:lastRenderedPageBreak/>
        <w:t>zisťovania pracovných síl Štatistického úradu SR,</w:t>
      </w:r>
      <w:r w:rsidRPr="00FD3680">
        <w:rPr>
          <w:rFonts w:ascii="Times New Roman" w:hAnsi="Times New Roman" w:cs="Times New Roman"/>
          <w:sz w:val="24"/>
          <w:szCs w:val="24"/>
        </w:rPr>
        <w:t xml:space="preserve"> zo 108,9 tis. pracujúcich sa znížil počet osôb zamestnaných v poľnohospodárstve </w:t>
      </w:r>
      <w:r w:rsidR="00CC5351" w:rsidRPr="00FD3680">
        <w:rPr>
          <w:rFonts w:ascii="Times New Roman" w:hAnsi="Times New Roman" w:cs="Times New Roman"/>
          <w:sz w:val="24"/>
          <w:szCs w:val="24"/>
        </w:rPr>
        <w:t>o viac ako polovicu, a to  na 52,8</w:t>
      </w:r>
      <w:r w:rsidRPr="00FD3680">
        <w:rPr>
          <w:rFonts w:ascii="Times New Roman" w:hAnsi="Times New Roman" w:cs="Times New Roman"/>
          <w:sz w:val="24"/>
          <w:szCs w:val="24"/>
        </w:rPr>
        <w:t xml:space="preserve"> tis. </w:t>
      </w:r>
      <w:r w:rsidR="00CC5351" w:rsidRPr="00FD3680">
        <w:rPr>
          <w:rFonts w:ascii="Times New Roman" w:hAnsi="Times New Roman" w:cs="Times New Roman"/>
          <w:sz w:val="24"/>
          <w:szCs w:val="24"/>
        </w:rPr>
        <w:t>pracujúcich v roku 2013</w:t>
      </w:r>
      <w:r w:rsidRPr="00FD3680">
        <w:rPr>
          <w:rFonts w:ascii="Times New Roman" w:hAnsi="Times New Roman" w:cs="Times New Roman"/>
          <w:sz w:val="24"/>
          <w:szCs w:val="24"/>
        </w:rPr>
        <w:t>. Príčina poklesu zamestnanosti, v podmienkach Slovenska, spočíva vo výraznom útlme poľnohospodárskej výroby spojenej s</w:t>
      </w:r>
      <w:r w:rsidR="00F85B2C" w:rsidRPr="00FD3680">
        <w:rPr>
          <w:rFonts w:ascii="Times New Roman" w:hAnsi="Times New Roman" w:cs="Times New Roman"/>
          <w:sz w:val="24"/>
          <w:szCs w:val="24"/>
        </w:rPr>
        <w:t xml:space="preserve"> nedostatočným odbytom </w:t>
      </w:r>
      <w:r w:rsidRPr="00FD3680">
        <w:rPr>
          <w:rFonts w:ascii="Times New Roman" w:hAnsi="Times New Roman" w:cs="Times New Roman"/>
          <w:sz w:val="24"/>
          <w:szCs w:val="24"/>
        </w:rPr>
        <w:t>na domácom trhu, transformáciou, zánikom nepoľnohospodárskych aktivít a následne i nízkym podielom diverzifikačných aktivít, mzdovou neatraktivitou a v poslednom období aj ekonomickou a finančnou krízou.</w:t>
      </w:r>
    </w:p>
    <w:p w:rsidR="008962D8" w:rsidRPr="00FD3680" w:rsidRDefault="008962D8" w:rsidP="008962D8">
      <w:pPr>
        <w:spacing w:after="0" w:line="240" w:lineRule="auto"/>
        <w:jc w:val="both"/>
        <w:rPr>
          <w:rFonts w:ascii="Times New Roman" w:hAnsi="Times New Roman" w:cs="Times New Roman"/>
          <w:sz w:val="24"/>
          <w:szCs w:val="24"/>
        </w:rPr>
      </w:pPr>
    </w:p>
    <w:p w:rsidR="008962D8" w:rsidRPr="00FD3680" w:rsidRDefault="008962D8" w:rsidP="008962D8">
      <w:pPr>
        <w:spacing w:after="0" w:line="240" w:lineRule="auto"/>
        <w:jc w:val="both"/>
        <w:rPr>
          <w:rFonts w:ascii="Times New Roman" w:hAnsi="Times New Roman" w:cs="Times New Roman"/>
          <w:sz w:val="20"/>
          <w:szCs w:val="20"/>
        </w:rPr>
      </w:pPr>
      <w:r w:rsidRPr="00FD3680">
        <w:rPr>
          <w:rFonts w:ascii="Times New Roman" w:hAnsi="Times New Roman" w:cs="Times New Roman"/>
          <w:sz w:val="20"/>
          <w:szCs w:val="20"/>
        </w:rPr>
        <w:t>Graf č. 1: Porovnanie vývoja úbytku zamestnancov a produktivity práce</w:t>
      </w:r>
    </w:p>
    <w:p w:rsidR="008962D8" w:rsidRPr="00FD3680" w:rsidRDefault="008962D8" w:rsidP="008962D8">
      <w:pPr>
        <w:spacing w:after="0" w:line="240" w:lineRule="auto"/>
        <w:jc w:val="both"/>
        <w:rPr>
          <w:rFonts w:ascii="Times New Roman" w:hAnsi="Times New Roman" w:cs="Times New Roman"/>
          <w:sz w:val="24"/>
          <w:szCs w:val="24"/>
        </w:rPr>
      </w:pPr>
      <w:r w:rsidRPr="00FD3680">
        <w:rPr>
          <w:noProof/>
          <w:lang w:eastAsia="sk-SK"/>
        </w:rPr>
        <w:drawing>
          <wp:inline distT="0" distB="0" distL="0" distR="0" wp14:anchorId="60B10E20" wp14:editId="0377BD57">
            <wp:extent cx="5748793" cy="2329732"/>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62D8" w:rsidRPr="00FD3680" w:rsidRDefault="008962D8" w:rsidP="008962D8">
      <w:pPr>
        <w:spacing w:after="0"/>
        <w:jc w:val="right"/>
        <w:rPr>
          <w:rFonts w:ascii="Times New Roman" w:hAnsi="Times New Roman" w:cs="Times New Roman"/>
          <w:sz w:val="20"/>
          <w:szCs w:val="20"/>
        </w:rPr>
      </w:pPr>
      <w:r w:rsidRPr="00FD3680">
        <w:rPr>
          <w:rFonts w:ascii="Times New Roman" w:hAnsi="Times New Roman" w:cs="Times New Roman"/>
          <w:sz w:val="20"/>
          <w:szCs w:val="20"/>
        </w:rPr>
        <w:t>Zdroj: ŠÚSR, výpočty MPRV SR</w:t>
      </w:r>
    </w:p>
    <w:p w:rsidR="008962D8" w:rsidRPr="00FD3680" w:rsidRDefault="008962D8" w:rsidP="008962D8">
      <w:pPr>
        <w:spacing w:after="0" w:line="240" w:lineRule="auto"/>
        <w:jc w:val="both"/>
        <w:rPr>
          <w:rFonts w:ascii="Times New Roman" w:hAnsi="Times New Roman" w:cs="Times New Roman"/>
          <w:sz w:val="24"/>
          <w:szCs w:val="24"/>
        </w:rPr>
      </w:pPr>
    </w:p>
    <w:p w:rsidR="008962D8" w:rsidRPr="00FD3680" w:rsidRDefault="008962D8" w:rsidP="008962D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Klesajúca zamestnanosť má teda svoje hlavné príčiny v nízkej tvorbe pridanej hodnoty v sektore poľnohospodárstva, ktor</w:t>
      </w:r>
      <w:r w:rsidR="00DF511C" w:rsidRPr="00FD3680">
        <w:rPr>
          <w:rFonts w:ascii="Times New Roman" w:hAnsi="Times New Roman" w:cs="Times New Roman"/>
          <w:sz w:val="24"/>
          <w:szCs w:val="24"/>
        </w:rPr>
        <w:t xml:space="preserve">ú </w:t>
      </w:r>
      <w:r w:rsidRPr="00FD3680">
        <w:rPr>
          <w:rFonts w:ascii="Times New Roman" w:hAnsi="Times New Roman" w:cs="Times New Roman"/>
          <w:sz w:val="24"/>
          <w:szCs w:val="24"/>
        </w:rPr>
        <w:t xml:space="preserve">nedokázala naštartovať ani pozvoľne zvyšujúca sa produktivita práce. Miera rastu produktivity práce teda nezodpovedá miere úbytku zamestnanosti v sektore. Tento vývoj takto potvrdzuje, že hlavným akcelerátorom stabilizácie poľnohospodárskej výroby je rast pridanej hodnoty a teda formulovaný hlavný cieľ spoločnej poľnohospodárskej politiky v programovom období 2014 – 2020 má svoje opodstatnenie predovšetkým pri stabilizácii zamestnanosti vidieckeho obyvateľstva. </w:t>
      </w:r>
    </w:p>
    <w:p w:rsidR="008962D8" w:rsidRPr="00FD3680" w:rsidRDefault="008962D8" w:rsidP="008962D8">
      <w:pPr>
        <w:spacing w:after="0" w:line="240" w:lineRule="auto"/>
        <w:jc w:val="both"/>
        <w:rPr>
          <w:rFonts w:ascii="Times New Roman" w:hAnsi="Times New Roman" w:cs="Times New Roman"/>
          <w:sz w:val="24"/>
          <w:szCs w:val="24"/>
        </w:rPr>
      </w:pPr>
    </w:p>
    <w:p w:rsidR="008962D8" w:rsidRPr="00FD3680" w:rsidRDefault="008962D8" w:rsidP="008962D8">
      <w:pPr>
        <w:spacing w:after="0" w:line="240" w:lineRule="auto"/>
        <w:jc w:val="both"/>
        <w:rPr>
          <w:rFonts w:ascii="Times New Roman" w:hAnsi="Times New Roman" w:cs="Times New Roman"/>
          <w:sz w:val="20"/>
          <w:szCs w:val="20"/>
        </w:rPr>
      </w:pPr>
      <w:r w:rsidRPr="00FD3680">
        <w:rPr>
          <w:rFonts w:ascii="Times New Roman" w:hAnsi="Times New Roman" w:cs="Times New Roman"/>
          <w:sz w:val="20"/>
          <w:szCs w:val="20"/>
        </w:rPr>
        <w:t>Graf č. 2: Porovnanie vývoja produktivity práce a ročných mzdových nákladov na zamestnanca</w:t>
      </w:r>
    </w:p>
    <w:p w:rsidR="008962D8" w:rsidRPr="00FD3680" w:rsidRDefault="008962D8" w:rsidP="008962D8">
      <w:pPr>
        <w:spacing w:after="0" w:line="240" w:lineRule="auto"/>
        <w:jc w:val="both"/>
        <w:rPr>
          <w:rFonts w:ascii="Times New Roman" w:hAnsi="Times New Roman" w:cs="Times New Roman"/>
          <w:sz w:val="24"/>
          <w:szCs w:val="24"/>
        </w:rPr>
      </w:pPr>
      <w:r w:rsidRPr="00FD3680">
        <w:rPr>
          <w:noProof/>
          <w:lang w:eastAsia="sk-SK"/>
        </w:rPr>
        <w:drawing>
          <wp:inline distT="0" distB="0" distL="0" distR="0" wp14:anchorId="23A772AC" wp14:editId="69E6EF92">
            <wp:extent cx="5756745" cy="2321781"/>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62D8" w:rsidRPr="00FD3680" w:rsidRDefault="008962D8" w:rsidP="008962D8">
      <w:pPr>
        <w:spacing w:after="0"/>
        <w:jc w:val="right"/>
        <w:rPr>
          <w:rFonts w:ascii="Times New Roman" w:hAnsi="Times New Roman" w:cs="Times New Roman"/>
          <w:sz w:val="20"/>
          <w:szCs w:val="20"/>
        </w:rPr>
      </w:pPr>
      <w:r w:rsidRPr="00FD3680">
        <w:rPr>
          <w:rFonts w:ascii="Times New Roman" w:hAnsi="Times New Roman" w:cs="Times New Roman"/>
          <w:sz w:val="20"/>
          <w:szCs w:val="20"/>
        </w:rPr>
        <w:t>Zdroj: ŠÚSR, výpočty MPRV SR</w:t>
      </w:r>
    </w:p>
    <w:p w:rsidR="00C42BA7" w:rsidRPr="00FD3680" w:rsidRDefault="00C42BA7" w:rsidP="008962D8">
      <w:pPr>
        <w:spacing w:after="0" w:line="240" w:lineRule="auto"/>
        <w:jc w:val="both"/>
        <w:rPr>
          <w:rFonts w:ascii="Times New Roman" w:hAnsi="Times New Roman" w:cs="Times New Roman"/>
          <w:sz w:val="24"/>
          <w:szCs w:val="24"/>
        </w:rPr>
      </w:pPr>
    </w:p>
    <w:p w:rsidR="008962D8" w:rsidRPr="00FD3680" w:rsidRDefault="008962D8" w:rsidP="008962D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Jednou z hlavných príčin nízkej tvorby pridanej hodnoty v sektore poľnohospodárstva </w:t>
      </w:r>
      <w:r w:rsidR="00B31B70" w:rsidRPr="00FD3680">
        <w:rPr>
          <w:rFonts w:ascii="Times New Roman" w:hAnsi="Times New Roman" w:cs="Times New Roman"/>
          <w:sz w:val="24"/>
          <w:szCs w:val="24"/>
        </w:rPr>
        <w:t>sa javí</w:t>
      </w:r>
      <w:r w:rsidRPr="00FD3680">
        <w:rPr>
          <w:rFonts w:ascii="Times New Roman" w:hAnsi="Times New Roman" w:cs="Times New Roman"/>
          <w:sz w:val="24"/>
          <w:szCs w:val="24"/>
        </w:rPr>
        <w:t xml:space="preserve"> zhoršujúca sa veková štruktúra pracovníkov. V poľnohospodárstve dominuje v súčasnosti </w:t>
      </w:r>
      <w:r w:rsidRPr="00FD3680">
        <w:rPr>
          <w:rFonts w:ascii="Times New Roman" w:hAnsi="Times New Roman" w:cs="Times New Roman"/>
          <w:sz w:val="24"/>
          <w:szCs w:val="24"/>
        </w:rPr>
        <w:lastRenderedPageBreak/>
        <w:t>veková kategória pracovníkov v rozmedzí 50-59 rokov, pričom táto skupina tvorí už viac ako 40 % všetkých pracujúcich v poľnohospodárstve. Z dlhodobého hľadiska dochádza v štruktúre pracovníkov podľa veku takmer vo všetkých vekových kategóriách k poklesu stavov s výnimkou kategórie 60 a viac ročných pracovníkov, kde dochádza k miernemu nárastu. Proporcionálne teda dlhodobo výrazne klesá podiel pracovníkov v nižších vekových kategóriách a mierne i v stredných kategóriách a naopak zvyšuje sa podiel osôb v starších vekových skupinách nad 50 rokov. Takmer tri štvrtiny pracovníkov v poľnohospodárstve má nad 40 rokov a necelá polovica má nad 50 rokov.</w:t>
      </w:r>
    </w:p>
    <w:p w:rsidR="008962D8" w:rsidRPr="00FD3680" w:rsidRDefault="008962D8" w:rsidP="008962D8">
      <w:pPr>
        <w:spacing w:after="0" w:line="240" w:lineRule="auto"/>
        <w:jc w:val="both"/>
        <w:rPr>
          <w:rFonts w:ascii="Times New Roman" w:hAnsi="Times New Roman" w:cs="Times New Roman"/>
          <w:sz w:val="24"/>
          <w:szCs w:val="24"/>
        </w:rPr>
      </w:pPr>
    </w:p>
    <w:p w:rsidR="008962D8" w:rsidRPr="00FD3680" w:rsidRDefault="008962D8" w:rsidP="008962D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Generačná obmena pracovníkov poľnohospodárskej výroby je o to potrebnejšia, o čo sa mzdové disparity oproti ostatným sektorom slovenského hospodárstva zvyšujú v neprospech pracujúcich v poľnohospodárstve. Narastajúce mzdové disparity vrhajú poľnohospodárskych pracovníkov stále hlbšie do sociálnej záchrannej siete, čím vzrastá miera neochoty pracovať v poľnohospodárskych podnikoch. Vidiecke obyvateľstvo sa takto dostáva do závislosti na sociálnych dávkach a prispieva k rastu nezamestnanosti, vyľudňovaniu slovenského vidieka a chátraniu vidieckeho bytového fondu. Poľnohospodárstvo </w:t>
      </w:r>
      <w:r w:rsidR="00F85B2C" w:rsidRPr="00FD3680">
        <w:rPr>
          <w:rFonts w:ascii="Times New Roman" w:hAnsi="Times New Roman" w:cs="Times New Roman"/>
          <w:sz w:val="24"/>
          <w:szCs w:val="24"/>
        </w:rPr>
        <w:t xml:space="preserve">už neplní ako v minulosti </w:t>
      </w:r>
      <w:r w:rsidRPr="00FD3680">
        <w:rPr>
          <w:rFonts w:ascii="Times New Roman" w:hAnsi="Times New Roman" w:cs="Times New Roman"/>
          <w:sz w:val="24"/>
          <w:szCs w:val="24"/>
        </w:rPr>
        <w:t xml:space="preserve">svoju sociálnu funkciu, ktorej </w:t>
      </w:r>
      <w:r w:rsidR="00B31B70" w:rsidRPr="00FD3680">
        <w:rPr>
          <w:rFonts w:ascii="Times New Roman" w:hAnsi="Times New Roman" w:cs="Times New Roman"/>
          <w:sz w:val="24"/>
          <w:szCs w:val="24"/>
        </w:rPr>
        <w:t xml:space="preserve">základom bolo </w:t>
      </w:r>
      <w:r w:rsidRPr="00FD3680">
        <w:rPr>
          <w:rFonts w:ascii="Times New Roman" w:hAnsi="Times New Roman" w:cs="Times New Roman"/>
          <w:sz w:val="24"/>
          <w:szCs w:val="24"/>
        </w:rPr>
        <w:t>zabezpeč</w:t>
      </w:r>
      <w:r w:rsidR="00F85B2C" w:rsidRPr="00FD3680">
        <w:rPr>
          <w:rFonts w:ascii="Times New Roman" w:hAnsi="Times New Roman" w:cs="Times New Roman"/>
          <w:sz w:val="24"/>
          <w:szCs w:val="24"/>
        </w:rPr>
        <w:t>enie</w:t>
      </w:r>
      <w:r w:rsidR="00B31B70" w:rsidRPr="00FD3680">
        <w:rPr>
          <w:rFonts w:ascii="Times New Roman" w:hAnsi="Times New Roman" w:cs="Times New Roman"/>
          <w:sz w:val="24"/>
          <w:szCs w:val="24"/>
        </w:rPr>
        <w:t xml:space="preserve"> vyrovnávania</w:t>
      </w:r>
      <w:r w:rsidRPr="00FD3680">
        <w:rPr>
          <w:rFonts w:ascii="Times New Roman" w:hAnsi="Times New Roman" w:cs="Times New Roman"/>
          <w:sz w:val="24"/>
          <w:szCs w:val="24"/>
        </w:rPr>
        <w:t xml:space="preserve"> životnej úrovne mestského a vidieckeho obyvateľstva.</w:t>
      </w:r>
    </w:p>
    <w:p w:rsidR="008962D8" w:rsidRPr="00FD3680" w:rsidRDefault="008962D8" w:rsidP="008962D8">
      <w:pPr>
        <w:spacing w:after="0" w:line="240" w:lineRule="auto"/>
        <w:jc w:val="both"/>
        <w:rPr>
          <w:rFonts w:ascii="Times New Roman" w:hAnsi="Times New Roman" w:cs="Times New Roman"/>
          <w:sz w:val="24"/>
          <w:szCs w:val="24"/>
        </w:rPr>
      </w:pPr>
    </w:p>
    <w:p w:rsidR="008962D8" w:rsidRPr="00FD3680" w:rsidRDefault="00F85B2C" w:rsidP="008962D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Jedným z rozhodujúcich </w:t>
      </w:r>
      <w:r w:rsidR="008962D8" w:rsidRPr="00FD3680">
        <w:rPr>
          <w:rFonts w:ascii="Times New Roman" w:hAnsi="Times New Roman" w:cs="Times New Roman"/>
          <w:sz w:val="24"/>
          <w:szCs w:val="24"/>
        </w:rPr>
        <w:t>dôsledko</w:t>
      </w:r>
      <w:r w:rsidRPr="00FD3680">
        <w:rPr>
          <w:rFonts w:ascii="Times New Roman" w:hAnsi="Times New Roman" w:cs="Times New Roman"/>
          <w:sz w:val="24"/>
          <w:szCs w:val="24"/>
        </w:rPr>
        <w:t xml:space="preserve">v </w:t>
      </w:r>
      <w:r w:rsidR="008962D8" w:rsidRPr="00FD3680">
        <w:rPr>
          <w:rFonts w:ascii="Times New Roman" w:hAnsi="Times New Roman" w:cs="Times New Roman"/>
          <w:sz w:val="24"/>
          <w:szCs w:val="24"/>
        </w:rPr>
        <w:t xml:space="preserve"> týchto procesov je zhoršujúca sa vzdelanostná úroveň pracovníkov v poľnohospodárstve. </w:t>
      </w:r>
      <w:r w:rsidRPr="00FD3680">
        <w:rPr>
          <w:rFonts w:ascii="Times New Roman" w:hAnsi="Times New Roman" w:cs="Times New Roman"/>
          <w:sz w:val="24"/>
          <w:szCs w:val="24"/>
        </w:rPr>
        <w:t>Ú</w:t>
      </w:r>
      <w:r w:rsidR="008962D8" w:rsidRPr="00FD3680">
        <w:rPr>
          <w:rFonts w:ascii="Times New Roman" w:hAnsi="Times New Roman" w:cs="Times New Roman"/>
          <w:sz w:val="24"/>
          <w:szCs w:val="24"/>
        </w:rPr>
        <w:t xml:space="preserve">bytok vysokoškolsky vzdelaných pracovníkov </w:t>
      </w:r>
      <w:r w:rsidRPr="00FD3680">
        <w:rPr>
          <w:rFonts w:ascii="Times New Roman" w:hAnsi="Times New Roman" w:cs="Times New Roman"/>
          <w:sz w:val="24"/>
          <w:szCs w:val="24"/>
        </w:rPr>
        <w:t xml:space="preserve">v </w:t>
      </w:r>
      <w:r w:rsidR="008962D8" w:rsidRPr="00FD3680">
        <w:rPr>
          <w:rFonts w:ascii="Times New Roman" w:hAnsi="Times New Roman" w:cs="Times New Roman"/>
          <w:sz w:val="24"/>
          <w:szCs w:val="24"/>
        </w:rPr>
        <w:t>poľnohospodárskej výrob</w:t>
      </w:r>
      <w:r w:rsidRPr="00FD3680">
        <w:rPr>
          <w:rFonts w:ascii="Times New Roman" w:hAnsi="Times New Roman" w:cs="Times New Roman"/>
          <w:sz w:val="24"/>
          <w:szCs w:val="24"/>
        </w:rPr>
        <w:t>e</w:t>
      </w:r>
      <w:r w:rsidR="008962D8" w:rsidRPr="00FD3680">
        <w:rPr>
          <w:rFonts w:ascii="Times New Roman" w:hAnsi="Times New Roman" w:cs="Times New Roman"/>
          <w:sz w:val="24"/>
          <w:szCs w:val="24"/>
        </w:rPr>
        <w:t xml:space="preserve"> a postupný nárast učňovsky a stredoškolsky vzdelaných pracovníkov je </w:t>
      </w:r>
      <w:r w:rsidR="008051E9" w:rsidRPr="00FD3680">
        <w:rPr>
          <w:rFonts w:ascii="Times New Roman" w:hAnsi="Times New Roman" w:cs="Times New Roman"/>
          <w:sz w:val="24"/>
          <w:szCs w:val="24"/>
        </w:rPr>
        <w:t xml:space="preserve">dôsledkom </w:t>
      </w:r>
      <w:r w:rsidR="008962D8" w:rsidRPr="00FD3680">
        <w:rPr>
          <w:rFonts w:ascii="Times New Roman" w:hAnsi="Times New Roman" w:cs="Times New Roman"/>
          <w:sz w:val="24"/>
          <w:szCs w:val="24"/>
        </w:rPr>
        <w:t>súčasn</w:t>
      </w:r>
      <w:r w:rsidR="008051E9" w:rsidRPr="00FD3680">
        <w:rPr>
          <w:rFonts w:ascii="Times New Roman" w:hAnsi="Times New Roman" w:cs="Times New Roman"/>
          <w:sz w:val="24"/>
          <w:szCs w:val="24"/>
        </w:rPr>
        <w:t>ej</w:t>
      </w:r>
      <w:r w:rsidR="008962D8" w:rsidRPr="00FD3680">
        <w:rPr>
          <w:rFonts w:ascii="Times New Roman" w:hAnsi="Times New Roman" w:cs="Times New Roman"/>
          <w:sz w:val="24"/>
          <w:szCs w:val="24"/>
        </w:rPr>
        <w:t xml:space="preserve"> kríz</w:t>
      </w:r>
      <w:r w:rsidR="008051E9" w:rsidRPr="00FD3680">
        <w:rPr>
          <w:rFonts w:ascii="Times New Roman" w:hAnsi="Times New Roman" w:cs="Times New Roman"/>
          <w:sz w:val="24"/>
          <w:szCs w:val="24"/>
        </w:rPr>
        <w:t>y</w:t>
      </w:r>
      <w:r w:rsidR="008962D8" w:rsidRPr="00FD3680">
        <w:rPr>
          <w:rFonts w:ascii="Times New Roman" w:hAnsi="Times New Roman" w:cs="Times New Roman"/>
          <w:sz w:val="24"/>
          <w:szCs w:val="24"/>
        </w:rPr>
        <w:t xml:space="preserve"> zamestnanosti. </w:t>
      </w:r>
    </w:p>
    <w:p w:rsidR="008962D8" w:rsidRPr="00FD3680" w:rsidRDefault="008962D8" w:rsidP="008962D8">
      <w:pPr>
        <w:spacing w:after="0" w:line="240" w:lineRule="auto"/>
        <w:jc w:val="both"/>
        <w:rPr>
          <w:rFonts w:ascii="Times New Roman" w:hAnsi="Times New Roman" w:cs="Times New Roman"/>
          <w:sz w:val="24"/>
          <w:szCs w:val="24"/>
        </w:rPr>
      </w:pPr>
    </w:p>
    <w:p w:rsidR="008962D8" w:rsidRPr="00FD3680" w:rsidRDefault="008962D8" w:rsidP="008962D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Na </w:t>
      </w:r>
      <w:r w:rsidR="008051E9" w:rsidRPr="00FD3680">
        <w:rPr>
          <w:rFonts w:ascii="Times New Roman" w:hAnsi="Times New Roman" w:cs="Times New Roman"/>
          <w:sz w:val="24"/>
          <w:szCs w:val="24"/>
        </w:rPr>
        <w:t xml:space="preserve">čiastočnú </w:t>
      </w:r>
      <w:r w:rsidRPr="00FD3680">
        <w:rPr>
          <w:rFonts w:ascii="Times New Roman" w:hAnsi="Times New Roman" w:cs="Times New Roman"/>
          <w:sz w:val="24"/>
          <w:szCs w:val="24"/>
        </w:rPr>
        <w:t xml:space="preserve">generačnú obmenu pracovníkov poľnohospodárskej výroby tak, aby sa v prvom kroku stabilizovala a následne optimalizovala ich veková a vzdelanostná štruktúra je potrebné zabezpečiť nárast pracovníkov do 29 rokov o 15 % a pracovníkov od 30 do 39 rokov o 30 % v porovnaní s ich súčasnou úrovňou. To znamená, že je potrebné zatraktívniť poľnohospodársky sektor v takom rozsahu aby uplatnenie v ňom našlo cca 1 990 osôb do </w:t>
      </w:r>
      <w:r w:rsidR="004C462B" w:rsidRPr="00FD3680">
        <w:rPr>
          <w:rFonts w:ascii="Times New Roman" w:hAnsi="Times New Roman" w:cs="Times New Roman"/>
          <w:sz w:val="24"/>
          <w:szCs w:val="24"/>
        </w:rPr>
        <w:t xml:space="preserve">    </w:t>
      </w:r>
      <w:r w:rsidRPr="00FD3680">
        <w:rPr>
          <w:rFonts w:ascii="Times New Roman" w:hAnsi="Times New Roman" w:cs="Times New Roman"/>
          <w:sz w:val="24"/>
          <w:szCs w:val="24"/>
        </w:rPr>
        <w:t xml:space="preserve">39 rokov. </w:t>
      </w:r>
    </w:p>
    <w:p w:rsidR="008962D8" w:rsidRPr="00FD3680" w:rsidRDefault="008962D8" w:rsidP="008962D8">
      <w:pPr>
        <w:rPr>
          <w:rFonts w:ascii="Times New Roman" w:hAnsi="Times New Roman" w:cs="Times New Roman"/>
          <w:sz w:val="24"/>
          <w:szCs w:val="24"/>
        </w:rPr>
      </w:pPr>
    </w:p>
    <w:p w:rsidR="006D79E7" w:rsidRPr="00FD3680" w:rsidRDefault="006D79E7" w:rsidP="00771A68">
      <w:pPr>
        <w:pStyle w:val="Nadpis2"/>
        <w:numPr>
          <w:ilvl w:val="1"/>
          <w:numId w:val="36"/>
        </w:numPr>
        <w:rPr>
          <w:rFonts w:cs="Times New Roman"/>
          <w:b w:val="0"/>
          <w:szCs w:val="28"/>
        </w:rPr>
      </w:pPr>
      <w:bookmarkStart w:id="3" w:name="_Toc394589416"/>
      <w:r w:rsidRPr="00FD3680">
        <w:t>Pôda</w:t>
      </w:r>
      <w:bookmarkEnd w:id="3"/>
    </w:p>
    <w:p w:rsidR="009C34BD" w:rsidRPr="00FD3680" w:rsidRDefault="009C34BD" w:rsidP="009C34BD">
      <w:pPr>
        <w:spacing w:after="0" w:line="240" w:lineRule="auto"/>
        <w:jc w:val="both"/>
        <w:rPr>
          <w:rFonts w:ascii="Times New Roman" w:hAnsi="Times New Roman" w:cs="Times New Roman"/>
          <w:sz w:val="24"/>
          <w:szCs w:val="24"/>
        </w:rPr>
      </w:pPr>
    </w:p>
    <w:p w:rsidR="008962D8" w:rsidRPr="00FD3680" w:rsidRDefault="006C77E8"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Slovenská republika patrí ku krajinám s</w:t>
      </w:r>
      <w:r w:rsidR="00006D32" w:rsidRPr="00FD3680">
        <w:rPr>
          <w:rFonts w:ascii="Times New Roman" w:hAnsi="Times New Roman" w:cs="Times New Roman"/>
          <w:sz w:val="24"/>
          <w:szCs w:val="24"/>
        </w:rPr>
        <w:t> pomerne malou</w:t>
      </w:r>
      <w:r w:rsidRPr="00FD3680">
        <w:rPr>
          <w:rFonts w:ascii="Times New Roman" w:hAnsi="Times New Roman" w:cs="Times New Roman"/>
          <w:sz w:val="24"/>
          <w:szCs w:val="24"/>
        </w:rPr>
        <w:t xml:space="preserve"> výmerou poľnohospodársk</w:t>
      </w:r>
      <w:r w:rsidR="00581818" w:rsidRPr="00FD3680">
        <w:rPr>
          <w:rFonts w:ascii="Times New Roman" w:hAnsi="Times New Roman" w:cs="Times New Roman"/>
          <w:sz w:val="24"/>
          <w:szCs w:val="24"/>
        </w:rPr>
        <w:t xml:space="preserve">ej </w:t>
      </w:r>
      <w:r w:rsidRPr="00FD3680">
        <w:rPr>
          <w:rFonts w:ascii="Times New Roman" w:hAnsi="Times New Roman" w:cs="Times New Roman"/>
          <w:sz w:val="24"/>
          <w:szCs w:val="24"/>
        </w:rPr>
        <w:t>pôd</w:t>
      </w:r>
      <w:r w:rsidR="00581818" w:rsidRPr="00FD3680">
        <w:rPr>
          <w:rFonts w:ascii="Times New Roman" w:hAnsi="Times New Roman" w:cs="Times New Roman"/>
          <w:sz w:val="24"/>
          <w:szCs w:val="24"/>
        </w:rPr>
        <w:t>y</w:t>
      </w:r>
      <w:r w:rsidRPr="00FD3680">
        <w:rPr>
          <w:rFonts w:ascii="Times New Roman" w:hAnsi="Times New Roman" w:cs="Times New Roman"/>
          <w:sz w:val="24"/>
          <w:szCs w:val="24"/>
        </w:rPr>
        <w:t xml:space="preserve"> na svete a s </w:t>
      </w:r>
      <w:r w:rsidR="00006D32" w:rsidRPr="00FD3680">
        <w:rPr>
          <w:rFonts w:ascii="Times New Roman" w:hAnsi="Times New Roman" w:cs="Times New Roman"/>
          <w:sz w:val="24"/>
          <w:szCs w:val="24"/>
        </w:rPr>
        <w:t>podpriemernou</w:t>
      </w:r>
      <w:r w:rsidRPr="00FD3680">
        <w:rPr>
          <w:rFonts w:ascii="Times New Roman" w:hAnsi="Times New Roman" w:cs="Times New Roman"/>
          <w:sz w:val="24"/>
          <w:szCs w:val="24"/>
        </w:rPr>
        <w:t xml:space="preserve"> výmerou poľnohospodársk</w:t>
      </w:r>
      <w:r w:rsidR="00581818" w:rsidRPr="00FD3680">
        <w:rPr>
          <w:rFonts w:ascii="Times New Roman" w:hAnsi="Times New Roman" w:cs="Times New Roman"/>
          <w:sz w:val="24"/>
          <w:szCs w:val="24"/>
        </w:rPr>
        <w:t>ej</w:t>
      </w:r>
      <w:r w:rsidRPr="00FD3680">
        <w:rPr>
          <w:rFonts w:ascii="Times New Roman" w:hAnsi="Times New Roman" w:cs="Times New Roman"/>
          <w:sz w:val="24"/>
          <w:szCs w:val="24"/>
        </w:rPr>
        <w:t xml:space="preserve"> pôd</w:t>
      </w:r>
      <w:r w:rsidR="00581818" w:rsidRPr="00FD3680">
        <w:rPr>
          <w:rFonts w:ascii="Times New Roman" w:hAnsi="Times New Roman" w:cs="Times New Roman"/>
          <w:sz w:val="24"/>
          <w:szCs w:val="24"/>
        </w:rPr>
        <w:t>y</w:t>
      </w:r>
      <w:r w:rsidRPr="00FD3680">
        <w:rPr>
          <w:rFonts w:ascii="Times New Roman" w:hAnsi="Times New Roman" w:cs="Times New Roman"/>
          <w:sz w:val="24"/>
          <w:szCs w:val="24"/>
        </w:rPr>
        <w:t xml:space="preserve"> na 1 obyvateľa. </w:t>
      </w:r>
      <w:r w:rsidR="006816B8" w:rsidRPr="00FD3680">
        <w:rPr>
          <w:rFonts w:ascii="Times New Roman" w:hAnsi="Times New Roman" w:cs="Times New Roman"/>
          <w:sz w:val="24"/>
          <w:szCs w:val="24"/>
        </w:rPr>
        <w:t>Na Slovensku v súčasnosti pripadá na jedného obyvateľa 0,44 ha poľnohospodársk</w:t>
      </w:r>
      <w:r w:rsidR="00581818" w:rsidRPr="00FD3680">
        <w:rPr>
          <w:rFonts w:ascii="Times New Roman" w:hAnsi="Times New Roman" w:cs="Times New Roman"/>
          <w:sz w:val="24"/>
          <w:szCs w:val="24"/>
        </w:rPr>
        <w:t>ej</w:t>
      </w:r>
      <w:r w:rsidR="006816B8" w:rsidRPr="00FD3680">
        <w:rPr>
          <w:rFonts w:ascii="Times New Roman" w:hAnsi="Times New Roman" w:cs="Times New Roman"/>
          <w:sz w:val="24"/>
          <w:szCs w:val="24"/>
        </w:rPr>
        <w:t xml:space="preserve"> a 0,26 ha orn</w:t>
      </w:r>
      <w:r w:rsidR="00581818" w:rsidRPr="00FD3680">
        <w:rPr>
          <w:rFonts w:ascii="Times New Roman" w:hAnsi="Times New Roman" w:cs="Times New Roman"/>
          <w:sz w:val="24"/>
          <w:szCs w:val="24"/>
        </w:rPr>
        <w:t>ej</w:t>
      </w:r>
      <w:r w:rsidR="006816B8" w:rsidRPr="00FD3680">
        <w:rPr>
          <w:rFonts w:ascii="Times New Roman" w:hAnsi="Times New Roman" w:cs="Times New Roman"/>
          <w:sz w:val="24"/>
          <w:szCs w:val="24"/>
        </w:rPr>
        <w:t xml:space="preserve"> pôd</w:t>
      </w:r>
      <w:r w:rsidR="00581818" w:rsidRPr="00FD3680">
        <w:rPr>
          <w:rFonts w:ascii="Times New Roman" w:hAnsi="Times New Roman" w:cs="Times New Roman"/>
          <w:sz w:val="24"/>
          <w:szCs w:val="24"/>
        </w:rPr>
        <w:t>y</w:t>
      </w:r>
      <w:r w:rsidR="006816B8" w:rsidRPr="00FD3680">
        <w:rPr>
          <w:rFonts w:ascii="Times New Roman" w:hAnsi="Times New Roman" w:cs="Times New Roman"/>
          <w:sz w:val="24"/>
          <w:szCs w:val="24"/>
        </w:rPr>
        <w:t>. Vo svete je tento pomer 0,80</w:t>
      </w:r>
      <w:r w:rsidR="00006D32" w:rsidRPr="00FD3680">
        <w:rPr>
          <w:rFonts w:ascii="Times New Roman" w:hAnsi="Times New Roman" w:cs="Times New Roman"/>
          <w:sz w:val="24"/>
          <w:szCs w:val="24"/>
        </w:rPr>
        <w:t xml:space="preserve"> </w:t>
      </w:r>
      <w:r w:rsidR="00581818" w:rsidRPr="00FD3680">
        <w:rPr>
          <w:rFonts w:ascii="Times New Roman" w:hAnsi="Times New Roman" w:cs="Times New Roman"/>
          <w:sz w:val="24"/>
          <w:szCs w:val="24"/>
        </w:rPr>
        <w:t>ha poľnohospodárskej a</w:t>
      </w:r>
      <w:r w:rsidR="006816B8" w:rsidRPr="00FD3680">
        <w:rPr>
          <w:rFonts w:ascii="Times New Roman" w:hAnsi="Times New Roman" w:cs="Times New Roman"/>
          <w:sz w:val="24"/>
          <w:szCs w:val="24"/>
        </w:rPr>
        <w:t xml:space="preserve"> 0,27 ha</w:t>
      </w:r>
      <w:r w:rsidR="00581818" w:rsidRPr="00FD3680">
        <w:rPr>
          <w:rFonts w:ascii="Times New Roman" w:hAnsi="Times New Roman" w:cs="Times New Roman"/>
          <w:sz w:val="24"/>
          <w:szCs w:val="24"/>
        </w:rPr>
        <w:t xml:space="preserve"> ornej pôdy</w:t>
      </w:r>
      <w:r w:rsidR="006816B8" w:rsidRPr="00FD3680">
        <w:rPr>
          <w:rFonts w:ascii="Times New Roman" w:hAnsi="Times New Roman" w:cs="Times New Roman"/>
          <w:sz w:val="24"/>
          <w:szCs w:val="24"/>
        </w:rPr>
        <w:t xml:space="preserve">. </w:t>
      </w:r>
    </w:p>
    <w:p w:rsidR="008962D8" w:rsidRPr="00FD3680" w:rsidRDefault="008962D8" w:rsidP="00FC3F87">
      <w:pPr>
        <w:spacing w:after="0" w:line="240" w:lineRule="auto"/>
        <w:jc w:val="both"/>
        <w:rPr>
          <w:rFonts w:ascii="Times New Roman" w:hAnsi="Times New Roman" w:cs="Times New Roman"/>
          <w:sz w:val="24"/>
          <w:szCs w:val="24"/>
        </w:rPr>
      </w:pPr>
    </w:p>
    <w:p w:rsidR="008962D8" w:rsidRPr="00FD3680" w:rsidRDefault="006C77E8"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Pre vývoj štruktúry pôdneho fondu v posledných desaťročiach je charakteristický výrazný úbytok poľnohospodársk</w:t>
      </w:r>
      <w:r w:rsidR="005178CB" w:rsidRPr="00FD3680">
        <w:rPr>
          <w:rFonts w:ascii="Times New Roman" w:hAnsi="Times New Roman" w:cs="Times New Roman"/>
          <w:sz w:val="24"/>
          <w:szCs w:val="24"/>
        </w:rPr>
        <w:t xml:space="preserve">ej </w:t>
      </w:r>
      <w:r w:rsidRPr="00FD3680">
        <w:rPr>
          <w:rFonts w:ascii="Times New Roman" w:hAnsi="Times New Roman" w:cs="Times New Roman"/>
          <w:sz w:val="24"/>
          <w:szCs w:val="24"/>
        </w:rPr>
        <w:t>pôd</w:t>
      </w:r>
      <w:r w:rsidR="005178CB" w:rsidRPr="00FD3680">
        <w:rPr>
          <w:rFonts w:ascii="Times New Roman" w:hAnsi="Times New Roman" w:cs="Times New Roman"/>
          <w:sz w:val="24"/>
          <w:szCs w:val="24"/>
        </w:rPr>
        <w:t>y</w:t>
      </w:r>
      <w:r w:rsidRPr="00FD3680">
        <w:rPr>
          <w:rFonts w:ascii="Times New Roman" w:hAnsi="Times New Roman" w:cs="Times New Roman"/>
          <w:sz w:val="24"/>
          <w:szCs w:val="24"/>
        </w:rPr>
        <w:t xml:space="preserve"> v súvislosti s intenzívnou výstavbou a znižovaním významu poľnohospodárskej výroby na celkovej tvorbe hrubého domáceho produktu. </w:t>
      </w:r>
    </w:p>
    <w:p w:rsidR="008962D8" w:rsidRPr="00FD3680" w:rsidRDefault="008962D8" w:rsidP="00FC3F87">
      <w:pPr>
        <w:spacing w:after="0" w:line="240" w:lineRule="auto"/>
        <w:jc w:val="both"/>
        <w:rPr>
          <w:rFonts w:ascii="Times New Roman" w:hAnsi="Times New Roman" w:cs="Times New Roman"/>
          <w:sz w:val="24"/>
          <w:szCs w:val="24"/>
        </w:rPr>
      </w:pPr>
    </w:p>
    <w:p w:rsidR="008962D8" w:rsidRPr="00FD3680" w:rsidRDefault="006C77E8"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Od roku 1950 ubudlo vyše 380 tis. ha poľnohospodársk</w:t>
      </w:r>
      <w:r w:rsidR="005178CB" w:rsidRPr="00FD3680">
        <w:rPr>
          <w:rFonts w:ascii="Times New Roman" w:hAnsi="Times New Roman" w:cs="Times New Roman"/>
          <w:sz w:val="24"/>
          <w:szCs w:val="24"/>
        </w:rPr>
        <w:t>ej</w:t>
      </w:r>
      <w:r w:rsidRPr="00FD3680">
        <w:rPr>
          <w:rFonts w:ascii="Times New Roman" w:hAnsi="Times New Roman" w:cs="Times New Roman"/>
          <w:sz w:val="24"/>
          <w:szCs w:val="24"/>
        </w:rPr>
        <w:t xml:space="preserve"> pôd</w:t>
      </w:r>
      <w:r w:rsidR="005178CB" w:rsidRPr="00FD3680">
        <w:rPr>
          <w:rFonts w:ascii="Times New Roman" w:hAnsi="Times New Roman" w:cs="Times New Roman"/>
          <w:sz w:val="24"/>
          <w:szCs w:val="24"/>
        </w:rPr>
        <w:t>y</w:t>
      </w:r>
      <w:r w:rsidRPr="00FD3680">
        <w:rPr>
          <w:rFonts w:ascii="Times New Roman" w:hAnsi="Times New Roman" w:cs="Times New Roman"/>
          <w:sz w:val="24"/>
          <w:szCs w:val="24"/>
        </w:rPr>
        <w:t>. Osobitne sa síce nesleduje úbytok poľnohospodársk</w:t>
      </w:r>
      <w:r w:rsidR="005178CB" w:rsidRPr="00FD3680">
        <w:rPr>
          <w:rFonts w:ascii="Times New Roman" w:hAnsi="Times New Roman" w:cs="Times New Roman"/>
          <w:sz w:val="24"/>
          <w:szCs w:val="24"/>
        </w:rPr>
        <w:t>ej</w:t>
      </w:r>
      <w:r w:rsidRPr="00FD3680">
        <w:rPr>
          <w:rFonts w:ascii="Times New Roman" w:hAnsi="Times New Roman" w:cs="Times New Roman"/>
          <w:sz w:val="24"/>
          <w:szCs w:val="24"/>
        </w:rPr>
        <w:t xml:space="preserve"> pôd</w:t>
      </w:r>
      <w:r w:rsidR="005178CB" w:rsidRPr="00FD3680">
        <w:rPr>
          <w:rFonts w:ascii="Times New Roman" w:hAnsi="Times New Roman" w:cs="Times New Roman"/>
          <w:sz w:val="24"/>
          <w:szCs w:val="24"/>
        </w:rPr>
        <w:t>y</w:t>
      </w:r>
      <w:r w:rsidRPr="00FD3680">
        <w:rPr>
          <w:rFonts w:ascii="Times New Roman" w:hAnsi="Times New Roman" w:cs="Times New Roman"/>
          <w:sz w:val="24"/>
          <w:szCs w:val="24"/>
        </w:rPr>
        <w:t xml:space="preserve"> podľa </w:t>
      </w:r>
      <w:r w:rsidR="005178CB" w:rsidRPr="00FD3680">
        <w:rPr>
          <w:rFonts w:ascii="Times New Roman" w:hAnsi="Times New Roman" w:cs="Times New Roman"/>
          <w:sz w:val="24"/>
          <w:szCs w:val="24"/>
        </w:rPr>
        <w:t xml:space="preserve">jej </w:t>
      </w:r>
      <w:r w:rsidRPr="00FD3680">
        <w:rPr>
          <w:rFonts w:ascii="Times New Roman" w:hAnsi="Times New Roman" w:cs="Times New Roman"/>
          <w:sz w:val="24"/>
          <w:szCs w:val="24"/>
        </w:rPr>
        <w:t xml:space="preserve"> úrodnosti, avšak kvalifikovaným odhadom z pôdoznaleckých prieskumov </w:t>
      </w:r>
      <w:r w:rsidR="005178CB" w:rsidRPr="00FD3680">
        <w:rPr>
          <w:rFonts w:ascii="Times New Roman" w:hAnsi="Times New Roman" w:cs="Times New Roman"/>
          <w:sz w:val="24"/>
          <w:szCs w:val="24"/>
        </w:rPr>
        <w:t>vyplýva</w:t>
      </w:r>
      <w:r w:rsidRPr="00FD3680">
        <w:rPr>
          <w:rFonts w:ascii="Times New Roman" w:hAnsi="Times New Roman" w:cs="Times New Roman"/>
          <w:sz w:val="24"/>
          <w:szCs w:val="24"/>
        </w:rPr>
        <w:t>, že prevažná časť úbytkov poľnohospodársk</w:t>
      </w:r>
      <w:r w:rsidR="005178CB" w:rsidRPr="00FD3680">
        <w:rPr>
          <w:rFonts w:ascii="Times New Roman" w:hAnsi="Times New Roman" w:cs="Times New Roman"/>
          <w:sz w:val="24"/>
          <w:szCs w:val="24"/>
        </w:rPr>
        <w:t>ej</w:t>
      </w:r>
      <w:r w:rsidRPr="00FD3680">
        <w:rPr>
          <w:rFonts w:ascii="Times New Roman" w:hAnsi="Times New Roman" w:cs="Times New Roman"/>
          <w:sz w:val="24"/>
          <w:szCs w:val="24"/>
        </w:rPr>
        <w:t xml:space="preserve"> pôd</w:t>
      </w:r>
      <w:r w:rsidR="005178CB" w:rsidRPr="00FD3680">
        <w:rPr>
          <w:rFonts w:ascii="Times New Roman" w:hAnsi="Times New Roman" w:cs="Times New Roman"/>
          <w:sz w:val="24"/>
          <w:szCs w:val="24"/>
        </w:rPr>
        <w:t>y</w:t>
      </w:r>
      <w:r w:rsidRPr="00FD3680">
        <w:rPr>
          <w:rFonts w:ascii="Times New Roman" w:hAnsi="Times New Roman" w:cs="Times New Roman"/>
          <w:sz w:val="24"/>
          <w:szCs w:val="24"/>
        </w:rPr>
        <w:t xml:space="preserve"> sa týkala vysoko a stredne úrodných pôd. </w:t>
      </w:r>
    </w:p>
    <w:p w:rsidR="008962D8" w:rsidRPr="00FD3680" w:rsidRDefault="008962D8" w:rsidP="00FC3F87">
      <w:pPr>
        <w:spacing w:after="0" w:line="240" w:lineRule="auto"/>
        <w:jc w:val="both"/>
        <w:rPr>
          <w:rFonts w:ascii="Times New Roman" w:hAnsi="Times New Roman" w:cs="Times New Roman"/>
          <w:sz w:val="24"/>
          <w:szCs w:val="24"/>
        </w:rPr>
      </w:pPr>
    </w:p>
    <w:p w:rsidR="006816B8" w:rsidRPr="00FD3680" w:rsidRDefault="006C77E8"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Príčinou tohto javu je uprednostňovanie technických a ekonomických výhod záberov </w:t>
      </w:r>
      <w:r w:rsidR="005178CB" w:rsidRPr="00FD3680">
        <w:rPr>
          <w:rFonts w:ascii="Times New Roman" w:hAnsi="Times New Roman" w:cs="Times New Roman"/>
          <w:sz w:val="24"/>
          <w:szCs w:val="24"/>
        </w:rPr>
        <w:t xml:space="preserve">poľnohospodárskej </w:t>
      </w:r>
      <w:r w:rsidRPr="00FD3680">
        <w:rPr>
          <w:rFonts w:ascii="Times New Roman" w:hAnsi="Times New Roman" w:cs="Times New Roman"/>
          <w:sz w:val="24"/>
          <w:szCs w:val="24"/>
        </w:rPr>
        <w:t>pôd</w:t>
      </w:r>
      <w:r w:rsidR="005178CB" w:rsidRPr="00FD3680">
        <w:rPr>
          <w:rFonts w:ascii="Times New Roman" w:hAnsi="Times New Roman" w:cs="Times New Roman"/>
          <w:sz w:val="24"/>
          <w:szCs w:val="24"/>
        </w:rPr>
        <w:t>y</w:t>
      </w:r>
      <w:r w:rsidRPr="00FD3680">
        <w:rPr>
          <w:rFonts w:ascii="Times New Roman" w:hAnsi="Times New Roman" w:cs="Times New Roman"/>
          <w:sz w:val="24"/>
          <w:szCs w:val="24"/>
        </w:rPr>
        <w:t xml:space="preserve"> pre investičnú výstavbu. Navyše je v poslednom čase badateľný </w:t>
      </w:r>
      <w:r w:rsidRPr="00FD3680">
        <w:rPr>
          <w:rFonts w:ascii="Times New Roman" w:hAnsi="Times New Roman" w:cs="Times New Roman"/>
          <w:sz w:val="24"/>
          <w:szCs w:val="24"/>
        </w:rPr>
        <w:lastRenderedPageBreak/>
        <w:t>pokles záujmu o využívanie niektorých pôd s extrémnymi vlastnosťami. Dôsledkom týchto javov je trvalý pokles výmery poľnohospodárskej pôdy na 1 obyvateľa.</w:t>
      </w:r>
      <w:r w:rsidR="006816B8" w:rsidRPr="00FD3680">
        <w:rPr>
          <w:rFonts w:ascii="Times New Roman" w:hAnsi="Times New Roman" w:cs="Times New Roman"/>
          <w:sz w:val="24"/>
          <w:szCs w:val="24"/>
        </w:rPr>
        <w:t xml:space="preserve"> </w:t>
      </w:r>
    </w:p>
    <w:p w:rsidR="006816B8" w:rsidRPr="00FD3680" w:rsidRDefault="006816B8" w:rsidP="00FC3F87">
      <w:pPr>
        <w:spacing w:after="0" w:line="240" w:lineRule="auto"/>
        <w:jc w:val="both"/>
        <w:rPr>
          <w:rFonts w:ascii="Times New Roman" w:hAnsi="Times New Roman" w:cs="Times New Roman"/>
          <w:sz w:val="24"/>
          <w:szCs w:val="24"/>
        </w:rPr>
      </w:pPr>
    </w:p>
    <w:p w:rsidR="00EA4EEC" w:rsidRPr="00FD3680" w:rsidRDefault="006816B8"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Aj napriek tomu</w:t>
      </w:r>
      <w:r w:rsidR="005178CB" w:rsidRPr="00FD3680">
        <w:rPr>
          <w:rFonts w:ascii="Times New Roman" w:hAnsi="Times New Roman" w:cs="Times New Roman"/>
          <w:sz w:val="24"/>
          <w:szCs w:val="24"/>
        </w:rPr>
        <w:t xml:space="preserve"> trendu </w:t>
      </w:r>
      <w:r w:rsidRPr="00FD3680">
        <w:rPr>
          <w:rFonts w:ascii="Times New Roman" w:hAnsi="Times New Roman" w:cs="Times New Roman"/>
          <w:sz w:val="24"/>
          <w:szCs w:val="24"/>
        </w:rPr>
        <w:t xml:space="preserve"> Slovenská republika má, vzhľadom na demografický vývoj, zatiaľ dostatok pôd</w:t>
      </w:r>
      <w:r w:rsidR="005178CB" w:rsidRPr="00FD3680">
        <w:rPr>
          <w:rFonts w:ascii="Times New Roman" w:hAnsi="Times New Roman" w:cs="Times New Roman"/>
          <w:sz w:val="24"/>
          <w:szCs w:val="24"/>
        </w:rPr>
        <w:t xml:space="preserve">, ako výrobnej základne </w:t>
      </w:r>
      <w:r w:rsidRPr="00FD3680">
        <w:rPr>
          <w:rFonts w:ascii="Times New Roman" w:hAnsi="Times New Roman" w:cs="Times New Roman"/>
          <w:sz w:val="24"/>
          <w:szCs w:val="24"/>
        </w:rPr>
        <w:t xml:space="preserve"> na zabezpečenie potravinovej bezpečnosti z vlastných zdrojov. </w:t>
      </w:r>
    </w:p>
    <w:p w:rsidR="00EA4EEC" w:rsidRPr="00FD3680" w:rsidRDefault="00EA4EEC" w:rsidP="00FC3F87">
      <w:pPr>
        <w:spacing w:after="0" w:line="240" w:lineRule="auto"/>
        <w:jc w:val="both"/>
        <w:rPr>
          <w:rFonts w:ascii="Times New Roman" w:hAnsi="Times New Roman" w:cs="Times New Roman"/>
          <w:sz w:val="24"/>
          <w:szCs w:val="24"/>
        </w:rPr>
      </w:pPr>
    </w:p>
    <w:p w:rsidR="006816B8" w:rsidRPr="00FD3680" w:rsidRDefault="006816B8"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K zachovaniu </w:t>
      </w:r>
      <w:r w:rsidR="00BE741A" w:rsidRPr="00FD3680">
        <w:rPr>
          <w:rFonts w:ascii="Times New Roman" w:hAnsi="Times New Roman" w:cs="Times New Roman"/>
          <w:sz w:val="24"/>
          <w:szCs w:val="24"/>
        </w:rPr>
        <w:t xml:space="preserve">dostatočnej </w:t>
      </w:r>
      <w:r w:rsidRPr="00FD3680">
        <w:rPr>
          <w:rFonts w:ascii="Times New Roman" w:hAnsi="Times New Roman" w:cs="Times New Roman"/>
          <w:sz w:val="24"/>
          <w:szCs w:val="24"/>
        </w:rPr>
        <w:t xml:space="preserve">miery potravinovej bezpečnosti v rámci Slovenska </w:t>
      </w:r>
      <w:r w:rsidR="00BE741A" w:rsidRPr="00FD3680">
        <w:rPr>
          <w:rFonts w:ascii="Times New Roman" w:hAnsi="Times New Roman" w:cs="Times New Roman"/>
          <w:sz w:val="24"/>
          <w:szCs w:val="24"/>
        </w:rPr>
        <w:t xml:space="preserve">je potrebná </w:t>
      </w:r>
      <w:r w:rsidRPr="00FD3680">
        <w:rPr>
          <w:rFonts w:ascii="Times New Roman" w:hAnsi="Times New Roman" w:cs="Times New Roman"/>
          <w:sz w:val="24"/>
          <w:szCs w:val="24"/>
        </w:rPr>
        <w:t>dispon</w:t>
      </w:r>
      <w:r w:rsidR="00BE741A" w:rsidRPr="00FD3680">
        <w:rPr>
          <w:rFonts w:ascii="Times New Roman" w:hAnsi="Times New Roman" w:cs="Times New Roman"/>
          <w:sz w:val="24"/>
          <w:szCs w:val="24"/>
        </w:rPr>
        <w:t xml:space="preserve">ibilná </w:t>
      </w:r>
      <w:r w:rsidR="003365FF" w:rsidRPr="00FD3680">
        <w:rPr>
          <w:rFonts w:ascii="Times New Roman" w:hAnsi="Times New Roman" w:cs="Times New Roman"/>
          <w:sz w:val="24"/>
          <w:szCs w:val="24"/>
        </w:rPr>
        <w:t>minimáln</w:t>
      </w:r>
      <w:r w:rsidR="00BE741A" w:rsidRPr="00FD3680">
        <w:rPr>
          <w:rFonts w:ascii="Times New Roman" w:hAnsi="Times New Roman" w:cs="Times New Roman"/>
          <w:sz w:val="24"/>
          <w:szCs w:val="24"/>
        </w:rPr>
        <w:t>a</w:t>
      </w:r>
      <w:r w:rsidR="003365FF" w:rsidRPr="00FD3680">
        <w:rPr>
          <w:rFonts w:ascii="Times New Roman" w:hAnsi="Times New Roman" w:cs="Times New Roman"/>
          <w:sz w:val="24"/>
          <w:szCs w:val="24"/>
        </w:rPr>
        <w:t xml:space="preserve"> výmer</w:t>
      </w:r>
      <w:r w:rsidR="00BE741A" w:rsidRPr="00FD3680">
        <w:rPr>
          <w:rFonts w:ascii="Times New Roman" w:hAnsi="Times New Roman" w:cs="Times New Roman"/>
          <w:sz w:val="24"/>
          <w:szCs w:val="24"/>
        </w:rPr>
        <w:t>a</w:t>
      </w:r>
      <w:r w:rsidR="003365FF" w:rsidRPr="00FD3680">
        <w:rPr>
          <w:rFonts w:ascii="Times New Roman" w:hAnsi="Times New Roman" w:cs="Times New Roman"/>
          <w:sz w:val="24"/>
          <w:szCs w:val="24"/>
        </w:rPr>
        <w:t xml:space="preserve"> 1 367 854</w:t>
      </w:r>
      <w:r w:rsidRPr="00FD3680">
        <w:rPr>
          <w:rFonts w:ascii="Times New Roman" w:hAnsi="Times New Roman" w:cs="Times New Roman"/>
          <w:sz w:val="24"/>
          <w:szCs w:val="24"/>
        </w:rPr>
        <w:t xml:space="preserve"> ha, čo predstavuje asi 56,7 % </w:t>
      </w:r>
      <w:r w:rsidR="00BE741A" w:rsidRPr="00FD3680">
        <w:rPr>
          <w:rFonts w:ascii="Times New Roman" w:hAnsi="Times New Roman" w:cs="Times New Roman"/>
          <w:sz w:val="24"/>
          <w:szCs w:val="24"/>
        </w:rPr>
        <w:t xml:space="preserve">zo </w:t>
      </w:r>
      <w:r w:rsidRPr="00FD3680">
        <w:rPr>
          <w:rFonts w:ascii="Times New Roman" w:hAnsi="Times New Roman" w:cs="Times New Roman"/>
          <w:sz w:val="24"/>
          <w:szCs w:val="24"/>
        </w:rPr>
        <w:t>súčasnosti evidovan</w:t>
      </w:r>
      <w:r w:rsidR="00BE741A" w:rsidRPr="00FD3680">
        <w:rPr>
          <w:rFonts w:ascii="Times New Roman" w:hAnsi="Times New Roman" w:cs="Times New Roman"/>
          <w:sz w:val="24"/>
          <w:szCs w:val="24"/>
        </w:rPr>
        <w:t>ej</w:t>
      </w:r>
      <w:r w:rsidRPr="00FD3680">
        <w:rPr>
          <w:rFonts w:ascii="Times New Roman" w:hAnsi="Times New Roman" w:cs="Times New Roman"/>
          <w:sz w:val="24"/>
          <w:szCs w:val="24"/>
        </w:rPr>
        <w:t xml:space="preserve"> poľnohospodársk</w:t>
      </w:r>
      <w:r w:rsidR="00BE741A" w:rsidRPr="00FD3680">
        <w:rPr>
          <w:rFonts w:ascii="Times New Roman" w:hAnsi="Times New Roman" w:cs="Times New Roman"/>
          <w:sz w:val="24"/>
          <w:szCs w:val="24"/>
        </w:rPr>
        <w:t>ej</w:t>
      </w:r>
      <w:r w:rsidRPr="00FD3680">
        <w:rPr>
          <w:rFonts w:ascii="Times New Roman" w:hAnsi="Times New Roman" w:cs="Times New Roman"/>
          <w:sz w:val="24"/>
          <w:szCs w:val="24"/>
        </w:rPr>
        <w:t xml:space="preserve"> pôd</w:t>
      </w:r>
      <w:r w:rsidR="00BE741A" w:rsidRPr="00FD3680">
        <w:rPr>
          <w:rFonts w:ascii="Times New Roman" w:hAnsi="Times New Roman" w:cs="Times New Roman"/>
          <w:sz w:val="24"/>
          <w:szCs w:val="24"/>
        </w:rPr>
        <w:t>y</w:t>
      </w:r>
      <w:r w:rsidRPr="00FD3680">
        <w:rPr>
          <w:rFonts w:ascii="Times New Roman" w:hAnsi="Times New Roman" w:cs="Times New Roman"/>
          <w:sz w:val="24"/>
          <w:szCs w:val="24"/>
        </w:rPr>
        <w:t xml:space="preserve"> Slovenska. Táto výmera sa označuje ako primárna poľnohospodárska pôda. </w:t>
      </w:r>
      <w:r w:rsidR="00EA4EEC" w:rsidRPr="00FD3680">
        <w:rPr>
          <w:rFonts w:ascii="Times New Roman" w:hAnsi="Times New Roman" w:cs="Times New Roman"/>
          <w:sz w:val="24"/>
          <w:szCs w:val="24"/>
        </w:rPr>
        <w:t>Z metodického hľadiska ide o pôdu, ktorá je registrovaná v LPIS a z hľadiska začlenenia do typologicko-produkčných kategórii poľnohospodárskeho pôdneho fondu ide o potenciálne orn</w:t>
      </w:r>
      <w:r w:rsidR="00BE741A" w:rsidRPr="00FD3680">
        <w:rPr>
          <w:rFonts w:ascii="Times New Roman" w:hAnsi="Times New Roman" w:cs="Times New Roman"/>
          <w:sz w:val="24"/>
          <w:szCs w:val="24"/>
        </w:rPr>
        <w:t>ú</w:t>
      </w:r>
      <w:r w:rsidR="00EA4EEC" w:rsidRPr="00FD3680">
        <w:rPr>
          <w:rFonts w:ascii="Times New Roman" w:hAnsi="Times New Roman" w:cs="Times New Roman"/>
          <w:sz w:val="24"/>
          <w:szCs w:val="24"/>
        </w:rPr>
        <w:t xml:space="preserve"> pôd</w:t>
      </w:r>
      <w:r w:rsidR="00BE741A" w:rsidRPr="00FD3680">
        <w:rPr>
          <w:rFonts w:ascii="Times New Roman" w:hAnsi="Times New Roman" w:cs="Times New Roman"/>
          <w:sz w:val="24"/>
          <w:szCs w:val="24"/>
        </w:rPr>
        <w:t>u</w:t>
      </w:r>
      <w:r w:rsidR="00EA4EEC" w:rsidRPr="00FD3680">
        <w:rPr>
          <w:rFonts w:ascii="Times New Roman" w:hAnsi="Times New Roman" w:cs="Times New Roman"/>
          <w:sz w:val="24"/>
          <w:szCs w:val="24"/>
        </w:rPr>
        <w:t xml:space="preserve"> a striedavé polia, stredne produkčné polia a produkčné trávne porasty. </w:t>
      </w:r>
      <w:r w:rsidR="00BE741A" w:rsidRPr="00FD3680">
        <w:rPr>
          <w:rFonts w:ascii="Times New Roman" w:hAnsi="Times New Roman" w:cs="Times New Roman"/>
          <w:sz w:val="24"/>
          <w:szCs w:val="24"/>
        </w:rPr>
        <w:t xml:space="preserve">Sú to </w:t>
      </w:r>
      <w:r w:rsidR="00EA4EEC" w:rsidRPr="00FD3680">
        <w:rPr>
          <w:rFonts w:ascii="Times New Roman" w:hAnsi="Times New Roman" w:cs="Times New Roman"/>
          <w:sz w:val="24"/>
          <w:szCs w:val="24"/>
        </w:rPr>
        <w:t>pôd</w:t>
      </w:r>
      <w:r w:rsidR="00BE741A" w:rsidRPr="00FD3680">
        <w:rPr>
          <w:rFonts w:ascii="Times New Roman" w:hAnsi="Times New Roman" w:cs="Times New Roman"/>
          <w:sz w:val="24"/>
          <w:szCs w:val="24"/>
        </w:rPr>
        <w:t>y</w:t>
      </w:r>
      <w:r w:rsidR="00EA4EEC" w:rsidRPr="00FD3680">
        <w:rPr>
          <w:rFonts w:ascii="Times New Roman" w:hAnsi="Times New Roman" w:cs="Times New Roman"/>
          <w:sz w:val="24"/>
          <w:szCs w:val="24"/>
        </w:rPr>
        <w:t xml:space="preserve"> s najvyšším produkčným potenciálom s priemernou bodovou hodnotou 70,35 BPEJ.</w:t>
      </w:r>
    </w:p>
    <w:p w:rsidR="008962D8" w:rsidRPr="00FD3680" w:rsidRDefault="008962D8" w:rsidP="00FC3F87">
      <w:pPr>
        <w:spacing w:after="0" w:line="240" w:lineRule="auto"/>
        <w:jc w:val="both"/>
        <w:rPr>
          <w:rFonts w:ascii="Times New Roman" w:hAnsi="Times New Roman" w:cs="Times New Roman"/>
          <w:sz w:val="24"/>
          <w:szCs w:val="24"/>
        </w:rPr>
      </w:pPr>
    </w:p>
    <w:p w:rsidR="0094395F" w:rsidRPr="00FD3680" w:rsidRDefault="00C95413" w:rsidP="00FC3F87">
      <w:pPr>
        <w:spacing w:after="0" w:line="240" w:lineRule="auto"/>
        <w:jc w:val="both"/>
        <w:rPr>
          <w:rFonts w:ascii="Times New Roman" w:hAnsi="Times New Roman" w:cs="Times New Roman"/>
          <w:sz w:val="20"/>
          <w:szCs w:val="20"/>
        </w:rPr>
      </w:pPr>
      <w:r w:rsidRPr="00FD3680">
        <w:rPr>
          <w:rFonts w:ascii="Times New Roman" w:hAnsi="Times New Roman" w:cs="Times New Roman"/>
          <w:noProof/>
          <w:sz w:val="24"/>
          <w:szCs w:val="24"/>
          <w:lang w:eastAsia="sk-SK"/>
        </w:rPr>
        <w:drawing>
          <wp:anchor distT="0" distB="0" distL="114300" distR="114300" simplePos="0" relativeHeight="251658240" behindDoc="1" locked="0" layoutInCell="1" allowOverlap="1" wp14:anchorId="5B81B1FE" wp14:editId="19964414">
            <wp:simplePos x="0" y="0"/>
            <wp:positionH relativeFrom="column">
              <wp:posOffset>-1270</wp:posOffset>
            </wp:positionH>
            <wp:positionV relativeFrom="paragraph">
              <wp:posOffset>108585</wp:posOffset>
            </wp:positionV>
            <wp:extent cx="4050030" cy="2305685"/>
            <wp:effectExtent l="0" t="0" r="762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na 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0030" cy="2305685"/>
                    </a:xfrm>
                    <a:prstGeom prst="rect">
                      <a:avLst/>
                    </a:prstGeom>
                  </pic:spPr>
                </pic:pic>
              </a:graphicData>
            </a:graphic>
          </wp:anchor>
        </w:drawing>
      </w:r>
      <w:r w:rsidR="00EA4EEC" w:rsidRPr="00FD3680">
        <w:rPr>
          <w:rFonts w:ascii="Times New Roman" w:hAnsi="Times New Roman" w:cs="Times New Roman"/>
          <w:sz w:val="20"/>
          <w:szCs w:val="20"/>
        </w:rPr>
        <w:t>Obr. č. 1:</w:t>
      </w:r>
      <w:r w:rsidR="0094395F" w:rsidRPr="00FD3680">
        <w:rPr>
          <w:rFonts w:ascii="Times New Roman" w:hAnsi="Times New Roman" w:cs="Times New Roman"/>
          <w:sz w:val="20"/>
          <w:szCs w:val="20"/>
        </w:rPr>
        <w:t xml:space="preserve"> Mapa primárnej poľnohospodárskej pôdy</w:t>
      </w:r>
    </w:p>
    <w:p w:rsidR="0094395F" w:rsidRPr="00FD3680" w:rsidRDefault="0094395F" w:rsidP="00FC3F87">
      <w:pPr>
        <w:spacing w:after="0" w:line="240" w:lineRule="auto"/>
        <w:jc w:val="both"/>
        <w:rPr>
          <w:rFonts w:ascii="Times New Roman" w:hAnsi="Times New Roman" w:cs="Times New Roman"/>
          <w:sz w:val="24"/>
          <w:szCs w:val="24"/>
        </w:rPr>
      </w:pPr>
    </w:p>
    <w:p w:rsidR="0094395F" w:rsidRPr="00FD3680" w:rsidRDefault="0094395F" w:rsidP="00FC3F87">
      <w:pPr>
        <w:spacing w:after="0" w:line="240" w:lineRule="auto"/>
        <w:jc w:val="both"/>
        <w:rPr>
          <w:rFonts w:ascii="Times New Roman" w:hAnsi="Times New Roman" w:cs="Times New Roman"/>
          <w:sz w:val="24"/>
          <w:szCs w:val="24"/>
        </w:rPr>
      </w:pPr>
    </w:p>
    <w:p w:rsidR="0094395F" w:rsidRPr="00FD3680" w:rsidRDefault="0094395F" w:rsidP="00FC3F87">
      <w:pPr>
        <w:spacing w:after="0" w:line="240" w:lineRule="auto"/>
        <w:jc w:val="both"/>
        <w:rPr>
          <w:rFonts w:ascii="Times New Roman" w:hAnsi="Times New Roman" w:cs="Times New Roman"/>
          <w:sz w:val="24"/>
          <w:szCs w:val="24"/>
        </w:rPr>
      </w:pPr>
    </w:p>
    <w:p w:rsidR="0094395F" w:rsidRPr="00FD3680" w:rsidRDefault="0094395F" w:rsidP="00FC3F87">
      <w:pPr>
        <w:spacing w:after="0" w:line="240" w:lineRule="auto"/>
        <w:jc w:val="both"/>
        <w:rPr>
          <w:rFonts w:ascii="Times New Roman" w:hAnsi="Times New Roman" w:cs="Times New Roman"/>
          <w:sz w:val="24"/>
          <w:szCs w:val="24"/>
        </w:rPr>
      </w:pPr>
    </w:p>
    <w:p w:rsidR="0094395F" w:rsidRPr="00FD3680" w:rsidRDefault="0094395F" w:rsidP="00FC3F87">
      <w:pPr>
        <w:spacing w:after="0" w:line="240" w:lineRule="auto"/>
        <w:jc w:val="both"/>
        <w:rPr>
          <w:rFonts w:ascii="Times New Roman" w:hAnsi="Times New Roman" w:cs="Times New Roman"/>
          <w:sz w:val="24"/>
          <w:szCs w:val="24"/>
        </w:rPr>
      </w:pPr>
    </w:p>
    <w:p w:rsidR="0094395F" w:rsidRPr="00FD3680" w:rsidRDefault="0094395F" w:rsidP="00FC3F87">
      <w:pPr>
        <w:spacing w:after="0" w:line="240" w:lineRule="auto"/>
        <w:jc w:val="both"/>
        <w:rPr>
          <w:rFonts w:ascii="Times New Roman" w:hAnsi="Times New Roman" w:cs="Times New Roman"/>
          <w:sz w:val="24"/>
          <w:szCs w:val="24"/>
        </w:rPr>
      </w:pPr>
    </w:p>
    <w:tbl>
      <w:tblPr>
        <w:tblStyle w:val="Mriekatabuky"/>
        <w:tblpPr w:leftFromText="141" w:rightFromText="141" w:vertAnchor="text" w:horzAnchor="margin" w:tblpXSpec="right" w:tblpY="-47"/>
        <w:tblW w:w="28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09"/>
        <w:gridCol w:w="993"/>
      </w:tblGrid>
      <w:tr w:rsidR="00FD3680" w:rsidRPr="00FD3680" w:rsidTr="00C95413">
        <w:tc>
          <w:tcPr>
            <w:tcW w:w="1809" w:type="dxa"/>
            <w:shd w:val="clear" w:color="auto" w:fill="auto"/>
          </w:tcPr>
          <w:p w:rsidR="00C95413" w:rsidRPr="00FD3680" w:rsidRDefault="00C95413" w:rsidP="00C95413">
            <w:pPr>
              <w:jc w:val="center"/>
              <w:rPr>
                <w:rFonts w:ascii="Times New Roman" w:hAnsi="Times New Roman" w:cs="Times New Roman"/>
                <w:b/>
                <w:sz w:val="18"/>
                <w:szCs w:val="18"/>
              </w:rPr>
            </w:pPr>
          </w:p>
        </w:tc>
        <w:tc>
          <w:tcPr>
            <w:tcW w:w="993" w:type="dxa"/>
            <w:shd w:val="clear" w:color="auto" w:fill="auto"/>
          </w:tcPr>
          <w:p w:rsidR="00C95413" w:rsidRPr="00FD3680" w:rsidRDefault="00C95413" w:rsidP="00C95413">
            <w:pPr>
              <w:jc w:val="center"/>
              <w:rPr>
                <w:rFonts w:ascii="Times New Roman" w:hAnsi="Times New Roman" w:cs="Times New Roman"/>
                <w:b/>
                <w:sz w:val="18"/>
                <w:szCs w:val="18"/>
              </w:rPr>
            </w:pPr>
            <w:r w:rsidRPr="00FD3680">
              <w:rPr>
                <w:rFonts w:ascii="Times New Roman" w:hAnsi="Times New Roman" w:cs="Times New Roman"/>
                <w:b/>
                <w:sz w:val="18"/>
                <w:szCs w:val="18"/>
              </w:rPr>
              <w:t>v ha</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Bratislavský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79 727</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Trnavský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263 458</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Nitriansky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423 489</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Trenčiansky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88 334</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Žilinský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29 976</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Banskobystrický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175 704</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Prešovský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100 842</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Košický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206 324</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b/>
                <w:sz w:val="18"/>
                <w:szCs w:val="18"/>
              </w:rPr>
            </w:pPr>
            <w:r w:rsidRPr="00FD3680">
              <w:rPr>
                <w:rFonts w:ascii="Times New Roman" w:hAnsi="Times New Roman" w:cs="Times New Roman"/>
                <w:b/>
                <w:sz w:val="18"/>
                <w:szCs w:val="18"/>
              </w:rPr>
              <w:t>CELKOM</w:t>
            </w:r>
          </w:p>
        </w:tc>
        <w:tc>
          <w:tcPr>
            <w:tcW w:w="993" w:type="dxa"/>
            <w:shd w:val="clear" w:color="auto" w:fill="auto"/>
          </w:tcPr>
          <w:p w:rsidR="00C95413" w:rsidRPr="00FD3680" w:rsidRDefault="00C95413" w:rsidP="00C95413">
            <w:pPr>
              <w:jc w:val="right"/>
              <w:rPr>
                <w:rFonts w:ascii="Times New Roman" w:hAnsi="Times New Roman" w:cs="Times New Roman"/>
                <w:b/>
                <w:sz w:val="18"/>
                <w:szCs w:val="18"/>
              </w:rPr>
            </w:pPr>
            <w:r w:rsidRPr="00FD3680">
              <w:rPr>
                <w:rFonts w:ascii="Times New Roman" w:hAnsi="Times New Roman" w:cs="Times New Roman"/>
                <w:b/>
                <w:sz w:val="18"/>
                <w:szCs w:val="18"/>
              </w:rPr>
              <w:t>1 367 854</w:t>
            </w:r>
          </w:p>
        </w:tc>
      </w:tr>
    </w:tbl>
    <w:p w:rsidR="0094395F" w:rsidRPr="00FD3680" w:rsidRDefault="0094395F" w:rsidP="00FC3F87">
      <w:pPr>
        <w:spacing w:after="0" w:line="240" w:lineRule="auto"/>
        <w:jc w:val="both"/>
        <w:rPr>
          <w:rFonts w:ascii="Times New Roman" w:hAnsi="Times New Roman" w:cs="Times New Roman"/>
          <w:sz w:val="24"/>
          <w:szCs w:val="24"/>
        </w:rPr>
      </w:pPr>
    </w:p>
    <w:p w:rsidR="0094395F" w:rsidRPr="00FD3680" w:rsidRDefault="0094395F" w:rsidP="00FC3F87">
      <w:pPr>
        <w:spacing w:after="0" w:line="240" w:lineRule="auto"/>
        <w:jc w:val="both"/>
        <w:rPr>
          <w:rFonts w:ascii="Times New Roman" w:hAnsi="Times New Roman" w:cs="Times New Roman"/>
          <w:sz w:val="24"/>
          <w:szCs w:val="24"/>
        </w:rPr>
      </w:pPr>
    </w:p>
    <w:p w:rsidR="00EA4EEC" w:rsidRPr="00FD3680" w:rsidRDefault="00EA4EEC" w:rsidP="00FC3F87">
      <w:pPr>
        <w:spacing w:after="0" w:line="240" w:lineRule="auto"/>
        <w:jc w:val="both"/>
        <w:rPr>
          <w:rFonts w:ascii="Times New Roman" w:hAnsi="Times New Roman" w:cs="Times New Roman"/>
          <w:sz w:val="24"/>
          <w:szCs w:val="24"/>
        </w:rPr>
      </w:pPr>
    </w:p>
    <w:p w:rsidR="00EA4EEC" w:rsidRPr="00FD3680" w:rsidRDefault="00EA4EEC" w:rsidP="00FC3F87">
      <w:pPr>
        <w:spacing w:after="0" w:line="240" w:lineRule="auto"/>
        <w:jc w:val="both"/>
        <w:rPr>
          <w:rFonts w:ascii="Times New Roman" w:hAnsi="Times New Roman" w:cs="Times New Roman"/>
          <w:sz w:val="24"/>
          <w:szCs w:val="24"/>
        </w:rPr>
      </w:pPr>
    </w:p>
    <w:p w:rsidR="00EA4EEC" w:rsidRPr="00FD3680" w:rsidRDefault="00EA4EEC" w:rsidP="00FC3F87">
      <w:pPr>
        <w:spacing w:after="0" w:line="240" w:lineRule="auto"/>
        <w:jc w:val="both"/>
        <w:rPr>
          <w:rFonts w:ascii="Times New Roman" w:hAnsi="Times New Roman" w:cs="Times New Roman"/>
          <w:sz w:val="24"/>
          <w:szCs w:val="24"/>
        </w:rPr>
      </w:pPr>
    </w:p>
    <w:p w:rsidR="003365FF" w:rsidRPr="00FD3680" w:rsidRDefault="003365FF" w:rsidP="00FC3F87">
      <w:pPr>
        <w:spacing w:after="0" w:line="240" w:lineRule="auto"/>
        <w:jc w:val="both"/>
        <w:rPr>
          <w:rFonts w:ascii="Times New Roman" w:hAnsi="Times New Roman" w:cs="Times New Roman"/>
          <w:sz w:val="24"/>
          <w:szCs w:val="24"/>
        </w:rPr>
      </w:pPr>
    </w:p>
    <w:p w:rsidR="00C95413" w:rsidRPr="00FD3680" w:rsidRDefault="00C95413" w:rsidP="0045269F">
      <w:pPr>
        <w:spacing w:after="0" w:line="240" w:lineRule="auto"/>
        <w:jc w:val="right"/>
        <w:rPr>
          <w:rFonts w:ascii="Times New Roman" w:hAnsi="Times New Roman" w:cs="Times New Roman"/>
          <w:sz w:val="20"/>
          <w:szCs w:val="20"/>
        </w:rPr>
      </w:pPr>
    </w:p>
    <w:p w:rsidR="00C95413" w:rsidRPr="00FD3680" w:rsidRDefault="00C95413" w:rsidP="0045269F">
      <w:pPr>
        <w:spacing w:after="0" w:line="240" w:lineRule="auto"/>
        <w:jc w:val="right"/>
        <w:rPr>
          <w:rFonts w:ascii="Times New Roman" w:hAnsi="Times New Roman" w:cs="Times New Roman"/>
          <w:sz w:val="20"/>
          <w:szCs w:val="20"/>
        </w:rPr>
      </w:pPr>
    </w:p>
    <w:p w:rsidR="003365FF" w:rsidRPr="00FD3680" w:rsidRDefault="0045269F" w:rsidP="0045269F">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 xml:space="preserve">Zdroj: </w:t>
      </w:r>
      <w:r w:rsidR="00AA1EC3" w:rsidRPr="00FD3680">
        <w:rPr>
          <w:rFonts w:ascii="Times New Roman" w:hAnsi="Times New Roman" w:cs="Times New Roman"/>
          <w:sz w:val="20"/>
          <w:szCs w:val="20"/>
        </w:rPr>
        <w:t>NPPC</w:t>
      </w:r>
    </w:p>
    <w:p w:rsidR="003365FF" w:rsidRPr="00FD3680" w:rsidRDefault="003365FF" w:rsidP="00FC3F87">
      <w:pPr>
        <w:spacing w:after="0" w:line="240" w:lineRule="auto"/>
        <w:jc w:val="both"/>
        <w:rPr>
          <w:rFonts w:ascii="Times New Roman" w:hAnsi="Times New Roman" w:cs="Times New Roman"/>
          <w:sz w:val="24"/>
          <w:szCs w:val="24"/>
        </w:rPr>
      </w:pPr>
    </w:p>
    <w:p w:rsidR="003365FF" w:rsidRPr="00FD3680" w:rsidRDefault="0045269F" w:rsidP="0045269F">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Ďalšou zložkou poľnohospodárskeho pôdneho fondu krajiny je sekundárna poľnohospodárska pôda. Ide o pôdu, ktorú je za predpokladu záujmu spoločnosti možné dočasne použiť na iné ako potravinové účely, pričom takýmto využívaním nedôjde k jej znehodnoteniu. Túto pôdu je možné vyčleniť na alternatívne poľnohospodárske využitie, výrobu bioenergií, na výrobu surovín, na zalesnenie, športové, turistické a rekreačné účely a časť z nej môže byť využitá aj na zábery. Z hľadiska začlenenia do typologicko-produkčných kategórii poľnohospodárskeho pôdneho fondu ide o potenci</w:t>
      </w:r>
      <w:r w:rsidR="00C95413" w:rsidRPr="00FD3680">
        <w:rPr>
          <w:rFonts w:ascii="Times New Roman" w:hAnsi="Times New Roman" w:cs="Times New Roman"/>
          <w:sz w:val="24"/>
          <w:szCs w:val="24"/>
        </w:rPr>
        <w:t xml:space="preserve">álne striedavé polia </w:t>
      </w:r>
      <w:r w:rsidRPr="00FD3680">
        <w:rPr>
          <w:rFonts w:ascii="Times New Roman" w:hAnsi="Times New Roman" w:cs="Times New Roman"/>
          <w:sz w:val="24"/>
          <w:szCs w:val="24"/>
        </w:rPr>
        <w:t>a produkčné trávne porasty, potenciálne trávne porasty a pre agroekosystémy nevhodné územia. Ide o pôdy s priemernou bodovou hodnotou 29,43 BPEJ.</w:t>
      </w:r>
    </w:p>
    <w:p w:rsidR="0045269F" w:rsidRPr="00FD3680" w:rsidRDefault="0045269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07521F" w:rsidRPr="00FD3680" w:rsidRDefault="0007521F" w:rsidP="0045269F">
      <w:pPr>
        <w:spacing w:after="0" w:line="240" w:lineRule="auto"/>
        <w:jc w:val="both"/>
        <w:rPr>
          <w:rFonts w:ascii="Times New Roman" w:hAnsi="Times New Roman" w:cs="Times New Roman"/>
          <w:sz w:val="24"/>
          <w:szCs w:val="24"/>
        </w:rPr>
      </w:pPr>
    </w:p>
    <w:p w:rsidR="0045269F" w:rsidRPr="00FD3680" w:rsidRDefault="00C95413" w:rsidP="0045269F">
      <w:pPr>
        <w:spacing w:after="0" w:line="240" w:lineRule="auto"/>
        <w:jc w:val="both"/>
        <w:rPr>
          <w:rFonts w:ascii="Times New Roman" w:hAnsi="Times New Roman" w:cs="Times New Roman"/>
          <w:sz w:val="20"/>
          <w:szCs w:val="20"/>
        </w:rPr>
      </w:pPr>
      <w:r w:rsidRPr="00FD3680">
        <w:rPr>
          <w:rFonts w:ascii="Times New Roman" w:hAnsi="Times New Roman" w:cs="Times New Roman"/>
          <w:noProof/>
          <w:sz w:val="24"/>
          <w:szCs w:val="24"/>
          <w:lang w:eastAsia="sk-SK"/>
        </w:rPr>
        <w:lastRenderedPageBreak/>
        <w:drawing>
          <wp:anchor distT="0" distB="0" distL="114300" distR="114300" simplePos="0" relativeHeight="251659264" behindDoc="1" locked="0" layoutInCell="1" allowOverlap="1" wp14:anchorId="34BE6ED6" wp14:editId="08AECABB">
            <wp:simplePos x="0" y="0"/>
            <wp:positionH relativeFrom="column">
              <wp:posOffset>-1299</wp:posOffset>
            </wp:positionH>
            <wp:positionV relativeFrom="paragraph">
              <wp:posOffset>82384</wp:posOffset>
            </wp:positionV>
            <wp:extent cx="4086971" cy="232597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undarna P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6608" cy="2325769"/>
                    </a:xfrm>
                    <a:prstGeom prst="rect">
                      <a:avLst/>
                    </a:prstGeom>
                  </pic:spPr>
                </pic:pic>
              </a:graphicData>
            </a:graphic>
          </wp:anchor>
        </w:drawing>
      </w:r>
      <w:r w:rsidR="0045269F" w:rsidRPr="00FD3680">
        <w:rPr>
          <w:rFonts w:ascii="Times New Roman" w:hAnsi="Times New Roman" w:cs="Times New Roman"/>
          <w:sz w:val="20"/>
          <w:szCs w:val="20"/>
        </w:rPr>
        <w:t>Obr. č. 2: Mapa sekundárnej poľnohospodárskej pôdy</w:t>
      </w:r>
    </w:p>
    <w:p w:rsidR="0045269F" w:rsidRPr="00FD3680" w:rsidRDefault="0045269F" w:rsidP="00FC3F87">
      <w:pPr>
        <w:spacing w:after="0" w:line="240" w:lineRule="auto"/>
        <w:jc w:val="both"/>
        <w:rPr>
          <w:rFonts w:ascii="Times New Roman" w:hAnsi="Times New Roman" w:cs="Times New Roman"/>
          <w:sz w:val="24"/>
          <w:szCs w:val="24"/>
        </w:rPr>
      </w:pPr>
    </w:p>
    <w:p w:rsidR="0045269F" w:rsidRPr="00FD3680" w:rsidRDefault="0045269F" w:rsidP="00FC3F87">
      <w:pPr>
        <w:spacing w:after="0" w:line="240" w:lineRule="auto"/>
        <w:jc w:val="both"/>
        <w:rPr>
          <w:rFonts w:ascii="Times New Roman" w:hAnsi="Times New Roman" w:cs="Times New Roman"/>
          <w:sz w:val="24"/>
          <w:szCs w:val="24"/>
        </w:rPr>
      </w:pPr>
    </w:p>
    <w:p w:rsidR="0045269F" w:rsidRPr="00FD3680" w:rsidRDefault="0045269F" w:rsidP="00FC3F87">
      <w:pPr>
        <w:spacing w:after="0" w:line="240" w:lineRule="auto"/>
        <w:jc w:val="both"/>
        <w:rPr>
          <w:rFonts w:ascii="Times New Roman" w:hAnsi="Times New Roman" w:cs="Times New Roman"/>
          <w:sz w:val="24"/>
          <w:szCs w:val="24"/>
        </w:rPr>
      </w:pPr>
    </w:p>
    <w:p w:rsidR="0045269F" w:rsidRPr="00FD3680" w:rsidRDefault="0045269F" w:rsidP="00FC3F87">
      <w:pPr>
        <w:spacing w:after="0" w:line="240" w:lineRule="auto"/>
        <w:jc w:val="both"/>
        <w:rPr>
          <w:rFonts w:ascii="Times New Roman" w:hAnsi="Times New Roman" w:cs="Times New Roman"/>
          <w:sz w:val="24"/>
          <w:szCs w:val="24"/>
        </w:rPr>
      </w:pPr>
    </w:p>
    <w:p w:rsidR="0045269F" w:rsidRPr="00FD3680" w:rsidRDefault="0045269F" w:rsidP="00FC3F87">
      <w:pPr>
        <w:spacing w:after="0" w:line="240" w:lineRule="auto"/>
        <w:jc w:val="both"/>
        <w:rPr>
          <w:rFonts w:ascii="Times New Roman" w:hAnsi="Times New Roman" w:cs="Times New Roman"/>
          <w:sz w:val="24"/>
          <w:szCs w:val="24"/>
        </w:rPr>
      </w:pPr>
    </w:p>
    <w:tbl>
      <w:tblPr>
        <w:tblStyle w:val="Mriekatabuky"/>
        <w:tblpPr w:leftFromText="141" w:rightFromText="141" w:vertAnchor="text" w:horzAnchor="margin" w:tblpXSpec="right" w:tblpY="336"/>
        <w:tblW w:w="28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09"/>
        <w:gridCol w:w="993"/>
      </w:tblGrid>
      <w:tr w:rsidR="00FD3680" w:rsidRPr="00FD3680" w:rsidTr="00C95413">
        <w:tc>
          <w:tcPr>
            <w:tcW w:w="1809" w:type="dxa"/>
            <w:shd w:val="clear" w:color="auto" w:fill="auto"/>
          </w:tcPr>
          <w:p w:rsidR="00C95413" w:rsidRPr="00FD3680" w:rsidRDefault="00C95413" w:rsidP="00C95413">
            <w:pPr>
              <w:jc w:val="center"/>
              <w:rPr>
                <w:rFonts w:ascii="Times New Roman" w:hAnsi="Times New Roman" w:cs="Times New Roman"/>
                <w:b/>
                <w:sz w:val="18"/>
                <w:szCs w:val="18"/>
              </w:rPr>
            </w:pPr>
          </w:p>
        </w:tc>
        <w:tc>
          <w:tcPr>
            <w:tcW w:w="993" w:type="dxa"/>
            <w:shd w:val="clear" w:color="auto" w:fill="auto"/>
          </w:tcPr>
          <w:p w:rsidR="00C95413" w:rsidRPr="00FD3680" w:rsidRDefault="00C95413" w:rsidP="00C95413">
            <w:pPr>
              <w:jc w:val="center"/>
              <w:rPr>
                <w:rFonts w:ascii="Times New Roman" w:hAnsi="Times New Roman" w:cs="Times New Roman"/>
                <w:b/>
                <w:sz w:val="18"/>
                <w:szCs w:val="18"/>
              </w:rPr>
            </w:pPr>
            <w:r w:rsidRPr="00FD3680">
              <w:rPr>
                <w:rFonts w:ascii="Times New Roman" w:hAnsi="Times New Roman" w:cs="Times New Roman"/>
                <w:b/>
                <w:sz w:val="18"/>
                <w:szCs w:val="18"/>
              </w:rPr>
              <w:t>v ha</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Bratislavský kraj</w:t>
            </w:r>
          </w:p>
        </w:tc>
        <w:tc>
          <w:tcPr>
            <w:tcW w:w="993" w:type="dxa"/>
            <w:shd w:val="clear" w:color="auto" w:fill="auto"/>
          </w:tcPr>
          <w:p w:rsidR="00C95413" w:rsidRPr="00FD3680" w:rsidRDefault="00C95413" w:rsidP="00C95413">
            <w:pPr>
              <w:jc w:val="right"/>
              <w:rPr>
                <w:rFonts w:ascii="Times New Roman" w:hAnsi="Times New Roman" w:cs="Times New Roman"/>
                <w:sz w:val="18"/>
                <w:szCs w:val="18"/>
              </w:rPr>
            </w:pPr>
            <w:r w:rsidRPr="00FD3680">
              <w:rPr>
                <w:rFonts w:ascii="Times New Roman" w:hAnsi="Times New Roman" w:cs="Times New Roman"/>
                <w:sz w:val="18"/>
                <w:szCs w:val="18"/>
              </w:rPr>
              <w:t>5 493</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Trnavský kraj</w:t>
            </w:r>
          </w:p>
        </w:tc>
        <w:tc>
          <w:tcPr>
            <w:tcW w:w="993" w:type="dxa"/>
            <w:shd w:val="clear" w:color="auto" w:fill="auto"/>
          </w:tcPr>
          <w:p w:rsidR="00C95413" w:rsidRPr="00FD3680" w:rsidRDefault="0003457D" w:rsidP="00C95413">
            <w:pPr>
              <w:jc w:val="right"/>
              <w:rPr>
                <w:rFonts w:ascii="Times New Roman" w:hAnsi="Times New Roman" w:cs="Times New Roman"/>
                <w:sz w:val="18"/>
                <w:szCs w:val="18"/>
              </w:rPr>
            </w:pPr>
            <w:r w:rsidRPr="00FD3680">
              <w:rPr>
                <w:rFonts w:ascii="Times New Roman" w:hAnsi="Times New Roman" w:cs="Times New Roman"/>
                <w:sz w:val="18"/>
                <w:szCs w:val="18"/>
              </w:rPr>
              <w:t>17 431</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Nitriansky kraj</w:t>
            </w:r>
          </w:p>
        </w:tc>
        <w:tc>
          <w:tcPr>
            <w:tcW w:w="993" w:type="dxa"/>
            <w:shd w:val="clear" w:color="auto" w:fill="auto"/>
          </w:tcPr>
          <w:p w:rsidR="00C95413" w:rsidRPr="00FD3680" w:rsidRDefault="0003457D" w:rsidP="00C95413">
            <w:pPr>
              <w:jc w:val="right"/>
              <w:rPr>
                <w:rFonts w:ascii="Times New Roman" w:hAnsi="Times New Roman" w:cs="Times New Roman"/>
                <w:sz w:val="18"/>
                <w:szCs w:val="18"/>
              </w:rPr>
            </w:pPr>
            <w:r w:rsidRPr="00FD3680">
              <w:rPr>
                <w:rFonts w:ascii="Times New Roman" w:hAnsi="Times New Roman" w:cs="Times New Roman"/>
                <w:sz w:val="18"/>
                <w:szCs w:val="18"/>
              </w:rPr>
              <w:t>18 779</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Trenčiansky kraj</w:t>
            </w:r>
          </w:p>
        </w:tc>
        <w:tc>
          <w:tcPr>
            <w:tcW w:w="993" w:type="dxa"/>
            <w:shd w:val="clear" w:color="auto" w:fill="auto"/>
          </w:tcPr>
          <w:p w:rsidR="00C95413" w:rsidRPr="00FD3680" w:rsidRDefault="0003457D" w:rsidP="00C95413">
            <w:pPr>
              <w:jc w:val="right"/>
              <w:rPr>
                <w:rFonts w:ascii="Times New Roman" w:hAnsi="Times New Roman" w:cs="Times New Roman"/>
                <w:sz w:val="18"/>
                <w:szCs w:val="18"/>
              </w:rPr>
            </w:pPr>
            <w:r w:rsidRPr="00FD3680">
              <w:rPr>
                <w:rFonts w:ascii="Times New Roman" w:hAnsi="Times New Roman" w:cs="Times New Roman"/>
                <w:sz w:val="18"/>
                <w:szCs w:val="18"/>
              </w:rPr>
              <w:t>63 754</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Žilinský kraj</w:t>
            </w:r>
          </w:p>
        </w:tc>
        <w:tc>
          <w:tcPr>
            <w:tcW w:w="993" w:type="dxa"/>
            <w:shd w:val="clear" w:color="auto" w:fill="auto"/>
          </w:tcPr>
          <w:p w:rsidR="00C95413" w:rsidRPr="00FD3680" w:rsidRDefault="0003457D" w:rsidP="00C95413">
            <w:pPr>
              <w:jc w:val="right"/>
              <w:rPr>
                <w:rFonts w:ascii="Times New Roman" w:hAnsi="Times New Roman" w:cs="Times New Roman"/>
                <w:sz w:val="18"/>
                <w:szCs w:val="18"/>
              </w:rPr>
            </w:pPr>
            <w:r w:rsidRPr="00FD3680">
              <w:rPr>
                <w:rFonts w:ascii="Times New Roman" w:hAnsi="Times New Roman" w:cs="Times New Roman"/>
                <w:sz w:val="18"/>
                <w:szCs w:val="18"/>
              </w:rPr>
              <w:t>154 593</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Banskobystrický kraj</w:t>
            </w:r>
          </w:p>
        </w:tc>
        <w:tc>
          <w:tcPr>
            <w:tcW w:w="993" w:type="dxa"/>
            <w:shd w:val="clear" w:color="auto" w:fill="auto"/>
          </w:tcPr>
          <w:p w:rsidR="00C95413" w:rsidRPr="00FD3680" w:rsidRDefault="0003457D" w:rsidP="00C95413">
            <w:pPr>
              <w:jc w:val="right"/>
              <w:rPr>
                <w:rFonts w:ascii="Times New Roman" w:hAnsi="Times New Roman" w:cs="Times New Roman"/>
                <w:sz w:val="18"/>
                <w:szCs w:val="18"/>
              </w:rPr>
            </w:pPr>
            <w:r w:rsidRPr="00FD3680">
              <w:rPr>
                <w:rFonts w:ascii="Times New Roman" w:hAnsi="Times New Roman" w:cs="Times New Roman"/>
                <w:sz w:val="18"/>
                <w:szCs w:val="18"/>
              </w:rPr>
              <w:t>157 417</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Prešovský kraj</w:t>
            </w:r>
          </w:p>
        </w:tc>
        <w:tc>
          <w:tcPr>
            <w:tcW w:w="993" w:type="dxa"/>
            <w:shd w:val="clear" w:color="auto" w:fill="auto"/>
          </w:tcPr>
          <w:p w:rsidR="00C95413" w:rsidRPr="00FD3680" w:rsidRDefault="0003457D" w:rsidP="00C95413">
            <w:pPr>
              <w:jc w:val="right"/>
              <w:rPr>
                <w:rFonts w:ascii="Times New Roman" w:hAnsi="Times New Roman" w:cs="Times New Roman"/>
                <w:sz w:val="18"/>
                <w:szCs w:val="18"/>
              </w:rPr>
            </w:pPr>
            <w:r w:rsidRPr="00FD3680">
              <w:rPr>
                <w:rFonts w:ascii="Times New Roman" w:hAnsi="Times New Roman" w:cs="Times New Roman"/>
                <w:sz w:val="18"/>
                <w:szCs w:val="18"/>
              </w:rPr>
              <w:t>196 645</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sz w:val="18"/>
                <w:szCs w:val="18"/>
              </w:rPr>
            </w:pPr>
            <w:r w:rsidRPr="00FD3680">
              <w:rPr>
                <w:rFonts w:ascii="Times New Roman" w:hAnsi="Times New Roman" w:cs="Times New Roman"/>
                <w:sz w:val="18"/>
                <w:szCs w:val="18"/>
              </w:rPr>
              <w:t>Košický kraj</w:t>
            </w:r>
          </w:p>
        </w:tc>
        <w:tc>
          <w:tcPr>
            <w:tcW w:w="993" w:type="dxa"/>
            <w:shd w:val="clear" w:color="auto" w:fill="auto"/>
          </w:tcPr>
          <w:p w:rsidR="00C95413" w:rsidRPr="00FD3680" w:rsidRDefault="0003457D" w:rsidP="00C95413">
            <w:pPr>
              <w:jc w:val="right"/>
              <w:rPr>
                <w:rFonts w:ascii="Times New Roman" w:hAnsi="Times New Roman" w:cs="Times New Roman"/>
                <w:sz w:val="18"/>
                <w:szCs w:val="18"/>
              </w:rPr>
            </w:pPr>
            <w:r w:rsidRPr="00FD3680">
              <w:rPr>
                <w:rFonts w:ascii="Times New Roman" w:hAnsi="Times New Roman" w:cs="Times New Roman"/>
                <w:sz w:val="18"/>
                <w:szCs w:val="18"/>
              </w:rPr>
              <w:t>81 926</w:t>
            </w:r>
          </w:p>
        </w:tc>
      </w:tr>
      <w:tr w:rsidR="00FD3680" w:rsidRPr="00FD3680" w:rsidTr="00C95413">
        <w:tc>
          <w:tcPr>
            <w:tcW w:w="1809" w:type="dxa"/>
            <w:shd w:val="clear" w:color="auto" w:fill="auto"/>
          </w:tcPr>
          <w:p w:rsidR="00C95413" w:rsidRPr="00FD3680" w:rsidRDefault="00C95413" w:rsidP="00C95413">
            <w:pPr>
              <w:jc w:val="both"/>
              <w:rPr>
                <w:rFonts w:ascii="Times New Roman" w:hAnsi="Times New Roman" w:cs="Times New Roman"/>
                <w:b/>
                <w:sz w:val="18"/>
                <w:szCs w:val="18"/>
              </w:rPr>
            </w:pPr>
            <w:r w:rsidRPr="00FD3680">
              <w:rPr>
                <w:rFonts w:ascii="Times New Roman" w:hAnsi="Times New Roman" w:cs="Times New Roman"/>
                <w:b/>
                <w:sz w:val="18"/>
                <w:szCs w:val="18"/>
              </w:rPr>
              <w:t>CELKOM</w:t>
            </w:r>
          </w:p>
        </w:tc>
        <w:tc>
          <w:tcPr>
            <w:tcW w:w="993" w:type="dxa"/>
            <w:shd w:val="clear" w:color="auto" w:fill="auto"/>
          </w:tcPr>
          <w:p w:rsidR="00C95413" w:rsidRPr="00FD3680" w:rsidRDefault="0003457D" w:rsidP="00C95413">
            <w:pPr>
              <w:jc w:val="right"/>
              <w:rPr>
                <w:rFonts w:ascii="Times New Roman" w:hAnsi="Times New Roman" w:cs="Times New Roman"/>
                <w:b/>
                <w:sz w:val="18"/>
                <w:szCs w:val="18"/>
              </w:rPr>
            </w:pPr>
            <w:r w:rsidRPr="00FD3680">
              <w:rPr>
                <w:rFonts w:ascii="Times New Roman" w:hAnsi="Times New Roman" w:cs="Times New Roman"/>
                <w:b/>
                <w:sz w:val="18"/>
                <w:szCs w:val="18"/>
              </w:rPr>
              <w:t>696 038</w:t>
            </w:r>
          </w:p>
        </w:tc>
      </w:tr>
    </w:tbl>
    <w:p w:rsidR="0045269F" w:rsidRPr="00FD3680" w:rsidRDefault="0045269F" w:rsidP="00FC3F87">
      <w:pPr>
        <w:spacing w:after="0" w:line="240" w:lineRule="auto"/>
        <w:jc w:val="both"/>
        <w:rPr>
          <w:rFonts w:ascii="Times New Roman" w:hAnsi="Times New Roman" w:cs="Times New Roman"/>
          <w:sz w:val="24"/>
          <w:szCs w:val="24"/>
        </w:rPr>
      </w:pPr>
    </w:p>
    <w:p w:rsidR="0045269F" w:rsidRPr="00FD3680" w:rsidRDefault="0045269F" w:rsidP="00FC3F87">
      <w:pPr>
        <w:spacing w:after="0" w:line="240" w:lineRule="auto"/>
        <w:jc w:val="both"/>
        <w:rPr>
          <w:rFonts w:ascii="Times New Roman" w:hAnsi="Times New Roman" w:cs="Times New Roman"/>
          <w:sz w:val="24"/>
          <w:szCs w:val="24"/>
        </w:rPr>
      </w:pPr>
    </w:p>
    <w:p w:rsidR="0045269F" w:rsidRPr="00FD3680" w:rsidRDefault="0045269F"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C95413">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 xml:space="preserve">Zdroj: </w:t>
      </w:r>
      <w:r w:rsidR="00AA1EC3" w:rsidRPr="00FD3680">
        <w:rPr>
          <w:rFonts w:ascii="Times New Roman" w:hAnsi="Times New Roman" w:cs="Times New Roman"/>
          <w:sz w:val="20"/>
          <w:szCs w:val="20"/>
        </w:rPr>
        <w:t>NPPC</w:t>
      </w: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A1222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Poslednou zložkou </w:t>
      </w:r>
      <w:r w:rsidR="00A1222C" w:rsidRPr="00FD3680">
        <w:rPr>
          <w:rFonts w:ascii="Times New Roman" w:hAnsi="Times New Roman" w:cs="Times New Roman"/>
          <w:sz w:val="24"/>
          <w:szCs w:val="24"/>
        </w:rPr>
        <w:t>poľnohospodárskych pôd je ostatná poľnohospodárska pôda, Je to pôda, ktorá by mala byť prednostne využívaná na alternatívne poľnohospodárske využitie, na pestovanie energetických plodín a rôzne nebiologické účely - športové, turistické, rekreačné a na zábery. Z metodického hľadiska ide o pôdu, ktorá nie je registrovaná v LPIS, ale patrí do poľnohospodárskeho pôdneho fondu.</w:t>
      </w:r>
    </w:p>
    <w:p w:rsidR="00A1222C" w:rsidRPr="00FD3680" w:rsidRDefault="00A1222C" w:rsidP="00A1222C">
      <w:pPr>
        <w:spacing w:after="0" w:line="240" w:lineRule="auto"/>
        <w:jc w:val="both"/>
        <w:rPr>
          <w:rFonts w:ascii="Times New Roman" w:hAnsi="Times New Roman" w:cs="Times New Roman"/>
          <w:sz w:val="24"/>
          <w:szCs w:val="24"/>
        </w:rPr>
      </w:pPr>
    </w:p>
    <w:p w:rsidR="008962D8" w:rsidRPr="00FD3680" w:rsidRDefault="008962D8" w:rsidP="00A1222C">
      <w:pPr>
        <w:spacing w:after="0" w:line="240" w:lineRule="auto"/>
        <w:jc w:val="both"/>
        <w:rPr>
          <w:rFonts w:ascii="Times New Roman" w:hAnsi="Times New Roman" w:cs="Times New Roman"/>
          <w:sz w:val="24"/>
          <w:szCs w:val="24"/>
        </w:rPr>
      </w:pPr>
    </w:p>
    <w:p w:rsidR="00A1222C" w:rsidRPr="00FD3680" w:rsidRDefault="00A1222C" w:rsidP="00A1222C">
      <w:pPr>
        <w:spacing w:after="0" w:line="240" w:lineRule="auto"/>
        <w:jc w:val="both"/>
        <w:rPr>
          <w:rFonts w:ascii="Times New Roman" w:hAnsi="Times New Roman" w:cs="Times New Roman"/>
          <w:sz w:val="20"/>
          <w:szCs w:val="20"/>
        </w:rPr>
      </w:pPr>
      <w:r w:rsidRPr="00FD3680">
        <w:rPr>
          <w:rFonts w:ascii="Times New Roman" w:hAnsi="Times New Roman" w:cs="Times New Roman"/>
          <w:noProof/>
          <w:sz w:val="24"/>
          <w:szCs w:val="24"/>
          <w:lang w:eastAsia="sk-SK"/>
        </w:rPr>
        <w:drawing>
          <wp:anchor distT="0" distB="0" distL="114300" distR="114300" simplePos="0" relativeHeight="251660288" behindDoc="1" locked="0" layoutInCell="1" allowOverlap="1" wp14:anchorId="34A42A3F" wp14:editId="18F58336">
            <wp:simplePos x="0" y="0"/>
            <wp:positionH relativeFrom="column">
              <wp:posOffset>-1298</wp:posOffset>
            </wp:positionH>
            <wp:positionV relativeFrom="paragraph">
              <wp:posOffset>61319</wp:posOffset>
            </wp:positionV>
            <wp:extent cx="4047214" cy="2303990"/>
            <wp:effectExtent l="0" t="0" r="0" b="127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atna P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47214" cy="2303990"/>
                    </a:xfrm>
                    <a:prstGeom prst="rect">
                      <a:avLst/>
                    </a:prstGeom>
                  </pic:spPr>
                </pic:pic>
              </a:graphicData>
            </a:graphic>
          </wp:anchor>
        </w:drawing>
      </w:r>
      <w:r w:rsidRPr="00FD3680">
        <w:rPr>
          <w:rFonts w:ascii="Times New Roman" w:hAnsi="Times New Roman" w:cs="Times New Roman"/>
          <w:sz w:val="20"/>
          <w:szCs w:val="20"/>
        </w:rPr>
        <w:t>Obr. č. 3: Mapa ostatnej poľnohospodárskej pôdy</w:t>
      </w:r>
    </w:p>
    <w:p w:rsidR="00A1222C" w:rsidRPr="00FD3680" w:rsidRDefault="00A1222C" w:rsidP="00A1222C">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tbl>
      <w:tblPr>
        <w:tblStyle w:val="Mriekatabuky"/>
        <w:tblpPr w:leftFromText="141" w:rightFromText="141" w:vertAnchor="text" w:horzAnchor="margin" w:tblpXSpec="right" w:tblpY="-9"/>
        <w:tblW w:w="28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09"/>
        <w:gridCol w:w="993"/>
      </w:tblGrid>
      <w:tr w:rsidR="00FD3680" w:rsidRPr="00FD3680" w:rsidTr="00A1222C">
        <w:tc>
          <w:tcPr>
            <w:tcW w:w="1809" w:type="dxa"/>
            <w:shd w:val="clear" w:color="auto" w:fill="auto"/>
          </w:tcPr>
          <w:p w:rsidR="00A1222C" w:rsidRPr="00FD3680" w:rsidRDefault="00A1222C" w:rsidP="00A1222C">
            <w:pPr>
              <w:jc w:val="center"/>
              <w:rPr>
                <w:rFonts w:ascii="Times New Roman" w:hAnsi="Times New Roman" w:cs="Times New Roman"/>
                <w:b/>
                <w:sz w:val="18"/>
                <w:szCs w:val="18"/>
              </w:rPr>
            </w:pPr>
          </w:p>
        </w:tc>
        <w:tc>
          <w:tcPr>
            <w:tcW w:w="993" w:type="dxa"/>
            <w:shd w:val="clear" w:color="auto" w:fill="auto"/>
          </w:tcPr>
          <w:p w:rsidR="00A1222C" w:rsidRPr="00FD3680" w:rsidRDefault="00A1222C" w:rsidP="00A1222C">
            <w:pPr>
              <w:jc w:val="center"/>
              <w:rPr>
                <w:rFonts w:ascii="Times New Roman" w:hAnsi="Times New Roman" w:cs="Times New Roman"/>
                <w:b/>
                <w:sz w:val="18"/>
                <w:szCs w:val="18"/>
              </w:rPr>
            </w:pPr>
            <w:r w:rsidRPr="00FD3680">
              <w:rPr>
                <w:rFonts w:ascii="Times New Roman" w:hAnsi="Times New Roman" w:cs="Times New Roman"/>
                <w:b/>
                <w:sz w:val="18"/>
                <w:szCs w:val="18"/>
              </w:rPr>
              <w:t>v ha</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Bratislavský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10 103</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Trnavský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12 718</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Nitriansky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34 378</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Trenčiansky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27 217</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Žilinský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61 700</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Banskobystrický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85 587</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Prešovský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87 673</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sz w:val="18"/>
                <w:szCs w:val="18"/>
              </w:rPr>
            </w:pPr>
            <w:r w:rsidRPr="00FD3680">
              <w:rPr>
                <w:rFonts w:ascii="Times New Roman" w:hAnsi="Times New Roman" w:cs="Times New Roman"/>
                <w:sz w:val="18"/>
                <w:szCs w:val="18"/>
              </w:rPr>
              <w:t>Košický kraj</w:t>
            </w:r>
          </w:p>
        </w:tc>
        <w:tc>
          <w:tcPr>
            <w:tcW w:w="993" w:type="dxa"/>
            <w:shd w:val="clear" w:color="auto" w:fill="auto"/>
          </w:tcPr>
          <w:p w:rsidR="00A1222C" w:rsidRPr="00FD3680" w:rsidRDefault="00A1222C" w:rsidP="00A1222C">
            <w:pPr>
              <w:jc w:val="right"/>
              <w:rPr>
                <w:rFonts w:ascii="Times New Roman" w:hAnsi="Times New Roman" w:cs="Times New Roman"/>
                <w:sz w:val="18"/>
                <w:szCs w:val="18"/>
              </w:rPr>
            </w:pPr>
            <w:r w:rsidRPr="00FD3680">
              <w:rPr>
                <w:rFonts w:ascii="Times New Roman" w:hAnsi="Times New Roman" w:cs="Times New Roman"/>
                <w:sz w:val="18"/>
                <w:szCs w:val="18"/>
              </w:rPr>
              <w:t>49 713</w:t>
            </w:r>
          </w:p>
        </w:tc>
      </w:tr>
      <w:tr w:rsidR="00FD3680" w:rsidRPr="00FD3680" w:rsidTr="00A1222C">
        <w:tc>
          <w:tcPr>
            <w:tcW w:w="1809" w:type="dxa"/>
            <w:shd w:val="clear" w:color="auto" w:fill="auto"/>
          </w:tcPr>
          <w:p w:rsidR="00A1222C" w:rsidRPr="00FD3680" w:rsidRDefault="00A1222C" w:rsidP="00A1222C">
            <w:pPr>
              <w:jc w:val="both"/>
              <w:rPr>
                <w:rFonts w:ascii="Times New Roman" w:hAnsi="Times New Roman" w:cs="Times New Roman"/>
                <w:b/>
                <w:sz w:val="18"/>
                <w:szCs w:val="18"/>
              </w:rPr>
            </w:pPr>
            <w:r w:rsidRPr="00FD3680">
              <w:rPr>
                <w:rFonts w:ascii="Times New Roman" w:hAnsi="Times New Roman" w:cs="Times New Roman"/>
                <w:b/>
                <w:sz w:val="18"/>
                <w:szCs w:val="18"/>
              </w:rPr>
              <w:t>CELKOM</w:t>
            </w:r>
          </w:p>
        </w:tc>
        <w:tc>
          <w:tcPr>
            <w:tcW w:w="993" w:type="dxa"/>
            <w:shd w:val="clear" w:color="auto" w:fill="auto"/>
          </w:tcPr>
          <w:p w:rsidR="00A1222C" w:rsidRPr="00FD3680" w:rsidRDefault="00252A3D" w:rsidP="00A1222C">
            <w:pPr>
              <w:jc w:val="right"/>
              <w:rPr>
                <w:rFonts w:ascii="Times New Roman" w:hAnsi="Times New Roman" w:cs="Times New Roman"/>
                <w:b/>
                <w:sz w:val="18"/>
                <w:szCs w:val="18"/>
              </w:rPr>
            </w:pPr>
            <w:r w:rsidRPr="00FD3680">
              <w:rPr>
                <w:rFonts w:ascii="Times New Roman" w:hAnsi="Times New Roman" w:cs="Times New Roman"/>
                <w:b/>
                <w:sz w:val="18"/>
                <w:szCs w:val="18"/>
              </w:rPr>
              <w:t>369 088</w:t>
            </w:r>
          </w:p>
        </w:tc>
      </w:tr>
    </w:tbl>
    <w:p w:rsidR="00A1222C" w:rsidRPr="00FD3680" w:rsidRDefault="00A1222C"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C95413" w:rsidRPr="00FD3680" w:rsidRDefault="00C95413"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A1222C" w:rsidRPr="00FD3680" w:rsidRDefault="00A1222C" w:rsidP="00FC3F87">
      <w:pPr>
        <w:spacing w:after="0" w:line="240" w:lineRule="auto"/>
        <w:jc w:val="both"/>
        <w:rPr>
          <w:rFonts w:ascii="Times New Roman" w:hAnsi="Times New Roman" w:cs="Times New Roman"/>
          <w:sz w:val="24"/>
          <w:szCs w:val="24"/>
        </w:rPr>
      </w:pPr>
    </w:p>
    <w:p w:rsidR="00252A3D" w:rsidRPr="00FD3680" w:rsidRDefault="00252A3D" w:rsidP="00252A3D">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 xml:space="preserve">Zdroj: </w:t>
      </w:r>
      <w:r w:rsidR="00AA1EC3" w:rsidRPr="00FD3680">
        <w:rPr>
          <w:rFonts w:ascii="Times New Roman" w:hAnsi="Times New Roman" w:cs="Times New Roman"/>
          <w:sz w:val="20"/>
          <w:szCs w:val="20"/>
        </w:rPr>
        <w:t>NPPC</w:t>
      </w:r>
    </w:p>
    <w:p w:rsidR="00A1222C" w:rsidRPr="00FD3680" w:rsidRDefault="00A1222C" w:rsidP="00FC3F87">
      <w:pPr>
        <w:spacing w:after="0" w:line="240" w:lineRule="auto"/>
        <w:jc w:val="both"/>
        <w:rPr>
          <w:rFonts w:ascii="Times New Roman" w:hAnsi="Times New Roman" w:cs="Times New Roman"/>
          <w:sz w:val="24"/>
          <w:szCs w:val="24"/>
        </w:rPr>
      </w:pPr>
    </w:p>
    <w:p w:rsidR="00136ECF" w:rsidRPr="00FD3680" w:rsidRDefault="00B31B70"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Na základe vykonaných analýz je zrejmé, že s</w:t>
      </w:r>
      <w:r w:rsidR="006816B8" w:rsidRPr="00FD3680">
        <w:rPr>
          <w:rFonts w:ascii="Times New Roman" w:hAnsi="Times New Roman" w:cs="Times New Roman"/>
          <w:sz w:val="24"/>
          <w:szCs w:val="24"/>
        </w:rPr>
        <w:t xml:space="preserve">účasný produkčný potenciál </w:t>
      </w:r>
      <w:r w:rsidR="00BE5DC5" w:rsidRPr="00FD3680">
        <w:rPr>
          <w:rFonts w:ascii="Times New Roman" w:hAnsi="Times New Roman" w:cs="Times New Roman"/>
          <w:sz w:val="24"/>
          <w:szCs w:val="24"/>
        </w:rPr>
        <w:t xml:space="preserve">slovenských </w:t>
      </w:r>
      <w:r w:rsidR="006816B8" w:rsidRPr="00FD3680">
        <w:rPr>
          <w:rFonts w:ascii="Times New Roman" w:hAnsi="Times New Roman" w:cs="Times New Roman"/>
          <w:sz w:val="24"/>
          <w:szCs w:val="24"/>
        </w:rPr>
        <w:t>pôd postačuje na krytie potravinovej dostatočnosti asi pre 6,2 mil. obyvateľov.</w:t>
      </w:r>
      <w:r w:rsidR="004D049E" w:rsidRPr="00FD3680">
        <w:rPr>
          <w:rFonts w:ascii="Times New Roman" w:hAnsi="Times New Roman" w:cs="Times New Roman"/>
          <w:sz w:val="24"/>
          <w:szCs w:val="24"/>
        </w:rPr>
        <w:t xml:space="preserve"> Výrazným limitom pre využitie plného potenciálu poľnohospodárskych pôd je predovšetkým </w:t>
      </w:r>
      <w:r w:rsidR="00C77B00" w:rsidRPr="00FD3680">
        <w:rPr>
          <w:rFonts w:ascii="Times New Roman" w:hAnsi="Times New Roman" w:cs="Times New Roman"/>
          <w:sz w:val="24"/>
          <w:szCs w:val="24"/>
        </w:rPr>
        <w:t xml:space="preserve">vysoká rozdrobenosť vlastníctva pôdy, ktorá zhoršuje podnikateľské prostredie a osobitne sťažuje začatie podnikania na pôde. Z tohto dôvodu je prioritné identifikovať v rámci Slovenska tie výmery poľnohospodárskych pôd, ktoré je efektívne využiť na zabezpečenie hlavného cieľa tejto koncepcie. </w:t>
      </w:r>
      <w:r w:rsidR="00796950" w:rsidRPr="00FD3680">
        <w:rPr>
          <w:rFonts w:ascii="Times New Roman" w:hAnsi="Times New Roman" w:cs="Times New Roman"/>
          <w:sz w:val="24"/>
          <w:szCs w:val="24"/>
        </w:rPr>
        <w:t xml:space="preserve">Problémom je, že </w:t>
      </w:r>
      <w:r w:rsidR="00C2211B" w:rsidRPr="00FD3680">
        <w:rPr>
          <w:rFonts w:ascii="Times New Roman" w:hAnsi="Times New Roman" w:cs="Times New Roman"/>
          <w:sz w:val="24"/>
          <w:szCs w:val="24"/>
        </w:rPr>
        <w:t>tá</w:t>
      </w:r>
      <w:r w:rsidR="00796950" w:rsidRPr="00FD3680">
        <w:rPr>
          <w:rFonts w:ascii="Times New Roman" w:hAnsi="Times New Roman" w:cs="Times New Roman"/>
          <w:sz w:val="24"/>
          <w:szCs w:val="24"/>
        </w:rPr>
        <w:t xml:space="preserve"> výmera primárnej a sekundárnej poľnohospodárskej pôdy, ktorej vlastníctvo je viac-menej usporiadané, nie je v súčasnosti k dispozícii na prenájom resp. kúpu. </w:t>
      </w:r>
    </w:p>
    <w:p w:rsidR="00136ECF" w:rsidRPr="00FD3680" w:rsidRDefault="00136ECF" w:rsidP="00FC3F87">
      <w:pPr>
        <w:spacing w:after="0" w:line="240" w:lineRule="auto"/>
        <w:jc w:val="both"/>
        <w:rPr>
          <w:rFonts w:ascii="Times New Roman" w:hAnsi="Times New Roman" w:cs="Times New Roman"/>
          <w:sz w:val="24"/>
          <w:szCs w:val="24"/>
        </w:rPr>
      </w:pPr>
    </w:p>
    <w:p w:rsidR="00136ECF" w:rsidRPr="00FD3680" w:rsidRDefault="00136ECF" w:rsidP="00FC3F8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 xml:space="preserve">Porovnanie celkovej výmery primárnej  </w:t>
      </w:r>
      <w:r w:rsidR="001D6220" w:rsidRPr="00FD3680">
        <w:rPr>
          <w:rFonts w:ascii="Times New Roman" w:hAnsi="Times New Roman" w:cs="Times New Roman"/>
          <w:sz w:val="24"/>
          <w:szCs w:val="24"/>
        </w:rPr>
        <w:t>a sekundárnej poľnohospodárskej</w:t>
      </w:r>
      <w:r w:rsidRPr="00FD3680">
        <w:rPr>
          <w:rFonts w:ascii="Times New Roman" w:hAnsi="Times New Roman" w:cs="Times New Roman"/>
          <w:sz w:val="24"/>
          <w:szCs w:val="24"/>
        </w:rPr>
        <w:t xml:space="preserve"> pôd</w:t>
      </w:r>
      <w:r w:rsidR="001D6220" w:rsidRPr="00FD3680">
        <w:rPr>
          <w:rFonts w:ascii="Times New Roman" w:hAnsi="Times New Roman" w:cs="Times New Roman"/>
          <w:sz w:val="24"/>
          <w:szCs w:val="24"/>
        </w:rPr>
        <w:t>y a výmery poľnohospodárskej pôdy zaevidovanej v LPIS, na ktorej obhospodarovanie poľnohospodárske subjekty poberajú dotácie v rámci I. piliera spoločnej poľnohospodárskej politiky tento problém veľmi zreteľne popisuje. Z celkovej výmery primárnej a sekundárnej poľnohospodárskej pôdy je až</w:t>
      </w:r>
      <w:r w:rsidR="00632356" w:rsidRPr="00FD3680">
        <w:rPr>
          <w:rFonts w:ascii="Times New Roman" w:hAnsi="Times New Roman" w:cs="Times New Roman"/>
          <w:sz w:val="24"/>
          <w:szCs w:val="24"/>
        </w:rPr>
        <w:t xml:space="preserve"> </w:t>
      </w:r>
      <w:r w:rsidR="001D6220" w:rsidRPr="00FD3680">
        <w:rPr>
          <w:rFonts w:ascii="Times New Roman" w:hAnsi="Times New Roman" w:cs="Times New Roman"/>
          <w:sz w:val="24"/>
          <w:szCs w:val="24"/>
        </w:rPr>
        <w:t xml:space="preserve"> 92 % využívanej na poľnohospodárske činnosti. Ostatných 8 %</w:t>
      </w:r>
      <w:r w:rsidR="00A662A5" w:rsidRPr="00FD3680">
        <w:rPr>
          <w:rFonts w:ascii="Times New Roman" w:hAnsi="Times New Roman" w:cs="Times New Roman"/>
          <w:sz w:val="24"/>
          <w:szCs w:val="24"/>
        </w:rPr>
        <w:t xml:space="preserve"> tvorí pôda využívaná na výrobu surovín, na zalesnenie, športové, turistické a rekreačné účely a pôda určená na zábery.</w:t>
      </w:r>
    </w:p>
    <w:p w:rsidR="0085230A" w:rsidRPr="00FD3680" w:rsidRDefault="0085230A" w:rsidP="002C3189">
      <w:pPr>
        <w:spacing w:after="0" w:line="240" w:lineRule="auto"/>
        <w:jc w:val="both"/>
        <w:rPr>
          <w:rFonts w:ascii="Times New Roman" w:hAnsi="Times New Roman" w:cs="Times New Roman"/>
          <w:sz w:val="24"/>
          <w:szCs w:val="24"/>
        </w:rPr>
      </w:pPr>
    </w:p>
    <w:p w:rsidR="0013209D" w:rsidRPr="00FD3680" w:rsidRDefault="0013209D" w:rsidP="00771A68">
      <w:pPr>
        <w:pStyle w:val="Nadpis2"/>
        <w:numPr>
          <w:ilvl w:val="1"/>
          <w:numId w:val="36"/>
        </w:numPr>
        <w:rPr>
          <w:rFonts w:cs="Times New Roman"/>
          <w:b w:val="0"/>
          <w:szCs w:val="28"/>
        </w:rPr>
      </w:pPr>
      <w:bookmarkStart w:id="4" w:name="_Toc394589417"/>
      <w:r w:rsidRPr="00FD3680">
        <w:t>Kapitálové vybavenie</w:t>
      </w:r>
      <w:bookmarkEnd w:id="4"/>
    </w:p>
    <w:p w:rsidR="00FC3F87" w:rsidRPr="00FD3680" w:rsidRDefault="00FC3F87" w:rsidP="002C3189">
      <w:pPr>
        <w:spacing w:after="0" w:line="240" w:lineRule="auto"/>
        <w:jc w:val="both"/>
        <w:rPr>
          <w:rFonts w:ascii="Times New Roman" w:hAnsi="Times New Roman" w:cs="Times New Roman"/>
          <w:sz w:val="24"/>
          <w:szCs w:val="24"/>
        </w:rPr>
      </w:pPr>
    </w:p>
    <w:p w:rsidR="00A92368" w:rsidRPr="00FD3680" w:rsidRDefault="00A92368" w:rsidP="00D1357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Súčasný stav kapitálového vybavenia slovenských poľnohospodárskych subjektov je z dlhodobého hľadiska nedostatočný, čo sa prejavuje predovšetkým na ich znižujúcej sa konkurencieschopnosti nielen voči poľnohospodárom z</w:t>
      </w:r>
      <w:r w:rsidR="00632356" w:rsidRPr="00FD3680">
        <w:rPr>
          <w:rFonts w:ascii="Times New Roman" w:hAnsi="Times New Roman" w:cs="Times New Roman"/>
          <w:sz w:val="24"/>
          <w:szCs w:val="24"/>
        </w:rPr>
        <w:t xml:space="preserve"> pôvodných </w:t>
      </w:r>
      <w:r w:rsidRPr="00FD3680">
        <w:rPr>
          <w:rFonts w:ascii="Times New Roman" w:hAnsi="Times New Roman" w:cs="Times New Roman"/>
          <w:sz w:val="24"/>
          <w:szCs w:val="24"/>
        </w:rPr>
        <w:t xml:space="preserve">členských krajín EÚ-15, ale aj voči priamym konkurentom z krajín V4. V programovom období 2014 – 2020 stojí pred slovenským poľnohospodárstvom veľká výzva, a to zásadné zvýšenie konkurenčnej schopnosti, ktorého základným predpokladom je optimalizácia kapitálovej vybavenosti </w:t>
      </w:r>
      <w:r w:rsidR="00632356" w:rsidRPr="00FD3680">
        <w:rPr>
          <w:rFonts w:ascii="Times New Roman" w:hAnsi="Times New Roman" w:cs="Times New Roman"/>
          <w:sz w:val="24"/>
          <w:szCs w:val="24"/>
        </w:rPr>
        <w:t xml:space="preserve">výrobcov </w:t>
      </w:r>
      <w:r w:rsidRPr="00FD3680">
        <w:rPr>
          <w:rFonts w:ascii="Times New Roman" w:hAnsi="Times New Roman" w:cs="Times New Roman"/>
          <w:sz w:val="24"/>
          <w:szCs w:val="24"/>
        </w:rPr>
        <w:t xml:space="preserve">poľnohospodárskej produkcie. </w:t>
      </w:r>
    </w:p>
    <w:p w:rsidR="00A92368" w:rsidRPr="00FD3680" w:rsidRDefault="00A92368" w:rsidP="00D1357E">
      <w:pPr>
        <w:spacing w:after="0" w:line="240" w:lineRule="auto"/>
        <w:jc w:val="both"/>
        <w:rPr>
          <w:rFonts w:ascii="Times New Roman" w:hAnsi="Times New Roman" w:cs="Times New Roman"/>
          <w:sz w:val="24"/>
          <w:szCs w:val="24"/>
        </w:rPr>
      </w:pPr>
    </w:p>
    <w:p w:rsidR="00B757F2" w:rsidRPr="00FD3680" w:rsidRDefault="00CF6E0C" w:rsidP="00D1357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Súčasný stav financovania subjektov poľnohospodárskej výroby bol podporený v rámci možností príslušnej legislatívy EÚ. Pomerne veľkým problémom bola zmena podmienok v poskytovaní podpôr po tzv. „kontrole zdravotného stavu“ v roku 2009 a následná nemožnosť pokračovať v poskytovaní podpôr v sektoroch tzv. špecializovanej výroby. Zároveň však cielené podpory (napr. v sektore hovädzieho dobytka) nepriniesli želaný efekt. Pod túto situáciu sa podpísala aj slabá pripravenosť subjektov podnikajúcich v poľnohospodárstve reagovať na zmeny po otvorení trhov EÚ.</w:t>
      </w:r>
    </w:p>
    <w:p w:rsidR="00CF6E0C" w:rsidRPr="00FD3680" w:rsidRDefault="00CF6E0C" w:rsidP="00D1357E">
      <w:pPr>
        <w:spacing w:after="0" w:line="240" w:lineRule="auto"/>
        <w:jc w:val="both"/>
        <w:rPr>
          <w:rFonts w:ascii="Times New Roman" w:hAnsi="Times New Roman" w:cs="Times New Roman"/>
          <w:sz w:val="24"/>
          <w:szCs w:val="24"/>
        </w:rPr>
      </w:pPr>
    </w:p>
    <w:p w:rsidR="00B757F2" w:rsidRPr="00FD3680" w:rsidRDefault="00B757F2" w:rsidP="00D1357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 dôsledku pomerne slabej kapitálovej pozície slovenských poľnohospodárskych subjektov nedochádzalo v sektore poľnohospodárstva k výraznejšej investičnej aktivite, čo sa prejavuje dnes ako hlavná konkurenčná nevýhoda slovenského poľnohospodárstva. </w:t>
      </w:r>
      <w:r w:rsidR="009E255E" w:rsidRPr="00FD3680">
        <w:rPr>
          <w:rFonts w:ascii="Times New Roman" w:hAnsi="Times New Roman" w:cs="Times New Roman"/>
          <w:sz w:val="24"/>
          <w:szCs w:val="24"/>
        </w:rPr>
        <w:t>N</w:t>
      </w:r>
      <w:r w:rsidRPr="00FD3680">
        <w:rPr>
          <w:rFonts w:ascii="Times New Roman" w:hAnsi="Times New Roman" w:cs="Times New Roman"/>
          <w:sz w:val="24"/>
          <w:szCs w:val="24"/>
        </w:rPr>
        <w:t>edostatočn</w:t>
      </w:r>
      <w:r w:rsidR="009E255E" w:rsidRPr="00FD3680">
        <w:rPr>
          <w:rFonts w:ascii="Times New Roman" w:hAnsi="Times New Roman" w:cs="Times New Roman"/>
          <w:sz w:val="24"/>
          <w:szCs w:val="24"/>
        </w:rPr>
        <w:t>á</w:t>
      </w:r>
      <w:r w:rsidRPr="00FD3680">
        <w:rPr>
          <w:rFonts w:ascii="Times New Roman" w:hAnsi="Times New Roman" w:cs="Times New Roman"/>
          <w:sz w:val="24"/>
          <w:szCs w:val="24"/>
        </w:rPr>
        <w:t xml:space="preserve"> inovačn</w:t>
      </w:r>
      <w:r w:rsidR="009E255E" w:rsidRPr="00FD3680">
        <w:rPr>
          <w:rFonts w:ascii="Times New Roman" w:hAnsi="Times New Roman" w:cs="Times New Roman"/>
          <w:sz w:val="24"/>
          <w:szCs w:val="24"/>
        </w:rPr>
        <w:t>á</w:t>
      </w:r>
      <w:r w:rsidRPr="00FD3680">
        <w:rPr>
          <w:rFonts w:ascii="Times New Roman" w:hAnsi="Times New Roman" w:cs="Times New Roman"/>
          <w:sz w:val="24"/>
          <w:szCs w:val="24"/>
        </w:rPr>
        <w:t xml:space="preserve"> aktivit</w:t>
      </w:r>
      <w:r w:rsidR="009E255E" w:rsidRPr="00FD3680">
        <w:rPr>
          <w:rFonts w:ascii="Times New Roman" w:hAnsi="Times New Roman" w:cs="Times New Roman"/>
          <w:sz w:val="24"/>
          <w:szCs w:val="24"/>
        </w:rPr>
        <w:t>a</w:t>
      </w:r>
      <w:r w:rsidRPr="00FD3680">
        <w:rPr>
          <w:rFonts w:ascii="Times New Roman" w:hAnsi="Times New Roman" w:cs="Times New Roman"/>
          <w:sz w:val="24"/>
          <w:szCs w:val="24"/>
        </w:rPr>
        <w:t xml:space="preserve"> subjektov poľnohospodárskej výroby </w:t>
      </w:r>
      <w:r w:rsidR="009E255E" w:rsidRPr="00FD3680">
        <w:rPr>
          <w:rFonts w:ascii="Times New Roman" w:hAnsi="Times New Roman" w:cs="Times New Roman"/>
          <w:sz w:val="24"/>
          <w:szCs w:val="24"/>
        </w:rPr>
        <w:t xml:space="preserve">sa odrazila v nízkej </w:t>
      </w:r>
      <w:r w:rsidRPr="00FD3680">
        <w:rPr>
          <w:rFonts w:ascii="Times New Roman" w:hAnsi="Times New Roman" w:cs="Times New Roman"/>
          <w:sz w:val="24"/>
          <w:szCs w:val="24"/>
        </w:rPr>
        <w:t xml:space="preserve">tvorbe novej pridanej hodnoty, čím sa dostalo slovenské poľnohospodárstvo do fázy úpadku. Najmarkantnejšie sa to prejavilo v živočíšnej a špeciálnej rastlinnej výrobe, ktoré sú v rámci sektora poľnohospodárstva hlavnými nositeľmi pridanej hodnoty. </w:t>
      </w:r>
    </w:p>
    <w:p w:rsidR="00B757F2" w:rsidRPr="00FD3680" w:rsidRDefault="00B757F2" w:rsidP="00D1357E">
      <w:pPr>
        <w:spacing w:after="0" w:line="240" w:lineRule="auto"/>
        <w:jc w:val="both"/>
        <w:rPr>
          <w:rFonts w:ascii="Times New Roman" w:hAnsi="Times New Roman" w:cs="Times New Roman"/>
          <w:sz w:val="24"/>
          <w:szCs w:val="24"/>
        </w:rPr>
      </w:pPr>
    </w:p>
    <w:p w:rsidR="00B757F2" w:rsidRPr="00FD3680" w:rsidRDefault="00F20E8C" w:rsidP="00D1357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Slovenské poľnohospodárstvo upadalo v oblastiach náročných na pracovnú silu a preorientovalo sa na produkciu, ktorá je síce menej náročná na pracovnú silu avšak pomerne značne energeticky a kapitálovo náročná. Týmto poľnohospodárstvo na Slovensku stratilo významnú mieru svojich komparatívnych výhod a prispôsobilo sa svojim produkčným zameraním ostatným krajinám regiónu. </w:t>
      </w:r>
    </w:p>
    <w:p w:rsidR="00F20E8C" w:rsidRPr="00FD3680" w:rsidRDefault="00F20E8C" w:rsidP="00D1357E">
      <w:pPr>
        <w:spacing w:after="0" w:line="240" w:lineRule="auto"/>
        <w:jc w:val="both"/>
        <w:rPr>
          <w:rFonts w:ascii="Times New Roman" w:hAnsi="Times New Roman" w:cs="Times New Roman"/>
          <w:sz w:val="24"/>
          <w:szCs w:val="24"/>
        </w:rPr>
      </w:pPr>
    </w:p>
    <w:p w:rsidR="00F20E8C" w:rsidRPr="00FD3680" w:rsidRDefault="00F20E8C" w:rsidP="00D1357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 tomto prispôsobení</w:t>
      </w:r>
      <w:r w:rsidR="00590B68" w:rsidRPr="00FD3680">
        <w:rPr>
          <w:rFonts w:ascii="Times New Roman" w:hAnsi="Times New Roman" w:cs="Times New Roman"/>
          <w:sz w:val="24"/>
          <w:szCs w:val="24"/>
        </w:rPr>
        <w:t>,</w:t>
      </w:r>
      <w:r w:rsidRPr="00FD3680">
        <w:rPr>
          <w:rFonts w:ascii="Times New Roman" w:hAnsi="Times New Roman" w:cs="Times New Roman"/>
          <w:sz w:val="24"/>
          <w:szCs w:val="24"/>
        </w:rPr>
        <w:t xml:space="preserve"> poľnohospodársky sektor na Slovensku začal logicky strácať na svojom významne, pretože Slovenská republika nebola a nie je schopná </w:t>
      </w:r>
      <w:r w:rsidR="00590B68" w:rsidRPr="00FD3680">
        <w:rPr>
          <w:rFonts w:ascii="Times New Roman" w:hAnsi="Times New Roman" w:cs="Times New Roman"/>
          <w:sz w:val="24"/>
          <w:szCs w:val="24"/>
        </w:rPr>
        <w:t>kapitálovo zabezpečiť</w:t>
      </w:r>
      <w:r w:rsidR="00416FCC" w:rsidRPr="00FD3680">
        <w:rPr>
          <w:rFonts w:ascii="Times New Roman" w:hAnsi="Times New Roman" w:cs="Times New Roman"/>
          <w:sz w:val="24"/>
          <w:szCs w:val="24"/>
        </w:rPr>
        <w:t xml:space="preserve"> (cez úverové </w:t>
      </w:r>
      <w:r w:rsidR="00901676" w:rsidRPr="00FD3680">
        <w:rPr>
          <w:rFonts w:ascii="Times New Roman" w:hAnsi="Times New Roman" w:cs="Times New Roman"/>
          <w:sz w:val="24"/>
          <w:szCs w:val="24"/>
        </w:rPr>
        <w:t xml:space="preserve">produkty a </w:t>
      </w:r>
      <w:r w:rsidR="00416FCC" w:rsidRPr="00FD3680">
        <w:rPr>
          <w:rFonts w:ascii="Times New Roman" w:hAnsi="Times New Roman" w:cs="Times New Roman"/>
          <w:sz w:val="24"/>
          <w:szCs w:val="24"/>
        </w:rPr>
        <w:t xml:space="preserve">podmienky komerčných bánk) </w:t>
      </w:r>
      <w:r w:rsidR="00590B68" w:rsidRPr="00FD3680">
        <w:rPr>
          <w:rFonts w:ascii="Times New Roman" w:hAnsi="Times New Roman" w:cs="Times New Roman"/>
          <w:sz w:val="24"/>
          <w:szCs w:val="24"/>
        </w:rPr>
        <w:t xml:space="preserve"> slovenské subjekty poľnohospodárskej výroby na takej úrovni ako najvyspelejšie krajiny EÚ. </w:t>
      </w:r>
    </w:p>
    <w:p w:rsidR="00590B68" w:rsidRPr="00FD3680" w:rsidRDefault="00590B68" w:rsidP="00D1357E">
      <w:pPr>
        <w:spacing w:after="0" w:line="240" w:lineRule="auto"/>
        <w:jc w:val="both"/>
        <w:rPr>
          <w:rFonts w:ascii="Times New Roman" w:hAnsi="Times New Roman" w:cs="Times New Roman"/>
          <w:sz w:val="24"/>
          <w:szCs w:val="24"/>
        </w:rPr>
      </w:pPr>
    </w:p>
    <w:p w:rsidR="00F92227" w:rsidRPr="00FD3680" w:rsidRDefault="00F92227" w:rsidP="00D1357E">
      <w:pPr>
        <w:spacing w:after="0" w:line="240" w:lineRule="auto"/>
        <w:jc w:val="both"/>
        <w:rPr>
          <w:rFonts w:ascii="Times New Roman" w:hAnsi="Times New Roman" w:cs="Times New Roman"/>
          <w:sz w:val="24"/>
          <w:szCs w:val="24"/>
        </w:rPr>
      </w:pPr>
    </w:p>
    <w:p w:rsidR="00F92227" w:rsidRPr="00FD3680" w:rsidRDefault="00F92227" w:rsidP="00D1357E">
      <w:pPr>
        <w:spacing w:after="0" w:line="240" w:lineRule="auto"/>
        <w:jc w:val="both"/>
        <w:rPr>
          <w:rFonts w:ascii="Times New Roman" w:hAnsi="Times New Roman" w:cs="Times New Roman"/>
          <w:sz w:val="24"/>
          <w:szCs w:val="24"/>
        </w:rPr>
      </w:pPr>
    </w:p>
    <w:p w:rsidR="00F92227" w:rsidRPr="00FD3680" w:rsidRDefault="00F92227" w:rsidP="00D1357E">
      <w:pPr>
        <w:spacing w:after="0" w:line="240" w:lineRule="auto"/>
        <w:jc w:val="both"/>
        <w:rPr>
          <w:rFonts w:ascii="Times New Roman" w:hAnsi="Times New Roman" w:cs="Times New Roman"/>
          <w:sz w:val="24"/>
          <w:szCs w:val="24"/>
        </w:rPr>
      </w:pPr>
    </w:p>
    <w:p w:rsidR="00C11261" w:rsidRPr="00FD3680" w:rsidRDefault="00590B68" w:rsidP="00D1357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 xml:space="preserve">Začiatkom nového programového obdobia 2014 – 2020 urobila Slovenská republika prvý veľký krok na ceste ku zvyšovaniu konkurencieschopnosti a optimalizácii kapitálového vybavenia slovenských poľnohospodárskych subjektov. V januári 2014 bol predstavený poľnohospodárskej verejnosti nový mechanizmus podpôr slovenského poľnohospodárstva, tzv. sendvičový systém financovania slovenského poľnohospodárstva. </w:t>
      </w:r>
    </w:p>
    <w:p w:rsidR="00C11261" w:rsidRPr="00FD3680" w:rsidRDefault="00C11261" w:rsidP="00D1357E">
      <w:pPr>
        <w:spacing w:after="0" w:line="240" w:lineRule="auto"/>
        <w:jc w:val="both"/>
        <w:rPr>
          <w:rFonts w:ascii="Times New Roman" w:hAnsi="Times New Roman" w:cs="Times New Roman"/>
          <w:sz w:val="24"/>
          <w:szCs w:val="24"/>
        </w:rPr>
      </w:pPr>
    </w:p>
    <w:p w:rsidR="00C11261" w:rsidRPr="00FD3680" w:rsidRDefault="00C11261" w:rsidP="00C11261">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Základom sendvičového systému financovania slovenského poľnohospodárstva je zrealizovaný presun finančných prostriedkov z Európskeho poľnohospodárskeho fondu pre rozvoj vidieka (II. pilier) do  Európskeho poľnohospodárskeho záručného fondu (I. pilier). </w:t>
      </w:r>
      <w:r w:rsidR="006539C6" w:rsidRPr="00FD3680">
        <w:rPr>
          <w:rFonts w:ascii="Times New Roman" w:hAnsi="Times New Roman" w:cs="Times New Roman"/>
          <w:sz w:val="24"/>
          <w:szCs w:val="24"/>
        </w:rPr>
        <w:t>Slovenská republika presunula z II. piliera do I. piliera Spoločnej poľnohospodárskej politiky celkovo 344,96 mil. EUR.</w:t>
      </w:r>
      <w:r w:rsidRPr="00FD3680">
        <w:rPr>
          <w:rFonts w:ascii="Times New Roman" w:hAnsi="Times New Roman" w:cs="Times New Roman"/>
          <w:sz w:val="24"/>
          <w:szCs w:val="24"/>
        </w:rPr>
        <w:t xml:space="preserve"> Týmto presunom došlo k vytvoreniu dostatočného objemu kapitálových zdrojov bez toho aby došlo k ohrozeniu cieleného percenta štrukturálneho deficitu verejných financií. </w:t>
      </w:r>
    </w:p>
    <w:p w:rsidR="00C11261" w:rsidRPr="00FD3680" w:rsidRDefault="00C11261" w:rsidP="00C11261">
      <w:pPr>
        <w:spacing w:after="0" w:line="240" w:lineRule="auto"/>
        <w:jc w:val="both"/>
        <w:rPr>
          <w:rFonts w:ascii="Times New Roman" w:hAnsi="Times New Roman" w:cs="Times New Roman"/>
          <w:sz w:val="24"/>
          <w:szCs w:val="24"/>
        </w:rPr>
      </w:pPr>
    </w:p>
    <w:p w:rsidR="00C11261" w:rsidRPr="00FD3680" w:rsidRDefault="00C11261" w:rsidP="00C11261">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Nový systém </w:t>
      </w:r>
      <w:r w:rsidR="00F96F13" w:rsidRPr="00FD3680">
        <w:rPr>
          <w:rFonts w:ascii="Times New Roman" w:hAnsi="Times New Roman" w:cs="Times New Roman"/>
          <w:sz w:val="24"/>
          <w:szCs w:val="24"/>
        </w:rPr>
        <w:t xml:space="preserve">financovania slovenského poľnohospodárstva </w:t>
      </w:r>
      <w:r w:rsidRPr="00FD3680">
        <w:rPr>
          <w:rFonts w:ascii="Times New Roman" w:hAnsi="Times New Roman" w:cs="Times New Roman"/>
          <w:sz w:val="24"/>
          <w:szCs w:val="24"/>
        </w:rPr>
        <w:t>teda zabezpeč</w:t>
      </w:r>
      <w:r w:rsidR="00416FCC" w:rsidRPr="00FD3680">
        <w:rPr>
          <w:rFonts w:ascii="Times New Roman" w:hAnsi="Times New Roman" w:cs="Times New Roman"/>
          <w:sz w:val="24"/>
          <w:szCs w:val="24"/>
        </w:rPr>
        <w:t>í</w:t>
      </w:r>
      <w:r w:rsidRPr="00FD3680">
        <w:rPr>
          <w:rFonts w:ascii="Times New Roman" w:hAnsi="Times New Roman" w:cs="Times New Roman"/>
          <w:sz w:val="24"/>
          <w:szCs w:val="24"/>
        </w:rPr>
        <w:t xml:space="preserve"> priestor na financovanie vnútroštátnej pomoci, a to za celé programové obdobie 2014 – 2020 v celkovej výške 114,26 mil. EUR. Tieto finančné prostriedky sa v štátnom rozpočte uvoľnili zníženým nárokom na spolufinancovanie PRV SR na roky 2014 – 2020. Z hľadiska celkového zdrojového zabezpečenia došlo, oproti programovému obdobiu 2007 – 2013, k navýšeniu objemu celkového financovania o cca </w:t>
      </w:r>
      <w:r w:rsidR="006539C6" w:rsidRPr="00FD3680">
        <w:rPr>
          <w:rFonts w:ascii="Times New Roman" w:hAnsi="Times New Roman" w:cs="Times New Roman"/>
          <w:sz w:val="24"/>
          <w:szCs w:val="24"/>
        </w:rPr>
        <w:t>267</w:t>
      </w:r>
      <w:r w:rsidRPr="00FD3680">
        <w:rPr>
          <w:rFonts w:ascii="Times New Roman" w:hAnsi="Times New Roman" w:cs="Times New Roman"/>
          <w:sz w:val="24"/>
          <w:szCs w:val="24"/>
        </w:rPr>
        <w:t xml:space="preserve"> mil. EUR.</w:t>
      </w:r>
    </w:p>
    <w:p w:rsidR="004B45B1" w:rsidRPr="00FD3680" w:rsidRDefault="004B45B1" w:rsidP="00C11261">
      <w:pPr>
        <w:spacing w:after="0" w:line="240" w:lineRule="auto"/>
        <w:jc w:val="both"/>
        <w:rPr>
          <w:rFonts w:ascii="Times New Roman" w:hAnsi="Times New Roman" w:cs="Times New Roman"/>
          <w:sz w:val="24"/>
          <w:szCs w:val="24"/>
        </w:rPr>
      </w:pPr>
    </w:p>
    <w:p w:rsidR="00C11261" w:rsidRPr="00FD3680" w:rsidRDefault="007A083D" w:rsidP="00C11261">
      <w:pPr>
        <w:spacing w:after="0" w:line="240" w:lineRule="auto"/>
        <w:jc w:val="both"/>
        <w:rPr>
          <w:rFonts w:ascii="Times New Roman" w:hAnsi="Times New Roman" w:cs="Times New Roman"/>
          <w:sz w:val="20"/>
          <w:szCs w:val="20"/>
        </w:rPr>
      </w:pPr>
      <w:r w:rsidRPr="00FD3680">
        <w:rPr>
          <w:rFonts w:ascii="Times New Roman" w:hAnsi="Times New Roman" w:cs="Times New Roman"/>
          <w:sz w:val="20"/>
          <w:szCs w:val="20"/>
        </w:rPr>
        <w:t>Tab. č. 1</w:t>
      </w:r>
      <w:r w:rsidR="003466E8" w:rsidRPr="00FD3680">
        <w:rPr>
          <w:rFonts w:ascii="Times New Roman" w:hAnsi="Times New Roman" w:cs="Times New Roman"/>
          <w:sz w:val="20"/>
          <w:szCs w:val="20"/>
        </w:rPr>
        <w:t>: Porovnanie zdrojového zabezpečenia slovenského poľnohospodárstva v</w:t>
      </w:r>
      <w:r w:rsidRPr="00FD3680">
        <w:rPr>
          <w:rFonts w:ascii="Times New Roman" w:hAnsi="Times New Roman" w:cs="Times New Roman"/>
          <w:sz w:val="20"/>
          <w:szCs w:val="20"/>
        </w:rPr>
        <w:t> </w:t>
      </w:r>
      <w:r w:rsidR="003466E8" w:rsidRPr="00FD3680">
        <w:rPr>
          <w:rFonts w:ascii="Times New Roman" w:hAnsi="Times New Roman" w:cs="Times New Roman"/>
          <w:sz w:val="20"/>
          <w:szCs w:val="20"/>
        </w:rPr>
        <w:t>EUR</w:t>
      </w:r>
    </w:p>
    <w:p w:rsidR="007A083D" w:rsidRPr="00FD3680" w:rsidRDefault="007A083D" w:rsidP="00C11261">
      <w:pPr>
        <w:spacing w:after="0" w:line="240" w:lineRule="auto"/>
        <w:jc w:val="both"/>
        <w:rPr>
          <w:rFonts w:ascii="Times New Roman" w:hAnsi="Times New Roman" w:cs="Times New Roman"/>
          <w:sz w:val="20"/>
          <w:szCs w:val="20"/>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3984"/>
        <w:gridCol w:w="2600"/>
        <w:gridCol w:w="2503"/>
      </w:tblGrid>
      <w:tr w:rsidR="00FD3680" w:rsidRPr="00FD3680" w:rsidTr="003466E8">
        <w:trPr>
          <w:trHeight w:val="270"/>
        </w:trPr>
        <w:tc>
          <w:tcPr>
            <w:tcW w:w="3984" w:type="dxa"/>
            <w:shd w:val="clear" w:color="auto" w:fill="D9D9D9" w:themeFill="background1" w:themeFillShade="D9"/>
            <w:vAlign w:val="center"/>
            <w:hideMark/>
          </w:tcPr>
          <w:p w:rsidR="00C11261" w:rsidRPr="00FD3680" w:rsidRDefault="00C11261" w:rsidP="00C11261">
            <w:pPr>
              <w:spacing w:after="0" w:line="240" w:lineRule="auto"/>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 </w:t>
            </w:r>
          </w:p>
        </w:tc>
        <w:tc>
          <w:tcPr>
            <w:tcW w:w="2600" w:type="dxa"/>
            <w:shd w:val="clear" w:color="auto" w:fill="D9D9D9" w:themeFill="background1" w:themeFillShade="D9"/>
            <w:vAlign w:val="bottom"/>
            <w:hideMark/>
          </w:tcPr>
          <w:p w:rsidR="00C11261" w:rsidRPr="00FD3680" w:rsidRDefault="00C11261" w:rsidP="00C11261">
            <w:pPr>
              <w:spacing w:after="0" w:line="240" w:lineRule="auto"/>
              <w:jc w:val="center"/>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2007 - 2013</w:t>
            </w:r>
          </w:p>
        </w:tc>
        <w:tc>
          <w:tcPr>
            <w:tcW w:w="2503" w:type="dxa"/>
            <w:shd w:val="clear" w:color="auto" w:fill="D9D9D9" w:themeFill="background1" w:themeFillShade="D9"/>
            <w:vAlign w:val="bottom"/>
            <w:hideMark/>
          </w:tcPr>
          <w:p w:rsidR="00C11261" w:rsidRPr="00FD3680" w:rsidRDefault="00C11261" w:rsidP="00C11261">
            <w:pPr>
              <w:spacing w:after="0" w:line="240" w:lineRule="auto"/>
              <w:jc w:val="center"/>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2014 - 2020</w:t>
            </w:r>
          </w:p>
        </w:tc>
      </w:tr>
      <w:tr w:rsidR="00FD3680" w:rsidRPr="00FD3680" w:rsidTr="003466E8">
        <w:trPr>
          <w:trHeight w:val="270"/>
        </w:trPr>
        <w:tc>
          <w:tcPr>
            <w:tcW w:w="3984" w:type="dxa"/>
            <w:vAlign w:val="bottom"/>
            <w:hideMark/>
          </w:tcPr>
          <w:p w:rsidR="00C11261" w:rsidRPr="00FD3680" w:rsidRDefault="00C11261" w:rsidP="00C11261">
            <w:pPr>
              <w:spacing w:after="0" w:line="240" w:lineRule="auto"/>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I. pilier - priame platby</w:t>
            </w:r>
          </w:p>
        </w:tc>
        <w:tc>
          <w:tcPr>
            <w:tcW w:w="2600" w:type="dxa"/>
            <w:vAlign w:val="bottom"/>
            <w:hideMark/>
          </w:tcPr>
          <w:p w:rsidR="00C11261" w:rsidRPr="00FD3680" w:rsidRDefault="006539C6"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2 385 958 948</w:t>
            </w:r>
          </w:p>
        </w:tc>
        <w:tc>
          <w:tcPr>
            <w:tcW w:w="2503" w:type="dxa"/>
            <w:vAlign w:val="bottom"/>
            <w:hideMark/>
          </w:tcPr>
          <w:p w:rsidR="00C11261" w:rsidRPr="00FD3680" w:rsidRDefault="006539C6"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3 053 727 000</w:t>
            </w:r>
          </w:p>
        </w:tc>
      </w:tr>
      <w:tr w:rsidR="00FD3680" w:rsidRPr="00FD3680" w:rsidTr="003466E8">
        <w:trPr>
          <w:trHeight w:val="255"/>
        </w:trPr>
        <w:tc>
          <w:tcPr>
            <w:tcW w:w="3984" w:type="dxa"/>
            <w:vAlign w:val="bottom"/>
            <w:hideMark/>
          </w:tcPr>
          <w:p w:rsidR="00C11261" w:rsidRPr="00FD3680" w:rsidRDefault="00C11261" w:rsidP="00C11261">
            <w:pPr>
              <w:spacing w:after="0" w:line="240" w:lineRule="auto"/>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II. pilier - Program rozvoja vidieka</w:t>
            </w:r>
          </w:p>
        </w:tc>
        <w:tc>
          <w:tcPr>
            <w:tcW w:w="2600" w:type="dxa"/>
            <w:vAlign w:val="bottom"/>
            <w:hideMark/>
          </w:tcPr>
          <w:p w:rsidR="00C11261" w:rsidRPr="00FD3680" w:rsidRDefault="00C11261"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2 597 053 717</w:t>
            </w:r>
          </w:p>
        </w:tc>
        <w:tc>
          <w:tcPr>
            <w:tcW w:w="2503" w:type="dxa"/>
            <w:vAlign w:val="bottom"/>
            <w:hideMark/>
          </w:tcPr>
          <w:p w:rsidR="00C11261" w:rsidRPr="00FD3680" w:rsidRDefault="006539C6"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2 078 982 018</w:t>
            </w:r>
          </w:p>
        </w:tc>
      </w:tr>
      <w:tr w:rsidR="00FD3680" w:rsidRPr="00FD3680" w:rsidTr="003466E8">
        <w:trPr>
          <w:trHeight w:val="255"/>
        </w:trPr>
        <w:tc>
          <w:tcPr>
            <w:tcW w:w="3984" w:type="dxa"/>
            <w:vAlign w:val="bottom"/>
            <w:hideMark/>
          </w:tcPr>
          <w:p w:rsidR="00C11261" w:rsidRPr="00FD3680" w:rsidRDefault="00C11261" w:rsidP="00C11261">
            <w:pPr>
              <w:spacing w:after="0" w:line="240" w:lineRule="auto"/>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 xml:space="preserve">       financovanie EÚ</w:t>
            </w:r>
          </w:p>
        </w:tc>
        <w:tc>
          <w:tcPr>
            <w:tcW w:w="2600" w:type="dxa"/>
            <w:vAlign w:val="bottom"/>
            <w:hideMark/>
          </w:tcPr>
          <w:p w:rsidR="00C11261" w:rsidRPr="00FD3680" w:rsidRDefault="00C11261"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1 996 908 078</w:t>
            </w:r>
          </w:p>
        </w:tc>
        <w:tc>
          <w:tcPr>
            <w:tcW w:w="2503" w:type="dxa"/>
            <w:vAlign w:val="bottom"/>
            <w:hideMark/>
          </w:tcPr>
          <w:p w:rsidR="00C11261" w:rsidRPr="00FD3680" w:rsidRDefault="006539C6"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1 545 272 844</w:t>
            </w:r>
          </w:p>
        </w:tc>
      </w:tr>
      <w:tr w:rsidR="00FD3680" w:rsidRPr="00FD3680" w:rsidTr="003466E8">
        <w:trPr>
          <w:trHeight w:val="255"/>
        </w:trPr>
        <w:tc>
          <w:tcPr>
            <w:tcW w:w="3984" w:type="dxa"/>
            <w:vAlign w:val="bottom"/>
            <w:hideMark/>
          </w:tcPr>
          <w:p w:rsidR="00C11261" w:rsidRPr="00FD3680" w:rsidRDefault="00C11261" w:rsidP="00C11261">
            <w:pPr>
              <w:spacing w:after="0" w:line="240" w:lineRule="auto"/>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 xml:space="preserve">       spolufinancovanie zo ŠR</w:t>
            </w:r>
          </w:p>
        </w:tc>
        <w:tc>
          <w:tcPr>
            <w:tcW w:w="2600" w:type="dxa"/>
            <w:vAlign w:val="bottom"/>
            <w:hideMark/>
          </w:tcPr>
          <w:p w:rsidR="00C11261" w:rsidRPr="00FD3680" w:rsidRDefault="00C11261"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600 145 639</w:t>
            </w:r>
          </w:p>
        </w:tc>
        <w:tc>
          <w:tcPr>
            <w:tcW w:w="2503" w:type="dxa"/>
            <w:vAlign w:val="bottom"/>
            <w:hideMark/>
          </w:tcPr>
          <w:p w:rsidR="00C11261" w:rsidRPr="00FD3680" w:rsidRDefault="006539C6"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533 709 174</w:t>
            </w:r>
          </w:p>
        </w:tc>
      </w:tr>
      <w:tr w:rsidR="00FD3680" w:rsidRPr="00FD3680" w:rsidTr="003466E8">
        <w:trPr>
          <w:trHeight w:val="255"/>
        </w:trPr>
        <w:tc>
          <w:tcPr>
            <w:tcW w:w="3984" w:type="dxa"/>
            <w:vAlign w:val="bottom"/>
            <w:hideMark/>
          </w:tcPr>
          <w:p w:rsidR="00C11261" w:rsidRPr="00FD3680" w:rsidRDefault="00C11261" w:rsidP="00C11261">
            <w:pPr>
              <w:spacing w:after="0" w:line="240" w:lineRule="auto"/>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Spoločná organizácia trhov</w:t>
            </w:r>
          </w:p>
        </w:tc>
        <w:tc>
          <w:tcPr>
            <w:tcW w:w="2600" w:type="dxa"/>
            <w:vAlign w:val="bottom"/>
            <w:hideMark/>
          </w:tcPr>
          <w:p w:rsidR="00C11261" w:rsidRPr="00FD3680" w:rsidRDefault="006539C6"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102 204 534</w:t>
            </w:r>
          </w:p>
        </w:tc>
        <w:tc>
          <w:tcPr>
            <w:tcW w:w="2503" w:type="dxa"/>
            <w:vAlign w:val="bottom"/>
            <w:hideMark/>
          </w:tcPr>
          <w:p w:rsidR="00C11261" w:rsidRPr="00FD3680" w:rsidRDefault="00C11261"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105 000 000</w:t>
            </w:r>
          </w:p>
        </w:tc>
      </w:tr>
      <w:tr w:rsidR="00FD3680" w:rsidRPr="00FD3680" w:rsidTr="003466E8">
        <w:trPr>
          <w:trHeight w:val="255"/>
        </w:trPr>
        <w:tc>
          <w:tcPr>
            <w:tcW w:w="3984" w:type="dxa"/>
            <w:vAlign w:val="bottom"/>
            <w:hideMark/>
          </w:tcPr>
          <w:p w:rsidR="00C11261" w:rsidRPr="00FD3680" w:rsidRDefault="00C11261" w:rsidP="00C11261">
            <w:pPr>
              <w:spacing w:after="0" w:line="240" w:lineRule="auto"/>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 xml:space="preserve">       financovanie EÚ</w:t>
            </w:r>
          </w:p>
        </w:tc>
        <w:tc>
          <w:tcPr>
            <w:tcW w:w="2600" w:type="dxa"/>
            <w:vAlign w:val="bottom"/>
            <w:hideMark/>
          </w:tcPr>
          <w:p w:rsidR="00C11261" w:rsidRPr="00FD3680" w:rsidRDefault="006539C6"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87 940 256</w:t>
            </w:r>
          </w:p>
        </w:tc>
        <w:tc>
          <w:tcPr>
            <w:tcW w:w="2503" w:type="dxa"/>
            <w:vAlign w:val="bottom"/>
            <w:hideMark/>
          </w:tcPr>
          <w:p w:rsidR="00C11261" w:rsidRPr="00FD3680" w:rsidRDefault="00C11261"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84 000 000</w:t>
            </w:r>
          </w:p>
        </w:tc>
      </w:tr>
      <w:tr w:rsidR="00FD3680" w:rsidRPr="00FD3680" w:rsidTr="003466E8">
        <w:trPr>
          <w:trHeight w:val="255"/>
        </w:trPr>
        <w:tc>
          <w:tcPr>
            <w:tcW w:w="3984" w:type="dxa"/>
            <w:vAlign w:val="bottom"/>
            <w:hideMark/>
          </w:tcPr>
          <w:p w:rsidR="00C11261" w:rsidRPr="00FD3680" w:rsidRDefault="00C11261" w:rsidP="00C11261">
            <w:pPr>
              <w:spacing w:after="0" w:line="240" w:lineRule="auto"/>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 xml:space="preserve">       spolufinancovanie zo ŠR</w:t>
            </w:r>
          </w:p>
        </w:tc>
        <w:tc>
          <w:tcPr>
            <w:tcW w:w="2600" w:type="dxa"/>
            <w:vAlign w:val="bottom"/>
            <w:hideMark/>
          </w:tcPr>
          <w:p w:rsidR="00C11261" w:rsidRPr="00FD3680" w:rsidRDefault="006539C6"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14 264 278</w:t>
            </w:r>
          </w:p>
        </w:tc>
        <w:tc>
          <w:tcPr>
            <w:tcW w:w="2503" w:type="dxa"/>
            <w:vAlign w:val="bottom"/>
            <w:hideMark/>
          </w:tcPr>
          <w:p w:rsidR="00C11261" w:rsidRPr="00FD3680" w:rsidRDefault="00C11261" w:rsidP="00C11261">
            <w:pPr>
              <w:spacing w:after="0" w:line="240" w:lineRule="auto"/>
              <w:jc w:val="right"/>
              <w:rPr>
                <w:rFonts w:ascii="Times New Roman" w:eastAsia="Times New Roman" w:hAnsi="Times New Roman" w:cs="Times New Roman"/>
                <w:sz w:val="20"/>
                <w:szCs w:val="20"/>
                <w:lang w:eastAsia="sk-SK"/>
              </w:rPr>
            </w:pPr>
            <w:r w:rsidRPr="00FD3680">
              <w:rPr>
                <w:rFonts w:ascii="Times New Roman" w:eastAsia="Times New Roman" w:hAnsi="Times New Roman" w:cs="Times New Roman"/>
                <w:sz w:val="20"/>
                <w:szCs w:val="20"/>
                <w:lang w:eastAsia="sk-SK"/>
              </w:rPr>
              <w:t>21 000 000</w:t>
            </w:r>
          </w:p>
        </w:tc>
      </w:tr>
      <w:tr w:rsidR="00FD3680" w:rsidRPr="00FD3680" w:rsidTr="003466E8">
        <w:trPr>
          <w:trHeight w:val="270"/>
        </w:trPr>
        <w:tc>
          <w:tcPr>
            <w:tcW w:w="3984" w:type="dxa"/>
            <w:shd w:val="clear" w:color="auto" w:fill="D9D9D9" w:themeFill="background1" w:themeFillShade="D9"/>
            <w:vAlign w:val="bottom"/>
            <w:hideMark/>
          </w:tcPr>
          <w:p w:rsidR="00C11261" w:rsidRPr="00FD3680" w:rsidRDefault="00C11261" w:rsidP="00C11261">
            <w:pPr>
              <w:spacing w:after="0" w:line="240" w:lineRule="auto"/>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CELKOM</w:t>
            </w:r>
          </w:p>
        </w:tc>
        <w:tc>
          <w:tcPr>
            <w:tcW w:w="2600" w:type="dxa"/>
            <w:shd w:val="clear" w:color="auto" w:fill="D9D9D9" w:themeFill="background1" w:themeFillShade="D9"/>
            <w:vAlign w:val="bottom"/>
            <w:hideMark/>
          </w:tcPr>
          <w:p w:rsidR="00C11261" w:rsidRPr="00FD3680" w:rsidRDefault="006539C6"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5 085 217 199</w:t>
            </w:r>
          </w:p>
        </w:tc>
        <w:tc>
          <w:tcPr>
            <w:tcW w:w="2503" w:type="dxa"/>
            <w:shd w:val="clear" w:color="auto" w:fill="D9D9D9" w:themeFill="background1" w:themeFillShade="D9"/>
            <w:vAlign w:val="bottom"/>
            <w:hideMark/>
          </w:tcPr>
          <w:p w:rsidR="00C11261" w:rsidRPr="00FD3680" w:rsidRDefault="006539C6" w:rsidP="00C11261">
            <w:pPr>
              <w:spacing w:after="0" w:line="240" w:lineRule="auto"/>
              <w:jc w:val="right"/>
              <w:rPr>
                <w:rFonts w:ascii="Times New Roman" w:eastAsia="Times New Roman" w:hAnsi="Times New Roman" w:cs="Times New Roman"/>
                <w:b/>
                <w:bCs/>
                <w:sz w:val="20"/>
                <w:szCs w:val="20"/>
                <w:lang w:eastAsia="sk-SK"/>
              </w:rPr>
            </w:pPr>
            <w:r w:rsidRPr="00FD3680">
              <w:rPr>
                <w:rFonts w:ascii="Times New Roman" w:eastAsia="Times New Roman" w:hAnsi="Times New Roman" w:cs="Times New Roman"/>
                <w:b/>
                <w:bCs/>
                <w:sz w:val="20"/>
                <w:szCs w:val="20"/>
                <w:lang w:eastAsia="sk-SK"/>
              </w:rPr>
              <w:t>5 351 973 459</w:t>
            </w:r>
          </w:p>
        </w:tc>
      </w:tr>
    </w:tbl>
    <w:p w:rsidR="00A92368" w:rsidRPr="00FD3680" w:rsidRDefault="003466E8" w:rsidP="003466E8">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Zdroj: MPRV SR</w:t>
      </w:r>
    </w:p>
    <w:p w:rsidR="00A92368" w:rsidRPr="00FD3680" w:rsidRDefault="00A92368" w:rsidP="00D1357E">
      <w:pPr>
        <w:spacing w:after="0" w:line="240" w:lineRule="auto"/>
        <w:jc w:val="both"/>
        <w:rPr>
          <w:rFonts w:ascii="Times New Roman" w:hAnsi="Times New Roman" w:cs="Times New Roman"/>
          <w:sz w:val="24"/>
          <w:szCs w:val="24"/>
        </w:rPr>
      </w:pPr>
    </w:p>
    <w:p w:rsidR="00F96F13" w:rsidRPr="00FD3680" w:rsidRDefault="00F96F13" w:rsidP="00D1357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Vyššie uvedené navýšenie celkového objemu financovania slovenského poľnohospodárstva v programovom období 2014 – 2020 by však bol</w:t>
      </w:r>
      <w:r w:rsidR="00416FCC" w:rsidRPr="00FD3680">
        <w:rPr>
          <w:rFonts w:ascii="Times New Roman" w:hAnsi="Times New Roman" w:cs="Times New Roman"/>
          <w:sz w:val="24"/>
          <w:szCs w:val="24"/>
        </w:rPr>
        <w:t>o</w:t>
      </w:r>
      <w:r w:rsidRPr="00FD3680">
        <w:rPr>
          <w:rFonts w:ascii="Times New Roman" w:hAnsi="Times New Roman" w:cs="Times New Roman"/>
          <w:sz w:val="24"/>
          <w:szCs w:val="24"/>
        </w:rPr>
        <w:t>, bez efektívneho prerozdeľovacieho mechanizmu, samoúčeln</w:t>
      </w:r>
      <w:r w:rsidR="00416FCC" w:rsidRPr="00FD3680">
        <w:rPr>
          <w:rFonts w:ascii="Times New Roman" w:hAnsi="Times New Roman" w:cs="Times New Roman"/>
          <w:sz w:val="24"/>
          <w:szCs w:val="24"/>
        </w:rPr>
        <w:t>é</w:t>
      </w:r>
      <w:r w:rsidRPr="00FD3680">
        <w:rPr>
          <w:rFonts w:ascii="Times New Roman" w:hAnsi="Times New Roman" w:cs="Times New Roman"/>
          <w:sz w:val="24"/>
          <w:szCs w:val="24"/>
        </w:rPr>
        <w:t xml:space="preserve">. </w:t>
      </w:r>
      <w:r w:rsidR="00416FCC" w:rsidRPr="00FD3680">
        <w:rPr>
          <w:rFonts w:ascii="Times New Roman" w:hAnsi="Times New Roman" w:cs="Times New Roman"/>
          <w:sz w:val="24"/>
          <w:szCs w:val="24"/>
        </w:rPr>
        <w:t xml:space="preserve">Preto </w:t>
      </w:r>
      <w:r w:rsidRPr="00FD3680">
        <w:rPr>
          <w:rFonts w:ascii="Times New Roman" w:hAnsi="Times New Roman" w:cs="Times New Roman"/>
          <w:sz w:val="24"/>
          <w:szCs w:val="24"/>
        </w:rPr>
        <w:t>v dôsledku zabezpečenia vhodnej cielenosti podpôr smerujúcich do poľnohospodárstva bol sendvičový systém horizontálne a vertikálne rozpracovaný.</w:t>
      </w:r>
    </w:p>
    <w:p w:rsidR="00F96F13" w:rsidRPr="00FD3680" w:rsidRDefault="00F96F13" w:rsidP="00D1357E">
      <w:pPr>
        <w:spacing w:after="0" w:line="240" w:lineRule="auto"/>
        <w:jc w:val="both"/>
        <w:rPr>
          <w:rFonts w:ascii="Times New Roman" w:hAnsi="Times New Roman" w:cs="Times New Roman"/>
          <w:sz w:val="24"/>
          <w:szCs w:val="24"/>
        </w:rPr>
      </w:pPr>
    </w:p>
    <w:p w:rsidR="00F96F13" w:rsidRPr="00FD3680" w:rsidRDefault="00F96F13" w:rsidP="00F96F1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Vertikálny pohľad na sendvičový systém znamená, že v rámci I. piliera </w:t>
      </w:r>
      <w:r w:rsidR="00F638E1" w:rsidRPr="00FD3680">
        <w:rPr>
          <w:rFonts w:ascii="Times New Roman" w:hAnsi="Times New Roman" w:cs="Times New Roman"/>
          <w:sz w:val="24"/>
          <w:szCs w:val="24"/>
        </w:rPr>
        <w:t>je</w:t>
      </w:r>
      <w:r w:rsidRPr="00FD3680">
        <w:rPr>
          <w:rFonts w:ascii="Times New Roman" w:hAnsi="Times New Roman" w:cs="Times New Roman"/>
          <w:sz w:val="24"/>
          <w:szCs w:val="24"/>
        </w:rPr>
        <w:t xml:space="preserve"> celková obálka finančných prostriedkov alokovaných do I. piliera SPP 2014 – 2020 rozdelená na základnú platbu, platbu za dobré poľnohospodárske postupy, platbu pre malých farmárov, platbu pre mladých poľnohospodárov a dobrovoľne viazané podpory, v rámci ktorých </w:t>
      </w:r>
      <w:r w:rsidR="008F4775" w:rsidRPr="00FD3680">
        <w:rPr>
          <w:rFonts w:ascii="Times New Roman" w:hAnsi="Times New Roman" w:cs="Times New Roman"/>
          <w:sz w:val="24"/>
          <w:szCs w:val="24"/>
        </w:rPr>
        <w:t xml:space="preserve">budú podporené </w:t>
      </w:r>
      <w:r w:rsidRPr="00FD3680">
        <w:rPr>
          <w:rFonts w:ascii="Times New Roman" w:hAnsi="Times New Roman" w:cs="Times New Roman"/>
          <w:sz w:val="24"/>
          <w:szCs w:val="24"/>
        </w:rPr>
        <w:t>dojnice, hovädzí dobytok, ovce, kozy, ovocie, zelenin</w:t>
      </w:r>
      <w:r w:rsidR="008F4775" w:rsidRPr="00FD3680">
        <w:rPr>
          <w:rFonts w:ascii="Times New Roman" w:hAnsi="Times New Roman" w:cs="Times New Roman"/>
          <w:sz w:val="24"/>
          <w:szCs w:val="24"/>
        </w:rPr>
        <w:t>a</w:t>
      </w:r>
      <w:r w:rsidRPr="00FD3680">
        <w:rPr>
          <w:rFonts w:ascii="Times New Roman" w:hAnsi="Times New Roman" w:cs="Times New Roman"/>
          <w:sz w:val="24"/>
          <w:szCs w:val="24"/>
        </w:rPr>
        <w:t>, chmeľ a cukrov</w:t>
      </w:r>
      <w:r w:rsidR="008F4775" w:rsidRPr="00FD3680">
        <w:rPr>
          <w:rFonts w:ascii="Times New Roman" w:hAnsi="Times New Roman" w:cs="Times New Roman"/>
          <w:sz w:val="24"/>
          <w:szCs w:val="24"/>
        </w:rPr>
        <w:t>á</w:t>
      </w:r>
      <w:r w:rsidRPr="00FD3680">
        <w:rPr>
          <w:rFonts w:ascii="Times New Roman" w:hAnsi="Times New Roman" w:cs="Times New Roman"/>
          <w:sz w:val="24"/>
          <w:szCs w:val="24"/>
        </w:rPr>
        <w:t xml:space="preserve"> rep</w:t>
      </w:r>
      <w:r w:rsidR="008F4775" w:rsidRPr="00FD3680">
        <w:rPr>
          <w:rFonts w:ascii="Times New Roman" w:hAnsi="Times New Roman" w:cs="Times New Roman"/>
          <w:sz w:val="24"/>
          <w:szCs w:val="24"/>
        </w:rPr>
        <w:t>a</w:t>
      </w:r>
      <w:r w:rsidRPr="00FD3680">
        <w:rPr>
          <w:rFonts w:ascii="Times New Roman" w:hAnsi="Times New Roman" w:cs="Times New Roman"/>
          <w:sz w:val="24"/>
          <w:szCs w:val="24"/>
        </w:rPr>
        <w:t>.</w:t>
      </w:r>
    </w:p>
    <w:p w:rsidR="00F96F13" w:rsidRPr="00FD3680" w:rsidRDefault="00F96F13" w:rsidP="00F96F13">
      <w:pPr>
        <w:spacing w:after="0" w:line="240" w:lineRule="auto"/>
        <w:jc w:val="both"/>
        <w:rPr>
          <w:rFonts w:ascii="Times New Roman" w:hAnsi="Times New Roman" w:cs="Times New Roman"/>
          <w:sz w:val="24"/>
          <w:szCs w:val="24"/>
        </w:rPr>
      </w:pPr>
    </w:p>
    <w:p w:rsidR="00F638E1" w:rsidRPr="00FD3680" w:rsidRDefault="00F638E1" w:rsidP="00F638E1">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Horizontálny pohľad na sendvičový systém znamená, že systém podpôr je trojpilierový. Skladá sa teda z podpôr v rámci I. piliera (priame platby), neprojektových opatrení v rámci II. piliera a vnútroštátnej pomoci. Podpory v rámci I. piliera predstavujú stabilizačnú zložku modelu financovania, t.j. dávajú subjektom poľnohospodárskej výroby istotu stabilizácie vykrytia výpadku zdrojového financovania aj v čase finančného napätia. Neprojektové </w:t>
      </w:r>
      <w:r w:rsidRPr="00FD3680">
        <w:rPr>
          <w:rFonts w:ascii="Times New Roman" w:hAnsi="Times New Roman" w:cs="Times New Roman"/>
          <w:sz w:val="24"/>
          <w:szCs w:val="24"/>
        </w:rPr>
        <w:lastRenderedPageBreak/>
        <w:t>podpory v rámci II. piliera kladú dôraz a nároky na kvalitatívnu stránku poľnohospodárskej produkcie. V oblasti rastlinnej výroby ide o platbu na znevýhodnené oblasti a podporu integrovanej a ekologickej produkcie. V oblasti živočíšnej výroby ide o podporu dobrých životných podmienok zvierat. Vnútroštátnou pomocou podporujeme vysoko senzitívne sektory v rámci rastlinnej a živočíšnej výroby a zamestnávanie znevýhodnených a značne znevýhodnených osôb. Ako doplnok ku kvalitatívnej zložke a na podporu jej budovania slúžia projektové opatrenia Programu rozvoja vidieka SR na roky 2014 – 2020, ktoré, v oblasti poľnohospodárstva, cielime predovšetkým na vybudovanie dodatočných kapacít pre živočíšnu produkciu a špeciálnu rastlinnú produkciu, zapájanie prvovýrobcov do spracovania svojej produkcie a na podporu spolupráce medzi prvovýrobcami a spracovateľmi tak, aby tvorili efektívnu protiváhu obchodným reťazcom.</w:t>
      </w:r>
    </w:p>
    <w:p w:rsidR="00F638E1" w:rsidRPr="00FD3680" w:rsidRDefault="00F638E1" w:rsidP="00F638E1">
      <w:pPr>
        <w:spacing w:after="0" w:line="240" w:lineRule="auto"/>
        <w:jc w:val="both"/>
        <w:rPr>
          <w:rFonts w:ascii="Times New Roman" w:hAnsi="Times New Roman" w:cs="Times New Roman"/>
          <w:sz w:val="24"/>
          <w:szCs w:val="24"/>
        </w:rPr>
      </w:pPr>
    </w:p>
    <w:p w:rsidR="00F638E1" w:rsidRPr="00FD3680" w:rsidRDefault="00F638E1" w:rsidP="00F638E1">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Horizontálny a vertikálny pohľad sú navzájom komplementárne, pričom majú rozdielnu intenzitu a cielenie podpôr. Podpory v rámci I. piliera majú tzv. stabilizačný (záchranný) charakter, teda zastavujú úpadok. Podpory v rámci II. piliera majú za cieľ podporovať kvalitatívnu zložku produkcie. Podpory v rámci vnútroštátnej pomoci majú tzv. systémový  charakter, to znamená systémovú podporu sektorov, ktoré prinášajú relatívne vysokú pridanú hodnotu a viažu na seba zamestnanosť.</w:t>
      </w:r>
    </w:p>
    <w:p w:rsidR="00F638E1" w:rsidRPr="00FD3680" w:rsidRDefault="00F638E1" w:rsidP="00F638E1">
      <w:pPr>
        <w:spacing w:after="0" w:line="240" w:lineRule="auto"/>
        <w:jc w:val="both"/>
        <w:rPr>
          <w:rFonts w:ascii="Times New Roman" w:hAnsi="Times New Roman" w:cs="Times New Roman"/>
          <w:sz w:val="24"/>
          <w:szCs w:val="24"/>
        </w:rPr>
      </w:pPr>
    </w:p>
    <w:p w:rsidR="00F638E1" w:rsidRPr="00FD3680" w:rsidRDefault="00F638E1" w:rsidP="00F638E1">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Aplikáciou sendvičového modelu financovania slovenského poľnohospodárstva sa pre subjekty poľnohospodárskej výroby zásadným spôsobom zvýši stabilita štruktúry a</w:t>
      </w:r>
      <w:r w:rsidR="008F4775" w:rsidRPr="00FD3680">
        <w:rPr>
          <w:rFonts w:ascii="Times New Roman" w:hAnsi="Times New Roman" w:cs="Times New Roman"/>
          <w:sz w:val="24"/>
          <w:szCs w:val="24"/>
        </w:rPr>
        <w:t xml:space="preserve"> úrovne </w:t>
      </w:r>
      <w:r w:rsidRPr="00FD3680">
        <w:rPr>
          <w:rFonts w:ascii="Times New Roman" w:hAnsi="Times New Roman" w:cs="Times New Roman"/>
          <w:sz w:val="24"/>
          <w:szCs w:val="24"/>
        </w:rPr>
        <w:t xml:space="preserve">dotačných titulov, čo im umožňuje </w:t>
      </w:r>
      <w:r w:rsidR="00495F8C" w:rsidRPr="00FD3680">
        <w:rPr>
          <w:rFonts w:ascii="Times New Roman" w:hAnsi="Times New Roman" w:cs="Times New Roman"/>
          <w:sz w:val="24"/>
          <w:szCs w:val="24"/>
        </w:rPr>
        <w:t xml:space="preserve">nastavenie svojich podnikateľských modelov až do roku 2020. Dôslednou cielenosťou podpôr a ich rozložením do troch základných zložiek (kvantitatívnej, kvalitatívnej a systémovej) sa radikálnym spôsobom zvýšila zapojenosť subjektov do jednotlivých typov podpôr a dôrazne sa uprednostnila kvalita pred kvantitou, pri zachovaní výraznej podpory intenzifikácie poľnohospodárskej produkcie. </w:t>
      </w:r>
    </w:p>
    <w:p w:rsidR="00F638E1" w:rsidRPr="00FD3680" w:rsidRDefault="00F638E1" w:rsidP="00F638E1">
      <w:pPr>
        <w:spacing w:after="0" w:line="240" w:lineRule="auto"/>
        <w:jc w:val="both"/>
        <w:rPr>
          <w:rFonts w:ascii="Times New Roman" w:hAnsi="Times New Roman" w:cs="Times New Roman"/>
          <w:sz w:val="24"/>
          <w:szCs w:val="24"/>
        </w:rPr>
      </w:pPr>
    </w:p>
    <w:p w:rsidR="00F638E1" w:rsidRPr="00FD3680" w:rsidRDefault="00F638E1" w:rsidP="00F638E1">
      <w:pPr>
        <w:spacing w:after="0" w:line="240" w:lineRule="auto"/>
        <w:jc w:val="both"/>
        <w:rPr>
          <w:rFonts w:ascii="Times New Roman" w:hAnsi="Times New Roman" w:cs="Times New Roman"/>
          <w:sz w:val="24"/>
          <w:szCs w:val="24"/>
        </w:rPr>
      </w:pPr>
    </w:p>
    <w:p w:rsidR="00A92368" w:rsidRPr="00FD3680" w:rsidRDefault="00A92368"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D1357E">
      <w:pPr>
        <w:spacing w:after="0" w:line="240" w:lineRule="auto"/>
        <w:jc w:val="both"/>
        <w:rPr>
          <w:rFonts w:ascii="Times New Roman" w:hAnsi="Times New Roman" w:cs="Times New Roman"/>
          <w:sz w:val="24"/>
          <w:szCs w:val="24"/>
        </w:rPr>
      </w:pPr>
    </w:p>
    <w:p w:rsidR="00495F8C" w:rsidRPr="00FD3680" w:rsidRDefault="00495F8C" w:rsidP="00771A68">
      <w:pPr>
        <w:pStyle w:val="Nadpis1"/>
        <w:numPr>
          <w:ilvl w:val="0"/>
          <w:numId w:val="36"/>
        </w:numPr>
      </w:pPr>
      <w:bookmarkStart w:id="5" w:name="_Toc394589418"/>
      <w:r w:rsidRPr="00FD3680">
        <w:lastRenderedPageBreak/>
        <w:t>nevyhnutné kroky pre nastolenie optimálneho stavu využiteľnosti základných výrobných faktorov cieľovou skupinou poľnohospodárskych subjektov</w:t>
      </w:r>
      <w:bookmarkEnd w:id="5"/>
    </w:p>
    <w:p w:rsidR="00A92368" w:rsidRPr="00FD3680" w:rsidRDefault="00A92368" w:rsidP="00D1357E">
      <w:pPr>
        <w:spacing w:after="0" w:line="240" w:lineRule="auto"/>
        <w:jc w:val="both"/>
        <w:rPr>
          <w:rFonts w:ascii="Times New Roman" w:hAnsi="Times New Roman" w:cs="Times New Roman"/>
          <w:sz w:val="24"/>
          <w:szCs w:val="24"/>
        </w:rPr>
      </w:pPr>
    </w:p>
    <w:p w:rsidR="00EA71B8" w:rsidRPr="00FD3680" w:rsidRDefault="00EA71B8" w:rsidP="00A65ED6">
      <w:pPr>
        <w:spacing w:after="0" w:line="240" w:lineRule="auto"/>
        <w:jc w:val="both"/>
        <w:rPr>
          <w:rFonts w:ascii="Times New Roman" w:hAnsi="Times New Roman" w:cs="Times New Roman"/>
          <w:sz w:val="24"/>
          <w:szCs w:val="24"/>
        </w:rPr>
      </w:pPr>
    </w:p>
    <w:p w:rsidR="00A65ED6" w:rsidRPr="00FD3680" w:rsidRDefault="004A44ED" w:rsidP="00A65ED6">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Analýza súčasného stavu využitia základných výrobných faktorov v poľnohospodárstve </w:t>
      </w:r>
      <w:r w:rsidR="00853656" w:rsidRPr="00FD3680">
        <w:rPr>
          <w:rFonts w:ascii="Times New Roman" w:hAnsi="Times New Roman" w:cs="Times New Roman"/>
          <w:sz w:val="24"/>
          <w:szCs w:val="24"/>
        </w:rPr>
        <w:t>ukázala, že z hľadiska optimalizácie stavu využiteľnosti týchto základných výrobných faktorov, p</w:t>
      </w:r>
      <w:r w:rsidRPr="00FD3680">
        <w:rPr>
          <w:rFonts w:ascii="Times New Roman" w:hAnsi="Times New Roman" w:cs="Times New Roman"/>
          <w:sz w:val="24"/>
          <w:szCs w:val="24"/>
        </w:rPr>
        <w:t>re cieľovú skupinu poľnohospodárskych subjektov</w:t>
      </w:r>
      <w:r w:rsidR="00853656" w:rsidRPr="00FD3680">
        <w:rPr>
          <w:rFonts w:ascii="Times New Roman" w:hAnsi="Times New Roman" w:cs="Times New Roman"/>
          <w:sz w:val="24"/>
          <w:szCs w:val="24"/>
        </w:rPr>
        <w:t>, bude nevyhnutné realizovať nasledovné opatrenia:</w:t>
      </w:r>
      <w:r w:rsidRPr="00FD3680">
        <w:rPr>
          <w:rFonts w:ascii="Times New Roman" w:hAnsi="Times New Roman" w:cs="Times New Roman"/>
          <w:sz w:val="24"/>
          <w:szCs w:val="24"/>
        </w:rPr>
        <w:t xml:space="preserve"> </w:t>
      </w:r>
    </w:p>
    <w:p w:rsidR="00EA71B8" w:rsidRPr="00FD3680" w:rsidRDefault="00EA71B8" w:rsidP="00EA71B8">
      <w:pPr>
        <w:spacing w:after="0" w:line="240" w:lineRule="auto"/>
        <w:jc w:val="both"/>
        <w:rPr>
          <w:rFonts w:ascii="Times New Roman" w:hAnsi="Times New Roman" w:cs="Times New Roman"/>
          <w:sz w:val="24"/>
          <w:szCs w:val="24"/>
        </w:rPr>
      </w:pPr>
    </w:p>
    <w:p w:rsidR="00EA71B8" w:rsidRPr="00FD3680" w:rsidRDefault="00EA71B8" w:rsidP="00771A68">
      <w:pPr>
        <w:pStyle w:val="Odsekzoznamu"/>
        <w:numPr>
          <w:ilvl w:val="0"/>
          <w:numId w:val="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uľahčiť cieľovej skupine poľnohospodárskych subjektov prístup ku vhodnej poľnohospodárskej pôde tak, aby dostupnosť tohto základného výrobného faktora nepredstavovala zásadnú prekážku začatia alebo pokračovania podnikania v poľnohospodárstve; a</w:t>
      </w:r>
    </w:p>
    <w:p w:rsidR="00EA71B8" w:rsidRPr="00FD3680" w:rsidRDefault="00EA71B8" w:rsidP="00EA71B8">
      <w:pPr>
        <w:pStyle w:val="Odsekzoznamu"/>
        <w:spacing w:after="0" w:line="240" w:lineRule="auto"/>
        <w:jc w:val="both"/>
        <w:rPr>
          <w:rFonts w:ascii="Times New Roman" w:hAnsi="Times New Roman" w:cs="Times New Roman"/>
          <w:sz w:val="24"/>
          <w:szCs w:val="24"/>
        </w:rPr>
      </w:pPr>
    </w:p>
    <w:p w:rsidR="001A1861" w:rsidRPr="00FD3680" w:rsidRDefault="001A1861" w:rsidP="00771A68">
      <w:pPr>
        <w:pStyle w:val="Odsekzoznamu"/>
        <w:numPr>
          <w:ilvl w:val="0"/>
          <w:numId w:val="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podporiť začatie podnikania pre cieľovú skupinu poľnohospodárskych subjektov tak, aby vstupné náklady podnikania v poľnohospodárstve neobmedzovali vôľu cieľovej skupiny subjektov </w:t>
      </w:r>
      <w:r w:rsidR="00242CA6" w:rsidRPr="00FD3680">
        <w:rPr>
          <w:rFonts w:ascii="Times New Roman" w:hAnsi="Times New Roman" w:cs="Times New Roman"/>
          <w:sz w:val="24"/>
          <w:szCs w:val="24"/>
        </w:rPr>
        <w:t>založiť si poľnohospodársky podnikateľský subjekt;</w:t>
      </w:r>
      <w:r w:rsidRPr="00FD3680">
        <w:rPr>
          <w:rFonts w:ascii="Times New Roman" w:hAnsi="Times New Roman" w:cs="Times New Roman"/>
          <w:sz w:val="24"/>
          <w:szCs w:val="24"/>
        </w:rPr>
        <w:t xml:space="preserve"> </w:t>
      </w:r>
    </w:p>
    <w:p w:rsidR="004B45B1" w:rsidRPr="00FD3680" w:rsidRDefault="004B45B1" w:rsidP="00C04683">
      <w:pPr>
        <w:spacing w:after="0" w:line="240" w:lineRule="auto"/>
        <w:jc w:val="both"/>
        <w:rPr>
          <w:rFonts w:ascii="Times New Roman" w:hAnsi="Times New Roman" w:cs="Times New Roman"/>
          <w:sz w:val="24"/>
          <w:szCs w:val="24"/>
        </w:rPr>
      </w:pPr>
    </w:p>
    <w:p w:rsidR="00853656" w:rsidRPr="00FD3680" w:rsidRDefault="00853656" w:rsidP="00771A68">
      <w:pPr>
        <w:pStyle w:val="Odsekzoznamu"/>
        <w:numPr>
          <w:ilvl w:val="0"/>
          <w:numId w:val="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znížiť náklady na zamestnávanie pre cieľovú skupinu poľnohospodárskych subjektov osobitne motivačným spôsobom tak, aby začínajúci </w:t>
      </w:r>
      <w:r w:rsidR="00EA71B8" w:rsidRPr="00FD3680">
        <w:rPr>
          <w:rFonts w:ascii="Times New Roman" w:hAnsi="Times New Roman" w:cs="Times New Roman"/>
          <w:sz w:val="24"/>
          <w:szCs w:val="24"/>
        </w:rPr>
        <w:t xml:space="preserve">a existujúci </w:t>
      </w:r>
      <w:r w:rsidRPr="00FD3680">
        <w:rPr>
          <w:rFonts w:ascii="Times New Roman" w:hAnsi="Times New Roman" w:cs="Times New Roman"/>
          <w:sz w:val="24"/>
          <w:szCs w:val="24"/>
        </w:rPr>
        <w:t>poľnohospodárski podnikatelia neniesli plnú váhu osobných nákladov na seba a svojich zamestnancov a mohli rozhodujúcu časť svojho vstupného kapitálu použiť na začatie a zveľaďovanie svojho podnikania;</w:t>
      </w:r>
    </w:p>
    <w:p w:rsidR="00AD112E" w:rsidRPr="00FD3680" w:rsidRDefault="00AD112E" w:rsidP="00AD112E">
      <w:pPr>
        <w:spacing w:after="0" w:line="240" w:lineRule="auto"/>
        <w:jc w:val="both"/>
        <w:rPr>
          <w:rFonts w:ascii="Times New Roman" w:hAnsi="Times New Roman" w:cs="Times New Roman"/>
          <w:sz w:val="24"/>
          <w:szCs w:val="24"/>
        </w:rPr>
      </w:pPr>
    </w:p>
    <w:p w:rsidR="00AD112E" w:rsidRPr="00FD3680" w:rsidRDefault="00AD112E" w:rsidP="00771A68">
      <w:pPr>
        <w:pStyle w:val="Odsekzoznamu"/>
        <w:numPr>
          <w:ilvl w:val="0"/>
          <w:numId w:val="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zlepšiť prístup cieľovej skupiny poľnohospodárskych podnikateľov k m</w:t>
      </w:r>
      <w:r w:rsidR="000D6A9A" w:rsidRPr="00FD3680">
        <w:rPr>
          <w:rFonts w:ascii="Times New Roman" w:hAnsi="Times New Roman" w:cs="Times New Roman"/>
          <w:sz w:val="24"/>
          <w:szCs w:val="24"/>
        </w:rPr>
        <w:t>ožnostiam čerpania projektových</w:t>
      </w:r>
      <w:r w:rsidR="00821BBC" w:rsidRPr="00FD3680">
        <w:rPr>
          <w:rFonts w:ascii="Times New Roman" w:hAnsi="Times New Roman" w:cs="Times New Roman"/>
          <w:sz w:val="24"/>
          <w:szCs w:val="24"/>
        </w:rPr>
        <w:t xml:space="preserve"> </w:t>
      </w:r>
      <w:r w:rsidRPr="00FD3680">
        <w:rPr>
          <w:rFonts w:ascii="Times New Roman" w:hAnsi="Times New Roman" w:cs="Times New Roman"/>
          <w:sz w:val="24"/>
          <w:szCs w:val="24"/>
        </w:rPr>
        <w:t xml:space="preserve">podpôr PRV SR 2014 – 2020 tak, aby </w:t>
      </w:r>
      <w:r w:rsidR="0076674D" w:rsidRPr="00FD3680">
        <w:rPr>
          <w:rFonts w:ascii="Times New Roman" w:hAnsi="Times New Roman" w:cs="Times New Roman"/>
          <w:sz w:val="24"/>
          <w:szCs w:val="24"/>
        </w:rPr>
        <w:t>sa zvýšila ich konkurencieschopnos</w:t>
      </w:r>
      <w:r w:rsidR="00C04683" w:rsidRPr="00FD3680">
        <w:rPr>
          <w:rFonts w:ascii="Times New Roman" w:hAnsi="Times New Roman" w:cs="Times New Roman"/>
          <w:sz w:val="24"/>
          <w:szCs w:val="24"/>
        </w:rPr>
        <w:t xml:space="preserve">ť v trhovom prostredí SR a EÚ; </w:t>
      </w:r>
    </w:p>
    <w:p w:rsidR="00105BD1" w:rsidRPr="00FD3680" w:rsidRDefault="00105BD1" w:rsidP="00105BD1">
      <w:pPr>
        <w:spacing w:after="0" w:line="240" w:lineRule="auto"/>
        <w:jc w:val="both"/>
        <w:rPr>
          <w:rFonts w:ascii="Times New Roman" w:hAnsi="Times New Roman" w:cs="Times New Roman"/>
          <w:sz w:val="24"/>
          <w:szCs w:val="24"/>
        </w:rPr>
      </w:pPr>
    </w:p>
    <w:p w:rsidR="001A1861" w:rsidRPr="00FD3680" w:rsidRDefault="00242CA6" w:rsidP="00771A68">
      <w:pPr>
        <w:pStyle w:val="Odsekzoznamu"/>
        <w:numPr>
          <w:ilvl w:val="0"/>
          <w:numId w:val="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umožniť prístup cieľovej skupiny </w:t>
      </w:r>
      <w:r w:rsidR="00EA71B8" w:rsidRPr="00FD3680">
        <w:rPr>
          <w:rFonts w:ascii="Times New Roman" w:hAnsi="Times New Roman" w:cs="Times New Roman"/>
          <w:sz w:val="24"/>
          <w:szCs w:val="24"/>
        </w:rPr>
        <w:t xml:space="preserve">začínajúcich </w:t>
      </w:r>
      <w:r w:rsidRPr="00FD3680">
        <w:rPr>
          <w:rFonts w:ascii="Times New Roman" w:hAnsi="Times New Roman" w:cs="Times New Roman"/>
          <w:sz w:val="24"/>
          <w:szCs w:val="24"/>
        </w:rPr>
        <w:t xml:space="preserve">poľnohospodárskych </w:t>
      </w:r>
      <w:r w:rsidR="00EA71B8" w:rsidRPr="00FD3680">
        <w:rPr>
          <w:rFonts w:ascii="Times New Roman" w:hAnsi="Times New Roman" w:cs="Times New Roman"/>
          <w:sz w:val="24"/>
          <w:szCs w:val="24"/>
        </w:rPr>
        <w:t>podnikateľov</w:t>
      </w:r>
      <w:r w:rsidRPr="00FD3680">
        <w:rPr>
          <w:rFonts w:ascii="Times New Roman" w:hAnsi="Times New Roman" w:cs="Times New Roman"/>
          <w:sz w:val="24"/>
          <w:szCs w:val="24"/>
        </w:rPr>
        <w:t xml:space="preserve"> k úverovému predfinancovaniu svojich prevádzkových </w:t>
      </w:r>
      <w:r w:rsidR="008B69EC" w:rsidRPr="00FD3680">
        <w:rPr>
          <w:rFonts w:ascii="Times New Roman" w:hAnsi="Times New Roman" w:cs="Times New Roman"/>
          <w:sz w:val="24"/>
          <w:szCs w:val="24"/>
        </w:rPr>
        <w:t xml:space="preserve">a kapitálových </w:t>
      </w:r>
      <w:r w:rsidRPr="00FD3680">
        <w:rPr>
          <w:rFonts w:ascii="Times New Roman" w:hAnsi="Times New Roman" w:cs="Times New Roman"/>
          <w:sz w:val="24"/>
          <w:szCs w:val="24"/>
        </w:rPr>
        <w:t>potrieb tak, aby časový nesúlad výdavkov na podnikateľskú činnosť a príjmov z realizácie výstupov z podnikateľskej činnosti neviazali zásadnú časť vstupného kapitálu podnikateľského subjektu, ktorú by inak použili na</w:t>
      </w:r>
      <w:r w:rsidR="00A41A88" w:rsidRPr="00FD3680">
        <w:rPr>
          <w:rFonts w:ascii="Times New Roman" w:hAnsi="Times New Roman" w:cs="Times New Roman"/>
          <w:sz w:val="24"/>
          <w:szCs w:val="24"/>
        </w:rPr>
        <w:t xml:space="preserve"> zveľaďovanie svojho podnikania</w:t>
      </w:r>
      <w:r w:rsidR="0007521F" w:rsidRPr="00FD3680">
        <w:rPr>
          <w:rFonts w:ascii="Times New Roman" w:hAnsi="Times New Roman" w:cs="Times New Roman"/>
          <w:sz w:val="24"/>
          <w:szCs w:val="24"/>
        </w:rPr>
        <w:t xml:space="preserve">; </w:t>
      </w:r>
    </w:p>
    <w:p w:rsidR="00C04683" w:rsidRPr="00FD3680" w:rsidRDefault="00C04683" w:rsidP="00C04683">
      <w:pPr>
        <w:pStyle w:val="Odsekzoznamu"/>
        <w:rPr>
          <w:rFonts w:ascii="Times New Roman" w:hAnsi="Times New Roman" w:cs="Times New Roman"/>
          <w:sz w:val="24"/>
          <w:szCs w:val="24"/>
        </w:rPr>
      </w:pPr>
    </w:p>
    <w:p w:rsidR="00C04683" w:rsidRPr="00FD3680" w:rsidRDefault="00C04683" w:rsidP="00771A68">
      <w:pPr>
        <w:pStyle w:val="Odsekzoznamu"/>
        <w:numPr>
          <w:ilvl w:val="0"/>
          <w:numId w:val="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podporiť pre cieľovú skupinu poľnohospodárskych podnikateľov, výrobu, odbyt a označovanie poľnohospodárskych výrobkov a potravín, tak, aby tieto aspekty podnikateľskej činnosti stimulovali pridávanie hodnoty do poľnoho</w:t>
      </w:r>
      <w:r w:rsidR="0007521F" w:rsidRPr="00FD3680">
        <w:rPr>
          <w:rFonts w:ascii="Times New Roman" w:hAnsi="Times New Roman" w:cs="Times New Roman"/>
          <w:sz w:val="24"/>
          <w:szCs w:val="24"/>
        </w:rPr>
        <w:t>spodárskych produktov a služieb; a</w:t>
      </w:r>
    </w:p>
    <w:p w:rsidR="0007521F" w:rsidRPr="00FD3680" w:rsidRDefault="0007521F" w:rsidP="0007521F">
      <w:pPr>
        <w:pStyle w:val="Odsekzoznamu"/>
        <w:rPr>
          <w:rFonts w:ascii="Times New Roman" w:hAnsi="Times New Roman" w:cs="Times New Roman"/>
          <w:sz w:val="24"/>
          <w:szCs w:val="24"/>
        </w:rPr>
      </w:pPr>
    </w:p>
    <w:p w:rsidR="0007521F" w:rsidRPr="00FD3680" w:rsidRDefault="0007521F" w:rsidP="00771A68">
      <w:pPr>
        <w:pStyle w:val="Odsekzoznamu"/>
        <w:numPr>
          <w:ilvl w:val="0"/>
          <w:numId w:val="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uľahčiť pre cieľovú skupinu poľnohospodárskych podnikateľov prístup k neprojektovým opatreniam Programu rozvoja vidieka a podporám v rámci priamych platieb tak, aby bola pomerná vybavenosť prevádzkovým kapitálom porovnateľná s referenčnými poľnohospodárskymi subjektmi na Slovensku.</w:t>
      </w:r>
    </w:p>
    <w:p w:rsidR="0076674D" w:rsidRPr="00FD3680" w:rsidRDefault="0076674D" w:rsidP="0076674D">
      <w:pPr>
        <w:spacing w:after="0" w:line="240" w:lineRule="auto"/>
        <w:jc w:val="both"/>
        <w:rPr>
          <w:rFonts w:ascii="Times New Roman" w:hAnsi="Times New Roman" w:cs="Times New Roman"/>
          <w:sz w:val="24"/>
          <w:szCs w:val="24"/>
        </w:rPr>
      </w:pPr>
    </w:p>
    <w:p w:rsidR="00190AC5" w:rsidRPr="00FD3680" w:rsidRDefault="00190AC5" w:rsidP="0076674D">
      <w:pPr>
        <w:spacing w:after="0" w:line="240" w:lineRule="auto"/>
        <w:jc w:val="both"/>
        <w:rPr>
          <w:rFonts w:ascii="Times New Roman" w:hAnsi="Times New Roman" w:cs="Times New Roman"/>
          <w:sz w:val="24"/>
          <w:szCs w:val="24"/>
        </w:rPr>
      </w:pPr>
    </w:p>
    <w:p w:rsidR="00190AC5" w:rsidRPr="00FD3680" w:rsidRDefault="00190AC5" w:rsidP="0076674D">
      <w:pPr>
        <w:spacing w:after="0" w:line="240" w:lineRule="auto"/>
        <w:jc w:val="both"/>
        <w:rPr>
          <w:rFonts w:ascii="Times New Roman" w:hAnsi="Times New Roman" w:cs="Times New Roman"/>
          <w:sz w:val="24"/>
          <w:szCs w:val="24"/>
        </w:rPr>
      </w:pPr>
    </w:p>
    <w:p w:rsidR="0076674D" w:rsidRPr="00FD3680" w:rsidRDefault="00105BD1" w:rsidP="0076674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 xml:space="preserve">Ako už bolo prezentované vo východiskách, </w:t>
      </w:r>
      <w:r w:rsidR="0076674D" w:rsidRPr="00FD3680">
        <w:rPr>
          <w:rFonts w:ascii="Times New Roman" w:hAnsi="Times New Roman" w:cs="Times New Roman"/>
          <w:sz w:val="24"/>
          <w:szCs w:val="24"/>
        </w:rPr>
        <w:t xml:space="preserve">hlavným cieľom tejto koncepcie je predovšetkým podporiť diverzitu štruktúry poľnohospodárskych podnikov, zvýšiť životaschopnosť malých, mladých a rodinných </w:t>
      </w:r>
      <w:r w:rsidR="0007521F" w:rsidRPr="00FD3680">
        <w:rPr>
          <w:rFonts w:ascii="Times New Roman" w:hAnsi="Times New Roman" w:cs="Times New Roman"/>
          <w:sz w:val="24"/>
          <w:szCs w:val="24"/>
        </w:rPr>
        <w:t>farmárov</w:t>
      </w:r>
      <w:r w:rsidR="0076674D" w:rsidRPr="00FD3680">
        <w:rPr>
          <w:rFonts w:ascii="Times New Roman" w:hAnsi="Times New Roman" w:cs="Times New Roman"/>
          <w:sz w:val="24"/>
          <w:szCs w:val="24"/>
        </w:rPr>
        <w:t xml:space="preserve"> a zvýšiť a podporiť ich integráciu do potravinovej vertikály. </w:t>
      </w:r>
    </w:p>
    <w:p w:rsidR="0076674D" w:rsidRPr="00FD3680" w:rsidRDefault="0076674D" w:rsidP="0076674D">
      <w:pPr>
        <w:spacing w:after="0" w:line="240" w:lineRule="auto"/>
        <w:jc w:val="both"/>
        <w:rPr>
          <w:rFonts w:ascii="Times New Roman" w:hAnsi="Times New Roman" w:cs="Times New Roman"/>
          <w:sz w:val="24"/>
          <w:szCs w:val="24"/>
        </w:rPr>
      </w:pPr>
    </w:p>
    <w:p w:rsidR="0076674D" w:rsidRPr="00FD3680" w:rsidRDefault="0076674D" w:rsidP="0076674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Berúc do úvahy slobodu ekonomickej aktivity obyvateľov Slovenskej republiky, vyššie uvedené opatrenia je žiaduce aplikovať na cieľovú skupinu poľnohospodárskych subjektov podľa intenzity napĺňania myšlienkového základu a hlavného cieľa tejto koncepcie. </w:t>
      </w:r>
    </w:p>
    <w:p w:rsidR="00190AC5" w:rsidRPr="00FD3680" w:rsidRDefault="00190AC5" w:rsidP="0076674D">
      <w:pPr>
        <w:spacing w:after="0" w:line="240" w:lineRule="auto"/>
        <w:jc w:val="both"/>
        <w:rPr>
          <w:rFonts w:ascii="Times New Roman" w:hAnsi="Times New Roman" w:cs="Times New Roman"/>
          <w:sz w:val="24"/>
          <w:szCs w:val="24"/>
        </w:rPr>
      </w:pPr>
    </w:p>
    <w:p w:rsidR="0076674D" w:rsidRPr="00FD3680" w:rsidRDefault="0076674D" w:rsidP="00771A68">
      <w:pPr>
        <w:pStyle w:val="Nadpis2"/>
        <w:numPr>
          <w:ilvl w:val="1"/>
          <w:numId w:val="36"/>
        </w:numPr>
        <w:rPr>
          <w:rFonts w:cs="Times New Roman"/>
          <w:b w:val="0"/>
          <w:szCs w:val="28"/>
        </w:rPr>
      </w:pPr>
      <w:bookmarkStart w:id="6" w:name="_Toc394589419"/>
      <w:r w:rsidRPr="00FD3680">
        <w:t>Podpora prístupu k poľnohospodárskej pôde</w:t>
      </w:r>
      <w:bookmarkEnd w:id="6"/>
    </w:p>
    <w:p w:rsidR="0076674D" w:rsidRPr="00FD3680" w:rsidRDefault="0076674D" w:rsidP="0076674D">
      <w:pPr>
        <w:spacing w:after="0" w:line="240" w:lineRule="auto"/>
        <w:jc w:val="both"/>
        <w:rPr>
          <w:rFonts w:ascii="Times New Roman" w:hAnsi="Times New Roman" w:cs="Times New Roman"/>
          <w:sz w:val="24"/>
          <w:szCs w:val="24"/>
        </w:rPr>
      </w:pPr>
    </w:p>
    <w:p w:rsidR="0076674D" w:rsidRPr="00FD3680" w:rsidRDefault="0076674D" w:rsidP="0076674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Hlavným cieľom podpory prístupu k poľnohospodárskej pôde je uľahčiť poľnohospodárskym podnikateľom prístup k vhodnej poľnohospodárskej pôde tak, aby dostupnosť tohto základného výrobného faktora nepredstavovala zásadnú prekážku začatia alebo pokračovania podnikania v poľnohospodárstve.</w:t>
      </w:r>
    </w:p>
    <w:p w:rsidR="0076674D" w:rsidRPr="00FD3680" w:rsidRDefault="0076674D" w:rsidP="0076674D">
      <w:pPr>
        <w:spacing w:after="0" w:line="240" w:lineRule="auto"/>
        <w:jc w:val="both"/>
        <w:rPr>
          <w:rFonts w:ascii="Times New Roman" w:hAnsi="Times New Roman" w:cs="Times New Roman"/>
          <w:sz w:val="24"/>
          <w:szCs w:val="24"/>
        </w:rPr>
      </w:pPr>
    </w:p>
    <w:p w:rsidR="004B45B1" w:rsidRPr="00FD3680" w:rsidRDefault="0076674D" w:rsidP="0076674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Podpora prístupu k poľnohospodárskej pôde by sa mala sústrediť na uľahčenie kúpy a prenájmu vhodnej poľnohospodárskej pôdy</w:t>
      </w:r>
      <w:r w:rsidR="0007521F" w:rsidRPr="00FD3680">
        <w:rPr>
          <w:rFonts w:ascii="Times New Roman" w:hAnsi="Times New Roman" w:cs="Times New Roman"/>
          <w:sz w:val="24"/>
          <w:szCs w:val="24"/>
        </w:rPr>
        <w:t>, a to pre všetky kategórie cieľovej skupiny poľnohospodárskych podnikateľov, t.j. pre malých, mladých a rodinných farmárov</w:t>
      </w:r>
      <w:r w:rsidR="004B45B1" w:rsidRPr="00FD3680">
        <w:rPr>
          <w:rFonts w:ascii="Times New Roman" w:hAnsi="Times New Roman" w:cs="Times New Roman"/>
          <w:sz w:val="24"/>
          <w:szCs w:val="24"/>
        </w:rPr>
        <w:t>.</w:t>
      </w:r>
    </w:p>
    <w:p w:rsidR="004B45B1" w:rsidRPr="00FD3680" w:rsidRDefault="004B45B1" w:rsidP="0076674D">
      <w:pPr>
        <w:spacing w:after="0" w:line="240" w:lineRule="auto"/>
        <w:jc w:val="both"/>
        <w:rPr>
          <w:rFonts w:ascii="Times New Roman" w:hAnsi="Times New Roman" w:cs="Times New Roman"/>
          <w:sz w:val="24"/>
          <w:szCs w:val="24"/>
        </w:rPr>
      </w:pPr>
    </w:p>
    <w:p w:rsidR="003B42F5" w:rsidRPr="00FD3680" w:rsidRDefault="003B42F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Vzhľadom na problém rozdrobenosti vlastníctva poľnohospodárskych pôd a nízky potenciál získania vhodnej poľnohospodárskej pôdy, je do istej miery samoúčelné ponechať tento aspekt pre cieľovú skupinu poľnohospodárskych podnikateľov nevyriešený. </w:t>
      </w:r>
    </w:p>
    <w:p w:rsidR="004B45B1" w:rsidRPr="00FD3680" w:rsidRDefault="004B45B1" w:rsidP="0076674D">
      <w:pPr>
        <w:spacing w:after="0" w:line="240" w:lineRule="auto"/>
        <w:jc w:val="both"/>
        <w:rPr>
          <w:rFonts w:ascii="Times New Roman" w:hAnsi="Times New Roman" w:cs="Times New Roman"/>
          <w:sz w:val="24"/>
          <w:szCs w:val="24"/>
        </w:rPr>
      </w:pPr>
    </w:p>
    <w:p w:rsidR="0076674D" w:rsidRPr="00FD3680" w:rsidRDefault="003B42F5" w:rsidP="0076674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Na základe analýzy možností zvýšenia prístupnosti k poľnohospodárskej pôde boli vyšpecifikované tieto efektívne formy podpory</w:t>
      </w:r>
      <w:r w:rsidR="0076674D" w:rsidRPr="00FD3680">
        <w:rPr>
          <w:rFonts w:ascii="Times New Roman" w:hAnsi="Times New Roman" w:cs="Times New Roman"/>
          <w:sz w:val="24"/>
          <w:szCs w:val="24"/>
        </w:rPr>
        <w:t>:</w:t>
      </w:r>
    </w:p>
    <w:p w:rsidR="00190AC5" w:rsidRPr="00FD3680" w:rsidRDefault="00190AC5" w:rsidP="0076674D">
      <w:pPr>
        <w:spacing w:after="0" w:line="240" w:lineRule="auto"/>
        <w:jc w:val="both"/>
        <w:rPr>
          <w:rFonts w:ascii="Times New Roman" w:hAnsi="Times New Roman" w:cs="Times New Roman"/>
          <w:sz w:val="24"/>
          <w:szCs w:val="24"/>
        </w:rPr>
      </w:pPr>
    </w:p>
    <w:p w:rsidR="0076674D" w:rsidRPr="00FD3680" w:rsidRDefault="00190AC5" w:rsidP="00771A68">
      <w:pPr>
        <w:pStyle w:val="Odsekzoznamu"/>
        <w:numPr>
          <w:ilvl w:val="0"/>
          <w:numId w:val="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dlhodobý prenájom vhodnej poľnohospodárskej pôdy</w:t>
      </w:r>
      <w:r w:rsidR="0076674D" w:rsidRPr="00FD3680">
        <w:rPr>
          <w:rFonts w:ascii="Times New Roman" w:hAnsi="Times New Roman" w:cs="Times New Roman"/>
          <w:sz w:val="24"/>
          <w:szCs w:val="24"/>
        </w:rPr>
        <w:t>;</w:t>
      </w:r>
      <w:r w:rsidR="003339F3" w:rsidRPr="00FD3680">
        <w:rPr>
          <w:rFonts w:ascii="Times New Roman" w:hAnsi="Times New Roman" w:cs="Times New Roman"/>
          <w:sz w:val="24"/>
          <w:szCs w:val="24"/>
        </w:rPr>
        <w:t xml:space="preserve"> </w:t>
      </w:r>
    </w:p>
    <w:p w:rsidR="003B42F5" w:rsidRPr="00FD3680" w:rsidRDefault="003B42F5" w:rsidP="00771A68">
      <w:pPr>
        <w:pStyle w:val="Odsekzoznamu"/>
        <w:numPr>
          <w:ilvl w:val="0"/>
          <w:numId w:val="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pomoc</w:t>
      </w:r>
      <w:r w:rsidR="0076674D" w:rsidRPr="00FD3680">
        <w:rPr>
          <w:rFonts w:ascii="Times New Roman" w:hAnsi="Times New Roman" w:cs="Times New Roman"/>
          <w:sz w:val="24"/>
          <w:szCs w:val="24"/>
        </w:rPr>
        <w:t xml:space="preserve"> </w:t>
      </w:r>
      <w:r w:rsidRPr="00FD3680">
        <w:rPr>
          <w:rFonts w:ascii="Times New Roman" w:hAnsi="Times New Roman" w:cs="Times New Roman"/>
          <w:sz w:val="24"/>
          <w:szCs w:val="24"/>
        </w:rPr>
        <w:t>pri prefinancovaní</w:t>
      </w:r>
      <w:r w:rsidR="003339F3" w:rsidRPr="00FD3680">
        <w:rPr>
          <w:rFonts w:ascii="Times New Roman" w:hAnsi="Times New Roman" w:cs="Times New Roman"/>
          <w:sz w:val="24"/>
          <w:szCs w:val="24"/>
        </w:rPr>
        <w:t xml:space="preserve"> kúpy poľnohospodárskej pôdy; a</w:t>
      </w:r>
    </w:p>
    <w:p w:rsidR="003339F3" w:rsidRPr="00FD3680" w:rsidRDefault="003339F3" w:rsidP="00771A68">
      <w:pPr>
        <w:pStyle w:val="Odsekzoznamu"/>
        <w:numPr>
          <w:ilvl w:val="0"/>
          <w:numId w:val="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pokračovanie realizácie pozemkových úprav.</w:t>
      </w:r>
    </w:p>
    <w:p w:rsidR="003339F3" w:rsidRPr="00FD3680" w:rsidRDefault="003339F3" w:rsidP="00190AC5">
      <w:pPr>
        <w:spacing w:after="0" w:line="240" w:lineRule="auto"/>
        <w:jc w:val="both"/>
        <w:rPr>
          <w:rFonts w:ascii="Times New Roman" w:hAnsi="Times New Roman" w:cs="Times New Roman"/>
          <w:sz w:val="24"/>
          <w:szCs w:val="24"/>
        </w:rPr>
      </w:pPr>
    </w:p>
    <w:p w:rsidR="00F633BF" w:rsidRPr="00FD3680" w:rsidRDefault="00F633BF" w:rsidP="00771A68">
      <w:pPr>
        <w:pStyle w:val="Odsekzoznamu"/>
        <w:keepNext/>
        <w:keepLines/>
        <w:numPr>
          <w:ilvl w:val="0"/>
          <w:numId w:val="35"/>
        </w:numPr>
        <w:spacing w:before="480" w:after="0"/>
        <w:contextualSpacing w:val="0"/>
        <w:outlineLvl w:val="0"/>
        <w:rPr>
          <w:rFonts w:ascii="Times New Roman" w:eastAsiaTheme="majorEastAsia" w:hAnsi="Times New Roman" w:cstheme="majorBidi"/>
          <w:b/>
          <w:bCs/>
          <w:caps/>
          <w:vanish/>
          <w:sz w:val="28"/>
          <w:szCs w:val="28"/>
        </w:rPr>
      </w:pPr>
      <w:bookmarkStart w:id="7" w:name="_Toc394589420"/>
      <w:bookmarkEnd w:id="7"/>
    </w:p>
    <w:p w:rsidR="00F633BF" w:rsidRPr="00FD3680" w:rsidRDefault="00F633BF" w:rsidP="00771A68">
      <w:pPr>
        <w:pStyle w:val="Odsekzoznamu"/>
        <w:keepNext/>
        <w:keepLines/>
        <w:numPr>
          <w:ilvl w:val="0"/>
          <w:numId w:val="35"/>
        </w:numPr>
        <w:spacing w:before="480" w:after="0"/>
        <w:contextualSpacing w:val="0"/>
        <w:outlineLvl w:val="0"/>
        <w:rPr>
          <w:rFonts w:ascii="Times New Roman" w:eastAsiaTheme="majorEastAsia" w:hAnsi="Times New Roman" w:cstheme="majorBidi"/>
          <w:b/>
          <w:bCs/>
          <w:caps/>
          <w:vanish/>
          <w:sz w:val="28"/>
          <w:szCs w:val="28"/>
        </w:rPr>
      </w:pPr>
      <w:bookmarkStart w:id="8" w:name="_Toc394589421"/>
      <w:bookmarkEnd w:id="8"/>
    </w:p>
    <w:p w:rsidR="00F633BF" w:rsidRPr="00FD3680" w:rsidRDefault="00F633BF" w:rsidP="00771A68">
      <w:pPr>
        <w:pStyle w:val="Odsekzoznamu"/>
        <w:keepNext/>
        <w:keepLines/>
        <w:numPr>
          <w:ilvl w:val="0"/>
          <w:numId w:val="35"/>
        </w:numPr>
        <w:spacing w:before="480" w:after="0"/>
        <w:contextualSpacing w:val="0"/>
        <w:outlineLvl w:val="0"/>
        <w:rPr>
          <w:rFonts w:ascii="Times New Roman" w:eastAsiaTheme="majorEastAsia" w:hAnsi="Times New Roman" w:cstheme="majorBidi"/>
          <w:b/>
          <w:bCs/>
          <w:caps/>
          <w:vanish/>
          <w:sz w:val="28"/>
          <w:szCs w:val="28"/>
        </w:rPr>
      </w:pPr>
      <w:bookmarkStart w:id="9" w:name="_Toc394589422"/>
      <w:bookmarkEnd w:id="9"/>
    </w:p>
    <w:p w:rsidR="00F633BF" w:rsidRPr="00FD3680" w:rsidRDefault="00F633BF" w:rsidP="00771A68">
      <w:pPr>
        <w:pStyle w:val="Odsekzoznamu"/>
        <w:keepNext/>
        <w:keepLines/>
        <w:numPr>
          <w:ilvl w:val="1"/>
          <w:numId w:val="35"/>
        </w:numPr>
        <w:spacing w:before="200" w:after="0"/>
        <w:contextualSpacing w:val="0"/>
        <w:outlineLvl w:val="1"/>
        <w:rPr>
          <w:rFonts w:ascii="Times New Roman" w:eastAsiaTheme="majorEastAsia" w:hAnsi="Times New Roman" w:cstheme="majorBidi"/>
          <w:b/>
          <w:bCs/>
          <w:vanish/>
          <w:sz w:val="28"/>
          <w:szCs w:val="26"/>
        </w:rPr>
      </w:pPr>
      <w:bookmarkStart w:id="10" w:name="_Toc394589423"/>
      <w:bookmarkEnd w:id="10"/>
    </w:p>
    <w:p w:rsidR="003339F3" w:rsidRPr="00FD3680" w:rsidRDefault="00190AC5" w:rsidP="00F633BF">
      <w:pPr>
        <w:pStyle w:val="Nadpis3"/>
      </w:pPr>
      <w:bookmarkStart w:id="11" w:name="_Toc394589424"/>
      <w:r w:rsidRPr="00FD3680">
        <w:t>Dlhodobý prenájom vhodnej poľnohospodárskej pôdy</w:t>
      </w:r>
      <w:bookmarkEnd w:id="11"/>
      <w:r w:rsidRPr="00FD3680">
        <w:t xml:space="preserve"> </w:t>
      </w:r>
    </w:p>
    <w:p w:rsidR="003339F3" w:rsidRPr="00FD3680" w:rsidRDefault="003339F3" w:rsidP="003B42F5">
      <w:pPr>
        <w:spacing w:after="0" w:line="240" w:lineRule="auto"/>
        <w:jc w:val="both"/>
        <w:rPr>
          <w:rFonts w:ascii="Times New Roman" w:hAnsi="Times New Roman" w:cs="Times New Roman"/>
          <w:b/>
          <w:sz w:val="24"/>
          <w:szCs w:val="24"/>
        </w:rPr>
      </w:pPr>
    </w:p>
    <w:p w:rsidR="003B42F5" w:rsidRPr="00FD3680" w:rsidRDefault="003B42F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Optimálnym riešením v tejto súvislosti sa javí vyčleniť určitý objem hektárov štátnej poľnohospodárskej pôdy a pôdy neznámych vlastníkov, ktorá by bola k dispozícii pre cieľovú skupinu poľnohospodárskych subjektov. </w:t>
      </w:r>
    </w:p>
    <w:p w:rsidR="003B42F5" w:rsidRPr="00FD3680" w:rsidRDefault="003B42F5" w:rsidP="003B42F5">
      <w:pPr>
        <w:spacing w:after="0" w:line="240" w:lineRule="auto"/>
        <w:jc w:val="both"/>
        <w:rPr>
          <w:rFonts w:ascii="Times New Roman" w:hAnsi="Times New Roman" w:cs="Times New Roman"/>
          <w:sz w:val="24"/>
          <w:szCs w:val="24"/>
        </w:rPr>
      </w:pPr>
    </w:p>
    <w:p w:rsidR="003B42F5" w:rsidRPr="00FD3680" w:rsidRDefault="003B42F5" w:rsidP="003B42F5">
      <w:pPr>
        <w:spacing w:after="0" w:line="240" w:lineRule="auto"/>
        <w:jc w:val="both"/>
        <w:rPr>
          <w:rFonts w:ascii="Times New Roman" w:hAnsi="Times New Roman" w:cs="Times New Roman"/>
          <w:b/>
          <w:sz w:val="24"/>
          <w:szCs w:val="24"/>
        </w:rPr>
      </w:pPr>
      <w:r w:rsidRPr="00FD3680">
        <w:rPr>
          <w:rFonts w:ascii="Times New Roman" w:hAnsi="Times New Roman" w:cs="Times New Roman"/>
          <w:sz w:val="24"/>
          <w:szCs w:val="24"/>
        </w:rPr>
        <w:t xml:space="preserve">Za týmto účelom MPRV SR, v spolupráci so Slovenským pozemkovým fondom                 (ďalej len „SPF“),  zmapovalo situáciu o prenájme poľnohospodárskej pôdy zo SPF podľa jednotlivých veľkostných intervalov. </w:t>
      </w:r>
    </w:p>
    <w:p w:rsidR="003339F3" w:rsidRPr="00FD3680" w:rsidRDefault="003339F3" w:rsidP="003B42F5">
      <w:pPr>
        <w:spacing w:after="0" w:line="240" w:lineRule="auto"/>
        <w:jc w:val="both"/>
        <w:rPr>
          <w:rFonts w:ascii="Times New Roman" w:hAnsi="Times New Roman" w:cs="Times New Roman"/>
          <w:sz w:val="24"/>
          <w:szCs w:val="24"/>
        </w:rPr>
      </w:pPr>
    </w:p>
    <w:p w:rsidR="00C04683" w:rsidRPr="00FD3680" w:rsidRDefault="003B42F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 prvom rade boli zmluvy o nájme poľnohospodárskej pôdy v správe SPF rozčlenené do        6 sk</w:t>
      </w:r>
      <w:r w:rsidR="00190AC5" w:rsidRPr="00FD3680">
        <w:rPr>
          <w:rFonts w:ascii="Times New Roman" w:hAnsi="Times New Roman" w:cs="Times New Roman"/>
          <w:sz w:val="24"/>
          <w:szCs w:val="24"/>
        </w:rPr>
        <w:t>upín:</w:t>
      </w:r>
    </w:p>
    <w:p w:rsidR="00190AC5" w:rsidRPr="00FD3680" w:rsidRDefault="00190AC5" w:rsidP="003B42F5">
      <w:pPr>
        <w:spacing w:after="0" w:line="240" w:lineRule="auto"/>
        <w:jc w:val="both"/>
        <w:rPr>
          <w:rFonts w:ascii="Times New Roman" w:hAnsi="Times New Roman" w:cs="Times New Roman"/>
          <w:sz w:val="24"/>
          <w:szCs w:val="24"/>
        </w:rPr>
      </w:pP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nájomné zmluvy na iný účel ako poľnohospodárska výroba, verejný záujem, výpožičky (INE);</w:t>
      </w: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nájomné zmluvy za budovy - ostatné organizácie – ide o prenájom budov, pod ktorými pozemky nie sú v správe SPF  (NZB –OO);</w:t>
      </w: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nájomné zmluvy za budovy – školské majetky (NZB-SM);</w:t>
      </w: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nájomné zmluvy – poľnohospodárske pozemky (NZPP);</w:t>
      </w: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nájomné zmluvy – pozemkové spoločenstvá (NZPS); a</w:t>
      </w: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nájomné zmluvy na výkon práv poľovníctva (VPP).</w:t>
      </w:r>
    </w:p>
    <w:p w:rsidR="00190AC5" w:rsidRPr="00FD3680" w:rsidRDefault="00190AC5" w:rsidP="003B42F5">
      <w:pPr>
        <w:spacing w:after="0" w:line="240" w:lineRule="auto"/>
        <w:jc w:val="both"/>
        <w:rPr>
          <w:rFonts w:ascii="Times New Roman" w:hAnsi="Times New Roman" w:cs="Times New Roman"/>
          <w:sz w:val="24"/>
          <w:szCs w:val="24"/>
        </w:rPr>
      </w:pPr>
    </w:p>
    <w:p w:rsidR="003B42F5" w:rsidRPr="00FD3680" w:rsidRDefault="003B42F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Následne boli, z celkového počtu 6 869 nájomných zmlúv, vyexcerpované nájomné zmluvy na poľnohospodárske pozemky (NZPP) s celkovou výmerou 447 tis. hektárov. V ďalšom kroku boli testovaním vybrané podniky, ktoré majú v prenájme 100 a viac  ha poľnohospodárskej pôdy, čím vznikol súbor 840 podnikov právnických a fyzických osôb, ktoré  majú prenajaté 378 tis. ha poľnohospodárskej pôdy. </w:t>
      </w:r>
    </w:p>
    <w:p w:rsidR="003B42F5" w:rsidRPr="00FD3680" w:rsidRDefault="003B42F5" w:rsidP="003B42F5">
      <w:pPr>
        <w:spacing w:after="0" w:line="240" w:lineRule="auto"/>
        <w:jc w:val="both"/>
        <w:rPr>
          <w:rFonts w:ascii="Times New Roman" w:hAnsi="Times New Roman" w:cs="Times New Roman"/>
          <w:sz w:val="24"/>
          <w:szCs w:val="24"/>
        </w:rPr>
      </w:pPr>
    </w:p>
    <w:p w:rsidR="00C04683" w:rsidRPr="00FD3680" w:rsidRDefault="003B42F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Od pôdy prenajatej zo SPF sme ďalej odpočítali:</w:t>
      </w:r>
    </w:p>
    <w:p w:rsidR="00190AC5" w:rsidRPr="00FD3680" w:rsidRDefault="00190AC5" w:rsidP="003B42F5">
      <w:pPr>
        <w:spacing w:after="0" w:line="240" w:lineRule="auto"/>
        <w:jc w:val="both"/>
        <w:rPr>
          <w:rFonts w:ascii="Times New Roman" w:hAnsi="Times New Roman" w:cs="Times New Roman"/>
          <w:sz w:val="24"/>
          <w:szCs w:val="24"/>
        </w:rPr>
      </w:pP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pôdu adekvátnu k počtu VDJ, t.j. 1 VDJ = 0,8 ha p.p.;</w:t>
      </w: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pôdu,  na ktorej majú existujúce poľnohospodárske subjekty vysadené trvalé kultúry (ovocné sady, vinice, chmeľnice); a</w:t>
      </w:r>
    </w:p>
    <w:p w:rsidR="003B42F5" w:rsidRPr="00FD3680" w:rsidRDefault="003B42F5" w:rsidP="00771A68">
      <w:pPr>
        <w:pStyle w:val="Odsekzoznamu"/>
        <w:numPr>
          <w:ilvl w:val="0"/>
          <w:numId w:val="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pôdu, na ktorej existujúce poľnohospodárske subjekty pestujú špeciálne plodiny (zelenina, zemiaky), pričom skutočná pôda špeciálnych plodín bola navýšená o 50% z dôvodu striedania plodín. </w:t>
      </w:r>
    </w:p>
    <w:p w:rsidR="003B42F5" w:rsidRPr="00FD3680" w:rsidRDefault="003B42F5" w:rsidP="003B42F5">
      <w:pPr>
        <w:spacing w:after="0" w:line="240" w:lineRule="auto"/>
        <w:jc w:val="both"/>
        <w:rPr>
          <w:rFonts w:ascii="Times New Roman" w:hAnsi="Times New Roman" w:cs="Times New Roman"/>
          <w:sz w:val="24"/>
          <w:szCs w:val="24"/>
        </w:rPr>
      </w:pPr>
    </w:p>
    <w:p w:rsidR="003A2AAE" w:rsidRPr="00FD3680" w:rsidRDefault="003B42F5" w:rsidP="003A2AAE">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Týmto postupom sme dostali súbor 505 podnikov o prenajatej výmere 158 tis. ha, z ktorej sme vyčíslili disponibilnú pôdu na prenajatie cieľovej skupine subjektov poľnohospodárskej výroby. </w:t>
      </w:r>
      <w:r w:rsidR="003A2AAE" w:rsidRPr="00FD3680">
        <w:rPr>
          <w:rFonts w:ascii="Times New Roman" w:hAnsi="Times New Roman" w:cs="Times New Roman"/>
          <w:sz w:val="24"/>
          <w:szCs w:val="24"/>
        </w:rPr>
        <w:t>Percento pôdy na vyčlenenie sme stanovili pre štyri veľkostné pásma, a to u podnikov s prenajatou pôdou od 10</w:t>
      </w:r>
      <w:r w:rsidR="00A96D8E" w:rsidRPr="00FD3680">
        <w:rPr>
          <w:rFonts w:ascii="Times New Roman" w:hAnsi="Times New Roman" w:cs="Times New Roman"/>
          <w:sz w:val="24"/>
          <w:szCs w:val="24"/>
        </w:rPr>
        <w:t>1</w:t>
      </w:r>
      <w:r w:rsidR="003A2AAE" w:rsidRPr="00FD3680">
        <w:rPr>
          <w:rFonts w:ascii="Times New Roman" w:hAnsi="Times New Roman" w:cs="Times New Roman"/>
          <w:sz w:val="24"/>
          <w:szCs w:val="24"/>
        </w:rPr>
        <w:t xml:space="preserve"> do 500 ha na 3%, od 501 do 700 ha na 5 %, od 701 do 1500 na 7% a s prenajatou pôdou nad 1500 ha na 10%.</w:t>
      </w:r>
    </w:p>
    <w:p w:rsidR="00FF0F1F" w:rsidRPr="00FD3680" w:rsidRDefault="00FF0F1F" w:rsidP="003B42F5">
      <w:pPr>
        <w:spacing w:after="0" w:line="240" w:lineRule="auto"/>
        <w:jc w:val="both"/>
        <w:rPr>
          <w:rFonts w:ascii="Times New Roman" w:hAnsi="Times New Roman" w:cs="Times New Roman"/>
          <w:sz w:val="24"/>
          <w:szCs w:val="24"/>
        </w:rPr>
      </w:pPr>
    </w:p>
    <w:p w:rsidR="00190AC5" w:rsidRPr="00FD3680" w:rsidRDefault="00190AC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 žiadnom prípade by však nemala byť, u existujúcich nájomcov pôdy od SPF, ohrozená ani žiadnym iným spôsobom obmedzená aktuálna špeciálna rastlinná výroba a živočíšna výroba. Zároveň by ich celková prenajatá výmera od SPF, v prípadoch nájomných zmlúv s opciou, nemala klesnúť pod 100 ha.</w:t>
      </w:r>
      <w:r w:rsidR="000A6B36" w:rsidRPr="00FD3680">
        <w:rPr>
          <w:rFonts w:ascii="Times New Roman" w:hAnsi="Times New Roman" w:cs="Times New Roman"/>
          <w:sz w:val="24"/>
          <w:szCs w:val="24"/>
        </w:rPr>
        <w:t xml:space="preserve"> Je potrebné navyše uviesť, že z titulu úpravy nájomných vzťahov ku pôde v správe SPF sa nepredpokladá žiaden vplyv na rozpočet SPF.</w:t>
      </w:r>
    </w:p>
    <w:p w:rsidR="003B42F5" w:rsidRPr="00FD3680" w:rsidRDefault="003B42F5" w:rsidP="003B42F5">
      <w:pPr>
        <w:spacing w:after="0" w:line="240" w:lineRule="auto"/>
        <w:jc w:val="both"/>
        <w:rPr>
          <w:rFonts w:ascii="Times New Roman" w:hAnsi="Times New Roman" w:cs="Times New Roman"/>
          <w:sz w:val="24"/>
          <w:szCs w:val="24"/>
        </w:rPr>
      </w:pPr>
    </w:p>
    <w:p w:rsidR="00FF0F1F" w:rsidRPr="00FD3680" w:rsidRDefault="00FF0F1F" w:rsidP="003B42F5">
      <w:pPr>
        <w:spacing w:after="0" w:line="240" w:lineRule="auto"/>
        <w:jc w:val="both"/>
        <w:rPr>
          <w:rFonts w:ascii="Times New Roman" w:hAnsi="Times New Roman" w:cs="Times New Roman"/>
          <w:sz w:val="20"/>
          <w:szCs w:val="20"/>
        </w:rPr>
      </w:pPr>
    </w:p>
    <w:p w:rsidR="003B42F5" w:rsidRPr="00FD3680" w:rsidRDefault="007A083D" w:rsidP="003B42F5">
      <w:pPr>
        <w:spacing w:after="0" w:line="240" w:lineRule="auto"/>
        <w:jc w:val="both"/>
        <w:rPr>
          <w:rFonts w:ascii="Times New Roman" w:hAnsi="Times New Roman" w:cs="Times New Roman"/>
          <w:sz w:val="20"/>
          <w:szCs w:val="20"/>
        </w:rPr>
      </w:pPr>
      <w:r w:rsidRPr="00FD3680">
        <w:rPr>
          <w:rFonts w:ascii="Times New Roman" w:hAnsi="Times New Roman" w:cs="Times New Roman"/>
          <w:sz w:val="20"/>
          <w:szCs w:val="20"/>
        </w:rPr>
        <w:t>Tab. č. 2</w:t>
      </w:r>
      <w:r w:rsidR="003B42F5" w:rsidRPr="00FD3680">
        <w:rPr>
          <w:rFonts w:ascii="Times New Roman" w:hAnsi="Times New Roman" w:cs="Times New Roman"/>
          <w:sz w:val="20"/>
          <w:szCs w:val="20"/>
        </w:rPr>
        <w:t>: Disponibilná pôda pre cieľovú skupinu poľn. subjektov v ha podľa veľkostných kategórií</w:t>
      </w:r>
    </w:p>
    <w:p w:rsidR="00190AC5" w:rsidRPr="00FD3680" w:rsidRDefault="00190AC5" w:rsidP="003B42F5">
      <w:pPr>
        <w:spacing w:after="0" w:line="240" w:lineRule="auto"/>
        <w:jc w:val="both"/>
        <w:rPr>
          <w:rFonts w:ascii="Times New Roman" w:hAnsi="Times New Roman" w:cs="Times New Roman"/>
          <w:sz w:val="20"/>
          <w:szCs w:val="20"/>
        </w:rPr>
      </w:pPr>
    </w:p>
    <w:tbl>
      <w:tblPr>
        <w:tblStyle w:val="Mriekatabuky"/>
        <w:tblW w:w="9106" w:type="dxa"/>
        <w:tblInd w:w="108" w:type="dxa"/>
        <w:tblLayout w:type="fixed"/>
        <w:tblLook w:val="04A0" w:firstRow="1" w:lastRow="0" w:firstColumn="1" w:lastColumn="0" w:noHBand="0" w:noVBand="1"/>
      </w:tblPr>
      <w:tblGrid>
        <w:gridCol w:w="1242"/>
        <w:gridCol w:w="1134"/>
        <w:gridCol w:w="1152"/>
        <w:gridCol w:w="1258"/>
        <w:gridCol w:w="1134"/>
        <w:gridCol w:w="1593"/>
        <w:gridCol w:w="1593"/>
      </w:tblGrid>
      <w:tr w:rsidR="00FD3680" w:rsidRPr="003E0146" w:rsidTr="00E3642A">
        <w:trPr>
          <w:trHeight w:val="901"/>
        </w:trPr>
        <w:tc>
          <w:tcPr>
            <w:tcW w:w="1242" w:type="dxa"/>
            <w:shd w:val="clear" w:color="auto" w:fill="D9D9D9" w:themeFill="background1" w:themeFillShade="D9"/>
          </w:tcPr>
          <w:p w:rsidR="00E3642A" w:rsidRPr="003E0146" w:rsidRDefault="00E3642A"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Interval prenajatej poľn.  pôdy v ha</w:t>
            </w:r>
          </w:p>
        </w:tc>
        <w:tc>
          <w:tcPr>
            <w:tcW w:w="1134" w:type="dxa"/>
            <w:shd w:val="clear" w:color="auto" w:fill="D9D9D9" w:themeFill="background1" w:themeFillShade="D9"/>
          </w:tcPr>
          <w:p w:rsidR="00E3642A" w:rsidRPr="003E0146" w:rsidRDefault="00E3642A"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Prenajatá poľn. pôda od SPF      v ha</w:t>
            </w:r>
          </w:p>
        </w:tc>
        <w:tc>
          <w:tcPr>
            <w:tcW w:w="1152" w:type="dxa"/>
            <w:shd w:val="clear" w:color="auto" w:fill="D9D9D9" w:themeFill="background1" w:themeFillShade="D9"/>
          </w:tcPr>
          <w:p w:rsidR="00E3642A" w:rsidRPr="003E0146" w:rsidRDefault="00E3642A"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 xml:space="preserve">Východzí počet podnikov </w:t>
            </w:r>
          </w:p>
        </w:tc>
        <w:tc>
          <w:tcPr>
            <w:tcW w:w="1258" w:type="dxa"/>
            <w:shd w:val="clear" w:color="auto" w:fill="D9D9D9" w:themeFill="background1" w:themeFillShade="D9"/>
          </w:tcPr>
          <w:p w:rsidR="00E3642A" w:rsidRPr="003E0146" w:rsidRDefault="00E3642A"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Pôda po odpočítaní  obmedzení    v ha</w:t>
            </w:r>
          </w:p>
        </w:tc>
        <w:tc>
          <w:tcPr>
            <w:tcW w:w="1134" w:type="dxa"/>
            <w:shd w:val="clear" w:color="auto" w:fill="D9D9D9" w:themeFill="background1" w:themeFillShade="D9"/>
          </w:tcPr>
          <w:p w:rsidR="00E3642A" w:rsidRPr="003E0146" w:rsidRDefault="00E3642A"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Počet dotknutých podnikov</w:t>
            </w:r>
          </w:p>
        </w:tc>
        <w:tc>
          <w:tcPr>
            <w:tcW w:w="1593" w:type="dxa"/>
            <w:shd w:val="clear" w:color="auto" w:fill="D9D9D9" w:themeFill="background1" w:themeFillShade="D9"/>
          </w:tcPr>
          <w:p w:rsidR="00E3642A" w:rsidRPr="003E0146" w:rsidRDefault="00E3642A"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Navrhované % vyčlenenia  poľn. pôdy</w:t>
            </w:r>
          </w:p>
        </w:tc>
        <w:tc>
          <w:tcPr>
            <w:tcW w:w="1593" w:type="dxa"/>
            <w:shd w:val="clear" w:color="auto" w:fill="D9D9D9" w:themeFill="background1" w:themeFillShade="D9"/>
          </w:tcPr>
          <w:p w:rsidR="00E3642A" w:rsidRPr="003E0146" w:rsidRDefault="00E3642A" w:rsidP="00E3642A">
            <w:pPr>
              <w:spacing w:line="276" w:lineRule="auto"/>
              <w:jc w:val="center"/>
              <w:rPr>
                <w:rFonts w:ascii="Times New Roman" w:hAnsi="Times New Roman" w:cs="Times New Roman"/>
                <w:b/>
                <w:sz w:val="20"/>
                <w:szCs w:val="20"/>
              </w:rPr>
            </w:pPr>
            <w:r w:rsidRPr="003E0146">
              <w:rPr>
                <w:rFonts w:ascii="Times New Roman" w:hAnsi="Times New Roman" w:cs="Times New Roman"/>
                <w:b/>
                <w:sz w:val="20"/>
                <w:szCs w:val="20"/>
              </w:rPr>
              <w:t>Vyčlenená poľn. pôda pre cieľovú skupinu poľn. subjektov v ha</w:t>
            </w:r>
          </w:p>
        </w:tc>
      </w:tr>
      <w:tr w:rsidR="00FD3680" w:rsidRPr="003E0146" w:rsidTr="00357FD0">
        <w:trPr>
          <w:trHeight w:val="115"/>
        </w:trPr>
        <w:tc>
          <w:tcPr>
            <w:tcW w:w="1242" w:type="dxa"/>
          </w:tcPr>
          <w:p w:rsidR="00FF0F1F" w:rsidRPr="003E0146" w:rsidRDefault="00FF0F1F" w:rsidP="00E3642A">
            <w:pPr>
              <w:tabs>
                <w:tab w:val="left" w:pos="0"/>
                <w:tab w:val="left" w:pos="172"/>
              </w:tabs>
              <w:spacing w:line="276" w:lineRule="auto"/>
              <w:jc w:val="both"/>
              <w:rPr>
                <w:rFonts w:ascii="Times New Roman" w:hAnsi="Times New Roman" w:cs="Times New Roman"/>
                <w:sz w:val="20"/>
                <w:szCs w:val="20"/>
              </w:rPr>
            </w:pPr>
            <w:r w:rsidRPr="003E0146">
              <w:rPr>
                <w:rFonts w:ascii="Times New Roman" w:hAnsi="Times New Roman" w:cs="Times New Roman"/>
                <w:sz w:val="20"/>
                <w:szCs w:val="20"/>
              </w:rPr>
              <w:t xml:space="preserve">  101 - 500</w:t>
            </w:r>
          </w:p>
        </w:tc>
        <w:tc>
          <w:tcPr>
            <w:tcW w:w="1134" w:type="dxa"/>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148 701</w:t>
            </w:r>
          </w:p>
        </w:tc>
        <w:tc>
          <w:tcPr>
            <w:tcW w:w="1152" w:type="dxa"/>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590</w:t>
            </w:r>
          </w:p>
        </w:tc>
        <w:tc>
          <w:tcPr>
            <w:tcW w:w="1258" w:type="dxa"/>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40 421</w:t>
            </w:r>
          </w:p>
        </w:tc>
        <w:tc>
          <w:tcPr>
            <w:tcW w:w="1134" w:type="dxa"/>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300</w:t>
            </w:r>
          </w:p>
        </w:tc>
        <w:tc>
          <w:tcPr>
            <w:tcW w:w="1593" w:type="dxa"/>
          </w:tcPr>
          <w:p w:rsidR="00FF0F1F" w:rsidRPr="003E0146" w:rsidRDefault="00FF0F1F"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3 %</w:t>
            </w:r>
          </w:p>
        </w:tc>
        <w:tc>
          <w:tcPr>
            <w:tcW w:w="1593" w:type="dxa"/>
          </w:tcPr>
          <w:p w:rsidR="00FF0F1F" w:rsidRPr="003E0146" w:rsidRDefault="00FF0F1F" w:rsidP="00E3642A">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 xml:space="preserve">  1 213</w:t>
            </w:r>
          </w:p>
        </w:tc>
      </w:tr>
      <w:tr w:rsidR="00FD3680" w:rsidRPr="003E0146" w:rsidTr="00357FD0">
        <w:tc>
          <w:tcPr>
            <w:tcW w:w="1242" w:type="dxa"/>
          </w:tcPr>
          <w:p w:rsidR="00FF0F1F" w:rsidRPr="003E0146" w:rsidRDefault="00FF0F1F" w:rsidP="00E3642A">
            <w:pPr>
              <w:tabs>
                <w:tab w:val="left" w:pos="0"/>
                <w:tab w:val="left" w:pos="172"/>
              </w:tabs>
              <w:spacing w:line="276" w:lineRule="auto"/>
              <w:jc w:val="both"/>
              <w:rPr>
                <w:rFonts w:ascii="Times New Roman" w:hAnsi="Times New Roman" w:cs="Times New Roman"/>
                <w:sz w:val="20"/>
                <w:szCs w:val="20"/>
              </w:rPr>
            </w:pPr>
            <w:r w:rsidRPr="003E0146">
              <w:rPr>
                <w:rFonts w:ascii="Times New Roman" w:hAnsi="Times New Roman" w:cs="Times New Roman"/>
                <w:sz w:val="20"/>
                <w:szCs w:val="20"/>
              </w:rPr>
              <w:t xml:space="preserve">  501 - 700</w:t>
            </w:r>
          </w:p>
        </w:tc>
        <w:tc>
          <w:tcPr>
            <w:tcW w:w="1134" w:type="dxa"/>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59 198</w:t>
            </w:r>
          </w:p>
        </w:tc>
        <w:tc>
          <w:tcPr>
            <w:tcW w:w="1152" w:type="dxa"/>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105</w:t>
            </w:r>
          </w:p>
        </w:tc>
        <w:tc>
          <w:tcPr>
            <w:tcW w:w="1258" w:type="dxa"/>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27 000</w:t>
            </w:r>
          </w:p>
        </w:tc>
        <w:tc>
          <w:tcPr>
            <w:tcW w:w="1134" w:type="dxa"/>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84</w:t>
            </w:r>
          </w:p>
        </w:tc>
        <w:tc>
          <w:tcPr>
            <w:tcW w:w="1593" w:type="dxa"/>
          </w:tcPr>
          <w:p w:rsidR="00FF0F1F" w:rsidRPr="003E0146" w:rsidRDefault="00FF0F1F"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5 %</w:t>
            </w:r>
          </w:p>
        </w:tc>
        <w:tc>
          <w:tcPr>
            <w:tcW w:w="1593" w:type="dxa"/>
          </w:tcPr>
          <w:p w:rsidR="00FF0F1F" w:rsidRPr="003E0146" w:rsidRDefault="00FF0F1F" w:rsidP="00E3642A">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 xml:space="preserve">  1 350</w:t>
            </w:r>
          </w:p>
        </w:tc>
      </w:tr>
      <w:tr w:rsidR="00FD3680" w:rsidRPr="003E0146" w:rsidTr="00357FD0">
        <w:tc>
          <w:tcPr>
            <w:tcW w:w="1242" w:type="dxa"/>
          </w:tcPr>
          <w:p w:rsidR="00FF0F1F" w:rsidRPr="003E0146" w:rsidRDefault="00FF0F1F" w:rsidP="00E3642A">
            <w:pPr>
              <w:tabs>
                <w:tab w:val="left" w:pos="0"/>
                <w:tab w:val="left" w:pos="172"/>
              </w:tabs>
              <w:spacing w:line="276" w:lineRule="auto"/>
              <w:jc w:val="both"/>
              <w:rPr>
                <w:rFonts w:ascii="Times New Roman" w:hAnsi="Times New Roman" w:cs="Times New Roman"/>
                <w:sz w:val="20"/>
                <w:szCs w:val="20"/>
              </w:rPr>
            </w:pPr>
            <w:r w:rsidRPr="003E0146">
              <w:rPr>
                <w:rFonts w:ascii="Times New Roman" w:hAnsi="Times New Roman" w:cs="Times New Roman"/>
                <w:sz w:val="20"/>
                <w:szCs w:val="20"/>
              </w:rPr>
              <w:t xml:space="preserve">  701 - 1500</w:t>
            </w:r>
          </w:p>
        </w:tc>
        <w:tc>
          <w:tcPr>
            <w:tcW w:w="1134" w:type="dxa"/>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118 131</w:t>
            </w:r>
          </w:p>
        </w:tc>
        <w:tc>
          <w:tcPr>
            <w:tcW w:w="1152" w:type="dxa"/>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120</w:t>
            </w:r>
          </w:p>
        </w:tc>
        <w:tc>
          <w:tcPr>
            <w:tcW w:w="1258" w:type="dxa"/>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53 880</w:t>
            </w:r>
          </w:p>
        </w:tc>
        <w:tc>
          <w:tcPr>
            <w:tcW w:w="1134" w:type="dxa"/>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96</w:t>
            </w:r>
          </w:p>
        </w:tc>
        <w:tc>
          <w:tcPr>
            <w:tcW w:w="1593" w:type="dxa"/>
            <w:vAlign w:val="bottom"/>
          </w:tcPr>
          <w:p w:rsidR="00FF0F1F" w:rsidRPr="003E0146" w:rsidRDefault="00FF0F1F"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7 %</w:t>
            </w:r>
          </w:p>
        </w:tc>
        <w:tc>
          <w:tcPr>
            <w:tcW w:w="1593" w:type="dxa"/>
            <w:vAlign w:val="bottom"/>
          </w:tcPr>
          <w:p w:rsidR="00FF0F1F" w:rsidRPr="003E0146" w:rsidRDefault="00FF0F1F" w:rsidP="00E3642A">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 xml:space="preserve">  3 772 </w:t>
            </w:r>
          </w:p>
        </w:tc>
      </w:tr>
      <w:tr w:rsidR="00FD3680" w:rsidRPr="003E0146" w:rsidTr="00357FD0">
        <w:tc>
          <w:tcPr>
            <w:tcW w:w="1242" w:type="dxa"/>
            <w:tcBorders>
              <w:bottom w:val="single" w:sz="4" w:space="0" w:color="auto"/>
            </w:tcBorders>
          </w:tcPr>
          <w:p w:rsidR="00FF0F1F" w:rsidRPr="003E0146" w:rsidRDefault="00FF0F1F" w:rsidP="00E3642A">
            <w:pPr>
              <w:tabs>
                <w:tab w:val="left" w:pos="0"/>
                <w:tab w:val="left" w:pos="172"/>
              </w:tabs>
              <w:spacing w:line="276" w:lineRule="auto"/>
              <w:jc w:val="both"/>
              <w:rPr>
                <w:rFonts w:ascii="Times New Roman" w:hAnsi="Times New Roman" w:cs="Times New Roman"/>
                <w:sz w:val="20"/>
                <w:szCs w:val="20"/>
              </w:rPr>
            </w:pPr>
            <w:r w:rsidRPr="003E0146">
              <w:rPr>
                <w:rFonts w:ascii="Times New Roman" w:hAnsi="Times New Roman" w:cs="Times New Roman"/>
                <w:sz w:val="20"/>
                <w:szCs w:val="20"/>
              </w:rPr>
              <w:t xml:space="preserve">  nad 1500</w:t>
            </w:r>
          </w:p>
        </w:tc>
        <w:tc>
          <w:tcPr>
            <w:tcW w:w="1134" w:type="dxa"/>
            <w:tcBorders>
              <w:bottom w:val="single" w:sz="4" w:space="0" w:color="auto"/>
            </w:tcBorders>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51 775</w:t>
            </w:r>
          </w:p>
        </w:tc>
        <w:tc>
          <w:tcPr>
            <w:tcW w:w="1152" w:type="dxa"/>
            <w:tcBorders>
              <w:bottom w:val="single" w:sz="4" w:space="0" w:color="auto"/>
            </w:tcBorders>
          </w:tcPr>
          <w:p w:rsidR="00FF0F1F" w:rsidRPr="003E0146" w:rsidRDefault="00FF0F1F" w:rsidP="00FF0F1F">
            <w:pPr>
              <w:jc w:val="right"/>
              <w:rPr>
                <w:rFonts w:ascii="Times New Roman" w:hAnsi="Times New Roman" w:cs="Times New Roman"/>
              </w:rPr>
            </w:pPr>
            <w:r w:rsidRPr="003E0146">
              <w:rPr>
                <w:rFonts w:ascii="Times New Roman" w:hAnsi="Times New Roman" w:cs="Times New Roman"/>
              </w:rPr>
              <w:t>25</w:t>
            </w:r>
          </w:p>
        </w:tc>
        <w:tc>
          <w:tcPr>
            <w:tcW w:w="1258" w:type="dxa"/>
            <w:tcBorders>
              <w:bottom w:val="single" w:sz="4" w:space="0" w:color="auto"/>
            </w:tcBorders>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 xml:space="preserve">37 542 </w:t>
            </w:r>
          </w:p>
        </w:tc>
        <w:tc>
          <w:tcPr>
            <w:tcW w:w="1134" w:type="dxa"/>
            <w:tcBorders>
              <w:bottom w:val="single" w:sz="4" w:space="0" w:color="auto"/>
            </w:tcBorders>
            <w:vAlign w:val="bottom"/>
          </w:tcPr>
          <w:p w:rsidR="00FF0F1F" w:rsidRPr="003E0146" w:rsidRDefault="00FF0F1F" w:rsidP="00E3642A">
            <w:pPr>
              <w:spacing w:line="276" w:lineRule="auto"/>
              <w:jc w:val="right"/>
              <w:rPr>
                <w:rFonts w:ascii="Times New Roman" w:hAnsi="Times New Roman" w:cs="Times New Roman"/>
                <w:sz w:val="20"/>
                <w:szCs w:val="20"/>
              </w:rPr>
            </w:pPr>
            <w:r w:rsidRPr="003E0146">
              <w:rPr>
                <w:rFonts w:ascii="Times New Roman" w:hAnsi="Times New Roman" w:cs="Times New Roman"/>
                <w:sz w:val="20"/>
                <w:szCs w:val="20"/>
              </w:rPr>
              <w:t>25</w:t>
            </w:r>
          </w:p>
        </w:tc>
        <w:tc>
          <w:tcPr>
            <w:tcW w:w="1593" w:type="dxa"/>
            <w:tcBorders>
              <w:bottom w:val="single" w:sz="4" w:space="0" w:color="auto"/>
            </w:tcBorders>
            <w:vAlign w:val="bottom"/>
          </w:tcPr>
          <w:p w:rsidR="00FF0F1F" w:rsidRPr="003E0146" w:rsidRDefault="00FF0F1F" w:rsidP="00E3642A">
            <w:pPr>
              <w:spacing w:line="276" w:lineRule="auto"/>
              <w:jc w:val="center"/>
              <w:rPr>
                <w:rFonts w:ascii="Times New Roman" w:hAnsi="Times New Roman" w:cs="Times New Roman"/>
                <w:sz w:val="20"/>
                <w:szCs w:val="20"/>
              </w:rPr>
            </w:pPr>
            <w:r w:rsidRPr="003E0146">
              <w:rPr>
                <w:rFonts w:ascii="Times New Roman" w:hAnsi="Times New Roman" w:cs="Times New Roman"/>
                <w:sz w:val="20"/>
                <w:szCs w:val="20"/>
              </w:rPr>
              <w:t>10 %</w:t>
            </w:r>
          </w:p>
        </w:tc>
        <w:tc>
          <w:tcPr>
            <w:tcW w:w="1593" w:type="dxa"/>
            <w:tcBorders>
              <w:bottom w:val="single" w:sz="4" w:space="0" w:color="auto"/>
            </w:tcBorders>
            <w:vAlign w:val="bottom"/>
          </w:tcPr>
          <w:p w:rsidR="00FF0F1F" w:rsidRPr="003E0146" w:rsidRDefault="00FF0F1F" w:rsidP="00E3642A">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 xml:space="preserve">  3 754</w:t>
            </w:r>
          </w:p>
        </w:tc>
      </w:tr>
      <w:tr w:rsidR="00FD3680" w:rsidRPr="003E0146" w:rsidTr="00357FD0">
        <w:tc>
          <w:tcPr>
            <w:tcW w:w="1242" w:type="dxa"/>
            <w:shd w:val="clear" w:color="auto" w:fill="D9D9D9" w:themeFill="background1" w:themeFillShade="D9"/>
          </w:tcPr>
          <w:p w:rsidR="00FF0F1F" w:rsidRPr="003E0146" w:rsidRDefault="00FF0F1F" w:rsidP="00810A34">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CELKOM</w:t>
            </w:r>
          </w:p>
        </w:tc>
        <w:tc>
          <w:tcPr>
            <w:tcW w:w="1134" w:type="dxa"/>
            <w:shd w:val="clear" w:color="auto" w:fill="D9D9D9" w:themeFill="background1" w:themeFillShade="D9"/>
          </w:tcPr>
          <w:p w:rsidR="00FF0F1F" w:rsidRPr="003E0146" w:rsidRDefault="00FF0F1F" w:rsidP="00810A34">
            <w:pPr>
              <w:jc w:val="right"/>
              <w:rPr>
                <w:rFonts w:ascii="Times New Roman" w:hAnsi="Times New Roman" w:cs="Times New Roman"/>
                <w:b/>
                <w:sz w:val="20"/>
                <w:szCs w:val="20"/>
              </w:rPr>
            </w:pPr>
            <w:r w:rsidRPr="003E0146">
              <w:rPr>
                <w:rFonts w:ascii="Times New Roman" w:hAnsi="Times New Roman" w:cs="Times New Roman"/>
                <w:b/>
                <w:sz w:val="20"/>
                <w:szCs w:val="20"/>
              </w:rPr>
              <w:t>377 805</w:t>
            </w:r>
          </w:p>
        </w:tc>
        <w:tc>
          <w:tcPr>
            <w:tcW w:w="1152" w:type="dxa"/>
            <w:shd w:val="clear" w:color="auto" w:fill="D9D9D9" w:themeFill="background1" w:themeFillShade="D9"/>
          </w:tcPr>
          <w:p w:rsidR="00FF0F1F" w:rsidRPr="003E0146" w:rsidRDefault="00FF0F1F" w:rsidP="00810A34">
            <w:pPr>
              <w:jc w:val="right"/>
              <w:rPr>
                <w:rFonts w:ascii="Times New Roman" w:hAnsi="Times New Roman" w:cs="Times New Roman"/>
                <w:b/>
                <w:sz w:val="20"/>
                <w:szCs w:val="20"/>
              </w:rPr>
            </w:pPr>
            <w:r w:rsidRPr="003E0146">
              <w:rPr>
                <w:rFonts w:ascii="Times New Roman" w:hAnsi="Times New Roman" w:cs="Times New Roman"/>
                <w:b/>
                <w:sz w:val="20"/>
                <w:szCs w:val="20"/>
              </w:rPr>
              <w:t>840</w:t>
            </w:r>
          </w:p>
        </w:tc>
        <w:tc>
          <w:tcPr>
            <w:tcW w:w="1258" w:type="dxa"/>
            <w:shd w:val="clear" w:color="auto" w:fill="D9D9D9" w:themeFill="background1" w:themeFillShade="D9"/>
            <w:vAlign w:val="bottom"/>
          </w:tcPr>
          <w:p w:rsidR="00FF0F1F" w:rsidRPr="003E0146" w:rsidRDefault="00FF0F1F" w:rsidP="00E3642A">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158 843</w:t>
            </w:r>
          </w:p>
        </w:tc>
        <w:tc>
          <w:tcPr>
            <w:tcW w:w="1134" w:type="dxa"/>
            <w:shd w:val="clear" w:color="auto" w:fill="D9D9D9" w:themeFill="background1" w:themeFillShade="D9"/>
            <w:vAlign w:val="bottom"/>
          </w:tcPr>
          <w:p w:rsidR="00FF0F1F" w:rsidRPr="003E0146" w:rsidRDefault="00FF0F1F" w:rsidP="00E3642A">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505</w:t>
            </w:r>
          </w:p>
        </w:tc>
        <w:tc>
          <w:tcPr>
            <w:tcW w:w="1593" w:type="dxa"/>
            <w:shd w:val="clear" w:color="auto" w:fill="D9D9D9" w:themeFill="background1" w:themeFillShade="D9"/>
            <w:vAlign w:val="bottom"/>
          </w:tcPr>
          <w:p w:rsidR="00FF0F1F" w:rsidRPr="003E0146" w:rsidRDefault="00FF0F1F" w:rsidP="00E3642A">
            <w:pPr>
              <w:pStyle w:val="Odsekzoznamu"/>
              <w:numPr>
                <w:ilvl w:val="0"/>
                <w:numId w:val="3"/>
              </w:numPr>
              <w:spacing w:line="276" w:lineRule="auto"/>
              <w:rPr>
                <w:rFonts w:ascii="Times New Roman" w:hAnsi="Times New Roman" w:cs="Times New Roman"/>
                <w:b/>
                <w:sz w:val="20"/>
                <w:szCs w:val="20"/>
              </w:rPr>
            </w:pPr>
          </w:p>
        </w:tc>
        <w:tc>
          <w:tcPr>
            <w:tcW w:w="1593" w:type="dxa"/>
            <w:shd w:val="clear" w:color="auto" w:fill="D9D9D9" w:themeFill="background1" w:themeFillShade="D9"/>
            <w:vAlign w:val="bottom"/>
          </w:tcPr>
          <w:p w:rsidR="00FF0F1F" w:rsidRPr="003E0146" w:rsidRDefault="00FF0F1F" w:rsidP="00502684">
            <w:pPr>
              <w:spacing w:line="276" w:lineRule="auto"/>
              <w:jc w:val="right"/>
              <w:rPr>
                <w:rFonts w:ascii="Times New Roman" w:hAnsi="Times New Roman" w:cs="Times New Roman"/>
                <w:b/>
                <w:sz w:val="20"/>
                <w:szCs w:val="20"/>
              </w:rPr>
            </w:pPr>
            <w:r w:rsidRPr="003E0146">
              <w:rPr>
                <w:rFonts w:ascii="Times New Roman" w:hAnsi="Times New Roman" w:cs="Times New Roman"/>
                <w:b/>
                <w:sz w:val="20"/>
                <w:szCs w:val="20"/>
              </w:rPr>
              <w:t>10 089</w:t>
            </w:r>
          </w:p>
        </w:tc>
      </w:tr>
    </w:tbl>
    <w:p w:rsidR="00FF0F1F" w:rsidRPr="00FD3680" w:rsidRDefault="00FF0F1F" w:rsidP="00FF0F1F">
      <w:pPr>
        <w:spacing w:after="0"/>
        <w:jc w:val="right"/>
        <w:rPr>
          <w:rFonts w:ascii="Times New Roman" w:hAnsi="Times New Roman" w:cs="Times New Roman"/>
          <w:sz w:val="20"/>
          <w:szCs w:val="20"/>
        </w:rPr>
      </w:pPr>
      <w:r w:rsidRPr="00FD3680">
        <w:rPr>
          <w:rFonts w:ascii="Times New Roman" w:hAnsi="Times New Roman" w:cs="Times New Roman"/>
          <w:sz w:val="20"/>
          <w:szCs w:val="20"/>
        </w:rPr>
        <w:t>Zdroj: SPF, výpočty NPPC</w:t>
      </w:r>
    </w:p>
    <w:p w:rsidR="00190AC5" w:rsidRPr="00FD3680" w:rsidRDefault="00190AC5" w:rsidP="003B42F5">
      <w:pPr>
        <w:spacing w:after="0" w:line="240" w:lineRule="auto"/>
        <w:jc w:val="both"/>
        <w:rPr>
          <w:rFonts w:ascii="Times New Roman" w:hAnsi="Times New Roman" w:cs="Times New Roman"/>
          <w:sz w:val="24"/>
          <w:szCs w:val="24"/>
        </w:rPr>
      </w:pPr>
    </w:p>
    <w:p w:rsidR="00190AC5" w:rsidRPr="00FD3680" w:rsidRDefault="00190AC5" w:rsidP="003B42F5">
      <w:pPr>
        <w:spacing w:after="0" w:line="240" w:lineRule="auto"/>
        <w:jc w:val="both"/>
        <w:rPr>
          <w:rFonts w:ascii="Times New Roman" w:hAnsi="Times New Roman" w:cs="Times New Roman"/>
          <w:sz w:val="20"/>
          <w:szCs w:val="20"/>
        </w:rPr>
      </w:pPr>
    </w:p>
    <w:p w:rsidR="00FF0F1F" w:rsidRPr="00FD3680" w:rsidRDefault="00FF0F1F" w:rsidP="003B42F5">
      <w:pPr>
        <w:spacing w:after="0" w:line="240" w:lineRule="auto"/>
        <w:jc w:val="both"/>
        <w:rPr>
          <w:rFonts w:ascii="Times New Roman" w:hAnsi="Times New Roman" w:cs="Times New Roman"/>
          <w:sz w:val="20"/>
          <w:szCs w:val="20"/>
        </w:rPr>
      </w:pPr>
    </w:p>
    <w:p w:rsidR="00FF0F1F" w:rsidRDefault="00FF0F1F" w:rsidP="003B42F5">
      <w:pPr>
        <w:spacing w:after="0" w:line="240" w:lineRule="auto"/>
        <w:jc w:val="both"/>
        <w:rPr>
          <w:rFonts w:ascii="Times New Roman" w:hAnsi="Times New Roman" w:cs="Times New Roman"/>
          <w:sz w:val="20"/>
          <w:szCs w:val="20"/>
        </w:rPr>
      </w:pPr>
    </w:p>
    <w:p w:rsidR="00FD3680" w:rsidRPr="00FD3680" w:rsidRDefault="00FD3680" w:rsidP="003B42F5">
      <w:pPr>
        <w:spacing w:after="0" w:line="240" w:lineRule="auto"/>
        <w:jc w:val="both"/>
        <w:rPr>
          <w:rFonts w:ascii="Times New Roman" w:hAnsi="Times New Roman" w:cs="Times New Roman"/>
          <w:sz w:val="20"/>
          <w:szCs w:val="20"/>
        </w:rPr>
      </w:pPr>
    </w:p>
    <w:p w:rsidR="00FF0F1F" w:rsidRPr="00FD3680" w:rsidRDefault="00FF0F1F" w:rsidP="003B42F5">
      <w:pPr>
        <w:spacing w:after="0" w:line="240" w:lineRule="auto"/>
        <w:jc w:val="both"/>
        <w:rPr>
          <w:rFonts w:ascii="Times New Roman" w:hAnsi="Times New Roman" w:cs="Times New Roman"/>
          <w:sz w:val="20"/>
          <w:szCs w:val="20"/>
        </w:rPr>
      </w:pPr>
    </w:p>
    <w:p w:rsidR="003B42F5" w:rsidRPr="00FD3680" w:rsidRDefault="007A083D" w:rsidP="003B42F5">
      <w:pPr>
        <w:spacing w:after="0" w:line="240" w:lineRule="auto"/>
        <w:jc w:val="both"/>
        <w:rPr>
          <w:rFonts w:ascii="Times New Roman" w:hAnsi="Times New Roman" w:cs="Times New Roman"/>
          <w:sz w:val="20"/>
          <w:szCs w:val="20"/>
        </w:rPr>
      </w:pPr>
      <w:r w:rsidRPr="00FD3680">
        <w:rPr>
          <w:rFonts w:ascii="Times New Roman" w:hAnsi="Times New Roman" w:cs="Times New Roman"/>
          <w:sz w:val="20"/>
          <w:szCs w:val="20"/>
        </w:rPr>
        <w:lastRenderedPageBreak/>
        <w:t>Tab. č. 3</w:t>
      </w:r>
      <w:r w:rsidR="003B42F5" w:rsidRPr="00FD3680">
        <w:rPr>
          <w:rFonts w:ascii="Times New Roman" w:hAnsi="Times New Roman" w:cs="Times New Roman"/>
          <w:sz w:val="20"/>
          <w:szCs w:val="20"/>
        </w:rPr>
        <w:t>: Disponibilná pôda pre cieľovú skupinu poľn. subjektov v ha podľa krajov</w:t>
      </w:r>
    </w:p>
    <w:p w:rsidR="00190AC5" w:rsidRPr="00FD3680" w:rsidRDefault="00190AC5" w:rsidP="003B42F5">
      <w:pPr>
        <w:spacing w:after="0" w:line="240" w:lineRule="auto"/>
        <w:jc w:val="both"/>
        <w:rPr>
          <w:rFonts w:ascii="Times New Roman" w:hAnsi="Times New Roman" w:cs="Times New Roman"/>
          <w:sz w:val="20"/>
          <w:szCs w:val="20"/>
        </w:rPr>
      </w:pPr>
    </w:p>
    <w:tbl>
      <w:tblPr>
        <w:tblW w:w="91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4"/>
        <w:gridCol w:w="885"/>
        <w:gridCol w:w="957"/>
        <w:gridCol w:w="1701"/>
        <w:gridCol w:w="1985"/>
        <w:gridCol w:w="2054"/>
      </w:tblGrid>
      <w:tr w:rsidR="00FD3680" w:rsidRPr="00271FE9" w:rsidTr="000E0659">
        <w:trPr>
          <w:trHeight w:val="681"/>
        </w:trPr>
        <w:tc>
          <w:tcPr>
            <w:tcW w:w="1574" w:type="dxa"/>
            <w:shd w:val="clear" w:color="auto" w:fill="D9D9D9" w:themeFill="background1" w:themeFillShade="D9"/>
            <w:noWrap/>
            <w:hideMark/>
          </w:tcPr>
          <w:p w:rsidR="003B42F5" w:rsidRPr="00271FE9" w:rsidRDefault="003B42F5" w:rsidP="000E0659">
            <w:pPr>
              <w:spacing w:after="0"/>
              <w:rPr>
                <w:rFonts w:ascii="Times New Roman" w:eastAsia="Times New Roman" w:hAnsi="Times New Roman" w:cs="Times New Roman"/>
                <w:sz w:val="20"/>
                <w:szCs w:val="20"/>
              </w:rPr>
            </w:pPr>
            <w:r w:rsidRPr="00271FE9">
              <w:rPr>
                <w:rFonts w:ascii="Times New Roman" w:eastAsia="Times New Roman" w:hAnsi="Times New Roman" w:cs="Times New Roman"/>
                <w:sz w:val="20"/>
                <w:szCs w:val="20"/>
              </w:rPr>
              <w:t>Kraj</w:t>
            </w:r>
          </w:p>
        </w:tc>
        <w:tc>
          <w:tcPr>
            <w:tcW w:w="885" w:type="dxa"/>
            <w:shd w:val="clear" w:color="auto" w:fill="D9D9D9" w:themeFill="background1" w:themeFillShade="D9"/>
          </w:tcPr>
          <w:p w:rsidR="003B42F5" w:rsidRPr="00271FE9" w:rsidRDefault="003B42F5" w:rsidP="000E0659">
            <w:pPr>
              <w:spacing w:after="0"/>
              <w:rPr>
                <w:rFonts w:ascii="Times New Roman" w:eastAsia="Times New Roman" w:hAnsi="Times New Roman" w:cs="Times New Roman"/>
                <w:sz w:val="20"/>
                <w:szCs w:val="20"/>
              </w:rPr>
            </w:pPr>
            <w:r w:rsidRPr="00271FE9">
              <w:rPr>
                <w:rFonts w:ascii="Times New Roman" w:eastAsia="Times New Roman" w:hAnsi="Times New Roman" w:cs="Times New Roman"/>
                <w:sz w:val="20"/>
                <w:szCs w:val="20"/>
              </w:rPr>
              <w:t xml:space="preserve">Prenajatá pôda </w:t>
            </w:r>
          </w:p>
        </w:tc>
        <w:tc>
          <w:tcPr>
            <w:tcW w:w="957" w:type="dxa"/>
            <w:shd w:val="clear" w:color="auto" w:fill="D9D9D9" w:themeFill="background1" w:themeFillShade="D9"/>
            <w:hideMark/>
          </w:tcPr>
          <w:p w:rsidR="003B42F5" w:rsidRPr="00271FE9" w:rsidRDefault="003B42F5" w:rsidP="000E0659">
            <w:pPr>
              <w:spacing w:after="0"/>
              <w:rPr>
                <w:rFonts w:ascii="Times New Roman" w:eastAsia="Times New Roman" w:hAnsi="Times New Roman" w:cs="Times New Roman"/>
                <w:sz w:val="20"/>
                <w:szCs w:val="20"/>
              </w:rPr>
            </w:pPr>
            <w:r w:rsidRPr="00271FE9">
              <w:rPr>
                <w:rFonts w:ascii="Times New Roman" w:eastAsia="Times New Roman" w:hAnsi="Times New Roman" w:cs="Times New Roman"/>
                <w:sz w:val="20"/>
                <w:szCs w:val="20"/>
              </w:rPr>
              <w:t>Počet podnikov</w:t>
            </w:r>
          </w:p>
        </w:tc>
        <w:tc>
          <w:tcPr>
            <w:tcW w:w="1701" w:type="dxa"/>
            <w:shd w:val="clear" w:color="auto" w:fill="D9D9D9" w:themeFill="background1" w:themeFillShade="D9"/>
          </w:tcPr>
          <w:p w:rsidR="003B42F5" w:rsidRPr="00271FE9" w:rsidRDefault="003B42F5" w:rsidP="000E0659">
            <w:pPr>
              <w:spacing w:after="0"/>
              <w:rPr>
                <w:rFonts w:ascii="Times New Roman" w:eastAsia="Times New Roman" w:hAnsi="Times New Roman" w:cs="Times New Roman"/>
                <w:sz w:val="20"/>
                <w:szCs w:val="20"/>
              </w:rPr>
            </w:pPr>
            <w:r w:rsidRPr="00271FE9">
              <w:rPr>
                <w:rFonts w:ascii="Times New Roman" w:eastAsia="Times New Roman" w:hAnsi="Times New Roman" w:cs="Times New Roman"/>
                <w:sz w:val="20"/>
                <w:szCs w:val="20"/>
              </w:rPr>
              <w:t xml:space="preserve">Pôda po odpočítaní obmedzení </w:t>
            </w:r>
          </w:p>
        </w:tc>
        <w:tc>
          <w:tcPr>
            <w:tcW w:w="1985" w:type="dxa"/>
            <w:shd w:val="clear" w:color="auto" w:fill="D9D9D9" w:themeFill="background1" w:themeFillShade="D9"/>
          </w:tcPr>
          <w:p w:rsidR="003B42F5" w:rsidRPr="00271FE9" w:rsidRDefault="003B42F5" w:rsidP="000E0659">
            <w:pPr>
              <w:spacing w:after="0"/>
              <w:rPr>
                <w:rFonts w:ascii="Times New Roman" w:eastAsia="Times New Roman" w:hAnsi="Times New Roman" w:cs="Times New Roman"/>
                <w:sz w:val="20"/>
                <w:szCs w:val="20"/>
              </w:rPr>
            </w:pPr>
            <w:r w:rsidRPr="00271FE9">
              <w:rPr>
                <w:rFonts w:ascii="Times New Roman" w:eastAsia="Times New Roman" w:hAnsi="Times New Roman" w:cs="Times New Roman"/>
                <w:sz w:val="20"/>
                <w:szCs w:val="20"/>
              </w:rPr>
              <w:t xml:space="preserve">Počet podnikov po odpočítaní obmedzení </w:t>
            </w:r>
          </w:p>
        </w:tc>
        <w:tc>
          <w:tcPr>
            <w:tcW w:w="2054" w:type="dxa"/>
            <w:shd w:val="clear" w:color="auto" w:fill="D9D9D9" w:themeFill="background1" w:themeFillShade="D9"/>
            <w:noWrap/>
            <w:hideMark/>
          </w:tcPr>
          <w:p w:rsidR="003B42F5" w:rsidRPr="00271FE9" w:rsidRDefault="003B42F5" w:rsidP="000E0659">
            <w:pPr>
              <w:spacing w:after="0"/>
              <w:rPr>
                <w:rFonts w:ascii="Times New Roman" w:eastAsia="Times New Roman" w:hAnsi="Times New Roman" w:cs="Times New Roman"/>
                <w:b/>
                <w:sz w:val="20"/>
                <w:szCs w:val="20"/>
              </w:rPr>
            </w:pPr>
            <w:r w:rsidRPr="00271FE9">
              <w:rPr>
                <w:rFonts w:ascii="Times New Roman" w:eastAsia="Times New Roman" w:hAnsi="Times New Roman" w:cs="Times New Roman"/>
                <w:b/>
                <w:sz w:val="20"/>
                <w:szCs w:val="20"/>
              </w:rPr>
              <w:t xml:space="preserve">Disponibilná pôda pre </w:t>
            </w:r>
          </w:p>
          <w:p w:rsidR="003B42F5" w:rsidRPr="00271FE9" w:rsidRDefault="003B42F5" w:rsidP="000E0659">
            <w:pPr>
              <w:spacing w:after="0"/>
              <w:rPr>
                <w:rFonts w:ascii="Times New Roman" w:eastAsia="Times New Roman" w:hAnsi="Times New Roman" w:cs="Times New Roman"/>
                <w:b/>
                <w:sz w:val="20"/>
                <w:szCs w:val="20"/>
              </w:rPr>
            </w:pPr>
            <w:r w:rsidRPr="00271FE9">
              <w:rPr>
                <w:rFonts w:ascii="Times New Roman" w:eastAsia="Times New Roman" w:hAnsi="Times New Roman" w:cs="Times New Roman"/>
                <w:b/>
                <w:sz w:val="20"/>
                <w:szCs w:val="20"/>
              </w:rPr>
              <w:t>cieľovú skupinu v ha</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Bratislavský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18 242</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43</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7 596</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19</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525</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Trnavský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45 878</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115</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13 001</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52</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746</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Trenčiansky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31 583</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78</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13 344</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52</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841</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Nitriansky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64 495</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146</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23 048</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65</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1 411</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Žilinský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22 428</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57</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5 968</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27</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351</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Banskobystrický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62 940</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127</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25 543</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77</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1 729</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Prešovský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68 703</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146</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33 222</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119</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1 958</w:t>
            </w:r>
          </w:p>
        </w:tc>
      </w:tr>
      <w:tr w:rsidR="00FD3680" w:rsidRPr="00271FE9" w:rsidTr="00357FD0">
        <w:trPr>
          <w:trHeight w:val="300"/>
        </w:trPr>
        <w:tc>
          <w:tcPr>
            <w:tcW w:w="1574" w:type="dxa"/>
            <w:shd w:val="clear" w:color="DBE5F1" w:fill="FFFFFF"/>
            <w:noWrap/>
            <w:vAlign w:val="bottom"/>
            <w:hideMark/>
          </w:tcPr>
          <w:p w:rsidR="00FF0F1F" w:rsidRPr="00271FE9" w:rsidRDefault="00FF0F1F" w:rsidP="000E0659">
            <w:pPr>
              <w:spacing w:after="0"/>
              <w:rPr>
                <w:rFonts w:ascii="Times New Roman" w:eastAsia="Times New Roman" w:hAnsi="Times New Roman" w:cs="Times New Roman"/>
                <w:bCs/>
                <w:sz w:val="20"/>
                <w:szCs w:val="20"/>
              </w:rPr>
            </w:pPr>
            <w:r w:rsidRPr="00271FE9">
              <w:rPr>
                <w:rFonts w:ascii="Times New Roman" w:eastAsia="Times New Roman" w:hAnsi="Times New Roman" w:cs="Times New Roman"/>
                <w:bCs/>
                <w:sz w:val="20"/>
                <w:szCs w:val="20"/>
              </w:rPr>
              <w:t xml:space="preserve">Košický </w:t>
            </w:r>
          </w:p>
        </w:tc>
        <w:tc>
          <w:tcPr>
            <w:tcW w:w="885" w:type="dxa"/>
            <w:shd w:val="clear" w:color="DBE5F1" w:fill="FFFFFF"/>
            <w:vAlign w:val="bottom"/>
          </w:tcPr>
          <w:p w:rsidR="00FF0F1F" w:rsidRPr="00271FE9" w:rsidRDefault="00FF0F1F" w:rsidP="00357FD0">
            <w:pPr>
              <w:spacing w:after="0" w:line="240" w:lineRule="auto"/>
              <w:jc w:val="right"/>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63 536</w:t>
            </w:r>
          </w:p>
        </w:tc>
        <w:tc>
          <w:tcPr>
            <w:tcW w:w="957" w:type="dxa"/>
            <w:shd w:val="clear" w:color="DBE5F1" w:fill="FFFFFF"/>
            <w:noWrap/>
            <w:vAlign w:val="bottom"/>
            <w:hideMark/>
          </w:tcPr>
          <w:p w:rsidR="00FF0F1F" w:rsidRPr="00271FE9" w:rsidRDefault="00FF0F1F" w:rsidP="00FF0F1F">
            <w:pPr>
              <w:spacing w:after="0" w:line="240" w:lineRule="auto"/>
              <w:jc w:val="center"/>
              <w:rPr>
                <w:rFonts w:ascii="Times New Roman" w:eastAsia="Times New Roman" w:hAnsi="Times New Roman" w:cs="Times New Roman"/>
                <w:bCs/>
                <w:lang w:eastAsia="sk-SK"/>
              </w:rPr>
            </w:pPr>
            <w:r w:rsidRPr="00271FE9">
              <w:rPr>
                <w:rFonts w:ascii="Times New Roman" w:eastAsia="Times New Roman" w:hAnsi="Times New Roman" w:cs="Times New Roman"/>
                <w:bCs/>
                <w:lang w:eastAsia="sk-SK"/>
              </w:rPr>
              <w:t>128</w:t>
            </w:r>
          </w:p>
        </w:tc>
        <w:tc>
          <w:tcPr>
            <w:tcW w:w="1701" w:type="dxa"/>
            <w:shd w:val="clear" w:color="DBE5F1" w:fill="FFFFFF"/>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37 121</w:t>
            </w:r>
          </w:p>
        </w:tc>
        <w:tc>
          <w:tcPr>
            <w:tcW w:w="1985" w:type="dxa"/>
            <w:shd w:val="clear" w:color="DBE5F1" w:fill="FFFFFF"/>
          </w:tcPr>
          <w:p w:rsidR="00FF0F1F" w:rsidRPr="00271FE9" w:rsidRDefault="00FF0F1F" w:rsidP="00FF0F1F">
            <w:pPr>
              <w:autoSpaceDE w:val="0"/>
              <w:autoSpaceDN w:val="0"/>
              <w:adjustRightInd w:val="0"/>
              <w:spacing w:after="0" w:line="240" w:lineRule="auto"/>
              <w:jc w:val="center"/>
              <w:rPr>
                <w:rFonts w:ascii="Times New Roman" w:hAnsi="Times New Roman" w:cs="Times New Roman"/>
                <w:sz w:val="20"/>
                <w:szCs w:val="20"/>
              </w:rPr>
            </w:pPr>
            <w:r w:rsidRPr="00271FE9">
              <w:rPr>
                <w:rFonts w:ascii="Times New Roman" w:hAnsi="Times New Roman" w:cs="Times New Roman"/>
                <w:sz w:val="20"/>
                <w:szCs w:val="20"/>
              </w:rPr>
              <w:t>94</w:t>
            </w:r>
          </w:p>
        </w:tc>
        <w:tc>
          <w:tcPr>
            <w:tcW w:w="2054" w:type="dxa"/>
            <w:shd w:val="clear" w:color="DBE5F1" w:fill="FFFFFF"/>
            <w:noWrap/>
            <w:hideMark/>
          </w:tcPr>
          <w:p w:rsidR="00FF0F1F" w:rsidRPr="00271FE9" w:rsidRDefault="00FF0F1F" w:rsidP="00FF0F1F">
            <w:pPr>
              <w:autoSpaceDE w:val="0"/>
              <w:autoSpaceDN w:val="0"/>
              <w:adjustRightInd w:val="0"/>
              <w:spacing w:after="0" w:line="240" w:lineRule="auto"/>
              <w:jc w:val="right"/>
              <w:rPr>
                <w:rFonts w:ascii="Times New Roman" w:hAnsi="Times New Roman" w:cs="Times New Roman"/>
                <w:sz w:val="20"/>
                <w:szCs w:val="20"/>
              </w:rPr>
            </w:pPr>
            <w:r w:rsidRPr="00271FE9">
              <w:rPr>
                <w:rFonts w:ascii="Times New Roman" w:hAnsi="Times New Roman" w:cs="Times New Roman"/>
                <w:sz w:val="20"/>
                <w:szCs w:val="20"/>
              </w:rPr>
              <w:t>2 527</w:t>
            </w:r>
          </w:p>
        </w:tc>
      </w:tr>
      <w:tr w:rsidR="00FD3680" w:rsidRPr="00271FE9" w:rsidTr="000E0659">
        <w:trPr>
          <w:trHeight w:val="300"/>
        </w:trPr>
        <w:tc>
          <w:tcPr>
            <w:tcW w:w="1574" w:type="dxa"/>
            <w:shd w:val="clear" w:color="auto" w:fill="D9D9D9" w:themeFill="background1" w:themeFillShade="D9"/>
            <w:noWrap/>
            <w:vAlign w:val="bottom"/>
            <w:hideMark/>
          </w:tcPr>
          <w:p w:rsidR="00FF0F1F" w:rsidRPr="00271FE9" w:rsidRDefault="00FF0F1F" w:rsidP="000E0659">
            <w:pPr>
              <w:spacing w:after="0"/>
              <w:rPr>
                <w:rFonts w:ascii="Times New Roman" w:eastAsia="Times New Roman" w:hAnsi="Times New Roman" w:cs="Times New Roman"/>
                <w:b/>
                <w:bCs/>
                <w:sz w:val="20"/>
                <w:szCs w:val="20"/>
              </w:rPr>
            </w:pPr>
            <w:r w:rsidRPr="00271FE9">
              <w:rPr>
                <w:rFonts w:ascii="Times New Roman" w:eastAsia="Times New Roman" w:hAnsi="Times New Roman" w:cs="Times New Roman"/>
                <w:b/>
                <w:bCs/>
                <w:sz w:val="20"/>
                <w:szCs w:val="20"/>
              </w:rPr>
              <w:t>CELKOM</w:t>
            </w:r>
          </w:p>
        </w:tc>
        <w:tc>
          <w:tcPr>
            <w:tcW w:w="885" w:type="dxa"/>
            <w:shd w:val="clear" w:color="auto" w:fill="D9D9D9" w:themeFill="background1" w:themeFillShade="D9"/>
            <w:vAlign w:val="bottom"/>
          </w:tcPr>
          <w:p w:rsidR="00FF0F1F" w:rsidRPr="00271FE9" w:rsidRDefault="00FF0F1F" w:rsidP="00357FD0">
            <w:pPr>
              <w:spacing w:after="0" w:line="240" w:lineRule="auto"/>
              <w:jc w:val="right"/>
              <w:rPr>
                <w:rFonts w:ascii="Times New Roman" w:eastAsia="Times New Roman" w:hAnsi="Times New Roman" w:cs="Times New Roman"/>
                <w:b/>
                <w:bCs/>
                <w:lang w:eastAsia="sk-SK"/>
              </w:rPr>
            </w:pPr>
            <w:r w:rsidRPr="00271FE9">
              <w:rPr>
                <w:rFonts w:ascii="Times New Roman" w:eastAsia="Times New Roman" w:hAnsi="Times New Roman" w:cs="Times New Roman"/>
                <w:b/>
                <w:bCs/>
                <w:lang w:eastAsia="sk-SK"/>
              </w:rPr>
              <w:t>377 805</w:t>
            </w:r>
          </w:p>
        </w:tc>
        <w:tc>
          <w:tcPr>
            <w:tcW w:w="957" w:type="dxa"/>
            <w:shd w:val="clear" w:color="auto" w:fill="D9D9D9" w:themeFill="background1" w:themeFillShade="D9"/>
            <w:noWrap/>
            <w:vAlign w:val="bottom"/>
            <w:hideMark/>
          </w:tcPr>
          <w:p w:rsidR="00FF0F1F" w:rsidRPr="00271FE9" w:rsidRDefault="00FF0F1F" w:rsidP="00FF0F1F">
            <w:pPr>
              <w:spacing w:after="0" w:line="240" w:lineRule="auto"/>
              <w:jc w:val="center"/>
              <w:rPr>
                <w:rFonts w:ascii="Times New Roman" w:eastAsia="Times New Roman" w:hAnsi="Times New Roman" w:cs="Times New Roman"/>
                <w:b/>
                <w:bCs/>
                <w:lang w:eastAsia="sk-SK"/>
              </w:rPr>
            </w:pPr>
            <w:r w:rsidRPr="00271FE9">
              <w:rPr>
                <w:rFonts w:ascii="Times New Roman" w:eastAsia="Times New Roman" w:hAnsi="Times New Roman" w:cs="Times New Roman"/>
                <w:b/>
                <w:bCs/>
                <w:lang w:eastAsia="sk-SK"/>
              </w:rPr>
              <w:t>840</w:t>
            </w:r>
          </w:p>
        </w:tc>
        <w:tc>
          <w:tcPr>
            <w:tcW w:w="1701" w:type="dxa"/>
            <w:shd w:val="clear" w:color="auto" w:fill="D9D9D9" w:themeFill="background1" w:themeFillShade="D9"/>
            <w:vAlign w:val="bottom"/>
          </w:tcPr>
          <w:p w:rsidR="00FF0F1F" w:rsidRPr="00271FE9" w:rsidRDefault="00FF0F1F" w:rsidP="00FF0F1F">
            <w:pPr>
              <w:spacing w:after="0"/>
              <w:jc w:val="right"/>
              <w:rPr>
                <w:rFonts w:ascii="Times New Roman" w:hAnsi="Times New Roman" w:cs="Times New Roman"/>
                <w:b/>
                <w:sz w:val="20"/>
                <w:szCs w:val="20"/>
              </w:rPr>
            </w:pPr>
            <w:r w:rsidRPr="00271FE9">
              <w:rPr>
                <w:rFonts w:ascii="Times New Roman" w:hAnsi="Times New Roman" w:cs="Times New Roman"/>
                <w:b/>
                <w:sz w:val="20"/>
                <w:szCs w:val="20"/>
              </w:rPr>
              <w:t>158 843</w:t>
            </w:r>
          </w:p>
        </w:tc>
        <w:tc>
          <w:tcPr>
            <w:tcW w:w="1985" w:type="dxa"/>
            <w:shd w:val="clear" w:color="auto" w:fill="D9D9D9" w:themeFill="background1" w:themeFillShade="D9"/>
            <w:vAlign w:val="bottom"/>
          </w:tcPr>
          <w:p w:rsidR="00FF0F1F" w:rsidRPr="00271FE9" w:rsidRDefault="00FF0F1F" w:rsidP="000E0659">
            <w:pPr>
              <w:spacing w:after="0"/>
              <w:jc w:val="center"/>
              <w:rPr>
                <w:rFonts w:ascii="Times New Roman" w:hAnsi="Times New Roman" w:cs="Times New Roman"/>
                <w:b/>
                <w:sz w:val="20"/>
                <w:szCs w:val="20"/>
              </w:rPr>
            </w:pPr>
            <w:r w:rsidRPr="00271FE9">
              <w:rPr>
                <w:rFonts w:ascii="Times New Roman" w:hAnsi="Times New Roman" w:cs="Times New Roman"/>
                <w:b/>
                <w:sz w:val="20"/>
                <w:szCs w:val="20"/>
              </w:rPr>
              <w:t>505</w:t>
            </w:r>
          </w:p>
        </w:tc>
        <w:tc>
          <w:tcPr>
            <w:tcW w:w="2054" w:type="dxa"/>
            <w:shd w:val="clear" w:color="auto" w:fill="D9D9D9" w:themeFill="background1" w:themeFillShade="D9"/>
            <w:noWrap/>
            <w:vAlign w:val="bottom"/>
            <w:hideMark/>
          </w:tcPr>
          <w:p w:rsidR="00FF0F1F" w:rsidRPr="00271FE9" w:rsidRDefault="00FF0F1F" w:rsidP="00502684">
            <w:pPr>
              <w:spacing w:after="0"/>
              <w:jc w:val="right"/>
              <w:rPr>
                <w:rFonts w:ascii="Times New Roman" w:hAnsi="Times New Roman" w:cs="Times New Roman"/>
                <w:b/>
                <w:sz w:val="20"/>
                <w:szCs w:val="20"/>
              </w:rPr>
            </w:pPr>
            <w:r w:rsidRPr="00271FE9">
              <w:rPr>
                <w:rFonts w:ascii="Times New Roman" w:hAnsi="Times New Roman" w:cs="Times New Roman"/>
                <w:b/>
                <w:sz w:val="20"/>
                <w:szCs w:val="20"/>
              </w:rPr>
              <w:t>10 089</w:t>
            </w:r>
          </w:p>
        </w:tc>
      </w:tr>
    </w:tbl>
    <w:p w:rsidR="003B42F5" w:rsidRPr="00FD3680" w:rsidRDefault="003B42F5" w:rsidP="003B42F5">
      <w:pPr>
        <w:spacing w:after="0"/>
        <w:jc w:val="right"/>
        <w:rPr>
          <w:rFonts w:ascii="Times New Roman" w:hAnsi="Times New Roman" w:cs="Times New Roman"/>
          <w:sz w:val="20"/>
          <w:szCs w:val="20"/>
        </w:rPr>
      </w:pPr>
      <w:r w:rsidRPr="00FD3680">
        <w:rPr>
          <w:rFonts w:ascii="Times New Roman" w:hAnsi="Times New Roman" w:cs="Times New Roman"/>
          <w:sz w:val="20"/>
          <w:szCs w:val="20"/>
        </w:rPr>
        <w:t xml:space="preserve">Zdroj: SPF, výpočty </w:t>
      </w:r>
      <w:r w:rsidR="00AA1EC3" w:rsidRPr="00FD3680">
        <w:rPr>
          <w:rFonts w:ascii="Times New Roman" w:hAnsi="Times New Roman" w:cs="Times New Roman"/>
          <w:sz w:val="20"/>
          <w:szCs w:val="20"/>
        </w:rPr>
        <w:t>NPPC</w:t>
      </w:r>
    </w:p>
    <w:p w:rsidR="003B42F5" w:rsidRPr="00FD3680" w:rsidRDefault="003B42F5" w:rsidP="003B42F5">
      <w:pPr>
        <w:spacing w:after="0" w:line="240" w:lineRule="auto"/>
        <w:jc w:val="both"/>
        <w:rPr>
          <w:rFonts w:ascii="Times New Roman" w:hAnsi="Times New Roman" w:cs="Times New Roman"/>
          <w:sz w:val="24"/>
          <w:szCs w:val="24"/>
        </w:rPr>
      </w:pPr>
    </w:p>
    <w:p w:rsidR="003B42F5" w:rsidRPr="00FD3680" w:rsidRDefault="003B42F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Podľa grafického znázornenia na mape priestorovo podľa okresov môžeme vidieť, že najviac disponibilnej pôdy zo SPF je v južných okresoch Slovenska, čo korešponduje aj s najvyššou početnosťou podnikov, ktorých by sa vyčlenenie pôdy pre cieľovú skupinu poľnohospodárskych subjektov dotklo.</w:t>
      </w:r>
    </w:p>
    <w:p w:rsidR="003B42F5" w:rsidRPr="00FD3680" w:rsidRDefault="003B42F5" w:rsidP="003B42F5">
      <w:pPr>
        <w:spacing w:after="0" w:line="240" w:lineRule="auto"/>
        <w:jc w:val="both"/>
        <w:rPr>
          <w:rFonts w:ascii="Times New Roman" w:hAnsi="Times New Roman" w:cs="Times New Roman"/>
          <w:sz w:val="24"/>
          <w:szCs w:val="24"/>
        </w:rPr>
      </w:pPr>
    </w:p>
    <w:p w:rsidR="003B42F5" w:rsidRPr="00FD3680" w:rsidRDefault="003B42F5" w:rsidP="003B42F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Analýzou dostupnosti poľnohospodárskych pôd bola teda identifikovaná disponibilná výmera poľnohospodárskych pôd pre cieľovú skupinu začínajúcich poľnohospodárskych podnikateľov. Disponibilná výmera sa získala pomocou dôslednej analýzy nájomných vzťahov k štátnej pôde a pôde neznámych vlastníkov v správe SPF. Bolo identifikované, že táto výmera dosahuje celkom 1</w:t>
      </w:r>
      <w:r w:rsidR="00981B10" w:rsidRPr="00FD3680">
        <w:rPr>
          <w:rFonts w:ascii="Times New Roman" w:hAnsi="Times New Roman" w:cs="Times New Roman"/>
          <w:sz w:val="24"/>
          <w:szCs w:val="24"/>
        </w:rPr>
        <w:t>0</w:t>
      </w:r>
      <w:r w:rsidRPr="00FD3680">
        <w:rPr>
          <w:rFonts w:ascii="Times New Roman" w:hAnsi="Times New Roman" w:cs="Times New Roman"/>
          <w:sz w:val="24"/>
          <w:szCs w:val="24"/>
        </w:rPr>
        <w:t> 0</w:t>
      </w:r>
      <w:r w:rsidR="00981B10" w:rsidRPr="00FD3680">
        <w:rPr>
          <w:rFonts w:ascii="Times New Roman" w:hAnsi="Times New Roman" w:cs="Times New Roman"/>
          <w:sz w:val="24"/>
          <w:szCs w:val="24"/>
        </w:rPr>
        <w:t>8</w:t>
      </w:r>
      <w:r w:rsidRPr="00FD3680">
        <w:rPr>
          <w:rFonts w:ascii="Times New Roman" w:hAnsi="Times New Roman" w:cs="Times New Roman"/>
          <w:sz w:val="24"/>
          <w:szCs w:val="24"/>
        </w:rPr>
        <w:t xml:space="preserve">9 ha v členení podľa jednotlivých okresov (viď obr. č. 4).  </w:t>
      </w:r>
    </w:p>
    <w:p w:rsidR="003B42F5" w:rsidRPr="00FD3680" w:rsidRDefault="003B42F5" w:rsidP="003B42F5">
      <w:pPr>
        <w:spacing w:after="0" w:line="240" w:lineRule="auto"/>
        <w:jc w:val="both"/>
        <w:rPr>
          <w:rFonts w:ascii="Times New Roman" w:hAnsi="Times New Roman" w:cs="Times New Roman"/>
          <w:sz w:val="24"/>
          <w:szCs w:val="24"/>
        </w:rPr>
      </w:pPr>
    </w:p>
    <w:p w:rsidR="003B42F5" w:rsidRPr="00FD3680" w:rsidRDefault="003B42F5" w:rsidP="003B42F5">
      <w:pPr>
        <w:spacing w:after="0" w:line="240" w:lineRule="auto"/>
        <w:jc w:val="both"/>
        <w:rPr>
          <w:rFonts w:ascii="Times New Roman" w:hAnsi="Times New Roman" w:cs="Times New Roman"/>
          <w:sz w:val="20"/>
          <w:szCs w:val="20"/>
        </w:rPr>
      </w:pPr>
      <w:r w:rsidRPr="00FD3680">
        <w:rPr>
          <w:rFonts w:ascii="Times New Roman" w:hAnsi="Times New Roman" w:cs="Times New Roman"/>
          <w:sz w:val="20"/>
          <w:szCs w:val="20"/>
        </w:rPr>
        <w:t>Obr. č. 4: Mapa disponibilnej poľnohospodárskej pôdy</w:t>
      </w:r>
    </w:p>
    <w:p w:rsidR="00456120" w:rsidRPr="00FD3680" w:rsidRDefault="00456120" w:rsidP="003B42F5">
      <w:pPr>
        <w:spacing w:after="0" w:line="240" w:lineRule="auto"/>
        <w:jc w:val="both"/>
        <w:rPr>
          <w:rFonts w:ascii="Times New Roman" w:hAnsi="Times New Roman" w:cs="Times New Roman"/>
          <w:sz w:val="24"/>
          <w:szCs w:val="24"/>
        </w:rPr>
      </w:pPr>
    </w:p>
    <w:p w:rsidR="00456120" w:rsidRPr="00FD3680" w:rsidRDefault="00456120" w:rsidP="003B42F5">
      <w:pPr>
        <w:spacing w:after="0" w:line="240" w:lineRule="auto"/>
        <w:jc w:val="both"/>
        <w:rPr>
          <w:rFonts w:ascii="Times New Roman" w:hAnsi="Times New Roman" w:cs="Times New Roman"/>
          <w:sz w:val="24"/>
          <w:szCs w:val="24"/>
        </w:rPr>
      </w:pPr>
    </w:p>
    <w:p w:rsidR="003B42F5" w:rsidRPr="00FD3680" w:rsidRDefault="00F6469F" w:rsidP="003B42F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5624195" cy="3019425"/>
            <wp:effectExtent l="0" t="0" r="0" b="9525"/>
            <wp:docPr id="7" name="Obrázok 1" descr="disponibilna p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onibilna poda"/>
                    <pic:cNvPicPr>
                      <a:picLocks noChangeAspect="1" noChangeArrowheads="1"/>
                    </pic:cNvPicPr>
                  </pic:nvPicPr>
                  <pic:blipFill>
                    <a:blip r:embed="rId14">
                      <a:extLst>
                        <a:ext uri="{28A0092B-C50C-407E-A947-70E740481C1C}">
                          <a14:useLocalDpi xmlns:a14="http://schemas.microsoft.com/office/drawing/2010/main" val="0"/>
                        </a:ext>
                      </a:extLst>
                    </a:blip>
                    <a:srcRect l="1216" t="16145" b="9550"/>
                    <a:stretch>
                      <a:fillRect/>
                    </a:stretch>
                  </pic:blipFill>
                  <pic:spPr bwMode="auto">
                    <a:xfrm>
                      <a:off x="0" y="0"/>
                      <a:ext cx="5624195" cy="3019425"/>
                    </a:xfrm>
                    <a:prstGeom prst="rect">
                      <a:avLst/>
                    </a:prstGeom>
                    <a:noFill/>
                    <a:ln>
                      <a:noFill/>
                    </a:ln>
                  </pic:spPr>
                </pic:pic>
              </a:graphicData>
            </a:graphic>
          </wp:inline>
        </w:drawing>
      </w:r>
    </w:p>
    <w:p w:rsidR="003B42F5" w:rsidRPr="00FD3680" w:rsidRDefault="003B42F5" w:rsidP="003B42F5">
      <w:pPr>
        <w:spacing w:after="0"/>
        <w:jc w:val="right"/>
        <w:rPr>
          <w:rFonts w:ascii="Times New Roman" w:hAnsi="Times New Roman" w:cs="Times New Roman"/>
          <w:sz w:val="20"/>
          <w:szCs w:val="20"/>
        </w:rPr>
      </w:pPr>
      <w:r w:rsidRPr="00FD3680">
        <w:rPr>
          <w:rFonts w:ascii="Times New Roman" w:hAnsi="Times New Roman" w:cs="Times New Roman"/>
          <w:sz w:val="20"/>
          <w:szCs w:val="20"/>
        </w:rPr>
        <w:t xml:space="preserve">Zdroj: </w:t>
      </w:r>
      <w:r w:rsidR="00AA1EC3" w:rsidRPr="00FD3680">
        <w:rPr>
          <w:rFonts w:ascii="Times New Roman" w:hAnsi="Times New Roman" w:cs="Times New Roman"/>
          <w:sz w:val="20"/>
          <w:szCs w:val="20"/>
        </w:rPr>
        <w:t>NPPC</w:t>
      </w:r>
    </w:p>
    <w:p w:rsidR="003B42F5" w:rsidRPr="00FD3680" w:rsidRDefault="003B42F5" w:rsidP="0076674D">
      <w:pPr>
        <w:spacing w:after="0" w:line="240" w:lineRule="auto"/>
        <w:jc w:val="both"/>
        <w:rPr>
          <w:rFonts w:ascii="Times New Roman" w:hAnsi="Times New Roman" w:cs="Times New Roman"/>
          <w:sz w:val="24"/>
          <w:szCs w:val="24"/>
        </w:rPr>
      </w:pPr>
    </w:p>
    <w:p w:rsidR="00456120" w:rsidRPr="00FD3680" w:rsidRDefault="00456120" w:rsidP="0076674D">
      <w:pPr>
        <w:spacing w:after="0" w:line="240" w:lineRule="auto"/>
        <w:jc w:val="both"/>
        <w:rPr>
          <w:rFonts w:ascii="Times New Roman" w:hAnsi="Times New Roman" w:cs="Times New Roman"/>
          <w:sz w:val="24"/>
          <w:szCs w:val="24"/>
        </w:rPr>
      </w:pPr>
    </w:p>
    <w:p w:rsidR="003339F3" w:rsidRPr="00FD3680" w:rsidRDefault="0076674D" w:rsidP="0076674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 xml:space="preserve">Je teda možné konštatovať, že v súčasnosti vieme ponúknuť cieľovej skupine poľnohospodárskych </w:t>
      </w:r>
      <w:r w:rsidR="003B42F5" w:rsidRPr="00FD3680">
        <w:rPr>
          <w:rFonts w:ascii="Times New Roman" w:hAnsi="Times New Roman" w:cs="Times New Roman"/>
          <w:sz w:val="24"/>
          <w:szCs w:val="24"/>
        </w:rPr>
        <w:t>podnikateľov</w:t>
      </w:r>
      <w:r w:rsidRPr="00FD3680">
        <w:rPr>
          <w:rFonts w:ascii="Times New Roman" w:hAnsi="Times New Roman" w:cs="Times New Roman"/>
          <w:sz w:val="24"/>
          <w:szCs w:val="24"/>
        </w:rPr>
        <w:t xml:space="preserve"> celkom 1</w:t>
      </w:r>
      <w:r w:rsidR="00981B10" w:rsidRPr="00FD3680">
        <w:rPr>
          <w:rFonts w:ascii="Times New Roman" w:hAnsi="Times New Roman" w:cs="Times New Roman"/>
          <w:sz w:val="24"/>
          <w:szCs w:val="24"/>
        </w:rPr>
        <w:t>0</w:t>
      </w:r>
      <w:r w:rsidRPr="00FD3680">
        <w:rPr>
          <w:rFonts w:ascii="Times New Roman" w:hAnsi="Times New Roman" w:cs="Times New Roman"/>
          <w:sz w:val="24"/>
          <w:szCs w:val="24"/>
        </w:rPr>
        <w:t> 0</w:t>
      </w:r>
      <w:r w:rsidR="00981B10" w:rsidRPr="00FD3680">
        <w:rPr>
          <w:rFonts w:ascii="Times New Roman" w:hAnsi="Times New Roman" w:cs="Times New Roman"/>
          <w:sz w:val="24"/>
          <w:szCs w:val="24"/>
        </w:rPr>
        <w:t>8</w:t>
      </w:r>
      <w:r w:rsidRPr="00FD3680">
        <w:rPr>
          <w:rFonts w:ascii="Times New Roman" w:hAnsi="Times New Roman" w:cs="Times New Roman"/>
          <w:sz w:val="24"/>
          <w:szCs w:val="24"/>
        </w:rPr>
        <w:t xml:space="preserve">9 ha poľnohospodárskej pôdy. S ohľadom na definíciu cieľovej skupiny poľnohospodárskych subjektov je maximálna výmera, ktorú je možné poľnohospodárskemu podnikateľovi ponúknuť ohraničená na 28 ha. </w:t>
      </w:r>
      <w:r w:rsidR="0091502A" w:rsidRPr="00FD3680">
        <w:rPr>
          <w:rFonts w:ascii="Times New Roman" w:hAnsi="Times New Roman" w:cs="Times New Roman"/>
          <w:sz w:val="24"/>
          <w:szCs w:val="24"/>
        </w:rPr>
        <w:t>Táto výmera bola identifikovaná na základe maximálneho počtu osôb, ktoré začínajúci poľnohospodársky podnikateľ môže zamestnať (50 osôb), v zmysle definície cieľovej skupiny začínajúcich poľnohospodárskych podnikateľov, a zovšeobecneného normatívu potrebného počtu osôb obhospodarujúcich 1 ha poľnohospodárskej pôdy, ktorý dosahuje úroveň 1,78 pracovníka/ha.</w:t>
      </w:r>
    </w:p>
    <w:p w:rsidR="00E80B20" w:rsidRPr="00FD3680" w:rsidRDefault="00E80B20" w:rsidP="0076674D">
      <w:pPr>
        <w:spacing w:after="0" w:line="240" w:lineRule="auto"/>
        <w:jc w:val="both"/>
        <w:rPr>
          <w:rFonts w:ascii="Times New Roman" w:hAnsi="Times New Roman" w:cs="Times New Roman"/>
          <w:sz w:val="24"/>
          <w:szCs w:val="24"/>
        </w:rPr>
      </w:pPr>
    </w:p>
    <w:p w:rsidR="00E445A0" w:rsidRPr="00FD3680" w:rsidRDefault="00E445A0" w:rsidP="00E445A0">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Prístup k poľnohospodárskej pôde cez vyššie špecifikovaný mechanizmus by mal vytvoriť pre cieľovú skupinu poľnohospodárskych subjektov</w:t>
      </w:r>
      <w:r w:rsidR="00642DEF" w:rsidRPr="00FD3680">
        <w:rPr>
          <w:rFonts w:ascii="Times New Roman" w:hAnsi="Times New Roman" w:cs="Times New Roman"/>
          <w:sz w:val="24"/>
          <w:szCs w:val="24"/>
        </w:rPr>
        <w:t xml:space="preserve"> priestor</w:t>
      </w:r>
      <w:r w:rsidRPr="00FD3680">
        <w:rPr>
          <w:rFonts w:ascii="Times New Roman" w:hAnsi="Times New Roman" w:cs="Times New Roman"/>
          <w:sz w:val="24"/>
          <w:szCs w:val="24"/>
        </w:rPr>
        <w:t>, aby sa dostali k poľnohospodárskym pozemkom, ktoré majú v súčasnej dobe v prenájme veľkí poľnohospodári a veľké podniky. Súčasťou prístupu by však mal byť zmluvný záväzok na využívanie týchto poľnohospodárskych pozemkov na špeciálnu rastlinnú a živočíšnu výrobu, teda v odvetviach pozitívne stimulujúcich zamestnanosť.</w:t>
      </w:r>
    </w:p>
    <w:p w:rsidR="00E445A0" w:rsidRPr="00FD3680" w:rsidRDefault="00E445A0" w:rsidP="0076674D">
      <w:pPr>
        <w:spacing w:after="0" w:line="240" w:lineRule="auto"/>
        <w:jc w:val="both"/>
        <w:rPr>
          <w:rFonts w:ascii="Times New Roman" w:hAnsi="Times New Roman" w:cs="Times New Roman"/>
          <w:sz w:val="24"/>
          <w:szCs w:val="24"/>
        </w:rPr>
      </w:pPr>
    </w:p>
    <w:p w:rsidR="00E445A0" w:rsidRPr="00FD3680" w:rsidRDefault="00642DEF" w:rsidP="0076674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Navyše, determinované zameranie cieľovej skupiny poľnohospodárskych subjektov na špecializovanú rastlinnú výrobu a živočíšnu výrobu, predstavuje pravdepodobne jediný spôsob pri ktorom sa dá aj na menších výmerách dosiahnuť ekonomická efektívnosť.</w:t>
      </w:r>
    </w:p>
    <w:p w:rsidR="00642DEF" w:rsidRPr="00FD3680" w:rsidRDefault="00642DEF" w:rsidP="0076674D">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Realizácia načrtnutého modelu si v podmienkach SR vyžaduje zmeny v legislatíve. Všetka obrábateľná pôda v SR vrátane pôdy v správe a nakladaní SPF je dlhodobo prenajatá</w:t>
      </w:r>
      <w:r w:rsidR="00D5756D" w:rsidRPr="00FD3680">
        <w:rPr>
          <w:rFonts w:ascii="Times New Roman" w:hAnsi="Times New Roman" w:cs="Times New Roman"/>
          <w:sz w:val="24"/>
          <w:szCs w:val="24"/>
        </w:rPr>
        <w:t>,</w:t>
      </w:r>
      <w:r w:rsidRPr="00FD3680">
        <w:rPr>
          <w:rFonts w:ascii="Times New Roman" w:hAnsi="Times New Roman" w:cs="Times New Roman"/>
          <w:sz w:val="24"/>
          <w:szCs w:val="24"/>
        </w:rPr>
        <w:t xml:space="preserve"> podľa zákona </w:t>
      </w:r>
      <w:r w:rsidR="00D5756D" w:rsidRPr="00FD3680">
        <w:rPr>
          <w:rFonts w:ascii="Times New Roman" w:hAnsi="Times New Roman" w:cs="Times New Roman"/>
          <w:sz w:val="24"/>
          <w:szCs w:val="24"/>
        </w:rPr>
        <w:t xml:space="preserve">NR SR </w:t>
      </w:r>
      <w:r w:rsidRPr="00FD3680">
        <w:rPr>
          <w:rFonts w:ascii="Times New Roman" w:hAnsi="Times New Roman" w:cs="Times New Roman"/>
          <w:sz w:val="24"/>
          <w:szCs w:val="24"/>
        </w:rPr>
        <w:t>č. 504/2003</w:t>
      </w:r>
      <w:r w:rsidR="00D5756D" w:rsidRPr="00FD3680">
        <w:rPr>
          <w:rFonts w:ascii="Times New Roman" w:hAnsi="Times New Roman" w:cs="Times New Roman"/>
          <w:sz w:val="24"/>
          <w:szCs w:val="24"/>
        </w:rPr>
        <w:t xml:space="preserve"> Z. z.</w:t>
      </w:r>
      <w:r w:rsidRPr="00FD3680">
        <w:rPr>
          <w:rFonts w:ascii="Times New Roman" w:hAnsi="Times New Roman" w:cs="Times New Roman"/>
          <w:sz w:val="24"/>
          <w:szCs w:val="24"/>
        </w:rPr>
        <w:t xml:space="preserve"> </w:t>
      </w:r>
      <w:r w:rsidR="00D5756D" w:rsidRPr="00FD3680">
        <w:rPr>
          <w:rFonts w:ascii="Times New Roman" w:hAnsi="Times New Roman" w:cs="Times New Roman"/>
          <w:sz w:val="24"/>
          <w:szCs w:val="24"/>
        </w:rPr>
        <w:t xml:space="preserve">o nájme poľnohospodárskych pozemkov, poľnohospodárskeho podniku a lesných pozemkov a o zmene a doplnení niektorých zákonov, </w:t>
      </w:r>
      <w:r w:rsidRPr="00FD3680">
        <w:rPr>
          <w:rFonts w:ascii="Times New Roman" w:hAnsi="Times New Roman" w:cs="Times New Roman"/>
          <w:sz w:val="24"/>
          <w:szCs w:val="24"/>
        </w:rPr>
        <w:t xml:space="preserve">etablovanými poľnohospodárskymi podnikmi, preto je nesporné, že vyžadované legislatívne zmeny sa musia týkať aj existujúcej právnej úpravy prenájmu resp. užívaniu poľnohospodárskej pôdy. </w:t>
      </w:r>
    </w:p>
    <w:p w:rsidR="003339F3" w:rsidRPr="00FD3680" w:rsidRDefault="003339F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Táto právna úprava je obsiahnutá najmä v : </w:t>
      </w:r>
    </w:p>
    <w:p w:rsidR="003339F3" w:rsidRPr="00FD3680" w:rsidRDefault="003339F3" w:rsidP="00771A68">
      <w:pPr>
        <w:pStyle w:val="Odsekzoznamu"/>
        <w:numPr>
          <w:ilvl w:val="0"/>
          <w:numId w:val="2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zákone </w:t>
      </w:r>
      <w:r w:rsidR="00130E14" w:rsidRPr="00FD3680">
        <w:rPr>
          <w:rFonts w:ascii="Times New Roman" w:hAnsi="Times New Roman" w:cs="Times New Roman"/>
          <w:sz w:val="24"/>
          <w:szCs w:val="24"/>
        </w:rPr>
        <w:t xml:space="preserve">NR </w:t>
      </w:r>
      <w:r w:rsidRPr="00FD3680">
        <w:rPr>
          <w:rFonts w:ascii="Times New Roman" w:hAnsi="Times New Roman" w:cs="Times New Roman"/>
          <w:sz w:val="24"/>
          <w:szCs w:val="24"/>
        </w:rPr>
        <w:t xml:space="preserve">SR č. 330/1991 Zb. o pozemkových úpravách, usporiadaní pozemkového vlastníctva, pozemkových úradoch, pozemkovom fonde a o pozemkových spoločenstvách </w:t>
      </w:r>
      <w:r w:rsidR="006460F5" w:rsidRPr="00FD3680">
        <w:rPr>
          <w:rFonts w:ascii="Times New Roman" w:hAnsi="Times New Roman" w:cs="Times New Roman"/>
          <w:sz w:val="24"/>
          <w:szCs w:val="24"/>
        </w:rPr>
        <w:t xml:space="preserve">v znení neskorších predpisov </w:t>
      </w:r>
      <w:r w:rsidRPr="00FD3680">
        <w:rPr>
          <w:rFonts w:ascii="Times New Roman" w:hAnsi="Times New Roman" w:cs="Times New Roman"/>
          <w:sz w:val="24"/>
          <w:szCs w:val="24"/>
        </w:rPr>
        <w:t>(ďalej len „zákon č. 330/1991 Z. z.“);</w:t>
      </w:r>
    </w:p>
    <w:p w:rsidR="003339F3" w:rsidRPr="00FD3680" w:rsidRDefault="003339F3" w:rsidP="00771A68">
      <w:pPr>
        <w:pStyle w:val="Odsekzoznamu"/>
        <w:numPr>
          <w:ilvl w:val="0"/>
          <w:numId w:val="2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zákone NR SR č. 504/2003 Z. z. o nájme poľnohospodárskych pozemkov, poľnohospodárskeho podniku a lesných pozemkov a o zmene a doplnení niektorých zákonov (ďalej len „zákon č. 504/2003 Z. z.“); a</w:t>
      </w:r>
    </w:p>
    <w:p w:rsidR="003339F3" w:rsidRPr="00FD3680" w:rsidRDefault="003339F3" w:rsidP="00771A68">
      <w:pPr>
        <w:pStyle w:val="Odsekzoznamu"/>
        <w:numPr>
          <w:ilvl w:val="0"/>
          <w:numId w:val="22"/>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nariadení vlády SR č. 238/2010 Z. z., ktorým sa upravujú podrobnosti o podmienkach prenajímania, predaja, zámeny a nadobúdania nehnuteľností Slovenským pozemkovým fondom</w:t>
      </w:r>
      <w:r w:rsidR="006460F5" w:rsidRPr="00FD3680">
        <w:rPr>
          <w:rFonts w:ascii="Times New Roman" w:hAnsi="Times New Roman" w:cs="Times New Roman"/>
          <w:sz w:val="24"/>
          <w:szCs w:val="24"/>
        </w:rPr>
        <w:t xml:space="preserve"> v znení neskorších predpisov</w:t>
      </w:r>
      <w:r w:rsidRPr="00FD3680">
        <w:rPr>
          <w:rFonts w:ascii="Times New Roman" w:hAnsi="Times New Roman" w:cs="Times New Roman"/>
          <w:sz w:val="24"/>
          <w:szCs w:val="24"/>
        </w:rPr>
        <w:t xml:space="preserve"> (ďalej len „nariadenie vlády SR č. 238/2010 Z. z.“).</w:t>
      </w:r>
    </w:p>
    <w:p w:rsidR="003339F3" w:rsidRPr="00FD3680" w:rsidRDefault="003339F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 zmysle týchto predpisov, doterajší nájomcovia poľnohospodárskej pôdy, ktorí si plnia voči prenajímateľom svoje zákonné a zmluvné povinnosti, majú prednostné právo na uzatvorenie novej nájomnej zmluvy na ďalšie obdobie. Za určitých okolností uvedených v § 12 zákona       č. 504/2003 Z. z. sa dokonca doterajšia nájomná zmluva po skončení nájmu obnovuje automaticky. To síce neplatí automaticky pre nájom poľnohospodárskej pôdy v správe a nakladaní SPF, avšak v zmysle § 13 ods. 3 citovaného zákona má doterajší nájomca takýchto pozemkov, ktorý si riadne a včas plnil svoje záväzky z nájomnej zmluvy prednostné právo na uzavretie novej nájomnej zmluvy za nájomné v obvyklej výške. </w:t>
      </w:r>
    </w:p>
    <w:p w:rsidR="003339F3" w:rsidRPr="00FD3680" w:rsidRDefault="003339F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Na základe pozmeňovacieho poslaneckého návrhu sa obdobné ustanovenie dostalo aj do § 14 ods. 8 zákona č. 330/1991 Zb., podľa ktorého pôvodne dňom nadobudnutia právoplatnosti rozhodnutia o schválení vykonania projektu pozemkových úprav alebo neskorším dňom uvedeným v tomto rozhodnutí zanikajú nájomné vzťahy k pôvodným nehnuteľnostiam. Titulom ostatnej novely obsiahnutej v</w:t>
      </w:r>
      <w:r w:rsidR="00130E14" w:rsidRPr="00FD3680">
        <w:rPr>
          <w:rFonts w:ascii="Times New Roman" w:hAnsi="Times New Roman" w:cs="Times New Roman"/>
          <w:sz w:val="24"/>
          <w:szCs w:val="24"/>
        </w:rPr>
        <w:t> </w:t>
      </w:r>
      <w:r w:rsidRPr="00FD3680">
        <w:rPr>
          <w:rFonts w:ascii="Times New Roman" w:hAnsi="Times New Roman" w:cs="Times New Roman"/>
          <w:sz w:val="24"/>
          <w:szCs w:val="24"/>
        </w:rPr>
        <w:t>zákone</w:t>
      </w:r>
      <w:r w:rsidR="00130E14" w:rsidRPr="00FD3680">
        <w:rPr>
          <w:rFonts w:ascii="Times New Roman" w:hAnsi="Times New Roman" w:cs="Times New Roman"/>
          <w:sz w:val="24"/>
          <w:szCs w:val="24"/>
        </w:rPr>
        <w:t xml:space="preserve"> </w:t>
      </w:r>
      <w:r w:rsidRPr="00FD3680">
        <w:rPr>
          <w:rFonts w:ascii="Times New Roman" w:hAnsi="Times New Roman" w:cs="Times New Roman"/>
          <w:sz w:val="24"/>
          <w:szCs w:val="24"/>
        </w:rPr>
        <w:t>č. 145/2013 Z. z. bolo doplnené toto zákonné ustanovenie tak, že ak si nájomca riadne a včas plní svoje záväzky zo zmluvy o nájme pôvodných nehnuteľností, má prednostné právo na uzavretie nájomnej zmluvy na nájom nových pozemkov v modifikovanej výmere.</w:t>
      </w:r>
    </w:p>
    <w:p w:rsidR="003339F3" w:rsidRPr="00FD3680" w:rsidRDefault="003339F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Obdobne fixuje prednostné právo doterajšieho nájomcu na uzatvorenie novej nájomnej zmluvy i nariadenie vlády SR č. 238/2010 Z. z.. V § 2 ods. 14 tohto právneho predpisu sa totiž ustanovuje, že ak je o prenájom pozemkov viac záujemcov, má doterajší záujemca, ktorý si riadne a včas plní svoje záväzky z nájomnej zmluvy, prednostné právo na uzatvorenie nájomnej zmluvy. Taktiež tento právny predpis vo svojom § 2 ods. 20 ustanovuje, že ak nájom skončí podľa § 14 ods. 8 zákona č. 330/1991 Zb. fond prenajme nové pozemky doterajšiemu nájomcovi v modifikovanej výmere. </w:t>
      </w:r>
    </w:p>
    <w:p w:rsidR="003339F3" w:rsidRPr="00FD3680" w:rsidRDefault="003339F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 uvedeného stručného výpočtu ustanovení upravujúcich nájom pozemkov v správe a nakladaní SPF vyplýva, že fond má možnosť bez primeraných legislatívnych zmien disponovať na účely nájmu výlučne pozemkami, ktoré sa uvoľnia po nájomcoch, ktorí si neplnia svoje zákonné alebo zmluvné povinnosti. Týchto pozemkov je však iba obmedzené množstvo. </w:t>
      </w:r>
    </w:p>
    <w:p w:rsidR="003339F3" w:rsidRPr="00FD3680" w:rsidRDefault="003339F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Prenájom pôdy, ktorá by sa stala predmetom ponukového konania v prospech malých, mladých a rodinných farmárov, si teda vyžaduje zmenu legislatívy, a to konkrétne ustanovenia § 20 ods. 17 nariadenia vlády SR č. 238/2010 Z. z. upravujúceho kritériá a poradie osôb, ktoré sa zohľadňujú v ponukovom konaní. Táto zmena by spočívala v tom, že po osobách, ktoré majú uzatvorené nájomné zmluvy k pozemkom fyzických osôb, ktoré tvoria ucelený funkčný celok s pozemkami, ktoré má fond prenajať by v druhom poradí mali prednosť fyzické osoby a  právnické osoby spĺňajúce kritériá </w:t>
      </w:r>
      <w:r w:rsidR="00476973" w:rsidRPr="00FD3680">
        <w:rPr>
          <w:rFonts w:ascii="Times New Roman" w:hAnsi="Times New Roman" w:cs="Times New Roman"/>
          <w:sz w:val="24"/>
          <w:szCs w:val="24"/>
        </w:rPr>
        <w:t xml:space="preserve">malého, </w:t>
      </w:r>
      <w:r w:rsidRPr="00FD3680">
        <w:rPr>
          <w:rFonts w:ascii="Times New Roman" w:hAnsi="Times New Roman" w:cs="Times New Roman"/>
          <w:sz w:val="24"/>
          <w:szCs w:val="24"/>
        </w:rPr>
        <w:t xml:space="preserve">mladého </w:t>
      </w:r>
      <w:r w:rsidR="00476973" w:rsidRPr="00FD3680">
        <w:rPr>
          <w:rFonts w:ascii="Times New Roman" w:hAnsi="Times New Roman" w:cs="Times New Roman"/>
          <w:sz w:val="24"/>
          <w:szCs w:val="24"/>
        </w:rPr>
        <w:t xml:space="preserve">a rodinného farmára, ktoré:  </w:t>
      </w:r>
    </w:p>
    <w:p w:rsidR="003339F3" w:rsidRPr="00FD3680" w:rsidRDefault="003339F3" w:rsidP="00771A68">
      <w:pPr>
        <w:pStyle w:val="Odsekzoznamu"/>
        <w:numPr>
          <w:ilvl w:val="0"/>
          <w:numId w:val="2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vykonávajú alebo sa zmluvne zaviažu  vykonávať špeciálnu rastlinnú výrobu alebo živočíšnu výrobu,</w:t>
      </w:r>
    </w:p>
    <w:p w:rsidR="00476973" w:rsidRPr="00FD3680" w:rsidRDefault="003339F3" w:rsidP="00771A68">
      <w:pPr>
        <w:pStyle w:val="Odsekzoznamu"/>
        <w:numPr>
          <w:ilvl w:val="0"/>
          <w:numId w:val="2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preukážu, že majú vo vlastníctve alebo v nájme od iných vlastníkov poľnohospodársku pôdu určitej výmery. </w:t>
      </w:r>
    </w:p>
    <w:p w:rsidR="00476973" w:rsidRPr="00FD3680" w:rsidRDefault="0047697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Tento údaj by bol určujúci pre maximálnu výmeru pôdy v správe a nakladaní SPF, na prenajatie ktorej by mal právo. Fond by mu mohol prenajať maximálne takú výmeru poľnohospodárskej pôdy, ktorá by zodpovedala výmere, ktorú už má k dispozícii a zároveň iba do určitej maximálnej výmery potrebnej na zabezpečenie rentability vykonávanej špeciálnej rastlinnej výroby alebo živočíšnej výroby. Legislatívnou zmenou by sa dokonca dala prekonať aj taká vecná bariéra ako je prednostné právo tých vyššie uvedených osôb, ktoré majú s fyzickými osobami uzatvorené nájomné zmluvy na pozemky tvoriace s pozemkami v správe a nakladaní SPF funkčný celok. To by si však vyžadovalo takú zmenu </w:t>
      </w:r>
      <w:r w:rsidR="00476973" w:rsidRPr="00FD3680">
        <w:rPr>
          <w:rFonts w:ascii="Times New Roman" w:hAnsi="Times New Roman" w:cs="Times New Roman"/>
          <w:sz w:val="24"/>
          <w:szCs w:val="24"/>
        </w:rPr>
        <w:t xml:space="preserve">    </w:t>
      </w:r>
      <w:r w:rsidRPr="00FD3680">
        <w:rPr>
          <w:rFonts w:ascii="Times New Roman" w:hAnsi="Times New Roman" w:cs="Times New Roman"/>
          <w:sz w:val="24"/>
          <w:szCs w:val="24"/>
        </w:rPr>
        <w:t>§ 12a zákona č. 504/2003 Z. z., ktorá by umožňovala aj fondu požiadať resp. navrhnúť uzatvorenie podnájomnej zmluvy s touto osobou</w:t>
      </w:r>
      <w:r w:rsidR="00476973" w:rsidRPr="00FD3680">
        <w:rPr>
          <w:rFonts w:ascii="Times New Roman" w:hAnsi="Times New Roman" w:cs="Times New Roman"/>
          <w:sz w:val="24"/>
          <w:szCs w:val="24"/>
        </w:rPr>
        <w:t>.</w:t>
      </w:r>
      <w:r w:rsidRPr="00FD3680">
        <w:rPr>
          <w:rFonts w:ascii="Times New Roman" w:hAnsi="Times New Roman" w:cs="Times New Roman"/>
          <w:sz w:val="24"/>
          <w:szCs w:val="24"/>
        </w:rPr>
        <w:t xml:space="preserve"> </w:t>
      </w:r>
    </w:p>
    <w:p w:rsidR="003339F3" w:rsidRPr="00FD3680" w:rsidRDefault="003339F3"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 vyššie uvedených skutočností jednoznačne vyplýva, že ak má byť dosiahnutý cieľ zamýšľaný projektom podpory </w:t>
      </w:r>
      <w:r w:rsidR="00476973" w:rsidRPr="00FD3680">
        <w:rPr>
          <w:rFonts w:ascii="Times New Roman" w:hAnsi="Times New Roman" w:cs="Times New Roman"/>
          <w:sz w:val="24"/>
          <w:szCs w:val="24"/>
        </w:rPr>
        <w:t xml:space="preserve">malých, </w:t>
      </w:r>
      <w:r w:rsidRPr="00FD3680">
        <w:rPr>
          <w:rFonts w:ascii="Times New Roman" w:hAnsi="Times New Roman" w:cs="Times New Roman"/>
          <w:sz w:val="24"/>
          <w:szCs w:val="24"/>
        </w:rPr>
        <w:t xml:space="preserve">mladých </w:t>
      </w:r>
      <w:r w:rsidR="00476973" w:rsidRPr="00FD3680">
        <w:rPr>
          <w:rFonts w:ascii="Times New Roman" w:hAnsi="Times New Roman" w:cs="Times New Roman"/>
          <w:sz w:val="24"/>
          <w:szCs w:val="24"/>
        </w:rPr>
        <w:t>a</w:t>
      </w:r>
      <w:r w:rsidR="00202331" w:rsidRPr="00FD3680">
        <w:rPr>
          <w:rFonts w:ascii="Times New Roman" w:hAnsi="Times New Roman" w:cs="Times New Roman"/>
          <w:sz w:val="24"/>
          <w:szCs w:val="24"/>
        </w:rPr>
        <w:t xml:space="preserve"> rodinných </w:t>
      </w:r>
      <w:r w:rsidRPr="00FD3680">
        <w:rPr>
          <w:rFonts w:ascii="Times New Roman" w:hAnsi="Times New Roman" w:cs="Times New Roman"/>
          <w:sz w:val="24"/>
          <w:szCs w:val="24"/>
        </w:rPr>
        <w:t xml:space="preserve">farmárov, nezaobíde sa to bez legislatívnej modifikácie podmienok prednostného práva doterajších nájomcov pozemkov v </w:t>
      </w:r>
      <w:r w:rsidRPr="00FD3680">
        <w:rPr>
          <w:rFonts w:ascii="Times New Roman" w:hAnsi="Times New Roman" w:cs="Times New Roman"/>
          <w:sz w:val="24"/>
          <w:szCs w:val="24"/>
        </w:rPr>
        <w:lastRenderedPageBreak/>
        <w:t xml:space="preserve">správe a nakladaní SPF na uzatvorenie novej nájomnej zmluvy tak, ako je toto prednostné právo upravené vo všetkých troch uvádzaných právnych predpisoch. </w:t>
      </w:r>
    </w:p>
    <w:p w:rsidR="00202331" w:rsidRPr="00FD3680" w:rsidRDefault="00202331" w:rsidP="003339F3">
      <w:pPr>
        <w:spacing w:after="0" w:line="240" w:lineRule="auto"/>
        <w:jc w:val="both"/>
        <w:rPr>
          <w:rFonts w:ascii="Times New Roman" w:hAnsi="Times New Roman" w:cs="Times New Roman"/>
          <w:sz w:val="24"/>
          <w:szCs w:val="24"/>
        </w:rPr>
      </w:pPr>
    </w:p>
    <w:p w:rsidR="003339F3"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Pri rešpektovaní vyššie uvedených kritérií, tak mladého</w:t>
      </w:r>
      <w:r w:rsidR="00202331" w:rsidRPr="00FD3680">
        <w:rPr>
          <w:rFonts w:ascii="Times New Roman" w:hAnsi="Times New Roman" w:cs="Times New Roman"/>
          <w:sz w:val="24"/>
          <w:szCs w:val="24"/>
        </w:rPr>
        <w:t>, malého a rodinného</w:t>
      </w:r>
      <w:r w:rsidRPr="00FD3680">
        <w:rPr>
          <w:rFonts w:ascii="Times New Roman" w:hAnsi="Times New Roman" w:cs="Times New Roman"/>
          <w:sz w:val="24"/>
          <w:szCs w:val="24"/>
        </w:rPr>
        <w:t xml:space="preserve"> farmára, ako aj doterajšieho nájomcu, na ktorého by sa modifikácia prednostného práva na uzatvorenie nájomnej zmluvy nevzťahovala by potom východiskovou legislatívnou zmenou bolo doplnenie § 13 ods. 3 zákona č. 504/2003 Z. z. o nový odsek resp. nové odseky. V týchto by bolo ustanovené, že prednostné právo doterajšieho nájomcu na uzatvorenie novej nájomnej zmluvy s fondom ustanovené v uvedenom odseku 3 u nájomcov, ktorí  majú od SPF prenajatú pôdu vo výmere väčšej ako 100 ha neplatí k výmere pozemkov, ktorú fond prenajme fyzickej osobe spĺňajúcej kritériá mladého</w:t>
      </w:r>
      <w:r w:rsidR="00202331" w:rsidRPr="00FD3680">
        <w:rPr>
          <w:rFonts w:ascii="Times New Roman" w:hAnsi="Times New Roman" w:cs="Times New Roman"/>
          <w:sz w:val="24"/>
          <w:szCs w:val="24"/>
        </w:rPr>
        <w:t>, malého a rodinného</w:t>
      </w:r>
      <w:r w:rsidRPr="00FD3680">
        <w:rPr>
          <w:rFonts w:ascii="Times New Roman" w:hAnsi="Times New Roman" w:cs="Times New Roman"/>
          <w:sz w:val="24"/>
          <w:szCs w:val="24"/>
        </w:rPr>
        <w:t xml:space="preserve"> farmára a zároveň vykonávajúcej špeciálnu rastlinnú výrobu alebo živočíšnu výrobu alebo takejto osobe, ktorá sa v nájomnej zmluve s SPF zaviaže takúto výrobu vykonávať a to do určenej (vyššie už špecifikovanej) výmery. Zároveň by sa uviedlo, že takto modifikovaná výmera doterajšieho nájomcu, na ktorú sa vzťahuje prednostné právo na uzatvorenie novej nájomnej zmluvy, nesmie klesnúť pod </w:t>
      </w:r>
      <w:r w:rsidR="00476973" w:rsidRPr="00FD3680">
        <w:rPr>
          <w:rFonts w:ascii="Times New Roman" w:hAnsi="Times New Roman" w:cs="Times New Roman"/>
          <w:sz w:val="24"/>
          <w:szCs w:val="24"/>
        </w:rPr>
        <w:t xml:space="preserve">       </w:t>
      </w:r>
      <w:r w:rsidRPr="00FD3680">
        <w:rPr>
          <w:rFonts w:ascii="Times New Roman" w:hAnsi="Times New Roman" w:cs="Times New Roman"/>
          <w:sz w:val="24"/>
          <w:szCs w:val="24"/>
        </w:rPr>
        <w:t xml:space="preserve">100 ha. Táto zmena by sa následne premietla do novely nariadenia vlády SR č. 238/2010 Z. z. tak, že by sa do tohto predpisu zakotvilo právo SPF priamo, do určitej výmery, prenajať poľnohospodárskej pozemky osobe spĺňajúcej kritériá  </w:t>
      </w:r>
      <w:r w:rsidR="00476973" w:rsidRPr="00FD3680">
        <w:rPr>
          <w:rFonts w:ascii="Times New Roman" w:hAnsi="Times New Roman" w:cs="Times New Roman"/>
          <w:sz w:val="24"/>
          <w:szCs w:val="24"/>
        </w:rPr>
        <w:t xml:space="preserve">malého, </w:t>
      </w:r>
      <w:r w:rsidRPr="00FD3680">
        <w:rPr>
          <w:rFonts w:ascii="Times New Roman" w:hAnsi="Times New Roman" w:cs="Times New Roman"/>
          <w:sz w:val="24"/>
          <w:szCs w:val="24"/>
        </w:rPr>
        <w:t xml:space="preserve">mladého </w:t>
      </w:r>
      <w:r w:rsidR="00476973" w:rsidRPr="00FD3680">
        <w:rPr>
          <w:rFonts w:ascii="Times New Roman" w:hAnsi="Times New Roman" w:cs="Times New Roman"/>
          <w:sz w:val="24"/>
          <w:szCs w:val="24"/>
        </w:rPr>
        <w:t xml:space="preserve">a rodinného </w:t>
      </w:r>
      <w:r w:rsidRPr="00FD3680">
        <w:rPr>
          <w:rFonts w:ascii="Times New Roman" w:hAnsi="Times New Roman" w:cs="Times New Roman"/>
          <w:sz w:val="24"/>
          <w:szCs w:val="24"/>
        </w:rPr>
        <w:t xml:space="preserve">farmára vykonávajúceho </w:t>
      </w:r>
      <w:r w:rsidR="00476973" w:rsidRPr="00FD3680">
        <w:rPr>
          <w:rFonts w:ascii="Times New Roman" w:hAnsi="Times New Roman" w:cs="Times New Roman"/>
          <w:sz w:val="24"/>
          <w:szCs w:val="24"/>
        </w:rPr>
        <w:t>špecializovanú</w:t>
      </w:r>
      <w:r w:rsidRPr="00FD3680">
        <w:rPr>
          <w:rFonts w:ascii="Times New Roman" w:hAnsi="Times New Roman" w:cs="Times New Roman"/>
          <w:sz w:val="24"/>
          <w:szCs w:val="24"/>
        </w:rPr>
        <w:t xml:space="preserve"> rastlinnú výrobu alebo živočíšnu výrobu.</w:t>
      </w:r>
    </w:p>
    <w:p w:rsidR="003339F3" w:rsidRPr="00FD3680" w:rsidRDefault="003339F3" w:rsidP="003339F3">
      <w:pPr>
        <w:spacing w:after="0" w:line="240" w:lineRule="auto"/>
        <w:jc w:val="both"/>
        <w:rPr>
          <w:rFonts w:ascii="Times New Roman" w:hAnsi="Times New Roman" w:cs="Times New Roman"/>
          <w:sz w:val="24"/>
          <w:szCs w:val="24"/>
        </w:rPr>
      </w:pPr>
    </w:p>
    <w:p w:rsidR="00E80B20" w:rsidRPr="00FD3680" w:rsidRDefault="003339F3" w:rsidP="003339F3">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Obdobná legislatívna zmena by sa </w:t>
      </w:r>
      <w:r w:rsidR="00476973" w:rsidRPr="00FD3680">
        <w:rPr>
          <w:rFonts w:ascii="Times New Roman" w:hAnsi="Times New Roman" w:cs="Times New Roman"/>
          <w:sz w:val="24"/>
          <w:szCs w:val="24"/>
        </w:rPr>
        <w:t>mala dotknúť</w:t>
      </w:r>
      <w:r w:rsidRPr="00FD3680">
        <w:rPr>
          <w:rFonts w:ascii="Times New Roman" w:hAnsi="Times New Roman" w:cs="Times New Roman"/>
          <w:sz w:val="24"/>
          <w:szCs w:val="24"/>
        </w:rPr>
        <w:t xml:space="preserve"> aj prednostného práva na uzatvorenie novej nájomnej zmluvy upravenej v § 14 ods. 8 zákona č. 330/1991 Z. z. a to tak, že u pozemkov prenajatých od SPF by sa výmera nových pozemkov modifikovala nielen o výmeru pozemkov, ktoré by boli poskytnuté na spoločné zariadenia a opatrenia, ale aj o výmeru pozemkov, ktoré má fond prenajať osobám spĺňajúcim kritériá mladého farmára vykonávajúceho špeciálnu rastlinnú výrobu alebo živočíšnu výrobu. Táto zmena by sa následne premietla do § 20 ods. 20 nariadenia vlády SR č. 238/2010 Z. z.</w:t>
      </w:r>
    </w:p>
    <w:p w:rsidR="003339F3" w:rsidRPr="00FD3680" w:rsidRDefault="003339F3" w:rsidP="0076674D">
      <w:pPr>
        <w:spacing w:after="0" w:line="240" w:lineRule="auto"/>
        <w:jc w:val="both"/>
        <w:rPr>
          <w:rFonts w:ascii="Times New Roman" w:hAnsi="Times New Roman" w:cs="Times New Roman"/>
          <w:sz w:val="24"/>
          <w:szCs w:val="24"/>
        </w:rPr>
      </w:pPr>
    </w:p>
    <w:p w:rsidR="00C35780" w:rsidRPr="00FD3680" w:rsidRDefault="00C35780" w:rsidP="00F633BF">
      <w:pPr>
        <w:pStyle w:val="Nadpis3"/>
        <w:rPr>
          <w:rFonts w:cs="Times New Roman"/>
          <w:b w:val="0"/>
          <w:szCs w:val="26"/>
        </w:rPr>
      </w:pPr>
      <w:bookmarkStart w:id="12" w:name="_Toc394589425"/>
      <w:r w:rsidRPr="00FD3680">
        <w:t>Pomoc pri prefinancovaní kúpy poľnohospodárskej pôdy</w:t>
      </w:r>
      <w:bookmarkEnd w:id="12"/>
    </w:p>
    <w:p w:rsidR="0076674D" w:rsidRPr="00FD3680" w:rsidRDefault="0076674D" w:rsidP="0076674D">
      <w:pPr>
        <w:spacing w:after="0" w:line="240" w:lineRule="auto"/>
        <w:jc w:val="both"/>
        <w:rPr>
          <w:rFonts w:ascii="Times New Roman" w:hAnsi="Times New Roman" w:cs="Times New Roman"/>
          <w:sz w:val="24"/>
          <w:szCs w:val="24"/>
        </w:rPr>
      </w:pPr>
    </w:p>
    <w:p w:rsidR="00722895" w:rsidRPr="00FD3680" w:rsidRDefault="00722895" w:rsidP="0072289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Pri financovaní kúpy disponibilnej poľnohospodárskej pôdy v správe SPF, navrhujeme  efektívne nadviazať na doterajšie skúsenosti so Slovenskou záručnou a rozvojovou bankou (ďalej len „SZRB“), ktorá v spolupráci s MPRV SR a SPF, uviedla na trh v roku 2013 úverový produkt na nákup takejto pôdy – Úver MOJA PÔDA.  Pri financovaní kúpy pôdy pre malých, mladých a rodinných farmárov v zmysle tejto koncepcie, novonavrhovaný úverový produkt by mal byť modifikáciou existujúceho úspešného produktu „Úver MOJA PÔDA “ a mal by niesť názov „</w:t>
      </w:r>
      <w:r w:rsidRPr="00FD3680">
        <w:rPr>
          <w:rFonts w:ascii="Times New Roman" w:hAnsi="Times New Roman" w:cs="Times New Roman"/>
          <w:caps/>
          <w:sz w:val="24"/>
          <w:szCs w:val="24"/>
        </w:rPr>
        <w:t>Moja pôda pre mladých</w:t>
      </w:r>
      <w:r w:rsidRPr="00FD3680">
        <w:rPr>
          <w:rFonts w:ascii="Times New Roman" w:hAnsi="Times New Roman" w:cs="Times New Roman"/>
          <w:sz w:val="24"/>
          <w:szCs w:val="24"/>
        </w:rPr>
        <w:t xml:space="preserve">“.  </w:t>
      </w:r>
    </w:p>
    <w:p w:rsidR="00722895" w:rsidRPr="00FD3680" w:rsidRDefault="00722895" w:rsidP="00722895">
      <w:pPr>
        <w:spacing w:after="0" w:line="240" w:lineRule="auto"/>
        <w:jc w:val="both"/>
        <w:rPr>
          <w:rFonts w:ascii="Times New Roman" w:hAnsi="Times New Roman" w:cs="Times New Roman"/>
          <w:sz w:val="24"/>
          <w:szCs w:val="24"/>
        </w:rPr>
      </w:pPr>
    </w:p>
    <w:p w:rsidR="00722895" w:rsidRPr="00FD3680" w:rsidRDefault="00722895" w:rsidP="00722895">
      <w:pPr>
        <w:pStyle w:val="Odsekzoznamu"/>
        <w:spacing w:after="0" w:line="240" w:lineRule="auto"/>
        <w:ind w:left="0"/>
        <w:jc w:val="both"/>
        <w:rPr>
          <w:rFonts w:ascii="Times New Roman" w:hAnsi="Times New Roman"/>
          <w:sz w:val="24"/>
          <w:szCs w:val="24"/>
        </w:rPr>
      </w:pPr>
      <w:r w:rsidRPr="00FD3680">
        <w:rPr>
          <w:rFonts w:ascii="Times New Roman" w:hAnsi="Times New Roman"/>
          <w:sz w:val="24"/>
          <w:szCs w:val="24"/>
        </w:rPr>
        <w:t xml:space="preserve">Maximálna lehota splatnosti úveru by sa mala stanoviť na obdobie 15 rokov s úrokovou mierou vypočítanou, pre každého žiadateľa o úver samostatne, v zmysle Oznámenia Komisie 2008/C 14/02. Úroková miera sa podľa uvedeného oznámenia vypočíta ako súčet základnej sadzby a príslušnej marže. Základná sadzba bola stanovená Európskou komisiou na úrovni  0,53 %. Marža sa stanovuje podľa hodnotenia kredibility  žiadateľa. </w:t>
      </w:r>
    </w:p>
    <w:p w:rsidR="00722895" w:rsidRPr="00FD3680" w:rsidRDefault="00722895" w:rsidP="00722895">
      <w:pPr>
        <w:pStyle w:val="Odsekzoznamu"/>
        <w:spacing w:after="0" w:line="240" w:lineRule="auto"/>
        <w:ind w:left="0"/>
        <w:jc w:val="both"/>
        <w:rPr>
          <w:rFonts w:ascii="Times New Roman" w:hAnsi="Times New Roman"/>
          <w:sz w:val="24"/>
          <w:szCs w:val="24"/>
        </w:rPr>
      </w:pPr>
    </w:p>
    <w:p w:rsidR="00722895" w:rsidRPr="00FD3680" w:rsidRDefault="00722895" w:rsidP="00722895">
      <w:pPr>
        <w:pStyle w:val="Odsekzoznamu"/>
        <w:spacing w:after="0" w:line="240" w:lineRule="auto"/>
        <w:ind w:left="0"/>
        <w:jc w:val="both"/>
        <w:rPr>
          <w:rFonts w:ascii="Times New Roman" w:hAnsi="Times New Roman"/>
          <w:sz w:val="24"/>
          <w:szCs w:val="24"/>
        </w:rPr>
      </w:pPr>
      <w:r w:rsidRPr="00FD3680">
        <w:rPr>
          <w:rFonts w:ascii="Times New Roman" w:hAnsi="Times New Roman"/>
          <w:sz w:val="24"/>
          <w:szCs w:val="24"/>
        </w:rPr>
        <w:t xml:space="preserve">Predpokladom úspešného poskytovania zvýhodneného úveru pre mladých poľnohospodárov zo strany financujúcej banky je zabezpečenie dostatočných refinančných zdrojov a záruk na krytie prvej straty. </w:t>
      </w:r>
    </w:p>
    <w:p w:rsidR="00722895" w:rsidRPr="00FD3680" w:rsidRDefault="00722895" w:rsidP="00722895">
      <w:pPr>
        <w:pStyle w:val="Odsekzoznamu"/>
        <w:spacing w:after="0" w:line="240" w:lineRule="auto"/>
        <w:ind w:left="0"/>
        <w:jc w:val="both"/>
        <w:rPr>
          <w:rFonts w:ascii="Times New Roman" w:hAnsi="Times New Roman"/>
          <w:sz w:val="24"/>
          <w:szCs w:val="24"/>
        </w:rPr>
      </w:pPr>
    </w:p>
    <w:p w:rsidR="00722895" w:rsidRPr="00FD3680" w:rsidRDefault="00722895" w:rsidP="00722895">
      <w:pPr>
        <w:pStyle w:val="Odsekzoznamu"/>
        <w:spacing w:after="0" w:line="240" w:lineRule="auto"/>
        <w:ind w:left="0"/>
        <w:jc w:val="both"/>
        <w:rPr>
          <w:rFonts w:ascii="Times New Roman" w:hAnsi="Times New Roman"/>
          <w:sz w:val="24"/>
          <w:szCs w:val="24"/>
        </w:rPr>
      </w:pPr>
      <w:r w:rsidRPr="00FD3680">
        <w:rPr>
          <w:rFonts w:ascii="Times New Roman" w:hAnsi="Times New Roman"/>
          <w:sz w:val="24"/>
          <w:szCs w:val="24"/>
        </w:rPr>
        <w:lastRenderedPageBreak/>
        <w:t xml:space="preserve">S ohľadom na naplnenie čiastkového cieľa, umožnenia prefinancovania kúpy poľnohospodárskej pôdy, je žiaduce, aby drvivá väčšina žiadateľov dosiahla prijateľné hodnotenie kredibility  čo znamená dosiahnutie rizikových prirážok k základnej úrokovej sadzbe v rozpätí 1,53 % až 2,73 % p. a.. </w:t>
      </w:r>
    </w:p>
    <w:p w:rsidR="00722895" w:rsidRPr="00FD3680" w:rsidRDefault="00722895" w:rsidP="00722895">
      <w:pPr>
        <w:pStyle w:val="Odsekzoznamu"/>
        <w:spacing w:after="0" w:line="240" w:lineRule="auto"/>
        <w:ind w:left="0"/>
        <w:jc w:val="both"/>
        <w:rPr>
          <w:rFonts w:ascii="Times New Roman" w:hAnsi="Times New Roman"/>
          <w:sz w:val="24"/>
          <w:szCs w:val="24"/>
        </w:rPr>
      </w:pPr>
    </w:p>
    <w:p w:rsidR="00722895" w:rsidRPr="00FD3680" w:rsidRDefault="00722895" w:rsidP="00722895">
      <w:pPr>
        <w:pStyle w:val="Odsekzoznamu"/>
        <w:spacing w:after="0" w:line="240" w:lineRule="auto"/>
        <w:ind w:left="0"/>
        <w:jc w:val="both"/>
        <w:rPr>
          <w:rFonts w:ascii="Times New Roman" w:hAnsi="Times New Roman"/>
          <w:sz w:val="24"/>
          <w:szCs w:val="24"/>
        </w:rPr>
      </w:pPr>
      <w:r w:rsidRPr="00FD3680">
        <w:rPr>
          <w:rFonts w:ascii="Times New Roman" w:hAnsi="Times New Roman"/>
          <w:sz w:val="24"/>
          <w:szCs w:val="24"/>
        </w:rPr>
        <w:t>Minimálna výška úveru na nákup poľnohospodárskej pôdy by sa mala limitovať na úrovni 3 000 EUR a maximálna výška úveru na úrovni 30 000 EUR, s minimálnym spolufinancovaním zo strany žiadateľa na úrovni 10 % z objemu úveru.</w:t>
      </w:r>
    </w:p>
    <w:p w:rsidR="00722895" w:rsidRPr="00FD3680" w:rsidRDefault="00722895" w:rsidP="00722895">
      <w:pPr>
        <w:pStyle w:val="Odsekzoznamu"/>
        <w:spacing w:after="0" w:line="240" w:lineRule="auto"/>
        <w:ind w:left="0"/>
        <w:jc w:val="both"/>
        <w:rPr>
          <w:rFonts w:ascii="Times New Roman" w:hAnsi="Times New Roman"/>
          <w:sz w:val="24"/>
          <w:szCs w:val="24"/>
        </w:rPr>
      </w:pPr>
    </w:p>
    <w:p w:rsidR="00722895" w:rsidRPr="00FD3680" w:rsidRDefault="00722895" w:rsidP="00722895">
      <w:pPr>
        <w:pStyle w:val="Odsekzoznamu"/>
        <w:spacing w:after="0" w:line="240" w:lineRule="auto"/>
        <w:ind w:left="0"/>
        <w:jc w:val="both"/>
        <w:rPr>
          <w:rFonts w:ascii="Times New Roman" w:hAnsi="Times New Roman"/>
          <w:sz w:val="24"/>
          <w:szCs w:val="24"/>
        </w:rPr>
      </w:pPr>
      <w:r w:rsidRPr="00FD3680">
        <w:rPr>
          <w:rFonts w:ascii="Times New Roman" w:hAnsi="Times New Roman"/>
          <w:sz w:val="24"/>
          <w:szCs w:val="24"/>
        </w:rPr>
        <w:t>Úver by mal byť čerpaný jednorázovo, vo výške znaleckého posudku k cene pôdy  v sprá</w:t>
      </w:r>
      <w:r w:rsidR="00C7724A" w:rsidRPr="00FD3680">
        <w:rPr>
          <w:rFonts w:ascii="Times New Roman" w:hAnsi="Times New Roman"/>
          <w:sz w:val="24"/>
          <w:szCs w:val="24"/>
        </w:rPr>
        <w:t>ve SPF, ktorá je predmetom kúpnej</w:t>
      </w:r>
      <w:r w:rsidRPr="00FD3680">
        <w:rPr>
          <w:rFonts w:ascii="Times New Roman" w:hAnsi="Times New Roman"/>
          <w:sz w:val="24"/>
          <w:szCs w:val="24"/>
        </w:rPr>
        <w:t xml:space="preserve"> zmluvy. Pre dostatočné zabezpečenie zdrojov financujúcej banky z titulu nesplácania úveru, by sa mala zábezpeka stanoviť minimálne na úrovni 100 % istiny úveru, s umožnením ručenia pôdou, ktorá je predmetom úveru. Je pritom žiaduce, aby sa vytvorili predpoklady na umožnenie realizácie záložného práva odkupom poľnohospodárskej pôdy zo strany SPF, a to v cene znaleckého posudku.</w:t>
      </w:r>
    </w:p>
    <w:p w:rsidR="004C462B" w:rsidRPr="00FD3680" w:rsidRDefault="004C462B" w:rsidP="00BE4557">
      <w:pPr>
        <w:spacing w:after="0" w:line="240" w:lineRule="auto"/>
        <w:jc w:val="both"/>
        <w:rPr>
          <w:rFonts w:ascii="Times New Roman" w:hAnsi="Times New Roman" w:cs="Times New Roman"/>
          <w:sz w:val="24"/>
          <w:szCs w:val="24"/>
        </w:rPr>
      </w:pPr>
    </w:p>
    <w:p w:rsidR="00F866AC" w:rsidRPr="00FD3680" w:rsidRDefault="00F866AC" w:rsidP="00F633BF">
      <w:pPr>
        <w:pStyle w:val="Nadpis3"/>
        <w:rPr>
          <w:rFonts w:cs="Times New Roman"/>
          <w:b w:val="0"/>
          <w:szCs w:val="26"/>
        </w:rPr>
      </w:pPr>
      <w:bookmarkStart w:id="13" w:name="_Toc394589426"/>
      <w:r w:rsidRPr="00FD3680">
        <w:t>Pokračovanie realizácie pozemkových úprav</w:t>
      </w:r>
      <w:bookmarkEnd w:id="13"/>
    </w:p>
    <w:p w:rsidR="00BE4557" w:rsidRPr="00FD3680" w:rsidRDefault="00BE4557" w:rsidP="00BE4557">
      <w:pPr>
        <w:spacing w:after="0" w:line="240" w:lineRule="auto"/>
        <w:jc w:val="both"/>
        <w:rPr>
          <w:rFonts w:ascii="Times New Roman" w:hAnsi="Times New Roman" w:cs="Times New Roman"/>
          <w:sz w:val="24"/>
          <w:szCs w:val="24"/>
        </w:rPr>
      </w:pPr>
    </w:p>
    <w:p w:rsidR="00F866AC" w:rsidRPr="00FD3680" w:rsidRDefault="00F866AC" w:rsidP="00F866A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Rozdrobenosť vlastníctva pôdy v SR je pretrvávajúcim problémom, ktorý zhoršuje podnikateľské prostredie a osobitne sťažuje začatie podnikanie na pôde pre cieľovú skupinu existujúcich poľnohospodárskych podnikateľov a ich následné investície.  </w:t>
      </w:r>
    </w:p>
    <w:p w:rsidR="00F866AC" w:rsidRPr="00FD3680" w:rsidRDefault="00F866AC" w:rsidP="00F866AC">
      <w:pPr>
        <w:spacing w:after="0" w:line="240" w:lineRule="auto"/>
        <w:jc w:val="both"/>
        <w:rPr>
          <w:rFonts w:ascii="Times New Roman" w:hAnsi="Times New Roman" w:cs="Times New Roman"/>
          <w:sz w:val="24"/>
          <w:szCs w:val="24"/>
        </w:rPr>
      </w:pPr>
    </w:p>
    <w:p w:rsidR="00F866AC" w:rsidRPr="00FD3680" w:rsidRDefault="00F866AC" w:rsidP="00F866A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 súčasnosti je podiel scelenej pôdy 10% na celkovej výmere SR. Priemerný počet vlastníkov na 1 parcelu pred realizáciou pozemkových úprav je 10,45, po realizácii sa očakáva pokles      na 5. Z celkového počtu 3559 katastrálnych území v rámci SR zostáva 3141, v ktorých neboli začaté pozemkové úpravy. Je teda potrebné klásť veľký  dôraz na dosiahnutie vyššieho podielu vysporiadania vlastníckych vzťahov v poľnohospodársky využívaných územiach. </w:t>
      </w:r>
    </w:p>
    <w:p w:rsidR="00F866AC" w:rsidRPr="00FD3680" w:rsidRDefault="00F866AC" w:rsidP="00F866AC">
      <w:pPr>
        <w:spacing w:after="0" w:line="240" w:lineRule="auto"/>
        <w:jc w:val="both"/>
        <w:rPr>
          <w:rFonts w:ascii="Times New Roman" w:hAnsi="Times New Roman" w:cs="Times New Roman"/>
          <w:sz w:val="24"/>
          <w:szCs w:val="24"/>
        </w:rPr>
      </w:pPr>
    </w:p>
    <w:p w:rsidR="00F866AC" w:rsidRPr="00FD3680" w:rsidRDefault="00F866AC" w:rsidP="00F866A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Jedným z cieľov PRV SR 2014 - 2020 je vypracovať a vykonať projekty pozemkových úprav pre nové priestorové a funkčné usporiadanie územia a postupne realizovať v projektoch pozemkových úprav plánované spoločné zariadenia a opatrenia prostredníctvom: </w:t>
      </w:r>
    </w:p>
    <w:p w:rsidR="00F866AC" w:rsidRPr="00FD3680" w:rsidRDefault="00F866AC" w:rsidP="00771A68">
      <w:pPr>
        <w:pStyle w:val="Odsekzoznamu"/>
        <w:numPr>
          <w:ilvl w:val="0"/>
          <w:numId w:val="12"/>
        </w:numPr>
        <w:spacing w:after="0" w:line="240" w:lineRule="auto"/>
        <w:ind w:left="709" w:hanging="349"/>
        <w:jc w:val="both"/>
        <w:rPr>
          <w:rFonts w:ascii="Times New Roman" w:hAnsi="Times New Roman" w:cs="Times New Roman"/>
          <w:sz w:val="24"/>
          <w:szCs w:val="24"/>
        </w:rPr>
      </w:pPr>
      <w:r w:rsidRPr="00FD3680">
        <w:rPr>
          <w:rFonts w:ascii="Times New Roman" w:hAnsi="Times New Roman" w:cs="Times New Roman"/>
          <w:sz w:val="24"/>
          <w:szCs w:val="24"/>
        </w:rPr>
        <w:t xml:space="preserve">zabezpečovania prístupu k pozemkom rekonštrukciou a budovaním účelových komunikácií; </w:t>
      </w:r>
    </w:p>
    <w:p w:rsidR="00F866AC" w:rsidRPr="00FD3680" w:rsidRDefault="00F866AC" w:rsidP="00771A68">
      <w:pPr>
        <w:pStyle w:val="Odsekzoznamu"/>
        <w:numPr>
          <w:ilvl w:val="0"/>
          <w:numId w:val="12"/>
        </w:numPr>
        <w:spacing w:after="0" w:line="240" w:lineRule="auto"/>
        <w:ind w:left="709" w:hanging="349"/>
        <w:jc w:val="both"/>
        <w:rPr>
          <w:rFonts w:ascii="Times New Roman" w:hAnsi="Times New Roman" w:cs="Times New Roman"/>
          <w:sz w:val="24"/>
          <w:szCs w:val="24"/>
        </w:rPr>
      </w:pPr>
      <w:r w:rsidRPr="00FD3680">
        <w:rPr>
          <w:rFonts w:ascii="Times New Roman" w:hAnsi="Times New Roman" w:cs="Times New Roman"/>
          <w:sz w:val="24"/>
          <w:szCs w:val="24"/>
        </w:rPr>
        <w:t xml:space="preserve">ekologickej stabilizácie a ochrany krajiny realizovaním vodohospodárskych, protieróznych, ekologických a rekultivačných opatrení; </w:t>
      </w:r>
    </w:p>
    <w:p w:rsidR="00F866AC" w:rsidRPr="00FD3680" w:rsidRDefault="00F866AC" w:rsidP="00771A68">
      <w:pPr>
        <w:pStyle w:val="Odsekzoznamu"/>
        <w:numPr>
          <w:ilvl w:val="0"/>
          <w:numId w:val="12"/>
        </w:numPr>
        <w:spacing w:after="0" w:line="240" w:lineRule="auto"/>
        <w:ind w:left="709" w:hanging="349"/>
        <w:jc w:val="both"/>
        <w:rPr>
          <w:rFonts w:ascii="Times New Roman" w:hAnsi="Times New Roman" w:cs="Times New Roman"/>
          <w:sz w:val="24"/>
          <w:szCs w:val="24"/>
        </w:rPr>
      </w:pPr>
      <w:r w:rsidRPr="00FD3680">
        <w:rPr>
          <w:rFonts w:ascii="Times New Roman" w:hAnsi="Times New Roman" w:cs="Times New Roman"/>
          <w:sz w:val="24"/>
          <w:szCs w:val="24"/>
        </w:rPr>
        <w:t>usporiadania vlastníckych vzťahov k pozemkom – konsolidácia pozemkov a pozemkového vlastníctva.</w:t>
      </w:r>
    </w:p>
    <w:p w:rsidR="00F866AC" w:rsidRPr="00FD3680" w:rsidRDefault="00F866AC" w:rsidP="00F866AC">
      <w:pPr>
        <w:spacing w:after="0" w:line="240" w:lineRule="auto"/>
        <w:jc w:val="both"/>
        <w:rPr>
          <w:rFonts w:ascii="Times New Roman" w:hAnsi="Times New Roman" w:cs="Times New Roman"/>
          <w:sz w:val="24"/>
          <w:szCs w:val="24"/>
        </w:rPr>
      </w:pPr>
    </w:p>
    <w:p w:rsidR="004C462B" w:rsidRPr="00FD3680" w:rsidRDefault="00F866AC" w:rsidP="00F866A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Pri realizácii pozemkových úprav je navyše potrebné navrhnúť špecifické kontextuálne ukazovatele, vrátane sledovania príspevku k ekologickej stabilite území a prístupu na pozemky.</w:t>
      </w:r>
    </w:p>
    <w:p w:rsidR="00491F74" w:rsidRPr="00FD3680" w:rsidRDefault="00491F74" w:rsidP="00F866AC">
      <w:pPr>
        <w:spacing w:after="0" w:line="240" w:lineRule="auto"/>
        <w:jc w:val="both"/>
        <w:rPr>
          <w:rFonts w:ascii="Times New Roman" w:hAnsi="Times New Roman" w:cs="Times New Roman"/>
          <w:sz w:val="24"/>
          <w:szCs w:val="24"/>
        </w:rPr>
      </w:pPr>
    </w:p>
    <w:p w:rsidR="00344645" w:rsidRPr="00FD3680" w:rsidRDefault="00344645" w:rsidP="00771A68">
      <w:pPr>
        <w:pStyle w:val="Nadpis2"/>
        <w:numPr>
          <w:ilvl w:val="1"/>
          <w:numId w:val="36"/>
        </w:numPr>
        <w:rPr>
          <w:rFonts w:cs="Times New Roman"/>
          <w:b w:val="0"/>
          <w:szCs w:val="28"/>
        </w:rPr>
      </w:pPr>
      <w:bookmarkStart w:id="14" w:name="_Toc394589427"/>
      <w:r w:rsidRPr="00FD3680">
        <w:t>Podpora začatia podnikania v poľnohospodárstve</w:t>
      </w:r>
      <w:bookmarkEnd w:id="14"/>
    </w:p>
    <w:p w:rsidR="0013209D" w:rsidRPr="00FD3680" w:rsidRDefault="0013209D" w:rsidP="002C3189">
      <w:pPr>
        <w:spacing w:after="0" w:line="240" w:lineRule="auto"/>
        <w:jc w:val="both"/>
        <w:rPr>
          <w:rFonts w:ascii="Times New Roman" w:hAnsi="Times New Roman" w:cs="Times New Roman"/>
          <w:sz w:val="24"/>
          <w:szCs w:val="24"/>
        </w:rPr>
      </w:pPr>
    </w:p>
    <w:p w:rsidR="00FB2829" w:rsidRPr="00FD3680" w:rsidRDefault="00AE53CC"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Podpora začatia </w:t>
      </w:r>
      <w:r w:rsidR="00C95A55" w:rsidRPr="00FD3680">
        <w:rPr>
          <w:rFonts w:ascii="Times New Roman" w:hAnsi="Times New Roman" w:cs="Times New Roman"/>
          <w:sz w:val="24"/>
          <w:szCs w:val="24"/>
        </w:rPr>
        <w:t>podnikania v poľnohospodárstve by sa mala opierať o pomoc cieľovej skupine poľnohospodárskych podnikateľov prefinancovať vstupné náklady podnikania v poľnohospodárstve tak, aby náročnosť na vlastné zdroje</w:t>
      </w:r>
      <w:r w:rsidR="00FB2829" w:rsidRPr="00FD3680">
        <w:rPr>
          <w:rFonts w:ascii="Times New Roman" w:hAnsi="Times New Roman" w:cs="Times New Roman"/>
          <w:sz w:val="24"/>
          <w:szCs w:val="24"/>
        </w:rPr>
        <w:t>,</w:t>
      </w:r>
      <w:r w:rsidR="00C95A55" w:rsidRPr="00FD3680">
        <w:rPr>
          <w:rFonts w:ascii="Times New Roman" w:hAnsi="Times New Roman" w:cs="Times New Roman"/>
          <w:sz w:val="24"/>
          <w:szCs w:val="24"/>
        </w:rPr>
        <w:t xml:space="preserve"> potrebné na začatie podnikania </w:t>
      </w:r>
      <w:r w:rsidR="00C95A55" w:rsidRPr="00FD3680">
        <w:rPr>
          <w:rFonts w:ascii="Times New Roman" w:hAnsi="Times New Roman" w:cs="Times New Roman"/>
          <w:sz w:val="24"/>
          <w:szCs w:val="24"/>
        </w:rPr>
        <w:lastRenderedPageBreak/>
        <w:t>v</w:t>
      </w:r>
      <w:r w:rsidR="00FB2829" w:rsidRPr="00FD3680">
        <w:rPr>
          <w:rFonts w:ascii="Times New Roman" w:hAnsi="Times New Roman" w:cs="Times New Roman"/>
          <w:sz w:val="24"/>
          <w:szCs w:val="24"/>
        </w:rPr>
        <w:t> </w:t>
      </w:r>
      <w:r w:rsidR="00C95A55" w:rsidRPr="00FD3680">
        <w:rPr>
          <w:rFonts w:ascii="Times New Roman" w:hAnsi="Times New Roman" w:cs="Times New Roman"/>
          <w:sz w:val="24"/>
          <w:szCs w:val="24"/>
        </w:rPr>
        <w:t>poľnohospodárstve</w:t>
      </w:r>
      <w:r w:rsidR="00FB2829" w:rsidRPr="00FD3680">
        <w:rPr>
          <w:rFonts w:ascii="Times New Roman" w:hAnsi="Times New Roman" w:cs="Times New Roman"/>
          <w:sz w:val="24"/>
          <w:szCs w:val="24"/>
        </w:rPr>
        <w:t>,</w:t>
      </w:r>
      <w:r w:rsidR="00C95A55" w:rsidRPr="00FD3680">
        <w:rPr>
          <w:rFonts w:ascii="Times New Roman" w:hAnsi="Times New Roman" w:cs="Times New Roman"/>
          <w:sz w:val="24"/>
          <w:szCs w:val="24"/>
        </w:rPr>
        <w:t xml:space="preserve"> neobmedzo</w:t>
      </w:r>
      <w:r w:rsidR="00FB2829" w:rsidRPr="00FD3680">
        <w:rPr>
          <w:rFonts w:ascii="Times New Roman" w:hAnsi="Times New Roman" w:cs="Times New Roman"/>
          <w:sz w:val="24"/>
          <w:szCs w:val="24"/>
        </w:rPr>
        <w:t>vala vôľu cieľovej skupiny poľnohospodárskych podnikateľov založiť si poľnohospodársky podnikateľský subjekt.</w:t>
      </w:r>
    </w:p>
    <w:p w:rsidR="00FB2829" w:rsidRPr="00FD3680" w:rsidRDefault="00FB2829" w:rsidP="002C3189">
      <w:pPr>
        <w:spacing w:after="0" w:line="240" w:lineRule="auto"/>
        <w:jc w:val="both"/>
        <w:rPr>
          <w:rFonts w:ascii="Times New Roman" w:hAnsi="Times New Roman" w:cs="Times New Roman"/>
          <w:sz w:val="24"/>
          <w:szCs w:val="24"/>
        </w:rPr>
      </w:pPr>
    </w:p>
    <w:p w:rsidR="00344645" w:rsidRPr="00FD3680" w:rsidRDefault="00FB2829" w:rsidP="00FB282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 tomto zmysle by sa podpora začatia podnikania v poľnohospodárstve mala sústrediť na poskytnutie kapitálovej pomoci na začatie podnikania, t.j. na založenie podnikania a na obstaranie základného vybavenia na realizáciu podnikateľskej činnosti.</w:t>
      </w:r>
    </w:p>
    <w:p w:rsidR="00FB2829" w:rsidRPr="00FD3680" w:rsidRDefault="00FB2829" w:rsidP="00FB2829">
      <w:pPr>
        <w:spacing w:after="0" w:line="240" w:lineRule="auto"/>
        <w:jc w:val="both"/>
        <w:rPr>
          <w:rFonts w:ascii="Times New Roman" w:hAnsi="Times New Roman" w:cs="Times New Roman"/>
          <w:sz w:val="24"/>
          <w:szCs w:val="24"/>
        </w:rPr>
      </w:pPr>
    </w:p>
    <w:p w:rsidR="00FB2829" w:rsidRPr="00FD3680" w:rsidRDefault="00FB2829" w:rsidP="00FB282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Výška takejto kapitálovej pomo</w:t>
      </w:r>
      <w:r w:rsidR="00D87489" w:rsidRPr="00FD3680">
        <w:rPr>
          <w:rFonts w:ascii="Times New Roman" w:hAnsi="Times New Roman" w:cs="Times New Roman"/>
          <w:sz w:val="24"/>
          <w:szCs w:val="24"/>
        </w:rPr>
        <w:t>ci by mala dosahovať maximálne 4</w:t>
      </w:r>
      <w:r w:rsidRPr="00FD3680">
        <w:rPr>
          <w:rFonts w:ascii="Times New Roman" w:hAnsi="Times New Roman" w:cs="Times New Roman"/>
          <w:sz w:val="24"/>
          <w:szCs w:val="24"/>
        </w:rPr>
        <w:t xml:space="preserve">0 000 EUR, pričom bude vyplácaná v dvoch rovnakých splátkach. Prvú splátku by mal začínajúci podnikateľ v poľnohospodárstve obdržať po schválení </w:t>
      </w:r>
      <w:r w:rsidR="00931733" w:rsidRPr="00FD3680">
        <w:rPr>
          <w:rFonts w:ascii="Times New Roman" w:hAnsi="Times New Roman" w:cs="Times New Roman"/>
          <w:sz w:val="24"/>
          <w:szCs w:val="24"/>
        </w:rPr>
        <w:t xml:space="preserve">žiadosti o nenávratný finančný príspevok a druhú splátku po zavŕšení realizačnej fázy projektu a spustení svojej podnikateľskej činnosti. </w:t>
      </w:r>
    </w:p>
    <w:p w:rsidR="00931733" w:rsidRPr="00FD3680" w:rsidRDefault="00931733" w:rsidP="00FB2829">
      <w:pPr>
        <w:spacing w:after="0" w:line="240" w:lineRule="auto"/>
        <w:jc w:val="both"/>
        <w:rPr>
          <w:rFonts w:ascii="Times New Roman" w:hAnsi="Times New Roman" w:cs="Times New Roman"/>
          <w:sz w:val="24"/>
          <w:szCs w:val="24"/>
        </w:rPr>
      </w:pPr>
    </w:p>
    <w:p w:rsidR="00931733" w:rsidRPr="00FD3680" w:rsidRDefault="00931733" w:rsidP="00FB282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Prijímateľ podpory by nemal byť povinný preukazovať skutočný účel použitia nenávratného finančného príspevku, avšak by mal byť povinný preukázať, že realizácia jeho podnikateľskej činnosti spadá do definície cieľového subjektu podpory v zmysle tejto koncepcie. </w:t>
      </w:r>
    </w:p>
    <w:p w:rsidR="00931733" w:rsidRPr="00FD3680" w:rsidRDefault="00931733" w:rsidP="00FB2829">
      <w:pPr>
        <w:spacing w:after="0" w:line="240" w:lineRule="auto"/>
        <w:jc w:val="both"/>
        <w:rPr>
          <w:rFonts w:ascii="Times New Roman" w:hAnsi="Times New Roman" w:cs="Times New Roman"/>
          <w:sz w:val="24"/>
          <w:szCs w:val="24"/>
        </w:rPr>
      </w:pPr>
    </w:p>
    <w:p w:rsidR="00931733" w:rsidRPr="00FD3680" w:rsidRDefault="00931733" w:rsidP="00FB282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Skutočný účel použitia nenávratného finančného príspevku by nemalo byť povinné preukazovať najmä s ohľadom na fakt, že úkony spojené so založením podnikania a obstaraním základného vybavenia na realizáciu podnikateľskej činnosti sú veľmi rôznorodé a vyžadujú si obrovské množstvo administratívnych opatrení, ktoré začínajúci podnikateľ nie je schopný zvládnuť. </w:t>
      </w:r>
    </w:p>
    <w:p w:rsidR="005F0292" w:rsidRPr="00FD3680" w:rsidRDefault="005F0292" w:rsidP="00FB2829">
      <w:pPr>
        <w:spacing w:after="0" w:line="240" w:lineRule="auto"/>
        <w:jc w:val="both"/>
        <w:rPr>
          <w:rFonts w:ascii="Times New Roman" w:hAnsi="Times New Roman" w:cs="Times New Roman"/>
          <w:sz w:val="24"/>
          <w:szCs w:val="24"/>
        </w:rPr>
      </w:pPr>
    </w:p>
    <w:p w:rsidR="005F0292" w:rsidRPr="00FD3680" w:rsidRDefault="005F0292" w:rsidP="00FB282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Aj keď žiadatelia o podporu nebudú diskriminovaní pri posudzovaní jednotlivých žiadostí o nenávratný finančný príspevok, s ohľadom na napĺňanie myšlienkového základu tejto koncepcie je žiaduce, aby sa vyhovelo maximálnemu počtu žiadateľov, ktorých podnikateľský zámer bude obsahovať ideu </w:t>
      </w:r>
      <w:r w:rsidR="00D87489" w:rsidRPr="00FD3680">
        <w:rPr>
          <w:rFonts w:ascii="Times New Roman" w:hAnsi="Times New Roman" w:cs="Times New Roman"/>
          <w:sz w:val="24"/>
          <w:szCs w:val="24"/>
        </w:rPr>
        <w:t>plne zohľadňujúcu hlavný cieľ a myšlienkový základ tejto koncepcie</w:t>
      </w:r>
      <w:r w:rsidRPr="00FD3680">
        <w:rPr>
          <w:rFonts w:ascii="Times New Roman" w:hAnsi="Times New Roman" w:cs="Times New Roman"/>
          <w:sz w:val="24"/>
          <w:szCs w:val="24"/>
        </w:rPr>
        <w:t xml:space="preserve">. </w:t>
      </w:r>
    </w:p>
    <w:p w:rsidR="006F26B7" w:rsidRPr="00FD3680" w:rsidRDefault="006F26B7" w:rsidP="002C3189">
      <w:pPr>
        <w:spacing w:after="0" w:line="240" w:lineRule="auto"/>
        <w:jc w:val="both"/>
        <w:rPr>
          <w:rFonts w:ascii="Times New Roman" w:hAnsi="Times New Roman" w:cs="Times New Roman"/>
          <w:sz w:val="24"/>
          <w:szCs w:val="24"/>
        </w:rPr>
      </w:pPr>
    </w:p>
    <w:p w:rsidR="00A05923" w:rsidRPr="00FD3680" w:rsidRDefault="00A05923" w:rsidP="00771A68">
      <w:pPr>
        <w:pStyle w:val="Nadpis2"/>
        <w:numPr>
          <w:ilvl w:val="1"/>
          <w:numId w:val="36"/>
        </w:numPr>
      </w:pPr>
      <w:bookmarkStart w:id="15" w:name="_Toc394589428"/>
      <w:r w:rsidRPr="00FD3680">
        <w:t>Podpora zamestnávania</w:t>
      </w:r>
      <w:bookmarkEnd w:id="15"/>
    </w:p>
    <w:p w:rsidR="00242CA6" w:rsidRPr="00FD3680" w:rsidRDefault="00242CA6" w:rsidP="002C3189">
      <w:pPr>
        <w:spacing w:after="0" w:line="240" w:lineRule="auto"/>
        <w:jc w:val="both"/>
        <w:rPr>
          <w:rFonts w:ascii="Times New Roman" w:hAnsi="Times New Roman" w:cs="Times New Roman"/>
          <w:sz w:val="24"/>
          <w:szCs w:val="24"/>
        </w:rPr>
      </w:pPr>
    </w:p>
    <w:p w:rsidR="00A05923" w:rsidRPr="00FD3680" w:rsidRDefault="005C6BD4"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Podpora zamestnávania by sa mala sústrediť na zníženie nákladov na zamestnávanie, osobitne znevýhodnených a značne znevýhodnených osôb tak, aby začínajúci poľnohospodárski podnikatelia neniesli plnú váhu osobných nákladov na seba a svojich zamestnancov a mohli rozhodujúcu časť svojho vstupného kapitálu použiť na začatie a zveľaďovanie svojho podnikania.</w:t>
      </w:r>
    </w:p>
    <w:p w:rsidR="005C6BD4" w:rsidRPr="00FD3680" w:rsidRDefault="005C6BD4" w:rsidP="002C3189">
      <w:pPr>
        <w:spacing w:after="0" w:line="240" w:lineRule="auto"/>
        <w:jc w:val="both"/>
        <w:rPr>
          <w:rFonts w:ascii="Times New Roman" w:hAnsi="Times New Roman" w:cs="Times New Roman"/>
          <w:sz w:val="24"/>
          <w:szCs w:val="24"/>
        </w:rPr>
      </w:pPr>
    </w:p>
    <w:p w:rsidR="00D87489" w:rsidRPr="00FD3680" w:rsidRDefault="00D87489"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Základnými nástrojmi</w:t>
      </w:r>
      <w:r w:rsidR="005C6BD4" w:rsidRPr="00FD3680">
        <w:rPr>
          <w:rFonts w:ascii="Times New Roman" w:hAnsi="Times New Roman" w:cs="Times New Roman"/>
          <w:sz w:val="24"/>
          <w:szCs w:val="24"/>
        </w:rPr>
        <w:t xml:space="preserve"> na podporu zamestnávania </w:t>
      </w:r>
      <w:r w:rsidRPr="00FD3680">
        <w:rPr>
          <w:rFonts w:ascii="Times New Roman" w:hAnsi="Times New Roman" w:cs="Times New Roman"/>
          <w:sz w:val="24"/>
          <w:szCs w:val="24"/>
        </w:rPr>
        <w:t>tak pre cieľovú skupinu začínajúcich, ako aj existujúcich, poľnohospodárskych podnikateľov, by mali byť:</w:t>
      </w:r>
    </w:p>
    <w:p w:rsidR="00D87489" w:rsidRPr="00FD3680" w:rsidRDefault="00D87489" w:rsidP="00771A68">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uplatňovanie schémy štátnej pomoci na podporu zamestnávania znevýhodnených a značne znevýhodnených osôb; a</w:t>
      </w:r>
    </w:p>
    <w:p w:rsidR="00D87489" w:rsidRPr="00FD3680" w:rsidRDefault="00D87489" w:rsidP="00771A68">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podpora zamestnávania dlhodobo nezamestnaných osôb administrovaná zo strany </w:t>
      </w:r>
      <w:r w:rsidR="003949B5">
        <w:rPr>
          <w:rFonts w:ascii="Times New Roman" w:hAnsi="Times New Roman" w:cs="Times New Roman"/>
          <w:sz w:val="24"/>
          <w:szCs w:val="24"/>
        </w:rPr>
        <w:t>Sociálnej poisťovne a zdravotných poisťovní</w:t>
      </w:r>
      <w:r w:rsidRPr="00FD3680">
        <w:rPr>
          <w:rFonts w:ascii="Times New Roman" w:hAnsi="Times New Roman" w:cs="Times New Roman"/>
          <w:sz w:val="24"/>
          <w:szCs w:val="24"/>
        </w:rPr>
        <w:t>;</w:t>
      </w:r>
    </w:p>
    <w:p w:rsidR="00D87489" w:rsidRPr="00FD3680" w:rsidRDefault="00D87489" w:rsidP="00D87489">
      <w:pPr>
        <w:spacing w:after="0" w:line="240" w:lineRule="auto"/>
        <w:jc w:val="both"/>
        <w:rPr>
          <w:rFonts w:ascii="Times New Roman" w:hAnsi="Times New Roman" w:cs="Times New Roman"/>
          <w:sz w:val="24"/>
          <w:szCs w:val="24"/>
        </w:rPr>
      </w:pPr>
    </w:p>
    <w:p w:rsidR="00F633BF" w:rsidRPr="00FD3680" w:rsidRDefault="00F633BF" w:rsidP="00771A68">
      <w:pPr>
        <w:pStyle w:val="Odsekzoznamu"/>
        <w:keepNext/>
        <w:keepLines/>
        <w:numPr>
          <w:ilvl w:val="1"/>
          <w:numId w:val="35"/>
        </w:numPr>
        <w:spacing w:before="200" w:after="0"/>
        <w:contextualSpacing w:val="0"/>
        <w:outlineLvl w:val="1"/>
        <w:rPr>
          <w:rFonts w:ascii="Times New Roman" w:eastAsiaTheme="majorEastAsia" w:hAnsi="Times New Roman" w:cstheme="majorBidi"/>
          <w:b/>
          <w:bCs/>
          <w:vanish/>
          <w:sz w:val="28"/>
          <w:szCs w:val="26"/>
        </w:rPr>
      </w:pPr>
      <w:bookmarkStart w:id="16" w:name="_Toc394589429"/>
      <w:bookmarkEnd w:id="16"/>
    </w:p>
    <w:p w:rsidR="00F633BF" w:rsidRPr="00FD3680" w:rsidRDefault="00F633BF" w:rsidP="00771A68">
      <w:pPr>
        <w:pStyle w:val="Odsekzoznamu"/>
        <w:keepNext/>
        <w:keepLines/>
        <w:numPr>
          <w:ilvl w:val="1"/>
          <w:numId w:val="35"/>
        </w:numPr>
        <w:spacing w:before="200" w:after="0"/>
        <w:contextualSpacing w:val="0"/>
        <w:outlineLvl w:val="1"/>
        <w:rPr>
          <w:rFonts w:ascii="Times New Roman" w:eastAsiaTheme="majorEastAsia" w:hAnsi="Times New Roman" w:cstheme="majorBidi"/>
          <w:b/>
          <w:bCs/>
          <w:vanish/>
          <w:sz w:val="28"/>
          <w:szCs w:val="26"/>
        </w:rPr>
      </w:pPr>
      <w:bookmarkStart w:id="17" w:name="_Toc394589430"/>
      <w:bookmarkEnd w:id="17"/>
    </w:p>
    <w:p w:rsidR="00D87489" w:rsidRPr="00FD3680" w:rsidRDefault="00D87489" w:rsidP="00F633BF">
      <w:pPr>
        <w:pStyle w:val="Nadpis3"/>
      </w:pPr>
      <w:bookmarkStart w:id="18" w:name="_Toc394589431"/>
      <w:r w:rsidRPr="00FD3680">
        <w:t>Schéma štátnej pomoci na podporu zamestnávania znevýhodnených a značne znevýhodnených osôb</w:t>
      </w:r>
      <w:bookmarkEnd w:id="18"/>
    </w:p>
    <w:p w:rsidR="00D87489" w:rsidRPr="00FD3680" w:rsidRDefault="00D87489" w:rsidP="00D87489">
      <w:pPr>
        <w:spacing w:after="0" w:line="240" w:lineRule="auto"/>
        <w:jc w:val="both"/>
        <w:rPr>
          <w:rFonts w:ascii="Times New Roman" w:hAnsi="Times New Roman" w:cs="Times New Roman"/>
          <w:sz w:val="24"/>
          <w:szCs w:val="24"/>
        </w:rPr>
      </w:pPr>
    </w:p>
    <w:p w:rsidR="005C6BD4" w:rsidRPr="00FD3680" w:rsidRDefault="005C6BD4" w:rsidP="005C6BD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Pomoc na podporu zamestnávania, v zmysle schémy</w:t>
      </w:r>
      <w:r w:rsidR="00D87489" w:rsidRPr="00FD3680">
        <w:rPr>
          <w:rFonts w:ascii="Times New Roman" w:hAnsi="Times New Roman" w:cs="Times New Roman"/>
          <w:sz w:val="24"/>
          <w:szCs w:val="24"/>
        </w:rPr>
        <w:t xml:space="preserve"> štátnej pomoci na podporu zamestnávania znevýhodnených a značne znevýhodnených osôb</w:t>
      </w:r>
      <w:r w:rsidRPr="00FD3680">
        <w:rPr>
          <w:rFonts w:ascii="Times New Roman" w:hAnsi="Times New Roman" w:cs="Times New Roman"/>
          <w:sz w:val="24"/>
          <w:szCs w:val="24"/>
        </w:rPr>
        <w:t xml:space="preserve">, možno poskytnúť </w:t>
      </w:r>
      <w:r w:rsidRPr="00FD3680">
        <w:rPr>
          <w:rFonts w:ascii="Times New Roman" w:hAnsi="Times New Roman" w:cs="Times New Roman"/>
          <w:sz w:val="24"/>
          <w:szCs w:val="24"/>
        </w:rPr>
        <w:lastRenderedPageBreak/>
        <w:t>prvovýrobcovi, t.j. chovateľovi hospodárskych zvierat alebo pestovateľovi poľnohospodárskych plodín, ktorý vykonáva činnosti v rastlinnej a živočíšnej prvovýrobe a je domicilovaný na Slovensku.</w:t>
      </w:r>
    </w:p>
    <w:p w:rsidR="005C6BD4" w:rsidRPr="00FD3680" w:rsidRDefault="005C6BD4" w:rsidP="005C6BD4">
      <w:pPr>
        <w:spacing w:after="0" w:line="240" w:lineRule="auto"/>
        <w:jc w:val="both"/>
        <w:rPr>
          <w:rFonts w:ascii="Times New Roman" w:hAnsi="Times New Roman" w:cs="Times New Roman"/>
          <w:sz w:val="24"/>
          <w:szCs w:val="24"/>
        </w:rPr>
      </w:pPr>
    </w:p>
    <w:p w:rsidR="005C6BD4" w:rsidRPr="00FD3680" w:rsidRDefault="005C6BD4" w:rsidP="005C6BD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Pomoc na podporu zamestnávania sa poskytne len v prípade, že vyššie špecifikovaný podnik zamestná znevýhodneného alebo značne znevýhodneného</w:t>
      </w:r>
      <w:r w:rsidR="0068467F" w:rsidRPr="00FD3680">
        <w:rPr>
          <w:rFonts w:ascii="Times New Roman" w:hAnsi="Times New Roman" w:cs="Times New Roman"/>
          <w:sz w:val="24"/>
          <w:szCs w:val="24"/>
        </w:rPr>
        <w:t xml:space="preserve"> zamestnanca.</w:t>
      </w:r>
    </w:p>
    <w:p w:rsidR="00D87489" w:rsidRPr="00FD3680" w:rsidRDefault="00D87489" w:rsidP="005C6BD4">
      <w:pPr>
        <w:spacing w:after="0" w:line="240" w:lineRule="auto"/>
        <w:jc w:val="both"/>
        <w:rPr>
          <w:rFonts w:ascii="Times New Roman" w:hAnsi="Times New Roman" w:cs="Times New Roman"/>
          <w:sz w:val="24"/>
          <w:szCs w:val="24"/>
        </w:rPr>
      </w:pPr>
    </w:p>
    <w:p w:rsidR="0068467F" w:rsidRPr="00FD3680" w:rsidRDefault="0068467F" w:rsidP="0068467F">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Znevýhodnená je každá osoba, ktorá:  </w:t>
      </w:r>
    </w:p>
    <w:p w:rsidR="0068467F" w:rsidRPr="00FD3680" w:rsidRDefault="0068467F" w:rsidP="0068467F">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počas predchádzajúcich šiestich mesiacov nemala pravidelne platené zamestnanie; alebo</w:t>
      </w:r>
    </w:p>
    <w:p w:rsidR="0068467F" w:rsidRPr="00FD3680" w:rsidRDefault="0068467F" w:rsidP="0068467F">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je vo veku 15 až 24 rokov;</w:t>
      </w:r>
    </w:p>
    <w:p w:rsidR="0068467F" w:rsidRPr="00FD3680" w:rsidRDefault="0068467F" w:rsidP="0068467F">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nedosiahla vyššie stredoškolské alebo odborné vzdelanie (ISCED 3) alebo osoba, ktorá pred menej než dvoma rokmi ukončila povinnú školskú dochádzku a ktorá predtým nezískala svoje prvé pravidelne platené zamestnanie; alebo</w:t>
      </w:r>
    </w:p>
    <w:p w:rsidR="0068467F" w:rsidRPr="00FD3680" w:rsidRDefault="0068467F" w:rsidP="0068467F">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je staršia ako 50 rokov; alebo</w:t>
      </w:r>
    </w:p>
    <w:p w:rsidR="0068467F" w:rsidRPr="00FD3680" w:rsidRDefault="0068467F" w:rsidP="0068467F">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žije ako osamelá dospelá osoba s jednou odkázanou osobou alebo s viacerými odkázanými osobami.</w:t>
      </w:r>
    </w:p>
    <w:p w:rsidR="0068467F" w:rsidRPr="00FD3680" w:rsidRDefault="0068467F" w:rsidP="0068467F">
      <w:pPr>
        <w:spacing w:after="0" w:line="240" w:lineRule="auto"/>
        <w:jc w:val="both"/>
        <w:rPr>
          <w:sz w:val="24"/>
          <w:szCs w:val="24"/>
        </w:rPr>
      </w:pPr>
    </w:p>
    <w:p w:rsidR="0068467F" w:rsidRPr="00FD3680" w:rsidRDefault="0068467F" w:rsidP="0068467F">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Značne znevýhodnená je každá osoba, ktorá:  </w:t>
      </w:r>
    </w:p>
    <w:p w:rsidR="0068467F" w:rsidRPr="00FD3680" w:rsidRDefault="0068467F" w:rsidP="0068467F">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počas najmenej 24 mesiacov nemala pravidelne platené zamestnanie; alebo</w:t>
      </w:r>
    </w:p>
    <w:p w:rsidR="0068467F" w:rsidRPr="00FD3680" w:rsidRDefault="0068467F" w:rsidP="0068467F">
      <w:pPr>
        <w:pStyle w:val="Odsekzoznamu"/>
        <w:numPr>
          <w:ilvl w:val="0"/>
          <w:numId w:val="13"/>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počas najmenej 12 mesiacov nemala pravidelne platené zamestnanie a patrí do jednej z kategórií znevýhodnenej osoby.</w:t>
      </w:r>
    </w:p>
    <w:p w:rsidR="0068467F" w:rsidRPr="00FD3680" w:rsidRDefault="0068467F" w:rsidP="005C6BD4">
      <w:pPr>
        <w:spacing w:after="0" w:line="240" w:lineRule="auto"/>
        <w:jc w:val="both"/>
        <w:rPr>
          <w:rFonts w:ascii="Times New Roman" w:hAnsi="Times New Roman" w:cs="Times New Roman"/>
          <w:sz w:val="24"/>
          <w:szCs w:val="24"/>
        </w:rPr>
      </w:pPr>
    </w:p>
    <w:p w:rsidR="005C6BD4" w:rsidRPr="00FD3680" w:rsidRDefault="005C6BD4" w:rsidP="005C6BD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Oprávnenému žiadateľovi, ktorý zamestná znevýhodneného alebo značne znevýhodneného zamestnanca, poskytneme dotáciu vo výške 50 % na mzdy vrátane odvodov sociálnej a zdravotnej poisťovni, a to počas maximálne 12 mesiacov v prípade znevýhodneného zamestnanca a 24 mesiacov v prípade značne znevýhodneného zamestnanca.</w:t>
      </w:r>
    </w:p>
    <w:p w:rsidR="00C04683" w:rsidRPr="00FD3680" w:rsidRDefault="00C04683" w:rsidP="005C6BD4">
      <w:pPr>
        <w:spacing w:after="0" w:line="240" w:lineRule="auto"/>
        <w:jc w:val="both"/>
        <w:rPr>
          <w:rFonts w:ascii="Times New Roman" w:hAnsi="Times New Roman" w:cs="Times New Roman"/>
          <w:sz w:val="24"/>
          <w:szCs w:val="24"/>
        </w:rPr>
      </w:pPr>
    </w:p>
    <w:p w:rsidR="0067322C" w:rsidRPr="00FD3680" w:rsidRDefault="0067322C" w:rsidP="00F633BF">
      <w:pPr>
        <w:pStyle w:val="Nadpis3"/>
      </w:pPr>
      <w:bookmarkStart w:id="19" w:name="_Toc394589432"/>
      <w:r w:rsidRPr="00FD3680">
        <w:t>Podpora zamestnávania dlhodobo nezamestnaných osô</w:t>
      </w:r>
      <w:r w:rsidR="00271FE9">
        <w:t xml:space="preserve">b </w:t>
      </w:r>
      <w:bookmarkEnd w:id="19"/>
    </w:p>
    <w:p w:rsidR="00D87489" w:rsidRPr="00FD3680" w:rsidRDefault="00D87489" w:rsidP="005C6BD4">
      <w:pPr>
        <w:spacing w:after="0" w:line="240" w:lineRule="auto"/>
        <w:jc w:val="both"/>
        <w:rPr>
          <w:rFonts w:ascii="Times New Roman" w:hAnsi="Times New Roman" w:cs="Times New Roman"/>
          <w:sz w:val="24"/>
          <w:szCs w:val="24"/>
        </w:rPr>
      </w:pPr>
    </w:p>
    <w:p w:rsidR="005C6BD4" w:rsidRPr="00FD3680" w:rsidRDefault="005C6BD4" w:rsidP="005C6BD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Vzhľadom na to, že uplatňovanie podpory na zamestnávanie znevýhodnených a značne znevýhodnených osôb, v zmysle schémy štátnej pomoci, </w:t>
      </w:r>
      <w:r w:rsidR="0067322C" w:rsidRPr="00FD3680">
        <w:rPr>
          <w:rFonts w:ascii="Times New Roman" w:hAnsi="Times New Roman" w:cs="Times New Roman"/>
          <w:sz w:val="24"/>
          <w:szCs w:val="24"/>
        </w:rPr>
        <w:t>je obmedzené výškou finančných prostriedkov, alokovaných špeciálne na tento účel</w:t>
      </w:r>
      <w:r w:rsidRPr="00FD3680">
        <w:rPr>
          <w:rFonts w:ascii="Times New Roman" w:hAnsi="Times New Roman" w:cs="Times New Roman"/>
          <w:sz w:val="24"/>
          <w:szCs w:val="24"/>
        </w:rPr>
        <w:t>, by mala byť táto forma pomoci efektívne doplnená o</w:t>
      </w:r>
      <w:r w:rsidR="008D7D69">
        <w:rPr>
          <w:rFonts w:ascii="Times New Roman" w:hAnsi="Times New Roman" w:cs="Times New Roman"/>
          <w:sz w:val="24"/>
          <w:szCs w:val="24"/>
        </w:rPr>
        <w:t> odvodov</w:t>
      </w:r>
      <w:r w:rsidR="00C91597">
        <w:rPr>
          <w:rFonts w:ascii="Times New Roman" w:hAnsi="Times New Roman" w:cs="Times New Roman"/>
          <w:sz w:val="24"/>
          <w:szCs w:val="24"/>
        </w:rPr>
        <w:t>é</w:t>
      </w:r>
      <w:r w:rsidR="008D7D69">
        <w:rPr>
          <w:rFonts w:ascii="Times New Roman" w:hAnsi="Times New Roman" w:cs="Times New Roman"/>
          <w:sz w:val="24"/>
          <w:szCs w:val="24"/>
        </w:rPr>
        <w:t xml:space="preserve"> úľav</w:t>
      </w:r>
      <w:r w:rsidR="00C91597">
        <w:rPr>
          <w:rFonts w:ascii="Times New Roman" w:hAnsi="Times New Roman" w:cs="Times New Roman"/>
          <w:sz w:val="24"/>
          <w:szCs w:val="24"/>
        </w:rPr>
        <w:t>y pre dlhodobo nezamestnaných</w:t>
      </w:r>
      <w:r w:rsidRPr="00FD3680">
        <w:rPr>
          <w:rFonts w:ascii="Times New Roman" w:hAnsi="Times New Roman" w:cs="Times New Roman"/>
          <w:sz w:val="24"/>
          <w:szCs w:val="24"/>
        </w:rPr>
        <w:t xml:space="preserve">, </w:t>
      </w:r>
      <w:r w:rsidR="00C91597">
        <w:rPr>
          <w:rFonts w:ascii="Times New Roman" w:hAnsi="Times New Roman" w:cs="Times New Roman"/>
          <w:sz w:val="24"/>
          <w:szCs w:val="24"/>
        </w:rPr>
        <w:t>administrované</w:t>
      </w:r>
      <w:r w:rsidR="003949B5">
        <w:rPr>
          <w:rFonts w:ascii="Times New Roman" w:hAnsi="Times New Roman" w:cs="Times New Roman"/>
          <w:sz w:val="24"/>
          <w:szCs w:val="24"/>
        </w:rPr>
        <w:t xml:space="preserve"> Sociálnou poisťovňou a zdravotnými poisťovňami</w:t>
      </w:r>
      <w:r w:rsidRPr="00FD3680">
        <w:rPr>
          <w:rFonts w:ascii="Times New Roman" w:hAnsi="Times New Roman" w:cs="Times New Roman"/>
          <w:sz w:val="24"/>
          <w:szCs w:val="24"/>
        </w:rPr>
        <w:t>.</w:t>
      </w:r>
    </w:p>
    <w:p w:rsidR="0067322C" w:rsidRPr="00FD3680" w:rsidRDefault="0067322C" w:rsidP="002C3189">
      <w:pPr>
        <w:spacing w:after="0" w:line="240" w:lineRule="auto"/>
        <w:jc w:val="both"/>
        <w:rPr>
          <w:rFonts w:ascii="Times New Roman" w:hAnsi="Times New Roman" w:cs="Times New Roman"/>
          <w:sz w:val="24"/>
          <w:szCs w:val="24"/>
        </w:rPr>
      </w:pPr>
    </w:p>
    <w:p w:rsidR="00F303FE" w:rsidRPr="00FD3680" w:rsidRDefault="0067322C" w:rsidP="0067322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 súčasnosti platí, že zamestnanec</w:t>
      </w:r>
      <w:r w:rsidR="00C91597" w:rsidRPr="00C91597">
        <w:t xml:space="preserve"> </w:t>
      </w:r>
      <w:r w:rsidR="00C91597" w:rsidRPr="00C91597">
        <w:rPr>
          <w:rFonts w:ascii="Times New Roman" w:hAnsi="Times New Roman" w:cs="Times New Roman"/>
          <w:sz w:val="24"/>
          <w:szCs w:val="24"/>
        </w:rPr>
        <w:t>v pracovnom pomere alebo štátnozamestnaneckom pomere</w:t>
      </w:r>
      <w:r w:rsidRPr="00FD3680">
        <w:rPr>
          <w:rFonts w:ascii="Times New Roman" w:hAnsi="Times New Roman" w:cs="Times New Roman"/>
          <w:sz w:val="24"/>
          <w:szCs w:val="24"/>
        </w:rPr>
        <w:t xml:space="preserve">, ktorý bol </w:t>
      </w:r>
      <w:r w:rsidR="00C91597" w:rsidRPr="00C91597">
        <w:rPr>
          <w:rFonts w:ascii="Times New Roman" w:hAnsi="Times New Roman" w:cs="Times New Roman"/>
          <w:sz w:val="24"/>
          <w:szCs w:val="24"/>
        </w:rPr>
        <w:t>občanom vedeným v evidencii uchádzačov o zamestnanie najmenej 12 po sebe nasledujúcich mesiacov, t. j. dlhodobo nezamestnaným občanom</w:t>
      </w:r>
      <w:r w:rsidRPr="00FD3680">
        <w:rPr>
          <w:rFonts w:ascii="Times New Roman" w:hAnsi="Times New Roman" w:cs="Times New Roman"/>
          <w:sz w:val="24"/>
          <w:szCs w:val="24"/>
        </w:rPr>
        <w:t xml:space="preserve">, je po dobu </w:t>
      </w:r>
      <w:r w:rsidR="00C91597">
        <w:rPr>
          <w:rFonts w:ascii="Times New Roman" w:hAnsi="Times New Roman" w:cs="Times New Roman"/>
          <w:sz w:val="24"/>
          <w:szCs w:val="24"/>
        </w:rPr>
        <w:t xml:space="preserve">maximálne </w:t>
      </w:r>
      <w:r w:rsidRPr="00FD3680">
        <w:rPr>
          <w:rFonts w:ascii="Times New Roman" w:hAnsi="Times New Roman" w:cs="Times New Roman"/>
          <w:sz w:val="24"/>
          <w:szCs w:val="24"/>
        </w:rPr>
        <w:t>12 mesiacov oslobodený od platenia odvodov do Sociálnej poisťovne a do zdravotnej poisťovne, teda rok neplatí žiadne odvody. Jeho zamestnávateľ platí len 1,05% z jeho príjmu do Sociálnej poisťovne (na</w:t>
      </w:r>
      <w:r w:rsidR="00F303FE" w:rsidRPr="00FD3680">
        <w:rPr>
          <w:rFonts w:ascii="Times New Roman" w:hAnsi="Times New Roman" w:cs="Times New Roman"/>
          <w:sz w:val="24"/>
          <w:szCs w:val="24"/>
        </w:rPr>
        <w:t xml:space="preserve"> úrazové a garančné poistenie). </w:t>
      </w:r>
    </w:p>
    <w:p w:rsidR="00F303FE" w:rsidRPr="00FD3680" w:rsidRDefault="00F303FE" w:rsidP="0067322C">
      <w:pPr>
        <w:spacing w:after="0" w:line="240" w:lineRule="auto"/>
        <w:jc w:val="both"/>
        <w:rPr>
          <w:rFonts w:ascii="Times New Roman" w:hAnsi="Times New Roman" w:cs="Times New Roman"/>
          <w:sz w:val="24"/>
          <w:szCs w:val="24"/>
        </w:rPr>
      </w:pPr>
    </w:p>
    <w:p w:rsidR="0067322C" w:rsidRPr="00FD3680" w:rsidRDefault="001A59FA" w:rsidP="00673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Jednou z podmienok</w:t>
      </w:r>
      <w:r w:rsidR="00C91597" w:rsidRPr="00C91597">
        <w:rPr>
          <w:rFonts w:ascii="Times New Roman" w:hAnsi="Times New Roman" w:cs="Times New Roman"/>
          <w:sz w:val="24"/>
          <w:szCs w:val="24"/>
        </w:rPr>
        <w:t xml:space="preserve"> je, aby suma mesačného príjmu zamestnanca z tohto pracovného pomeru alebo štátnozamestnaneckého pomeru nebola vyššia ako 67 % priemernej mesačnej mzdy spred dvoch rokov, t. j. pre rok 2014 sa vychádza z priemernej mesačnej mzdy </w:t>
      </w:r>
      <w:r w:rsidR="00C91597">
        <w:rPr>
          <w:rFonts w:ascii="Times New Roman" w:hAnsi="Times New Roman" w:cs="Times New Roman"/>
          <w:sz w:val="24"/>
          <w:szCs w:val="24"/>
        </w:rPr>
        <w:t>roka 2012, ktorá činila 805 EUR</w:t>
      </w:r>
      <w:r w:rsidR="0067322C" w:rsidRPr="00FD3680">
        <w:rPr>
          <w:rFonts w:ascii="Times New Roman" w:hAnsi="Times New Roman" w:cs="Times New Roman"/>
          <w:sz w:val="24"/>
          <w:szCs w:val="24"/>
        </w:rPr>
        <w:t>. Zamestnávateľ tak ušetrí približne 34% zo mzdy zamestnanca, ktoré by inak musel platiť do Sociálnej a zdravotnej poisťovne.</w:t>
      </w:r>
    </w:p>
    <w:p w:rsidR="0067322C" w:rsidRPr="00FD3680" w:rsidRDefault="0067322C" w:rsidP="002C3189">
      <w:pPr>
        <w:spacing w:after="0" w:line="240" w:lineRule="auto"/>
        <w:jc w:val="both"/>
        <w:rPr>
          <w:rFonts w:ascii="Times New Roman" w:hAnsi="Times New Roman" w:cs="Times New Roman"/>
          <w:sz w:val="24"/>
          <w:szCs w:val="24"/>
        </w:rPr>
      </w:pPr>
    </w:p>
    <w:p w:rsidR="00F303FE" w:rsidRPr="00FD3680" w:rsidRDefault="00F303FE" w:rsidP="00771A68">
      <w:pPr>
        <w:pStyle w:val="Nadpis2"/>
        <w:numPr>
          <w:ilvl w:val="1"/>
          <w:numId w:val="36"/>
        </w:numPr>
      </w:pPr>
      <w:bookmarkStart w:id="20" w:name="_Toc394589433"/>
      <w:r w:rsidRPr="00FD3680">
        <w:lastRenderedPageBreak/>
        <w:t>Zlepšenie prístupu k m</w:t>
      </w:r>
      <w:r w:rsidR="000D6A9A" w:rsidRPr="00FD3680">
        <w:t>ožnostiam čerpania projektových</w:t>
      </w:r>
      <w:r w:rsidR="00821BBC" w:rsidRPr="00FD3680">
        <w:t xml:space="preserve"> podpôr</w:t>
      </w:r>
      <w:r w:rsidR="008B69EC" w:rsidRPr="00FD3680">
        <w:t xml:space="preserve"> </w:t>
      </w:r>
      <w:r w:rsidR="000D6A9A" w:rsidRPr="00FD3680">
        <w:t xml:space="preserve">    </w:t>
      </w:r>
      <w:r w:rsidRPr="00FD3680">
        <w:t>PRV SR 2014 – 2020</w:t>
      </w:r>
      <w:bookmarkEnd w:id="20"/>
    </w:p>
    <w:p w:rsidR="00F303FE" w:rsidRPr="00FD3680" w:rsidRDefault="00F303FE" w:rsidP="002C3189">
      <w:pPr>
        <w:spacing w:after="0" w:line="240" w:lineRule="auto"/>
        <w:jc w:val="both"/>
        <w:rPr>
          <w:rFonts w:ascii="Times New Roman" w:hAnsi="Times New Roman" w:cs="Times New Roman"/>
          <w:sz w:val="24"/>
          <w:szCs w:val="24"/>
        </w:rPr>
      </w:pPr>
    </w:p>
    <w:p w:rsidR="00F303FE" w:rsidRPr="00FD3680" w:rsidRDefault="00821BBC"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Základný rámec projektových podpôr PRV SR 2014 – 2020, z ktorých môžu cieľové skupiny začínajúcich a existujúcich poľnohospodárskych podnikateľov benefitovať je nasledovný:</w:t>
      </w:r>
    </w:p>
    <w:p w:rsidR="00491F74" w:rsidRPr="00FD3680" w:rsidRDefault="00491F74" w:rsidP="002C3189">
      <w:pPr>
        <w:spacing w:after="0" w:line="240" w:lineRule="auto"/>
        <w:jc w:val="both"/>
        <w:rPr>
          <w:rFonts w:ascii="Times New Roman" w:hAnsi="Times New Roman" w:cs="Times New Roman"/>
          <w:sz w:val="24"/>
          <w:szCs w:val="24"/>
        </w:rPr>
      </w:pP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opatrenie 1: Prenos znalostí a informačné aktivity;</w:t>
      </w: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opatrenie 2: Poradenské služby;</w:t>
      </w: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opatrenie 4: Investície do hmotného majetku;</w:t>
      </w: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opatrenie 6: Rozvoj poľnohospodárskych podnikov a podnikateľskej činnosti:</w:t>
      </w:r>
    </w:p>
    <w:p w:rsidR="00821BBC" w:rsidRPr="00FD3680" w:rsidRDefault="00821BBC" w:rsidP="00771A68">
      <w:pPr>
        <w:pStyle w:val="Odsekzoznamu"/>
        <w:numPr>
          <w:ilvl w:val="1"/>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podopatrenie 6.1: Podpora na začatie podnikateľskej činnosti pre mladých poľnohospodárov,</w:t>
      </w:r>
    </w:p>
    <w:p w:rsidR="00821BBC" w:rsidRPr="00FD3680" w:rsidRDefault="00821BBC" w:rsidP="00771A68">
      <w:pPr>
        <w:pStyle w:val="Odsekzoznamu"/>
        <w:numPr>
          <w:ilvl w:val="1"/>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podopatrenie 6.3: Podpora na začatie podnikateľskej činnosti  pre rozvoj malých poľnohospodárskych podnikov,</w:t>
      </w:r>
    </w:p>
    <w:p w:rsidR="00821BBC" w:rsidRPr="00FD3680" w:rsidRDefault="00821BBC" w:rsidP="00771A68">
      <w:pPr>
        <w:pStyle w:val="Odsekzoznamu"/>
        <w:numPr>
          <w:ilvl w:val="1"/>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podopatrenie 6.4: Podpora investícií do vytvárania a rozvoja nepoľnohospodárskych činností;</w:t>
      </w: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opatrenie 9: Zakladanie skupín a organizácií výrobcov;</w:t>
      </w: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opatrenie 16: Spolupráca;</w:t>
      </w: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opatrenie 17: Riadenie rizík;</w:t>
      </w:r>
    </w:p>
    <w:p w:rsidR="00821BBC" w:rsidRPr="00FD3680" w:rsidRDefault="00821BBC" w:rsidP="00771A68">
      <w:pPr>
        <w:pStyle w:val="Odsekzoznamu"/>
        <w:numPr>
          <w:ilvl w:val="0"/>
          <w:numId w:val="14"/>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w:t>
      </w:r>
      <w:r w:rsidR="006B4511" w:rsidRPr="00FD3680">
        <w:rPr>
          <w:rFonts w:ascii="Times New Roman" w:hAnsi="Times New Roman" w:cs="Times New Roman"/>
          <w:sz w:val="24"/>
          <w:szCs w:val="24"/>
        </w:rPr>
        <w:t>patrenie 19</w:t>
      </w:r>
      <w:r w:rsidRPr="00FD3680">
        <w:rPr>
          <w:rFonts w:ascii="Times New Roman" w:hAnsi="Times New Roman" w:cs="Times New Roman"/>
          <w:sz w:val="24"/>
          <w:szCs w:val="24"/>
        </w:rPr>
        <w:t>: LEADER</w:t>
      </w:r>
    </w:p>
    <w:p w:rsidR="000E0659" w:rsidRPr="00FD3680" w:rsidRDefault="000E0659" w:rsidP="00821BBC">
      <w:pPr>
        <w:spacing w:after="0" w:line="240" w:lineRule="auto"/>
        <w:jc w:val="both"/>
        <w:rPr>
          <w:rFonts w:ascii="Times New Roman" w:hAnsi="Times New Roman" w:cs="Times New Roman"/>
          <w:sz w:val="24"/>
          <w:szCs w:val="24"/>
        </w:rPr>
      </w:pPr>
    </w:p>
    <w:p w:rsidR="000E0659" w:rsidRPr="00FD3680" w:rsidRDefault="000E0659"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1: Prenos znalostí a informačné aktivity</w:t>
      </w:r>
    </w:p>
    <w:p w:rsidR="000E0659" w:rsidRPr="00FD3680" w:rsidRDefault="000E0659"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Cieľové skupiny poľnohospodárskych podnikateľov môžu využívať služby v oblasti odborného vzdelávania v oblasti poľnohospodárstva, ktoré sú podporované v danom opatrení. Prijímateľom finančnej podpory je poskytovateľ prenosu vedomostí a zručností pre poľnohospodárov, obhospodarovateľov lesa, spracovateľov produktov poľnohospodárskej a lesnej prvovýroby a malé a stredné podniky vo vidieckych oblastiach. Ide o nasledovné oblasti vzdelávania:</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inovácií – zavádzanie nových chovateľských, pestovateľských a spracovateľských postupov a technológií;</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vzdelávanie začínajúcich poľnohospodárov, mladých poľnohospodárov v oblasti legislatívy, výroby, spracovania a predaja produktov; </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efektívneho riadenia podniku – ekonomika, financie, obchod;</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aplikácie spoločnej poľnohospodárskej politiky – nastavenie systému, podpory, kritériá, podmienky, kontrola, autorizácia, platby, previazanosť na národné podpory a štátnu pomoc podpory ;</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reštrukturalizácie výroby so zameraním na výrobu produktov s vyššou pridanou hodnotou a ich umiestnenie na trhoch;</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praktické vzdelávanie absolventov stredných a vysokých škôl na vybraných poľnohospodárskych podnikoch;</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vzdelávanie pôdohospodárov v oblasti spracovania vlastných produktov, marketingu a predaja konečnému spotrebiteľovi; </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a informačné aktivity so zameraním na znižovanie znečistenia jednotlivých zložiek životného prostredia – ovzdušie, voda, pôda, klíma ako a biodiverzity;</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hospodárenia s vodou na poľnohospodárskej pôde – protierózne a protipovodňové opatrenia;</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pôdohospodárov v územiach NATURA 2000 so zameraním na zvýšenie záujmu o hospodárenie v uvedených oblastiach s dôrazom na kompenzačné platby;</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vzdelávanie v oblasti aplikácie hnojív a pesticídov do pôdy – smernice a nariadenia na ich aplikáciu;</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zamerané na protieróznu ochranu a ochranu proti degradácii pôdy vrátane  starostlivosti o TTP;</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zamerané na energetickú efektívnosť v pôdohospodárstve – efektívne tepelné hospodárstvo s udržateľným využitím obnoviteľných zdrojov energie, ktoré je podnik schopný produkovať. Využitie minimalizačných technológií pri osevných postupoch;</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výroby elektrickej energie a tepla s využitím vedľajších produktov, zvyškov a iných nepotravinových surovín;</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vzdelávanie v oblasti manipulácie, uskladňovania a aplikácie organických hnojív, exkrementov hospodárskych zvierat s dôrazom na minimalizáciu úniku skleníkových plynov; </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výroby tradičných regionálnych produktov s dôrazom na tvorbu nových pracovných miest;</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vzdelávanie v oblasti lokálnej ekonomiky ako nástroja rozvoja regiónov v aktivitách mimo poľnohospodárskej výroby; </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vzdelávanie v oblasti vidieckeho cestovného ruchu ako nástroja rozvoja regiónov  a tvorby pracovných síl na vidieku; </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posilnenia biodiverzity, preventívnych, ochranných a environmentálnych opatrení  v rámci pôdohospodárstva;</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 oblasti posilnenia biodiverzity, preventívnych, ochranných a environmentálnych opatrení v rámci lesného hospodárstva;</w:t>
      </w:r>
    </w:p>
    <w:p w:rsidR="000E0659" w:rsidRPr="00FD3680" w:rsidRDefault="000E0659" w:rsidP="00771A68">
      <w:pPr>
        <w:pStyle w:val="Odsekzoznamu"/>
        <w:numPr>
          <w:ilvl w:val="0"/>
          <w:numId w:val="15"/>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vzdelávanie vo vyššie uvedených oblastiach v Bratislavskom kraji.</w:t>
      </w:r>
    </w:p>
    <w:p w:rsidR="004C462B" w:rsidRPr="00FD3680" w:rsidRDefault="004C462B" w:rsidP="000E0659">
      <w:pPr>
        <w:spacing w:after="0" w:line="240" w:lineRule="auto"/>
        <w:jc w:val="both"/>
        <w:rPr>
          <w:rFonts w:ascii="Times New Roman" w:hAnsi="Times New Roman" w:cs="Times New Roman"/>
          <w:sz w:val="24"/>
          <w:szCs w:val="24"/>
        </w:rPr>
      </w:pPr>
    </w:p>
    <w:p w:rsidR="000E0659" w:rsidRPr="00FD3680" w:rsidRDefault="000E0659"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2: Poradenské služby</w:t>
      </w:r>
    </w:p>
    <w:p w:rsidR="000E0659" w:rsidRPr="00FD3680" w:rsidRDefault="000E0659"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Cieľové skupiny poľnohospodárskych podnikateľov môžu využiť poradenské služby poľnohospodárskych poradcov, ktorých poskytovanie je podporené v rámci daného opatrenia. Ide najmä o nasledovné oblasti poradenstva:</w:t>
      </w:r>
    </w:p>
    <w:p w:rsidR="000E0659" w:rsidRPr="00FD3680" w:rsidRDefault="000E0659" w:rsidP="00771A68">
      <w:pPr>
        <w:pStyle w:val="Odsekzoznamu"/>
        <w:numPr>
          <w:ilvl w:val="0"/>
          <w:numId w:val="1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povinnosti na úrovni poľnohospodárskeho podniku, ktoré vyplývajú zo zákonných požiadaviek a/alebo noriem na riadenie dobrých poľnohospodárskych a environmentálnych podmienok;</w:t>
      </w:r>
    </w:p>
    <w:p w:rsidR="000E0659" w:rsidRPr="00FD3680" w:rsidRDefault="000E0659" w:rsidP="00771A68">
      <w:pPr>
        <w:pStyle w:val="Odsekzoznamu"/>
        <w:numPr>
          <w:ilvl w:val="0"/>
          <w:numId w:val="1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poľnohospodárske postupy prospešné pre klímu a životné prostredie; </w:t>
      </w:r>
    </w:p>
    <w:p w:rsidR="000E0659" w:rsidRPr="00FD3680" w:rsidRDefault="000E0659" w:rsidP="00771A68">
      <w:pPr>
        <w:pStyle w:val="Odsekzoznamu"/>
        <w:numPr>
          <w:ilvl w:val="0"/>
          <w:numId w:val="1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0E0659" w:rsidRPr="00FD3680" w:rsidRDefault="000E0659" w:rsidP="00771A68">
      <w:pPr>
        <w:pStyle w:val="Odsekzoznamu"/>
        <w:numPr>
          <w:ilvl w:val="0"/>
          <w:numId w:val="1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požiadavky  vymedzené  členskými štátmi na účely vykonávania článku 11 ods. 3 rámcovej osnovy o vode; </w:t>
      </w:r>
    </w:p>
    <w:p w:rsidR="000E0659" w:rsidRPr="00FD3680" w:rsidRDefault="000E0659" w:rsidP="002B456A">
      <w:pPr>
        <w:pStyle w:val="Odsekzoznamu"/>
        <w:numPr>
          <w:ilvl w:val="0"/>
          <w:numId w:val="1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požiadavky  vymedzené členskými štátmi  na účely vykonávania čl. 55 </w:t>
      </w:r>
      <w:r w:rsidR="00E93D9D" w:rsidRPr="00FD3680">
        <w:rPr>
          <w:rFonts w:ascii="Times New Roman" w:hAnsi="Times New Roman" w:cs="Times New Roman"/>
          <w:sz w:val="24"/>
          <w:szCs w:val="24"/>
        </w:rPr>
        <w:t>Nariadeni</w:t>
      </w:r>
      <w:r w:rsidR="002B456A" w:rsidRPr="00FD3680">
        <w:rPr>
          <w:rFonts w:ascii="Times New Roman" w:hAnsi="Times New Roman" w:cs="Times New Roman"/>
          <w:sz w:val="24"/>
          <w:szCs w:val="24"/>
        </w:rPr>
        <w:t>a</w:t>
      </w:r>
      <w:r w:rsidR="00E93D9D" w:rsidRPr="00FD3680">
        <w:rPr>
          <w:rFonts w:ascii="Times New Roman" w:hAnsi="Times New Roman" w:cs="Times New Roman"/>
          <w:sz w:val="24"/>
          <w:szCs w:val="24"/>
        </w:rPr>
        <w:t xml:space="preserve"> Európskeho parlamentu a Rady (ES) č. 1107/2009 z 21. októbra 2009 o uvádzaní prípravkov na ochranu rastlín na trh a o zrušení smerníc Rady 79/117/EHS a 91/414/EHS</w:t>
      </w:r>
      <w:r w:rsidRPr="00FD3680">
        <w:rPr>
          <w:rFonts w:ascii="Times New Roman" w:hAnsi="Times New Roman" w:cs="Times New Roman"/>
          <w:sz w:val="24"/>
          <w:szCs w:val="24"/>
        </w:rPr>
        <w:t xml:space="preserve">, najmä dodržiavanie všeobecných zásad integrovanej ochrany proti škodcom, ako uvádza čl. 14, </w:t>
      </w:r>
      <w:r w:rsidR="002B456A" w:rsidRPr="00FD3680">
        <w:rPr>
          <w:rFonts w:ascii="Times New Roman" w:hAnsi="Times New Roman" w:cs="Times New Roman"/>
          <w:sz w:val="24"/>
          <w:szCs w:val="24"/>
        </w:rPr>
        <w:t>Smernice Európskeho parlamentu a Rady 2009/128/ES z 21. októbra 2009, ktorou sa ustanovuje rámec pre činnosť Spoločenstva na dosiahnutie trvalo udržateľného používania pesticídov</w:t>
      </w:r>
      <w:r w:rsidRPr="00FD3680">
        <w:rPr>
          <w:rFonts w:ascii="Times New Roman" w:hAnsi="Times New Roman" w:cs="Times New Roman"/>
          <w:sz w:val="24"/>
          <w:szCs w:val="24"/>
        </w:rPr>
        <w:t xml:space="preserve">, </w:t>
      </w:r>
    </w:p>
    <w:p w:rsidR="000E0659" w:rsidRPr="00FD3680" w:rsidRDefault="000E0659" w:rsidP="00771A68">
      <w:pPr>
        <w:pStyle w:val="Odsekzoznamu"/>
        <w:numPr>
          <w:ilvl w:val="0"/>
          <w:numId w:val="1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normy bezpečnosti  pri práci alebo bezpečnostné normy spojené s poľnohospodárskym podnikom; </w:t>
      </w:r>
    </w:p>
    <w:p w:rsidR="000E0659" w:rsidRPr="00FD3680" w:rsidRDefault="000E0659" w:rsidP="00771A68">
      <w:pPr>
        <w:pStyle w:val="Odsekzoznamu"/>
        <w:numPr>
          <w:ilvl w:val="0"/>
          <w:numId w:val="16"/>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osobitné poradenstvo pre poľnohospodárov, ktorí prvýkrát zakladajú poľnohospodársky podnik,  mladých poľnohospodárov v oblasti legislatívy, výroby, spracovania a predaja produktov a osobitné poradenstvo pre efektívne riadenie podniku.</w:t>
      </w:r>
    </w:p>
    <w:p w:rsidR="002B456A" w:rsidRPr="00FD3680" w:rsidRDefault="002B456A" w:rsidP="000E0659">
      <w:pPr>
        <w:spacing w:after="0" w:line="240" w:lineRule="auto"/>
        <w:jc w:val="both"/>
        <w:rPr>
          <w:rFonts w:ascii="Times New Roman" w:hAnsi="Times New Roman" w:cs="Times New Roman"/>
          <w:sz w:val="24"/>
          <w:szCs w:val="24"/>
        </w:rPr>
      </w:pPr>
    </w:p>
    <w:p w:rsidR="000E0659" w:rsidRPr="00FD3680" w:rsidRDefault="000E0659"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4: Investície do hmotného majetku</w:t>
      </w:r>
    </w:p>
    <w:p w:rsidR="007A083D" w:rsidRPr="00FD3680" w:rsidRDefault="000E0659"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Cieľové skupiny poľnohospodárskych podnikateľov môžu získať investičnú podporu na stavebné investície ako aj na technológie v poľnohospodárskej výrobe. Prioritu majú tzv. kritické oblasti poľnohospodárskej prvovýroby, t.j. živočíšna výroba a špecializovaná rastlinná výroba. Špeciálne sa venuje pozornosť malým poľnohospodárskym subjektom ako aj mladým poľnohospodárom, ktorý realizujú svoj podnikateľský plán. Podporené investície sa môžu týkať viacerých oblastí, jednak zvýšenia konkurencieschopnosti, ako aj environmentálnej výkonnosti či energetickej sebestačnosti alebo zvyšovania pridanej hodnoty a finalizovania výroby na farme. </w:t>
      </w:r>
    </w:p>
    <w:p w:rsidR="007A083D" w:rsidRPr="00FD3680" w:rsidRDefault="007A083D" w:rsidP="000E0659">
      <w:pPr>
        <w:spacing w:after="0" w:line="240" w:lineRule="auto"/>
        <w:jc w:val="both"/>
        <w:rPr>
          <w:rFonts w:ascii="Times New Roman" w:hAnsi="Times New Roman" w:cs="Times New Roman"/>
          <w:sz w:val="24"/>
          <w:szCs w:val="24"/>
        </w:rPr>
      </w:pPr>
    </w:p>
    <w:p w:rsidR="000E0659" w:rsidRPr="00FD3680" w:rsidRDefault="000E0659"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6: Rozvoj poľnohospodárskych podnikov a podnikateľskej činnosti</w:t>
      </w:r>
    </w:p>
    <w:p w:rsidR="000E0659" w:rsidRPr="00FD3680" w:rsidRDefault="000E0659" w:rsidP="000E0659">
      <w:pPr>
        <w:spacing w:after="0" w:line="240" w:lineRule="auto"/>
        <w:jc w:val="both"/>
        <w:rPr>
          <w:rFonts w:ascii="Times New Roman" w:hAnsi="Times New Roman" w:cs="Times New Roman"/>
          <w:sz w:val="24"/>
          <w:szCs w:val="24"/>
        </w:rPr>
      </w:pPr>
    </w:p>
    <w:p w:rsidR="000E0659" w:rsidRPr="00FD3680" w:rsidRDefault="000E0659" w:rsidP="00771A68">
      <w:pPr>
        <w:pStyle w:val="Odsekzoznamu"/>
        <w:numPr>
          <w:ilvl w:val="0"/>
          <w:numId w:val="17"/>
        </w:num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Podopatrenie 6.1: Podpora na začatie podnikateľskej činnosti pre mladých poľnohospodárov</w:t>
      </w:r>
    </w:p>
    <w:p w:rsidR="000E0659" w:rsidRPr="00FD3680" w:rsidRDefault="000E0659"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Ide o podporu na implementáciu podnikateľského plánu. Žiadateľ musí preukázať primerané zručnosti a schopnosti (minimálne stredoškolské vzdelanie v oblasti poľnohospodárstva alebo potravinárstva alebo min. 2 roky praxe v poľnohospodárstve a absolvovanie akreditovaného poradenského kurzu (programu) zameraného na poľnohospodárske podnikanie. Za prax sa nepovažuje prax v administratíve. V prípade potreby môže byť na splnenie tejto podmienky po</w:t>
      </w:r>
      <w:r w:rsidR="003B7928" w:rsidRPr="00FD3680">
        <w:rPr>
          <w:rFonts w:ascii="Times New Roman" w:hAnsi="Times New Roman" w:cs="Times New Roman"/>
          <w:sz w:val="24"/>
          <w:szCs w:val="24"/>
        </w:rPr>
        <w:t xml:space="preserve">skytnutá tolerančná lehota maximálne v dĺžke </w:t>
      </w:r>
      <w:r w:rsidRPr="00FD3680">
        <w:rPr>
          <w:rFonts w:ascii="Times New Roman" w:hAnsi="Times New Roman" w:cs="Times New Roman"/>
          <w:sz w:val="24"/>
          <w:szCs w:val="24"/>
        </w:rPr>
        <w:t>36 mesiacov od dátumu podpisu Zmluvy o poskytnutí nenávratného finančného príspevku, pokiaľ je tento zámer</w:t>
      </w:r>
      <w:r w:rsidR="003B7928" w:rsidRPr="00FD3680">
        <w:rPr>
          <w:rFonts w:ascii="Times New Roman" w:hAnsi="Times New Roman" w:cs="Times New Roman"/>
          <w:sz w:val="24"/>
          <w:szCs w:val="24"/>
        </w:rPr>
        <w:t xml:space="preserve"> súčasťou podnikateľského plánu</w:t>
      </w:r>
      <w:r w:rsidRPr="00FD3680">
        <w:rPr>
          <w:rFonts w:ascii="Times New Roman" w:hAnsi="Times New Roman" w:cs="Times New Roman"/>
          <w:sz w:val="24"/>
          <w:szCs w:val="24"/>
        </w:rPr>
        <w:t>.  Osobitná pozornosť sa venuje projektom s vyšším podielom poľnohospodárs</w:t>
      </w:r>
      <w:r w:rsidR="003B7928" w:rsidRPr="00FD3680">
        <w:rPr>
          <w:rFonts w:ascii="Times New Roman" w:hAnsi="Times New Roman" w:cs="Times New Roman"/>
          <w:sz w:val="24"/>
          <w:szCs w:val="24"/>
        </w:rPr>
        <w:t xml:space="preserve">kej produkcie uvádzanej na trh a  </w:t>
      </w:r>
      <w:r w:rsidRPr="00FD3680">
        <w:rPr>
          <w:rFonts w:ascii="Times New Roman" w:hAnsi="Times New Roman" w:cs="Times New Roman"/>
          <w:sz w:val="24"/>
          <w:szCs w:val="24"/>
        </w:rPr>
        <w:t>podnikateľským plánom zameraných na využívanie nevyužívaných poľnohospodárskych dvorov</w:t>
      </w:r>
      <w:r w:rsidR="003B7928" w:rsidRPr="00FD3680">
        <w:rPr>
          <w:rFonts w:ascii="Times New Roman" w:hAnsi="Times New Roman" w:cs="Times New Roman"/>
          <w:sz w:val="24"/>
          <w:szCs w:val="24"/>
        </w:rPr>
        <w:t xml:space="preserve">. </w:t>
      </w:r>
    </w:p>
    <w:p w:rsidR="000E0659" w:rsidRPr="00FD3680" w:rsidRDefault="000E0659" w:rsidP="000E0659">
      <w:pPr>
        <w:spacing w:after="0" w:line="240" w:lineRule="auto"/>
        <w:jc w:val="both"/>
        <w:rPr>
          <w:rFonts w:ascii="Times New Roman" w:hAnsi="Times New Roman" w:cs="Times New Roman"/>
          <w:sz w:val="24"/>
          <w:szCs w:val="24"/>
        </w:rPr>
      </w:pPr>
    </w:p>
    <w:p w:rsidR="000E0659" w:rsidRPr="00FD3680" w:rsidRDefault="000E0659" w:rsidP="00771A68">
      <w:pPr>
        <w:pStyle w:val="Odsekzoznamu"/>
        <w:numPr>
          <w:ilvl w:val="0"/>
          <w:numId w:val="17"/>
        </w:num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Podopatrenie 6.3: Podpora na začatie podnikateľskej činnosti  pre rozvoj malých poľnohospodárskych podnikov</w:t>
      </w:r>
    </w:p>
    <w:p w:rsidR="000E0659" w:rsidRPr="00FD3680" w:rsidRDefault="003B7928"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Podpora sa poskytne</w:t>
      </w:r>
      <w:r w:rsidR="000E0659" w:rsidRPr="00FD3680">
        <w:rPr>
          <w:rFonts w:ascii="Times New Roman" w:hAnsi="Times New Roman" w:cs="Times New Roman"/>
          <w:sz w:val="24"/>
          <w:szCs w:val="24"/>
        </w:rPr>
        <w:t xml:space="preserve"> malému poľnohospodárskemu podniku na </w:t>
      </w:r>
      <w:r w:rsidR="006937EC" w:rsidRPr="00FD3680">
        <w:rPr>
          <w:rFonts w:ascii="Times New Roman" w:hAnsi="Times New Roman" w:cs="Times New Roman"/>
          <w:sz w:val="24"/>
          <w:szCs w:val="24"/>
        </w:rPr>
        <w:t>rozvoj</w:t>
      </w:r>
      <w:r w:rsidR="000E0659" w:rsidRPr="00FD3680">
        <w:rPr>
          <w:rFonts w:ascii="Times New Roman" w:hAnsi="Times New Roman" w:cs="Times New Roman"/>
          <w:sz w:val="24"/>
          <w:szCs w:val="24"/>
        </w:rPr>
        <w:t xml:space="preserve"> jeho podnikateľskej činnosti na úhradu nákladov spojených s realizáciou jeho podnikateľského plánu v oblasti živočíšnej a špecializovanej rastlinnej výroby. Osobitná pozornosť sa venuje napríklad projektom, ktoré budú mať v podnikateľskom pláne uvedené zvýšenie podielu poľnohospodár</w:t>
      </w:r>
      <w:r w:rsidRPr="00FD3680">
        <w:rPr>
          <w:rFonts w:ascii="Times New Roman" w:hAnsi="Times New Roman" w:cs="Times New Roman"/>
          <w:sz w:val="24"/>
          <w:szCs w:val="24"/>
        </w:rPr>
        <w:t>skej produkcie uvádzanej na trh,</w:t>
      </w:r>
      <w:r w:rsidR="000E0659" w:rsidRPr="00FD3680">
        <w:rPr>
          <w:rFonts w:ascii="Times New Roman" w:hAnsi="Times New Roman" w:cs="Times New Roman"/>
          <w:sz w:val="24"/>
          <w:szCs w:val="24"/>
        </w:rPr>
        <w:t xml:space="preserve"> podnikateľským plánom zameraných na využívanie nevyužív</w:t>
      </w:r>
      <w:r w:rsidRPr="00FD3680">
        <w:rPr>
          <w:rFonts w:ascii="Times New Roman" w:hAnsi="Times New Roman" w:cs="Times New Roman"/>
          <w:sz w:val="24"/>
          <w:szCs w:val="24"/>
        </w:rPr>
        <w:t xml:space="preserve">aných poľnohospodárskych dvorov. </w:t>
      </w:r>
    </w:p>
    <w:p w:rsidR="000E0659" w:rsidRPr="00FD3680" w:rsidRDefault="000E0659" w:rsidP="000E0659">
      <w:pPr>
        <w:spacing w:after="0" w:line="240" w:lineRule="auto"/>
        <w:jc w:val="both"/>
        <w:rPr>
          <w:rFonts w:ascii="Times New Roman" w:hAnsi="Times New Roman" w:cs="Times New Roman"/>
          <w:sz w:val="24"/>
          <w:szCs w:val="24"/>
        </w:rPr>
      </w:pPr>
    </w:p>
    <w:p w:rsidR="000E0659" w:rsidRPr="00FD3680" w:rsidRDefault="000E0659" w:rsidP="00771A68">
      <w:pPr>
        <w:pStyle w:val="Odsekzoznamu"/>
        <w:numPr>
          <w:ilvl w:val="0"/>
          <w:numId w:val="17"/>
        </w:num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Podopatrenie 6.4: Podpora investícií do vytvárania a rozvoja nepoľnohospodárskych činností</w:t>
      </w:r>
    </w:p>
    <w:p w:rsidR="000E0659" w:rsidRPr="00FD3680" w:rsidRDefault="003B7928"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Cieľové skupiny poľnohospodárskych podnikateľov môžu byť beneficientmi</w:t>
      </w:r>
      <w:r w:rsidR="000E0659" w:rsidRPr="00FD3680">
        <w:rPr>
          <w:rFonts w:ascii="Times New Roman" w:hAnsi="Times New Roman" w:cs="Times New Roman"/>
          <w:sz w:val="24"/>
          <w:szCs w:val="24"/>
        </w:rPr>
        <w:t xml:space="preserve"> finančnej podpory, pokiaľ spĺňa</w:t>
      </w:r>
      <w:r w:rsidRPr="00FD3680">
        <w:rPr>
          <w:rFonts w:ascii="Times New Roman" w:hAnsi="Times New Roman" w:cs="Times New Roman"/>
          <w:sz w:val="24"/>
          <w:szCs w:val="24"/>
        </w:rPr>
        <w:t>jú</w:t>
      </w:r>
      <w:r w:rsidR="000E0659" w:rsidRPr="00FD3680">
        <w:rPr>
          <w:rFonts w:ascii="Times New Roman" w:hAnsi="Times New Roman" w:cs="Times New Roman"/>
          <w:sz w:val="24"/>
          <w:szCs w:val="24"/>
        </w:rPr>
        <w:t xml:space="preserve"> definíciu </w:t>
      </w:r>
      <w:r w:rsidR="00CF6E0C" w:rsidRPr="00FD3680">
        <w:rPr>
          <w:rFonts w:ascii="Times New Roman" w:hAnsi="Times New Roman" w:cs="Times New Roman"/>
          <w:sz w:val="24"/>
          <w:szCs w:val="24"/>
        </w:rPr>
        <w:t>príjemcu pomoci</w:t>
      </w:r>
      <w:r w:rsidR="000E0659" w:rsidRPr="00FD3680">
        <w:rPr>
          <w:rFonts w:ascii="Times New Roman" w:hAnsi="Times New Roman" w:cs="Times New Roman"/>
          <w:sz w:val="24"/>
          <w:szCs w:val="24"/>
        </w:rPr>
        <w:t>. Podporované budú činnosti spojené:</w:t>
      </w:r>
    </w:p>
    <w:p w:rsidR="000E0659" w:rsidRPr="00FD3680" w:rsidRDefault="000E0659" w:rsidP="00771A68">
      <w:pPr>
        <w:pStyle w:val="Odsekzoznamu"/>
        <w:numPr>
          <w:ilvl w:val="1"/>
          <w:numId w:val="17"/>
        </w:numPr>
        <w:spacing w:after="0" w:line="240" w:lineRule="auto"/>
        <w:ind w:left="1418" w:hanging="284"/>
        <w:jc w:val="both"/>
        <w:rPr>
          <w:rFonts w:ascii="Times New Roman" w:hAnsi="Times New Roman" w:cs="Times New Roman"/>
          <w:sz w:val="24"/>
          <w:szCs w:val="24"/>
        </w:rPr>
      </w:pPr>
      <w:r w:rsidRPr="00FD3680">
        <w:rPr>
          <w:rFonts w:ascii="Times New Roman" w:hAnsi="Times New Roman" w:cs="Times New Roman"/>
          <w:sz w:val="24"/>
          <w:szCs w:val="24"/>
        </w:rPr>
        <w:t>s vidieckym cestovným ruchom a agroturistikou zamerané na vytváranie podmienok pre rekreačné a relaxačné činnosti, vrátane vytvárania podmienok na poskytovanie vzdelávania a vytvorenie konferenčných priestorov;</w:t>
      </w:r>
    </w:p>
    <w:p w:rsidR="000E0659" w:rsidRPr="00FD3680" w:rsidRDefault="000E0659" w:rsidP="00771A68">
      <w:pPr>
        <w:pStyle w:val="Odsekzoznamu"/>
        <w:numPr>
          <w:ilvl w:val="1"/>
          <w:numId w:val="17"/>
        </w:numPr>
        <w:spacing w:after="0" w:line="240" w:lineRule="auto"/>
        <w:ind w:left="1418" w:hanging="284"/>
        <w:jc w:val="both"/>
        <w:rPr>
          <w:rFonts w:ascii="Times New Roman" w:hAnsi="Times New Roman" w:cs="Times New Roman"/>
          <w:sz w:val="24"/>
          <w:szCs w:val="24"/>
        </w:rPr>
      </w:pPr>
      <w:r w:rsidRPr="00FD3680">
        <w:rPr>
          <w:rFonts w:ascii="Times New Roman" w:hAnsi="Times New Roman" w:cs="Times New Roman"/>
          <w:sz w:val="24"/>
          <w:szCs w:val="24"/>
        </w:rPr>
        <w:t>s poskytovaním služieb pre deti, se</w:t>
      </w:r>
      <w:r w:rsidR="003B7928" w:rsidRPr="00FD3680">
        <w:rPr>
          <w:rFonts w:ascii="Times New Roman" w:hAnsi="Times New Roman" w:cs="Times New Roman"/>
          <w:sz w:val="24"/>
          <w:szCs w:val="24"/>
        </w:rPr>
        <w:t>niorov a občanov so zníženou schopnosťou pohybu</w:t>
      </w:r>
      <w:r w:rsidRPr="00FD3680">
        <w:rPr>
          <w:rFonts w:ascii="Times New Roman" w:hAnsi="Times New Roman" w:cs="Times New Roman"/>
          <w:sz w:val="24"/>
          <w:szCs w:val="24"/>
        </w:rPr>
        <w:t>;</w:t>
      </w:r>
      <w:r w:rsidR="003B7928" w:rsidRPr="00FD3680">
        <w:rPr>
          <w:rFonts w:ascii="Times New Roman" w:hAnsi="Times New Roman" w:cs="Times New Roman"/>
          <w:sz w:val="24"/>
          <w:szCs w:val="24"/>
        </w:rPr>
        <w:t xml:space="preserve"> a</w:t>
      </w:r>
    </w:p>
    <w:p w:rsidR="000E0659" w:rsidRPr="00FD3680" w:rsidRDefault="000E0659" w:rsidP="00771A68">
      <w:pPr>
        <w:pStyle w:val="Odsekzoznamu"/>
        <w:numPr>
          <w:ilvl w:val="1"/>
          <w:numId w:val="17"/>
        </w:numPr>
        <w:spacing w:after="0" w:line="240" w:lineRule="auto"/>
        <w:ind w:left="1418" w:hanging="284"/>
        <w:jc w:val="both"/>
        <w:rPr>
          <w:rFonts w:ascii="Times New Roman" w:hAnsi="Times New Roman" w:cs="Times New Roman"/>
          <w:sz w:val="24"/>
          <w:szCs w:val="24"/>
        </w:rPr>
      </w:pPr>
      <w:r w:rsidRPr="00FD3680">
        <w:rPr>
          <w:rFonts w:ascii="Times New Roman" w:hAnsi="Times New Roman" w:cs="Times New Roman"/>
          <w:sz w:val="24"/>
          <w:szCs w:val="24"/>
        </w:rPr>
        <w:t>so spracovaním a uvádzaním na trh produktov mimo poľ</w:t>
      </w:r>
      <w:r w:rsidR="003B7928" w:rsidRPr="00FD3680">
        <w:rPr>
          <w:rFonts w:ascii="Times New Roman" w:hAnsi="Times New Roman" w:cs="Times New Roman"/>
          <w:sz w:val="24"/>
          <w:szCs w:val="24"/>
        </w:rPr>
        <w:t>nohospodárstva a potravinárstva</w:t>
      </w:r>
      <w:r w:rsidRPr="00FD3680">
        <w:rPr>
          <w:rFonts w:ascii="Times New Roman" w:hAnsi="Times New Roman" w:cs="Times New Roman"/>
          <w:sz w:val="24"/>
          <w:szCs w:val="24"/>
        </w:rPr>
        <w:t>.</w:t>
      </w:r>
    </w:p>
    <w:p w:rsidR="002B456A" w:rsidRPr="00FD3680" w:rsidRDefault="003B7928"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 xml:space="preserve"> </w:t>
      </w:r>
    </w:p>
    <w:p w:rsidR="000E0659" w:rsidRPr="00FD3680" w:rsidRDefault="000E0659"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9: Zakladanie skupín a organizácií výrobcov</w:t>
      </w:r>
    </w:p>
    <w:p w:rsidR="007A083D" w:rsidRPr="00FD3680" w:rsidRDefault="003B7928"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Cieľové skupiny poľnohospodárskych podnikateľov</w:t>
      </w:r>
      <w:r w:rsidR="000E0659" w:rsidRPr="00FD3680">
        <w:rPr>
          <w:rFonts w:ascii="Times New Roman" w:hAnsi="Times New Roman" w:cs="Times New Roman"/>
          <w:sz w:val="24"/>
          <w:szCs w:val="24"/>
        </w:rPr>
        <w:t xml:space="preserve"> môžu </w:t>
      </w:r>
      <w:r w:rsidR="00F73C78" w:rsidRPr="00FD3680">
        <w:rPr>
          <w:rFonts w:ascii="Times New Roman" w:hAnsi="Times New Roman" w:cs="Times New Roman"/>
          <w:sz w:val="24"/>
          <w:szCs w:val="24"/>
        </w:rPr>
        <w:t>spoločnú skupinu alebo organizáciu výrobcov</w:t>
      </w:r>
      <w:r w:rsidRPr="00FD3680">
        <w:rPr>
          <w:rFonts w:ascii="Times New Roman" w:hAnsi="Times New Roman" w:cs="Times New Roman"/>
          <w:sz w:val="24"/>
          <w:szCs w:val="24"/>
        </w:rPr>
        <w:t xml:space="preserve"> (ďalej len „SaOV“)</w:t>
      </w:r>
      <w:r w:rsidR="000E0659" w:rsidRPr="00FD3680">
        <w:rPr>
          <w:rFonts w:ascii="Times New Roman" w:hAnsi="Times New Roman" w:cs="Times New Roman"/>
          <w:sz w:val="24"/>
          <w:szCs w:val="24"/>
        </w:rPr>
        <w:t xml:space="preserve">, čím si zabezpečia predovšetkým lepšie podmienky pri riešení odbytu a distribúcie </w:t>
      </w:r>
      <w:r w:rsidRPr="00FD3680">
        <w:rPr>
          <w:rFonts w:ascii="Times New Roman" w:hAnsi="Times New Roman" w:cs="Times New Roman"/>
          <w:sz w:val="24"/>
          <w:szCs w:val="24"/>
        </w:rPr>
        <w:t xml:space="preserve">svojej </w:t>
      </w:r>
      <w:r w:rsidR="000E0659" w:rsidRPr="00FD3680">
        <w:rPr>
          <w:rFonts w:ascii="Times New Roman" w:hAnsi="Times New Roman" w:cs="Times New Roman"/>
          <w:sz w:val="24"/>
          <w:szCs w:val="24"/>
        </w:rPr>
        <w:t xml:space="preserve">produkcie. </w:t>
      </w:r>
    </w:p>
    <w:p w:rsidR="000E0659" w:rsidRPr="00FD3680" w:rsidRDefault="000E0659"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16: Spolupráca</w:t>
      </w:r>
    </w:p>
    <w:p w:rsidR="000E0659" w:rsidRPr="00FD3680" w:rsidRDefault="003B7928"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Cieľové skupiny poľnohospodárskych podnikateľov môžu</w:t>
      </w:r>
      <w:r w:rsidR="000E0659" w:rsidRPr="00FD3680">
        <w:rPr>
          <w:rFonts w:ascii="Times New Roman" w:hAnsi="Times New Roman" w:cs="Times New Roman"/>
          <w:sz w:val="24"/>
          <w:szCs w:val="24"/>
        </w:rPr>
        <w:t xml:space="preserve"> benefitovať v rámci tohto opatrenia</w:t>
      </w:r>
      <w:r w:rsidRPr="00FD3680">
        <w:rPr>
          <w:rFonts w:ascii="Times New Roman" w:hAnsi="Times New Roman" w:cs="Times New Roman"/>
          <w:sz w:val="24"/>
          <w:szCs w:val="24"/>
        </w:rPr>
        <w:t xml:space="preserve"> v nasledovných aspektoch</w:t>
      </w:r>
      <w:r w:rsidR="000E0659" w:rsidRPr="00FD3680">
        <w:rPr>
          <w:rFonts w:ascii="Times New Roman" w:hAnsi="Times New Roman" w:cs="Times New Roman"/>
          <w:sz w:val="24"/>
          <w:szCs w:val="24"/>
        </w:rPr>
        <w:t>:</w:t>
      </w:r>
    </w:p>
    <w:p w:rsidR="003B7928" w:rsidRPr="00FD3680" w:rsidRDefault="003B7928" w:rsidP="00771A68">
      <w:pPr>
        <w:pStyle w:val="Odsekzoznamu"/>
        <w:numPr>
          <w:ilvl w:val="1"/>
          <w:numId w:val="17"/>
        </w:numPr>
        <w:spacing w:after="0" w:line="240" w:lineRule="auto"/>
        <w:ind w:left="1418" w:hanging="284"/>
        <w:jc w:val="both"/>
        <w:rPr>
          <w:rFonts w:ascii="Times New Roman" w:hAnsi="Times New Roman" w:cs="Times New Roman"/>
          <w:sz w:val="24"/>
          <w:szCs w:val="24"/>
          <w:u w:val="single"/>
        </w:rPr>
      </w:pPr>
      <w:r w:rsidRPr="00FD3680">
        <w:rPr>
          <w:rFonts w:ascii="Times New Roman" w:hAnsi="Times New Roman" w:cs="Times New Roman"/>
          <w:sz w:val="24"/>
          <w:szCs w:val="24"/>
          <w:u w:val="single"/>
        </w:rPr>
        <w:t>z</w:t>
      </w:r>
      <w:r w:rsidR="000E0659" w:rsidRPr="00FD3680">
        <w:rPr>
          <w:rFonts w:ascii="Times New Roman" w:hAnsi="Times New Roman" w:cs="Times New Roman"/>
          <w:sz w:val="24"/>
          <w:szCs w:val="24"/>
          <w:u w:val="single"/>
        </w:rPr>
        <w:t>riadenie a p</w:t>
      </w:r>
      <w:r w:rsidRPr="00FD3680">
        <w:rPr>
          <w:rFonts w:ascii="Times New Roman" w:hAnsi="Times New Roman" w:cs="Times New Roman"/>
          <w:sz w:val="24"/>
          <w:szCs w:val="24"/>
          <w:u w:val="single"/>
        </w:rPr>
        <w:t>revádzka operačných skupín EIP</w:t>
      </w:r>
    </w:p>
    <w:p w:rsidR="000E0659" w:rsidRPr="00FD3680" w:rsidRDefault="003B7928" w:rsidP="003B7928">
      <w:pPr>
        <w:pStyle w:val="Odsekzoznamu"/>
        <w:spacing w:after="0" w:line="240" w:lineRule="auto"/>
        <w:ind w:left="1418"/>
        <w:jc w:val="both"/>
        <w:rPr>
          <w:rFonts w:ascii="Times New Roman" w:hAnsi="Times New Roman" w:cs="Times New Roman"/>
          <w:sz w:val="24"/>
          <w:szCs w:val="24"/>
        </w:rPr>
      </w:pPr>
      <w:r w:rsidRPr="00FD3680">
        <w:rPr>
          <w:rFonts w:ascii="Times New Roman" w:hAnsi="Times New Roman" w:cs="Times New Roman"/>
          <w:sz w:val="24"/>
          <w:szCs w:val="24"/>
        </w:rPr>
        <w:t>subjekt</w:t>
      </w:r>
      <w:r w:rsidR="000E0659" w:rsidRPr="00FD3680">
        <w:rPr>
          <w:rFonts w:ascii="Times New Roman" w:hAnsi="Times New Roman" w:cs="Times New Roman"/>
          <w:sz w:val="24"/>
          <w:szCs w:val="24"/>
        </w:rPr>
        <w:t xml:space="preserve"> môže figurovať ako člen skupiny EIP, ktorá je zriadená za účelom riešenia konkrétneho projektu aplikačného výskumu. Spolupráca v rámci operačnej skupiny vzniká medzi výskumnou inštitúciou, poradcom a poľnohospodárskou praxou. Členmi sa môžu stať aj iné zainteresované subjekty. Operačné skupiny v</w:t>
      </w:r>
      <w:r w:rsidR="00316DC1" w:rsidRPr="00FD3680">
        <w:rPr>
          <w:rFonts w:ascii="Times New Roman" w:hAnsi="Times New Roman" w:cs="Times New Roman"/>
          <w:sz w:val="24"/>
          <w:szCs w:val="24"/>
        </w:rPr>
        <w:t> členských štátoch</w:t>
      </w:r>
      <w:r w:rsidR="000E0659" w:rsidRPr="00FD3680">
        <w:rPr>
          <w:rFonts w:ascii="Times New Roman" w:hAnsi="Times New Roman" w:cs="Times New Roman"/>
          <w:sz w:val="24"/>
          <w:szCs w:val="24"/>
        </w:rPr>
        <w:t xml:space="preserve"> sú zároveň sieťované na úrovni EÚ a ich vzájomná spolupráca je teda medzinárodne koordinovaná.</w:t>
      </w:r>
    </w:p>
    <w:p w:rsidR="00316DC1" w:rsidRPr="00FD3680" w:rsidRDefault="00316DC1" w:rsidP="00771A68">
      <w:pPr>
        <w:pStyle w:val="Odsekzoznamu"/>
        <w:numPr>
          <w:ilvl w:val="1"/>
          <w:numId w:val="17"/>
        </w:numPr>
        <w:spacing w:after="0" w:line="240" w:lineRule="auto"/>
        <w:ind w:left="1418" w:hanging="284"/>
        <w:jc w:val="both"/>
        <w:rPr>
          <w:rFonts w:ascii="Times New Roman" w:hAnsi="Times New Roman" w:cs="Times New Roman"/>
          <w:sz w:val="24"/>
          <w:szCs w:val="24"/>
          <w:u w:val="single"/>
        </w:rPr>
      </w:pPr>
      <w:r w:rsidRPr="00FD3680">
        <w:rPr>
          <w:rFonts w:ascii="Times New Roman" w:hAnsi="Times New Roman" w:cs="Times New Roman"/>
          <w:sz w:val="24"/>
          <w:szCs w:val="24"/>
          <w:u w:val="single"/>
        </w:rPr>
        <w:t>podpora pilotných projektov</w:t>
      </w:r>
    </w:p>
    <w:p w:rsidR="000E0659" w:rsidRPr="00FD3680" w:rsidRDefault="000E0659" w:rsidP="00316DC1">
      <w:pPr>
        <w:pStyle w:val="Odsekzoznamu"/>
        <w:spacing w:after="0" w:line="240" w:lineRule="auto"/>
        <w:ind w:left="1418"/>
        <w:jc w:val="both"/>
        <w:rPr>
          <w:rFonts w:ascii="Times New Roman" w:hAnsi="Times New Roman" w:cs="Times New Roman"/>
          <w:sz w:val="24"/>
          <w:szCs w:val="24"/>
        </w:rPr>
      </w:pPr>
      <w:r w:rsidRPr="00FD3680">
        <w:rPr>
          <w:rFonts w:ascii="Times New Roman" w:hAnsi="Times New Roman" w:cs="Times New Roman"/>
          <w:sz w:val="24"/>
          <w:szCs w:val="24"/>
        </w:rPr>
        <w:t xml:space="preserve">Pilotný projekt sa vzťahuje na prvotnú fázu zavádzania, ktorá do určitej časti otestuje pripravenosť daného riešenia pre konečné nasadenie </w:t>
      </w:r>
      <w:r w:rsidR="00316DC1" w:rsidRPr="00FD3680">
        <w:rPr>
          <w:rFonts w:ascii="Times New Roman" w:hAnsi="Times New Roman" w:cs="Times New Roman"/>
          <w:sz w:val="24"/>
          <w:szCs w:val="24"/>
        </w:rPr>
        <w:t xml:space="preserve"> v rámci celého územia alebo u </w:t>
      </w:r>
      <w:r w:rsidRPr="00FD3680">
        <w:rPr>
          <w:rFonts w:ascii="Times New Roman" w:hAnsi="Times New Roman" w:cs="Times New Roman"/>
          <w:sz w:val="24"/>
          <w:szCs w:val="24"/>
        </w:rPr>
        <w:t>viacerých podnikov a organizácií alebo podporí zavedenie dlhodobo aplikovateľného systému. Ide o čiastkovú realizáciu daného výstupu z hľadiska rozsahu alebo času aplikácie s cieľom otestovať funkčnosť, prípadne zhodnotiť, či daný proces je dlhodobo adaptovateľný v danom prostredí. Cieľom pilotného projektu je otestovať v produkčnom prostredí, či systém funguje tak, ako bol navrhnutý a či má predpoklady na konečnú alebo dlhodobú implementáciu alebo aplikáciu resp. či uvedené riešenie je vhodné v rámci celého porovnateľného územia.</w:t>
      </w:r>
    </w:p>
    <w:p w:rsidR="00316DC1" w:rsidRPr="00FD3680" w:rsidRDefault="00316DC1" w:rsidP="00771A68">
      <w:pPr>
        <w:pStyle w:val="Odsekzoznamu"/>
        <w:numPr>
          <w:ilvl w:val="1"/>
          <w:numId w:val="17"/>
        </w:numPr>
        <w:spacing w:after="0" w:line="240" w:lineRule="auto"/>
        <w:ind w:left="1418" w:hanging="284"/>
        <w:jc w:val="both"/>
        <w:rPr>
          <w:rFonts w:ascii="Times New Roman" w:hAnsi="Times New Roman" w:cs="Times New Roman"/>
          <w:sz w:val="24"/>
          <w:szCs w:val="24"/>
          <w:u w:val="single"/>
        </w:rPr>
      </w:pPr>
      <w:r w:rsidRPr="00FD3680">
        <w:rPr>
          <w:rFonts w:ascii="Times New Roman" w:hAnsi="Times New Roman" w:cs="Times New Roman"/>
          <w:sz w:val="24"/>
          <w:szCs w:val="24"/>
          <w:u w:val="single"/>
        </w:rPr>
        <w:t>p</w:t>
      </w:r>
      <w:r w:rsidR="000E0659" w:rsidRPr="00FD3680">
        <w:rPr>
          <w:rFonts w:ascii="Times New Roman" w:hAnsi="Times New Roman" w:cs="Times New Roman"/>
          <w:sz w:val="24"/>
          <w:szCs w:val="24"/>
          <w:u w:val="single"/>
        </w:rPr>
        <w:t>o</w:t>
      </w:r>
      <w:r w:rsidRPr="00FD3680">
        <w:rPr>
          <w:rFonts w:ascii="Times New Roman" w:hAnsi="Times New Roman" w:cs="Times New Roman"/>
          <w:sz w:val="24"/>
          <w:szCs w:val="24"/>
          <w:u w:val="single"/>
        </w:rPr>
        <w:t>dpora novovzniknutých klastrov</w:t>
      </w:r>
    </w:p>
    <w:p w:rsidR="000E0659" w:rsidRPr="00FD3680" w:rsidRDefault="00316DC1" w:rsidP="00316DC1">
      <w:pPr>
        <w:pStyle w:val="Odsekzoznamu"/>
        <w:spacing w:after="0" w:line="240" w:lineRule="auto"/>
        <w:ind w:left="1418"/>
        <w:jc w:val="both"/>
        <w:rPr>
          <w:rFonts w:ascii="Times New Roman" w:hAnsi="Times New Roman" w:cs="Times New Roman"/>
          <w:sz w:val="24"/>
          <w:szCs w:val="24"/>
        </w:rPr>
      </w:pPr>
      <w:r w:rsidRPr="00FD3680">
        <w:rPr>
          <w:rFonts w:ascii="Times New Roman" w:hAnsi="Times New Roman" w:cs="Times New Roman"/>
          <w:sz w:val="24"/>
          <w:szCs w:val="24"/>
        </w:rPr>
        <w:t>Participácia</w:t>
      </w:r>
      <w:r w:rsidR="000E0659" w:rsidRPr="00FD3680">
        <w:rPr>
          <w:rFonts w:ascii="Times New Roman" w:hAnsi="Times New Roman" w:cs="Times New Roman"/>
          <w:sz w:val="24"/>
          <w:szCs w:val="24"/>
        </w:rPr>
        <w:t xml:space="preserve"> na projektoch spolupráce,  ktoré sa zameri</w:t>
      </w:r>
      <w:r w:rsidRPr="00FD3680">
        <w:rPr>
          <w:rFonts w:ascii="Times New Roman" w:hAnsi="Times New Roman" w:cs="Times New Roman"/>
          <w:sz w:val="24"/>
          <w:szCs w:val="24"/>
        </w:rPr>
        <w:t>avajú na vývoj nových produktov, postupov</w:t>
      </w:r>
      <w:r w:rsidR="000E0659" w:rsidRPr="00FD3680">
        <w:rPr>
          <w:rFonts w:ascii="Times New Roman" w:hAnsi="Times New Roman" w:cs="Times New Roman"/>
          <w:sz w:val="24"/>
          <w:szCs w:val="24"/>
        </w:rPr>
        <w:t>, procesov a technológií medzi aktérmi v odvetví poľnohospodárstva, potravinovom reťazci, sektore lesného hospodárstva a v sektore cestovného ruchu na území Európskej únie a ďalšími aktérmi, ktorí  prispievajú k dosiahnutiu cieľov</w:t>
      </w:r>
      <w:r w:rsidR="00B82116" w:rsidRPr="00FD3680">
        <w:rPr>
          <w:rFonts w:ascii="Times New Roman" w:hAnsi="Times New Roman" w:cs="Times New Roman"/>
          <w:sz w:val="24"/>
          <w:szCs w:val="24"/>
        </w:rPr>
        <w:t xml:space="preserve"> a priorít politiky rozvoja vidieka</w:t>
      </w:r>
      <w:r w:rsidR="000E0659" w:rsidRPr="00FD3680">
        <w:rPr>
          <w:rFonts w:ascii="Times New Roman" w:hAnsi="Times New Roman" w:cs="Times New Roman"/>
          <w:sz w:val="24"/>
          <w:szCs w:val="24"/>
        </w:rPr>
        <w:t>.</w:t>
      </w:r>
    </w:p>
    <w:p w:rsidR="00316DC1" w:rsidRPr="00FD3680" w:rsidRDefault="000D6A9A" w:rsidP="00771A68">
      <w:pPr>
        <w:pStyle w:val="Odsekzoznamu"/>
        <w:numPr>
          <w:ilvl w:val="1"/>
          <w:numId w:val="17"/>
        </w:numPr>
        <w:spacing w:after="0" w:line="240" w:lineRule="auto"/>
        <w:ind w:left="1418" w:hanging="284"/>
        <w:jc w:val="both"/>
        <w:rPr>
          <w:rFonts w:ascii="Times New Roman" w:hAnsi="Times New Roman" w:cs="Times New Roman"/>
          <w:sz w:val="24"/>
          <w:szCs w:val="24"/>
          <w:u w:val="single"/>
        </w:rPr>
      </w:pPr>
      <w:r w:rsidRPr="00FD3680">
        <w:rPr>
          <w:rFonts w:ascii="Times New Roman" w:hAnsi="Times New Roman" w:cs="Times New Roman"/>
          <w:sz w:val="24"/>
          <w:szCs w:val="24"/>
          <w:u w:val="single"/>
        </w:rPr>
        <w:t>P</w:t>
      </w:r>
      <w:r w:rsidR="000E0659" w:rsidRPr="00FD3680">
        <w:rPr>
          <w:rFonts w:ascii="Times New Roman" w:hAnsi="Times New Roman" w:cs="Times New Roman"/>
          <w:sz w:val="24"/>
          <w:szCs w:val="24"/>
          <w:u w:val="single"/>
        </w:rPr>
        <w:t>odpora horizon</w:t>
      </w:r>
      <w:r w:rsidR="00316DC1" w:rsidRPr="00FD3680">
        <w:rPr>
          <w:rFonts w:ascii="Times New Roman" w:hAnsi="Times New Roman" w:cs="Times New Roman"/>
          <w:sz w:val="24"/>
          <w:szCs w:val="24"/>
          <w:u w:val="single"/>
        </w:rPr>
        <w:t>tálnej a</w:t>
      </w:r>
      <w:r w:rsidRPr="00FD3680">
        <w:rPr>
          <w:rFonts w:ascii="Times New Roman" w:hAnsi="Times New Roman" w:cs="Times New Roman"/>
          <w:sz w:val="24"/>
          <w:szCs w:val="24"/>
          <w:u w:val="single"/>
        </w:rPr>
        <w:t> </w:t>
      </w:r>
      <w:r w:rsidR="00316DC1" w:rsidRPr="00FD3680">
        <w:rPr>
          <w:rFonts w:ascii="Times New Roman" w:hAnsi="Times New Roman" w:cs="Times New Roman"/>
          <w:sz w:val="24"/>
          <w:szCs w:val="24"/>
          <w:u w:val="single"/>
        </w:rPr>
        <w:t>vertikálnej spolupráce</w:t>
      </w:r>
      <w:r w:rsidR="000E0659" w:rsidRPr="00FD3680">
        <w:rPr>
          <w:rFonts w:ascii="Times New Roman" w:hAnsi="Times New Roman" w:cs="Times New Roman"/>
          <w:sz w:val="24"/>
          <w:szCs w:val="24"/>
          <w:u w:val="single"/>
        </w:rPr>
        <w:t xml:space="preserve"> </w:t>
      </w:r>
    </w:p>
    <w:p w:rsidR="000E0659" w:rsidRPr="00FD3680" w:rsidRDefault="00316DC1" w:rsidP="00316DC1">
      <w:pPr>
        <w:pStyle w:val="Odsekzoznamu"/>
        <w:spacing w:after="0" w:line="240" w:lineRule="auto"/>
        <w:ind w:left="1418"/>
        <w:jc w:val="both"/>
        <w:rPr>
          <w:rFonts w:ascii="Times New Roman" w:hAnsi="Times New Roman" w:cs="Times New Roman"/>
          <w:sz w:val="24"/>
          <w:szCs w:val="24"/>
        </w:rPr>
      </w:pPr>
      <w:r w:rsidRPr="00FD3680">
        <w:rPr>
          <w:rFonts w:ascii="Times New Roman" w:hAnsi="Times New Roman" w:cs="Times New Roman"/>
          <w:sz w:val="24"/>
          <w:szCs w:val="24"/>
        </w:rPr>
        <w:t>Podpora</w:t>
      </w:r>
      <w:r w:rsidR="000E0659" w:rsidRPr="00FD3680">
        <w:rPr>
          <w:rFonts w:ascii="Times New Roman" w:hAnsi="Times New Roman" w:cs="Times New Roman"/>
          <w:sz w:val="24"/>
          <w:szCs w:val="24"/>
        </w:rPr>
        <w:t xml:space="preserve"> horizontálnej a</w:t>
      </w:r>
      <w:r w:rsidR="000D6A9A" w:rsidRPr="00FD3680">
        <w:rPr>
          <w:rFonts w:ascii="Times New Roman" w:hAnsi="Times New Roman" w:cs="Times New Roman"/>
          <w:sz w:val="24"/>
          <w:szCs w:val="24"/>
        </w:rPr>
        <w:t> </w:t>
      </w:r>
      <w:r w:rsidR="000E0659" w:rsidRPr="00FD3680">
        <w:rPr>
          <w:rFonts w:ascii="Times New Roman" w:hAnsi="Times New Roman" w:cs="Times New Roman"/>
          <w:sz w:val="24"/>
          <w:szCs w:val="24"/>
        </w:rPr>
        <w:t>vertikálnej spolupráce v</w:t>
      </w:r>
      <w:r w:rsidR="000D6A9A" w:rsidRPr="00FD3680">
        <w:rPr>
          <w:rFonts w:ascii="Times New Roman" w:hAnsi="Times New Roman" w:cs="Times New Roman"/>
          <w:sz w:val="24"/>
          <w:szCs w:val="24"/>
        </w:rPr>
        <w:t> </w:t>
      </w:r>
      <w:r w:rsidR="000E0659" w:rsidRPr="00FD3680">
        <w:rPr>
          <w:rFonts w:ascii="Times New Roman" w:hAnsi="Times New Roman" w:cs="Times New Roman"/>
          <w:sz w:val="24"/>
          <w:szCs w:val="24"/>
        </w:rPr>
        <w:t>rámci potravinového reťazca pri riešení otázok vývoja produktu, získavani</w:t>
      </w:r>
      <w:r w:rsidRPr="00FD3680">
        <w:rPr>
          <w:rFonts w:ascii="Times New Roman" w:hAnsi="Times New Roman" w:cs="Times New Roman"/>
          <w:sz w:val="24"/>
          <w:szCs w:val="24"/>
        </w:rPr>
        <w:t>a, výroby, dopravy, logistiky, informačných systémov</w:t>
      </w:r>
      <w:r w:rsidR="000E0659" w:rsidRPr="00FD3680">
        <w:rPr>
          <w:rFonts w:ascii="Times New Roman" w:hAnsi="Times New Roman" w:cs="Times New Roman"/>
          <w:sz w:val="24"/>
          <w:szCs w:val="24"/>
        </w:rPr>
        <w:t xml:space="preserve"> potrebným </w:t>
      </w:r>
      <w:r w:rsidRPr="00FD3680">
        <w:rPr>
          <w:rFonts w:ascii="Times New Roman" w:hAnsi="Times New Roman" w:cs="Times New Roman"/>
          <w:sz w:val="24"/>
          <w:szCs w:val="24"/>
        </w:rPr>
        <w:t>pre koordináciu týchto činností, predaja produktov</w:t>
      </w:r>
      <w:r w:rsidR="000E0659" w:rsidRPr="00FD3680">
        <w:rPr>
          <w:rFonts w:ascii="Times New Roman" w:hAnsi="Times New Roman" w:cs="Times New Roman"/>
          <w:sz w:val="24"/>
          <w:szCs w:val="24"/>
        </w:rPr>
        <w:t xml:space="preserve"> a</w:t>
      </w:r>
      <w:r w:rsidR="000D6A9A" w:rsidRPr="00FD3680">
        <w:rPr>
          <w:rFonts w:ascii="Times New Roman" w:hAnsi="Times New Roman" w:cs="Times New Roman"/>
          <w:sz w:val="24"/>
          <w:szCs w:val="24"/>
        </w:rPr>
        <w:t> </w:t>
      </w:r>
      <w:r w:rsidRPr="00FD3680">
        <w:rPr>
          <w:rFonts w:ascii="Times New Roman" w:hAnsi="Times New Roman" w:cs="Times New Roman"/>
          <w:sz w:val="24"/>
          <w:szCs w:val="24"/>
        </w:rPr>
        <w:t>ich</w:t>
      </w:r>
      <w:r w:rsidR="000E0659" w:rsidRPr="00FD3680">
        <w:rPr>
          <w:rFonts w:ascii="Times New Roman" w:hAnsi="Times New Roman" w:cs="Times New Roman"/>
          <w:sz w:val="24"/>
          <w:szCs w:val="24"/>
        </w:rPr>
        <w:t xml:space="preserve"> marketingu. </w:t>
      </w:r>
    </w:p>
    <w:p w:rsidR="000E0659" w:rsidRPr="00FD3680" w:rsidRDefault="000E0659" w:rsidP="000E0659">
      <w:pPr>
        <w:spacing w:after="0" w:line="240" w:lineRule="auto"/>
        <w:jc w:val="both"/>
        <w:rPr>
          <w:rFonts w:ascii="Times New Roman" w:hAnsi="Times New Roman" w:cs="Times New Roman"/>
          <w:sz w:val="24"/>
          <w:szCs w:val="24"/>
        </w:rPr>
      </w:pPr>
    </w:p>
    <w:p w:rsidR="000E0659" w:rsidRPr="00FD3680" w:rsidRDefault="000E0659"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17: Riadenie rizík</w:t>
      </w:r>
    </w:p>
    <w:p w:rsidR="000E0659" w:rsidRPr="00FD3680" w:rsidRDefault="000D6A9A" w:rsidP="000E065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Podporované bude</w:t>
      </w:r>
      <w:r w:rsidR="000E0659" w:rsidRPr="00FD3680">
        <w:rPr>
          <w:rFonts w:ascii="Times New Roman" w:hAnsi="Times New Roman" w:cs="Times New Roman"/>
          <w:sz w:val="24"/>
          <w:szCs w:val="24"/>
        </w:rPr>
        <w:t xml:space="preserve"> zakladanie </w:t>
      </w:r>
      <w:r w:rsidR="004F4740" w:rsidRPr="00FD3680">
        <w:rPr>
          <w:rFonts w:ascii="Times New Roman" w:hAnsi="Times New Roman" w:cs="Times New Roman"/>
          <w:sz w:val="24"/>
          <w:szCs w:val="24"/>
        </w:rPr>
        <w:t>vzájomných</w:t>
      </w:r>
      <w:r w:rsidR="000E0659" w:rsidRPr="00FD3680">
        <w:rPr>
          <w:rFonts w:ascii="Times New Roman" w:hAnsi="Times New Roman" w:cs="Times New Roman"/>
          <w:sz w:val="24"/>
          <w:szCs w:val="24"/>
        </w:rPr>
        <w:t xml:space="preserve"> fondov prostredníctvom ktorých sa  poľnohospodárom vypláca kompenzácia za straty, ktoré utrpia v dôsledku nepriaznivých poveternostných udalostí, vypuknutia chorôb zvierat alebo rastlín, zamorenia škodcami alebo environmentálnych nehôd. Zámerom je nabádať poľnohospodárov aktívne riadiť riziká svojho podnikania. </w:t>
      </w:r>
    </w:p>
    <w:p w:rsidR="000E0659" w:rsidRPr="00FD3680" w:rsidRDefault="000E0659" w:rsidP="000E0659">
      <w:pPr>
        <w:spacing w:after="0" w:line="240" w:lineRule="auto"/>
        <w:jc w:val="both"/>
        <w:rPr>
          <w:rFonts w:ascii="Times New Roman" w:hAnsi="Times New Roman" w:cs="Times New Roman"/>
          <w:sz w:val="24"/>
          <w:szCs w:val="24"/>
        </w:rPr>
      </w:pPr>
    </w:p>
    <w:p w:rsidR="0068467F" w:rsidRPr="00FD3680" w:rsidRDefault="0068467F" w:rsidP="000E0659">
      <w:pPr>
        <w:spacing w:after="0" w:line="240" w:lineRule="auto"/>
        <w:jc w:val="both"/>
        <w:rPr>
          <w:rFonts w:ascii="Times New Roman" w:hAnsi="Times New Roman" w:cs="Times New Roman"/>
          <w:sz w:val="24"/>
          <w:szCs w:val="24"/>
        </w:rPr>
      </w:pPr>
    </w:p>
    <w:p w:rsidR="000E0659" w:rsidRPr="00FD3680" w:rsidRDefault="00CF6E0C" w:rsidP="000E0659">
      <w:pPr>
        <w:spacing w:after="0" w:line="240" w:lineRule="auto"/>
        <w:jc w:val="both"/>
        <w:rPr>
          <w:rFonts w:ascii="Times New Roman" w:hAnsi="Times New Roman" w:cs="Times New Roman"/>
          <w:b/>
          <w:sz w:val="24"/>
          <w:szCs w:val="24"/>
        </w:rPr>
      </w:pPr>
      <w:r w:rsidRPr="00FD3680">
        <w:rPr>
          <w:rFonts w:ascii="Times New Roman" w:hAnsi="Times New Roman" w:cs="Times New Roman"/>
          <w:b/>
          <w:sz w:val="24"/>
          <w:szCs w:val="24"/>
        </w:rPr>
        <w:t>Opatrenie 19</w:t>
      </w:r>
      <w:r w:rsidR="000E0659" w:rsidRPr="00FD3680">
        <w:rPr>
          <w:rFonts w:ascii="Times New Roman" w:hAnsi="Times New Roman" w:cs="Times New Roman"/>
          <w:b/>
          <w:sz w:val="24"/>
          <w:szCs w:val="24"/>
        </w:rPr>
        <w:t>: LEADER</w:t>
      </w:r>
    </w:p>
    <w:p w:rsidR="002B456A" w:rsidRPr="00FD3680" w:rsidRDefault="000D6A9A"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Cieľové skupiny poľnohospodárskych podnikateľov,</w:t>
      </w:r>
      <w:r w:rsidR="000E0659" w:rsidRPr="00FD3680">
        <w:rPr>
          <w:rFonts w:ascii="Times New Roman" w:hAnsi="Times New Roman" w:cs="Times New Roman"/>
          <w:sz w:val="24"/>
          <w:szCs w:val="24"/>
        </w:rPr>
        <w:t xml:space="preserve"> aj vzhľadom na spoločenskú funkciu ktorú plnia</w:t>
      </w:r>
      <w:r w:rsidRPr="00FD3680">
        <w:rPr>
          <w:rFonts w:ascii="Times New Roman" w:hAnsi="Times New Roman" w:cs="Times New Roman"/>
          <w:sz w:val="24"/>
          <w:szCs w:val="24"/>
        </w:rPr>
        <w:t>,</w:t>
      </w:r>
      <w:r w:rsidR="000E0659" w:rsidRPr="00FD3680">
        <w:rPr>
          <w:rFonts w:ascii="Times New Roman" w:hAnsi="Times New Roman" w:cs="Times New Roman"/>
          <w:sz w:val="24"/>
          <w:szCs w:val="24"/>
        </w:rPr>
        <w:t xml:space="preserve"> môžu byť členmi miestnych akčných skupín a aktívne sa spolupodieľať na </w:t>
      </w:r>
      <w:r w:rsidR="000E0659" w:rsidRPr="00FD3680">
        <w:rPr>
          <w:rFonts w:ascii="Times New Roman" w:hAnsi="Times New Roman" w:cs="Times New Roman"/>
          <w:sz w:val="24"/>
          <w:szCs w:val="24"/>
        </w:rPr>
        <w:lastRenderedPageBreak/>
        <w:t xml:space="preserve">miestnom rozvoji. Zároveň môžu benefitovať ako prijímatelia podpory z opatrení implementovaných v rámci stratégií </w:t>
      </w:r>
      <w:r w:rsidR="00963D5D" w:rsidRPr="00FD3680">
        <w:rPr>
          <w:rFonts w:ascii="Times New Roman" w:hAnsi="Times New Roman" w:cs="Times New Roman"/>
          <w:sz w:val="24"/>
          <w:szCs w:val="24"/>
        </w:rPr>
        <w:t xml:space="preserve">CLLD </w:t>
      </w:r>
      <w:r w:rsidRPr="00FD3680">
        <w:rPr>
          <w:rFonts w:ascii="Times New Roman" w:hAnsi="Times New Roman" w:cs="Times New Roman"/>
          <w:sz w:val="24"/>
          <w:szCs w:val="24"/>
        </w:rPr>
        <w:t>miestnych akčných skupín</w:t>
      </w:r>
      <w:r w:rsidR="000E0659" w:rsidRPr="00FD3680">
        <w:rPr>
          <w:rFonts w:ascii="Times New Roman" w:hAnsi="Times New Roman" w:cs="Times New Roman"/>
          <w:sz w:val="24"/>
          <w:szCs w:val="24"/>
        </w:rPr>
        <w:t>.</w:t>
      </w:r>
    </w:p>
    <w:p w:rsidR="00F73C78" w:rsidRPr="00FD3680" w:rsidRDefault="00F73C78" w:rsidP="002C3189">
      <w:pPr>
        <w:spacing w:after="0" w:line="240" w:lineRule="auto"/>
        <w:jc w:val="both"/>
        <w:rPr>
          <w:rFonts w:ascii="Times New Roman" w:hAnsi="Times New Roman" w:cs="Times New Roman"/>
          <w:sz w:val="24"/>
          <w:szCs w:val="24"/>
        </w:rPr>
      </w:pPr>
    </w:p>
    <w:p w:rsidR="006B5633" w:rsidRPr="00FD3680" w:rsidRDefault="006B5633" w:rsidP="00771A68">
      <w:pPr>
        <w:pStyle w:val="Odsekzoznamu"/>
        <w:keepNext/>
        <w:keepLines/>
        <w:numPr>
          <w:ilvl w:val="1"/>
          <w:numId w:val="35"/>
        </w:numPr>
        <w:spacing w:before="200" w:after="0"/>
        <w:contextualSpacing w:val="0"/>
        <w:outlineLvl w:val="1"/>
        <w:rPr>
          <w:rFonts w:ascii="Times New Roman" w:eastAsiaTheme="majorEastAsia" w:hAnsi="Times New Roman" w:cstheme="majorBidi"/>
          <w:b/>
          <w:bCs/>
          <w:vanish/>
          <w:sz w:val="28"/>
          <w:szCs w:val="26"/>
        </w:rPr>
      </w:pPr>
      <w:bookmarkStart w:id="21" w:name="_Toc394589434"/>
      <w:bookmarkEnd w:id="21"/>
    </w:p>
    <w:p w:rsidR="001F04B2" w:rsidRPr="00FD3680" w:rsidRDefault="007A083D" w:rsidP="006B5633">
      <w:pPr>
        <w:pStyle w:val="Nadpis3"/>
      </w:pPr>
      <w:bookmarkStart w:id="22" w:name="_Toc394589435"/>
      <w:r w:rsidRPr="00FD3680">
        <w:t>MLADÝ FARMÁR - m</w:t>
      </w:r>
      <w:r w:rsidR="001F04B2" w:rsidRPr="00FD3680">
        <w:t>echanizmus na zlepšenie prístupu k projektovým podporám PRV SR 2014 – 2020</w:t>
      </w:r>
      <w:bookmarkEnd w:id="22"/>
      <w:r w:rsidR="001F04B2" w:rsidRPr="00FD3680">
        <w:t xml:space="preserve"> </w:t>
      </w:r>
    </w:p>
    <w:p w:rsidR="00821BBC" w:rsidRPr="00FD3680" w:rsidRDefault="00821BBC" w:rsidP="002C3189">
      <w:pPr>
        <w:spacing w:after="0" w:line="240" w:lineRule="auto"/>
        <w:jc w:val="both"/>
        <w:rPr>
          <w:rFonts w:ascii="Times New Roman" w:hAnsi="Times New Roman" w:cs="Times New Roman"/>
          <w:sz w:val="24"/>
          <w:szCs w:val="24"/>
        </w:rPr>
      </w:pPr>
    </w:p>
    <w:p w:rsidR="001F04B2" w:rsidRPr="00FD3680" w:rsidRDefault="001F04B2" w:rsidP="001F04B2">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Základným predpokladom efektívneho využitia </w:t>
      </w:r>
      <w:r w:rsidR="00E63D68" w:rsidRPr="00FD3680">
        <w:rPr>
          <w:rFonts w:ascii="Times New Roman" w:hAnsi="Times New Roman" w:cs="Times New Roman"/>
          <w:sz w:val="24"/>
          <w:szCs w:val="24"/>
        </w:rPr>
        <w:t xml:space="preserve">projektových podpôr PRV SR 2014 – 2020 </w:t>
      </w:r>
      <w:r w:rsidRPr="00FD3680">
        <w:rPr>
          <w:rFonts w:ascii="Times New Roman" w:hAnsi="Times New Roman" w:cs="Times New Roman"/>
          <w:sz w:val="24"/>
          <w:szCs w:val="24"/>
        </w:rPr>
        <w:t>by malo byť vypracovanie tzv. podnikateľského plánu. Tento podn</w:t>
      </w:r>
      <w:r w:rsidR="00256EA3" w:rsidRPr="00FD3680">
        <w:rPr>
          <w:rFonts w:ascii="Times New Roman" w:hAnsi="Times New Roman" w:cs="Times New Roman"/>
          <w:sz w:val="24"/>
          <w:szCs w:val="24"/>
        </w:rPr>
        <w:t>ikateľský plán by mal obsahovať</w:t>
      </w:r>
      <w:r w:rsidRPr="00FD3680">
        <w:rPr>
          <w:rFonts w:ascii="Times New Roman" w:hAnsi="Times New Roman" w:cs="Times New Roman"/>
          <w:sz w:val="24"/>
          <w:szCs w:val="24"/>
        </w:rPr>
        <w:t xml:space="preserve"> najmä tieto časti:</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ciele projektu, v rámci ktorých bude pozornosť venovaná predovšetkým súladu projektu s myšlienkovým základom tejto koncepcie;</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účelnosť navrhovaného projektu, v rámci ktorej by sa mala pozornosť sústrediť na popis situácie po zrealizovaní projektu a ďalšie využitie výstupov z projektu (vplyv na pridávanie hodnoty do poľnohospodárskych produktov a miera uspokojovania dopytu po špecifických poľnohospodárskych výrobkoch a službách);</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prínosy realizácie projektu, t.j. zdôvodnenie či je projekt v súlade so strategickými dokumentmi rezortu, ktoré boli v súvislosti s implementáciou pravidiel tohto programového obdobia schválené vládou SR;</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SWOT analýzu projektu, v rámci ktorej bude potrebné uviesť silné a slabé stránky projektu, ako aj príležitosti a hrozby, ktoré realizáciu projektu ovplyvňujú;</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popis realizácie projektu s dôrazom na jeho technické a personálne zabezpečenie;</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zabezpečenie realizácie aktivít špecifikovaných ako hlavné výstupy z projektu, v rámci ktorých by mal byť špecifikovaný predovšetkým profil zhotoviteľa projektu, jeho budúca organizačná štruktúra, forma podnikania, predpokladané vlastnícke vzťahy a predpokladaný počet a štruktúra zamestnancov;</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udržateľnosť projektu, v rámci čoho by sa mala špecifikovať udržateľnosť výsledkov po ukončení realizácie podnikateľského plánu a mala by byť postavená na 6 základných faktoroch:</w:t>
      </w:r>
    </w:p>
    <w:p w:rsidR="001F04B2" w:rsidRPr="00FD3680" w:rsidRDefault="001F04B2" w:rsidP="00771A68">
      <w:pPr>
        <w:pStyle w:val="Odsekzoznamu"/>
        <w:numPr>
          <w:ilvl w:val="2"/>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faktor etablovania sa na trhu;</w:t>
      </w:r>
    </w:p>
    <w:p w:rsidR="001F04B2" w:rsidRPr="00FD3680" w:rsidRDefault="001F04B2" w:rsidP="00771A68">
      <w:pPr>
        <w:pStyle w:val="Odsekzoznamu"/>
        <w:numPr>
          <w:ilvl w:val="2"/>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faktor podmieňujúci schopnosť priebežného financovania rozvojových aktivít z vlastných zdrojov;</w:t>
      </w:r>
    </w:p>
    <w:p w:rsidR="001F04B2" w:rsidRPr="00FD3680" w:rsidRDefault="001F04B2" w:rsidP="00771A68">
      <w:pPr>
        <w:pStyle w:val="Odsekzoznamu"/>
        <w:numPr>
          <w:ilvl w:val="2"/>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faktor finančnej udržateľnosti projektu;</w:t>
      </w:r>
    </w:p>
    <w:p w:rsidR="001F04B2" w:rsidRPr="00FD3680" w:rsidRDefault="001F04B2" w:rsidP="00771A68">
      <w:pPr>
        <w:pStyle w:val="Odsekzoznamu"/>
        <w:numPr>
          <w:ilvl w:val="2"/>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faktor vzdelávania zamestnancov;</w:t>
      </w:r>
    </w:p>
    <w:p w:rsidR="001F04B2" w:rsidRPr="00FD3680" w:rsidRDefault="001F04B2" w:rsidP="00771A68">
      <w:pPr>
        <w:pStyle w:val="Odsekzoznamu"/>
        <w:numPr>
          <w:ilvl w:val="2"/>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faktor zabezpečenia ochrany životného prostredia; a</w:t>
      </w:r>
    </w:p>
    <w:p w:rsidR="001F04B2" w:rsidRPr="00FD3680" w:rsidRDefault="001F04B2" w:rsidP="00771A68">
      <w:pPr>
        <w:pStyle w:val="Odsekzoznamu"/>
        <w:numPr>
          <w:ilvl w:val="2"/>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faktor trvalo udržateľného rozvoja;</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údaje o súčasnej činnosti žiadateľa;</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stratégiu rozvoja projektu;</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analýzu trhu a konkurencie;</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analýza potreby potenciálne ponúkaných produktov a služieb a dopytu po nich;</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zabezpečenosť odbytu výstupov z budúcej podnikateľskej činnosti;</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identifikáciu činností týkajúcich sa realizácie projektu; a </w:t>
      </w:r>
    </w:p>
    <w:p w:rsidR="001F04B2" w:rsidRPr="00FD3680" w:rsidRDefault="001F04B2" w:rsidP="00771A68">
      <w:pPr>
        <w:pStyle w:val="Odsekzoznamu"/>
        <w:numPr>
          <w:ilvl w:val="0"/>
          <w:numId w:val="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predbežný podrobný rozpočet projektu.</w:t>
      </w:r>
    </w:p>
    <w:p w:rsidR="001F04B2" w:rsidRPr="00FD3680" w:rsidRDefault="001F04B2" w:rsidP="001F04B2">
      <w:pPr>
        <w:spacing w:after="0" w:line="240" w:lineRule="auto"/>
        <w:jc w:val="both"/>
        <w:rPr>
          <w:rFonts w:ascii="Times New Roman" w:hAnsi="Times New Roman" w:cs="Times New Roman"/>
          <w:sz w:val="24"/>
          <w:szCs w:val="24"/>
        </w:rPr>
      </w:pPr>
    </w:p>
    <w:p w:rsidR="001F04B2" w:rsidRPr="00FD3680" w:rsidRDefault="001F04B2" w:rsidP="001F04B2">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Po predložení takéhoto podnikateľského plánu by sa mal tento kvalifikovane posúdiť</w:t>
      </w:r>
      <w:r w:rsidR="00256EA3" w:rsidRPr="00FD3680">
        <w:rPr>
          <w:rFonts w:ascii="Times New Roman" w:hAnsi="Times New Roman" w:cs="Times New Roman"/>
          <w:sz w:val="24"/>
          <w:szCs w:val="24"/>
        </w:rPr>
        <w:t>, podľa podmienok zverejnených v príslušnej výzve ku opatreniu</w:t>
      </w:r>
      <w:r w:rsidRPr="00FD3680">
        <w:rPr>
          <w:rFonts w:ascii="Times New Roman" w:hAnsi="Times New Roman" w:cs="Times New Roman"/>
          <w:sz w:val="24"/>
          <w:szCs w:val="24"/>
        </w:rPr>
        <w:t xml:space="preserve">, pričom by sa mal stať základom žiadosti o nenávratný finančný príspevok na začatie podnikania v poľnohospodárstve. </w:t>
      </w:r>
    </w:p>
    <w:p w:rsidR="00AC1D70" w:rsidRPr="00FD3680" w:rsidRDefault="00AC1D70" w:rsidP="001F04B2">
      <w:pPr>
        <w:spacing w:after="0" w:line="240" w:lineRule="auto"/>
        <w:jc w:val="both"/>
        <w:rPr>
          <w:rFonts w:ascii="Times New Roman" w:hAnsi="Times New Roman" w:cs="Times New Roman"/>
          <w:sz w:val="24"/>
          <w:szCs w:val="24"/>
        </w:rPr>
      </w:pPr>
    </w:p>
    <w:p w:rsidR="001F04B2" w:rsidRPr="00FD3680" w:rsidRDefault="001F04B2" w:rsidP="001F04B2">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Hodnotenie úspešnosti žiadateľov o podporu by sa malo následne predovšetkým opierať o dôkladné posúdenie týchto kritérií:</w:t>
      </w:r>
    </w:p>
    <w:p w:rsidR="001F04B2" w:rsidRPr="00FD3680" w:rsidRDefault="001F04B2" w:rsidP="00771A68">
      <w:pPr>
        <w:pStyle w:val="Odsekzoznamu"/>
        <w:numPr>
          <w:ilvl w:val="0"/>
          <w:numId w:val="9"/>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zvyšovanie pridávania hodnoty  do poľnohospodárskych produktov a služieb;</w:t>
      </w:r>
    </w:p>
    <w:p w:rsidR="001F04B2" w:rsidRPr="00FD3680" w:rsidRDefault="001F04B2" w:rsidP="00771A68">
      <w:pPr>
        <w:pStyle w:val="Odsekzoznamu"/>
        <w:numPr>
          <w:ilvl w:val="0"/>
          <w:numId w:val="9"/>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unikátnosť podnikateľského plánu;</w:t>
      </w:r>
    </w:p>
    <w:p w:rsidR="001F04B2" w:rsidRPr="00FD3680" w:rsidRDefault="001F04B2" w:rsidP="00771A68">
      <w:pPr>
        <w:pStyle w:val="Odsekzoznamu"/>
        <w:numPr>
          <w:ilvl w:val="0"/>
          <w:numId w:val="9"/>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miera uspokojovania dopytu po špecifických tovaroch a službách;</w:t>
      </w:r>
    </w:p>
    <w:p w:rsidR="001F04B2" w:rsidRPr="00FD3680" w:rsidRDefault="001F04B2" w:rsidP="00771A68">
      <w:pPr>
        <w:pStyle w:val="Odsekzoznamu"/>
        <w:numPr>
          <w:ilvl w:val="0"/>
          <w:numId w:val="9"/>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finančná návratnosť projektu; a</w:t>
      </w:r>
    </w:p>
    <w:p w:rsidR="001F04B2" w:rsidRPr="00FD3680" w:rsidRDefault="001F04B2" w:rsidP="00771A68">
      <w:pPr>
        <w:pStyle w:val="Odsekzoznamu"/>
        <w:numPr>
          <w:ilvl w:val="0"/>
          <w:numId w:val="9"/>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doba realizácie projektu.</w:t>
      </w:r>
    </w:p>
    <w:p w:rsidR="001F04B2" w:rsidRPr="00FD3680" w:rsidRDefault="001F04B2" w:rsidP="001F04B2">
      <w:pPr>
        <w:spacing w:after="0" w:line="240" w:lineRule="auto"/>
        <w:jc w:val="both"/>
        <w:rPr>
          <w:rFonts w:ascii="Times New Roman" w:hAnsi="Times New Roman" w:cs="Times New Roman"/>
          <w:sz w:val="24"/>
          <w:szCs w:val="24"/>
        </w:rPr>
      </w:pPr>
    </w:p>
    <w:p w:rsidR="001F04B2" w:rsidRPr="00FD3680" w:rsidRDefault="001F04B2" w:rsidP="001F04B2">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Na základe týchto kritérií by mali byť následne žiadatelia rozdelení do </w:t>
      </w:r>
      <w:r w:rsidR="00C42BA7" w:rsidRPr="00FD3680">
        <w:rPr>
          <w:rFonts w:ascii="Times New Roman" w:hAnsi="Times New Roman" w:cs="Times New Roman"/>
          <w:sz w:val="24"/>
          <w:szCs w:val="24"/>
        </w:rPr>
        <w:t>2</w:t>
      </w:r>
      <w:r w:rsidRPr="00FD3680">
        <w:rPr>
          <w:rFonts w:ascii="Times New Roman" w:hAnsi="Times New Roman" w:cs="Times New Roman"/>
          <w:sz w:val="24"/>
          <w:szCs w:val="24"/>
        </w:rPr>
        <w:t xml:space="preserve"> skupín:</w:t>
      </w:r>
    </w:p>
    <w:p w:rsidR="001F04B2" w:rsidRPr="00FD3680" w:rsidRDefault="001F04B2" w:rsidP="00771A68">
      <w:pPr>
        <w:pStyle w:val="Odsekzoznamu"/>
        <w:numPr>
          <w:ilvl w:val="0"/>
          <w:numId w:val="10"/>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úspešní žiadatelia, ktorí získajú nenávratný finančný príspevok na založenie poľnohospodárskeho podnikania;</w:t>
      </w:r>
      <w:r w:rsidR="00C42BA7" w:rsidRPr="00FD3680">
        <w:rPr>
          <w:rFonts w:ascii="Times New Roman" w:hAnsi="Times New Roman" w:cs="Times New Roman"/>
          <w:sz w:val="24"/>
          <w:szCs w:val="24"/>
        </w:rPr>
        <w:t xml:space="preserve"> a</w:t>
      </w:r>
    </w:p>
    <w:p w:rsidR="001F04B2" w:rsidRPr="00FD3680" w:rsidRDefault="001F04B2" w:rsidP="00771A68">
      <w:pPr>
        <w:pStyle w:val="Odsekzoznamu"/>
        <w:numPr>
          <w:ilvl w:val="0"/>
          <w:numId w:val="10"/>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neúspešní žiadatelia, ktorí nenávratný finančný príspevok nezískajú.</w:t>
      </w:r>
    </w:p>
    <w:p w:rsidR="001F04B2" w:rsidRPr="00FD3680" w:rsidRDefault="001F04B2" w:rsidP="001F04B2">
      <w:pPr>
        <w:spacing w:after="0" w:line="240" w:lineRule="auto"/>
        <w:jc w:val="both"/>
        <w:rPr>
          <w:rFonts w:ascii="Times New Roman" w:hAnsi="Times New Roman" w:cs="Times New Roman"/>
          <w:sz w:val="24"/>
          <w:szCs w:val="24"/>
        </w:rPr>
      </w:pPr>
    </w:p>
    <w:p w:rsidR="001F04B2" w:rsidRPr="00FD3680" w:rsidRDefault="00C42BA7" w:rsidP="00E63D6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Úspešným</w:t>
      </w:r>
      <w:r w:rsidR="001F04B2" w:rsidRPr="00FD3680">
        <w:rPr>
          <w:rFonts w:ascii="Times New Roman" w:hAnsi="Times New Roman" w:cs="Times New Roman"/>
          <w:sz w:val="24"/>
          <w:szCs w:val="24"/>
        </w:rPr>
        <w:t xml:space="preserve"> žiadateľom by mala byť poskytnutá všetka možná súčinnosť zo strany    </w:t>
      </w:r>
      <w:r w:rsidRPr="00FD3680">
        <w:rPr>
          <w:rFonts w:ascii="Times New Roman" w:hAnsi="Times New Roman" w:cs="Times New Roman"/>
          <w:sz w:val="24"/>
          <w:szCs w:val="24"/>
        </w:rPr>
        <w:t xml:space="preserve">      </w:t>
      </w:r>
      <w:r w:rsidR="001F04B2" w:rsidRPr="00FD3680">
        <w:rPr>
          <w:rFonts w:ascii="Times New Roman" w:hAnsi="Times New Roman" w:cs="Times New Roman"/>
          <w:sz w:val="24"/>
          <w:szCs w:val="24"/>
        </w:rPr>
        <w:t>MPRV SR tak, aby mohli svoj podnikateľský plán zrealizovať s využitím všetkých dostupných nástrojov podpory cieľových skupín poľnohospodárskych podnikateľov, a to podľa toho do akej skupiny boli pri hodnotení podnikateľského plánu zaradení. Uvedená podpora by mala predovšetkým zahŕňať asistenciu a d</w:t>
      </w:r>
      <w:r w:rsidR="00E63D68" w:rsidRPr="00FD3680">
        <w:rPr>
          <w:rFonts w:ascii="Times New Roman" w:hAnsi="Times New Roman" w:cs="Times New Roman"/>
          <w:sz w:val="24"/>
          <w:szCs w:val="24"/>
        </w:rPr>
        <w:t xml:space="preserve">ôslednú konzultačnú výpomoc pri </w:t>
      </w:r>
      <w:r w:rsidR="001F04B2" w:rsidRPr="00FD3680">
        <w:rPr>
          <w:rFonts w:ascii="Times New Roman" w:hAnsi="Times New Roman" w:cs="Times New Roman"/>
          <w:sz w:val="24"/>
          <w:szCs w:val="24"/>
        </w:rPr>
        <w:t xml:space="preserve">vypracúvaní a predkladaní žiadostí o jednotlivé projektové opatrenia </w:t>
      </w:r>
      <w:r w:rsidR="0081292A" w:rsidRPr="00FD3680">
        <w:rPr>
          <w:rFonts w:ascii="Times New Roman" w:hAnsi="Times New Roman" w:cs="Times New Roman"/>
          <w:sz w:val="24"/>
          <w:szCs w:val="24"/>
        </w:rPr>
        <w:t>programu rozvoja vidieka.</w:t>
      </w:r>
    </w:p>
    <w:p w:rsidR="0081292A" w:rsidRPr="00FD3680" w:rsidRDefault="0081292A" w:rsidP="0081292A">
      <w:pPr>
        <w:pStyle w:val="Odsekzoznamu"/>
        <w:spacing w:after="0" w:line="240" w:lineRule="auto"/>
        <w:jc w:val="both"/>
        <w:rPr>
          <w:rFonts w:ascii="Times New Roman" w:hAnsi="Times New Roman" w:cs="Times New Roman"/>
          <w:sz w:val="24"/>
          <w:szCs w:val="24"/>
        </w:rPr>
      </w:pPr>
    </w:p>
    <w:p w:rsidR="001F04B2" w:rsidRPr="00FD3680" w:rsidRDefault="001F04B2" w:rsidP="001F04B2">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Je však potrebné upozorniť, že táto asistencia a konzultačná výpomoc priamo nezakladá povinnosť riadiaceho orgánu schvaľovať takýmto poľnohospodárskym podnikateľom žiadosti o poskytnutie nenávratných finančných príspevkov súvisiacich s projektovými opatreniami programu rozvoja vidieka.</w:t>
      </w:r>
    </w:p>
    <w:p w:rsidR="001F04B2" w:rsidRPr="00FD3680" w:rsidRDefault="001F04B2" w:rsidP="001F04B2">
      <w:pPr>
        <w:spacing w:after="0" w:line="240" w:lineRule="auto"/>
        <w:jc w:val="both"/>
        <w:rPr>
          <w:rFonts w:ascii="Times New Roman" w:hAnsi="Times New Roman" w:cs="Times New Roman"/>
          <w:sz w:val="24"/>
          <w:szCs w:val="24"/>
        </w:rPr>
      </w:pPr>
    </w:p>
    <w:p w:rsidR="001F04B2" w:rsidRPr="00FD3680" w:rsidRDefault="001F04B2" w:rsidP="001F04B2">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Pokiaľ však </w:t>
      </w:r>
      <w:r w:rsidR="00C42BA7" w:rsidRPr="00FD3680">
        <w:rPr>
          <w:rFonts w:ascii="Times New Roman" w:hAnsi="Times New Roman" w:cs="Times New Roman"/>
          <w:sz w:val="24"/>
          <w:szCs w:val="24"/>
        </w:rPr>
        <w:t>títo úspešní žiadatelia efektívne využijú</w:t>
      </w:r>
      <w:r w:rsidRPr="00FD3680">
        <w:rPr>
          <w:rFonts w:ascii="Times New Roman" w:hAnsi="Times New Roman" w:cs="Times New Roman"/>
          <w:sz w:val="24"/>
          <w:szCs w:val="24"/>
        </w:rPr>
        <w:t xml:space="preserve"> všetky ponúkané nástroje podpory, špecifikované v predchádzajúcej kapitole, získa</w:t>
      </w:r>
      <w:r w:rsidR="00C42BA7" w:rsidRPr="00FD3680">
        <w:rPr>
          <w:rFonts w:ascii="Times New Roman" w:hAnsi="Times New Roman" w:cs="Times New Roman"/>
          <w:sz w:val="24"/>
          <w:szCs w:val="24"/>
        </w:rPr>
        <w:t>jú</w:t>
      </w:r>
      <w:r w:rsidRPr="00FD3680">
        <w:rPr>
          <w:rFonts w:ascii="Times New Roman" w:hAnsi="Times New Roman" w:cs="Times New Roman"/>
          <w:sz w:val="24"/>
          <w:szCs w:val="24"/>
        </w:rPr>
        <w:t xml:space="preserve"> významný impulz niele</w:t>
      </w:r>
      <w:r w:rsidR="00C42BA7" w:rsidRPr="00FD3680">
        <w:rPr>
          <w:rFonts w:ascii="Times New Roman" w:hAnsi="Times New Roman" w:cs="Times New Roman"/>
          <w:sz w:val="24"/>
          <w:szCs w:val="24"/>
        </w:rPr>
        <w:t xml:space="preserve">n k zriadeniu svojho podnikania </w:t>
      </w:r>
      <w:r w:rsidRPr="00FD3680">
        <w:rPr>
          <w:rFonts w:ascii="Times New Roman" w:hAnsi="Times New Roman" w:cs="Times New Roman"/>
          <w:sz w:val="24"/>
          <w:szCs w:val="24"/>
        </w:rPr>
        <w:t>v</w:t>
      </w:r>
      <w:r w:rsidR="00C42BA7" w:rsidRPr="00FD3680">
        <w:rPr>
          <w:rFonts w:ascii="Times New Roman" w:hAnsi="Times New Roman" w:cs="Times New Roman"/>
          <w:sz w:val="24"/>
          <w:szCs w:val="24"/>
        </w:rPr>
        <w:t> </w:t>
      </w:r>
      <w:r w:rsidRPr="00FD3680">
        <w:rPr>
          <w:rFonts w:ascii="Times New Roman" w:hAnsi="Times New Roman" w:cs="Times New Roman"/>
          <w:sz w:val="24"/>
          <w:szCs w:val="24"/>
        </w:rPr>
        <w:t>poľnohospodárstve</w:t>
      </w:r>
      <w:r w:rsidR="00C42BA7" w:rsidRPr="00FD3680">
        <w:rPr>
          <w:rFonts w:ascii="Times New Roman" w:hAnsi="Times New Roman" w:cs="Times New Roman"/>
          <w:sz w:val="24"/>
          <w:szCs w:val="24"/>
        </w:rPr>
        <w:t>,</w:t>
      </w:r>
      <w:r w:rsidRPr="00FD3680">
        <w:rPr>
          <w:rFonts w:ascii="Times New Roman" w:hAnsi="Times New Roman" w:cs="Times New Roman"/>
          <w:sz w:val="24"/>
          <w:szCs w:val="24"/>
        </w:rPr>
        <w:t xml:space="preserve"> ale aj nezanedbateľný predpoklad úspešne v poľnohospodárskom podnikaní pokračovať a zveľaďovať ho v záujme jeho ďalšieho rozvoja.</w:t>
      </w:r>
    </w:p>
    <w:p w:rsidR="00821BBC" w:rsidRPr="00FD3680" w:rsidRDefault="00821BBC" w:rsidP="002C3189">
      <w:pPr>
        <w:spacing w:after="0" w:line="240" w:lineRule="auto"/>
        <w:jc w:val="both"/>
        <w:rPr>
          <w:rFonts w:ascii="Times New Roman" w:hAnsi="Times New Roman" w:cs="Times New Roman"/>
          <w:sz w:val="24"/>
          <w:szCs w:val="24"/>
        </w:rPr>
      </w:pPr>
    </w:p>
    <w:p w:rsidR="001F04B2" w:rsidRPr="00FD3680" w:rsidRDefault="007A083D" w:rsidP="006B5633">
      <w:pPr>
        <w:pStyle w:val="Nadpis3"/>
      </w:pPr>
      <w:bookmarkStart w:id="23" w:name="_Toc394589436"/>
      <w:r w:rsidRPr="00FD3680">
        <w:t>MALÝ a RODINNÝ FARMÁR - m</w:t>
      </w:r>
      <w:r w:rsidR="001F04B2" w:rsidRPr="00FD3680">
        <w:t>echanizmus na zlepšenie prístupu k projektovým podporám PRV SR 2014 – 2020</w:t>
      </w:r>
      <w:bookmarkEnd w:id="23"/>
      <w:r w:rsidR="001F04B2" w:rsidRPr="00FD3680">
        <w:t xml:space="preserve"> </w:t>
      </w:r>
    </w:p>
    <w:p w:rsidR="001F04B2" w:rsidRPr="00FD3680" w:rsidRDefault="001F04B2" w:rsidP="002C3189">
      <w:pPr>
        <w:spacing w:after="0" w:line="240" w:lineRule="auto"/>
        <w:jc w:val="both"/>
        <w:rPr>
          <w:rFonts w:ascii="Times New Roman" w:hAnsi="Times New Roman" w:cs="Times New Roman"/>
          <w:sz w:val="24"/>
          <w:szCs w:val="24"/>
        </w:rPr>
      </w:pPr>
    </w:p>
    <w:p w:rsidR="001F04B2" w:rsidRPr="00FD3680" w:rsidRDefault="00E63D68"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Zlepšenie prístupu k projektovým podporám </w:t>
      </w:r>
      <w:r w:rsidR="00E641DA" w:rsidRPr="00FD3680">
        <w:rPr>
          <w:rFonts w:ascii="Times New Roman" w:hAnsi="Times New Roman" w:cs="Times New Roman"/>
          <w:sz w:val="24"/>
          <w:szCs w:val="24"/>
        </w:rPr>
        <w:t>PRV SR 2014 – 2020 by sa malo zakladať predovšetkým na:</w:t>
      </w:r>
    </w:p>
    <w:p w:rsidR="00E641DA" w:rsidRPr="00FD3680" w:rsidRDefault="00E641DA" w:rsidP="00771A68">
      <w:pPr>
        <w:pStyle w:val="Odsekzoznamu"/>
        <w:numPr>
          <w:ilvl w:val="0"/>
          <w:numId w:val="1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realizácii tzv. kolektívnych investícií; a</w:t>
      </w:r>
    </w:p>
    <w:p w:rsidR="00E641DA" w:rsidRPr="00FD3680" w:rsidRDefault="00E641DA" w:rsidP="00771A68">
      <w:pPr>
        <w:pStyle w:val="Odsekzoznamu"/>
        <w:numPr>
          <w:ilvl w:val="0"/>
          <w:numId w:val="18"/>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zapájaní príbuzných v</w:t>
      </w:r>
      <w:r w:rsidR="00312485" w:rsidRPr="00FD3680">
        <w:rPr>
          <w:rFonts w:ascii="Times New Roman" w:hAnsi="Times New Roman" w:cs="Times New Roman"/>
          <w:sz w:val="24"/>
          <w:szCs w:val="24"/>
        </w:rPr>
        <w:t> </w:t>
      </w:r>
      <w:r w:rsidRPr="00FD3680">
        <w:rPr>
          <w:rFonts w:ascii="Times New Roman" w:hAnsi="Times New Roman" w:cs="Times New Roman"/>
          <w:sz w:val="24"/>
          <w:szCs w:val="24"/>
        </w:rPr>
        <w:t>priamom</w:t>
      </w:r>
      <w:r w:rsidR="00312485" w:rsidRPr="00FD3680">
        <w:rPr>
          <w:rFonts w:ascii="Times New Roman" w:hAnsi="Times New Roman" w:cs="Times New Roman"/>
          <w:sz w:val="24"/>
          <w:szCs w:val="24"/>
        </w:rPr>
        <w:t xml:space="preserve"> alebo pobočnom rade, vrátane manžela a manželky,</w:t>
      </w:r>
      <w:r w:rsidRPr="00FD3680">
        <w:rPr>
          <w:rFonts w:ascii="Times New Roman" w:hAnsi="Times New Roman" w:cs="Times New Roman"/>
          <w:sz w:val="24"/>
          <w:szCs w:val="24"/>
        </w:rPr>
        <w:t xml:space="preserve"> v postavení zamestnancov v pracovnom pomere na ustanovený týždenný pracovný čas, do riadenia podnikania v poľnohospodárstve, tvorby podnikateľských rozhodnutí a do výkonu rozhodujúceho podielu prác v súvislosti s týmto podnikaním.</w:t>
      </w:r>
    </w:p>
    <w:p w:rsidR="0081292A" w:rsidRPr="00FD3680" w:rsidRDefault="0081292A" w:rsidP="002C3189">
      <w:pPr>
        <w:spacing w:after="0" w:line="240" w:lineRule="auto"/>
        <w:jc w:val="both"/>
        <w:rPr>
          <w:rFonts w:ascii="Times New Roman" w:hAnsi="Times New Roman" w:cs="Times New Roman"/>
          <w:sz w:val="24"/>
          <w:szCs w:val="24"/>
        </w:rPr>
      </w:pPr>
    </w:p>
    <w:p w:rsidR="0081292A" w:rsidRPr="00FD3680" w:rsidRDefault="0051504C"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Kolektívnymi (združenými) investíciami sa rozumejú investície, ktoré sa realizujú viac ako jedným poľnohospodárom a z uvedeného dôvodu prinášajú synergický efekt. Prijímateľom finančnej podpory môže byť buď novo vzniknutý právny subjekt, t.j. skupina výrobcov, organizácia výrobcov, medziodvetvová organizácia a pod., alebo jeden subjekt, ktorý na základe zmluvy spolupracuje s iným subjektom/subjektmi a všetci sú beneficientmi a spoluriešitelia projektu.</w:t>
      </w:r>
    </w:p>
    <w:p w:rsidR="00256EA3" w:rsidRPr="00FD3680" w:rsidRDefault="00256EA3" w:rsidP="002C3189">
      <w:pPr>
        <w:spacing w:after="0" w:line="240" w:lineRule="auto"/>
        <w:jc w:val="both"/>
        <w:rPr>
          <w:rFonts w:ascii="Times New Roman" w:hAnsi="Times New Roman" w:cs="Times New Roman"/>
          <w:sz w:val="24"/>
          <w:szCs w:val="24"/>
        </w:rPr>
      </w:pPr>
    </w:p>
    <w:p w:rsidR="0051504C" w:rsidRPr="00FD3680" w:rsidRDefault="0051504C"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V prípade realizácie kolektívnych investícií sa môže miera intenzity podpory zvýšiť až       o 20 %, čo znamená, že miera spolufinancovania projektu zo strany žiadateľa/ov by sa mohla znížiť, v prípade menej rozvinutých regiónov až na 30 % a v prípade Bratislavského kraja až na 40 %.</w:t>
      </w:r>
    </w:p>
    <w:p w:rsidR="001F04B2" w:rsidRPr="00FD3680" w:rsidRDefault="001F04B2" w:rsidP="002C3189">
      <w:pPr>
        <w:spacing w:after="0" w:line="240" w:lineRule="auto"/>
        <w:jc w:val="both"/>
        <w:rPr>
          <w:rFonts w:ascii="Times New Roman" w:hAnsi="Times New Roman" w:cs="Times New Roman"/>
          <w:sz w:val="24"/>
          <w:szCs w:val="24"/>
        </w:rPr>
      </w:pPr>
    </w:p>
    <w:p w:rsidR="0051504C" w:rsidRPr="00FD3680" w:rsidRDefault="0051504C"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Zapájanie príbuzných v</w:t>
      </w:r>
      <w:r w:rsidR="00975745" w:rsidRPr="00FD3680">
        <w:rPr>
          <w:rFonts w:ascii="Times New Roman" w:hAnsi="Times New Roman" w:cs="Times New Roman"/>
          <w:sz w:val="24"/>
          <w:szCs w:val="24"/>
        </w:rPr>
        <w:t> priamom alebo pobočnom rade, vrátane manžela a manželky,</w:t>
      </w:r>
      <w:r w:rsidRPr="00FD3680">
        <w:rPr>
          <w:rFonts w:ascii="Times New Roman" w:hAnsi="Times New Roman" w:cs="Times New Roman"/>
          <w:sz w:val="24"/>
          <w:szCs w:val="24"/>
        </w:rPr>
        <w:t xml:space="preserve"> v postavení zamestnancov v pracovnom pomere na ustanovený týždenný pracovný čas, do riadenia podnikania v poľnohospodárstve, tvorby podnikateľských rozhodnutí a do výkonu rozhodujúceho podielu prác v súvislosti s týmto podnikaním je priamou podporou tzv. rodinných fariem a rodinných farmárov. </w:t>
      </w:r>
    </w:p>
    <w:p w:rsidR="00E80B20" w:rsidRPr="00FD3680" w:rsidRDefault="00E80B20" w:rsidP="002C3189">
      <w:pPr>
        <w:spacing w:after="0" w:line="240" w:lineRule="auto"/>
        <w:jc w:val="both"/>
        <w:rPr>
          <w:rFonts w:ascii="Times New Roman" w:hAnsi="Times New Roman" w:cs="Times New Roman"/>
          <w:sz w:val="24"/>
          <w:szCs w:val="24"/>
        </w:rPr>
      </w:pPr>
    </w:p>
    <w:p w:rsidR="00B44FFD" w:rsidRPr="00FD3680" w:rsidRDefault="003A41E2"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 prípade žiadosti o nenávratný finančný príspevok z PRV SR 2014 – 2020 zo strany rodinného farmára, by sa </w:t>
      </w:r>
      <w:r w:rsidR="00B44FFD" w:rsidRPr="00FD3680">
        <w:rPr>
          <w:rFonts w:ascii="Times New Roman" w:hAnsi="Times New Roman" w:cs="Times New Roman"/>
          <w:sz w:val="24"/>
          <w:szCs w:val="24"/>
        </w:rPr>
        <w:t>mohla</w:t>
      </w:r>
      <w:r w:rsidRPr="00FD3680">
        <w:rPr>
          <w:rFonts w:ascii="Times New Roman" w:hAnsi="Times New Roman" w:cs="Times New Roman"/>
          <w:sz w:val="24"/>
          <w:szCs w:val="24"/>
        </w:rPr>
        <w:t xml:space="preserve"> posilniť jeho úspešnosť tým, že sa k celkovému bodovému zisku pri hodnotení žiadosti o nenávratný finančný príspevok na realizáciu projektových opatrení PRV SR 2014 – 2020 pripočíta 10 % z jeho celkového bodového zisku.</w:t>
      </w:r>
      <w:r w:rsidR="00B44FFD" w:rsidRPr="00FD3680">
        <w:rPr>
          <w:rFonts w:ascii="Times New Roman" w:hAnsi="Times New Roman" w:cs="Times New Roman"/>
          <w:sz w:val="24"/>
          <w:szCs w:val="24"/>
        </w:rPr>
        <w:t xml:space="preserve"> </w:t>
      </w:r>
    </w:p>
    <w:p w:rsidR="00B44FFD" w:rsidRPr="00FD3680" w:rsidRDefault="00B44FFD" w:rsidP="002C3189">
      <w:pPr>
        <w:spacing w:after="0" w:line="240" w:lineRule="auto"/>
        <w:jc w:val="both"/>
        <w:rPr>
          <w:rFonts w:ascii="Times New Roman" w:hAnsi="Times New Roman" w:cs="Times New Roman"/>
          <w:sz w:val="24"/>
          <w:szCs w:val="24"/>
        </w:rPr>
      </w:pPr>
    </w:p>
    <w:p w:rsidR="003A41E2" w:rsidRPr="00FD3680" w:rsidRDefault="00B44FFD"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Všeobecne povedané, v rámci jednotlivých opatrení PRV je možné podporu zamerať na príslušné cieľové skupiny, či už ich zvýhodnením pri výberových kritériách alebo vyhlásením samostatnej Výzvy na predkladania žiadosti o nenávratný finančný príspevok, </w:t>
      </w:r>
      <w:r w:rsidR="00384E9F" w:rsidRPr="00FD3680">
        <w:rPr>
          <w:rFonts w:ascii="Times New Roman" w:hAnsi="Times New Roman" w:cs="Times New Roman"/>
          <w:sz w:val="24"/>
          <w:szCs w:val="24"/>
        </w:rPr>
        <w:t>v závislosti</w:t>
      </w:r>
      <w:r w:rsidRPr="00FD3680">
        <w:rPr>
          <w:rFonts w:ascii="Times New Roman" w:hAnsi="Times New Roman" w:cs="Times New Roman"/>
          <w:sz w:val="24"/>
          <w:szCs w:val="24"/>
        </w:rPr>
        <w:t xml:space="preserve"> od zamerania implementácie PRV.  </w:t>
      </w:r>
    </w:p>
    <w:p w:rsidR="003A41E2" w:rsidRPr="00FD3680" w:rsidRDefault="003A41E2" w:rsidP="002C3189">
      <w:pPr>
        <w:spacing w:after="0" w:line="240" w:lineRule="auto"/>
        <w:jc w:val="both"/>
        <w:rPr>
          <w:rFonts w:ascii="Times New Roman" w:hAnsi="Times New Roman" w:cs="Times New Roman"/>
          <w:sz w:val="24"/>
          <w:szCs w:val="24"/>
        </w:rPr>
      </w:pPr>
    </w:p>
    <w:p w:rsidR="003A41E2" w:rsidRPr="00FD3680" w:rsidRDefault="003A41E2"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Je účelné, aby sa uvedené formy zlepšenia prístupu </w:t>
      </w:r>
      <w:r w:rsidR="00384E9F" w:rsidRPr="00FD3680">
        <w:rPr>
          <w:rFonts w:ascii="Times New Roman" w:hAnsi="Times New Roman" w:cs="Times New Roman"/>
          <w:sz w:val="24"/>
          <w:szCs w:val="24"/>
        </w:rPr>
        <w:t>k</w:t>
      </w:r>
      <w:r w:rsidRPr="00FD3680">
        <w:rPr>
          <w:rFonts w:ascii="Times New Roman" w:hAnsi="Times New Roman" w:cs="Times New Roman"/>
          <w:sz w:val="24"/>
          <w:szCs w:val="24"/>
        </w:rPr>
        <w:t xml:space="preserve"> projektovým podporám                       PRV SR 2014 – 2020, v prípade splnenia oboch predpokladov, kumulovali. </w:t>
      </w:r>
    </w:p>
    <w:p w:rsidR="003A41E2" w:rsidRPr="00FD3680" w:rsidRDefault="003A41E2" w:rsidP="002C3189">
      <w:pPr>
        <w:spacing w:after="0" w:line="240" w:lineRule="auto"/>
        <w:jc w:val="both"/>
        <w:rPr>
          <w:rFonts w:ascii="Times New Roman" w:hAnsi="Times New Roman" w:cs="Times New Roman"/>
          <w:sz w:val="24"/>
          <w:szCs w:val="24"/>
        </w:rPr>
      </w:pPr>
    </w:p>
    <w:p w:rsidR="008D6AEF" w:rsidRPr="00FD3680" w:rsidRDefault="008D6AEF" w:rsidP="00771A68">
      <w:pPr>
        <w:pStyle w:val="Nadpis2"/>
        <w:numPr>
          <w:ilvl w:val="1"/>
          <w:numId w:val="36"/>
        </w:numPr>
      </w:pPr>
      <w:bookmarkStart w:id="24" w:name="_Toc394589437"/>
      <w:r w:rsidRPr="00FD3680">
        <w:t xml:space="preserve">Podpora prístupu k úverovému predfinancovaniu prevádzkových </w:t>
      </w:r>
      <w:r w:rsidR="008B69EC" w:rsidRPr="00FD3680">
        <w:t xml:space="preserve">a kapitálových </w:t>
      </w:r>
      <w:r w:rsidRPr="00FD3680">
        <w:t>potrieb</w:t>
      </w:r>
      <w:bookmarkEnd w:id="24"/>
    </w:p>
    <w:p w:rsidR="008C0844" w:rsidRPr="00FD3680" w:rsidRDefault="008C0844" w:rsidP="002C3189">
      <w:pPr>
        <w:spacing w:after="0" w:line="240" w:lineRule="auto"/>
        <w:jc w:val="both"/>
        <w:rPr>
          <w:rFonts w:ascii="Times New Roman" w:hAnsi="Times New Roman" w:cs="Times New Roman"/>
          <w:sz w:val="24"/>
          <w:szCs w:val="24"/>
        </w:rPr>
      </w:pPr>
    </w:p>
    <w:p w:rsidR="008D6AEF" w:rsidRPr="00FD3680" w:rsidRDefault="006466A1"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Podpora prístupu k úverovému predfinancovaniu prevádzkových </w:t>
      </w:r>
      <w:r w:rsidR="008B69EC" w:rsidRPr="00FD3680">
        <w:rPr>
          <w:rFonts w:ascii="Times New Roman" w:hAnsi="Times New Roman" w:cs="Times New Roman"/>
          <w:sz w:val="24"/>
          <w:szCs w:val="24"/>
        </w:rPr>
        <w:t xml:space="preserve">a kapitálových </w:t>
      </w:r>
      <w:r w:rsidRPr="00FD3680">
        <w:rPr>
          <w:rFonts w:ascii="Times New Roman" w:hAnsi="Times New Roman" w:cs="Times New Roman"/>
          <w:sz w:val="24"/>
          <w:szCs w:val="24"/>
        </w:rPr>
        <w:t xml:space="preserve">potrieb cieľovým skupinám poľnohospodárskych podnikateľov spočíva v snahe umožniť týmto poľnohospodárskym podnikateľom prístup k úverovému predfinancovaniu svojich prevádzkových </w:t>
      </w:r>
      <w:r w:rsidR="008B69EC" w:rsidRPr="00FD3680">
        <w:rPr>
          <w:rFonts w:ascii="Times New Roman" w:hAnsi="Times New Roman" w:cs="Times New Roman"/>
          <w:sz w:val="24"/>
          <w:szCs w:val="24"/>
        </w:rPr>
        <w:t xml:space="preserve">a kapitálových </w:t>
      </w:r>
      <w:r w:rsidRPr="00FD3680">
        <w:rPr>
          <w:rFonts w:ascii="Times New Roman" w:hAnsi="Times New Roman" w:cs="Times New Roman"/>
          <w:sz w:val="24"/>
          <w:szCs w:val="24"/>
        </w:rPr>
        <w:t>potrieb tak, aby časový nesúlad výdavkov na podnikateľskú činnosť a príjmov z realizácie výstupov z p</w:t>
      </w:r>
      <w:r w:rsidR="008B69EC" w:rsidRPr="00FD3680">
        <w:rPr>
          <w:rFonts w:ascii="Times New Roman" w:hAnsi="Times New Roman" w:cs="Times New Roman"/>
          <w:sz w:val="24"/>
          <w:szCs w:val="24"/>
        </w:rPr>
        <w:t>odnikateľskej činnosti neviazal</w:t>
      </w:r>
      <w:r w:rsidRPr="00FD3680">
        <w:rPr>
          <w:rFonts w:ascii="Times New Roman" w:hAnsi="Times New Roman" w:cs="Times New Roman"/>
          <w:sz w:val="24"/>
          <w:szCs w:val="24"/>
        </w:rPr>
        <w:t xml:space="preserve"> zásadnú časť vstupného kapitálu podnikateľského subjektu, ktorú by inak použili na zveľaďovanie svojho podnikania.</w:t>
      </w:r>
    </w:p>
    <w:p w:rsidR="008B69EC" w:rsidRPr="00FD3680" w:rsidRDefault="008B69EC" w:rsidP="002C3189">
      <w:pPr>
        <w:spacing w:after="0" w:line="240" w:lineRule="auto"/>
        <w:jc w:val="both"/>
        <w:rPr>
          <w:rFonts w:ascii="Times New Roman" w:hAnsi="Times New Roman" w:cs="Times New Roman"/>
          <w:sz w:val="24"/>
          <w:szCs w:val="24"/>
        </w:rPr>
      </w:pPr>
    </w:p>
    <w:p w:rsidR="006466A1" w:rsidRPr="00FD3680" w:rsidRDefault="006466A1" w:rsidP="002C3189">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S ohľadom na tento záujem je potrebné:</w:t>
      </w:r>
    </w:p>
    <w:p w:rsidR="006466A1" w:rsidRPr="00FD3680" w:rsidRDefault="006466A1" w:rsidP="00771A68">
      <w:pPr>
        <w:pStyle w:val="Odsekzoznamu"/>
        <w:numPr>
          <w:ilvl w:val="0"/>
          <w:numId w:val="7"/>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zlepšiť prístup k okamžitým krátkodobým </w:t>
      </w:r>
      <w:r w:rsidR="008B69EC" w:rsidRPr="00FD3680">
        <w:rPr>
          <w:rFonts w:ascii="Times New Roman" w:hAnsi="Times New Roman" w:cs="Times New Roman"/>
          <w:sz w:val="24"/>
          <w:szCs w:val="24"/>
        </w:rPr>
        <w:t xml:space="preserve">a strednodobým </w:t>
      </w:r>
      <w:r w:rsidRPr="00FD3680">
        <w:rPr>
          <w:rFonts w:ascii="Times New Roman" w:hAnsi="Times New Roman" w:cs="Times New Roman"/>
          <w:sz w:val="24"/>
          <w:szCs w:val="24"/>
        </w:rPr>
        <w:t>úverovým zdrojom pre cieľové skupiny poľnohospodárskych podnikateľov;</w:t>
      </w:r>
      <w:r w:rsidR="00F04148" w:rsidRPr="00FD3680">
        <w:rPr>
          <w:rFonts w:ascii="Times New Roman" w:hAnsi="Times New Roman" w:cs="Times New Roman"/>
          <w:sz w:val="24"/>
          <w:szCs w:val="24"/>
        </w:rPr>
        <w:t xml:space="preserve"> a</w:t>
      </w:r>
    </w:p>
    <w:p w:rsidR="006466A1" w:rsidRPr="00FD3680" w:rsidRDefault="00F04148" w:rsidP="00771A68">
      <w:pPr>
        <w:pStyle w:val="Odsekzoznamu"/>
        <w:numPr>
          <w:ilvl w:val="0"/>
          <w:numId w:val="7"/>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optimalizovať finančné náklady spojené s realizáciou finančných transakcií.</w:t>
      </w:r>
    </w:p>
    <w:p w:rsidR="00F04148" w:rsidRPr="00FD3680" w:rsidRDefault="00F04148" w:rsidP="00F04148">
      <w:pPr>
        <w:spacing w:after="0" w:line="240" w:lineRule="auto"/>
        <w:jc w:val="both"/>
        <w:rPr>
          <w:rFonts w:ascii="Times New Roman" w:hAnsi="Times New Roman" w:cs="Times New Roman"/>
          <w:sz w:val="24"/>
          <w:szCs w:val="24"/>
        </w:rPr>
      </w:pPr>
    </w:p>
    <w:p w:rsidR="00F04148" w:rsidRPr="00FD3680" w:rsidRDefault="00F04148" w:rsidP="00F0414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Tieto dva čiastkové ciele sú navzájom, v kontexte podpory prístupu ku úverovému predfinancovaniu prevádzkových potrieb cieľových skupín poľnohospodárskych podnikateľov, úzko previazané. Spájajú sa v potrebe vybudovania vzájomnej dôvery medzi bankou a poľnohospodárskym podnikateľom. </w:t>
      </w:r>
    </w:p>
    <w:p w:rsidR="00F04148" w:rsidRPr="00FD3680" w:rsidRDefault="00F04148" w:rsidP="00F04148">
      <w:pPr>
        <w:spacing w:after="0" w:line="240" w:lineRule="auto"/>
        <w:jc w:val="both"/>
        <w:rPr>
          <w:rFonts w:ascii="Times New Roman" w:hAnsi="Times New Roman" w:cs="Times New Roman"/>
          <w:sz w:val="24"/>
          <w:szCs w:val="24"/>
        </w:rPr>
      </w:pPr>
    </w:p>
    <w:p w:rsidR="00F04148" w:rsidRPr="00FD3680" w:rsidRDefault="00F04148" w:rsidP="00F04148">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Základným predpokladom tejto dôvery je efektívne presmerovať tok finančných prostriedkov poľnohospodárskeho podnikateľa a sústrediť ho exkluzívne v jednej štátnej bankovej inštitúcii. Základnou požiadavkou v tomto zmysle je založenie podnikateľského účtu v SZRB, čo jednak napomôže optimalizácii finančných nákladov na jeho založenie a správu a jednak </w:t>
      </w:r>
      <w:r w:rsidRPr="00FD3680">
        <w:rPr>
          <w:rFonts w:ascii="Times New Roman" w:hAnsi="Times New Roman" w:cs="Times New Roman"/>
          <w:sz w:val="24"/>
          <w:szCs w:val="24"/>
        </w:rPr>
        <w:lastRenderedPageBreak/>
        <w:t xml:space="preserve">podnieti banku, aby umožnila prístup k okamžitým krátkodobým úverovým zdrojom na preklenutie časového nesúladu medzi </w:t>
      </w:r>
      <w:r w:rsidR="00CF3D9A" w:rsidRPr="00FD3680">
        <w:rPr>
          <w:rFonts w:ascii="Times New Roman" w:hAnsi="Times New Roman" w:cs="Times New Roman"/>
          <w:sz w:val="24"/>
          <w:szCs w:val="24"/>
        </w:rPr>
        <w:t>výdavkami na podnikateľskú činnosť a príjmami z nej za priaznivých obchodných podmienok.</w:t>
      </w:r>
    </w:p>
    <w:p w:rsidR="00CF3D9A" w:rsidRPr="00FD3680" w:rsidRDefault="00CF3D9A" w:rsidP="00F04148">
      <w:pPr>
        <w:spacing w:after="0" w:line="240" w:lineRule="auto"/>
        <w:jc w:val="both"/>
        <w:rPr>
          <w:rFonts w:ascii="Times New Roman" w:hAnsi="Times New Roman" w:cs="Times New Roman"/>
          <w:sz w:val="24"/>
          <w:szCs w:val="24"/>
        </w:rPr>
      </w:pPr>
    </w:p>
    <w:p w:rsidR="002D0A1C" w:rsidRPr="00FD3680" w:rsidRDefault="002D0A1C" w:rsidP="002D0A1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Hlavným nástrojom na zlepšenie prístupu k okamžitým krátkodobým úverovým zdrojom by malo byť poskytovanie krátkodobých prevádzkových úverov pre cieľové skupiny poľnohospodárskych podnikateľov, napr.. úver pre podnikateľov na financovanie prevádzkových nákladov. </w:t>
      </w:r>
    </w:p>
    <w:p w:rsidR="002D0A1C" w:rsidRPr="00FD3680" w:rsidRDefault="002D0A1C" w:rsidP="002D0A1C">
      <w:pPr>
        <w:spacing w:after="0" w:line="240" w:lineRule="auto"/>
        <w:jc w:val="both"/>
        <w:rPr>
          <w:rFonts w:ascii="Times New Roman" w:hAnsi="Times New Roman" w:cs="Times New Roman"/>
          <w:sz w:val="24"/>
          <w:szCs w:val="24"/>
        </w:rPr>
      </w:pPr>
    </w:p>
    <w:p w:rsidR="002D0A1C" w:rsidRPr="00FD3680" w:rsidRDefault="002D0A1C" w:rsidP="002D0A1C">
      <w:pPr>
        <w:spacing w:after="0" w:line="240" w:lineRule="auto"/>
        <w:jc w:val="both"/>
        <w:rPr>
          <w:rFonts w:ascii="Times New Roman" w:hAnsi="Times New Roman"/>
          <w:sz w:val="24"/>
          <w:szCs w:val="24"/>
        </w:rPr>
      </w:pPr>
      <w:r w:rsidRPr="00FD3680">
        <w:rPr>
          <w:rFonts w:ascii="Times New Roman" w:hAnsi="Times New Roman" w:cs="Times New Roman"/>
          <w:sz w:val="24"/>
          <w:szCs w:val="24"/>
        </w:rPr>
        <w:t xml:space="preserve">Za racionálne považujeme, aby cieľové skupiny poľnohospodárskych podnikateľov zakladali svoje podnikateľské účty v SZRB, čo by následne zo strany banky umožnilo poskytovanie prevádzkových úverov za podmienok úročenia týchto krátkodobých cudzích zdrojov na minimálnych úrovniach stanovených </w:t>
      </w:r>
      <w:r w:rsidRPr="00FD3680">
        <w:rPr>
          <w:rFonts w:ascii="Times New Roman" w:hAnsi="Times New Roman"/>
          <w:sz w:val="24"/>
          <w:szCs w:val="24"/>
        </w:rPr>
        <w:t>v zmysle Oznámenia Komisie 2008/C 14/02. Sústredením všetkých finančných tokov cieľových skupín poľnohospodárskych podnikateľov, spojených s realizáciou ich podnikateľskej činnosti, pri priaznivom hodnotení kredibility klientov, by malo predstavovať dosiahnutie  primeraného rozpätia rizikových prirážok k základnej úrokovej sadzbe vo výške cca 3 – 4 % p.a..</w:t>
      </w:r>
    </w:p>
    <w:p w:rsidR="002D0A1C" w:rsidRPr="00FD3680" w:rsidRDefault="002D0A1C" w:rsidP="002D0A1C">
      <w:pPr>
        <w:spacing w:after="0" w:line="240" w:lineRule="auto"/>
        <w:jc w:val="both"/>
        <w:rPr>
          <w:rFonts w:ascii="Times New Roman" w:hAnsi="Times New Roman"/>
          <w:sz w:val="24"/>
          <w:szCs w:val="24"/>
        </w:rPr>
      </w:pPr>
    </w:p>
    <w:p w:rsidR="002D0A1C" w:rsidRPr="00FD3680" w:rsidRDefault="002D0A1C" w:rsidP="002D0A1C">
      <w:pPr>
        <w:spacing w:after="0" w:line="240" w:lineRule="auto"/>
        <w:jc w:val="both"/>
        <w:rPr>
          <w:rFonts w:ascii="Times New Roman" w:hAnsi="Times New Roman"/>
          <w:sz w:val="24"/>
          <w:szCs w:val="24"/>
        </w:rPr>
      </w:pPr>
      <w:r w:rsidRPr="00FD3680">
        <w:rPr>
          <w:rFonts w:ascii="Times New Roman" w:hAnsi="Times New Roman"/>
          <w:sz w:val="24"/>
          <w:szCs w:val="24"/>
        </w:rPr>
        <w:t xml:space="preserve">Možnosti SZRB, vychádzať v ústrety požiadavkám cieľových skupín poľnohospodárskych podnikateľov, by však mali vychádzať z miery intenzity napĺňania myšlienkového základu a hlavného cieľa tejto koncepcie. </w:t>
      </w:r>
    </w:p>
    <w:p w:rsidR="002D0A1C" w:rsidRPr="00FD3680" w:rsidRDefault="002D0A1C" w:rsidP="002D0A1C">
      <w:pPr>
        <w:spacing w:after="0" w:line="240" w:lineRule="auto"/>
        <w:jc w:val="both"/>
        <w:rPr>
          <w:rFonts w:ascii="Times New Roman" w:hAnsi="Times New Roman" w:cs="Times New Roman"/>
          <w:sz w:val="24"/>
          <w:szCs w:val="24"/>
        </w:rPr>
      </w:pPr>
    </w:p>
    <w:p w:rsidR="002D0A1C" w:rsidRPr="00FD3680" w:rsidRDefault="002D0A1C" w:rsidP="002D0A1C">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Pri poskytovaní vyššie špecifikovaných krátkodobých úverových zdrojov zo strany financujúcej banky pre cieľovú skupinu poľnohospodárskych podnikateľov by sa mala brať do úvahy zároveň nutnosť banky plniť kritériá kapitálovej primeranosti. </w:t>
      </w:r>
    </w:p>
    <w:p w:rsidR="00C04683" w:rsidRPr="00FD3680" w:rsidRDefault="00C04683">
      <w:pPr>
        <w:rPr>
          <w:rFonts w:ascii="Times New Roman" w:hAnsi="Times New Roman" w:cs="Times New Roman"/>
          <w:sz w:val="24"/>
          <w:szCs w:val="24"/>
        </w:rPr>
      </w:pPr>
    </w:p>
    <w:p w:rsidR="00F76F74" w:rsidRPr="00FD3680" w:rsidRDefault="00F76F74" w:rsidP="00771A68">
      <w:pPr>
        <w:pStyle w:val="Nadpis2"/>
        <w:numPr>
          <w:ilvl w:val="1"/>
          <w:numId w:val="36"/>
        </w:numPr>
      </w:pPr>
      <w:bookmarkStart w:id="25" w:name="_Toc394589438"/>
      <w:r w:rsidRPr="00FD3680">
        <w:t>Podpora výroby, odbytu a označovania poľnohospodárskych výrobkov a potravín</w:t>
      </w:r>
      <w:bookmarkEnd w:id="25"/>
      <w:r w:rsidRPr="00FD3680">
        <w:t xml:space="preserve"> </w:t>
      </w:r>
    </w:p>
    <w:p w:rsidR="006B5633" w:rsidRPr="00FD3680" w:rsidRDefault="006B5633" w:rsidP="00771A68">
      <w:pPr>
        <w:pStyle w:val="Odsekzoznamu"/>
        <w:keepNext/>
        <w:keepLines/>
        <w:numPr>
          <w:ilvl w:val="1"/>
          <w:numId w:val="35"/>
        </w:numPr>
        <w:spacing w:before="200" w:after="0"/>
        <w:contextualSpacing w:val="0"/>
        <w:outlineLvl w:val="1"/>
        <w:rPr>
          <w:rFonts w:ascii="Times New Roman" w:eastAsiaTheme="majorEastAsia" w:hAnsi="Times New Roman" w:cstheme="majorBidi"/>
          <w:b/>
          <w:bCs/>
          <w:vanish/>
          <w:sz w:val="28"/>
          <w:szCs w:val="26"/>
        </w:rPr>
      </w:pPr>
      <w:bookmarkStart w:id="26" w:name="_Toc394589439"/>
      <w:bookmarkEnd w:id="26"/>
    </w:p>
    <w:p w:rsidR="006B5633" w:rsidRPr="00FD3680" w:rsidRDefault="006B5633" w:rsidP="00771A68">
      <w:pPr>
        <w:pStyle w:val="Odsekzoznamu"/>
        <w:keepNext/>
        <w:keepLines/>
        <w:numPr>
          <w:ilvl w:val="1"/>
          <w:numId w:val="35"/>
        </w:numPr>
        <w:spacing w:before="200" w:after="0"/>
        <w:contextualSpacing w:val="0"/>
        <w:outlineLvl w:val="1"/>
        <w:rPr>
          <w:rFonts w:ascii="Times New Roman" w:eastAsiaTheme="majorEastAsia" w:hAnsi="Times New Roman" w:cstheme="majorBidi"/>
          <w:b/>
          <w:bCs/>
          <w:vanish/>
          <w:sz w:val="28"/>
          <w:szCs w:val="26"/>
        </w:rPr>
      </w:pPr>
      <w:bookmarkStart w:id="27" w:name="_Toc394589440"/>
      <w:bookmarkEnd w:id="27"/>
    </w:p>
    <w:p w:rsidR="00F76F74" w:rsidRPr="00FD3680" w:rsidRDefault="00F76F74" w:rsidP="006B5633">
      <w:pPr>
        <w:pStyle w:val="Nadpis3"/>
      </w:pPr>
      <w:bookmarkStart w:id="28" w:name="_Toc394589441"/>
      <w:r w:rsidRPr="00FD3680">
        <w:t>Priamy predaj konečnému spotrebiteľovi</w:t>
      </w:r>
      <w:bookmarkEnd w:id="28"/>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ab/>
      </w:r>
    </w:p>
    <w:p w:rsidR="00F76F74" w:rsidRPr="00FD3680" w:rsidRDefault="00F76F74" w:rsidP="00F76F74">
      <w:pPr>
        <w:spacing w:after="0" w:line="240" w:lineRule="auto"/>
        <w:jc w:val="both"/>
        <w:rPr>
          <w:rFonts w:ascii="Times New Roman" w:hAnsi="Times New Roman" w:cs="Times New Roman"/>
          <w:bCs/>
          <w:sz w:val="24"/>
          <w:szCs w:val="24"/>
        </w:rPr>
      </w:pPr>
      <w:r w:rsidRPr="00FD3680">
        <w:rPr>
          <w:rFonts w:ascii="Times New Roman" w:hAnsi="Times New Roman" w:cs="Times New Roman"/>
          <w:bCs/>
          <w:sz w:val="24"/>
          <w:szCs w:val="24"/>
        </w:rPr>
        <w:t>Prioritou rezortu pôdohospodárstva a rozvoja vidieka SR a vlády Slovenskej republiky je dosiahnutie 80 % potravinovej sebestačnosti. Na tejto priorite sa podieľa aj priamy predaj konečnému spotrebiteľovi, i keď len v minimálnej miere, no je nutné konštatovať, že záujem spotrebiteľov o domáce produkty a potraviny predávané „z dvora“ sa zvyšuje, sú stále častejšie vyhľadávané. Tomuto faktu napomáhajú aj rôzne potravinové škandály, ktoré v značnej miere ovplyvňujú rozhodovanie spotrebiteľov pri nakupovaní potravín.</w:t>
      </w:r>
    </w:p>
    <w:p w:rsidR="00F76F74" w:rsidRPr="00FD3680" w:rsidRDefault="00F76F74" w:rsidP="00F76F74">
      <w:pPr>
        <w:spacing w:after="0" w:line="240" w:lineRule="auto"/>
        <w:jc w:val="both"/>
        <w:rPr>
          <w:rFonts w:ascii="Times New Roman" w:hAnsi="Times New Roman" w:cs="Times New Roman"/>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Hlavným cieľom priameho predaja konečnému spotrebiteľovi je </w:t>
      </w:r>
      <w:r w:rsidR="00F17207" w:rsidRPr="00FD3680">
        <w:rPr>
          <w:rFonts w:ascii="Times New Roman" w:hAnsi="Times New Roman" w:cs="Times New Roman"/>
          <w:sz w:val="24"/>
          <w:szCs w:val="24"/>
        </w:rPr>
        <w:t>vytvorenie možností pre farmárov</w:t>
      </w:r>
      <w:r w:rsidRPr="00FD3680">
        <w:rPr>
          <w:rFonts w:ascii="Times New Roman" w:hAnsi="Times New Roman" w:cs="Times New Roman"/>
          <w:sz w:val="24"/>
          <w:szCs w:val="24"/>
        </w:rPr>
        <w:t xml:space="preserve"> predávať svoje produkty priamo z farmy konečným spotrebiteľom, dodávať miestnym maloobchodným prevádzkarniam, prípadne si zriadiť vlastnú predajňu na farme alebo predajné miesto na trhovisku či zriaďovať malé bitúnky a rozrábkarne. Na druhej strane týmto spôsobom ponúkať spotrebiteľom príležitosť nákupu vysokohodnotných, kvalitných a čerstvých slovenských  produktov a potravín, čo prispieva k rozvoju regiónov, vplýva na zvyšovanie životnej úrovne vidieckych oblastí a prispieva k zvyšovaniu zamestnanosti. Tiež sa skracuje odbytový reťazec a vynecháva sa sprostredkovateľ predaja, čím sa nezvyšuje cena o marže a produkt či potravina sa tak stáva konkurencieschopnejšou. </w:t>
      </w:r>
    </w:p>
    <w:p w:rsidR="00765721" w:rsidRPr="00FD3680" w:rsidRDefault="00765721" w:rsidP="00F76F74">
      <w:pPr>
        <w:spacing w:after="0" w:line="240" w:lineRule="auto"/>
        <w:jc w:val="both"/>
        <w:rPr>
          <w:rFonts w:ascii="Times New Roman" w:hAnsi="Times New Roman" w:cs="Times New Roman"/>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Podmienky priameho predaja z dvora sú upravené 2 nariadeniami vlády SR, ktorých úlohou je ustanovenie jednoduchších pravidiel pre dodržiavanie hygienických a veterinárnych podmienok tak, aby bola zabezpečená bezpečnosť potravín  a ochrana spotrebiteľa:</w:t>
      </w:r>
    </w:p>
    <w:p w:rsidR="00765721" w:rsidRPr="00FD3680" w:rsidRDefault="00765721" w:rsidP="00F76F74">
      <w:pPr>
        <w:spacing w:after="0" w:line="240" w:lineRule="auto"/>
        <w:ind w:firstLine="180"/>
        <w:jc w:val="both"/>
        <w:rPr>
          <w:rFonts w:ascii="Times New Roman" w:hAnsi="Times New Roman" w:cs="Times New Roman"/>
          <w:sz w:val="24"/>
          <w:szCs w:val="24"/>
        </w:rPr>
      </w:pPr>
    </w:p>
    <w:p w:rsidR="00F76F74" w:rsidRPr="00FD3680" w:rsidRDefault="00F76F74" w:rsidP="00771A68">
      <w:pPr>
        <w:numPr>
          <w:ilvl w:val="0"/>
          <w:numId w:val="19"/>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nariadenie vlády č. 360/2011, ktorým sa ustanovujú hygienické požiadavky na priamy predaj a dodávanie malého množstva prvotných produktov rastlinného a živočíšneho pôvodu a dodávanie mlieka a mliečnych výrobkov konečnému spotrebiteľovi a iným maloobchodným prevádzkarniam; a </w:t>
      </w:r>
    </w:p>
    <w:p w:rsidR="00F76F74" w:rsidRPr="00FD3680" w:rsidRDefault="00F76F74" w:rsidP="00771A68">
      <w:pPr>
        <w:numPr>
          <w:ilvl w:val="0"/>
          <w:numId w:val="19"/>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nariadenie vlády č. 359/2011, ktorým sa ustanovujú požiadavky na niektoré potravinárske prevádzkarne a na malé množstvá.</w:t>
      </w:r>
    </w:p>
    <w:p w:rsidR="00F76F74" w:rsidRPr="00FD3680" w:rsidRDefault="00F76F74" w:rsidP="00F76F74">
      <w:pPr>
        <w:spacing w:after="0" w:line="240" w:lineRule="auto"/>
        <w:ind w:firstLine="708"/>
        <w:jc w:val="both"/>
        <w:rPr>
          <w:rFonts w:ascii="Times New Roman" w:hAnsi="Times New Roman" w:cs="Times New Roman"/>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bCs/>
          <w:sz w:val="24"/>
          <w:szCs w:val="24"/>
        </w:rPr>
        <w:t xml:space="preserve">V rámci nariadenia vlády  SR č. 360/2011, ktorým sa ustanovujú hygienické požiadavky na priamy predaj a dodávanie malého množstva prvotných produktov rastlinného a živočíšneho pôvodu a dodávanie mlieka a mliečnych výrobkov konečnému spotrebiteľovi a iným maloobchodným prevádzkarniam sa </w:t>
      </w:r>
      <w:r w:rsidRPr="00FD3680">
        <w:rPr>
          <w:rFonts w:ascii="Times New Roman" w:hAnsi="Times New Roman" w:cs="Times New Roman"/>
          <w:sz w:val="24"/>
          <w:szCs w:val="24"/>
        </w:rPr>
        <w:t>ustanovujú hygienické požiadavky na priamy predaj a dodávanie malého množstva prvotných produktov prvovýrobcami konečnému spotrebiteľovi alebo miestnym maloobchodným prevádzkarniam a upravuje povinnosti prevádzkovateľov týchto miestnych maloobchodných prevádzkarní a vymedzuje sa dodávanie mlieka a mliečnych výrobkov z maloobchodnej prevádzkarne iným maloobchodným prevádzkarniam, ktoré sa považuje len za okrajovú, miestnu a obmedzenú činnosť.</w:t>
      </w:r>
    </w:p>
    <w:p w:rsidR="00F76F74" w:rsidRPr="00FD3680" w:rsidRDefault="00F76F74" w:rsidP="00F76F74">
      <w:pPr>
        <w:spacing w:after="0" w:line="240" w:lineRule="auto"/>
        <w:jc w:val="both"/>
        <w:rPr>
          <w:rFonts w:ascii="Times New Roman" w:hAnsi="Times New Roman" w:cs="Times New Roman"/>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Hlavnou podmienkou priameho predaja je, že malé množstvá prvotných produktov musia pochádzať z vlastnej produkcie, zberu, chovu, výlovu farmy alebo činnosti prvovýrobcu. Prvovýrobca musí byť na tieto činnosti osobitne zaregistrovaný na príslušnej Regionálnej veterinárnej a potravinovej správe. </w:t>
      </w:r>
    </w:p>
    <w:p w:rsidR="00F76F74" w:rsidRPr="00FD3680" w:rsidRDefault="00F76F74" w:rsidP="00F76F74">
      <w:pPr>
        <w:spacing w:after="0" w:line="240" w:lineRule="auto"/>
        <w:jc w:val="both"/>
        <w:rPr>
          <w:rFonts w:ascii="Times New Roman" w:hAnsi="Times New Roman" w:cs="Times New Roman"/>
          <w:bCs/>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bCs/>
          <w:sz w:val="24"/>
          <w:szCs w:val="24"/>
        </w:rPr>
        <w:t>Na účely tohto nariadenia p</w:t>
      </w:r>
      <w:r w:rsidRPr="00FD3680">
        <w:rPr>
          <w:rFonts w:ascii="Times New Roman" w:hAnsi="Times New Roman" w:cs="Times New Roman"/>
          <w:sz w:val="24"/>
          <w:szCs w:val="24"/>
        </w:rPr>
        <w:t>rvovýrobca môže predávať len prvotné produkty, ktoré zodpovedajú vymedzeniu činností prvovýroby, nesmú byť spracované, balené, upravované tak, že sa podstatne mení ich povaha a môže dochádzať ku kontaminácii, a tieto môže priamo predávať konečným spotrebiteľom na farme alebo na miestnom trhovisku alebo dodávať miestnym maloobchodným prevádzkarniam. Ide o malé množstvá nespracovaného ovocia, zeleniny, rýb, vajec, medu a mlieka. V rámci jednotlivých druhov produktov sú zadefinované  množstvá, ktoré môže farmár predávať, označovanie povinných údajov a archivácia dokladov.</w:t>
      </w:r>
    </w:p>
    <w:p w:rsidR="00F76F74" w:rsidRPr="00FD3680" w:rsidRDefault="00F76F74" w:rsidP="00F76F74">
      <w:pPr>
        <w:spacing w:after="0" w:line="240" w:lineRule="auto"/>
        <w:jc w:val="both"/>
        <w:rPr>
          <w:rFonts w:ascii="Times New Roman" w:hAnsi="Times New Roman" w:cs="Times New Roman"/>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 rámci nariadenia vlády Slovenskej republiky č. 359/2011, ktorým sa ustanovujú požiadavky na niektoré potravinárske prevádzkarne a na malé množstvá</w:t>
      </w:r>
      <w:r w:rsidRPr="00FD3680">
        <w:rPr>
          <w:rFonts w:ascii="Times New Roman" w:hAnsi="Times New Roman" w:cs="Times New Roman"/>
          <w:bCs/>
          <w:sz w:val="24"/>
          <w:szCs w:val="24"/>
        </w:rPr>
        <w:t xml:space="preserve"> sa ustanovujú minimálne požiadavky </w:t>
      </w:r>
      <w:r w:rsidRPr="00FD3680">
        <w:rPr>
          <w:rFonts w:ascii="Times New Roman" w:hAnsi="Times New Roman" w:cs="Times New Roman"/>
          <w:sz w:val="24"/>
          <w:szCs w:val="24"/>
        </w:rPr>
        <w:t>na konštrukciu a vybavenie bitúnkov a rozrábkarní s malým objemom výroby, ktoré sú ustanovené v prílohách hygienických nariadení EÚ, vymedzuje sa, aké činnosti rozrábkarní, výrobní mäsových výrobkov umiestnených v maloobchodných prevádzkarniach sa považujú za okrajovú, miestnu a obmedzenú činnosť, ak tieto maloobchodné prevádzkarne v rámci svojej maloobchodnej činnosti zásobujú aj iné maloobchodné prevádzkarne, ustanovujú sa malé množstvá mäsa z hydiny, domácich králikov, voľne žijúcej zveri a zveriny z nej, ktoré môže prvovýrobca zabíjať na farme, predávať vo vlastných priestoroch alebo na miestnom trhovisku priamo konečným spotrebiteľom, alebo dodávať miestnym maloobchodným prevádzkarniam, ako sú predajne zariadenia spoločného stravovania.</w:t>
      </w:r>
    </w:p>
    <w:p w:rsidR="00F76F74" w:rsidRPr="00FD3680" w:rsidRDefault="00F76F74" w:rsidP="00F76F74">
      <w:pPr>
        <w:spacing w:after="0" w:line="240" w:lineRule="auto"/>
        <w:jc w:val="both"/>
        <w:rPr>
          <w:rFonts w:ascii="Times New Roman" w:hAnsi="Times New Roman" w:cs="Times New Roman"/>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Výnimky možno povoľovať len tým bitúnkom s „malým objemom výroby“, ktoré  porážajú najviac 30 dobytčích jednotiek za týždeň a rozrábkarniam, ktoré vyrábajú najviac 5 ton mäsa za týždeň. Na tieto účely musí byť prevádzka schválená podľa zákona 39/2007 Z. z. o veterinárnej starostlivosti.</w:t>
      </w: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lastRenderedPageBreak/>
        <w:t>Predmetné nariadenie popisuje konkrétne výnimky na konštrukciu, usporiadanie a vybavenie bitúnkov a prevádzkarní, definuje usporiadanie a nadväznosť jednotlivých krokov od prijatia zvierat na bitúnok až po skladovanie a expedíciu mäsa a mäsových výrobkov. Zároveň ale poukazuje na prísne dodržiavanie hygieny pri porážky, opracovaní jatočných tiel, výroby výrobkov a samotnej hygieny a dezinfekcie predmetov prichádzajúcich do styku so surovinou a potravinami. Taktiež sa ustanovujú malé množstvá mäsa z hydina, domácich králikov a voľne žijúcej zveri a zveriny z nej.</w:t>
      </w:r>
    </w:p>
    <w:p w:rsidR="00F76F74" w:rsidRPr="00FD3680" w:rsidRDefault="00F76F74" w:rsidP="00F76F74">
      <w:pPr>
        <w:spacing w:after="0" w:line="240" w:lineRule="auto"/>
        <w:jc w:val="both"/>
        <w:rPr>
          <w:rFonts w:ascii="Times New Roman" w:hAnsi="Times New Roman" w:cs="Times New Roman"/>
          <w:sz w:val="24"/>
          <w:szCs w:val="24"/>
        </w:rPr>
      </w:pPr>
    </w:p>
    <w:p w:rsidR="00F76F74" w:rsidRPr="00FD3680" w:rsidRDefault="00F76F74"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Kontrolným orgánom je štátna veterinárna a potravinová správa SR, ktorá ako orgán úradnej kontroly musí mať dohľad nad akoukoľvek výrobou a predajom poľnohospodárskych výrobkov a potravín, uvádzaných do obehu. Pre zrozumiteľný výklad a aplikáciu týchto nariadení bola vypracovaná metodická príručka, ktorá slúži ako usmernenie pre výrobcov, ktorí majú záujem vyrábať poľnohospodárske výrobky a potraviny v systéme priameho predaja. </w:t>
      </w:r>
    </w:p>
    <w:p w:rsidR="00F76F74" w:rsidRPr="00FD3680" w:rsidRDefault="00F76F74" w:rsidP="006B5633">
      <w:pPr>
        <w:spacing w:after="0" w:line="240" w:lineRule="auto"/>
        <w:jc w:val="both"/>
        <w:rPr>
          <w:rFonts w:ascii="Times New Roman" w:hAnsi="Times New Roman" w:cs="Times New Roman"/>
          <w:sz w:val="24"/>
          <w:szCs w:val="24"/>
        </w:rPr>
      </w:pPr>
    </w:p>
    <w:p w:rsidR="00F76F74" w:rsidRPr="00FD3680" w:rsidRDefault="00F76F74" w:rsidP="006B5633">
      <w:pPr>
        <w:pStyle w:val="Nadpis3"/>
      </w:pPr>
      <w:bookmarkStart w:id="29" w:name="_Toc394589442"/>
      <w:r w:rsidRPr="00FD3680">
        <w:t>Dobrovoľné označenie poľnohospodárskych výrobkov a potravín a komunikácia so spotrebiteľom</w:t>
      </w:r>
      <w:bookmarkEnd w:id="29"/>
    </w:p>
    <w:p w:rsidR="00F76F74" w:rsidRPr="00FD3680" w:rsidRDefault="00F76F74" w:rsidP="00F76F74">
      <w:pPr>
        <w:spacing w:after="0" w:line="240" w:lineRule="auto"/>
        <w:jc w:val="both"/>
        <w:rPr>
          <w:rFonts w:ascii="Times New Roman" w:hAnsi="Times New Roman" w:cs="Times New Roman"/>
          <w:sz w:val="24"/>
          <w:szCs w:val="24"/>
        </w:rPr>
      </w:pPr>
    </w:p>
    <w:p w:rsidR="00F76F74" w:rsidRPr="00FD3680" w:rsidRDefault="00F76F74" w:rsidP="00F76F74">
      <w:pPr>
        <w:pStyle w:val="Obyajntext"/>
        <w:jc w:val="both"/>
        <w:rPr>
          <w:rFonts w:ascii="Times New Roman" w:hAnsi="Times New Roman" w:cs="Times New Roman"/>
          <w:sz w:val="24"/>
          <w:szCs w:val="24"/>
        </w:rPr>
      </w:pPr>
      <w:r w:rsidRPr="00FD3680">
        <w:rPr>
          <w:rFonts w:ascii="Times New Roman" w:hAnsi="Times New Roman" w:cs="Times New Roman"/>
          <w:bCs/>
          <w:sz w:val="24"/>
          <w:szCs w:val="24"/>
        </w:rPr>
        <w:t>Dňom 1. júla 2014 vstúpila do platnosti Vyhláška MPRV SR č. 163/2014 zo 16. júna 2014 o podmienkach používania dobrovoľného označovania poľnohospodárskych produktov a potravín na účely informovania spotrebiteľa, ktorá umožní jasne označiť poľnohospodárske výrobky a potraviny, vyrobené na farme, resp. v danom regióne Slovenska. Predmetná vyhláška okrem zjednotenia</w:t>
      </w:r>
      <w:r w:rsidRPr="00FD3680">
        <w:rPr>
          <w:rFonts w:ascii="Times New Roman" w:hAnsi="Times New Roman" w:cs="Times New Roman"/>
          <w:sz w:val="24"/>
          <w:szCs w:val="24"/>
        </w:rPr>
        <w:t xml:space="preserve"> označovania potravín v oblasti pôvodu jasne vymedzuje okrem  pojmu slovenskej potraviny aj regionálnu, resp. farmársku potravinu alebo poľnohospodársky výrobok. Týmto sa umožňuje</w:t>
      </w:r>
      <w:r w:rsidRPr="00FD3680">
        <w:rPr>
          <w:rFonts w:ascii="Times New Roman" w:hAnsi="Times New Roman" w:cs="Times New Roman"/>
          <w:bCs/>
          <w:sz w:val="24"/>
          <w:szCs w:val="24"/>
        </w:rPr>
        <w:t xml:space="preserve"> </w:t>
      </w:r>
      <w:r w:rsidRPr="00FD3680">
        <w:rPr>
          <w:rFonts w:ascii="Times New Roman" w:hAnsi="Times New Roman" w:cs="Times New Roman"/>
          <w:sz w:val="24"/>
          <w:szCs w:val="24"/>
        </w:rPr>
        <w:t>poskytnúť spotrebiteľovi informácie o pôvode nakupovaných potravín a uľahčiť mu tak orientáciu pri nákupe. Vyhláška definuje nasledovné dobrovoľné označenia:</w:t>
      </w:r>
    </w:p>
    <w:p w:rsidR="00F76F74" w:rsidRPr="00FD3680" w:rsidRDefault="00F76F74" w:rsidP="00F76F74">
      <w:pPr>
        <w:pStyle w:val="Obyajntext"/>
        <w:jc w:val="both"/>
        <w:rPr>
          <w:rFonts w:ascii="Times New Roman" w:hAnsi="Times New Roman" w:cs="Times New Roman"/>
          <w:sz w:val="24"/>
          <w:szCs w:val="24"/>
        </w:rPr>
      </w:pPr>
    </w:p>
    <w:p w:rsidR="00F76F74" w:rsidRPr="00FD3680" w:rsidRDefault="00F76F74" w:rsidP="00771A68">
      <w:pPr>
        <w:pStyle w:val="Odsekzoznamu"/>
        <w:numPr>
          <w:ilvl w:val="0"/>
          <w:numId w:val="20"/>
        </w:numPr>
        <w:spacing w:after="0" w:line="240" w:lineRule="auto"/>
        <w:jc w:val="both"/>
        <w:rPr>
          <w:rFonts w:ascii="Times New Roman" w:hAnsi="Times New Roman" w:cs="Times New Roman"/>
          <w:sz w:val="24"/>
          <w:szCs w:val="24"/>
        </w:rPr>
      </w:pPr>
      <w:r w:rsidRPr="00FD3680">
        <w:rPr>
          <w:rFonts w:ascii="Times New Roman" w:hAnsi="Times New Roman" w:cs="Times New Roman"/>
          <w:b/>
          <w:bCs/>
          <w:sz w:val="24"/>
          <w:szCs w:val="24"/>
        </w:rPr>
        <w:t xml:space="preserve">„Vyrobené na Slovensku“ - </w:t>
      </w:r>
      <w:r w:rsidRPr="00FD3680">
        <w:rPr>
          <w:rFonts w:ascii="Times New Roman" w:hAnsi="Times New Roman" w:cs="Times New Roman"/>
          <w:bCs/>
          <w:sz w:val="24"/>
          <w:szCs w:val="24"/>
        </w:rPr>
        <w:t>a</w:t>
      </w:r>
      <w:r w:rsidRPr="00FD3680">
        <w:rPr>
          <w:rFonts w:ascii="Times New Roman" w:hAnsi="Times New Roman" w:cs="Times New Roman"/>
          <w:sz w:val="24"/>
          <w:szCs w:val="24"/>
        </w:rPr>
        <w:t>k potraviny spĺňajú  podmienku, že všetky fázy ich výrobného procesu prebiehajú v Slovenskej republike.</w:t>
      </w:r>
    </w:p>
    <w:p w:rsidR="00F76F74" w:rsidRPr="00FD3680" w:rsidRDefault="00F76F74" w:rsidP="00F76F74">
      <w:pPr>
        <w:spacing w:after="0" w:line="240" w:lineRule="auto"/>
        <w:ind w:firstLine="708"/>
        <w:jc w:val="both"/>
        <w:rPr>
          <w:rFonts w:ascii="Times New Roman" w:hAnsi="Times New Roman" w:cs="Times New Roman"/>
          <w:sz w:val="24"/>
          <w:szCs w:val="24"/>
        </w:rPr>
      </w:pPr>
    </w:p>
    <w:p w:rsidR="00F76F74" w:rsidRPr="00FD3680" w:rsidRDefault="00F76F74" w:rsidP="00771A68">
      <w:pPr>
        <w:pStyle w:val="Odsekzoznamu"/>
        <w:numPr>
          <w:ilvl w:val="0"/>
          <w:numId w:val="20"/>
        </w:numPr>
        <w:spacing w:after="0" w:line="240" w:lineRule="auto"/>
        <w:jc w:val="both"/>
        <w:rPr>
          <w:rFonts w:ascii="Times New Roman" w:hAnsi="Times New Roman" w:cs="Times New Roman"/>
          <w:sz w:val="24"/>
          <w:szCs w:val="24"/>
        </w:rPr>
      </w:pPr>
      <w:r w:rsidRPr="00FD3680">
        <w:rPr>
          <w:rFonts w:ascii="Times New Roman" w:hAnsi="Times New Roman" w:cs="Times New Roman"/>
          <w:b/>
          <w:bCs/>
          <w:sz w:val="24"/>
          <w:szCs w:val="24"/>
        </w:rPr>
        <w:t>„Slovenský poľnohospodársky produkt“ -</w:t>
      </w:r>
      <w:r w:rsidRPr="00FD3680">
        <w:rPr>
          <w:rFonts w:ascii="Times New Roman" w:hAnsi="Times New Roman" w:cs="Times New Roman"/>
          <w:sz w:val="24"/>
          <w:szCs w:val="24"/>
        </w:rPr>
        <w:t xml:space="preserve"> produkt bol vypestovaný alebo zberaný v Slovenskej republike alebo cielene získaný v Slovenskej republike od zvierat znáškou, zo zabitých chovaných zvierat alebo z voľne žijúcich zvierat lovom alebo z farmového chovu zveri.</w:t>
      </w:r>
    </w:p>
    <w:p w:rsidR="00F76F74" w:rsidRPr="00FD3680" w:rsidRDefault="00F76F74" w:rsidP="00F76F74">
      <w:pPr>
        <w:spacing w:after="0" w:line="240" w:lineRule="auto"/>
        <w:ind w:firstLine="768"/>
        <w:jc w:val="both"/>
        <w:rPr>
          <w:rFonts w:ascii="Times New Roman" w:hAnsi="Times New Roman" w:cs="Times New Roman"/>
          <w:sz w:val="24"/>
          <w:szCs w:val="24"/>
        </w:rPr>
      </w:pPr>
    </w:p>
    <w:p w:rsidR="00F76F74" w:rsidRPr="00FD3680" w:rsidRDefault="00F76F74" w:rsidP="00771A68">
      <w:pPr>
        <w:pStyle w:val="Odsekzoznamu"/>
        <w:numPr>
          <w:ilvl w:val="0"/>
          <w:numId w:val="20"/>
        </w:numPr>
        <w:spacing w:after="0" w:line="240" w:lineRule="auto"/>
        <w:jc w:val="both"/>
        <w:rPr>
          <w:rFonts w:ascii="Times New Roman" w:hAnsi="Times New Roman" w:cs="Times New Roman"/>
          <w:bCs/>
          <w:sz w:val="24"/>
          <w:szCs w:val="24"/>
        </w:rPr>
      </w:pPr>
      <w:r w:rsidRPr="00FD3680">
        <w:rPr>
          <w:rFonts w:ascii="Times New Roman" w:hAnsi="Times New Roman" w:cs="Times New Roman"/>
          <w:b/>
          <w:bCs/>
          <w:sz w:val="24"/>
          <w:szCs w:val="24"/>
        </w:rPr>
        <w:t xml:space="preserve">„Slovenská potravina“ - </w:t>
      </w:r>
      <w:r w:rsidRPr="00FD3680">
        <w:rPr>
          <w:rFonts w:ascii="Times New Roman" w:hAnsi="Times New Roman" w:cs="Times New Roman"/>
          <w:bCs/>
          <w:sz w:val="24"/>
          <w:szCs w:val="24"/>
        </w:rPr>
        <w:t xml:space="preserve">najmenej 75 % surovín a prísad z celkového množstva použitých na jej výrobu pochádza zo SR  </w:t>
      </w:r>
      <w:r w:rsidRPr="00FD3680">
        <w:rPr>
          <w:rFonts w:ascii="Times New Roman" w:hAnsi="Times New Roman" w:cs="Times New Roman"/>
          <w:sz w:val="24"/>
          <w:szCs w:val="24"/>
        </w:rPr>
        <w:t>a zároveň všetky fázy jej výrobného procesu sa uskutočňujú v Slovenskej republike</w:t>
      </w:r>
    </w:p>
    <w:p w:rsidR="00F76F74" w:rsidRPr="00FD3680" w:rsidRDefault="00F76F74" w:rsidP="00F76F74">
      <w:pPr>
        <w:spacing w:after="0" w:line="240" w:lineRule="auto"/>
        <w:jc w:val="both"/>
        <w:rPr>
          <w:rFonts w:ascii="Times New Roman" w:hAnsi="Times New Roman" w:cs="Times New Roman"/>
          <w:b/>
          <w:bCs/>
          <w:sz w:val="24"/>
          <w:szCs w:val="24"/>
        </w:rPr>
      </w:pPr>
    </w:p>
    <w:p w:rsidR="00F76F74" w:rsidRPr="00FD3680" w:rsidRDefault="00F76F74" w:rsidP="00771A68">
      <w:pPr>
        <w:pStyle w:val="Odsekzoznamu"/>
        <w:numPr>
          <w:ilvl w:val="0"/>
          <w:numId w:val="20"/>
        </w:numPr>
        <w:spacing w:after="0" w:line="240" w:lineRule="auto"/>
        <w:jc w:val="both"/>
        <w:rPr>
          <w:rFonts w:ascii="Times New Roman" w:hAnsi="Times New Roman" w:cs="Times New Roman"/>
          <w:sz w:val="24"/>
          <w:szCs w:val="24"/>
        </w:rPr>
      </w:pPr>
      <w:r w:rsidRPr="00FD3680">
        <w:rPr>
          <w:rFonts w:ascii="Times New Roman" w:hAnsi="Times New Roman" w:cs="Times New Roman"/>
          <w:b/>
          <w:bCs/>
          <w:sz w:val="24"/>
          <w:szCs w:val="24"/>
        </w:rPr>
        <w:t>„Regionálny poľnohospodársky produkt z ...“</w:t>
      </w:r>
      <w:r w:rsidRPr="00FD3680">
        <w:rPr>
          <w:rFonts w:ascii="Times New Roman" w:hAnsi="Times New Roman" w:cs="Times New Roman"/>
          <w:sz w:val="24"/>
          <w:szCs w:val="24"/>
        </w:rPr>
        <w:t xml:space="preserve"> - produkt vypestovaný alebo zberaný alebo cielene získaný od zvierat znáškou, zo zabitých chovaných zvierat alebo z voľne žijúcich zvierat lovom alebo z farmového chovu zveri v danom regióne, súčasťou označenia musí byť aj názov príslušného regiónu Slovenskej republiky,</w:t>
      </w:r>
    </w:p>
    <w:p w:rsidR="00F76F74" w:rsidRPr="00FD3680" w:rsidRDefault="00F76F74" w:rsidP="00F76F74">
      <w:pPr>
        <w:spacing w:after="0" w:line="240" w:lineRule="auto"/>
        <w:ind w:firstLine="768"/>
        <w:jc w:val="both"/>
        <w:rPr>
          <w:rFonts w:ascii="Times New Roman" w:hAnsi="Times New Roman" w:cs="Times New Roman"/>
          <w:sz w:val="24"/>
          <w:szCs w:val="24"/>
        </w:rPr>
      </w:pPr>
    </w:p>
    <w:p w:rsidR="00F76F74" w:rsidRPr="00FD3680" w:rsidRDefault="00F76F74" w:rsidP="00771A68">
      <w:pPr>
        <w:pStyle w:val="Odsekzoznamu"/>
        <w:numPr>
          <w:ilvl w:val="0"/>
          <w:numId w:val="20"/>
        </w:numPr>
        <w:spacing w:after="0" w:line="240" w:lineRule="auto"/>
        <w:jc w:val="both"/>
        <w:rPr>
          <w:rFonts w:ascii="Times New Roman" w:hAnsi="Times New Roman" w:cs="Times New Roman"/>
          <w:sz w:val="24"/>
          <w:szCs w:val="24"/>
        </w:rPr>
      </w:pPr>
      <w:r w:rsidRPr="00FD3680">
        <w:rPr>
          <w:rFonts w:ascii="Times New Roman" w:hAnsi="Times New Roman" w:cs="Times New Roman"/>
          <w:b/>
          <w:bCs/>
          <w:sz w:val="24"/>
          <w:szCs w:val="24"/>
        </w:rPr>
        <w:t>„Regionálna potravina z...“</w:t>
      </w:r>
      <w:r w:rsidRPr="00FD3680">
        <w:rPr>
          <w:rFonts w:ascii="Times New Roman" w:hAnsi="Times New Roman" w:cs="Times New Roman"/>
          <w:sz w:val="24"/>
          <w:szCs w:val="24"/>
        </w:rPr>
        <w:t xml:space="preserve"> - potravina, ktorá bola vyrobená v určitom regióne tradičným výrobným procesom, z tradičných surovín alebo má tradičné zloženie typické pre ten daný región a na jej výrobu sa použila základná zložka (50 %) pochádzajúca z tohto regiónu, pričom sa uvedie názov daného regiónu. Používanie </w:t>
      </w:r>
      <w:r w:rsidRPr="00FD3680">
        <w:rPr>
          <w:rFonts w:ascii="Times New Roman" w:hAnsi="Times New Roman" w:cs="Times New Roman"/>
          <w:sz w:val="24"/>
          <w:szCs w:val="24"/>
        </w:rPr>
        <w:lastRenderedPageBreak/>
        <w:t>tradičného výrobného procesu, tradičnej suroviny alebo tradičné zloženie podľa tohto predpisu, musí byť na trhu v Slovenskej republike preukázané počas obdobia trvajúceho najmenej 30 rokov.</w:t>
      </w:r>
    </w:p>
    <w:p w:rsidR="00F76F74" w:rsidRPr="00FD3680" w:rsidRDefault="00F76F74" w:rsidP="00F76F74">
      <w:pPr>
        <w:spacing w:after="0" w:line="240" w:lineRule="auto"/>
        <w:ind w:firstLine="708"/>
        <w:jc w:val="both"/>
        <w:rPr>
          <w:rFonts w:ascii="Times New Roman" w:hAnsi="Times New Roman" w:cs="Times New Roman"/>
          <w:sz w:val="24"/>
          <w:szCs w:val="24"/>
        </w:rPr>
      </w:pPr>
    </w:p>
    <w:p w:rsidR="00F76F74" w:rsidRPr="00FD3680" w:rsidRDefault="00F76F74" w:rsidP="00771A68">
      <w:pPr>
        <w:pStyle w:val="Odsekzoznamu"/>
        <w:numPr>
          <w:ilvl w:val="0"/>
          <w:numId w:val="20"/>
        </w:numPr>
        <w:spacing w:after="0" w:line="240" w:lineRule="auto"/>
        <w:jc w:val="both"/>
        <w:rPr>
          <w:rFonts w:ascii="Times New Roman" w:hAnsi="Times New Roman" w:cs="Times New Roman"/>
          <w:sz w:val="24"/>
          <w:szCs w:val="24"/>
        </w:rPr>
      </w:pPr>
      <w:r w:rsidRPr="00FD3680">
        <w:rPr>
          <w:rFonts w:ascii="Times New Roman" w:hAnsi="Times New Roman" w:cs="Times New Roman"/>
          <w:b/>
          <w:bCs/>
          <w:sz w:val="24"/>
          <w:szCs w:val="24"/>
        </w:rPr>
        <w:t>„Farmársky poľnohospodársky produkt“</w:t>
      </w:r>
      <w:r w:rsidRPr="00FD3680">
        <w:rPr>
          <w:rFonts w:ascii="Times New Roman" w:hAnsi="Times New Roman" w:cs="Times New Roman"/>
          <w:sz w:val="24"/>
          <w:szCs w:val="24"/>
        </w:rPr>
        <w:t xml:space="preserve"> a </w:t>
      </w:r>
      <w:r w:rsidRPr="00FD3680">
        <w:rPr>
          <w:rFonts w:ascii="Times New Roman" w:hAnsi="Times New Roman" w:cs="Times New Roman"/>
          <w:b/>
          <w:bCs/>
          <w:sz w:val="24"/>
          <w:szCs w:val="24"/>
        </w:rPr>
        <w:t>„Farmárska potravina“ -</w:t>
      </w:r>
      <w:r w:rsidRPr="00FD3680">
        <w:rPr>
          <w:rFonts w:ascii="Times New Roman" w:hAnsi="Times New Roman" w:cs="Times New Roman"/>
          <w:sz w:val="24"/>
          <w:szCs w:val="24"/>
        </w:rPr>
        <w:t xml:space="preserve"> ide o poľnohospodárske produkty vypestované na farme alebo získané od zvierat alebo zo zvierat chovaných na farme, resp. potraviny vyrobené z týchto surovín priamo na farme pri dodržiavaní legislatívy platnej pre priamy predaj/predaj z dvora.</w:t>
      </w:r>
    </w:p>
    <w:p w:rsidR="00F76F74" w:rsidRPr="00FD3680" w:rsidRDefault="00F76F74" w:rsidP="00F76F74">
      <w:pPr>
        <w:spacing w:after="0" w:line="240" w:lineRule="auto"/>
        <w:ind w:firstLine="708"/>
        <w:jc w:val="both"/>
        <w:rPr>
          <w:rFonts w:ascii="Times New Roman" w:hAnsi="Times New Roman" w:cs="Times New Roman"/>
          <w:sz w:val="24"/>
          <w:szCs w:val="24"/>
        </w:rPr>
      </w:pPr>
    </w:p>
    <w:p w:rsidR="00F76F74" w:rsidRPr="00FD3680" w:rsidRDefault="00F76F74" w:rsidP="006B5633">
      <w:pPr>
        <w:pStyle w:val="Obyajntext"/>
        <w:jc w:val="both"/>
        <w:rPr>
          <w:rFonts w:ascii="Times New Roman" w:hAnsi="Times New Roman" w:cs="Times New Roman"/>
          <w:bCs/>
          <w:sz w:val="24"/>
          <w:szCs w:val="24"/>
        </w:rPr>
      </w:pPr>
      <w:r w:rsidRPr="00FD3680">
        <w:rPr>
          <w:rFonts w:ascii="Times New Roman" w:hAnsi="Times New Roman" w:cs="Times New Roman"/>
          <w:bCs/>
          <w:sz w:val="24"/>
          <w:szCs w:val="24"/>
        </w:rPr>
        <w:t>Súčasťou predpisu je aj príloha s vymedzenými názvami jednotlivých regiónov a k nim prislúchajúcimi okresmi, aby sa v rámci označovania predišlo zbytočným nepresnost</w:t>
      </w:r>
      <w:r w:rsidR="006B5633" w:rsidRPr="00FD3680">
        <w:rPr>
          <w:rFonts w:ascii="Times New Roman" w:hAnsi="Times New Roman" w:cs="Times New Roman"/>
          <w:bCs/>
          <w:sz w:val="24"/>
          <w:szCs w:val="24"/>
        </w:rPr>
        <w:t>iam a zavádzajúcim informáciám.</w:t>
      </w:r>
    </w:p>
    <w:p w:rsidR="00B44FFD" w:rsidRPr="00FD3680" w:rsidRDefault="00B44FFD" w:rsidP="00F76F74">
      <w:pPr>
        <w:spacing w:after="0" w:line="240" w:lineRule="auto"/>
        <w:jc w:val="both"/>
        <w:rPr>
          <w:rFonts w:ascii="Times New Roman" w:hAnsi="Times New Roman" w:cs="Times New Roman"/>
          <w:sz w:val="24"/>
          <w:szCs w:val="24"/>
        </w:rPr>
      </w:pPr>
    </w:p>
    <w:p w:rsidR="00B44FFD" w:rsidRPr="00FD3680" w:rsidRDefault="00B44FFD" w:rsidP="00771A68">
      <w:pPr>
        <w:pStyle w:val="Nadpis2"/>
        <w:numPr>
          <w:ilvl w:val="1"/>
          <w:numId w:val="36"/>
        </w:numPr>
      </w:pPr>
      <w:bookmarkStart w:id="30" w:name="_Toc394589443"/>
      <w:r w:rsidRPr="00FD3680">
        <w:t>Zlepšenie prístupu  k neprojektovým opatreniam Programu rozvoja vidieka a k podporám v rámci priamych platieb</w:t>
      </w:r>
      <w:r w:rsidR="00CF631F" w:rsidRPr="00FD3680">
        <w:t xml:space="preserve"> a Spoločnej organizácii trhov</w:t>
      </w:r>
      <w:bookmarkEnd w:id="30"/>
    </w:p>
    <w:p w:rsidR="00B44FFD" w:rsidRPr="00FD3680" w:rsidRDefault="00B44FFD" w:rsidP="00F76F74">
      <w:pPr>
        <w:spacing w:after="0" w:line="240" w:lineRule="auto"/>
        <w:jc w:val="both"/>
        <w:rPr>
          <w:rFonts w:ascii="Times New Roman" w:hAnsi="Times New Roman" w:cs="Times New Roman"/>
          <w:sz w:val="24"/>
          <w:szCs w:val="24"/>
        </w:rPr>
      </w:pPr>
    </w:p>
    <w:p w:rsidR="00CF631F" w:rsidRPr="00FD3680" w:rsidRDefault="00CF631F" w:rsidP="00F76F74">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Hlavným cieľom je uľahčiť pre cieľovú skupinu poľnohospodárskych podnikateľov prístup k neprojektovým opatreniam Programu rozvoja vidieka a podporám v rámci priamych platieb a Spoločnej organizácii trhov tak, aby bola pomerná vybavenosť prevádzkovým kapitálom porovnateľná s referenčnými poľnohospodárskymi subjektmi na Slovensku.</w:t>
      </w:r>
    </w:p>
    <w:p w:rsidR="00CF631F" w:rsidRPr="00FD3680" w:rsidRDefault="00CF631F" w:rsidP="00F76F74">
      <w:pPr>
        <w:spacing w:after="0" w:line="240" w:lineRule="auto"/>
        <w:jc w:val="both"/>
        <w:rPr>
          <w:rFonts w:ascii="Times New Roman" w:hAnsi="Times New Roman" w:cs="Times New Roman"/>
          <w:sz w:val="24"/>
          <w:szCs w:val="24"/>
        </w:rPr>
      </w:pPr>
    </w:p>
    <w:p w:rsidR="006B5633" w:rsidRPr="00FD3680" w:rsidRDefault="006B5633" w:rsidP="00771A68">
      <w:pPr>
        <w:pStyle w:val="Odsekzoznamu"/>
        <w:keepNext/>
        <w:keepLines/>
        <w:numPr>
          <w:ilvl w:val="1"/>
          <w:numId w:val="35"/>
        </w:numPr>
        <w:spacing w:before="200" w:after="0"/>
        <w:contextualSpacing w:val="0"/>
        <w:outlineLvl w:val="1"/>
        <w:rPr>
          <w:rFonts w:ascii="Times New Roman" w:eastAsiaTheme="majorEastAsia" w:hAnsi="Times New Roman" w:cstheme="majorBidi"/>
          <w:b/>
          <w:bCs/>
          <w:vanish/>
          <w:sz w:val="28"/>
          <w:szCs w:val="26"/>
        </w:rPr>
      </w:pPr>
      <w:bookmarkStart w:id="31" w:name="_Toc394589444"/>
      <w:bookmarkEnd w:id="31"/>
    </w:p>
    <w:p w:rsidR="00CF631F" w:rsidRPr="00FD3680" w:rsidRDefault="00CF631F" w:rsidP="006B5633">
      <w:pPr>
        <w:pStyle w:val="Nadpis3"/>
      </w:pPr>
      <w:bookmarkStart w:id="32" w:name="_Toc394589445"/>
      <w:r w:rsidRPr="00FD3680">
        <w:t>Zlepšenie prístupu  k neprojektovým opatr</w:t>
      </w:r>
      <w:r w:rsidR="00257451" w:rsidRPr="00FD3680">
        <w:t>eniam Programu rozvoja vidieka,</w:t>
      </w:r>
      <w:r w:rsidRPr="00FD3680">
        <w:t xml:space="preserve"> k podporám v rámci priamych platieb</w:t>
      </w:r>
      <w:r w:rsidR="00257451" w:rsidRPr="00FD3680">
        <w:t xml:space="preserve"> a k vnútroštátnej pomoci</w:t>
      </w:r>
      <w:bookmarkEnd w:id="32"/>
    </w:p>
    <w:p w:rsidR="00CF631F" w:rsidRPr="00FD3680" w:rsidRDefault="00CF631F" w:rsidP="00CF631F">
      <w:pPr>
        <w:spacing w:after="0" w:line="240" w:lineRule="auto"/>
        <w:rPr>
          <w:rFonts w:ascii="Times New Roman" w:hAnsi="Times New Roman" w:cs="Times New Roman"/>
          <w:b/>
          <w:sz w:val="26"/>
          <w:szCs w:val="26"/>
        </w:rPr>
      </w:pPr>
    </w:p>
    <w:p w:rsidR="00CF631F" w:rsidRPr="00FD3680" w:rsidRDefault="00CF631F" w:rsidP="00CF631F">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Základom pre zlepšenie prístupu k neprojektovým opatreniam PRV SR 2014 – 2020 a k podporám v rámci priamych platieb je dôsledná aplikácia a využívanie nového mechanizmu podpôr slovenského poľnohospodárstva, tzv. sendvičového </w:t>
      </w:r>
      <w:r w:rsidR="00F83C92" w:rsidRPr="00FD3680">
        <w:rPr>
          <w:rFonts w:ascii="Times New Roman" w:hAnsi="Times New Roman" w:cs="Times New Roman"/>
          <w:sz w:val="24"/>
          <w:szCs w:val="24"/>
        </w:rPr>
        <w:t>modelu</w:t>
      </w:r>
      <w:r w:rsidRPr="00FD3680">
        <w:rPr>
          <w:rFonts w:ascii="Times New Roman" w:hAnsi="Times New Roman" w:cs="Times New Roman"/>
          <w:sz w:val="24"/>
          <w:szCs w:val="24"/>
        </w:rPr>
        <w:t xml:space="preserve">. </w:t>
      </w:r>
    </w:p>
    <w:p w:rsidR="00CF631F" w:rsidRPr="00FD3680" w:rsidRDefault="00CF631F" w:rsidP="00CF631F">
      <w:pPr>
        <w:spacing w:after="0" w:line="240" w:lineRule="auto"/>
        <w:jc w:val="both"/>
        <w:rPr>
          <w:rFonts w:ascii="Times New Roman" w:hAnsi="Times New Roman" w:cs="Times New Roman"/>
          <w:sz w:val="24"/>
          <w:szCs w:val="24"/>
        </w:rPr>
      </w:pPr>
    </w:p>
    <w:p w:rsidR="00F83C92" w:rsidRPr="00FD3680" w:rsidRDefault="00F83C92" w:rsidP="00F83C92">
      <w:p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Sendvičový model je potrebné chápať vertikálne a horizontálne. </w:t>
      </w:r>
    </w:p>
    <w:p w:rsidR="00F83C92" w:rsidRPr="00FD3680" w:rsidRDefault="00F83C92" w:rsidP="00F83C92">
      <w:pPr>
        <w:autoSpaceDE w:val="0"/>
        <w:autoSpaceDN w:val="0"/>
        <w:adjustRightInd w:val="0"/>
        <w:spacing w:after="0" w:line="240" w:lineRule="auto"/>
        <w:jc w:val="both"/>
        <w:rPr>
          <w:rFonts w:ascii="Times New Roman" w:hAnsi="Times New Roman" w:cs="Times New Roman"/>
          <w:sz w:val="24"/>
          <w:szCs w:val="24"/>
          <w:lang w:eastAsia="ar-SA"/>
        </w:rPr>
      </w:pPr>
    </w:p>
    <w:p w:rsidR="00F83C92" w:rsidRPr="00FD3680" w:rsidRDefault="00F83C92" w:rsidP="00F83C92">
      <w:p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u w:val="single"/>
          <w:lang w:eastAsia="ar-SA"/>
        </w:rPr>
        <w:t>Vertikálny pohľad</w:t>
      </w:r>
      <w:r w:rsidRPr="00FD3680">
        <w:rPr>
          <w:rFonts w:ascii="Times New Roman" w:hAnsi="Times New Roman" w:cs="Times New Roman"/>
          <w:sz w:val="24"/>
          <w:szCs w:val="24"/>
          <w:lang w:eastAsia="ar-SA"/>
        </w:rPr>
        <w:t xml:space="preserve"> na sendvičový systém znamená, že v rámci I. piliera bude celková obálka finančných prostriedkov alokovaných do I. piliera SPP 2014 – 2020 rozdelená na:</w:t>
      </w:r>
    </w:p>
    <w:p w:rsidR="00F83C92" w:rsidRPr="00FD3680" w:rsidRDefault="00F83C92" w:rsidP="00771A68">
      <w:pPr>
        <w:numPr>
          <w:ilvl w:val="0"/>
          <w:numId w:val="24"/>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základnú platbu</w:t>
      </w:r>
    </w:p>
    <w:p w:rsidR="00F83C92" w:rsidRPr="00FD3680" w:rsidRDefault="00384E9F" w:rsidP="00771A68">
      <w:pPr>
        <w:numPr>
          <w:ilvl w:val="0"/>
          <w:numId w:val="24"/>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platbu na poľnohospodárske postupy prospešné pre klímu a životné prostredie</w:t>
      </w:r>
    </w:p>
    <w:p w:rsidR="00F83C92" w:rsidRPr="00FD3680" w:rsidRDefault="00F83C92" w:rsidP="00771A68">
      <w:pPr>
        <w:numPr>
          <w:ilvl w:val="0"/>
          <w:numId w:val="24"/>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platbu pre mladých poľnohospodárov a</w:t>
      </w:r>
    </w:p>
    <w:p w:rsidR="00F83C92" w:rsidRPr="00FD3680" w:rsidRDefault="00F83C92" w:rsidP="00771A68">
      <w:pPr>
        <w:numPr>
          <w:ilvl w:val="0"/>
          <w:numId w:val="24"/>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dobrovoľne viazané podpory, v rámci ktorých </w:t>
      </w:r>
      <w:r w:rsidR="0024148F" w:rsidRPr="00FD3680">
        <w:rPr>
          <w:rFonts w:ascii="Times New Roman" w:hAnsi="Times New Roman" w:cs="Times New Roman"/>
          <w:sz w:val="24"/>
          <w:szCs w:val="24"/>
          <w:lang w:eastAsia="ar-SA"/>
        </w:rPr>
        <w:t>majú byť podporené</w:t>
      </w:r>
      <w:r w:rsidRPr="00FD3680">
        <w:rPr>
          <w:rFonts w:ascii="Times New Roman" w:hAnsi="Times New Roman" w:cs="Times New Roman"/>
          <w:sz w:val="24"/>
          <w:szCs w:val="24"/>
          <w:lang w:eastAsia="ar-SA"/>
        </w:rPr>
        <w:t>:</w:t>
      </w:r>
      <w:r w:rsidR="00293ED7" w:rsidRPr="00FD3680">
        <w:rPr>
          <w:rFonts w:ascii="Times New Roman" w:hAnsi="Times New Roman" w:cs="Times New Roman"/>
          <w:sz w:val="24"/>
          <w:szCs w:val="24"/>
          <w:lang w:eastAsia="ar-SA"/>
        </w:rPr>
        <w:t xml:space="preserve"> </w:t>
      </w:r>
      <w:r w:rsidRPr="00FD3680">
        <w:rPr>
          <w:rFonts w:ascii="Times New Roman" w:hAnsi="Times New Roman" w:cs="Times New Roman"/>
          <w:sz w:val="24"/>
          <w:szCs w:val="24"/>
          <w:lang w:eastAsia="ar-SA"/>
        </w:rPr>
        <w:t>dojnice, hovädzí dobytok, ovce, kozy, ovocie, zeleninu, chmeľ, cukrovú repu.</w:t>
      </w:r>
    </w:p>
    <w:p w:rsidR="0068467F" w:rsidRPr="00FD3680" w:rsidRDefault="0068467F" w:rsidP="00F83C92">
      <w:pPr>
        <w:autoSpaceDE w:val="0"/>
        <w:autoSpaceDN w:val="0"/>
        <w:adjustRightInd w:val="0"/>
        <w:spacing w:after="0" w:line="240" w:lineRule="auto"/>
        <w:jc w:val="both"/>
        <w:rPr>
          <w:rFonts w:ascii="Times New Roman" w:hAnsi="Times New Roman" w:cs="Times New Roman"/>
          <w:sz w:val="24"/>
          <w:szCs w:val="24"/>
          <w:u w:val="single"/>
          <w:lang w:eastAsia="ar-SA"/>
        </w:rPr>
      </w:pPr>
    </w:p>
    <w:p w:rsidR="00F83C92" w:rsidRPr="00FD3680" w:rsidRDefault="00F83C92" w:rsidP="00F83C92">
      <w:p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u w:val="single"/>
          <w:lang w:eastAsia="ar-SA"/>
        </w:rPr>
        <w:t>Horizontálny pohľad</w:t>
      </w:r>
      <w:r w:rsidRPr="00FD3680">
        <w:rPr>
          <w:rFonts w:ascii="Times New Roman" w:hAnsi="Times New Roman" w:cs="Times New Roman"/>
          <w:sz w:val="24"/>
          <w:szCs w:val="24"/>
          <w:lang w:eastAsia="ar-SA"/>
        </w:rPr>
        <w:t xml:space="preserve"> na sendvičový systém znamená, že systém podpôr bude troj</w:t>
      </w:r>
      <w:r w:rsidR="00684E15" w:rsidRPr="00FD3680">
        <w:rPr>
          <w:rFonts w:ascii="Times New Roman" w:hAnsi="Times New Roman" w:cs="Times New Roman"/>
          <w:sz w:val="24"/>
          <w:szCs w:val="24"/>
          <w:lang w:eastAsia="ar-SA"/>
        </w:rPr>
        <w:t>zložkový</w:t>
      </w:r>
      <w:r w:rsidRPr="00FD3680">
        <w:rPr>
          <w:rFonts w:ascii="Times New Roman" w:hAnsi="Times New Roman" w:cs="Times New Roman"/>
          <w:sz w:val="24"/>
          <w:szCs w:val="24"/>
          <w:lang w:eastAsia="ar-SA"/>
        </w:rPr>
        <w:t>:</w:t>
      </w:r>
    </w:p>
    <w:p w:rsidR="00F83C92" w:rsidRPr="00FD3680" w:rsidRDefault="00F83C92" w:rsidP="00771A68">
      <w:pPr>
        <w:numPr>
          <w:ilvl w:val="0"/>
          <w:numId w:val="25"/>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Podpory v rámci I. piliera (priame platby)</w:t>
      </w:r>
    </w:p>
    <w:p w:rsidR="00F83C92" w:rsidRPr="00FD3680" w:rsidRDefault="00F83C92" w:rsidP="00771A68">
      <w:pPr>
        <w:numPr>
          <w:ilvl w:val="0"/>
          <w:numId w:val="25"/>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Neprojektové opatrenia v rámci II. piliera </w:t>
      </w:r>
    </w:p>
    <w:p w:rsidR="00F83C92" w:rsidRPr="00FD3680" w:rsidRDefault="00F83C92" w:rsidP="00F83C92">
      <w:pPr>
        <w:autoSpaceDE w:val="0"/>
        <w:autoSpaceDN w:val="0"/>
        <w:adjustRightInd w:val="0"/>
        <w:spacing w:after="0" w:line="240" w:lineRule="auto"/>
        <w:ind w:left="1065"/>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(dobré životné podmienky zvierat, platby na znevýhodnené oblasti, podpora integrovanej a ekologickej produkcie)</w:t>
      </w:r>
    </w:p>
    <w:p w:rsidR="00F83C92" w:rsidRPr="00FD3680" w:rsidRDefault="00F83C92" w:rsidP="00771A68">
      <w:pPr>
        <w:numPr>
          <w:ilvl w:val="0"/>
          <w:numId w:val="25"/>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Vnútroštátna pomoc </w:t>
      </w:r>
    </w:p>
    <w:p w:rsidR="00F83C92" w:rsidRPr="00FD3680" w:rsidRDefault="00F83C92" w:rsidP="00F83C92">
      <w:pPr>
        <w:autoSpaceDE w:val="0"/>
        <w:autoSpaceDN w:val="0"/>
        <w:adjustRightInd w:val="0"/>
        <w:spacing w:after="0" w:line="240" w:lineRule="auto"/>
        <w:ind w:left="1065"/>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vysoko senzitívnych sektorov v rámci rastlinnej a živočíšnej výroby a podpora zamestnávania)</w:t>
      </w:r>
    </w:p>
    <w:p w:rsidR="00F83C92" w:rsidRPr="00FD3680" w:rsidRDefault="00F83C92" w:rsidP="00F83C92">
      <w:p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lastRenderedPageBreak/>
        <w:t>Financovanie je z hľadiska spôsobu poskytovania podpôr rozdelené na:</w:t>
      </w:r>
    </w:p>
    <w:p w:rsidR="00F83C92" w:rsidRPr="00FD3680" w:rsidRDefault="00F83C92" w:rsidP="00771A68">
      <w:pPr>
        <w:numPr>
          <w:ilvl w:val="0"/>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základné podporné mechanizmy:</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základná platba;</w:t>
      </w:r>
    </w:p>
    <w:p w:rsidR="00F83C92" w:rsidRPr="00FD3680" w:rsidRDefault="00384E9F" w:rsidP="00384E9F">
      <w:pPr>
        <w:pStyle w:val="Odsekzoznamu"/>
        <w:numPr>
          <w:ilvl w:val="1"/>
          <w:numId w:val="26"/>
        </w:numPr>
        <w:spacing w:after="0" w:line="240" w:lineRule="auto"/>
        <w:ind w:left="1434" w:hanging="357"/>
        <w:rPr>
          <w:rFonts w:ascii="Times New Roman" w:hAnsi="Times New Roman" w:cs="Times New Roman"/>
          <w:sz w:val="24"/>
          <w:szCs w:val="24"/>
          <w:lang w:eastAsia="ar-SA"/>
        </w:rPr>
      </w:pPr>
      <w:r w:rsidRPr="00FD3680">
        <w:rPr>
          <w:rFonts w:ascii="Times New Roman" w:hAnsi="Times New Roman" w:cs="Times New Roman"/>
          <w:sz w:val="24"/>
          <w:szCs w:val="24"/>
          <w:lang w:eastAsia="ar-SA"/>
        </w:rPr>
        <w:t>platbu na poľnohospodárske postupy prospešné pre klímu a životné prostredie</w:t>
      </w:r>
      <w:r w:rsidR="00F83C92" w:rsidRPr="00FD3680">
        <w:rPr>
          <w:rFonts w:ascii="Times New Roman" w:hAnsi="Times New Roman" w:cs="Times New Roman"/>
          <w:sz w:val="24"/>
          <w:szCs w:val="24"/>
          <w:lang w:eastAsia="ar-SA"/>
        </w:rPr>
        <w:t>(tzv. greeningová platba);</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platba na znevýhodnené oblasti;</w:t>
      </w:r>
    </w:p>
    <w:p w:rsidR="00F83C92" w:rsidRPr="00FD3680" w:rsidRDefault="00F83C92" w:rsidP="00771A68">
      <w:pPr>
        <w:numPr>
          <w:ilvl w:val="0"/>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podporné mechanizmy živočíšnej výroby:</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na dojnice;</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na dojčiace kravy;</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na výkrmový dobytok, teľatá a býčkov;</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na ovce a kozy;</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na ošípané (prasnice a výkrm);</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na hydinu;</w:t>
      </w:r>
    </w:p>
    <w:p w:rsidR="00F83C92" w:rsidRPr="00FD3680" w:rsidRDefault="00F83C92" w:rsidP="00771A68">
      <w:pPr>
        <w:numPr>
          <w:ilvl w:val="0"/>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podporné mechanizmy rastlinnej výroby:</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produkcie zemiakov;</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produkcie ovocia;</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produkcie zeleniny;</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na pestovanie viniča;</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pestovania cukrovej repy;</w:t>
      </w:r>
    </w:p>
    <w:p w:rsidR="00F83C92" w:rsidRPr="00FD3680" w:rsidRDefault="00F83C92" w:rsidP="00771A68">
      <w:pPr>
        <w:numPr>
          <w:ilvl w:val="1"/>
          <w:numId w:val="26"/>
        </w:numPr>
        <w:autoSpaceDE w:val="0"/>
        <w:autoSpaceDN w:val="0"/>
        <w:adjustRightInd w:val="0"/>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pestovania chmeľu;</w:t>
      </w:r>
    </w:p>
    <w:p w:rsidR="00CF631F" w:rsidRPr="00FD3680" w:rsidRDefault="00CF631F" w:rsidP="00F83C92">
      <w:pPr>
        <w:spacing w:after="0" w:line="240" w:lineRule="auto"/>
        <w:jc w:val="both"/>
        <w:rPr>
          <w:rFonts w:ascii="Times New Roman" w:hAnsi="Times New Roman" w:cs="Times New Roman"/>
          <w:sz w:val="24"/>
          <w:szCs w:val="24"/>
        </w:rPr>
      </w:pPr>
    </w:p>
    <w:p w:rsidR="00F83C92" w:rsidRPr="00FD3680" w:rsidRDefault="00F83C92" w:rsidP="00F83C92">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Základná platba a greeningová platba sú financované zo stabilizačnej zložky (I. pilier). Ich cieľom je zastaviť úbytok poľnohospodárskych pôd a zatraktívniť ich obhospodarovanie. Platba na znevýhodnené oblasti je financovaná z kvalitatívnej zložky (II. pilier) a jej cieľom je kompenzovať stupeň znevýhodnenia v obhospodarovaní pôd, ktoré dosahujú nižšie parametre úžitkovosti. </w:t>
      </w:r>
    </w:p>
    <w:p w:rsidR="00F83C92" w:rsidRPr="00FD3680" w:rsidRDefault="00F83C92" w:rsidP="00F83C92">
      <w:pPr>
        <w:spacing w:after="0" w:line="240" w:lineRule="auto"/>
        <w:jc w:val="both"/>
        <w:rPr>
          <w:rFonts w:ascii="Times New Roman" w:hAnsi="Times New Roman" w:cs="Times New Roman"/>
          <w:sz w:val="24"/>
          <w:szCs w:val="24"/>
        </w:rPr>
      </w:pPr>
    </w:p>
    <w:p w:rsidR="00F83C92" w:rsidRPr="00FD3680" w:rsidRDefault="00F83C92" w:rsidP="00F83C92">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živočíšnej výroby je systematicky rozdelená do dvoch oblastí:</w:t>
      </w:r>
    </w:p>
    <w:p w:rsidR="00F83C92" w:rsidRPr="00FD3680" w:rsidRDefault="00F83C92" w:rsidP="00771A68">
      <w:pPr>
        <w:numPr>
          <w:ilvl w:val="0"/>
          <w:numId w:val="27"/>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polygastrických zvierat:</w:t>
      </w:r>
    </w:p>
    <w:p w:rsidR="00F83C92" w:rsidRPr="00FD3680" w:rsidRDefault="00F83C92" w:rsidP="00771A68">
      <w:pPr>
        <w:numPr>
          <w:ilvl w:val="1"/>
          <w:numId w:val="27"/>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dojnice, dojčiace kravy, výkrmový dobytok, teľatá a</w:t>
      </w:r>
      <w:r w:rsidR="009908F6" w:rsidRPr="00FD3680">
        <w:rPr>
          <w:rFonts w:ascii="Times New Roman" w:hAnsi="Times New Roman" w:cs="Times New Roman"/>
          <w:sz w:val="24"/>
          <w:szCs w:val="24"/>
          <w:lang w:eastAsia="ar-SA"/>
        </w:rPr>
        <w:t> mladé býky</w:t>
      </w:r>
      <w:r w:rsidRPr="00FD3680">
        <w:rPr>
          <w:rFonts w:ascii="Times New Roman" w:hAnsi="Times New Roman" w:cs="Times New Roman"/>
          <w:sz w:val="24"/>
          <w:szCs w:val="24"/>
          <w:lang w:eastAsia="ar-SA"/>
        </w:rPr>
        <w:t>, ovce a kozy;</w:t>
      </w:r>
    </w:p>
    <w:p w:rsidR="00F83C92" w:rsidRPr="00FD3680" w:rsidRDefault="00F83C92" w:rsidP="00771A68">
      <w:pPr>
        <w:numPr>
          <w:ilvl w:val="0"/>
          <w:numId w:val="27"/>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monogastrických zvierat:</w:t>
      </w:r>
    </w:p>
    <w:p w:rsidR="00F83C92" w:rsidRPr="00FD3680" w:rsidRDefault="00F83C92" w:rsidP="00771A68">
      <w:pPr>
        <w:numPr>
          <w:ilvl w:val="1"/>
          <w:numId w:val="27"/>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ošípané (prasnice a výkrm) a hydina.</w:t>
      </w:r>
    </w:p>
    <w:p w:rsidR="00F83C92" w:rsidRPr="00FD3680" w:rsidRDefault="00F83C92" w:rsidP="00F83C92">
      <w:pPr>
        <w:spacing w:after="0" w:line="240" w:lineRule="auto"/>
        <w:jc w:val="both"/>
        <w:rPr>
          <w:rFonts w:ascii="Times New Roman" w:hAnsi="Times New Roman" w:cs="Times New Roman"/>
          <w:sz w:val="24"/>
          <w:szCs w:val="24"/>
          <w:lang w:eastAsia="ar-SA"/>
        </w:rPr>
      </w:pPr>
    </w:p>
    <w:p w:rsidR="00F83C92" w:rsidRPr="00FD3680" w:rsidRDefault="00F83C92" w:rsidP="00F83C92">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polygastrických zvierat je financovaná zo stabilizačnej zložky a zo systémovej zložky. Špecifická podpora je poskytovaná na dojnice, ktorá je financovaná trojzložkovo. U dojníc teda podporujeme jednak ich chov (stabilizačná zložka – I. pilier), jednak zvyšovanie dojivosti (kvalitatívna zložka – II. pilier) a kompenzujeme straty z predaja mlieka a mliečnych produktov (systémová zložka – III. pilier).</w:t>
      </w:r>
    </w:p>
    <w:p w:rsidR="00384E9F" w:rsidRPr="00FD3680" w:rsidRDefault="00384E9F" w:rsidP="00F83C92">
      <w:pPr>
        <w:spacing w:after="0" w:line="240" w:lineRule="auto"/>
        <w:jc w:val="both"/>
        <w:rPr>
          <w:rFonts w:ascii="Times New Roman" w:hAnsi="Times New Roman" w:cs="Times New Roman"/>
          <w:sz w:val="24"/>
          <w:szCs w:val="24"/>
          <w:lang w:eastAsia="ar-SA"/>
        </w:rPr>
      </w:pPr>
    </w:p>
    <w:p w:rsidR="00F83C92" w:rsidRPr="00FD3680" w:rsidRDefault="00F83C92" w:rsidP="00F83C92">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Podpora monogastrických zvierat je financovaná z kvalitatívnej zložky a zo systémovej zložky. Špecifická je podpora ošípaných, ktorá je rozdelená na podporu reprodukcie (prasnice) a podporu odstavu, s dôrazom na </w:t>
      </w:r>
      <w:r w:rsidR="00387811" w:rsidRPr="00FD3680">
        <w:rPr>
          <w:rFonts w:ascii="Times New Roman" w:hAnsi="Times New Roman" w:cs="Times New Roman"/>
          <w:sz w:val="24"/>
          <w:szCs w:val="24"/>
          <w:lang w:eastAsia="ar-SA"/>
        </w:rPr>
        <w:t>intenzifikáciu</w:t>
      </w:r>
      <w:r w:rsidRPr="00FD3680">
        <w:rPr>
          <w:rFonts w:ascii="Times New Roman" w:hAnsi="Times New Roman" w:cs="Times New Roman"/>
          <w:sz w:val="24"/>
          <w:szCs w:val="24"/>
          <w:lang w:eastAsia="ar-SA"/>
        </w:rPr>
        <w:t xml:space="preserve"> chovov. Podpora hydiny je financovaná len z kvalitatívnej zložky, nakoľko systémová podpora nie je potrebná z dôvodu relatívne vysokej stability sektora.</w:t>
      </w:r>
    </w:p>
    <w:p w:rsidR="00F83C92" w:rsidRPr="00FD3680" w:rsidRDefault="00F83C92" w:rsidP="00F83C92">
      <w:pPr>
        <w:spacing w:after="0" w:line="240" w:lineRule="auto"/>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rastlinnej výroby je systematicky rozdelená na podporu:</w:t>
      </w:r>
    </w:p>
    <w:p w:rsidR="00F83C92" w:rsidRPr="00FD3680" w:rsidRDefault="00F83C92" w:rsidP="00771A68">
      <w:pPr>
        <w:numPr>
          <w:ilvl w:val="0"/>
          <w:numId w:val="28"/>
        </w:numPr>
        <w:spacing w:after="0" w:line="240" w:lineRule="auto"/>
        <w:rPr>
          <w:rFonts w:ascii="Times New Roman" w:hAnsi="Times New Roman" w:cs="Times New Roman"/>
          <w:sz w:val="24"/>
          <w:szCs w:val="24"/>
          <w:lang w:eastAsia="ar-SA"/>
        </w:rPr>
      </w:pPr>
      <w:r w:rsidRPr="00FD3680">
        <w:rPr>
          <w:rFonts w:ascii="Times New Roman" w:hAnsi="Times New Roman" w:cs="Times New Roman"/>
          <w:sz w:val="24"/>
          <w:szCs w:val="24"/>
          <w:lang w:eastAsia="ar-SA"/>
        </w:rPr>
        <w:t>konvenčnej produkcie;</w:t>
      </w:r>
    </w:p>
    <w:p w:rsidR="00F83C92" w:rsidRPr="00FD3680" w:rsidRDefault="00F83C92" w:rsidP="00771A68">
      <w:pPr>
        <w:numPr>
          <w:ilvl w:val="0"/>
          <w:numId w:val="28"/>
        </w:numPr>
        <w:spacing w:after="0" w:line="240" w:lineRule="auto"/>
        <w:rPr>
          <w:rFonts w:ascii="Times New Roman" w:hAnsi="Times New Roman" w:cs="Times New Roman"/>
          <w:sz w:val="24"/>
          <w:szCs w:val="24"/>
          <w:lang w:eastAsia="ar-SA"/>
        </w:rPr>
      </w:pPr>
      <w:r w:rsidRPr="00FD3680">
        <w:rPr>
          <w:rFonts w:ascii="Times New Roman" w:hAnsi="Times New Roman" w:cs="Times New Roman"/>
          <w:sz w:val="24"/>
          <w:szCs w:val="24"/>
          <w:lang w:eastAsia="ar-SA"/>
        </w:rPr>
        <w:t>integrovanej produkcie; a</w:t>
      </w:r>
    </w:p>
    <w:p w:rsidR="00F83C92" w:rsidRPr="00FD3680" w:rsidRDefault="00F83C92" w:rsidP="00771A68">
      <w:pPr>
        <w:numPr>
          <w:ilvl w:val="0"/>
          <w:numId w:val="28"/>
        </w:numPr>
        <w:spacing w:after="0" w:line="240" w:lineRule="auto"/>
        <w:rPr>
          <w:rFonts w:ascii="Times New Roman" w:hAnsi="Times New Roman" w:cs="Times New Roman"/>
          <w:sz w:val="24"/>
          <w:szCs w:val="24"/>
          <w:lang w:eastAsia="ar-SA"/>
        </w:rPr>
      </w:pPr>
      <w:r w:rsidRPr="00FD3680">
        <w:rPr>
          <w:rFonts w:ascii="Times New Roman" w:hAnsi="Times New Roman" w:cs="Times New Roman"/>
          <w:sz w:val="24"/>
          <w:szCs w:val="24"/>
          <w:lang w:eastAsia="ar-SA"/>
        </w:rPr>
        <w:t>ekologickej produkcie.</w:t>
      </w:r>
    </w:p>
    <w:p w:rsidR="00F83C92" w:rsidRPr="00FD3680" w:rsidRDefault="00F83C92" w:rsidP="00F83C92">
      <w:pPr>
        <w:spacing w:after="0" w:line="240" w:lineRule="auto"/>
        <w:rPr>
          <w:rFonts w:ascii="Times New Roman" w:hAnsi="Times New Roman" w:cs="Times New Roman"/>
          <w:sz w:val="24"/>
          <w:szCs w:val="24"/>
          <w:lang w:eastAsia="ar-SA"/>
        </w:rPr>
      </w:pPr>
    </w:p>
    <w:p w:rsidR="00F83C92" w:rsidRPr="00FD3680" w:rsidRDefault="00F83C92" w:rsidP="00F83C92">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lastRenderedPageBreak/>
        <w:t xml:space="preserve">Z hľadiska cielenia podpôr je sektorovo rozdelená na podporu produkcie cukrovej repy, pestovania chmeľu, produkcie zemiakov, produkcie ovocia, produkcie zeleniny, pestovania viniča, ekologickej produkcie na ornej pôde a ekologického pestovania trvalých trávnych porastov. </w:t>
      </w:r>
    </w:p>
    <w:p w:rsidR="00F83C92" w:rsidRPr="00FD3680" w:rsidRDefault="00F83C92" w:rsidP="00F83C92">
      <w:pPr>
        <w:spacing w:after="0" w:line="240" w:lineRule="auto"/>
        <w:jc w:val="both"/>
        <w:rPr>
          <w:rFonts w:ascii="Times New Roman" w:hAnsi="Times New Roman" w:cs="Times New Roman"/>
          <w:sz w:val="24"/>
          <w:szCs w:val="24"/>
          <w:lang w:eastAsia="ar-SA"/>
        </w:rPr>
      </w:pPr>
    </w:p>
    <w:p w:rsidR="00F83C92" w:rsidRPr="00FD3680" w:rsidRDefault="00F83C92" w:rsidP="00F83C92">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V rámci konvenčnej produkcie podporíme pestovanie cukrovej repy, chmeľu, ovocia a zeleniny. V rámci integrovanej produkcie pestovanie zemiakov, ovocia, zeleniny a viniča. V rámci ekologického poľnohospodárstva podporíme pestovanie zemiakov, ovocia, zeleniny, viniča, ekologickú produkciu trvalých trávnych porastov a ekologickú produkciu na ornej pôde. </w:t>
      </w:r>
    </w:p>
    <w:p w:rsidR="00F83C92" w:rsidRPr="00FD3680" w:rsidRDefault="00F83C92" w:rsidP="00F83C92">
      <w:pPr>
        <w:spacing w:after="0" w:line="240" w:lineRule="auto"/>
        <w:jc w:val="both"/>
        <w:rPr>
          <w:rFonts w:ascii="Times New Roman" w:hAnsi="Times New Roman" w:cs="Times New Roman"/>
          <w:sz w:val="24"/>
          <w:szCs w:val="24"/>
          <w:lang w:eastAsia="ar-SA"/>
        </w:rPr>
      </w:pPr>
    </w:p>
    <w:p w:rsidR="008B3BC1" w:rsidRPr="00FD3680" w:rsidRDefault="008B3BC1" w:rsidP="00F83C92">
      <w:pPr>
        <w:spacing w:after="0" w:line="240" w:lineRule="auto"/>
        <w:jc w:val="both"/>
        <w:rPr>
          <w:rFonts w:ascii="Times New Roman" w:eastAsia="Times New Roman" w:hAnsi="Times New Roman"/>
          <w:sz w:val="24"/>
          <w:szCs w:val="24"/>
          <w:lang w:eastAsia="sk-SK"/>
        </w:rPr>
      </w:pPr>
      <w:r w:rsidRPr="00FD3680">
        <w:rPr>
          <w:rFonts w:ascii="Times New Roman" w:hAnsi="Times New Roman" w:cs="Times New Roman"/>
          <w:sz w:val="24"/>
          <w:szCs w:val="24"/>
          <w:lang w:eastAsia="ar-SA"/>
        </w:rPr>
        <w:t xml:space="preserve">Zostavením sendvičového modelu financovania slovenského poľnohospodárstva, ktorého základom je presun </w:t>
      </w:r>
      <w:r w:rsidRPr="00FD3680">
        <w:rPr>
          <w:rFonts w:ascii="Times New Roman" w:eastAsia="Times New Roman" w:hAnsi="Times New Roman"/>
          <w:sz w:val="24"/>
          <w:szCs w:val="24"/>
          <w:lang w:eastAsia="sk-SK"/>
        </w:rPr>
        <w:t>finančných prostriedkov z Európskeho poľnohospodárskeho fondu pre rozvoj vidieka (II. pilier) do  Európskeho poľnohospodárskeho záručného fondu (I. pilier)       v rokoch 2014 – 2020, by sme mali dosiahnuť, od roku 2015, nasledovné úrovne podpôr:</w:t>
      </w:r>
    </w:p>
    <w:p w:rsidR="008B3BC1" w:rsidRPr="00FD3680" w:rsidRDefault="008B3BC1" w:rsidP="00771A68">
      <w:pPr>
        <w:pStyle w:val="Odsekzoznamu"/>
        <w:numPr>
          <w:ilvl w:val="0"/>
          <w:numId w:val="30"/>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základná platba na plochu vo výške 130 EUR/ha; </w:t>
      </w:r>
    </w:p>
    <w:p w:rsidR="008B3BC1" w:rsidRPr="00FD3680" w:rsidRDefault="008B3BC1" w:rsidP="00771A68">
      <w:pPr>
        <w:pStyle w:val="Odsekzoznamu"/>
        <w:numPr>
          <w:ilvl w:val="0"/>
          <w:numId w:val="30"/>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greeningová platba vo výške 70 EUR/ha;</w:t>
      </w:r>
    </w:p>
    <w:p w:rsidR="008B3BC1" w:rsidRPr="00FD3680" w:rsidRDefault="008B3BC1" w:rsidP="00771A68">
      <w:pPr>
        <w:pStyle w:val="Odsekzoznamu"/>
        <w:numPr>
          <w:ilvl w:val="0"/>
          <w:numId w:val="30"/>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platba na znevýhodnené oblasti vo výške </w:t>
      </w:r>
      <w:r w:rsidR="00BB65FD" w:rsidRPr="00FD3680">
        <w:rPr>
          <w:rFonts w:ascii="Times New Roman" w:hAnsi="Times New Roman" w:cs="Times New Roman"/>
          <w:sz w:val="24"/>
          <w:szCs w:val="24"/>
        </w:rPr>
        <w:t>od 25 do 122 EUR/ha (podľa kategórie znevýhodnenia a typu výroby)</w:t>
      </w:r>
      <w:r w:rsidRPr="00FD3680">
        <w:rPr>
          <w:rFonts w:ascii="Times New Roman" w:hAnsi="Times New Roman" w:cs="Times New Roman"/>
          <w:sz w:val="24"/>
          <w:szCs w:val="24"/>
        </w:rPr>
        <w:t>;</w:t>
      </w:r>
    </w:p>
    <w:p w:rsidR="008B3BC1" w:rsidRPr="00FD3680" w:rsidRDefault="008B3BC1" w:rsidP="00771A68">
      <w:pPr>
        <w:pStyle w:val="Odsekzoznamu"/>
        <w:numPr>
          <w:ilvl w:val="0"/>
          <w:numId w:val="30"/>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čo sa týka živočíšnej výroby:</w:t>
      </w:r>
    </w:p>
    <w:p w:rsidR="008B3BC1" w:rsidRPr="00FD3680" w:rsidRDefault="008B3BC1"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platba na dojnice vo výške 373 EUR/VDJ;</w:t>
      </w:r>
    </w:p>
    <w:p w:rsidR="008B3BC1" w:rsidRPr="00FD3680" w:rsidRDefault="008B3BC1"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platba na dojčiace kravy vo výške 100 EUR/VDJ;</w:t>
      </w:r>
    </w:p>
    <w:p w:rsidR="008B3BC1" w:rsidRPr="00FD3680" w:rsidRDefault="008B3BC1"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podpora ostatného</w:t>
      </w:r>
      <w:r w:rsidR="00643CD3" w:rsidRPr="00FD3680">
        <w:rPr>
          <w:rFonts w:ascii="Times New Roman" w:hAnsi="Times New Roman" w:cs="Times New Roman"/>
          <w:sz w:val="24"/>
          <w:szCs w:val="24"/>
        </w:rPr>
        <w:t xml:space="preserve"> mäsového</w:t>
      </w:r>
      <w:r w:rsidRPr="00FD3680">
        <w:rPr>
          <w:rFonts w:ascii="Times New Roman" w:hAnsi="Times New Roman" w:cs="Times New Roman"/>
          <w:sz w:val="24"/>
          <w:szCs w:val="24"/>
        </w:rPr>
        <w:t xml:space="preserve"> dobytka vo výške 161 EUR/VDJ;</w:t>
      </w:r>
    </w:p>
    <w:p w:rsidR="008B3BC1" w:rsidRPr="00FD3680" w:rsidRDefault="008B3BC1"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podpora oviec a kôz, </w:t>
      </w:r>
      <w:r w:rsidR="00643CD3" w:rsidRPr="00FD3680">
        <w:rPr>
          <w:rFonts w:ascii="Times New Roman" w:hAnsi="Times New Roman" w:cs="Times New Roman"/>
          <w:sz w:val="24"/>
          <w:szCs w:val="24"/>
        </w:rPr>
        <w:t>vo výške</w:t>
      </w:r>
      <w:r w:rsidRPr="00FD3680">
        <w:rPr>
          <w:rFonts w:ascii="Times New Roman" w:hAnsi="Times New Roman" w:cs="Times New Roman"/>
          <w:sz w:val="24"/>
          <w:szCs w:val="24"/>
        </w:rPr>
        <w:t xml:space="preserve"> </w:t>
      </w:r>
      <w:r w:rsidR="00643CD3" w:rsidRPr="00FD3680">
        <w:rPr>
          <w:rFonts w:ascii="Times New Roman" w:hAnsi="Times New Roman" w:cs="Times New Roman"/>
          <w:sz w:val="24"/>
          <w:szCs w:val="24"/>
        </w:rPr>
        <w:t>146</w:t>
      </w:r>
      <w:r w:rsidRPr="00FD3680">
        <w:rPr>
          <w:rFonts w:ascii="Times New Roman" w:hAnsi="Times New Roman" w:cs="Times New Roman"/>
          <w:sz w:val="24"/>
          <w:szCs w:val="24"/>
        </w:rPr>
        <w:t xml:space="preserve"> EUR/</w:t>
      </w:r>
      <w:r w:rsidR="00643CD3" w:rsidRPr="00FD3680">
        <w:rPr>
          <w:rFonts w:ascii="Times New Roman" w:hAnsi="Times New Roman" w:cs="Times New Roman"/>
          <w:sz w:val="24"/>
          <w:szCs w:val="24"/>
        </w:rPr>
        <w:t>VDJ;</w:t>
      </w:r>
    </w:p>
    <w:p w:rsidR="00643CD3" w:rsidRPr="00FD3680" w:rsidRDefault="00643CD3"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podpora ošípaných</w:t>
      </w:r>
      <w:r w:rsidR="008B3BC1" w:rsidRPr="00FD3680">
        <w:rPr>
          <w:rFonts w:ascii="Times New Roman" w:hAnsi="Times New Roman" w:cs="Times New Roman"/>
          <w:sz w:val="24"/>
          <w:szCs w:val="24"/>
        </w:rPr>
        <w:t xml:space="preserve"> </w:t>
      </w:r>
      <w:r w:rsidRPr="00FD3680">
        <w:rPr>
          <w:rFonts w:ascii="Times New Roman" w:hAnsi="Times New Roman" w:cs="Times New Roman"/>
          <w:sz w:val="24"/>
          <w:szCs w:val="24"/>
        </w:rPr>
        <w:t>vo výške</w:t>
      </w:r>
      <w:r w:rsidR="008B3BC1" w:rsidRPr="00FD3680">
        <w:rPr>
          <w:rFonts w:ascii="Times New Roman" w:hAnsi="Times New Roman" w:cs="Times New Roman"/>
          <w:sz w:val="24"/>
          <w:szCs w:val="24"/>
        </w:rPr>
        <w:t xml:space="preserve"> 250 EUR/V</w:t>
      </w:r>
      <w:r w:rsidRPr="00FD3680">
        <w:rPr>
          <w:rFonts w:ascii="Times New Roman" w:hAnsi="Times New Roman" w:cs="Times New Roman"/>
          <w:sz w:val="24"/>
          <w:szCs w:val="24"/>
        </w:rPr>
        <w:t>DJ;</w:t>
      </w:r>
    </w:p>
    <w:p w:rsidR="008B3BC1" w:rsidRPr="00FD3680" w:rsidRDefault="00643CD3"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podpora výkrmu ošípaných vo výške 39,20 EUR/VDJ;</w:t>
      </w:r>
    </w:p>
    <w:p w:rsidR="008B3BC1" w:rsidRPr="00FD3680" w:rsidRDefault="008B3BC1" w:rsidP="00771A68">
      <w:pPr>
        <w:pStyle w:val="Odsekzoznamu"/>
        <w:numPr>
          <w:ilvl w:val="0"/>
          <w:numId w:val="31"/>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v rastlinnej výrobe sa sústreďujeme hlavne na podporu:</w:t>
      </w:r>
    </w:p>
    <w:p w:rsidR="008B3BC1" w:rsidRPr="00FD3680" w:rsidRDefault="008B3BC1"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produkcie ovocia, kde v</w:t>
      </w:r>
      <w:r w:rsidR="00643CD3" w:rsidRPr="00FD3680">
        <w:rPr>
          <w:rFonts w:ascii="Times New Roman" w:hAnsi="Times New Roman" w:cs="Times New Roman"/>
          <w:sz w:val="24"/>
          <w:szCs w:val="24"/>
        </w:rPr>
        <w:t xml:space="preserve"> konvenčnej, </w:t>
      </w:r>
      <w:r w:rsidRPr="00FD3680">
        <w:rPr>
          <w:rFonts w:ascii="Times New Roman" w:hAnsi="Times New Roman" w:cs="Times New Roman"/>
          <w:sz w:val="24"/>
          <w:szCs w:val="24"/>
        </w:rPr>
        <w:t>integrovanej a eko</w:t>
      </w:r>
      <w:r w:rsidR="00643CD3" w:rsidRPr="00FD3680">
        <w:rPr>
          <w:rFonts w:ascii="Times New Roman" w:hAnsi="Times New Roman" w:cs="Times New Roman"/>
          <w:sz w:val="24"/>
          <w:szCs w:val="24"/>
        </w:rPr>
        <w:t>logickej produkcii by mala byť podpora</w:t>
      </w:r>
      <w:r w:rsidRPr="00FD3680">
        <w:rPr>
          <w:rFonts w:ascii="Times New Roman" w:hAnsi="Times New Roman" w:cs="Times New Roman"/>
          <w:sz w:val="24"/>
          <w:szCs w:val="24"/>
        </w:rPr>
        <w:t xml:space="preserve"> </w:t>
      </w:r>
      <w:r w:rsidR="00643CD3" w:rsidRPr="00FD3680">
        <w:rPr>
          <w:rFonts w:ascii="Times New Roman" w:hAnsi="Times New Roman" w:cs="Times New Roman"/>
          <w:sz w:val="24"/>
          <w:szCs w:val="24"/>
        </w:rPr>
        <w:t xml:space="preserve">vo výške </w:t>
      </w:r>
      <w:r w:rsidRPr="00FD3680">
        <w:rPr>
          <w:rFonts w:ascii="Times New Roman" w:hAnsi="Times New Roman" w:cs="Times New Roman"/>
          <w:sz w:val="24"/>
          <w:szCs w:val="24"/>
        </w:rPr>
        <w:t xml:space="preserve">od </w:t>
      </w:r>
      <w:r w:rsidR="00643CD3" w:rsidRPr="00FD3680">
        <w:rPr>
          <w:rFonts w:ascii="Times New Roman" w:hAnsi="Times New Roman" w:cs="Times New Roman"/>
          <w:sz w:val="24"/>
          <w:szCs w:val="24"/>
        </w:rPr>
        <w:t>134</w:t>
      </w:r>
      <w:r w:rsidRPr="00FD3680">
        <w:rPr>
          <w:rFonts w:ascii="Times New Roman" w:hAnsi="Times New Roman" w:cs="Times New Roman"/>
          <w:sz w:val="24"/>
          <w:szCs w:val="24"/>
        </w:rPr>
        <w:t xml:space="preserve"> EUR/ha do</w:t>
      </w:r>
      <w:r w:rsidR="00643CD3" w:rsidRPr="00FD3680">
        <w:rPr>
          <w:rFonts w:ascii="Times New Roman" w:hAnsi="Times New Roman" w:cs="Times New Roman"/>
          <w:sz w:val="24"/>
          <w:szCs w:val="24"/>
        </w:rPr>
        <w:t xml:space="preserve"> 767</w:t>
      </w:r>
      <w:r w:rsidRPr="00FD3680">
        <w:rPr>
          <w:rFonts w:ascii="Times New Roman" w:hAnsi="Times New Roman" w:cs="Times New Roman"/>
          <w:sz w:val="24"/>
          <w:szCs w:val="24"/>
        </w:rPr>
        <w:t xml:space="preserve"> EUR/ha</w:t>
      </w:r>
    </w:p>
    <w:p w:rsidR="008B3BC1" w:rsidRPr="00FD3680" w:rsidRDefault="00643CD3" w:rsidP="00771A68">
      <w:pPr>
        <w:pStyle w:val="Odsekzoznamu"/>
        <w:numPr>
          <w:ilvl w:val="1"/>
          <w:numId w:val="29"/>
        </w:numPr>
        <w:spacing w:after="120" w:line="240" w:lineRule="auto"/>
        <w:jc w:val="both"/>
        <w:rPr>
          <w:rFonts w:ascii="Times New Roman" w:hAnsi="Times New Roman" w:cs="Times New Roman"/>
          <w:sz w:val="24"/>
          <w:szCs w:val="24"/>
        </w:rPr>
      </w:pPr>
      <w:r w:rsidRPr="00FD3680">
        <w:rPr>
          <w:rFonts w:ascii="Times New Roman" w:hAnsi="Times New Roman" w:cs="Times New Roman"/>
          <w:sz w:val="24"/>
          <w:szCs w:val="24"/>
        </w:rPr>
        <w:t>produkcie zeleniny, kde v konvenčnej, integrovanej a ekologickej produkcii by mala byť podpora vo výške od 197 EUR/ha do 665 EUR/ha</w:t>
      </w:r>
    </w:p>
    <w:p w:rsidR="008B3BC1" w:rsidRPr="00FD3680" w:rsidRDefault="008B3BC1" w:rsidP="00771A68">
      <w:pPr>
        <w:pStyle w:val="Odsekzoznamu"/>
        <w:numPr>
          <w:ilvl w:val="1"/>
          <w:numId w:val="29"/>
        </w:numPr>
        <w:spacing w:after="0" w:line="240" w:lineRule="auto"/>
        <w:ind w:left="1434" w:hanging="357"/>
        <w:jc w:val="both"/>
        <w:rPr>
          <w:rFonts w:ascii="Times New Roman" w:hAnsi="Times New Roman" w:cs="Times New Roman"/>
          <w:sz w:val="24"/>
          <w:szCs w:val="24"/>
        </w:rPr>
      </w:pPr>
      <w:r w:rsidRPr="00FD3680">
        <w:rPr>
          <w:rFonts w:ascii="Times New Roman" w:hAnsi="Times New Roman" w:cs="Times New Roman"/>
          <w:sz w:val="24"/>
          <w:szCs w:val="24"/>
        </w:rPr>
        <w:t xml:space="preserve">pestovania viniča, kde v integrovanej a ekologickej produkcii bude podpora                  od </w:t>
      </w:r>
      <w:r w:rsidR="00643CD3" w:rsidRPr="00FD3680">
        <w:rPr>
          <w:rFonts w:ascii="Times New Roman" w:hAnsi="Times New Roman" w:cs="Times New Roman"/>
          <w:sz w:val="24"/>
          <w:szCs w:val="24"/>
        </w:rPr>
        <w:t>593</w:t>
      </w:r>
      <w:r w:rsidRPr="00FD3680">
        <w:rPr>
          <w:rFonts w:ascii="Times New Roman" w:hAnsi="Times New Roman" w:cs="Times New Roman"/>
          <w:sz w:val="24"/>
          <w:szCs w:val="24"/>
        </w:rPr>
        <w:t xml:space="preserve"> EUR/ha do </w:t>
      </w:r>
      <w:r w:rsidR="00643CD3" w:rsidRPr="00FD3680">
        <w:rPr>
          <w:rFonts w:ascii="Times New Roman" w:hAnsi="Times New Roman" w:cs="Times New Roman"/>
          <w:sz w:val="24"/>
          <w:szCs w:val="24"/>
        </w:rPr>
        <w:t>686</w:t>
      </w:r>
      <w:r w:rsidRPr="00FD3680">
        <w:rPr>
          <w:rFonts w:ascii="Times New Roman" w:hAnsi="Times New Roman" w:cs="Times New Roman"/>
          <w:sz w:val="24"/>
          <w:szCs w:val="24"/>
        </w:rPr>
        <w:t xml:space="preserve"> EUR/ha</w:t>
      </w:r>
    </w:p>
    <w:p w:rsidR="00643CD3" w:rsidRPr="00FD3680" w:rsidRDefault="008B3BC1" w:rsidP="00F83C92">
      <w:pPr>
        <w:spacing w:after="0" w:line="240" w:lineRule="auto"/>
        <w:jc w:val="both"/>
        <w:rPr>
          <w:rFonts w:ascii="Times New Roman" w:hAnsi="Times New Roman" w:cs="Times New Roman"/>
          <w:sz w:val="24"/>
          <w:szCs w:val="24"/>
          <w:lang w:eastAsia="ar-SA"/>
        </w:rPr>
      </w:pPr>
      <w:r w:rsidRPr="00FD3680">
        <w:rPr>
          <w:rFonts w:ascii="Times New Roman" w:eastAsia="Times New Roman" w:hAnsi="Times New Roman"/>
          <w:sz w:val="24"/>
          <w:szCs w:val="24"/>
          <w:lang w:eastAsia="sk-SK"/>
        </w:rPr>
        <w:t xml:space="preserve"> </w:t>
      </w:r>
    </w:p>
    <w:p w:rsidR="007B08AA" w:rsidRPr="00FD3680" w:rsidRDefault="008B3BC1" w:rsidP="00F83C92">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Dôležitým systémovým znakom sendvičového modelu je jeho stabilita počas </w:t>
      </w:r>
      <w:r w:rsidR="00643CD3" w:rsidRPr="00FD3680">
        <w:rPr>
          <w:rFonts w:ascii="Times New Roman" w:hAnsi="Times New Roman" w:cs="Times New Roman"/>
          <w:sz w:val="24"/>
          <w:szCs w:val="24"/>
          <w:lang w:eastAsia="ar-SA"/>
        </w:rPr>
        <w:t xml:space="preserve">celého programového obdobia, čím sa umožní najmä malým, mladým a rodinným farmárom nastaviť si svoj podnikateľský plán bez obáv nekoncepčných zmien vo výške podpôr. </w:t>
      </w:r>
    </w:p>
    <w:p w:rsidR="007B08AA" w:rsidRPr="00FD3680" w:rsidRDefault="007B08AA" w:rsidP="00F83C92">
      <w:pPr>
        <w:spacing w:after="0" w:line="240" w:lineRule="auto"/>
        <w:jc w:val="both"/>
        <w:rPr>
          <w:rFonts w:ascii="Times New Roman" w:hAnsi="Times New Roman" w:cs="Times New Roman"/>
          <w:sz w:val="24"/>
          <w:szCs w:val="24"/>
          <w:lang w:eastAsia="ar-SA"/>
        </w:rPr>
      </w:pPr>
    </w:p>
    <w:p w:rsidR="00F83C92" w:rsidRPr="00FD3680" w:rsidRDefault="00643CD3" w:rsidP="00F83C92">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Je však potrebné upozorniť, že uvedené výšky podpôr sú indikatívne a konečné úrovne budú známe až po ukončení a uzavretí rokovaní ohľadne nového programového obdobia s Európskou komisiou.</w:t>
      </w:r>
    </w:p>
    <w:p w:rsidR="002D0A1C" w:rsidRPr="00FD3680" w:rsidRDefault="002D0A1C" w:rsidP="00F83C92">
      <w:pPr>
        <w:spacing w:after="0" w:line="240" w:lineRule="auto"/>
        <w:jc w:val="both"/>
        <w:rPr>
          <w:rFonts w:ascii="Times New Roman" w:hAnsi="Times New Roman" w:cs="Times New Roman"/>
          <w:sz w:val="24"/>
          <w:szCs w:val="24"/>
          <w:lang w:eastAsia="ar-SA"/>
        </w:rPr>
      </w:pPr>
    </w:p>
    <w:p w:rsidR="00643CD3" w:rsidRPr="00FD3680" w:rsidRDefault="00643CD3" w:rsidP="006B5633">
      <w:pPr>
        <w:pStyle w:val="Nadpis3"/>
      </w:pPr>
      <w:bookmarkStart w:id="33" w:name="_Toc394589446"/>
      <w:r w:rsidRPr="00FD3680">
        <w:t>Zlepšenie prístupu k podporným opatreniam v rámci Spoločnej organizácie trhov</w:t>
      </w:r>
      <w:r w:rsidR="008D0780" w:rsidRPr="00FD3680">
        <w:t xml:space="preserve"> (SOT)</w:t>
      </w:r>
      <w:bookmarkEnd w:id="33"/>
    </w:p>
    <w:p w:rsidR="00F83C92" w:rsidRPr="00FD3680" w:rsidRDefault="00F83C92" w:rsidP="00F83C92">
      <w:pPr>
        <w:spacing w:after="0" w:line="240" w:lineRule="auto"/>
        <w:jc w:val="both"/>
        <w:rPr>
          <w:rFonts w:ascii="Times New Roman" w:hAnsi="Times New Roman" w:cs="Times New Roman"/>
          <w:sz w:val="24"/>
          <w:szCs w:val="24"/>
          <w:lang w:eastAsia="ar-SA"/>
        </w:rPr>
      </w:pPr>
    </w:p>
    <w:p w:rsidR="00C04DBA" w:rsidRPr="00FD3680" w:rsidRDefault="00C04DBA" w:rsidP="00C04DBA">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Významnou podporou v rámci opatrení spoločnej organizácie poľnohospodárskych trhov je pre cieľové skupiny tejto koncepcie </w:t>
      </w:r>
      <w:r w:rsidRPr="00FD3680">
        <w:rPr>
          <w:rFonts w:ascii="Times New Roman" w:hAnsi="Times New Roman" w:cs="Times New Roman"/>
          <w:sz w:val="24"/>
          <w:szCs w:val="24"/>
          <w:u w:val="single"/>
          <w:lang w:eastAsia="ar-SA"/>
        </w:rPr>
        <w:t>uplatňovanie Národného podporného programu v rámci spoločnej organizácie trhu s vínom</w:t>
      </w:r>
      <w:r w:rsidRPr="00FD3680">
        <w:rPr>
          <w:rFonts w:ascii="Times New Roman" w:hAnsi="Times New Roman" w:cs="Times New Roman"/>
          <w:sz w:val="24"/>
          <w:szCs w:val="24"/>
          <w:lang w:eastAsia="ar-SA"/>
        </w:rPr>
        <w:t xml:space="preserve"> na roky 2014-2018: </w:t>
      </w:r>
    </w:p>
    <w:p w:rsidR="00C04DBA" w:rsidRPr="00FD3680" w:rsidRDefault="00C04DBA" w:rsidP="00323004">
      <w:pPr>
        <w:pStyle w:val="Odsekzoznamu"/>
        <w:numPr>
          <w:ilvl w:val="0"/>
          <w:numId w:val="40"/>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lastRenderedPageBreak/>
        <w:t>propagácia  –  cieľom podpory je zvýšenie informovanosti o kvalite slovenských vín, prezentácia a propagácia slovenských vín, zvýšenie povedomia potenciálnych spotrebiteľov o spôsobe označovania slovenských vín;</w:t>
      </w:r>
    </w:p>
    <w:p w:rsidR="00C04DBA" w:rsidRPr="00FD3680" w:rsidRDefault="00C04DBA" w:rsidP="00323004">
      <w:pPr>
        <w:pStyle w:val="Odsekzoznamu"/>
        <w:numPr>
          <w:ilvl w:val="0"/>
          <w:numId w:val="40"/>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reštrukturalizácia vinohradov – cieľom podpory je zvýšenie konkurencieschopnosti výrobcov vína, prispôsobenie produkcie trhovým podmienkam a skvalitnenie vinohradníckej a vinárskej výroby. Príslušné opatrenia sa môžu realizovať na plochách vinohradov evidovaných v registri vinohradov za účelom vyklčovania vinohradu s uplatnením práva na opätovnú výsadbu. Za reštrukturalizáciu vinohradov sa nepovažuje bežná obnova vinohradu, ktorému sa skončila prirodzená životnosť;</w:t>
      </w:r>
    </w:p>
    <w:p w:rsidR="00C04DBA" w:rsidRPr="00FD3680" w:rsidRDefault="00C04DBA" w:rsidP="00323004">
      <w:pPr>
        <w:pStyle w:val="Odsekzoznamu"/>
        <w:numPr>
          <w:ilvl w:val="0"/>
          <w:numId w:val="40"/>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poistenie úrody – cieľom podpory je zníženie rizika v oblasti prvotnej výroby poľnohospodárskych výrobkov v dôsledku prírodných katastrof, nepriaznivých poveternostných udalostí, výskytu chorôb viniča a zamoreniu škodcami, zvýšenie nízkeho záujmu výrobcov o poistenie úrody, minimali</w:t>
      </w:r>
      <w:r w:rsidR="00765721" w:rsidRPr="00FD3680">
        <w:rPr>
          <w:rFonts w:ascii="Times New Roman" w:hAnsi="Times New Roman" w:cs="Times New Roman"/>
          <w:sz w:val="24"/>
          <w:szCs w:val="24"/>
          <w:lang w:eastAsia="ar-SA"/>
        </w:rPr>
        <w:t>zovanie strát príjmov výrobcov;</w:t>
      </w:r>
    </w:p>
    <w:p w:rsidR="002D0A1C" w:rsidRPr="00FD3680" w:rsidRDefault="00C04DBA" w:rsidP="00323004">
      <w:pPr>
        <w:pStyle w:val="Odsekzoznamu"/>
        <w:numPr>
          <w:ilvl w:val="0"/>
          <w:numId w:val="40"/>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lang w:eastAsia="ar-SA"/>
        </w:rPr>
        <w:t>investície do podnikov – cieľom podpory je zvýšenie konkurencieschopnosti produkcie vína a zvýšenie kvality a odbytu výrobkov.</w:t>
      </w:r>
    </w:p>
    <w:p w:rsidR="00F73C78" w:rsidRPr="00FD3680" w:rsidRDefault="00F73C78" w:rsidP="002D0A1C">
      <w:pPr>
        <w:spacing w:after="0" w:line="240" w:lineRule="auto"/>
        <w:jc w:val="both"/>
        <w:rPr>
          <w:rFonts w:ascii="Times New Roman" w:hAnsi="Times New Roman" w:cs="Times New Roman"/>
          <w:sz w:val="24"/>
          <w:szCs w:val="24"/>
        </w:rPr>
      </w:pPr>
    </w:p>
    <w:p w:rsidR="00F73C78" w:rsidRPr="00FD3680" w:rsidRDefault="00F73C78" w:rsidP="00F73C78">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Ďalším významným podporným opatrením v rámci SOT je </w:t>
      </w:r>
      <w:r w:rsidRPr="00FD3680">
        <w:rPr>
          <w:rFonts w:ascii="Times New Roman" w:hAnsi="Times New Roman" w:cs="Times New Roman"/>
          <w:sz w:val="24"/>
          <w:szCs w:val="24"/>
          <w:u w:val="single"/>
          <w:lang w:eastAsia="ar-SA"/>
        </w:rPr>
        <w:t>podpora ovocia a zeleniny</w:t>
      </w:r>
      <w:r w:rsidRPr="00FD3680">
        <w:rPr>
          <w:rFonts w:ascii="Times New Roman" w:hAnsi="Times New Roman" w:cs="Times New Roman"/>
          <w:sz w:val="24"/>
          <w:szCs w:val="24"/>
          <w:lang w:eastAsia="ar-SA"/>
        </w:rPr>
        <w:t xml:space="preserve">. Sektor ovocia a zeleniny je podporovaný prostredníctvom financovania činností operačného programu, ktorý predkladá uznaná organizácia výrobcov v súlade s Národnou stratégiou SR pre operačné programy organizácií výrobcov v sektore ovocia a zeleniny. </w:t>
      </w:r>
    </w:p>
    <w:p w:rsidR="00F73C78" w:rsidRPr="00FD3680" w:rsidRDefault="00F73C78" w:rsidP="00F73C78">
      <w:pPr>
        <w:spacing w:after="0" w:line="240" w:lineRule="auto"/>
        <w:jc w:val="both"/>
        <w:rPr>
          <w:rFonts w:ascii="Times New Roman" w:hAnsi="Times New Roman" w:cs="Times New Roman"/>
          <w:sz w:val="24"/>
          <w:szCs w:val="24"/>
          <w:lang w:eastAsia="ar-SA"/>
        </w:rPr>
      </w:pPr>
    </w:p>
    <w:p w:rsidR="00F73C78" w:rsidRPr="00FD3680" w:rsidRDefault="00F73C78" w:rsidP="00F73C78">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Spolufinancovanie operačného programu je z prostriedkov EÚ vo výške 50% a vlastných zdrojov organizácie – 50%, ktoré sú tvorené z odvo</w:t>
      </w:r>
      <w:r w:rsidR="00323004" w:rsidRPr="00FD3680">
        <w:rPr>
          <w:rFonts w:ascii="Times New Roman" w:hAnsi="Times New Roman" w:cs="Times New Roman"/>
          <w:sz w:val="24"/>
          <w:szCs w:val="24"/>
          <w:lang w:eastAsia="ar-SA"/>
        </w:rPr>
        <w:t xml:space="preserve">dov členov do operačného fondu. </w:t>
      </w:r>
      <w:r w:rsidRPr="00FD3680">
        <w:rPr>
          <w:rFonts w:ascii="Times New Roman" w:hAnsi="Times New Roman" w:cs="Times New Roman"/>
          <w:sz w:val="24"/>
          <w:szCs w:val="24"/>
          <w:lang w:eastAsia="ar-SA"/>
        </w:rPr>
        <w:t xml:space="preserve">Operačný program je podnikateľský zámer </w:t>
      </w:r>
      <w:r w:rsidR="00323004" w:rsidRPr="00FD3680">
        <w:rPr>
          <w:rFonts w:ascii="Times New Roman" w:hAnsi="Times New Roman" w:cs="Times New Roman"/>
          <w:sz w:val="24"/>
          <w:szCs w:val="24"/>
          <w:lang w:eastAsia="ar-SA"/>
        </w:rPr>
        <w:t>organizácie výrobcov</w:t>
      </w:r>
      <w:r w:rsidRPr="00FD3680">
        <w:rPr>
          <w:rFonts w:ascii="Times New Roman" w:hAnsi="Times New Roman" w:cs="Times New Roman"/>
          <w:sz w:val="24"/>
          <w:szCs w:val="24"/>
          <w:lang w:eastAsia="ar-SA"/>
        </w:rPr>
        <w:t xml:space="preserve">, ktorý sa predkladá na obdobie 5 rokov a financuje podľa realizácie v jednotlivých rokoch. </w:t>
      </w:r>
    </w:p>
    <w:p w:rsidR="00323004" w:rsidRPr="00FD3680" w:rsidRDefault="00323004" w:rsidP="00F73C78">
      <w:pPr>
        <w:spacing w:after="0" w:line="240" w:lineRule="auto"/>
        <w:jc w:val="both"/>
        <w:rPr>
          <w:rFonts w:ascii="Times New Roman" w:hAnsi="Times New Roman" w:cs="Times New Roman"/>
          <w:sz w:val="24"/>
          <w:szCs w:val="24"/>
          <w:lang w:eastAsia="ar-SA"/>
        </w:rPr>
      </w:pPr>
    </w:p>
    <w:p w:rsidR="00F73C78" w:rsidRPr="00FD3680" w:rsidRDefault="00F73C78" w:rsidP="00F73C78">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Ciele operačných programov v</w:t>
      </w:r>
      <w:r w:rsidR="00323004" w:rsidRPr="00FD3680">
        <w:rPr>
          <w:rFonts w:ascii="Times New Roman" w:hAnsi="Times New Roman" w:cs="Times New Roman"/>
          <w:sz w:val="24"/>
          <w:szCs w:val="24"/>
          <w:lang w:eastAsia="ar-SA"/>
        </w:rPr>
        <w:t> </w:t>
      </w:r>
      <w:r w:rsidRPr="00FD3680">
        <w:rPr>
          <w:rFonts w:ascii="Times New Roman" w:hAnsi="Times New Roman" w:cs="Times New Roman"/>
          <w:sz w:val="24"/>
          <w:szCs w:val="24"/>
          <w:lang w:eastAsia="ar-SA"/>
        </w:rPr>
        <w:t>SR</w:t>
      </w:r>
      <w:r w:rsidR="00323004" w:rsidRPr="00FD3680">
        <w:rPr>
          <w:rFonts w:ascii="Times New Roman" w:hAnsi="Times New Roman" w:cs="Times New Roman"/>
          <w:sz w:val="24"/>
          <w:szCs w:val="24"/>
          <w:lang w:eastAsia="ar-SA"/>
        </w:rPr>
        <w:t xml:space="preserve"> sú nasledovné:</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Plánovanie výroby a zabezpečenie vyhovujúcej štruktúry sadov, porastov zeleniny podľa požiadaviek trhu.</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Zlepšenie a udržanie vyrovnanej obchodnej kvality výrobkov, zdravotnej neškodnosti a zachovanie vlastností výrobkov (vrátane chuti, vône, hygienických požiadaviek).</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Zvyšovanie obchodnej hodnoty výrobkov, predaj, investície do nových technológií.</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Znižovanie výrobných nákladov.</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bookmarkStart w:id="34" w:name="_GoBack"/>
      <w:bookmarkEnd w:id="34"/>
      <w:r w:rsidRPr="00FD3680">
        <w:rPr>
          <w:rFonts w:ascii="Times New Roman" w:hAnsi="Times New Roman" w:cs="Times New Roman"/>
          <w:sz w:val="24"/>
          <w:szCs w:val="24"/>
          <w:lang w:eastAsia="ar-SA"/>
        </w:rPr>
        <w:t>Podpora výskumu a zabezpečenia experimentálnej výroby.</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Rozsiahlejšia spolupráca medzi OV, zväzmi (napr. zväzy pre integrovanú produkciu), obchodnými spoločnosťami a spracovateľmi.</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zlepšenia predaja, komunikačné a propagačné činnosti (iné ako propagácia v rámci krízového manažmentu).</w:t>
      </w:r>
    </w:p>
    <w:p w:rsidR="00F73C78" w:rsidRPr="00FD3680" w:rsidRDefault="00F73C78" w:rsidP="00323004">
      <w:pPr>
        <w:pStyle w:val="Odsekzoznamu"/>
        <w:numPr>
          <w:ilvl w:val="0"/>
          <w:numId w:val="41"/>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Podpora opatrení na prechádzanie kríz a krízový manažment (propagácia, komunikácia, sťahovanie z trhu, zelený zber a neuskutočnenie zberu, poistenie úrody).</w:t>
      </w:r>
    </w:p>
    <w:p w:rsidR="00323004" w:rsidRPr="00FD3680" w:rsidRDefault="00323004" w:rsidP="00F73C78">
      <w:pPr>
        <w:spacing w:after="0" w:line="240" w:lineRule="auto"/>
        <w:jc w:val="both"/>
        <w:rPr>
          <w:rFonts w:ascii="Times New Roman" w:hAnsi="Times New Roman" w:cs="Times New Roman"/>
          <w:sz w:val="24"/>
          <w:szCs w:val="24"/>
          <w:lang w:eastAsia="ar-SA"/>
        </w:rPr>
      </w:pPr>
    </w:p>
    <w:p w:rsidR="0068467F" w:rsidRPr="00FD3680" w:rsidRDefault="0068467F" w:rsidP="00F73C78">
      <w:pPr>
        <w:spacing w:after="0" w:line="240" w:lineRule="auto"/>
        <w:jc w:val="both"/>
        <w:rPr>
          <w:rFonts w:ascii="Times New Roman" w:hAnsi="Times New Roman" w:cs="Times New Roman"/>
          <w:sz w:val="24"/>
          <w:szCs w:val="24"/>
          <w:lang w:eastAsia="ar-SA"/>
        </w:rPr>
      </w:pPr>
    </w:p>
    <w:p w:rsidR="0068467F" w:rsidRPr="00FD3680" w:rsidRDefault="0068467F" w:rsidP="00F73C78">
      <w:pPr>
        <w:spacing w:after="0" w:line="240" w:lineRule="auto"/>
        <w:jc w:val="both"/>
        <w:rPr>
          <w:rFonts w:ascii="Times New Roman" w:hAnsi="Times New Roman" w:cs="Times New Roman"/>
          <w:sz w:val="24"/>
          <w:szCs w:val="24"/>
          <w:lang w:eastAsia="ar-SA"/>
        </w:rPr>
      </w:pPr>
    </w:p>
    <w:p w:rsidR="0068467F" w:rsidRPr="00FD3680" w:rsidRDefault="0068467F" w:rsidP="00F73C78">
      <w:pPr>
        <w:spacing w:after="0" w:line="240" w:lineRule="auto"/>
        <w:jc w:val="both"/>
        <w:rPr>
          <w:rFonts w:ascii="Times New Roman" w:hAnsi="Times New Roman" w:cs="Times New Roman"/>
          <w:sz w:val="24"/>
          <w:szCs w:val="24"/>
          <w:lang w:eastAsia="ar-SA"/>
        </w:rPr>
      </w:pPr>
    </w:p>
    <w:p w:rsidR="00323004" w:rsidRPr="00FD3680" w:rsidRDefault="00323004" w:rsidP="00F73C78">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Taktiež sa v rámci SOT podporuje </w:t>
      </w:r>
      <w:r w:rsidRPr="00FD3680">
        <w:rPr>
          <w:rFonts w:ascii="Times New Roman" w:hAnsi="Times New Roman" w:cs="Times New Roman"/>
          <w:sz w:val="24"/>
          <w:szCs w:val="24"/>
          <w:u w:val="single"/>
          <w:lang w:eastAsia="ar-SA"/>
        </w:rPr>
        <w:t>sektor včelárstva</w:t>
      </w:r>
      <w:r w:rsidRPr="00FD3680">
        <w:rPr>
          <w:rFonts w:ascii="Times New Roman" w:hAnsi="Times New Roman" w:cs="Times New Roman"/>
          <w:sz w:val="24"/>
          <w:szCs w:val="24"/>
          <w:lang w:eastAsia="ar-SA"/>
        </w:rPr>
        <w:t>. Hlavným</w:t>
      </w:r>
      <w:r w:rsidR="00F73C78" w:rsidRPr="00FD3680">
        <w:rPr>
          <w:rFonts w:ascii="Times New Roman" w:hAnsi="Times New Roman" w:cs="Times New Roman"/>
          <w:sz w:val="24"/>
          <w:szCs w:val="24"/>
          <w:lang w:eastAsia="ar-SA"/>
        </w:rPr>
        <w:t xml:space="preserve"> cieľom zlepšiť všeobecné podmienky výroby včelárskych výrobkov a ich uvádzania na trh sa poskytuje pomoc v sektore včelárstva a v súlade s Národným programom stabilizácie a rozvoja slovenského včelárstva na roky 2013/2014 až 2015/2016, na obdobie troch rokov, pričom príspevok z prostriedkov EÚ zodpovedá 50% výdavkov a 50% výdavkov je financovaných zo štátneho rozpočtu. </w:t>
      </w:r>
    </w:p>
    <w:p w:rsidR="00323004" w:rsidRPr="00FD3680" w:rsidRDefault="00323004" w:rsidP="00F73C78">
      <w:pPr>
        <w:spacing w:after="0" w:line="240" w:lineRule="auto"/>
        <w:jc w:val="both"/>
        <w:rPr>
          <w:rFonts w:ascii="Times New Roman" w:hAnsi="Times New Roman" w:cs="Times New Roman"/>
          <w:sz w:val="24"/>
          <w:szCs w:val="24"/>
          <w:lang w:eastAsia="ar-SA"/>
        </w:rPr>
      </w:pPr>
    </w:p>
    <w:p w:rsidR="00F73C78" w:rsidRPr="00FD3680" w:rsidRDefault="00F73C78" w:rsidP="00F73C78">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lastRenderedPageBreak/>
        <w:t>V Národnom programe sú zahrnuté tieto opatrenia:</w:t>
      </w:r>
    </w:p>
    <w:p w:rsidR="00F73C78" w:rsidRPr="00FD3680" w:rsidRDefault="00F73C78" w:rsidP="00323004">
      <w:pPr>
        <w:pStyle w:val="Odsekzoznamu"/>
        <w:numPr>
          <w:ilvl w:val="0"/>
          <w:numId w:val="42"/>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Technická pomoc včelárom a včelárskym združeniam</w:t>
      </w:r>
    </w:p>
    <w:p w:rsidR="00F73C78" w:rsidRPr="00FD3680" w:rsidRDefault="00F73C78" w:rsidP="00323004">
      <w:pPr>
        <w:pStyle w:val="Odsekzoznamu"/>
        <w:numPr>
          <w:ilvl w:val="0"/>
          <w:numId w:val="42"/>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Kontrola varroázy</w:t>
      </w:r>
    </w:p>
    <w:p w:rsidR="00F73C78" w:rsidRPr="00FD3680" w:rsidRDefault="00F73C78" w:rsidP="00323004">
      <w:pPr>
        <w:pStyle w:val="Odsekzoznamu"/>
        <w:numPr>
          <w:ilvl w:val="0"/>
          <w:numId w:val="42"/>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Racionalizácia sezónneho presunu včelstiev</w:t>
      </w:r>
    </w:p>
    <w:p w:rsidR="00F73C78" w:rsidRPr="00FD3680" w:rsidRDefault="00F73C78" w:rsidP="00323004">
      <w:pPr>
        <w:pStyle w:val="Odsekzoznamu"/>
        <w:numPr>
          <w:ilvl w:val="0"/>
          <w:numId w:val="42"/>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Opatrenia na podporu laboratórií vykonávajúcich analýzy fyzikálno-chemických vlastností medu</w:t>
      </w:r>
    </w:p>
    <w:p w:rsidR="00F73C78" w:rsidRPr="00FD3680" w:rsidRDefault="00F73C78" w:rsidP="00323004">
      <w:pPr>
        <w:pStyle w:val="Odsekzoznamu"/>
        <w:numPr>
          <w:ilvl w:val="0"/>
          <w:numId w:val="42"/>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Opatrenia na podporu obnovovania včelstiev v Únií</w:t>
      </w:r>
    </w:p>
    <w:p w:rsidR="00165761" w:rsidRPr="00FD3680" w:rsidRDefault="00F73C78" w:rsidP="00323004">
      <w:pPr>
        <w:pStyle w:val="Odsekzoznamu"/>
        <w:numPr>
          <w:ilvl w:val="0"/>
          <w:numId w:val="42"/>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Spolupráca so špecializovanými inštitúciami na implementáciu aplikovaného výskumu v oblasti včelárstva a včelích produktov.</w:t>
      </w:r>
      <w:r w:rsidR="00165761" w:rsidRPr="00FD3680">
        <w:rPr>
          <w:rFonts w:ascii="Times New Roman" w:hAnsi="Times New Roman" w:cs="Times New Roman"/>
          <w:sz w:val="24"/>
          <w:szCs w:val="24"/>
          <w:lang w:eastAsia="ar-SA"/>
        </w:rPr>
        <w:br w:type="page"/>
      </w:r>
    </w:p>
    <w:p w:rsidR="00165761" w:rsidRPr="00FD3680" w:rsidRDefault="008506F0" w:rsidP="00771A68">
      <w:pPr>
        <w:pStyle w:val="Nadpis1"/>
        <w:numPr>
          <w:ilvl w:val="0"/>
          <w:numId w:val="36"/>
        </w:numPr>
      </w:pPr>
      <w:bookmarkStart w:id="35" w:name="_Toc394589447"/>
      <w:r w:rsidRPr="00FD3680">
        <w:lastRenderedPageBreak/>
        <w:t>sumarizácia podporných mechanizmov pre cieľové skupiny poľnohospodárskych podnikateľov</w:t>
      </w:r>
      <w:bookmarkEnd w:id="35"/>
    </w:p>
    <w:p w:rsidR="008855DE" w:rsidRPr="00FD3680" w:rsidRDefault="008855DE" w:rsidP="00B84045">
      <w:pPr>
        <w:spacing w:after="0" w:line="240" w:lineRule="auto"/>
        <w:jc w:val="both"/>
        <w:rPr>
          <w:rFonts w:ascii="Times New Roman" w:hAnsi="Times New Roman" w:cs="Times New Roman"/>
          <w:sz w:val="24"/>
          <w:szCs w:val="24"/>
        </w:rPr>
      </w:pPr>
    </w:p>
    <w:p w:rsidR="002B6A25" w:rsidRPr="00FD3680" w:rsidRDefault="00140E09" w:rsidP="00140E09">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Nástroje</w:t>
      </w:r>
      <w:r w:rsidR="002B6A25" w:rsidRPr="00FD3680">
        <w:rPr>
          <w:rFonts w:ascii="Times New Roman" w:hAnsi="Times New Roman" w:cs="Times New Roman"/>
          <w:sz w:val="24"/>
          <w:szCs w:val="24"/>
          <w:lang w:eastAsia="ar-SA"/>
        </w:rPr>
        <w:t xml:space="preserve"> na </w:t>
      </w:r>
      <w:r w:rsidRPr="00FD3680">
        <w:rPr>
          <w:rFonts w:ascii="Times New Roman" w:hAnsi="Times New Roman" w:cs="Times New Roman"/>
          <w:sz w:val="24"/>
          <w:szCs w:val="24"/>
          <w:lang w:eastAsia="ar-SA"/>
        </w:rPr>
        <w:t>podporu cieľových skupín poľnohospodárskych podnikateľov je možné rozdeliť do dvoch hlavných skupín</w:t>
      </w:r>
      <w:r w:rsidR="007C1E08" w:rsidRPr="00FD3680">
        <w:rPr>
          <w:rFonts w:ascii="Times New Roman" w:hAnsi="Times New Roman" w:cs="Times New Roman"/>
          <w:sz w:val="24"/>
          <w:szCs w:val="24"/>
          <w:lang w:eastAsia="ar-SA"/>
        </w:rPr>
        <w:t xml:space="preserve"> a štyroch podskupín</w:t>
      </w:r>
      <w:r w:rsidRPr="00FD3680">
        <w:rPr>
          <w:rFonts w:ascii="Times New Roman" w:hAnsi="Times New Roman" w:cs="Times New Roman"/>
          <w:sz w:val="24"/>
          <w:szCs w:val="24"/>
          <w:lang w:eastAsia="ar-SA"/>
        </w:rPr>
        <w:t>:</w:t>
      </w:r>
    </w:p>
    <w:p w:rsidR="00140E09" w:rsidRPr="00FD3680" w:rsidRDefault="00140E09" w:rsidP="00140E09">
      <w:pPr>
        <w:spacing w:after="0" w:line="240" w:lineRule="auto"/>
        <w:jc w:val="both"/>
        <w:rPr>
          <w:rFonts w:ascii="Times New Roman" w:hAnsi="Times New Roman" w:cs="Times New Roman"/>
          <w:sz w:val="24"/>
          <w:szCs w:val="24"/>
          <w:lang w:eastAsia="ar-SA"/>
        </w:rPr>
      </w:pPr>
    </w:p>
    <w:p w:rsidR="00140E09" w:rsidRPr="00FD3680" w:rsidRDefault="00140E09" w:rsidP="00771A68">
      <w:pPr>
        <w:pStyle w:val="Odsekzoznamu"/>
        <w:numPr>
          <w:ilvl w:val="0"/>
          <w:numId w:val="33"/>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nástroje na priamu podporu cieľových skupín poľnohospodárskych podnikateľov:</w:t>
      </w:r>
    </w:p>
    <w:p w:rsidR="00140E09" w:rsidRPr="00FD3680" w:rsidRDefault="00CB3186" w:rsidP="00771A68">
      <w:pPr>
        <w:pStyle w:val="Odsekzoznamu"/>
        <w:numPr>
          <w:ilvl w:val="1"/>
          <w:numId w:val="33"/>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špecifické nástroje</w:t>
      </w:r>
      <w:r w:rsidR="00140E09" w:rsidRPr="00FD3680">
        <w:rPr>
          <w:rFonts w:ascii="Times New Roman" w:hAnsi="Times New Roman" w:cs="Times New Roman"/>
          <w:sz w:val="24"/>
          <w:szCs w:val="24"/>
          <w:lang w:eastAsia="ar-SA"/>
        </w:rPr>
        <w:t>;</w:t>
      </w:r>
    </w:p>
    <w:p w:rsidR="00140E09" w:rsidRPr="00FD3680" w:rsidRDefault="00CB3186" w:rsidP="00140E09">
      <w:pPr>
        <w:pStyle w:val="Odsekzoznamu"/>
        <w:numPr>
          <w:ilvl w:val="1"/>
          <w:numId w:val="33"/>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nástroje všeobecného charakteru</w:t>
      </w:r>
      <w:r w:rsidR="00140E09" w:rsidRPr="00FD3680">
        <w:rPr>
          <w:rFonts w:ascii="Times New Roman" w:hAnsi="Times New Roman" w:cs="Times New Roman"/>
          <w:sz w:val="24"/>
          <w:szCs w:val="24"/>
          <w:lang w:eastAsia="ar-SA"/>
        </w:rPr>
        <w:t xml:space="preserve">; </w:t>
      </w:r>
    </w:p>
    <w:p w:rsidR="00140E09" w:rsidRPr="00FD3680" w:rsidRDefault="00140E09" w:rsidP="00771A68">
      <w:pPr>
        <w:pStyle w:val="Odsekzoznamu"/>
        <w:numPr>
          <w:ilvl w:val="0"/>
          <w:numId w:val="33"/>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nástroje na nepriamu podporu cieľových skupín poľnohospodárskych podnikateľov:</w:t>
      </w:r>
    </w:p>
    <w:p w:rsidR="007C1E08" w:rsidRPr="00FD3680" w:rsidRDefault="007C1E08" w:rsidP="00771A68">
      <w:pPr>
        <w:pStyle w:val="Odsekzoznamu"/>
        <w:numPr>
          <w:ilvl w:val="1"/>
          <w:numId w:val="33"/>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nepriame nástroje na združovanie poľnohospodárskych podnikateľov a ich zapájanie sa do iniciatív zvýšenia atraktívnosti vidieckej krajiny; a</w:t>
      </w:r>
    </w:p>
    <w:p w:rsidR="00140E09" w:rsidRPr="00FD3680" w:rsidRDefault="007C1E08" w:rsidP="00771A68">
      <w:pPr>
        <w:pStyle w:val="Odsekzoznamu"/>
        <w:numPr>
          <w:ilvl w:val="1"/>
          <w:numId w:val="33"/>
        </w:num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nástroje, ktorých využitie je sprostredkované cez tretiu osobu.</w:t>
      </w:r>
    </w:p>
    <w:p w:rsidR="00140E09" w:rsidRPr="00FD3680" w:rsidRDefault="00140E09" w:rsidP="00140E09">
      <w:pPr>
        <w:spacing w:after="0" w:line="240" w:lineRule="auto"/>
        <w:jc w:val="both"/>
        <w:rPr>
          <w:rFonts w:ascii="Times New Roman" w:hAnsi="Times New Roman" w:cs="Times New Roman"/>
          <w:sz w:val="24"/>
          <w:szCs w:val="24"/>
          <w:lang w:eastAsia="ar-SA"/>
        </w:rPr>
      </w:pPr>
    </w:p>
    <w:p w:rsidR="00CB3186" w:rsidRPr="00FD3680" w:rsidRDefault="00CB3186" w:rsidP="00771A68">
      <w:pPr>
        <w:pStyle w:val="Nadpis2"/>
        <w:numPr>
          <w:ilvl w:val="1"/>
          <w:numId w:val="36"/>
        </w:numPr>
      </w:pPr>
      <w:bookmarkStart w:id="36" w:name="_Toc394589448"/>
      <w:r w:rsidRPr="00FD3680">
        <w:t>Nástroje na priamu podporu cieľových skupín poľnohospodárskych podnikateľov</w:t>
      </w:r>
      <w:bookmarkEnd w:id="36"/>
    </w:p>
    <w:p w:rsidR="00140E09" w:rsidRPr="00FD3680" w:rsidRDefault="00140E09" w:rsidP="00140E09">
      <w:pPr>
        <w:spacing w:after="0" w:line="240" w:lineRule="auto"/>
        <w:jc w:val="both"/>
        <w:rPr>
          <w:rFonts w:ascii="Times New Roman" w:hAnsi="Times New Roman" w:cs="Times New Roman"/>
          <w:sz w:val="24"/>
          <w:szCs w:val="24"/>
          <w:lang w:eastAsia="ar-SA"/>
        </w:rPr>
      </w:pPr>
    </w:p>
    <w:p w:rsidR="002B6A25" w:rsidRPr="00FD3680" w:rsidRDefault="00CB3186" w:rsidP="00CB3186">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Nástroje na priamu podporu cieľových skupín poľnohospodárskych podnikateľov funkčne rozdeľujeme na špecifické nástroje podpory cieľových skupín poľnohospodárskych podnikateľov a nástroje všeobecného charakteru.</w:t>
      </w:r>
    </w:p>
    <w:p w:rsidR="00CB3186" w:rsidRPr="00FD3680" w:rsidRDefault="00CB3186" w:rsidP="00CB3186">
      <w:pPr>
        <w:spacing w:after="0" w:line="240" w:lineRule="auto"/>
        <w:jc w:val="both"/>
        <w:rPr>
          <w:rFonts w:ascii="Times New Roman" w:hAnsi="Times New Roman" w:cs="Times New Roman"/>
          <w:sz w:val="24"/>
          <w:szCs w:val="24"/>
          <w:lang w:eastAsia="ar-SA"/>
        </w:rPr>
      </w:pPr>
    </w:p>
    <w:p w:rsidR="00CB3186" w:rsidRPr="00FD3680" w:rsidRDefault="00CB3186" w:rsidP="00CB3186">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u w:val="single"/>
          <w:lang w:eastAsia="ar-SA"/>
        </w:rPr>
        <w:t>Me</w:t>
      </w:r>
      <w:r w:rsidR="001D17E3" w:rsidRPr="00FD3680">
        <w:rPr>
          <w:rFonts w:ascii="Times New Roman" w:hAnsi="Times New Roman" w:cs="Times New Roman"/>
          <w:sz w:val="24"/>
          <w:szCs w:val="24"/>
          <w:u w:val="single"/>
          <w:lang w:eastAsia="ar-SA"/>
        </w:rPr>
        <w:t>dzi špecifické nástroje podpory</w:t>
      </w:r>
      <w:r w:rsidR="001D17E3" w:rsidRPr="00FD3680">
        <w:rPr>
          <w:rFonts w:ascii="Times New Roman" w:hAnsi="Times New Roman" w:cs="Times New Roman"/>
          <w:sz w:val="24"/>
          <w:szCs w:val="24"/>
          <w:lang w:eastAsia="ar-SA"/>
        </w:rPr>
        <w:t xml:space="preserve"> </w:t>
      </w:r>
      <w:r w:rsidRPr="00FD3680">
        <w:rPr>
          <w:rFonts w:ascii="Times New Roman" w:hAnsi="Times New Roman" w:cs="Times New Roman"/>
          <w:sz w:val="24"/>
          <w:szCs w:val="24"/>
          <w:lang w:eastAsia="ar-SA"/>
        </w:rPr>
        <w:t>patrí umožnenie prenájmu ornej pôdy od SPF</w:t>
      </w:r>
      <w:r w:rsidR="00761280" w:rsidRPr="00FD3680">
        <w:rPr>
          <w:rFonts w:ascii="Times New Roman" w:hAnsi="Times New Roman" w:cs="Times New Roman"/>
          <w:sz w:val="24"/>
          <w:szCs w:val="24"/>
          <w:lang w:eastAsia="ar-SA"/>
        </w:rPr>
        <w:t xml:space="preserve">, </w:t>
      </w:r>
      <w:r w:rsidRPr="00FD3680">
        <w:rPr>
          <w:rFonts w:ascii="Times New Roman" w:hAnsi="Times New Roman" w:cs="Times New Roman"/>
          <w:sz w:val="24"/>
          <w:szCs w:val="24"/>
          <w:lang w:eastAsia="ar-SA"/>
        </w:rPr>
        <w:t>zamýšľané a existujúce úverové produkty aplikované prostredníctvom SZRB</w:t>
      </w:r>
      <w:r w:rsidR="00671C9A" w:rsidRPr="00FD3680">
        <w:rPr>
          <w:rFonts w:ascii="Times New Roman" w:hAnsi="Times New Roman" w:cs="Times New Roman"/>
          <w:sz w:val="24"/>
          <w:szCs w:val="24"/>
          <w:lang w:eastAsia="ar-SA"/>
        </w:rPr>
        <w:t xml:space="preserve">, </w:t>
      </w:r>
      <w:r w:rsidR="00761280" w:rsidRPr="00FD3680">
        <w:rPr>
          <w:rFonts w:ascii="Times New Roman" w:hAnsi="Times New Roman" w:cs="Times New Roman"/>
          <w:sz w:val="24"/>
          <w:szCs w:val="24"/>
          <w:lang w:eastAsia="ar-SA"/>
        </w:rPr>
        <w:t xml:space="preserve">pomoc na začatie podnikania </w:t>
      </w:r>
      <w:r w:rsidR="00F157AD" w:rsidRPr="00FD3680">
        <w:rPr>
          <w:rFonts w:ascii="Times New Roman" w:hAnsi="Times New Roman" w:cs="Times New Roman"/>
          <w:sz w:val="24"/>
          <w:szCs w:val="24"/>
          <w:lang w:eastAsia="ar-SA"/>
        </w:rPr>
        <w:t>a na rozvoj poľnohospodárskych podnikov financovaná</w:t>
      </w:r>
      <w:r w:rsidR="00761280" w:rsidRPr="00FD3680">
        <w:rPr>
          <w:rFonts w:ascii="Times New Roman" w:hAnsi="Times New Roman" w:cs="Times New Roman"/>
          <w:sz w:val="24"/>
          <w:szCs w:val="24"/>
          <w:lang w:eastAsia="ar-SA"/>
        </w:rPr>
        <w:t xml:space="preserve"> v rámci projektových podpôr PRV SR na roky 2014 </w:t>
      </w:r>
      <w:r w:rsidR="00671C9A" w:rsidRPr="00FD3680">
        <w:rPr>
          <w:rFonts w:ascii="Times New Roman" w:hAnsi="Times New Roman" w:cs="Times New Roman"/>
          <w:sz w:val="24"/>
          <w:szCs w:val="24"/>
          <w:lang w:eastAsia="ar-SA"/>
        </w:rPr>
        <w:t>–</w:t>
      </w:r>
      <w:r w:rsidR="00761280" w:rsidRPr="00FD3680">
        <w:rPr>
          <w:rFonts w:ascii="Times New Roman" w:hAnsi="Times New Roman" w:cs="Times New Roman"/>
          <w:sz w:val="24"/>
          <w:szCs w:val="24"/>
          <w:lang w:eastAsia="ar-SA"/>
        </w:rPr>
        <w:t xml:space="preserve"> 2020</w:t>
      </w:r>
      <w:r w:rsidR="00671C9A" w:rsidRPr="00FD3680">
        <w:rPr>
          <w:rFonts w:ascii="Times New Roman" w:hAnsi="Times New Roman" w:cs="Times New Roman"/>
          <w:sz w:val="24"/>
          <w:szCs w:val="24"/>
          <w:lang w:eastAsia="ar-SA"/>
        </w:rPr>
        <w:t xml:space="preserve"> a schéma pre mladých farmárov, uplatňovaná v rámci priamych platieb</w:t>
      </w:r>
      <w:r w:rsidRPr="00FD3680">
        <w:rPr>
          <w:rFonts w:ascii="Times New Roman" w:hAnsi="Times New Roman" w:cs="Times New Roman"/>
          <w:sz w:val="24"/>
          <w:szCs w:val="24"/>
          <w:lang w:eastAsia="ar-SA"/>
        </w:rPr>
        <w:t xml:space="preserve">. </w:t>
      </w:r>
    </w:p>
    <w:p w:rsidR="00CB3186" w:rsidRPr="00FD3680" w:rsidRDefault="00CB3186" w:rsidP="00CB3186">
      <w:pPr>
        <w:spacing w:after="0" w:line="240" w:lineRule="auto"/>
        <w:jc w:val="both"/>
        <w:rPr>
          <w:rFonts w:ascii="Times New Roman" w:hAnsi="Times New Roman" w:cs="Times New Roman"/>
          <w:sz w:val="24"/>
          <w:szCs w:val="24"/>
          <w:lang w:eastAsia="ar-SA"/>
        </w:rPr>
      </w:pPr>
    </w:p>
    <w:p w:rsidR="00403A4C" w:rsidRPr="00FD3680" w:rsidRDefault="00403A4C" w:rsidP="00403A4C">
      <w:pPr>
        <w:tabs>
          <w:tab w:val="left" w:pos="851"/>
        </w:tabs>
        <w:spacing w:after="0" w:line="240" w:lineRule="auto"/>
        <w:ind w:left="851" w:hanging="851"/>
        <w:jc w:val="both"/>
        <w:rPr>
          <w:rFonts w:ascii="Times New Roman" w:hAnsi="Times New Roman" w:cs="Times New Roman"/>
          <w:sz w:val="20"/>
          <w:szCs w:val="20"/>
        </w:rPr>
      </w:pPr>
      <w:r w:rsidRPr="00FD3680">
        <w:rPr>
          <w:rFonts w:ascii="Times New Roman" w:hAnsi="Times New Roman" w:cs="Times New Roman"/>
          <w:sz w:val="20"/>
          <w:szCs w:val="20"/>
        </w:rPr>
        <w:t xml:space="preserve">Tab. č. 4: </w:t>
      </w:r>
      <w:r w:rsidRPr="00FD3680">
        <w:rPr>
          <w:rFonts w:ascii="Times New Roman" w:hAnsi="Times New Roman" w:cs="Times New Roman"/>
          <w:sz w:val="20"/>
          <w:szCs w:val="20"/>
        </w:rPr>
        <w:tab/>
        <w:t xml:space="preserve">Prehľad špecifických nástrojov na priamu podporu cieľových skupín poľnohospodárskych podnikateľov na roky 2014 </w:t>
      </w:r>
      <w:r w:rsidR="007A083D" w:rsidRPr="00FD3680">
        <w:rPr>
          <w:rFonts w:ascii="Times New Roman" w:hAnsi="Times New Roman" w:cs="Times New Roman"/>
          <w:sz w:val="20"/>
          <w:szCs w:val="20"/>
        </w:rPr>
        <w:t>–</w:t>
      </w:r>
      <w:r w:rsidRPr="00FD3680">
        <w:rPr>
          <w:rFonts w:ascii="Times New Roman" w:hAnsi="Times New Roman" w:cs="Times New Roman"/>
          <w:sz w:val="20"/>
          <w:szCs w:val="20"/>
        </w:rPr>
        <w:t xml:space="preserve"> 2020</w:t>
      </w:r>
    </w:p>
    <w:p w:rsidR="007A083D" w:rsidRPr="00FD3680" w:rsidRDefault="007A083D" w:rsidP="00403A4C">
      <w:pPr>
        <w:tabs>
          <w:tab w:val="left" w:pos="851"/>
        </w:tabs>
        <w:spacing w:after="0" w:line="240" w:lineRule="auto"/>
        <w:ind w:left="851" w:hanging="851"/>
        <w:jc w:val="both"/>
        <w:rPr>
          <w:rFonts w:ascii="Times New Roman" w:hAnsi="Times New Roman" w:cs="Times New Roman"/>
          <w:sz w:val="20"/>
          <w:szCs w:val="20"/>
        </w:rPr>
      </w:pPr>
    </w:p>
    <w:tbl>
      <w:tblPr>
        <w:tblStyle w:val="Mriekatabuky"/>
        <w:tblW w:w="9072" w:type="dxa"/>
        <w:tblInd w:w="108" w:type="dxa"/>
        <w:tblLook w:val="04A0" w:firstRow="1" w:lastRow="0" w:firstColumn="1" w:lastColumn="0" w:noHBand="0" w:noVBand="1"/>
      </w:tblPr>
      <w:tblGrid>
        <w:gridCol w:w="3261"/>
        <w:gridCol w:w="1559"/>
        <w:gridCol w:w="1418"/>
        <w:gridCol w:w="1275"/>
        <w:gridCol w:w="1559"/>
      </w:tblGrid>
      <w:tr w:rsidR="00FD3680" w:rsidRPr="00FD3680" w:rsidTr="000A591B">
        <w:tc>
          <w:tcPr>
            <w:tcW w:w="3261" w:type="dxa"/>
            <w:vMerge w:val="restart"/>
            <w:shd w:val="clear" w:color="auto" w:fill="D9D9D9" w:themeFill="background1" w:themeFillShade="D9"/>
            <w:vAlign w:val="center"/>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Titul</w:t>
            </w:r>
          </w:p>
        </w:tc>
        <w:tc>
          <w:tcPr>
            <w:tcW w:w="1559" w:type="dxa"/>
            <w:vMerge w:val="restart"/>
            <w:shd w:val="clear" w:color="auto" w:fill="D9D9D9" w:themeFill="background1" w:themeFillShade="D9"/>
            <w:vAlign w:val="center"/>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Indikovaná alokácia v EUR</w:t>
            </w:r>
          </w:p>
        </w:tc>
        <w:tc>
          <w:tcPr>
            <w:tcW w:w="4252" w:type="dxa"/>
            <w:gridSpan w:val="3"/>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Participácia na podpore</w:t>
            </w:r>
            <w:r w:rsidR="005E412D" w:rsidRPr="00FD3680">
              <w:rPr>
                <w:rFonts w:ascii="Times New Roman" w:hAnsi="Times New Roman" w:cs="Times New Roman"/>
                <w:sz w:val="20"/>
                <w:szCs w:val="20"/>
              </w:rPr>
              <w:t>*</w:t>
            </w:r>
          </w:p>
        </w:tc>
      </w:tr>
      <w:tr w:rsidR="00FD3680" w:rsidRPr="00FD3680" w:rsidTr="000A591B">
        <w:tc>
          <w:tcPr>
            <w:tcW w:w="3261" w:type="dxa"/>
            <w:vMerge/>
            <w:shd w:val="clear" w:color="auto" w:fill="D9D9D9" w:themeFill="background1" w:themeFillShade="D9"/>
          </w:tcPr>
          <w:p w:rsidR="00403A4C" w:rsidRPr="00FD3680" w:rsidRDefault="00403A4C" w:rsidP="00B31B70">
            <w:pPr>
              <w:rPr>
                <w:rFonts w:ascii="Times New Roman" w:hAnsi="Times New Roman" w:cs="Times New Roman"/>
                <w:sz w:val="20"/>
                <w:szCs w:val="20"/>
              </w:rPr>
            </w:pPr>
          </w:p>
        </w:tc>
        <w:tc>
          <w:tcPr>
            <w:tcW w:w="1559" w:type="dxa"/>
            <w:vMerge/>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p>
        </w:tc>
        <w:tc>
          <w:tcPr>
            <w:tcW w:w="1418" w:type="dxa"/>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Mladý farmár</w:t>
            </w:r>
          </w:p>
        </w:tc>
        <w:tc>
          <w:tcPr>
            <w:tcW w:w="1275" w:type="dxa"/>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Malý farmár</w:t>
            </w:r>
          </w:p>
        </w:tc>
        <w:tc>
          <w:tcPr>
            <w:tcW w:w="1559" w:type="dxa"/>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Rodinný farmár</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Prenájom ornej pôdy od SPF</w:t>
            </w:r>
          </w:p>
        </w:tc>
        <w:tc>
          <w:tcPr>
            <w:tcW w:w="1559" w:type="dxa"/>
            <w:vAlign w:val="center"/>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N/A</w:t>
            </w:r>
          </w:p>
        </w:tc>
        <w:tc>
          <w:tcPr>
            <w:tcW w:w="1418"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c>
          <w:tcPr>
            <w:tcW w:w="1275"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c>
          <w:tcPr>
            <w:tcW w:w="1559"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Úverový produkt „Moja pôda“</w:t>
            </w:r>
          </w:p>
        </w:tc>
        <w:tc>
          <w:tcPr>
            <w:tcW w:w="1559" w:type="dxa"/>
            <w:vMerge w:val="restart"/>
            <w:vAlign w:val="center"/>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alokácia v závislosti od predpokladanej čerpanosti a plnenia pravidiel kapitálovej primeranosti</w:t>
            </w:r>
          </w:p>
        </w:tc>
        <w:tc>
          <w:tcPr>
            <w:tcW w:w="1418"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x</w:t>
            </w:r>
          </w:p>
        </w:tc>
        <w:tc>
          <w:tcPr>
            <w:tcW w:w="1275"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c>
          <w:tcPr>
            <w:tcW w:w="1559"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Úverový produkt „Moja pôda pre mladých“</w:t>
            </w:r>
          </w:p>
        </w:tc>
        <w:tc>
          <w:tcPr>
            <w:tcW w:w="1559" w:type="dxa"/>
            <w:vMerge/>
            <w:vAlign w:val="center"/>
          </w:tcPr>
          <w:p w:rsidR="00403A4C" w:rsidRPr="00FD3680" w:rsidRDefault="00403A4C" w:rsidP="00B31B70">
            <w:pPr>
              <w:jc w:val="right"/>
              <w:rPr>
                <w:rFonts w:ascii="Times New Roman" w:hAnsi="Times New Roman" w:cs="Times New Roman"/>
                <w:sz w:val="20"/>
                <w:szCs w:val="20"/>
              </w:rPr>
            </w:pPr>
          </w:p>
        </w:tc>
        <w:tc>
          <w:tcPr>
            <w:tcW w:w="1418"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c>
          <w:tcPr>
            <w:tcW w:w="1275"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x</w:t>
            </w:r>
          </w:p>
        </w:tc>
        <w:tc>
          <w:tcPr>
            <w:tcW w:w="1559" w:type="dxa"/>
            <w:vAlign w:val="center"/>
          </w:tcPr>
          <w:p w:rsidR="00403A4C"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x</w:t>
            </w:r>
          </w:p>
        </w:tc>
      </w:tr>
      <w:tr w:rsidR="00FD3680" w:rsidRPr="00FD3680" w:rsidTr="00206F71">
        <w:tc>
          <w:tcPr>
            <w:tcW w:w="3261" w:type="dxa"/>
          </w:tcPr>
          <w:p w:rsidR="00206F71" w:rsidRPr="00FD3680" w:rsidRDefault="00206F71" w:rsidP="00B31B70">
            <w:pPr>
              <w:rPr>
                <w:rFonts w:ascii="Times New Roman" w:hAnsi="Times New Roman" w:cs="Times New Roman"/>
                <w:sz w:val="20"/>
                <w:szCs w:val="20"/>
              </w:rPr>
            </w:pPr>
            <w:r w:rsidRPr="00FD3680">
              <w:rPr>
                <w:rFonts w:ascii="Times New Roman" w:hAnsi="Times New Roman" w:cs="Times New Roman"/>
                <w:sz w:val="20"/>
                <w:szCs w:val="20"/>
              </w:rPr>
              <w:t>Úverové financovanie prevádzkových potrieb</w:t>
            </w:r>
          </w:p>
        </w:tc>
        <w:tc>
          <w:tcPr>
            <w:tcW w:w="1559" w:type="dxa"/>
            <w:vMerge/>
            <w:vAlign w:val="center"/>
          </w:tcPr>
          <w:p w:rsidR="00206F71" w:rsidRPr="00FD3680" w:rsidRDefault="00206F71" w:rsidP="00B31B70">
            <w:pPr>
              <w:jc w:val="right"/>
              <w:rPr>
                <w:rFonts w:ascii="Times New Roman" w:hAnsi="Times New Roman" w:cs="Times New Roman"/>
                <w:sz w:val="20"/>
                <w:szCs w:val="20"/>
              </w:rPr>
            </w:pP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B31B70">
            <w:pPr>
              <w:rPr>
                <w:rFonts w:ascii="Times New Roman" w:hAnsi="Times New Roman" w:cs="Times New Roman"/>
                <w:sz w:val="20"/>
                <w:szCs w:val="20"/>
              </w:rPr>
            </w:pPr>
            <w:r w:rsidRPr="00FD3680">
              <w:rPr>
                <w:rFonts w:ascii="Times New Roman" w:hAnsi="Times New Roman" w:cs="Times New Roman"/>
                <w:sz w:val="20"/>
                <w:szCs w:val="20"/>
              </w:rPr>
              <w:t>Úverové financovanie kapitálových potrieb</w:t>
            </w:r>
          </w:p>
        </w:tc>
        <w:tc>
          <w:tcPr>
            <w:tcW w:w="1559" w:type="dxa"/>
            <w:vMerge/>
            <w:vAlign w:val="center"/>
          </w:tcPr>
          <w:p w:rsidR="00206F71" w:rsidRPr="00FD3680" w:rsidRDefault="00206F71" w:rsidP="00B31B70">
            <w:pPr>
              <w:jc w:val="right"/>
              <w:rPr>
                <w:rFonts w:ascii="Times New Roman" w:hAnsi="Times New Roman" w:cs="Times New Roman"/>
                <w:sz w:val="20"/>
                <w:szCs w:val="20"/>
              </w:rPr>
            </w:pP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B31B70">
        <w:tc>
          <w:tcPr>
            <w:tcW w:w="3261" w:type="dxa"/>
          </w:tcPr>
          <w:p w:rsidR="00761280" w:rsidRPr="00FD3680" w:rsidRDefault="00761280" w:rsidP="00B31B70">
            <w:pPr>
              <w:rPr>
                <w:rFonts w:ascii="Times New Roman" w:hAnsi="Times New Roman" w:cs="Times New Roman"/>
                <w:sz w:val="20"/>
                <w:szCs w:val="20"/>
              </w:rPr>
            </w:pPr>
            <w:r w:rsidRPr="00FD3680">
              <w:rPr>
                <w:rFonts w:ascii="Times New Roman" w:hAnsi="Times New Roman" w:cs="Times New Roman"/>
                <w:sz w:val="20"/>
                <w:szCs w:val="20"/>
              </w:rPr>
              <w:t>Projektové podpory PRV SR</w:t>
            </w:r>
          </w:p>
        </w:tc>
        <w:tc>
          <w:tcPr>
            <w:tcW w:w="5811" w:type="dxa"/>
            <w:gridSpan w:val="4"/>
            <w:vAlign w:val="center"/>
          </w:tcPr>
          <w:p w:rsidR="00761280" w:rsidRPr="00FD3680" w:rsidRDefault="00761280" w:rsidP="00B31B70">
            <w:pPr>
              <w:jc w:val="center"/>
              <w:rPr>
                <w:rFonts w:ascii="Times New Roman" w:hAnsi="Times New Roman" w:cs="Times New Roman"/>
                <w:sz w:val="20"/>
                <w:szCs w:val="20"/>
              </w:rPr>
            </w:pPr>
          </w:p>
        </w:tc>
      </w:tr>
      <w:tr w:rsidR="00FD3680" w:rsidRPr="00FD3680" w:rsidTr="00B31B70">
        <w:tc>
          <w:tcPr>
            <w:tcW w:w="3261" w:type="dxa"/>
          </w:tcPr>
          <w:p w:rsidR="00761280" w:rsidRPr="00FD3680" w:rsidRDefault="00761280"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pomoc na začatie podnikania</w:t>
            </w:r>
          </w:p>
        </w:tc>
        <w:tc>
          <w:tcPr>
            <w:tcW w:w="1559" w:type="dxa"/>
            <w:vAlign w:val="center"/>
          </w:tcPr>
          <w:p w:rsidR="00761280" w:rsidRPr="00FD3680" w:rsidRDefault="00761280" w:rsidP="00B31B70">
            <w:pPr>
              <w:jc w:val="right"/>
              <w:rPr>
                <w:rFonts w:ascii="Times New Roman" w:hAnsi="Times New Roman" w:cs="Times New Roman"/>
                <w:sz w:val="20"/>
                <w:szCs w:val="20"/>
              </w:rPr>
            </w:pPr>
            <w:r w:rsidRPr="00FD3680">
              <w:rPr>
                <w:rFonts w:ascii="Times New Roman" w:hAnsi="Times New Roman" w:cs="Times New Roman"/>
                <w:sz w:val="20"/>
                <w:szCs w:val="20"/>
              </w:rPr>
              <w:t>30 000</w:t>
            </w:r>
            <w:r w:rsidR="00671C9A" w:rsidRPr="00FD3680">
              <w:rPr>
                <w:rFonts w:ascii="Times New Roman" w:hAnsi="Times New Roman" w:cs="Times New Roman"/>
                <w:sz w:val="20"/>
                <w:szCs w:val="20"/>
              </w:rPr>
              <w:t> </w:t>
            </w:r>
            <w:r w:rsidRPr="00FD3680">
              <w:rPr>
                <w:rFonts w:ascii="Times New Roman" w:hAnsi="Times New Roman" w:cs="Times New Roman"/>
                <w:sz w:val="20"/>
                <w:szCs w:val="20"/>
              </w:rPr>
              <w:t>000</w:t>
            </w:r>
          </w:p>
        </w:tc>
        <w:tc>
          <w:tcPr>
            <w:tcW w:w="1418" w:type="dxa"/>
            <w:vAlign w:val="center"/>
          </w:tcPr>
          <w:p w:rsidR="00761280"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c>
          <w:tcPr>
            <w:tcW w:w="1275" w:type="dxa"/>
            <w:vAlign w:val="center"/>
          </w:tcPr>
          <w:p w:rsidR="00761280"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x</w:t>
            </w:r>
          </w:p>
        </w:tc>
        <w:tc>
          <w:tcPr>
            <w:tcW w:w="1559" w:type="dxa"/>
            <w:vAlign w:val="center"/>
          </w:tcPr>
          <w:p w:rsidR="00761280"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r>
      <w:tr w:rsidR="00FD3680" w:rsidRPr="00FD3680" w:rsidTr="00B31B70">
        <w:tc>
          <w:tcPr>
            <w:tcW w:w="3261" w:type="dxa"/>
          </w:tcPr>
          <w:p w:rsidR="00F157AD" w:rsidRPr="00FD3680" w:rsidRDefault="00F157AD"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rozvoj poľnohosp. podnikov</w:t>
            </w:r>
          </w:p>
        </w:tc>
        <w:tc>
          <w:tcPr>
            <w:tcW w:w="1559" w:type="dxa"/>
            <w:vAlign w:val="center"/>
          </w:tcPr>
          <w:p w:rsidR="00F157AD" w:rsidRPr="00FD3680" w:rsidRDefault="00F157AD" w:rsidP="00F633BF">
            <w:pPr>
              <w:jc w:val="right"/>
              <w:rPr>
                <w:rFonts w:ascii="Times New Roman" w:hAnsi="Times New Roman" w:cs="Times New Roman"/>
                <w:sz w:val="20"/>
                <w:szCs w:val="20"/>
              </w:rPr>
            </w:pPr>
            <w:r w:rsidRPr="00FD3680">
              <w:rPr>
                <w:rFonts w:ascii="Times New Roman" w:hAnsi="Times New Roman" w:cs="Times New Roman"/>
                <w:sz w:val="20"/>
                <w:szCs w:val="20"/>
              </w:rPr>
              <w:t>1 550 000</w:t>
            </w:r>
          </w:p>
        </w:tc>
        <w:tc>
          <w:tcPr>
            <w:tcW w:w="1418" w:type="dxa"/>
            <w:vAlign w:val="center"/>
          </w:tcPr>
          <w:p w:rsidR="00F157AD" w:rsidRPr="00FD3680" w:rsidRDefault="00F157AD" w:rsidP="00F633BF">
            <w:pPr>
              <w:jc w:val="center"/>
              <w:rPr>
                <w:rFonts w:ascii="Times New Roman" w:hAnsi="Times New Roman" w:cs="Times New Roman"/>
                <w:sz w:val="20"/>
                <w:szCs w:val="20"/>
              </w:rPr>
            </w:pPr>
            <w:r w:rsidRPr="00FD3680">
              <w:rPr>
                <w:rFonts w:ascii="Times New Roman" w:hAnsi="Times New Roman" w:cs="Times New Roman"/>
                <w:sz w:val="20"/>
                <w:szCs w:val="20"/>
              </w:rPr>
              <w:t>x</w:t>
            </w:r>
          </w:p>
        </w:tc>
        <w:tc>
          <w:tcPr>
            <w:tcW w:w="1275" w:type="dxa"/>
            <w:vAlign w:val="center"/>
          </w:tcPr>
          <w:p w:rsidR="00F157AD" w:rsidRPr="00FD3680" w:rsidRDefault="00F157AD" w:rsidP="00F633BF">
            <w:pPr>
              <w:jc w:val="center"/>
            </w:pPr>
            <w:r w:rsidRPr="00FD3680">
              <w:t>●</w:t>
            </w:r>
          </w:p>
        </w:tc>
        <w:tc>
          <w:tcPr>
            <w:tcW w:w="1559" w:type="dxa"/>
            <w:vAlign w:val="center"/>
          </w:tcPr>
          <w:p w:rsidR="00F157AD" w:rsidRPr="00FD3680" w:rsidRDefault="00F157AD" w:rsidP="00F633BF">
            <w:pPr>
              <w:jc w:val="center"/>
            </w:pPr>
            <w:r w:rsidRPr="00FD3680">
              <w:t>●</w:t>
            </w:r>
          </w:p>
        </w:tc>
      </w:tr>
      <w:tr w:rsidR="00FD3680" w:rsidRPr="00FD3680" w:rsidTr="00B31B70">
        <w:tc>
          <w:tcPr>
            <w:tcW w:w="3261" w:type="dxa"/>
          </w:tcPr>
          <w:p w:rsidR="00F157AD" w:rsidRPr="00FD3680" w:rsidRDefault="00F157AD" w:rsidP="00B31B70">
            <w:pPr>
              <w:rPr>
                <w:rFonts w:ascii="Times New Roman" w:hAnsi="Times New Roman" w:cs="Times New Roman"/>
                <w:sz w:val="20"/>
                <w:szCs w:val="20"/>
              </w:rPr>
            </w:pPr>
            <w:r w:rsidRPr="00FD3680">
              <w:rPr>
                <w:rFonts w:ascii="Times New Roman" w:hAnsi="Times New Roman" w:cs="Times New Roman"/>
                <w:sz w:val="20"/>
                <w:szCs w:val="20"/>
              </w:rPr>
              <w:t>Priame platby</w:t>
            </w:r>
          </w:p>
        </w:tc>
        <w:tc>
          <w:tcPr>
            <w:tcW w:w="5811" w:type="dxa"/>
            <w:gridSpan w:val="4"/>
            <w:vAlign w:val="center"/>
          </w:tcPr>
          <w:p w:rsidR="00F157AD" w:rsidRPr="00FD3680" w:rsidRDefault="00F157AD" w:rsidP="00B31B70">
            <w:pPr>
              <w:jc w:val="center"/>
              <w:rPr>
                <w:rFonts w:ascii="Times New Roman" w:hAnsi="Times New Roman" w:cs="Times New Roman"/>
                <w:sz w:val="20"/>
                <w:szCs w:val="20"/>
              </w:rPr>
            </w:pPr>
          </w:p>
        </w:tc>
      </w:tr>
      <w:tr w:rsidR="00FD3680" w:rsidRPr="00FD3680" w:rsidTr="00B31B70">
        <w:tc>
          <w:tcPr>
            <w:tcW w:w="3261" w:type="dxa"/>
          </w:tcPr>
          <w:p w:rsidR="00F157AD" w:rsidRPr="00FD3680" w:rsidRDefault="00F157AD"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schéma pre mladých farmárov</w:t>
            </w:r>
            <w:r w:rsidR="00903BC7" w:rsidRPr="00FD3680">
              <w:rPr>
                <w:rFonts w:ascii="Times New Roman" w:hAnsi="Times New Roman" w:cs="Times New Roman"/>
                <w:sz w:val="20"/>
                <w:szCs w:val="20"/>
              </w:rPr>
              <w:t>**</w:t>
            </w:r>
          </w:p>
        </w:tc>
        <w:tc>
          <w:tcPr>
            <w:tcW w:w="1559" w:type="dxa"/>
            <w:vAlign w:val="center"/>
          </w:tcPr>
          <w:p w:rsidR="00F157AD" w:rsidRPr="00FD3680" w:rsidRDefault="00903BC7" w:rsidP="00B31B70">
            <w:pPr>
              <w:jc w:val="right"/>
              <w:rPr>
                <w:rFonts w:ascii="Times New Roman" w:hAnsi="Times New Roman" w:cs="Times New Roman"/>
                <w:sz w:val="20"/>
                <w:szCs w:val="20"/>
              </w:rPr>
            </w:pPr>
            <w:r w:rsidRPr="00FD3680">
              <w:rPr>
                <w:rFonts w:ascii="Times New Roman" w:hAnsi="Times New Roman" w:cs="Times New Roman"/>
                <w:sz w:val="20"/>
                <w:szCs w:val="20"/>
              </w:rPr>
              <w:t>44 147 800</w:t>
            </w:r>
            <w:r w:rsidR="00F157AD" w:rsidRPr="00FD3680">
              <w:rPr>
                <w:rFonts w:ascii="Times New Roman" w:hAnsi="Times New Roman" w:cs="Times New Roman"/>
                <w:sz w:val="20"/>
                <w:szCs w:val="20"/>
              </w:rPr>
              <w:t xml:space="preserve">   </w:t>
            </w:r>
          </w:p>
        </w:tc>
        <w:tc>
          <w:tcPr>
            <w:tcW w:w="1418" w:type="dxa"/>
            <w:vAlign w:val="center"/>
          </w:tcPr>
          <w:p w:rsidR="00F157AD" w:rsidRPr="00FD3680" w:rsidRDefault="00F157AD" w:rsidP="00B31B70">
            <w:pPr>
              <w:jc w:val="center"/>
              <w:rPr>
                <w:rFonts w:ascii="Times New Roman" w:hAnsi="Times New Roman" w:cs="Times New Roman"/>
                <w:sz w:val="20"/>
                <w:szCs w:val="20"/>
              </w:rPr>
            </w:pPr>
            <w:r w:rsidRPr="00FD3680">
              <w:rPr>
                <w:rFonts w:ascii="Times New Roman" w:hAnsi="Times New Roman" w:cs="Times New Roman"/>
                <w:sz w:val="20"/>
                <w:szCs w:val="20"/>
              </w:rPr>
              <w:t>●</w:t>
            </w:r>
          </w:p>
        </w:tc>
        <w:tc>
          <w:tcPr>
            <w:tcW w:w="1275" w:type="dxa"/>
            <w:vAlign w:val="center"/>
          </w:tcPr>
          <w:p w:rsidR="00F157AD" w:rsidRPr="00FD3680" w:rsidRDefault="00F157AD" w:rsidP="00B31B70">
            <w:pPr>
              <w:jc w:val="center"/>
              <w:rPr>
                <w:rFonts w:ascii="Times New Roman" w:hAnsi="Times New Roman" w:cs="Times New Roman"/>
                <w:sz w:val="20"/>
                <w:szCs w:val="20"/>
              </w:rPr>
            </w:pPr>
            <w:r w:rsidRPr="00FD3680">
              <w:rPr>
                <w:rFonts w:ascii="Times New Roman" w:hAnsi="Times New Roman" w:cs="Times New Roman"/>
                <w:sz w:val="20"/>
                <w:szCs w:val="20"/>
              </w:rPr>
              <w:t>x</w:t>
            </w:r>
          </w:p>
        </w:tc>
        <w:tc>
          <w:tcPr>
            <w:tcW w:w="1559" w:type="dxa"/>
            <w:vAlign w:val="center"/>
          </w:tcPr>
          <w:p w:rsidR="00F157AD" w:rsidRPr="00FD3680" w:rsidRDefault="00F157AD" w:rsidP="00B31B70">
            <w:pPr>
              <w:jc w:val="center"/>
              <w:rPr>
                <w:rFonts w:ascii="Times New Roman" w:hAnsi="Times New Roman" w:cs="Times New Roman"/>
                <w:sz w:val="20"/>
                <w:szCs w:val="20"/>
              </w:rPr>
            </w:pPr>
            <w:r w:rsidRPr="00FD3680">
              <w:rPr>
                <w:rFonts w:ascii="Times New Roman" w:hAnsi="Times New Roman" w:cs="Times New Roman"/>
                <w:sz w:val="20"/>
                <w:szCs w:val="20"/>
              </w:rPr>
              <w:t>x</w:t>
            </w:r>
          </w:p>
        </w:tc>
      </w:tr>
    </w:tbl>
    <w:p w:rsidR="005E412D" w:rsidRPr="00FD3680" w:rsidRDefault="000A591B" w:rsidP="005E412D">
      <w:pPr>
        <w:spacing w:after="0" w:line="240" w:lineRule="auto"/>
        <w:rPr>
          <w:rFonts w:ascii="Times New Roman" w:hAnsi="Times New Roman" w:cs="Times New Roman"/>
          <w:sz w:val="20"/>
          <w:szCs w:val="20"/>
        </w:rPr>
      </w:pPr>
      <w:r w:rsidRPr="00FD3680">
        <w:rPr>
          <w:rFonts w:ascii="Times New Roman" w:hAnsi="Times New Roman" w:cs="Times New Roman"/>
          <w:sz w:val="20"/>
          <w:szCs w:val="20"/>
        </w:rPr>
        <w:t>*●</w:t>
      </w:r>
      <w:r w:rsidR="005E412D" w:rsidRPr="00FD3680">
        <w:rPr>
          <w:rFonts w:ascii="Times New Roman" w:hAnsi="Times New Roman" w:cs="Times New Roman"/>
          <w:sz w:val="20"/>
          <w:szCs w:val="20"/>
        </w:rPr>
        <w:t xml:space="preserve"> – účasť n</w:t>
      </w:r>
      <w:r w:rsidRPr="00FD3680">
        <w:rPr>
          <w:rFonts w:ascii="Times New Roman" w:hAnsi="Times New Roman" w:cs="Times New Roman"/>
          <w:sz w:val="20"/>
          <w:szCs w:val="20"/>
        </w:rPr>
        <w:t>a podpore je možná; x</w:t>
      </w:r>
      <w:r w:rsidR="005E412D" w:rsidRPr="00FD3680">
        <w:rPr>
          <w:rFonts w:ascii="Times New Roman" w:hAnsi="Times New Roman" w:cs="Times New Roman"/>
          <w:sz w:val="20"/>
          <w:szCs w:val="20"/>
        </w:rPr>
        <w:t xml:space="preserve"> – účasť na podpore nie je možná.</w:t>
      </w:r>
    </w:p>
    <w:p w:rsidR="00903BC7" w:rsidRPr="00FD3680" w:rsidRDefault="00903BC7" w:rsidP="005E412D">
      <w:pPr>
        <w:spacing w:after="0" w:line="240" w:lineRule="auto"/>
        <w:rPr>
          <w:rFonts w:ascii="Times New Roman" w:hAnsi="Times New Roman" w:cs="Times New Roman"/>
          <w:sz w:val="20"/>
          <w:szCs w:val="20"/>
        </w:rPr>
      </w:pPr>
      <w:r w:rsidRPr="00FD3680">
        <w:rPr>
          <w:rFonts w:ascii="Times New Roman" w:hAnsi="Times New Roman" w:cs="Times New Roman"/>
          <w:sz w:val="20"/>
          <w:szCs w:val="20"/>
        </w:rPr>
        <w:t>**</w:t>
      </w:r>
      <w:r w:rsidRPr="00FD3680">
        <w:t xml:space="preserve"> </w:t>
      </w:r>
      <w:r w:rsidRPr="00FD3680">
        <w:rPr>
          <w:rFonts w:ascii="Times New Roman" w:hAnsi="Times New Roman" w:cs="Times New Roman"/>
          <w:sz w:val="20"/>
          <w:szCs w:val="20"/>
        </w:rPr>
        <w:t>alokácia v závislosti od predpokladaného čerpania a plnenia pravidiel.</w:t>
      </w:r>
    </w:p>
    <w:p w:rsidR="00403A4C" w:rsidRPr="00FD3680" w:rsidRDefault="00403A4C" w:rsidP="00403A4C">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Zdroj: MPRV SR</w:t>
      </w:r>
    </w:p>
    <w:p w:rsidR="00403A4C" w:rsidRPr="00FD3680" w:rsidRDefault="00403A4C" w:rsidP="00CB3186">
      <w:pPr>
        <w:spacing w:after="0" w:line="240" w:lineRule="auto"/>
        <w:jc w:val="both"/>
        <w:rPr>
          <w:rFonts w:ascii="Times New Roman" w:hAnsi="Times New Roman" w:cs="Times New Roman"/>
          <w:sz w:val="24"/>
          <w:szCs w:val="24"/>
          <w:lang w:eastAsia="ar-SA"/>
        </w:rPr>
      </w:pPr>
    </w:p>
    <w:p w:rsidR="00CB3186" w:rsidRPr="00FD3680" w:rsidRDefault="00CB3186" w:rsidP="00CB3186">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lastRenderedPageBreak/>
        <w:t xml:space="preserve">Umožnenie prenájmu ornej pôdy od SPF je nepeňažným nástrojom podpory, avšak predstavuje nosný podporný produkt pre cieľové skupiny poľnohospodárskych podnikateľov. Zamýšľané a existujúce úverové produkty aplikované prostredníctvom SZRB predstavujú doplnkový podporný systém na prefinancovanie kapitálových a prevádzkových potrieb cieľových skupín poľnohospodárskych podnikateľov. Indikovanú alokáciu finančných prostriedkov do týchto úverových produktov nie je možné zatiaľ vyčísliť, nakoľko to závisí jednak od </w:t>
      </w:r>
      <w:r w:rsidR="00403A4C" w:rsidRPr="00FD3680">
        <w:rPr>
          <w:rFonts w:ascii="Times New Roman" w:hAnsi="Times New Roman" w:cs="Times New Roman"/>
          <w:sz w:val="24"/>
          <w:szCs w:val="24"/>
          <w:lang w:eastAsia="ar-SA"/>
        </w:rPr>
        <w:t xml:space="preserve">odhadu </w:t>
      </w:r>
      <w:r w:rsidRPr="00FD3680">
        <w:rPr>
          <w:rFonts w:ascii="Times New Roman" w:hAnsi="Times New Roman" w:cs="Times New Roman"/>
          <w:sz w:val="24"/>
          <w:szCs w:val="24"/>
          <w:lang w:eastAsia="ar-SA"/>
        </w:rPr>
        <w:t xml:space="preserve">predbežného záujmu o konkrétny </w:t>
      </w:r>
      <w:r w:rsidR="00403A4C" w:rsidRPr="00FD3680">
        <w:rPr>
          <w:rFonts w:ascii="Times New Roman" w:hAnsi="Times New Roman" w:cs="Times New Roman"/>
          <w:sz w:val="24"/>
          <w:szCs w:val="24"/>
          <w:lang w:eastAsia="ar-SA"/>
        </w:rPr>
        <w:t>úverový produkt, možnosti financujúcej banky kapitálovo podporiť úverové produkty s ohľadom na plnenie podmienok kapitálovej primeranosti a od konkrétnej podoby úverového produktu.</w:t>
      </w:r>
    </w:p>
    <w:p w:rsidR="00403A4C" w:rsidRPr="00FD3680" w:rsidRDefault="00403A4C" w:rsidP="00CB3186">
      <w:pPr>
        <w:spacing w:after="0" w:line="240" w:lineRule="auto"/>
        <w:jc w:val="both"/>
        <w:rPr>
          <w:rFonts w:ascii="Times New Roman" w:hAnsi="Times New Roman" w:cs="Times New Roman"/>
          <w:sz w:val="24"/>
          <w:szCs w:val="24"/>
          <w:lang w:eastAsia="ar-SA"/>
        </w:rPr>
      </w:pPr>
    </w:p>
    <w:p w:rsidR="00403A4C" w:rsidRPr="00FD3680" w:rsidRDefault="001D17E3" w:rsidP="00CB3186">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u w:val="single"/>
          <w:lang w:eastAsia="ar-SA"/>
        </w:rPr>
        <w:t>Všeobecné nástroje</w:t>
      </w:r>
      <w:r w:rsidRPr="00FD3680">
        <w:rPr>
          <w:rFonts w:ascii="Times New Roman" w:hAnsi="Times New Roman" w:cs="Times New Roman"/>
          <w:sz w:val="24"/>
          <w:szCs w:val="24"/>
          <w:lang w:eastAsia="ar-SA"/>
        </w:rPr>
        <w:t xml:space="preserve"> </w:t>
      </w:r>
      <w:r w:rsidR="00403A4C" w:rsidRPr="00FD3680">
        <w:rPr>
          <w:rFonts w:ascii="Times New Roman" w:hAnsi="Times New Roman" w:cs="Times New Roman"/>
          <w:sz w:val="24"/>
          <w:szCs w:val="24"/>
          <w:lang w:eastAsia="ar-SA"/>
        </w:rPr>
        <w:t xml:space="preserve">zahŕňajú podporu zamestnávania, projektové a neprojektové opatrenia PRV SR na roky 2014 – 2020, priame platby, </w:t>
      </w:r>
      <w:r w:rsidR="00761280" w:rsidRPr="00FD3680">
        <w:rPr>
          <w:rFonts w:ascii="Times New Roman" w:hAnsi="Times New Roman" w:cs="Times New Roman"/>
          <w:sz w:val="24"/>
          <w:szCs w:val="24"/>
          <w:lang w:eastAsia="ar-SA"/>
        </w:rPr>
        <w:t xml:space="preserve">podporu výroby, odbytu a označovania poľnohospodárskych výrobkov, </w:t>
      </w:r>
      <w:r w:rsidR="00403A4C" w:rsidRPr="00FD3680">
        <w:rPr>
          <w:rFonts w:ascii="Times New Roman" w:hAnsi="Times New Roman" w:cs="Times New Roman"/>
          <w:sz w:val="24"/>
          <w:szCs w:val="24"/>
          <w:lang w:eastAsia="ar-SA"/>
        </w:rPr>
        <w:t>vnútroštátnu pomoc a opatrenia v rámci spoločnej organizácie trhov (SOT). Ide o nástroje, na ktoré majú nárok všetci poľnohospodárski podnikatelia.</w:t>
      </w:r>
    </w:p>
    <w:p w:rsidR="002B6A25" w:rsidRPr="00FD3680" w:rsidRDefault="002B6A25" w:rsidP="00D27F00">
      <w:pPr>
        <w:tabs>
          <w:tab w:val="left" w:pos="851"/>
        </w:tabs>
        <w:spacing w:after="0" w:line="240" w:lineRule="auto"/>
        <w:ind w:left="851" w:hanging="851"/>
        <w:jc w:val="both"/>
        <w:rPr>
          <w:rFonts w:ascii="Times New Roman" w:hAnsi="Times New Roman" w:cs="Times New Roman"/>
          <w:sz w:val="24"/>
          <w:szCs w:val="24"/>
        </w:rPr>
      </w:pPr>
    </w:p>
    <w:p w:rsidR="00403A4C" w:rsidRPr="00FD3680" w:rsidRDefault="00403A4C" w:rsidP="00403A4C">
      <w:pPr>
        <w:tabs>
          <w:tab w:val="left" w:pos="851"/>
        </w:tabs>
        <w:spacing w:after="0" w:line="240" w:lineRule="auto"/>
        <w:ind w:left="851" w:hanging="851"/>
        <w:jc w:val="both"/>
        <w:rPr>
          <w:rFonts w:ascii="Times New Roman" w:hAnsi="Times New Roman" w:cs="Times New Roman"/>
          <w:sz w:val="20"/>
          <w:szCs w:val="20"/>
        </w:rPr>
      </w:pPr>
      <w:r w:rsidRPr="00FD3680">
        <w:rPr>
          <w:rFonts w:ascii="Times New Roman" w:hAnsi="Times New Roman" w:cs="Times New Roman"/>
          <w:sz w:val="20"/>
          <w:szCs w:val="20"/>
        </w:rPr>
        <w:t xml:space="preserve">Tab. č. 5: </w:t>
      </w:r>
      <w:r w:rsidRPr="00FD3680">
        <w:rPr>
          <w:rFonts w:ascii="Times New Roman" w:hAnsi="Times New Roman" w:cs="Times New Roman"/>
          <w:sz w:val="20"/>
          <w:szCs w:val="20"/>
        </w:rPr>
        <w:tab/>
        <w:t xml:space="preserve">Prehľad nástrojov všeobecného charakteru na priamu podporu poľnohospodárskych podnikateľov                             na roky 2014 </w:t>
      </w:r>
      <w:r w:rsidR="007A083D" w:rsidRPr="00FD3680">
        <w:rPr>
          <w:rFonts w:ascii="Times New Roman" w:hAnsi="Times New Roman" w:cs="Times New Roman"/>
          <w:sz w:val="20"/>
          <w:szCs w:val="20"/>
        </w:rPr>
        <w:t>–</w:t>
      </w:r>
      <w:r w:rsidRPr="00FD3680">
        <w:rPr>
          <w:rFonts w:ascii="Times New Roman" w:hAnsi="Times New Roman" w:cs="Times New Roman"/>
          <w:sz w:val="20"/>
          <w:szCs w:val="20"/>
        </w:rPr>
        <w:t xml:space="preserve"> 2020</w:t>
      </w:r>
    </w:p>
    <w:p w:rsidR="007A083D" w:rsidRPr="00FD3680" w:rsidRDefault="007A083D" w:rsidP="00403A4C">
      <w:pPr>
        <w:tabs>
          <w:tab w:val="left" w:pos="851"/>
        </w:tabs>
        <w:spacing w:after="0" w:line="240" w:lineRule="auto"/>
        <w:ind w:left="851" w:hanging="851"/>
        <w:jc w:val="both"/>
        <w:rPr>
          <w:rFonts w:ascii="Times New Roman" w:hAnsi="Times New Roman" w:cs="Times New Roman"/>
          <w:sz w:val="20"/>
          <w:szCs w:val="20"/>
        </w:rPr>
      </w:pPr>
    </w:p>
    <w:tbl>
      <w:tblPr>
        <w:tblStyle w:val="Mriekatabuky"/>
        <w:tblW w:w="9072" w:type="dxa"/>
        <w:tblInd w:w="108" w:type="dxa"/>
        <w:tblLook w:val="04A0" w:firstRow="1" w:lastRow="0" w:firstColumn="1" w:lastColumn="0" w:noHBand="0" w:noVBand="1"/>
      </w:tblPr>
      <w:tblGrid>
        <w:gridCol w:w="3261"/>
        <w:gridCol w:w="1559"/>
        <w:gridCol w:w="1418"/>
        <w:gridCol w:w="1275"/>
        <w:gridCol w:w="1559"/>
      </w:tblGrid>
      <w:tr w:rsidR="00FD3680" w:rsidRPr="00FD3680" w:rsidTr="000A591B">
        <w:tc>
          <w:tcPr>
            <w:tcW w:w="3261" w:type="dxa"/>
            <w:vMerge w:val="restart"/>
            <w:shd w:val="clear" w:color="auto" w:fill="D9D9D9" w:themeFill="background1" w:themeFillShade="D9"/>
            <w:vAlign w:val="center"/>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Titul</w:t>
            </w:r>
          </w:p>
        </w:tc>
        <w:tc>
          <w:tcPr>
            <w:tcW w:w="1559" w:type="dxa"/>
            <w:vMerge w:val="restart"/>
            <w:shd w:val="clear" w:color="auto" w:fill="D9D9D9" w:themeFill="background1" w:themeFillShade="D9"/>
            <w:vAlign w:val="center"/>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Indikovaná alokácia v EUR</w:t>
            </w:r>
          </w:p>
        </w:tc>
        <w:tc>
          <w:tcPr>
            <w:tcW w:w="4252" w:type="dxa"/>
            <w:gridSpan w:val="3"/>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Participácia na podpore</w:t>
            </w:r>
            <w:r w:rsidR="005E412D" w:rsidRPr="00FD3680">
              <w:rPr>
                <w:rFonts w:ascii="Times New Roman" w:hAnsi="Times New Roman" w:cs="Times New Roman"/>
                <w:sz w:val="20"/>
                <w:szCs w:val="20"/>
              </w:rPr>
              <w:t>*</w:t>
            </w:r>
          </w:p>
        </w:tc>
      </w:tr>
      <w:tr w:rsidR="00FD3680" w:rsidRPr="00FD3680" w:rsidTr="000A591B">
        <w:tc>
          <w:tcPr>
            <w:tcW w:w="3261" w:type="dxa"/>
            <w:vMerge/>
            <w:shd w:val="clear" w:color="auto" w:fill="D9D9D9" w:themeFill="background1" w:themeFillShade="D9"/>
          </w:tcPr>
          <w:p w:rsidR="00403A4C" w:rsidRPr="00FD3680" w:rsidRDefault="00403A4C" w:rsidP="00B31B70">
            <w:pPr>
              <w:rPr>
                <w:rFonts w:ascii="Times New Roman" w:hAnsi="Times New Roman" w:cs="Times New Roman"/>
                <w:sz w:val="20"/>
                <w:szCs w:val="20"/>
              </w:rPr>
            </w:pPr>
          </w:p>
        </w:tc>
        <w:tc>
          <w:tcPr>
            <w:tcW w:w="1559" w:type="dxa"/>
            <w:vMerge/>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p>
        </w:tc>
        <w:tc>
          <w:tcPr>
            <w:tcW w:w="1418" w:type="dxa"/>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Mladý farmár</w:t>
            </w:r>
          </w:p>
        </w:tc>
        <w:tc>
          <w:tcPr>
            <w:tcW w:w="1275" w:type="dxa"/>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Malý farmár</w:t>
            </w:r>
          </w:p>
        </w:tc>
        <w:tc>
          <w:tcPr>
            <w:tcW w:w="1559" w:type="dxa"/>
            <w:shd w:val="clear" w:color="auto" w:fill="D9D9D9" w:themeFill="background1" w:themeFillShade="D9"/>
          </w:tcPr>
          <w:p w:rsidR="00403A4C" w:rsidRPr="00FD3680" w:rsidRDefault="00403A4C" w:rsidP="00B31B70">
            <w:pPr>
              <w:jc w:val="center"/>
              <w:rPr>
                <w:rFonts w:ascii="Times New Roman" w:hAnsi="Times New Roman" w:cs="Times New Roman"/>
                <w:sz w:val="20"/>
                <w:szCs w:val="20"/>
              </w:rPr>
            </w:pPr>
            <w:r w:rsidRPr="00FD3680">
              <w:rPr>
                <w:rFonts w:ascii="Times New Roman" w:hAnsi="Times New Roman" w:cs="Times New Roman"/>
                <w:sz w:val="20"/>
                <w:szCs w:val="20"/>
              </w:rPr>
              <w:t>Rodinný farmár</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Podpora zamestnávania</w:t>
            </w:r>
          </w:p>
        </w:tc>
        <w:tc>
          <w:tcPr>
            <w:tcW w:w="5811" w:type="dxa"/>
            <w:gridSpan w:val="4"/>
            <w:vAlign w:val="center"/>
          </w:tcPr>
          <w:p w:rsidR="00403A4C" w:rsidRPr="00FD3680" w:rsidRDefault="00403A4C" w:rsidP="00B31B70">
            <w:pPr>
              <w:jc w:val="center"/>
              <w:rPr>
                <w:rFonts w:ascii="Times New Roman" w:hAnsi="Times New Roman" w:cs="Times New Roman"/>
                <w:sz w:val="20"/>
                <w:szCs w:val="20"/>
              </w:rPr>
            </w:pP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schéma štátnej pomoci</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8 200 000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71FE9" w:rsidP="003949B5">
            <w:pPr>
              <w:pStyle w:val="Odsekzoznamu"/>
              <w:numPr>
                <w:ilvl w:val="1"/>
                <w:numId w:val="29"/>
              </w:numPr>
              <w:ind w:left="426" w:hanging="142"/>
              <w:rPr>
                <w:rFonts w:ascii="Times New Roman" w:hAnsi="Times New Roman" w:cs="Times New Roman"/>
                <w:sz w:val="20"/>
                <w:szCs w:val="20"/>
              </w:rPr>
            </w:pPr>
            <w:r>
              <w:rPr>
                <w:rFonts w:ascii="Times New Roman" w:hAnsi="Times New Roman" w:cs="Times New Roman"/>
                <w:sz w:val="20"/>
                <w:szCs w:val="20"/>
              </w:rPr>
              <w:t xml:space="preserve">odvodové úľavy </w:t>
            </w:r>
          </w:p>
        </w:tc>
        <w:tc>
          <w:tcPr>
            <w:tcW w:w="1559" w:type="dxa"/>
            <w:vAlign w:val="center"/>
          </w:tcPr>
          <w:p w:rsidR="00206F71" w:rsidRPr="00FD3680" w:rsidRDefault="00206F71" w:rsidP="00761280">
            <w:pPr>
              <w:jc w:val="center"/>
              <w:rPr>
                <w:rFonts w:ascii="Times New Roman" w:hAnsi="Times New Roman" w:cs="Times New Roman"/>
                <w:sz w:val="20"/>
                <w:szCs w:val="20"/>
              </w:rPr>
            </w:pPr>
            <w:r w:rsidRPr="00FD3680">
              <w:rPr>
                <w:rFonts w:ascii="Times New Roman" w:hAnsi="Times New Roman" w:cs="Times New Roman"/>
                <w:sz w:val="20"/>
                <w:szCs w:val="20"/>
              </w:rPr>
              <w:t>N/A</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 xml:space="preserve">Projektové podpory PRV SR </w:t>
            </w:r>
          </w:p>
        </w:tc>
        <w:tc>
          <w:tcPr>
            <w:tcW w:w="5811" w:type="dxa"/>
            <w:gridSpan w:val="4"/>
            <w:vAlign w:val="center"/>
          </w:tcPr>
          <w:p w:rsidR="00403A4C" w:rsidRPr="00FD3680" w:rsidRDefault="00403A4C" w:rsidP="00B31B70">
            <w:pPr>
              <w:jc w:val="center"/>
              <w:rPr>
                <w:rFonts w:ascii="Times New Roman" w:hAnsi="Times New Roman" w:cs="Times New Roman"/>
                <w:sz w:val="20"/>
                <w:szCs w:val="20"/>
              </w:rPr>
            </w:pP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investície do HM – farmy</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210 000 000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investície do HM – spracovatelia</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200 000 000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investície do HM – neprodukt. I</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20 410 000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rozvoj nepoľnohosp. činností</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80 000 000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B31B70">
            <w:pPr>
              <w:rPr>
                <w:rFonts w:ascii="Times New Roman" w:hAnsi="Times New Roman" w:cs="Times New Roman"/>
                <w:sz w:val="20"/>
                <w:szCs w:val="20"/>
              </w:rPr>
            </w:pPr>
            <w:r w:rsidRPr="00FD3680">
              <w:rPr>
                <w:rFonts w:ascii="Times New Roman" w:hAnsi="Times New Roman" w:cs="Times New Roman"/>
                <w:sz w:val="20"/>
                <w:szCs w:val="20"/>
              </w:rPr>
              <w:t>Podpora výroby, odbytu a označovania poľnohospodárskych výrobkov</w:t>
            </w:r>
          </w:p>
        </w:tc>
        <w:tc>
          <w:tcPr>
            <w:tcW w:w="1559" w:type="dxa"/>
            <w:vAlign w:val="center"/>
          </w:tcPr>
          <w:p w:rsidR="00206F71" w:rsidRPr="00FD3680" w:rsidRDefault="00206F71" w:rsidP="00B31B70">
            <w:pPr>
              <w:jc w:val="center"/>
              <w:rPr>
                <w:rFonts w:ascii="Times New Roman" w:hAnsi="Times New Roman" w:cs="Times New Roman"/>
                <w:sz w:val="20"/>
                <w:szCs w:val="20"/>
              </w:rPr>
            </w:pPr>
            <w:r w:rsidRPr="00FD3680">
              <w:rPr>
                <w:rFonts w:ascii="Times New Roman" w:hAnsi="Times New Roman" w:cs="Times New Roman"/>
                <w:sz w:val="20"/>
                <w:szCs w:val="20"/>
              </w:rPr>
              <w:t>N/A</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Neprojektové podpory PRV SR</w:t>
            </w:r>
          </w:p>
        </w:tc>
        <w:tc>
          <w:tcPr>
            <w:tcW w:w="5811" w:type="dxa"/>
            <w:gridSpan w:val="4"/>
            <w:vAlign w:val="center"/>
          </w:tcPr>
          <w:p w:rsidR="00403A4C" w:rsidRPr="00FD3680" w:rsidRDefault="00403A4C" w:rsidP="00B31B70">
            <w:pPr>
              <w:jc w:val="center"/>
              <w:rPr>
                <w:rFonts w:ascii="Times New Roman" w:hAnsi="Times New Roman" w:cs="Times New Roman"/>
                <w:sz w:val="20"/>
                <w:szCs w:val="20"/>
              </w:rPr>
            </w:pP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agroenvironmentálne opatrenia</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143 750 000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ekologické poľnohospodárstvo</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90 000 000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platby NATURA 2000 na p. p.</w:t>
            </w:r>
          </w:p>
        </w:tc>
        <w:tc>
          <w:tcPr>
            <w:tcW w:w="1559" w:type="dxa"/>
            <w:vAlign w:val="center"/>
          </w:tcPr>
          <w:p w:rsidR="00206F71" w:rsidRPr="00FD3680" w:rsidRDefault="00752684" w:rsidP="00B31B70">
            <w:pPr>
              <w:jc w:val="right"/>
              <w:rPr>
                <w:rFonts w:ascii="Times New Roman" w:hAnsi="Times New Roman" w:cs="Times New Roman"/>
                <w:sz w:val="20"/>
                <w:szCs w:val="20"/>
              </w:rPr>
            </w:pPr>
            <w:r w:rsidRPr="00FD3680">
              <w:rPr>
                <w:rFonts w:ascii="Times New Roman" w:hAnsi="Times New Roman" w:cs="Times New Roman"/>
                <w:sz w:val="20"/>
                <w:szCs w:val="20"/>
              </w:rPr>
              <w:t>1 540</w:t>
            </w:r>
            <w:r w:rsidR="00206F71" w:rsidRPr="00FD3680">
              <w:rPr>
                <w:rFonts w:ascii="Times New Roman" w:hAnsi="Times New Roman" w:cs="Times New Roman"/>
                <w:sz w:val="20"/>
                <w:szCs w:val="20"/>
              </w:rPr>
              <w:t xml:space="preserve">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LFA</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482 650 000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dobré životné podmienky zvierat</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108 000 000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Priame platby</w:t>
            </w:r>
          </w:p>
        </w:tc>
        <w:tc>
          <w:tcPr>
            <w:tcW w:w="5811" w:type="dxa"/>
            <w:gridSpan w:val="4"/>
            <w:vAlign w:val="center"/>
          </w:tcPr>
          <w:p w:rsidR="00403A4C" w:rsidRPr="00FD3680" w:rsidRDefault="00403A4C" w:rsidP="00B31B70">
            <w:pPr>
              <w:jc w:val="center"/>
              <w:rPr>
                <w:rFonts w:ascii="Times New Roman" w:hAnsi="Times New Roman" w:cs="Times New Roman"/>
                <w:sz w:val="20"/>
                <w:szCs w:val="20"/>
              </w:rPr>
            </w:pP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základná platba na plochu</w:t>
            </w:r>
          </w:p>
        </w:tc>
        <w:tc>
          <w:tcPr>
            <w:tcW w:w="1559" w:type="dxa"/>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 xml:space="preserve">1 475 576 334   </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greeningová platba</w:t>
            </w:r>
          </w:p>
        </w:tc>
        <w:tc>
          <w:tcPr>
            <w:tcW w:w="1559" w:type="dxa"/>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 xml:space="preserve">788 937 624 </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viazaná podpora (ŽV+RV)</w:t>
            </w:r>
          </w:p>
        </w:tc>
        <w:tc>
          <w:tcPr>
            <w:tcW w:w="1559" w:type="dxa"/>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340 100 000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403A4C">
        <w:tc>
          <w:tcPr>
            <w:tcW w:w="3261" w:type="dxa"/>
          </w:tcPr>
          <w:p w:rsidR="00403A4C" w:rsidRPr="00FD3680" w:rsidRDefault="00403A4C" w:rsidP="00B31B70">
            <w:pPr>
              <w:rPr>
                <w:rFonts w:ascii="Times New Roman" w:hAnsi="Times New Roman" w:cs="Times New Roman"/>
                <w:sz w:val="20"/>
                <w:szCs w:val="20"/>
              </w:rPr>
            </w:pPr>
            <w:r w:rsidRPr="00FD3680">
              <w:rPr>
                <w:rFonts w:ascii="Times New Roman" w:hAnsi="Times New Roman" w:cs="Times New Roman"/>
                <w:sz w:val="20"/>
                <w:szCs w:val="20"/>
              </w:rPr>
              <w:t>Vnútroštátna pomoc</w:t>
            </w:r>
          </w:p>
        </w:tc>
        <w:tc>
          <w:tcPr>
            <w:tcW w:w="5811" w:type="dxa"/>
            <w:gridSpan w:val="4"/>
            <w:vAlign w:val="center"/>
          </w:tcPr>
          <w:p w:rsidR="00403A4C" w:rsidRPr="00FD3680" w:rsidRDefault="00403A4C" w:rsidP="00B31B70">
            <w:pPr>
              <w:jc w:val="center"/>
              <w:rPr>
                <w:rFonts w:ascii="Times New Roman" w:hAnsi="Times New Roman" w:cs="Times New Roman"/>
                <w:sz w:val="20"/>
                <w:szCs w:val="20"/>
              </w:rPr>
            </w:pP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živočíšna výroba (ŽV)</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68 659 380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rastlinná výroba (RV)</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45 598 754</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B31B70">
            <w:pPr>
              <w:rPr>
                <w:rFonts w:ascii="Times New Roman" w:hAnsi="Times New Roman" w:cs="Times New Roman"/>
                <w:sz w:val="20"/>
                <w:szCs w:val="20"/>
              </w:rPr>
            </w:pPr>
            <w:r w:rsidRPr="00FD3680">
              <w:rPr>
                <w:rFonts w:ascii="Times New Roman" w:hAnsi="Times New Roman" w:cs="Times New Roman"/>
                <w:sz w:val="20"/>
                <w:szCs w:val="20"/>
              </w:rPr>
              <w:t>Opatrenia v rámci SOT</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105 000 000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bl>
    <w:p w:rsidR="00206F71" w:rsidRPr="00FD3680" w:rsidRDefault="00206F71" w:rsidP="00206F71">
      <w:pPr>
        <w:spacing w:after="0" w:line="240" w:lineRule="auto"/>
        <w:rPr>
          <w:rFonts w:ascii="Times New Roman" w:hAnsi="Times New Roman" w:cs="Times New Roman"/>
          <w:sz w:val="20"/>
          <w:szCs w:val="20"/>
        </w:rPr>
      </w:pPr>
      <w:r w:rsidRPr="00FD3680">
        <w:rPr>
          <w:rFonts w:ascii="Times New Roman" w:hAnsi="Times New Roman" w:cs="Times New Roman"/>
          <w:sz w:val="20"/>
          <w:szCs w:val="20"/>
        </w:rPr>
        <w:t>*● – účasť na podpore je možná; x – účasť na podpore nie je možná.</w:t>
      </w:r>
    </w:p>
    <w:p w:rsidR="00403A4C" w:rsidRPr="00FD3680" w:rsidRDefault="00403A4C" w:rsidP="00403A4C">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Zdroj: MPRV SR</w:t>
      </w:r>
    </w:p>
    <w:p w:rsidR="00403A4C" w:rsidRPr="00FD3680" w:rsidRDefault="00403A4C" w:rsidP="00D27F00">
      <w:pPr>
        <w:tabs>
          <w:tab w:val="left" w:pos="851"/>
        </w:tabs>
        <w:spacing w:after="0" w:line="240" w:lineRule="auto"/>
        <w:ind w:left="851" w:hanging="851"/>
        <w:jc w:val="both"/>
        <w:rPr>
          <w:rFonts w:ascii="Times New Roman" w:hAnsi="Times New Roman" w:cs="Times New Roman"/>
          <w:sz w:val="24"/>
          <w:szCs w:val="24"/>
        </w:rPr>
      </w:pPr>
    </w:p>
    <w:p w:rsidR="00403A4C" w:rsidRPr="00FD3680" w:rsidRDefault="00403A4C" w:rsidP="00403A4C">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Indikované alokácie predstavujú sumárne navrhnuté výšky podpôr v rámci jednotlivých titulov, pričom v prípade </w:t>
      </w:r>
      <w:r w:rsidR="00761280" w:rsidRPr="00FD3680">
        <w:rPr>
          <w:rFonts w:ascii="Times New Roman" w:hAnsi="Times New Roman" w:cs="Times New Roman"/>
          <w:sz w:val="24"/>
          <w:szCs w:val="24"/>
          <w:lang w:eastAsia="ar-SA"/>
        </w:rPr>
        <w:t xml:space="preserve">schémy štátnej pomoci na podporu zamestnávania, </w:t>
      </w:r>
      <w:r w:rsidRPr="00FD3680">
        <w:rPr>
          <w:rFonts w:ascii="Times New Roman" w:hAnsi="Times New Roman" w:cs="Times New Roman"/>
          <w:sz w:val="24"/>
          <w:szCs w:val="24"/>
          <w:lang w:eastAsia="ar-SA"/>
        </w:rPr>
        <w:t xml:space="preserve">projektových </w:t>
      </w:r>
      <w:r w:rsidRPr="00FD3680">
        <w:rPr>
          <w:rFonts w:ascii="Times New Roman" w:hAnsi="Times New Roman" w:cs="Times New Roman"/>
          <w:sz w:val="24"/>
          <w:szCs w:val="24"/>
          <w:lang w:eastAsia="ar-SA"/>
        </w:rPr>
        <w:lastRenderedPageBreak/>
        <w:t>podpôr, neprojektových podpôr, priamych platieb, vnútroštátnej pomoci a opatrení v rámci SOT ide o celkové čiastky alokované pre celý sektor poľnohospodárstva.</w:t>
      </w:r>
      <w:r w:rsidR="00761280" w:rsidRPr="00FD3680">
        <w:rPr>
          <w:rFonts w:ascii="Times New Roman" w:hAnsi="Times New Roman" w:cs="Times New Roman"/>
          <w:sz w:val="24"/>
          <w:szCs w:val="24"/>
          <w:lang w:eastAsia="ar-SA"/>
        </w:rPr>
        <w:t xml:space="preserve"> Podpora výroby, odbytu a označovania poľnohospodárskych výrobkov je nepeňažné opatrenie a predstavuje uľahčenie presadenia sa na trhu formou zvýraznenia výnimočnosti svojh</w:t>
      </w:r>
      <w:r w:rsidR="00271FE9">
        <w:rPr>
          <w:rFonts w:ascii="Times New Roman" w:hAnsi="Times New Roman" w:cs="Times New Roman"/>
          <w:sz w:val="24"/>
          <w:szCs w:val="24"/>
          <w:lang w:eastAsia="ar-SA"/>
        </w:rPr>
        <w:t xml:space="preserve">o produktu. Odvodové úľavy </w:t>
      </w:r>
      <w:r w:rsidR="00761280" w:rsidRPr="00FD3680">
        <w:rPr>
          <w:rFonts w:ascii="Times New Roman" w:hAnsi="Times New Roman" w:cs="Times New Roman"/>
          <w:sz w:val="24"/>
          <w:szCs w:val="24"/>
          <w:lang w:eastAsia="ar-SA"/>
        </w:rPr>
        <w:t>sú administrované nezávisle, pre celé národné hospodárstvo, s možnosťou neobmedzeného efektívneho čerpania, nakoľko podmienky rozpočtovej neutrálnosti je v plnom rozsahu splnená.</w:t>
      </w:r>
    </w:p>
    <w:p w:rsidR="00403A4C" w:rsidRPr="00FD3680" w:rsidRDefault="00403A4C" w:rsidP="006B5633">
      <w:pPr>
        <w:tabs>
          <w:tab w:val="left" w:pos="851"/>
        </w:tabs>
        <w:spacing w:after="0" w:line="240" w:lineRule="auto"/>
        <w:jc w:val="both"/>
        <w:rPr>
          <w:rFonts w:ascii="Times New Roman" w:hAnsi="Times New Roman" w:cs="Times New Roman"/>
          <w:sz w:val="24"/>
          <w:szCs w:val="24"/>
        </w:rPr>
      </w:pPr>
    </w:p>
    <w:p w:rsidR="00761280" w:rsidRPr="00FD3680" w:rsidRDefault="00761280" w:rsidP="00771A68">
      <w:pPr>
        <w:pStyle w:val="Nadpis2"/>
        <w:numPr>
          <w:ilvl w:val="1"/>
          <w:numId w:val="36"/>
        </w:numPr>
      </w:pPr>
      <w:bookmarkStart w:id="37" w:name="_Toc394589449"/>
      <w:r w:rsidRPr="00FD3680">
        <w:t>Nástroje na nepriamu podporu cieľových skupín poľnohospodárskych podnikateľov</w:t>
      </w:r>
      <w:bookmarkEnd w:id="37"/>
    </w:p>
    <w:p w:rsidR="00403A4C" w:rsidRPr="00FD3680" w:rsidRDefault="00403A4C" w:rsidP="00D27F00">
      <w:pPr>
        <w:tabs>
          <w:tab w:val="left" w:pos="851"/>
        </w:tabs>
        <w:spacing w:after="0" w:line="240" w:lineRule="auto"/>
        <w:ind w:left="851" w:hanging="851"/>
        <w:jc w:val="both"/>
        <w:rPr>
          <w:rFonts w:ascii="Times New Roman" w:hAnsi="Times New Roman" w:cs="Times New Roman"/>
          <w:sz w:val="24"/>
          <w:szCs w:val="24"/>
        </w:rPr>
      </w:pPr>
    </w:p>
    <w:p w:rsidR="00403A4C" w:rsidRPr="00FD3680" w:rsidRDefault="00761280" w:rsidP="005E412D">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 xml:space="preserve">Nástroje na nepriamu podporu cieľových skupín poľnohospodárskych podnikateľov </w:t>
      </w:r>
      <w:r w:rsidR="005E412D" w:rsidRPr="00FD3680">
        <w:rPr>
          <w:rFonts w:ascii="Times New Roman" w:hAnsi="Times New Roman" w:cs="Times New Roman"/>
          <w:sz w:val="24"/>
          <w:szCs w:val="24"/>
          <w:lang w:eastAsia="ar-SA"/>
        </w:rPr>
        <w:t>členíme na nepriame nástroje na združovanie poľnohospodárskych podnikateľov a ich zapájanie sa do iniciatív zvýšenia atraktívnosti vidieckej krajiny a nástroje, ktorých využitie je sprostredkované cez tretiu osobu.</w:t>
      </w:r>
    </w:p>
    <w:p w:rsidR="005E412D" w:rsidRPr="00FD3680" w:rsidRDefault="005E412D" w:rsidP="005E412D">
      <w:pPr>
        <w:spacing w:after="0" w:line="240" w:lineRule="auto"/>
        <w:jc w:val="both"/>
        <w:rPr>
          <w:rFonts w:ascii="Times New Roman" w:hAnsi="Times New Roman" w:cs="Times New Roman"/>
          <w:sz w:val="24"/>
          <w:szCs w:val="24"/>
          <w:lang w:eastAsia="ar-SA"/>
        </w:rPr>
      </w:pPr>
    </w:p>
    <w:p w:rsidR="005E412D" w:rsidRPr="00FD3680" w:rsidRDefault="005E412D" w:rsidP="005E412D">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u w:val="single"/>
          <w:lang w:eastAsia="ar-SA"/>
        </w:rPr>
        <w:t>Medzi nástroje na združovanie poľnohospodárskych podnikateľov a ich zapájanie sa do iniciatív zvýšenia atraktívnosti vidieckej krajiny</w:t>
      </w:r>
      <w:r w:rsidR="00971E44" w:rsidRPr="00FD3680">
        <w:rPr>
          <w:rFonts w:ascii="Times New Roman" w:hAnsi="Times New Roman" w:cs="Times New Roman"/>
          <w:sz w:val="24"/>
          <w:szCs w:val="24"/>
          <w:lang w:eastAsia="ar-SA"/>
        </w:rPr>
        <w:t xml:space="preserve"> patria opatrenia v rámci projektových podpôr, a to podpora spolupráce v rámci potravinovej vertikály, podpora zakladania organizácií výrobcov a LEADER. </w:t>
      </w:r>
    </w:p>
    <w:p w:rsidR="00403A4C" w:rsidRPr="00FD3680" w:rsidRDefault="00403A4C" w:rsidP="00D27F00">
      <w:pPr>
        <w:tabs>
          <w:tab w:val="left" w:pos="851"/>
        </w:tabs>
        <w:spacing w:after="0" w:line="240" w:lineRule="auto"/>
        <w:ind w:left="851" w:hanging="851"/>
        <w:jc w:val="both"/>
        <w:rPr>
          <w:rFonts w:ascii="Times New Roman" w:hAnsi="Times New Roman" w:cs="Times New Roman"/>
          <w:sz w:val="24"/>
          <w:szCs w:val="24"/>
        </w:rPr>
      </w:pPr>
    </w:p>
    <w:p w:rsidR="00971E44" w:rsidRPr="00FD3680" w:rsidRDefault="00971E44" w:rsidP="00971E44">
      <w:pPr>
        <w:tabs>
          <w:tab w:val="left" w:pos="851"/>
        </w:tabs>
        <w:spacing w:after="0" w:line="240" w:lineRule="auto"/>
        <w:ind w:left="851" w:hanging="851"/>
        <w:jc w:val="both"/>
        <w:rPr>
          <w:rFonts w:ascii="Times New Roman" w:hAnsi="Times New Roman" w:cs="Times New Roman"/>
          <w:sz w:val="20"/>
          <w:szCs w:val="20"/>
        </w:rPr>
      </w:pPr>
      <w:r w:rsidRPr="00FD3680">
        <w:rPr>
          <w:rFonts w:ascii="Times New Roman" w:hAnsi="Times New Roman" w:cs="Times New Roman"/>
          <w:sz w:val="20"/>
          <w:szCs w:val="20"/>
        </w:rPr>
        <w:t xml:space="preserve">Tab. č. 6: </w:t>
      </w:r>
      <w:r w:rsidRPr="00FD3680">
        <w:rPr>
          <w:rFonts w:ascii="Times New Roman" w:hAnsi="Times New Roman" w:cs="Times New Roman"/>
          <w:sz w:val="20"/>
          <w:szCs w:val="20"/>
        </w:rPr>
        <w:tab/>
        <w:t xml:space="preserve">Prehľad nástrojov na združovanie poľnohospodárskych podnikateľov a ich zapájanie sa do iniciatív zvýšenia atraktívnosti vidieckej krajiny na roky 2014 </w:t>
      </w:r>
      <w:r w:rsidR="007A083D" w:rsidRPr="00FD3680">
        <w:rPr>
          <w:rFonts w:ascii="Times New Roman" w:hAnsi="Times New Roman" w:cs="Times New Roman"/>
          <w:sz w:val="20"/>
          <w:szCs w:val="20"/>
        </w:rPr>
        <w:t>–</w:t>
      </w:r>
      <w:r w:rsidRPr="00FD3680">
        <w:rPr>
          <w:rFonts w:ascii="Times New Roman" w:hAnsi="Times New Roman" w:cs="Times New Roman"/>
          <w:sz w:val="20"/>
          <w:szCs w:val="20"/>
        </w:rPr>
        <w:t xml:space="preserve"> 2020</w:t>
      </w:r>
    </w:p>
    <w:p w:rsidR="007A083D" w:rsidRPr="00FD3680" w:rsidRDefault="007A083D" w:rsidP="00971E44">
      <w:pPr>
        <w:tabs>
          <w:tab w:val="left" w:pos="851"/>
        </w:tabs>
        <w:spacing w:after="0" w:line="240" w:lineRule="auto"/>
        <w:ind w:left="851" w:hanging="851"/>
        <w:jc w:val="both"/>
        <w:rPr>
          <w:rFonts w:ascii="Times New Roman" w:hAnsi="Times New Roman" w:cs="Times New Roman"/>
          <w:sz w:val="20"/>
          <w:szCs w:val="20"/>
        </w:rPr>
      </w:pPr>
    </w:p>
    <w:tbl>
      <w:tblPr>
        <w:tblStyle w:val="Mriekatabuky"/>
        <w:tblW w:w="9072" w:type="dxa"/>
        <w:tblInd w:w="108" w:type="dxa"/>
        <w:tblLook w:val="04A0" w:firstRow="1" w:lastRow="0" w:firstColumn="1" w:lastColumn="0" w:noHBand="0" w:noVBand="1"/>
      </w:tblPr>
      <w:tblGrid>
        <w:gridCol w:w="3261"/>
        <w:gridCol w:w="1559"/>
        <w:gridCol w:w="1418"/>
        <w:gridCol w:w="1275"/>
        <w:gridCol w:w="1559"/>
      </w:tblGrid>
      <w:tr w:rsidR="00FD3680" w:rsidRPr="00FD3680" w:rsidTr="000A591B">
        <w:tc>
          <w:tcPr>
            <w:tcW w:w="3261" w:type="dxa"/>
            <w:vMerge w:val="restart"/>
            <w:shd w:val="clear" w:color="auto" w:fill="D9D9D9" w:themeFill="background1" w:themeFillShade="D9"/>
            <w:vAlign w:val="center"/>
          </w:tcPr>
          <w:p w:rsidR="00971E44" w:rsidRPr="00FD3680" w:rsidRDefault="00971E44" w:rsidP="00B31B70">
            <w:pPr>
              <w:rPr>
                <w:rFonts w:ascii="Times New Roman" w:hAnsi="Times New Roman" w:cs="Times New Roman"/>
                <w:sz w:val="20"/>
                <w:szCs w:val="20"/>
              </w:rPr>
            </w:pPr>
            <w:r w:rsidRPr="00FD3680">
              <w:rPr>
                <w:rFonts w:ascii="Times New Roman" w:hAnsi="Times New Roman" w:cs="Times New Roman"/>
                <w:sz w:val="20"/>
                <w:szCs w:val="20"/>
              </w:rPr>
              <w:t>Titul</w:t>
            </w:r>
          </w:p>
        </w:tc>
        <w:tc>
          <w:tcPr>
            <w:tcW w:w="1559" w:type="dxa"/>
            <w:vMerge w:val="restart"/>
            <w:shd w:val="clear" w:color="auto" w:fill="D9D9D9" w:themeFill="background1" w:themeFillShade="D9"/>
            <w:vAlign w:val="center"/>
          </w:tcPr>
          <w:p w:rsidR="00971E44" w:rsidRPr="00FD3680" w:rsidRDefault="00971E44" w:rsidP="00B31B70">
            <w:pPr>
              <w:jc w:val="center"/>
              <w:rPr>
                <w:rFonts w:ascii="Times New Roman" w:hAnsi="Times New Roman" w:cs="Times New Roman"/>
                <w:sz w:val="20"/>
                <w:szCs w:val="20"/>
              </w:rPr>
            </w:pPr>
            <w:r w:rsidRPr="00FD3680">
              <w:rPr>
                <w:rFonts w:ascii="Times New Roman" w:hAnsi="Times New Roman" w:cs="Times New Roman"/>
                <w:sz w:val="20"/>
                <w:szCs w:val="20"/>
              </w:rPr>
              <w:t>Indikovaná alokácia v EUR</w:t>
            </w:r>
          </w:p>
        </w:tc>
        <w:tc>
          <w:tcPr>
            <w:tcW w:w="4252" w:type="dxa"/>
            <w:gridSpan w:val="3"/>
            <w:shd w:val="clear" w:color="auto" w:fill="D9D9D9" w:themeFill="background1" w:themeFillShade="D9"/>
          </w:tcPr>
          <w:p w:rsidR="00971E44" w:rsidRPr="00FD3680" w:rsidRDefault="00971E44" w:rsidP="00B31B70">
            <w:pPr>
              <w:jc w:val="center"/>
              <w:rPr>
                <w:rFonts w:ascii="Times New Roman" w:hAnsi="Times New Roman" w:cs="Times New Roman"/>
                <w:sz w:val="20"/>
                <w:szCs w:val="20"/>
              </w:rPr>
            </w:pPr>
            <w:r w:rsidRPr="00FD3680">
              <w:rPr>
                <w:rFonts w:ascii="Times New Roman" w:hAnsi="Times New Roman" w:cs="Times New Roman"/>
                <w:sz w:val="20"/>
                <w:szCs w:val="20"/>
              </w:rPr>
              <w:t>Participácia na podpore*</w:t>
            </w:r>
          </w:p>
        </w:tc>
      </w:tr>
      <w:tr w:rsidR="00FD3680" w:rsidRPr="00FD3680" w:rsidTr="000A591B">
        <w:tc>
          <w:tcPr>
            <w:tcW w:w="3261" w:type="dxa"/>
            <w:vMerge/>
            <w:shd w:val="clear" w:color="auto" w:fill="D9D9D9" w:themeFill="background1" w:themeFillShade="D9"/>
          </w:tcPr>
          <w:p w:rsidR="00971E44" w:rsidRPr="00FD3680" w:rsidRDefault="00971E44" w:rsidP="00B31B70">
            <w:pPr>
              <w:rPr>
                <w:rFonts w:ascii="Times New Roman" w:hAnsi="Times New Roman" w:cs="Times New Roman"/>
                <w:sz w:val="20"/>
                <w:szCs w:val="20"/>
              </w:rPr>
            </w:pPr>
          </w:p>
        </w:tc>
        <w:tc>
          <w:tcPr>
            <w:tcW w:w="1559" w:type="dxa"/>
            <w:vMerge/>
            <w:shd w:val="clear" w:color="auto" w:fill="D9D9D9" w:themeFill="background1" w:themeFillShade="D9"/>
          </w:tcPr>
          <w:p w:rsidR="00971E44" w:rsidRPr="00FD3680" w:rsidRDefault="00971E44" w:rsidP="00B31B70">
            <w:pPr>
              <w:jc w:val="center"/>
              <w:rPr>
                <w:rFonts w:ascii="Times New Roman" w:hAnsi="Times New Roman" w:cs="Times New Roman"/>
                <w:sz w:val="20"/>
                <w:szCs w:val="20"/>
              </w:rPr>
            </w:pPr>
          </w:p>
        </w:tc>
        <w:tc>
          <w:tcPr>
            <w:tcW w:w="1418" w:type="dxa"/>
            <w:shd w:val="clear" w:color="auto" w:fill="D9D9D9" w:themeFill="background1" w:themeFillShade="D9"/>
          </w:tcPr>
          <w:p w:rsidR="00971E44" w:rsidRPr="00FD3680" w:rsidRDefault="00971E44" w:rsidP="00B31B70">
            <w:pPr>
              <w:jc w:val="center"/>
              <w:rPr>
                <w:rFonts w:ascii="Times New Roman" w:hAnsi="Times New Roman" w:cs="Times New Roman"/>
                <w:sz w:val="20"/>
                <w:szCs w:val="20"/>
              </w:rPr>
            </w:pPr>
            <w:r w:rsidRPr="00FD3680">
              <w:rPr>
                <w:rFonts w:ascii="Times New Roman" w:hAnsi="Times New Roman" w:cs="Times New Roman"/>
                <w:sz w:val="20"/>
                <w:szCs w:val="20"/>
              </w:rPr>
              <w:t>Mladý farmár</w:t>
            </w:r>
          </w:p>
        </w:tc>
        <w:tc>
          <w:tcPr>
            <w:tcW w:w="1275" w:type="dxa"/>
            <w:shd w:val="clear" w:color="auto" w:fill="D9D9D9" w:themeFill="background1" w:themeFillShade="D9"/>
          </w:tcPr>
          <w:p w:rsidR="00971E44" w:rsidRPr="00FD3680" w:rsidRDefault="00971E44" w:rsidP="00B31B70">
            <w:pPr>
              <w:jc w:val="center"/>
              <w:rPr>
                <w:rFonts w:ascii="Times New Roman" w:hAnsi="Times New Roman" w:cs="Times New Roman"/>
                <w:sz w:val="20"/>
                <w:szCs w:val="20"/>
              </w:rPr>
            </w:pPr>
            <w:r w:rsidRPr="00FD3680">
              <w:rPr>
                <w:rFonts w:ascii="Times New Roman" w:hAnsi="Times New Roman" w:cs="Times New Roman"/>
                <w:sz w:val="20"/>
                <w:szCs w:val="20"/>
              </w:rPr>
              <w:t>Malý farmár</w:t>
            </w:r>
          </w:p>
        </w:tc>
        <w:tc>
          <w:tcPr>
            <w:tcW w:w="1559" w:type="dxa"/>
            <w:shd w:val="clear" w:color="auto" w:fill="D9D9D9" w:themeFill="background1" w:themeFillShade="D9"/>
          </w:tcPr>
          <w:p w:rsidR="00971E44" w:rsidRPr="00FD3680" w:rsidRDefault="00971E44" w:rsidP="00B31B70">
            <w:pPr>
              <w:jc w:val="center"/>
              <w:rPr>
                <w:rFonts w:ascii="Times New Roman" w:hAnsi="Times New Roman" w:cs="Times New Roman"/>
                <w:sz w:val="20"/>
                <w:szCs w:val="20"/>
              </w:rPr>
            </w:pPr>
            <w:r w:rsidRPr="00FD3680">
              <w:rPr>
                <w:rFonts w:ascii="Times New Roman" w:hAnsi="Times New Roman" w:cs="Times New Roman"/>
                <w:sz w:val="20"/>
                <w:szCs w:val="20"/>
              </w:rPr>
              <w:t>Rodinný farmár</w:t>
            </w:r>
          </w:p>
        </w:tc>
      </w:tr>
      <w:tr w:rsidR="00FD3680" w:rsidRPr="00FD3680" w:rsidTr="00971E44">
        <w:tc>
          <w:tcPr>
            <w:tcW w:w="3261" w:type="dxa"/>
          </w:tcPr>
          <w:p w:rsidR="00971E44" w:rsidRPr="00FD3680" w:rsidRDefault="00971E44" w:rsidP="00B31B70">
            <w:pPr>
              <w:rPr>
                <w:rFonts w:ascii="Times New Roman" w:hAnsi="Times New Roman" w:cs="Times New Roman"/>
                <w:sz w:val="20"/>
                <w:szCs w:val="20"/>
              </w:rPr>
            </w:pPr>
            <w:r w:rsidRPr="00FD3680">
              <w:rPr>
                <w:rFonts w:ascii="Times New Roman" w:hAnsi="Times New Roman" w:cs="Times New Roman"/>
                <w:sz w:val="20"/>
                <w:szCs w:val="20"/>
              </w:rPr>
              <w:t xml:space="preserve">Projektové podpory PRV SR </w:t>
            </w:r>
          </w:p>
        </w:tc>
        <w:tc>
          <w:tcPr>
            <w:tcW w:w="5811" w:type="dxa"/>
            <w:gridSpan w:val="4"/>
            <w:vAlign w:val="center"/>
          </w:tcPr>
          <w:p w:rsidR="00971E44" w:rsidRPr="00FD3680" w:rsidRDefault="00971E44" w:rsidP="00B31B70">
            <w:pPr>
              <w:jc w:val="center"/>
              <w:rPr>
                <w:rFonts w:ascii="Times New Roman" w:hAnsi="Times New Roman" w:cs="Times New Roman"/>
                <w:sz w:val="20"/>
                <w:szCs w:val="20"/>
              </w:rPr>
            </w:pP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zakladanie organizácii výrobcov</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10 000 000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spolupráca</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66 500 000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LEADER</w:t>
            </w:r>
          </w:p>
        </w:tc>
        <w:tc>
          <w:tcPr>
            <w:tcW w:w="1559" w:type="dxa"/>
            <w:vAlign w:val="center"/>
          </w:tcPr>
          <w:p w:rsidR="00206F71" w:rsidRPr="00FD3680" w:rsidRDefault="00206F71" w:rsidP="00B31B70">
            <w:pPr>
              <w:jc w:val="right"/>
              <w:rPr>
                <w:rFonts w:ascii="Times New Roman" w:hAnsi="Times New Roman" w:cs="Times New Roman"/>
                <w:sz w:val="20"/>
                <w:szCs w:val="20"/>
              </w:rPr>
            </w:pPr>
            <w:r w:rsidRPr="00FD3680">
              <w:rPr>
                <w:rFonts w:ascii="Times New Roman" w:hAnsi="Times New Roman" w:cs="Times New Roman"/>
                <w:sz w:val="20"/>
                <w:szCs w:val="20"/>
              </w:rPr>
              <w:t>104 783 018</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bl>
    <w:p w:rsidR="00206F71" w:rsidRPr="00FD3680" w:rsidRDefault="00206F71" w:rsidP="00206F71">
      <w:pPr>
        <w:spacing w:after="0" w:line="240" w:lineRule="auto"/>
        <w:rPr>
          <w:rFonts w:ascii="Times New Roman" w:hAnsi="Times New Roman" w:cs="Times New Roman"/>
          <w:sz w:val="20"/>
          <w:szCs w:val="20"/>
        </w:rPr>
      </w:pPr>
      <w:r w:rsidRPr="00FD3680">
        <w:rPr>
          <w:rFonts w:ascii="Times New Roman" w:hAnsi="Times New Roman" w:cs="Times New Roman"/>
          <w:sz w:val="20"/>
          <w:szCs w:val="20"/>
        </w:rPr>
        <w:t>*● – účasť na podpore je možná; x – účasť na podpore nie je možná.</w:t>
      </w:r>
    </w:p>
    <w:p w:rsidR="00971E44" w:rsidRPr="00FD3680" w:rsidRDefault="00971E44" w:rsidP="00971E44">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Zdroj: MPRV SR</w:t>
      </w:r>
    </w:p>
    <w:p w:rsidR="00971E44" w:rsidRPr="00FD3680" w:rsidRDefault="00971E44" w:rsidP="00D27F00">
      <w:pPr>
        <w:tabs>
          <w:tab w:val="left" w:pos="851"/>
        </w:tabs>
        <w:spacing w:after="0" w:line="240" w:lineRule="auto"/>
        <w:ind w:left="851" w:hanging="851"/>
        <w:jc w:val="both"/>
        <w:rPr>
          <w:rFonts w:ascii="Times New Roman" w:hAnsi="Times New Roman" w:cs="Times New Roman"/>
          <w:sz w:val="24"/>
          <w:szCs w:val="24"/>
        </w:rPr>
      </w:pPr>
    </w:p>
    <w:p w:rsidR="00403A4C" w:rsidRPr="00FD3680" w:rsidRDefault="00971E44" w:rsidP="00971E44">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t>Indikované alokácie predstavujú sumárne navrhnuté výšky podpôr v rámci jednotlivých titulov, aplikovaných všeobecne na celý sektor pôdohospodárstva.</w:t>
      </w:r>
    </w:p>
    <w:p w:rsidR="00403A4C" w:rsidRPr="00FD3680" w:rsidRDefault="00403A4C" w:rsidP="00D27F00">
      <w:pPr>
        <w:tabs>
          <w:tab w:val="left" w:pos="851"/>
        </w:tabs>
        <w:spacing w:after="0" w:line="240" w:lineRule="auto"/>
        <w:ind w:left="851" w:hanging="851"/>
        <w:jc w:val="both"/>
        <w:rPr>
          <w:rFonts w:ascii="Times New Roman" w:hAnsi="Times New Roman" w:cs="Times New Roman"/>
          <w:sz w:val="24"/>
          <w:szCs w:val="24"/>
        </w:rPr>
      </w:pPr>
    </w:p>
    <w:p w:rsidR="00403A4C" w:rsidRPr="00FD3680" w:rsidRDefault="00971E44" w:rsidP="00971E44">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u w:val="single"/>
          <w:lang w:eastAsia="ar-SA"/>
        </w:rPr>
        <w:t>Nástroje, ktorých využitie je sprostredkované cez tretiu osobu</w:t>
      </w:r>
      <w:r w:rsidRPr="00FD3680">
        <w:rPr>
          <w:rFonts w:ascii="Times New Roman" w:hAnsi="Times New Roman" w:cs="Times New Roman"/>
          <w:sz w:val="24"/>
          <w:szCs w:val="24"/>
          <w:lang w:eastAsia="ar-SA"/>
        </w:rPr>
        <w:t xml:space="preserve"> zahŕňajú opatrenia v rámci projektových podpôr PRV SR na roky 2014 – 2020, a to pozemkové úpravy, prenos znalostí a informačné akcie a poradenské služby.</w:t>
      </w:r>
    </w:p>
    <w:p w:rsidR="00971E44" w:rsidRPr="00FD3680" w:rsidRDefault="00971E44" w:rsidP="00971E44">
      <w:pPr>
        <w:tabs>
          <w:tab w:val="left" w:pos="851"/>
        </w:tabs>
        <w:spacing w:after="0" w:line="240" w:lineRule="auto"/>
        <w:jc w:val="both"/>
        <w:rPr>
          <w:rFonts w:ascii="Times New Roman" w:hAnsi="Times New Roman" w:cs="Times New Roman"/>
          <w:sz w:val="24"/>
          <w:szCs w:val="24"/>
        </w:rPr>
      </w:pPr>
    </w:p>
    <w:p w:rsidR="00C168F4" w:rsidRPr="00FD3680" w:rsidRDefault="00971E44" w:rsidP="00D27F00">
      <w:pPr>
        <w:tabs>
          <w:tab w:val="left" w:pos="851"/>
        </w:tabs>
        <w:spacing w:after="0" w:line="240" w:lineRule="auto"/>
        <w:ind w:left="851" w:hanging="851"/>
        <w:jc w:val="both"/>
        <w:rPr>
          <w:rFonts w:ascii="Times New Roman" w:hAnsi="Times New Roman" w:cs="Times New Roman"/>
          <w:sz w:val="20"/>
          <w:szCs w:val="20"/>
        </w:rPr>
      </w:pPr>
      <w:r w:rsidRPr="00FD3680">
        <w:rPr>
          <w:rFonts w:ascii="Times New Roman" w:hAnsi="Times New Roman" w:cs="Times New Roman"/>
          <w:sz w:val="20"/>
          <w:szCs w:val="20"/>
        </w:rPr>
        <w:t>Tab. č. 7</w:t>
      </w:r>
      <w:r w:rsidR="00775A05" w:rsidRPr="00FD3680">
        <w:rPr>
          <w:rFonts w:ascii="Times New Roman" w:hAnsi="Times New Roman" w:cs="Times New Roman"/>
          <w:sz w:val="20"/>
          <w:szCs w:val="20"/>
        </w:rPr>
        <w:t xml:space="preserve">: </w:t>
      </w:r>
      <w:r w:rsidR="00C168F4" w:rsidRPr="00FD3680">
        <w:rPr>
          <w:rFonts w:ascii="Times New Roman" w:hAnsi="Times New Roman" w:cs="Times New Roman"/>
          <w:sz w:val="20"/>
          <w:szCs w:val="20"/>
        </w:rPr>
        <w:tab/>
      </w:r>
      <w:r w:rsidR="00775A05" w:rsidRPr="00FD3680">
        <w:rPr>
          <w:rFonts w:ascii="Times New Roman" w:hAnsi="Times New Roman" w:cs="Times New Roman"/>
          <w:sz w:val="20"/>
          <w:szCs w:val="20"/>
        </w:rPr>
        <w:t xml:space="preserve">Prehľad nástrojov </w:t>
      </w:r>
      <w:r w:rsidRPr="00FD3680">
        <w:rPr>
          <w:rFonts w:ascii="Times New Roman" w:hAnsi="Times New Roman" w:cs="Times New Roman"/>
          <w:sz w:val="20"/>
          <w:szCs w:val="20"/>
        </w:rPr>
        <w:t>ktorých využitie je sprostredkované cez tretiu osobu</w:t>
      </w:r>
      <w:r w:rsidR="00D41EDF" w:rsidRPr="00FD3680">
        <w:rPr>
          <w:rFonts w:ascii="Times New Roman" w:hAnsi="Times New Roman" w:cs="Times New Roman"/>
          <w:sz w:val="20"/>
          <w:szCs w:val="20"/>
        </w:rPr>
        <w:t xml:space="preserve"> na roky 2014 </w:t>
      </w:r>
      <w:r w:rsidR="007A083D" w:rsidRPr="00FD3680">
        <w:rPr>
          <w:rFonts w:ascii="Times New Roman" w:hAnsi="Times New Roman" w:cs="Times New Roman"/>
          <w:sz w:val="20"/>
          <w:szCs w:val="20"/>
        </w:rPr>
        <w:t>–</w:t>
      </w:r>
      <w:r w:rsidR="00D41EDF" w:rsidRPr="00FD3680">
        <w:rPr>
          <w:rFonts w:ascii="Times New Roman" w:hAnsi="Times New Roman" w:cs="Times New Roman"/>
          <w:sz w:val="20"/>
          <w:szCs w:val="20"/>
        </w:rPr>
        <w:t xml:space="preserve"> 2020</w:t>
      </w:r>
    </w:p>
    <w:p w:rsidR="007A083D" w:rsidRPr="00FD3680" w:rsidRDefault="007A083D" w:rsidP="00D27F00">
      <w:pPr>
        <w:tabs>
          <w:tab w:val="left" w:pos="851"/>
        </w:tabs>
        <w:spacing w:after="0" w:line="240" w:lineRule="auto"/>
        <w:ind w:left="851" w:hanging="851"/>
        <w:jc w:val="both"/>
        <w:rPr>
          <w:rFonts w:ascii="Times New Roman" w:hAnsi="Times New Roman" w:cs="Times New Roman"/>
          <w:sz w:val="20"/>
          <w:szCs w:val="20"/>
        </w:rPr>
      </w:pPr>
    </w:p>
    <w:tbl>
      <w:tblPr>
        <w:tblStyle w:val="Mriekatabuky"/>
        <w:tblW w:w="9072" w:type="dxa"/>
        <w:tblInd w:w="108" w:type="dxa"/>
        <w:tblLook w:val="04A0" w:firstRow="1" w:lastRow="0" w:firstColumn="1" w:lastColumn="0" w:noHBand="0" w:noVBand="1"/>
      </w:tblPr>
      <w:tblGrid>
        <w:gridCol w:w="3261"/>
        <w:gridCol w:w="1559"/>
        <w:gridCol w:w="1418"/>
        <w:gridCol w:w="1275"/>
        <w:gridCol w:w="1559"/>
      </w:tblGrid>
      <w:tr w:rsidR="00FD3680" w:rsidRPr="00FD3680" w:rsidTr="000A591B">
        <w:tc>
          <w:tcPr>
            <w:tcW w:w="3261" w:type="dxa"/>
            <w:vMerge w:val="restart"/>
            <w:shd w:val="clear" w:color="auto" w:fill="D9D9D9" w:themeFill="background1" w:themeFillShade="D9"/>
            <w:vAlign w:val="center"/>
          </w:tcPr>
          <w:p w:rsidR="00BC7C60" w:rsidRPr="00FD3680" w:rsidRDefault="00BC7C60" w:rsidP="00D41EDF">
            <w:pPr>
              <w:rPr>
                <w:rFonts w:ascii="Times New Roman" w:hAnsi="Times New Roman" w:cs="Times New Roman"/>
                <w:sz w:val="20"/>
                <w:szCs w:val="20"/>
              </w:rPr>
            </w:pPr>
            <w:r w:rsidRPr="00FD3680">
              <w:rPr>
                <w:rFonts w:ascii="Times New Roman" w:hAnsi="Times New Roman" w:cs="Times New Roman"/>
                <w:sz w:val="20"/>
                <w:szCs w:val="20"/>
              </w:rPr>
              <w:t>Titul</w:t>
            </w:r>
          </w:p>
        </w:tc>
        <w:tc>
          <w:tcPr>
            <w:tcW w:w="1559" w:type="dxa"/>
            <w:vMerge w:val="restart"/>
            <w:shd w:val="clear" w:color="auto" w:fill="D9D9D9" w:themeFill="background1" w:themeFillShade="D9"/>
            <w:vAlign w:val="center"/>
          </w:tcPr>
          <w:p w:rsidR="00BC7C60" w:rsidRPr="00FD3680" w:rsidRDefault="00BC7C60" w:rsidP="00BC7C60">
            <w:pPr>
              <w:jc w:val="center"/>
              <w:rPr>
                <w:rFonts w:ascii="Times New Roman" w:hAnsi="Times New Roman" w:cs="Times New Roman"/>
                <w:sz w:val="20"/>
                <w:szCs w:val="20"/>
              </w:rPr>
            </w:pPr>
            <w:r w:rsidRPr="00FD3680">
              <w:rPr>
                <w:rFonts w:ascii="Times New Roman" w:hAnsi="Times New Roman" w:cs="Times New Roman"/>
                <w:sz w:val="20"/>
                <w:szCs w:val="20"/>
              </w:rPr>
              <w:t>Indikovaná alokácia v</w:t>
            </w:r>
            <w:r w:rsidR="00257451" w:rsidRPr="00FD3680">
              <w:rPr>
                <w:rFonts w:ascii="Times New Roman" w:hAnsi="Times New Roman" w:cs="Times New Roman"/>
                <w:sz w:val="20"/>
                <w:szCs w:val="20"/>
              </w:rPr>
              <w:t> </w:t>
            </w:r>
            <w:r w:rsidRPr="00FD3680">
              <w:rPr>
                <w:rFonts w:ascii="Times New Roman" w:hAnsi="Times New Roman" w:cs="Times New Roman"/>
                <w:sz w:val="20"/>
                <w:szCs w:val="20"/>
              </w:rPr>
              <w:t>EUR</w:t>
            </w:r>
          </w:p>
        </w:tc>
        <w:tc>
          <w:tcPr>
            <w:tcW w:w="4252" w:type="dxa"/>
            <w:gridSpan w:val="3"/>
            <w:shd w:val="clear" w:color="auto" w:fill="D9D9D9" w:themeFill="background1" w:themeFillShade="D9"/>
          </w:tcPr>
          <w:p w:rsidR="00BC7C60" w:rsidRPr="00FD3680" w:rsidRDefault="00BC7C60" w:rsidP="00BC7C60">
            <w:pPr>
              <w:jc w:val="center"/>
              <w:rPr>
                <w:rFonts w:ascii="Times New Roman" w:hAnsi="Times New Roman" w:cs="Times New Roman"/>
                <w:sz w:val="20"/>
                <w:szCs w:val="20"/>
              </w:rPr>
            </w:pPr>
            <w:r w:rsidRPr="00FD3680">
              <w:rPr>
                <w:rFonts w:ascii="Times New Roman" w:hAnsi="Times New Roman" w:cs="Times New Roman"/>
                <w:sz w:val="20"/>
                <w:szCs w:val="20"/>
              </w:rPr>
              <w:t>Participácia na podpore</w:t>
            </w:r>
            <w:r w:rsidR="00971E44" w:rsidRPr="00FD3680">
              <w:rPr>
                <w:rFonts w:ascii="Times New Roman" w:hAnsi="Times New Roman" w:cs="Times New Roman"/>
                <w:sz w:val="20"/>
                <w:szCs w:val="20"/>
              </w:rPr>
              <w:t>*</w:t>
            </w:r>
          </w:p>
        </w:tc>
      </w:tr>
      <w:tr w:rsidR="00FD3680" w:rsidRPr="00FD3680" w:rsidTr="000A591B">
        <w:tc>
          <w:tcPr>
            <w:tcW w:w="3261" w:type="dxa"/>
            <w:vMerge/>
            <w:shd w:val="clear" w:color="auto" w:fill="D9D9D9" w:themeFill="background1" w:themeFillShade="D9"/>
          </w:tcPr>
          <w:p w:rsidR="00BC7C60" w:rsidRPr="00FD3680" w:rsidRDefault="00BC7C60" w:rsidP="00D41EDF">
            <w:pPr>
              <w:rPr>
                <w:rFonts w:ascii="Times New Roman" w:hAnsi="Times New Roman" w:cs="Times New Roman"/>
                <w:sz w:val="20"/>
                <w:szCs w:val="20"/>
              </w:rPr>
            </w:pPr>
          </w:p>
        </w:tc>
        <w:tc>
          <w:tcPr>
            <w:tcW w:w="1559" w:type="dxa"/>
            <w:vMerge/>
            <w:shd w:val="clear" w:color="auto" w:fill="D9D9D9" w:themeFill="background1" w:themeFillShade="D9"/>
          </w:tcPr>
          <w:p w:rsidR="00BC7C60" w:rsidRPr="00FD3680" w:rsidRDefault="00BC7C60" w:rsidP="00BC7C60">
            <w:pPr>
              <w:jc w:val="center"/>
              <w:rPr>
                <w:rFonts w:ascii="Times New Roman" w:hAnsi="Times New Roman" w:cs="Times New Roman"/>
                <w:sz w:val="20"/>
                <w:szCs w:val="20"/>
              </w:rPr>
            </w:pPr>
          </w:p>
        </w:tc>
        <w:tc>
          <w:tcPr>
            <w:tcW w:w="1418" w:type="dxa"/>
            <w:shd w:val="clear" w:color="auto" w:fill="D9D9D9" w:themeFill="background1" w:themeFillShade="D9"/>
          </w:tcPr>
          <w:p w:rsidR="00BC7C60" w:rsidRPr="00FD3680" w:rsidRDefault="00BC7C60" w:rsidP="00BC7C60">
            <w:pPr>
              <w:jc w:val="center"/>
              <w:rPr>
                <w:rFonts w:ascii="Times New Roman" w:hAnsi="Times New Roman" w:cs="Times New Roman"/>
                <w:sz w:val="20"/>
                <w:szCs w:val="20"/>
              </w:rPr>
            </w:pPr>
            <w:r w:rsidRPr="00FD3680">
              <w:rPr>
                <w:rFonts w:ascii="Times New Roman" w:hAnsi="Times New Roman" w:cs="Times New Roman"/>
                <w:sz w:val="20"/>
                <w:szCs w:val="20"/>
              </w:rPr>
              <w:t>Mladý farmár</w:t>
            </w:r>
          </w:p>
        </w:tc>
        <w:tc>
          <w:tcPr>
            <w:tcW w:w="1275" w:type="dxa"/>
            <w:shd w:val="clear" w:color="auto" w:fill="D9D9D9" w:themeFill="background1" w:themeFillShade="D9"/>
          </w:tcPr>
          <w:p w:rsidR="00BC7C60" w:rsidRPr="00FD3680" w:rsidRDefault="00BC7C60" w:rsidP="00BC7C60">
            <w:pPr>
              <w:jc w:val="center"/>
              <w:rPr>
                <w:rFonts w:ascii="Times New Roman" w:hAnsi="Times New Roman" w:cs="Times New Roman"/>
                <w:sz w:val="20"/>
                <w:szCs w:val="20"/>
              </w:rPr>
            </w:pPr>
            <w:r w:rsidRPr="00FD3680">
              <w:rPr>
                <w:rFonts w:ascii="Times New Roman" w:hAnsi="Times New Roman" w:cs="Times New Roman"/>
                <w:sz w:val="20"/>
                <w:szCs w:val="20"/>
              </w:rPr>
              <w:t>Malý farmár</w:t>
            </w:r>
          </w:p>
        </w:tc>
        <w:tc>
          <w:tcPr>
            <w:tcW w:w="1559" w:type="dxa"/>
            <w:shd w:val="clear" w:color="auto" w:fill="D9D9D9" w:themeFill="background1" w:themeFillShade="D9"/>
          </w:tcPr>
          <w:p w:rsidR="00BC7C60" w:rsidRPr="00FD3680" w:rsidRDefault="00BC7C60" w:rsidP="00BC7C60">
            <w:pPr>
              <w:jc w:val="center"/>
              <w:rPr>
                <w:rFonts w:ascii="Times New Roman" w:hAnsi="Times New Roman" w:cs="Times New Roman"/>
                <w:sz w:val="20"/>
                <w:szCs w:val="20"/>
              </w:rPr>
            </w:pPr>
            <w:r w:rsidRPr="00FD3680">
              <w:rPr>
                <w:rFonts w:ascii="Times New Roman" w:hAnsi="Times New Roman" w:cs="Times New Roman"/>
                <w:sz w:val="20"/>
                <w:szCs w:val="20"/>
              </w:rPr>
              <w:t>Rodinný farmár</w:t>
            </w:r>
          </w:p>
        </w:tc>
      </w:tr>
      <w:tr w:rsidR="00FD3680" w:rsidRPr="00FD3680" w:rsidTr="00206F71">
        <w:tc>
          <w:tcPr>
            <w:tcW w:w="3261" w:type="dxa"/>
          </w:tcPr>
          <w:p w:rsidR="00206F71" w:rsidRPr="00FD3680" w:rsidRDefault="00206F71" w:rsidP="00D41EDF">
            <w:pPr>
              <w:rPr>
                <w:rFonts w:ascii="Times New Roman" w:hAnsi="Times New Roman" w:cs="Times New Roman"/>
                <w:sz w:val="20"/>
                <w:szCs w:val="20"/>
              </w:rPr>
            </w:pPr>
            <w:r w:rsidRPr="00FD3680">
              <w:rPr>
                <w:rFonts w:ascii="Times New Roman" w:hAnsi="Times New Roman" w:cs="Times New Roman"/>
                <w:sz w:val="20"/>
                <w:szCs w:val="20"/>
              </w:rPr>
              <w:t>Pozemkové úpravy</w:t>
            </w:r>
          </w:p>
        </w:tc>
        <w:tc>
          <w:tcPr>
            <w:tcW w:w="1559" w:type="dxa"/>
            <w:vAlign w:val="center"/>
          </w:tcPr>
          <w:p w:rsidR="00206F71" w:rsidRPr="00FD3680" w:rsidRDefault="00206F71" w:rsidP="00D41EDF">
            <w:pPr>
              <w:jc w:val="right"/>
              <w:rPr>
                <w:rFonts w:ascii="Times New Roman" w:hAnsi="Times New Roman" w:cs="Times New Roman"/>
                <w:sz w:val="20"/>
                <w:szCs w:val="20"/>
              </w:rPr>
            </w:pPr>
            <w:r w:rsidRPr="00FD3680">
              <w:rPr>
                <w:rFonts w:ascii="Times New Roman" w:hAnsi="Times New Roman" w:cs="Times New Roman"/>
                <w:sz w:val="20"/>
                <w:szCs w:val="20"/>
              </w:rPr>
              <w:t>85 000 000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7A083D">
        <w:tc>
          <w:tcPr>
            <w:tcW w:w="3261" w:type="dxa"/>
          </w:tcPr>
          <w:p w:rsidR="00D27F00" w:rsidRPr="00FD3680" w:rsidRDefault="00D27F00" w:rsidP="000B038C">
            <w:pPr>
              <w:rPr>
                <w:rFonts w:ascii="Times New Roman" w:hAnsi="Times New Roman" w:cs="Times New Roman"/>
                <w:sz w:val="20"/>
                <w:szCs w:val="20"/>
              </w:rPr>
            </w:pPr>
            <w:r w:rsidRPr="00FD3680">
              <w:rPr>
                <w:rFonts w:ascii="Times New Roman" w:hAnsi="Times New Roman" w:cs="Times New Roman"/>
                <w:sz w:val="20"/>
                <w:szCs w:val="20"/>
              </w:rPr>
              <w:t xml:space="preserve">Projektové podpory PRV SR </w:t>
            </w:r>
          </w:p>
        </w:tc>
        <w:tc>
          <w:tcPr>
            <w:tcW w:w="5811" w:type="dxa"/>
            <w:gridSpan w:val="4"/>
            <w:vAlign w:val="center"/>
          </w:tcPr>
          <w:p w:rsidR="00D27F00" w:rsidRPr="00FD3680" w:rsidRDefault="00D27F00" w:rsidP="00D41EDF">
            <w:pPr>
              <w:jc w:val="center"/>
              <w:rPr>
                <w:rFonts w:ascii="Times New Roman" w:hAnsi="Times New Roman" w:cs="Times New Roman"/>
                <w:sz w:val="20"/>
                <w:szCs w:val="20"/>
              </w:rPr>
            </w:pP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prenos znalostí a inform. aktivity</w:t>
            </w:r>
          </w:p>
        </w:tc>
        <w:tc>
          <w:tcPr>
            <w:tcW w:w="1559" w:type="dxa"/>
            <w:vAlign w:val="center"/>
          </w:tcPr>
          <w:p w:rsidR="00206F71" w:rsidRPr="00FD3680" w:rsidRDefault="00206F71" w:rsidP="00D41EDF">
            <w:pPr>
              <w:jc w:val="right"/>
              <w:rPr>
                <w:rFonts w:ascii="Times New Roman" w:hAnsi="Times New Roman" w:cs="Times New Roman"/>
                <w:sz w:val="20"/>
                <w:szCs w:val="20"/>
              </w:rPr>
            </w:pPr>
            <w:r w:rsidRPr="00FD3680">
              <w:rPr>
                <w:rFonts w:ascii="Times New Roman" w:hAnsi="Times New Roman" w:cs="Times New Roman"/>
                <w:sz w:val="20"/>
                <w:szCs w:val="20"/>
              </w:rPr>
              <w:t>20 330 000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r w:rsidR="00FD3680" w:rsidRPr="00FD3680" w:rsidTr="00206F71">
        <w:tc>
          <w:tcPr>
            <w:tcW w:w="3261" w:type="dxa"/>
          </w:tcPr>
          <w:p w:rsidR="00206F71" w:rsidRPr="00FD3680" w:rsidRDefault="00206F71" w:rsidP="00771A68">
            <w:pPr>
              <w:pStyle w:val="Odsekzoznamu"/>
              <w:numPr>
                <w:ilvl w:val="1"/>
                <w:numId w:val="29"/>
              </w:numPr>
              <w:ind w:left="426" w:hanging="142"/>
              <w:rPr>
                <w:rFonts w:ascii="Times New Roman" w:hAnsi="Times New Roman" w:cs="Times New Roman"/>
                <w:sz w:val="20"/>
                <w:szCs w:val="20"/>
              </w:rPr>
            </w:pPr>
            <w:r w:rsidRPr="00FD3680">
              <w:rPr>
                <w:rFonts w:ascii="Times New Roman" w:hAnsi="Times New Roman" w:cs="Times New Roman"/>
                <w:sz w:val="20"/>
                <w:szCs w:val="20"/>
              </w:rPr>
              <w:t>poradenské služby</w:t>
            </w:r>
          </w:p>
        </w:tc>
        <w:tc>
          <w:tcPr>
            <w:tcW w:w="1559" w:type="dxa"/>
            <w:vAlign w:val="center"/>
          </w:tcPr>
          <w:p w:rsidR="00206F71" w:rsidRPr="00FD3680" w:rsidRDefault="00206F71" w:rsidP="00D41EDF">
            <w:pPr>
              <w:jc w:val="right"/>
              <w:rPr>
                <w:rFonts w:ascii="Times New Roman" w:hAnsi="Times New Roman" w:cs="Times New Roman"/>
                <w:sz w:val="20"/>
                <w:szCs w:val="20"/>
              </w:rPr>
            </w:pPr>
            <w:r w:rsidRPr="00FD3680">
              <w:rPr>
                <w:rFonts w:ascii="Times New Roman" w:hAnsi="Times New Roman" w:cs="Times New Roman"/>
                <w:sz w:val="20"/>
                <w:szCs w:val="20"/>
              </w:rPr>
              <w:t>2 910 000</w:t>
            </w:r>
          </w:p>
        </w:tc>
        <w:tc>
          <w:tcPr>
            <w:tcW w:w="1418" w:type="dxa"/>
            <w:vAlign w:val="center"/>
          </w:tcPr>
          <w:p w:rsidR="00206F71" w:rsidRPr="00FD3680" w:rsidRDefault="00206F71" w:rsidP="00206F71">
            <w:pPr>
              <w:jc w:val="center"/>
            </w:pPr>
            <w:r w:rsidRPr="00FD3680">
              <w:t>●</w:t>
            </w:r>
          </w:p>
        </w:tc>
        <w:tc>
          <w:tcPr>
            <w:tcW w:w="1275" w:type="dxa"/>
            <w:vAlign w:val="center"/>
          </w:tcPr>
          <w:p w:rsidR="00206F71" w:rsidRPr="00FD3680" w:rsidRDefault="00206F71" w:rsidP="00206F71">
            <w:pPr>
              <w:jc w:val="center"/>
            </w:pPr>
            <w:r w:rsidRPr="00FD3680">
              <w:t>●</w:t>
            </w:r>
          </w:p>
        </w:tc>
        <w:tc>
          <w:tcPr>
            <w:tcW w:w="1559" w:type="dxa"/>
            <w:vAlign w:val="center"/>
          </w:tcPr>
          <w:p w:rsidR="00206F71" w:rsidRPr="00FD3680" w:rsidRDefault="00206F71" w:rsidP="00206F71">
            <w:pPr>
              <w:jc w:val="center"/>
            </w:pPr>
            <w:r w:rsidRPr="00FD3680">
              <w:t>●</w:t>
            </w:r>
          </w:p>
        </w:tc>
      </w:tr>
    </w:tbl>
    <w:p w:rsidR="00206F71" w:rsidRPr="00FD3680" w:rsidRDefault="00206F71" w:rsidP="00206F71">
      <w:pPr>
        <w:spacing w:after="0" w:line="240" w:lineRule="auto"/>
        <w:rPr>
          <w:rFonts w:ascii="Times New Roman" w:hAnsi="Times New Roman" w:cs="Times New Roman"/>
          <w:sz w:val="20"/>
          <w:szCs w:val="20"/>
        </w:rPr>
      </w:pPr>
      <w:r w:rsidRPr="00FD3680">
        <w:rPr>
          <w:rFonts w:ascii="Times New Roman" w:hAnsi="Times New Roman" w:cs="Times New Roman"/>
          <w:sz w:val="20"/>
          <w:szCs w:val="20"/>
        </w:rPr>
        <w:t>*● – účasť na podpore je možná; x – účasť na podpore nie je možná.</w:t>
      </w:r>
    </w:p>
    <w:p w:rsidR="00C04DBA" w:rsidRPr="00FD3680" w:rsidRDefault="00775A05" w:rsidP="00C8463D">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Zdroj: MPRV SR</w:t>
      </w:r>
    </w:p>
    <w:p w:rsidR="00206F71" w:rsidRPr="00FD3680" w:rsidRDefault="00971E44" w:rsidP="00971E44">
      <w:pPr>
        <w:spacing w:after="0" w:line="240" w:lineRule="auto"/>
        <w:jc w:val="both"/>
        <w:rPr>
          <w:rFonts w:ascii="Times New Roman" w:hAnsi="Times New Roman" w:cs="Times New Roman"/>
          <w:sz w:val="24"/>
          <w:szCs w:val="24"/>
          <w:lang w:eastAsia="ar-SA"/>
        </w:rPr>
      </w:pPr>
      <w:r w:rsidRPr="00FD3680">
        <w:rPr>
          <w:rFonts w:ascii="Times New Roman" w:hAnsi="Times New Roman" w:cs="Times New Roman"/>
          <w:sz w:val="24"/>
          <w:szCs w:val="24"/>
          <w:lang w:eastAsia="ar-SA"/>
        </w:rPr>
        <w:lastRenderedPageBreak/>
        <w:t xml:space="preserve">Pozemkové úpravy </w:t>
      </w:r>
      <w:r w:rsidR="009E1226" w:rsidRPr="00FD3680">
        <w:rPr>
          <w:rFonts w:ascii="Times New Roman" w:hAnsi="Times New Roman" w:cs="Times New Roman"/>
          <w:sz w:val="24"/>
          <w:szCs w:val="24"/>
          <w:lang w:eastAsia="ar-SA"/>
        </w:rPr>
        <w:t xml:space="preserve">slúžia na uľahčenie podnikania v poľnohospodárstve formou zvýšenia usporiadanosti vlastníckych vzťahov k pozemkom, pričom ich čerpanie zabezpečuje       MPRV SR. Prenos znalostí a informačné aktivity a poradenské služby sú opatrenia, ktoré sú čerpané zo strany subjektov zabezpečujúcich </w:t>
      </w:r>
      <w:r w:rsidR="00206F71" w:rsidRPr="00FD3680">
        <w:rPr>
          <w:rFonts w:ascii="Times New Roman" w:hAnsi="Times New Roman" w:cs="Times New Roman"/>
          <w:sz w:val="24"/>
          <w:szCs w:val="24"/>
          <w:lang w:eastAsia="ar-SA"/>
        </w:rPr>
        <w:t xml:space="preserve">aj bezplatné </w:t>
      </w:r>
      <w:r w:rsidR="009E1226" w:rsidRPr="00FD3680">
        <w:rPr>
          <w:rFonts w:ascii="Times New Roman" w:hAnsi="Times New Roman" w:cs="Times New Roman"/>
          <w:sz w:val="24"/>
          <w:szCs w:val="24"/>
          <w:lang w:eastAsia="ar-SA"/>
        </w:rPr>
        <w:t>vzdelávanie poľnohospodárov.</w:t>
      </w:r>
    </w:p>
    <w:p w:rsidR="00206F71" w:rsidRPr="00FD3680" w:rsidRDefault="00206F71" w:rsidP="00971E44">
      <w:pPr>
        <w:spacing w:after="0" w:line="240" w:lineRule="auto"/>
        <w:jc w:val="both"/>
        <w:rPr>
          <w:rFonts w:ascii="Times New Roman" w:hAnsi="Times New Roman" w:cs="Times New Roman"/>
          <w:sz w:val="24"/>
          <w:szCs w:val="24"/>
          <w:lang w:eastAsia="ar-SA"/>
        </w:rPr>
      </w:pPr>
    </w:p>
    <w:p w:rsidR="009E1226" w:rsidRPr="00FD3680" w:rsidRDefault="009E1226" w:rsidP="00771A68">
      <w:pPr>
        <w:pStyle w:val="Nadpis2"/>
        <w:numPr>
          <w:ilvl w:val="1"/>
          <w:numId w:val="36"/>
        </w:numPr>
      </w:pPr>
      <w:bookmarkStart w:id="38" w:name="_Toc394589450"/>
      <w:r w:rsidRPr="00FD3680">
        <w:t xml:space="preserve">Vplyvy využívania podporných nástrojov zo strany </w:t>
      </w:r>
      <w:r w:rsidR="001D17E3" w:rsidRPr="00FD3680">
        <w:t>malých, mladých a rodinných farmárov</w:t>
      </w:r>
      <w:bookmarkEnd w:id="38"/>
    </w:p>
    <w:p w:rsidR="00971E44" w:rsidRPr="00FD3680" w:rsidRDefault="00971E44" w:rsidP="00971E44">
      <w:pPr>
        <w:spacing w:after="0" w:line="240" w:lineRule="auto"/>
        <w:jc w:val="both"/>
        <w:rPr>
          <w:rFonts w:ascii="Times New Roman" w:hAnsi="Times New Roman" w:cs="Times New Roman"/>
          <w:sz w:val="24"/>
          <w:szCs w:val="24"/>
          <w:lang w:eastAsia="ar-SA"/>
        </w:rPr>
      </w:pPr>
    </w:p>
    <w:p w:rsidR="009E1226" w:rsidRPr="00FD3680" w:rsidRDefault="009E1226" w:rsidP="009E1226">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Základnými predpokladmi pri dizajnovaní nových a využití existujúcich podporných titulov sú odhady početností cieľových skupín poľnohospodárskych podnikateľov. V tomto zmysle sa početnosť cieľovej skupiny poľnohospodárskych podnikateľov v kategórii „mladých farmárov“ odhaduje na cca 1 000 subjektov. Početnosť cieľovej skupiny poľnohospodárskych podnikateľov v kategóriách „malých</w:t>
      </w:r>
      <w:r w:rsidR="00CC79AD" w:rsidRPr="00FD3680">
        <w:rPr>
          <w:rFonts w:ascii="Times New Roman" w:hAnsi="Times New Roman" w:cs="Times New Roman"/>
          <w:sz w:val="24"/>
          <w:szCs w:val="24"/>
        </w:rPr>
        <w:t>, mladých</w:t>
      </w:r>
      <w:r w:rsidRPr="00FD3680">
        <w:rPr>
          <w:rFonts w:ascii="Times New Roman" w:hAnsi="Times New Roman" w:cs="Times New Roman"/>
          <w:sz w:val="24"/>
          <w:szCs w:val="24"/>
        </w:rPr>
        <w:t xml:space="preserve"> a rodinných farmárov“ bola odhadnutá na základe zatriedenia existujúcich poľnohospodárskych subjektov do veľkostných skupín podnikov podľa výmery obhospodarovanej poľnohospodárskej pôdy, pričom početnosť skupiny podnikov do 28 ha obhospodarovanej poľnohospodárskej pôdy bola odhadnutá na           11 944 subjektov s priemernou výmerou obhospodarovanej poľnohospodárskej pôdy o rozlohe 6,18 ha.</w:t>
      </w:r>
    </w:p>
    <w:p w:rsidR="00971E44" w:rsidRPr="00FD3680" w:rsidRDefault="00971E44" w:rsidP="00971E44">
      <w:pPr>
        <w:spacing w:after="0" w:line="240" w:lineRule="auto"/>
        <w:jc w:val="both"/>
        <w:rPr>
          <w:rFonts w:ascii="Times New Roman" w:hAnsi="Times New Roman" w:cs="Times New Roman"/>
          <w:sz w:val="24"/>
          <w:szCs w:val="24"/>
          <w:lang w:eastAsia="ar-SA"/>
        </w:rPr>
      </w:pPr>
    </w:p>
    <w:p w:rsidR="00EA66DD" w:rsidRPr="00FD3680" w:rsidRDefault="009E1226" w:rsidP="009E1226">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Konečné vplyvy efektívneho využívania jednotlivých podporných titulov zo strany </w:t>
      </w:r>
      <w:r w:rsidR="002833A5" w:rsidRPr="00FD3680">
        <w:rPr>
          <w:rFonts w:ascii="Times New Roman" w:hAnsi="Times New Roman" w:cs="Times New Roman"/>
          <w:sz w:val="24"/>
          <w:szCs w:val="24"/>
        </w:rPr>
        <w:t>malých, mladých a rodinných farmárov</w:t>
      </w:r>
      <w:r w:rsidRPr="00FD3680">
        <w:rPr>
          <w:rFonts w:ascii="Times New Roman" w:hAnsi="Times New Roman" w:cs="Times New Roman"/>
          <w:sz w:val="24"/>
          <w:szCs w:val="24"/>
        </w:rPr>
        <w:t xml:space="preserve"> sa, z hľadiska charakteru podporovaných skupín poľnohospodárov, ako aj z hľadiska napĺňania myšlienkového základu tejto koncepcie, sústreďujú do skvalitnenia života na vidieku, ktorého hlavným merateľným ukazovateľom je zvýšenie možnosti zamestnania vidieckeho obyvateľstva. </w:t>
      </w:r>
    </w:p>
    <w:p w:rsidR="00EA66DD" w:rsidRPr="00FD3680" w:rsidRDefault="00EA66DD" w:rsidP="009E1226">
      <w:pPr>
        <w:spacing w:after="0" w:line="240" w:lineRule="auto"/>
        <w:jc w:val="both"/>
        <w:rPr>
          <w:rFonts w:ascii="Times New Roman" w:hAnsi="Times New Roman" w:cs="Times New Roman"/>
          <w:sz w:val="24"/>
          <w:szCs w:val="24"/>
        </w:rPr>
      </w:pPr>
    </w:p>
    <w:p w:rsidR="00EA66DD" w:rsidRPr="00FD3680" w:rsidRDefault="009E1226" w:rsidP="00EA66D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V</w:t>
      </w:r>
      <w:r w:rsidR="00EA66DD" w:rsidRPr="00FD3680">
        <w:rPr>
          <w:rFonts w:ascii="Times New Roman" w:hAnsi="Times New Roman" w:cs="Times New Roman"/>
          <w:sz w:val="24"/>
          <w:szCs w:val="24"/>
        </w:rPr>
        <w:t> tomto smere je možné predikovať</w:t>
      </w:r>
      <w:r w:rsidRPr="00FD3680">
        <w:rPr>
          <w:rFonts w:ascii="Times New Roman" w:hAnsi="Times New Roman" w:cs="Times New Roman"/>
          <w:sz w:val="24"/>
          <w:szCs w:val="24"/>
        </w:rPr>
        <w:t xml:space="preserve">, že </w:t>
      </w:r>
      <w:r w:rsidR="00EA66DD" w:rsidRPr="00FD3680">
        <w:rPr>
          <w:rFonts w:ascii="Times New Roman" w:hAnsi="Times New Roman" w:cs="Times New Roman"/>
          <w:sz w:val="24"/>
          <w:szCs w:val="24"/>
        </w:rPr>
        <w:t xml:space="preserve">cieľovým skupinám poľnohospodárskych podnikateľov sa prenajme celá indikovaná výmera poľnohospodárskej pôdy od SPF v rámci navrhovaného mechanizmu, pričom tieto subjekty  zamestnajú, do trvalého pracovného pomeru, na 1 ha obhospodarovanej pôdy, v priemere 0,1 osoby (priemerný počet zamestnancov vzhľadom na zaťaženosť poľnohospodárskej pôdy veľkými dobytčími jednotkami a na priemerný normatív počtu pracovníkov špeciálnej rastlinnej výroby, vrátane predpokladu čiastočného spracovania produkcie a jej priameho uvádzania na trh). </w:t>
      </w:r>
    </w:p>
    <w:p w:rsidR="00EA66DD" w:rsidRPr="00FD3680" w:rsidRDefault="00EA66DD" w:rsidP="00EA66DD">
      <w:pPr>
        <w:spacing w:after="0" w:line="240" w:lineRule="auto"/>
        <w:jc w:val="both"/>
        <w:rPr>
          <w:rFonts w:ascii="Times New Roman" w:hAnsi="Times New Roman" w:cs="Times New Roman"/>
          <w:sz w:val="24"/>
          <w:szCs w:val="24"/>
        </w:rPr>
      </w:pPr>
    </w:p>
    <w:p w:rsidR="00EA66DD" w:rsidRPr="00FD3680" w:rsidRDefault="00EA66DD" w:rsidP="00EA66D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Navyše, efektívnym využitím podporných mechanizmov bude na zvýšení zamestnanosti pravdepodobne participovať do 15 % subjektov z cieľovej skupiny </w:t>
      </w:r>
      <w:r w:rsidR="00CC79AD" w:rsidRPr="00FD3680">
        <w:rPr>
          <w:rFonts w:ascii="Times New Roman" w:hAnsi="Times New Roman" w:cs="Times New Roman"/>
          <w:sz w:val="24"/>
          <w:szCs w:val="24"/>
        </w:rPr>
        <w:t xml:space="preserve">existujúcich </w:t>
      </w:r>
      <w:r w:rsidRPr="00FD3680">
        <w:rPr>
          <w:rFonts w:ascii="Times New Roman" w:hAnsi="Times New Roman" w:cs="Times New Roman"/>
          <w:sz w:val="24"/>
          <w:szCs w:val="24"/>
        </w:rPr>
        <w:t>malých, mladých a rodinných farmárov, t.j. 1 742 subjektov</w:t>
      </w:r>
      <w:r w:rsidR="00CC79AD" w:rsidRPr="00FD3680">
        <w:rPr>
          <w:rFonts w:ascii="Times New Roman" w:hAnsi="Times New Roman" w:cs="Times New Roman"/>
          <w:sz w:val="24"/>
          <w:szCs w:val="24"/>
        </w:rPr>
        <w:t>. Tieto subjekty pravdepodobne zvýšia zamestnanosť vplyvom ďalšieho nákupu poľnohospodárskej pôdy a využitím ostatných predstavených podporných mechanizmov.</w:t>
      </w:r>
      <w:r w:rsidRPr="00FD3680">
        <w:rPr>
          <w:rFonts w:ascii="Times New Roman" w:hAnsi="Times New Roman" w:cs="Times New Roman"/>
          <w:sz w:val="24"/>
          <w:szCs w:val="24"/>
        </w:rPr>
        <w:t xml:space="preserve"> </w:t>
      </w:r>
    </w:p>
    <w:p w:rsidR="00EA66DD" w:rsidRPr="00FD3680" w:rsidRDefault="00EA66DD" w:rsidP="00EA66DD">
      <w:pPr>
        <w:spacing w:after="0" w:line="240" w:lineRule="auto"/>
        <w:jc w:val="both"/>
        <w:rPr>
          <w:rFonts w:ascii="Times New Roman" w:hAnsi="Times New Roman" w:cs="Times New Roman"/>
          <w:sz w:val="24"/>
          <w:szCs w:val="24"/>
        </w:rPr>
      </w:pPr>
    </w:p>
    <w:p w:rsidR="00EA66DD" w:rsidRPr="00FD3680" w:rsidRDefault="00EA66DD" w:rsidP="00EA66DD">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Vzhľadom na to je možné </w:t>
      </w:r>
      <w:r w:rsidR="008F2E85" w:rsidRPr="00FD3680">
        <w:rPr>
          <w:rFonts w:ascii="Times New Roman" w:hAnsi="Times New Roman" w:cs="Times New Roman"/>
          <w:sz w:val="24"/>
          <w:szCs w:val="24"/>
        </w:rPr>
        <w:t>predpokladať</w:t>
      </w:r>
      <w:r w:rsidRPr="00FD3680">
        <w:rPr>
          <w:rFonts w:ascii="Times New Roman" w:hAnsi="Times New Roman" w:cs="Times New Roman"/>
          <w:sz w:val="24"/>
          <w:szCs w:val="24"/>
        </w:rPr>
        <w:t xml:space="preserve"> zvýšenie zamestnanosti takto:</w:t>
      </w:r>
    </w:p>
    <w:p w:rsidR="00EA66DD" w:rsidRPr="00FD3680" w:rsidRDefault="00EA66DD" w:rsidP="00EA66DD">
      <w:pPr>
        <w:spacing w:after="0" w:line="240" w:lineRule="auto"/>
        <w:jc w:val="both"/>
        <w:rPr>
          <w:rFonts w:ascii="Times New Roman" w:hAnsi="Times New Roman" w:cs="Times New Roman"/>
          <w:sz w:val="24"/>
          <w:szCs w:val="24"/>
        </w:rPr>
      </w:pPr>
    </w:p>
    <w:p w:rsidR="00EA66DD" w:rsidRPr="00FD3680" w:rsidRDefault="00CC79AD" w:rsidP="00771A68">
      <w:pPr>
        <w:pStyle w:val="Odsekzoznamu"/>
        <w:numPr>
          <w:ilvl w:val="0"/>
          <w:numId w:val="1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w:t>
      </w:r>
      <w:r w:rsidR="00EA66DD" w:rsidRPr="00FD3680">
        <w:rPr>
          <w:rFonts w:ascii="Times New Roman" w:hAnsi="Times New Roman" w:cs="Times New Roman"/>
          <w:sz w:val="24"/>
          <w:szCs w:val="24"/>
        </w:rPr>
        <w:t xml:space="preserve">ri obhospodarovaní </w:t>
      </w:r>
      <w:r w:rsidR="00F6469F">
        <w:rPr>
          <w:rFonts w:ascii="Times New Roman" w:hAnsi="Times New Roman" w:cs="Times New Roman"/>
          <w:sz w:val="24"/>
          <w:szCs w:val="24"/>
        </w:rPr>
        <w:t>10 089</w:t>
      </w:r>
      <w:r w:rsidR="00EA66DD" w:rsidRPr="00FD3680">
        <w:rPr>
          <w:rFonts w:ascii="Times New Roman" w:hAnsi="Times New Roman" w:cs="Times New Roman"/>
          <w:sz w:val="24"/>
          <w:szCs w:val="24"/>
        </w:rPr>
        <w:t xml:space="preserve"> ha </w:t>
      </w:r>
      <w:r w:rsidRPr="00FD3680">
        <w:rPr>
          <w:rFonts w:ascii="Times New Roman" w:hAnsi="Times New Roman" w:cs="Times New Roman"/>
          <w:sz w:val="24"/>
          <w:szCs w:val="24"/>
        </w:rPr>
        <w:t>by mala</w:t>
      </w:r>
      <w:r w:rsidR="00EA66DD" w:rsidRPr="00FD3680">
        <w:rPr>
          <w:rFonts w:ascii="Times New Roman" w:hAnsi="Times New Roman" w:cs="Times New Roman"/>
          <w:sz w:val="24"/>
          <w:szCs w:val="24"/>
        </w:rPr>
        <w:t xml:space="preserve"> celková potreba dodatočných pracovných síl </w:t>
      </w:r>
      <w:r w:rsidRPr="00FD3680">
        <w:rPr>
          <w:rFonts w:ascii="Times New Roman" w:hAnsi="Times New Roman" w:cs="Times New Roman"/>
          <w:sz w:val="24"/>
          <w:szCs w:val="24"/>
        </w:rPr>
        <w:t>predstavovať</w:t>
      </w:r>
      <w:r w:rsidR="00EA66DD" w:rsidRPr="00FD3680">
        <w:rPr>
          <w:rFonts w:ascii="Times New Roman" w:hAnsi="Times New Roman" w:cs="Times New Roman"/>
          <w:sz w:val="24"/>
          <w:szCs w:val="24"/>
        </w:rPr>
        <w:t xml:space="preserve"> 1 </w:t>
      </w:r>
      <w:r w:rsidR="00F6469F">
        <w:rPr>
          <w:rFonts w:ascii="Times New Roman" w:hAnsi="Times New Roman" w:cs="Times New Roman"/>
          <w:sz w:val="24"/>
          <w:szCs w:val="24"/>
        </w:rPr>
        <w:t>009</w:t>
      </w:r>
      <w:r w:rsidR="00EA66DD" w:rsidRPr="00FD3680">
        <w:rPr>
          <w:rFonts w:ascii="Times New Roman" w:hAnsi="Times New Roman" w:cs="Times New Roman"/>
          <w:sz w:val="24"/>
          <w:szCs w:val="24"/>
        </w:rPr>
        <w:t xml:space="preserve"> osôb.</w:t>
      </w:r>
    </w:p>
    <w:p w:rsidR="009E1226" w:rsidRPr="00FD3680" w:rsidRDefault="009E1226" w:rsidP="009E1226">
      <w:pPr>
        <w:spacing w:after="0" w:line="240" w:lineRule="auto"/>
        <w:jc w:val="both"/>
        <w:rPr>
          <w:rFonts w:ascii="Times New Roman" w:hAnsi="Times New Roman" w:cs="Times New Roman"/>
          <w:sz w:val="24"/>
          <w:szCs w:val="24"/>
        </w:rPr>
      </w:pPr>
    </w:p>
    <w:p w:rsidR="009E1226" w:rsidRPr="00FD3680" w:rsidRDefault="009E1226" w:rsidP="00771A68">
      <w:pPr>
        <w:pStyle w:val="Odsekzoznamu"/>
        <w:numPr>
          <w:ilvl w:val="0"/>
          <w:numId w:val="11"/>
        </w:num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1 742 subjektov v cieľovej skupine malých</w:t>
      </w:r>
      <w:r w:rsidR="00CC79AD" w:rsidRPr="00FD3680">
        <w:rPr>
          <w:rFonts w:ascii="Times New Roman" w:hAnsi="Times New Roman" w:cs="Times New Roman"/>
          <w:sz w:val="24"/>
          <w:szCs w:val="24"/>
        </w:rPr>
        <w:t>, mladých</w:t>
      </w:r>
      <w:r w:rsidRPr="00FD3680">
        <w:rPr>
          <w:rFonts w:ascii="Times New Roman" w:hAnsi="Times New Roman" w:cs="Times New Roman"/>
          <w:sz w:val="24"/>
          <w:szCs w:val="24"/>
        </w:rPr>
        <w:t xml:space="preserve"> a rodinných farmárov zamestná, do trvalého pracovného pomeru, na 1 ha obhospodarovanej pôdy v priemere </w:t>
      </w:r>
      <w:r w:rsidR="00F6469F">
        <w:rPr>
          <w:rFonts w:ascii="Times New Roman" w:hAnsi="Times New Roman" w:cs="Times New Roman"/>
          <w:sz w:val="24"/>
          <w:szCs w:val="24"/>
        </w:rPr>
        <w:t xml:space="preserve">             </w:t>
      </w:r>
      <w:r w:rsidRPr="00FD3680">
        <w:rPr>
          <w:rFonts w:ascii="Times New Roman" w:hAnsi="Times New Roman" w:cs="Times New Roman"/>
          <w:sz w:val="24"/>
          <w:szCs w:val="24"/>
        </w:rPr>
        <w:t>0,1 osoby, čo pri obhospodarovaní 11 075 ha</w:t>
      </w:r>
      <w:r w:rsidR="00CC79AD" w:rsidRPr="00FD3680">
        <w:rPr>
          <w:rFonts w:ascii="Times New Roman" w:hAnsi="Times New Roman" w:cs="Times New Roman"/>
          <w:sz w:val="24"/>
          <w:szCs w:val="24"/>
        </w:rPr>
        <w:t xml:space="preserve"> </w:t>
      </w:r>
      <w:r w:rsidRPr="00FD3680">
        <w:rPr>
          <w:rFonts w:ascii="Times New Roman" w:hAnsi="Times New Roman" w:cs="Times New Roman"/>
          <w:sz w:val="24"/>
          <w:szCs w:val="24"/>
        </w:rPr>
        <w:t>predstavuje celkovú potrebu dodatočných pracovných síl v počte 1 108 osôb</w:t>
      </w:r>
      <w:r w:rsidR="00CC79AD" w:rsidRPr="00FD3680">
        <w:rPr>
          <w:rFonts w:ascii="Times New Roman" w:hAnsi="Times New Roman" w:cs="Times New Roman"/>
          <w:sz w:val="24"/>
          <w:szCs w:val="24"/>
        </w:rPr>
        <w:t xml:space="preserve"> (obhospodarovaná poľnohospodárska pôda bola vypočítaná na základe priemernej rozlohy poľnohospodárskej pôdy, </w:t>
      </w:r>
      <w:r w:rsidR="00CC79AD" w:rsidRPr="00FD3680">
        <w:rPr>
          <w:rFonts w:ascii="Times New Roman" w:hAnsi="Times New Roman" w:cs="Times New Roman"/>
          <w:sz w:val="24"/>
          <w:szCs w:val="24"/>
        </w:rPr>
        <w:lastRenderedPageBreak/>
        <w:t>obhospodarovanej v súčasnosti cieľovými skupinami poľnohospodárskych podnikateľov)</w:t>
      </w:r>
      <w:r w:rsidRPr="00FD3680">
        <w:rPr>
          <w:rFonts w:ascii="Times New Roman" w:hAnsi="Times New Roman" w:cs="Times New Roman"/>
          <w:sz w:val="24"/>
          <w:szCs w:val="24"/>
        </w:rPr>
        <w:t>;</w:t>
      </w:r>
    </w:p>
    <w:p w:rsidR="009E1226" w:rsidRPr="00FD3680" w:rsidRDefault="009E1226" w:rsidP="009E1226">
      <w:pPr>
        <w:spacing w:after="0" w:line="240" w:lineRule="auto"/>
        <w:jc w:val="both"/>
        <w:rPr>
          <w:rFonts w:ascii="Times New Roman" w:hAnsi="Times New Roman" w:cs="Times New Roman"/>
          <w:sz w:val="24"/>
          <w:szCs w:val="24"/>
        </w:rPr>
      </w:pPr>
    </w:p>
    <w:p w:rsidR="009E1226" w:rsidRPr="00FD3680" w:rsidRDefault="00CC79AD" w:rsidP="00AF7E17">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Celkovo</w:t>
      </w:r>
      <w:r w:rsidR="009E1226" w:rsidRPr="00FD3680">
        <w:rPr>
          <w:rFonts w:ascii="Times New Roman" w:hAnsi="Times New Roman" w:cs="Times New Roman"/>
          <w:sz w:val="24"/>
          <w:szCs w:val="24"/>
        </w:rPr>
        <w:t xml:space="preserve"> </w:t>
      </w:r>
      <w:r w:rsidRPr="00FD3680">
        <w:rPr>
          <w:rFonts w:ascii="Times New Roman" w:hAnsi="Times New Roman" w:cs="Times New Roman"/>
          <w:sz w:val="24"/>
          <w:szCs w:val="24"/>
        </w:rPr>
        <w:t>sa</w:t>
      </w:r>
      <w:r w:rsidR="009E1226" w:rsidRPr="00FD3680">
        <w:rPr>
          <w:rFonts w:ascii="Times New Roman" w:hAnsi="Times New Roman" w:cs="Times New Roman"/>
          <w:sz w:val="24"/>
          <w:szCs w:val="24"/>
        </w:rPr>
        <w:t xml:space="preserve"> počíta s vytvorení</w:t>
      </w:r>
      <w:r w:rsidRPr="00FD3680">
        <w:rPr>
          <w:rFonts w:ascii="Times New Roman" w:hAnsi="Times New Roman" w:cs="Times New Roman"/>
          <w:sz w:val="24"/>
          <w:szCs w:val="24"/>
        </w:rPr>
        <w:t xml:space="preserve">m 2 </w:t>
      </w:r>
      <w:r w:rsidR="00F6469F">
        <w:rPr>
          <w:rFonts w:ascii="Times New Roman" w:hAnsi="Times New Roman" w:cs="Times New Roman"/>
          <w:sz w:val="24"/>
          <w:szCs w:val="24"/>
        </w:rPr>
        <w:t>117</w:t>
      </w:r>
      <w:r w:rsidRPr="00FD3680">
        <w:rPr>
          <w:rFonts w:ascii="Times New Roman" w:hAnsi="Times New Roman" w:cs="Times New Roman"/>
          <w:sz w:val="24"/>
          <w:szCs w:val="24"/>
        </w:rPr>
        <w:t xml:space="preserve"> nových pracovných miest. </w:t>
      </w:r>
      <w:r w:rsidR="009E1226" w:rsidRPr="00FD3680">
        <w:rPr>
          <w:rFonts w:ascii="Times New Roman" w:hAnsi="Times New Roman" w:cs="Times New Roman"/>
          <w:sz w:val="24"/>
          <w:szCs w:val="24"/>
        </w:rPr>
        <w:t xml:space="preserve"> </w:t>
      </w:r>
      <w:r w:rsidRPr="00FD3680">
        <w:rPr>
          <w:rFonts w:ascii="Times New Roman" w:hAnsi="Times New Roman" w:cs="Times New Roman"/>
          <w:sz w:val="24"/>
          <w:szCs w:val="24"/>
        </w:rPr>
        <w:t>pričom pokiaľ sa jedná o ich štruktúru,</w:t>
      </w:r>
      <w:r w:rsidR="00F6469F">
        <w:rPr>
          <w:rFonts w:ascii="Times New Roman" w:hAnsi="Times New Roman" w:cs="Times New Roman"/>
          <w:sz w:val="24"/>
          <w:szCs w:val="24"/>
        </w:rPr>
        <w:t xml:space="preserve"> 4</w:t>
      </w:r>
      <w:r w:rsidR="009E1226" w:rsidRPr="00FD3680">
        <w:rPr>
          <w:rFonts w:ascii="Times New Roman" w:hAnsi="Times New Roman" w:cs="Times New Roman"/>
          <w:sz w:val="24"/>
          <w:szCs w:val="24"/>
        </w:rPr>
        <w:t xml:space="preserve">8 % budú tvoriť pracovné miesta vytvorené </w:t>
      </w:r>
      <w:r w:rsidR="001B37F0" w:rsidRPr="00FD3680">
        <w:rPr>
          <w:rFonts w:ascii="Times New Roman" w:hAnsi="Times New Roman" w:cs="Times New Roman"/>
          <w:sz w:val="24"/>
          <w:szCs w:val="24"/>
        </w:rPr>
        <w:t>otvorením možnosti prenájmov poľnohospodárskej pôdy v správe SPF</w:t>
      </w:r>
      <w:r w:rsidR="00F6469F">
        <w:rPr>
          <w:rFonts w:ascii="Times New Roman" w:hAnsi="Times New Roman" w:cs="Times New Roman"/>
          <w:sz w:val="24"/>
          <w:szCs w:val="24"/>
        </w:rPr>
        <w:t xml:space="preserve"> a 5</w:t>
      </w:r>
      <w:r w:rsidR="009E1226" w:rsidRPr="00FD3680">
        <w:rPr>
          <w:rFonts w:ascii="Times New Roman" w:hAnsi="Times New Roman" w:cs="Times New Roman"/>
          <w:sz w:val="24"/>
          <w:szCs w:val="24"/>
        </w:rPr>
        <w:t xml:space="preserve">2 % budú tvoriť pracovné miesta vytvorené </w:t>
      </w:r>
      <w:r w:rsidR="001B37F0" w:rsidRPr="00FD3680">
        <w:rPr>
          <w:rFonts w:ascii="Times New Roman" w:hAnsi="Times New Roman" w:cs="Times New Roman"/>
          <w:sz w:val="24"/>
          <w:szCs w:val="24"/>
        </w:rPr>
        <w:t>vplyvom ostatných podporných nástrojov, najmä zo strany existujúcich malých, mladých a rodinných farmárov</w:t>
      </w:r>
      <w:r w:rsidR="009E1226" w:rsidRPr="00FD3680">
        <w:rPr>
          <w:rFonts w:ascii="Times New Roman" w:hAnsi="Times New Roman" w:cs="Times New Roman"/>
          <w:sz w:val="24"/>
          <w:szCs w:val="24"/>
        </w:rPr>
        <w:t>.</w:t>
      </w:r>
    </w:p>
    <w:p w:rsidR="009E1226" w:rsidRPr="00FD3680" w:rsidRDefault="009E1226" w:rsidP="009E1226">
      <w:pPr>
        <w:spacing w:after="0" w:line="240" w:lineRule="auto"/>
        <w:jc w:val="both"/>
        <w:rPr>
          <w:rFonts w:ascii="Times New Roman" w:hAnsi="Times New Roman" w:cs="Times New Roman"/>
          <w:sz w:val="24"/>
          <w:szCs w:val="24"/>
        </w:rPr>
      </w:pPr>
    </w:p>
    <w:p w:rsidR="009E1226" w:rsidRPr="00FD3680" w:rsidRDefault="00CC79AD" w:rsidP="009E1226">
      <w:pPr>
        <w:spacing w:after="0" w:line="240" w:lineRule="auto"/>
        <w:jc w:val="both"/>
        <w:rPr>
          <w:rFonts w:ascii="Times New Roman" w:hAnsi="Times New Roman" w:cs="Times New Roman"/>
          <w:sz w:val="20"/>
          <w:szCs w:val="20"/>
        </w:rPr>
      </w:pPr>
      <w:r w:rsidRPr="00FD3680">
        <w:rPr>
          <w:rFonts w:ascii="Times New Roman" w:hAnsi="Times New Roman" w:cs="Times New Roman"/>
          <w:sz w:val="20"/>
          <w:szCs w:val="20"/>
        </w:rPr>
        <w:t>Graf č. 3</w:t>
      </w:r>
      <w:r w:rsidR="009E1226" w:rsidRPr="00FD3680">
        <w:rPr>
          <w:rFonts w:ascii="Times New Roman" w:hAnsi="Times New Roman" w:cs="Times New Roman"/>
          <w:sz w:val="20"/>
          <w:szCs w:val="20"/>
        </w:rPr>
        <w:t xml:space="preserve">: Odhadovaná štruktúra vytvorených pracovných miest </w:t>
      </w:r>
    </w:p>
    <w:p w:rsidR="009E1226" w:rsidRPr="00FD3680" w:rsidRDefault="00F6469F" w:rsidP="009E1226">
      <w:pPr>
        <w:spacing w:after="0" w:line="240" w:lineRule="auto"/>
        <w:jc w:val="both"/>
        <w:rPr>
          <w:rFonts w:ascii="Times New Roman" w:hAnsi="Times New Roman" w:cs="Times New Roman"/>
          <w:sz w:val="24"/>
          <w:szCs w:val="24"/>
        </w:rPr>
      </w:pPr>
      <w:r>
        <w:rPr>
          <w:noProof/>
          <w:lang w:eastAsia="sk-SK"/>
        </w:rPr>
        <w:drawing>
          <wp:inline distT="0" distB="0" distL="0" distR="0" wp14:anchorId="499EB41C" wp14:editId="3EE75958">
            <wp:extent cx="5760720" cy="2944667"/>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1226" w:rsidRPr="00FD3680" w:rsidRDefault="009E1226" w:rsidP="009E1226">
      <w:pPr>
        <w:spacing w:after="0" w:line="240" w:lineRule="auto"/>
        <w:jc w:val="right"/>
        <w:rPr>
          <w:rFonts w:ascii="Times New Roman" w:hAnsi="Times New Roman" w:cs="Times New Roman"/>
          <w:sz w:val="20"/>
          <w:szCs w:val="20"/>
        </w:rPr>
      </w:pPr>
      <w:r w:rsidRPr="00FD3680">
        <w:rPr>
          <w:rFonts w:ascii="Times New Roman" w:hAnsi="Times New Roman" w:cs="Times New Roman"/>
          <w:sz w:val="20"/>
          <w:szCs w:val="20"/>
        </w:rPr>
        <w:t>Zdroj: odhad MPRV SR</w:t>
      </w:r>
    </w:p>
    <w:p w:rsidR="009E1226" w:rsidRPr="00FD3680" w:rsidRDefault="009E1226" w:rsidP="009E1226">
      <w:pPr>
        <w:spacing w:after="0" w:line="240" w:lineRule="auto"/>
        <w:jc w:val="both"/>
        <w:rPr>
          <w:rFonts w:ascii="Times New Roman" w:hAnsi="Times New Roman" w:cs="Times New Roman"/>
          <w:sz w:val="24"/>
          <w:szCs w:val="24"/>
        </w:rPr>
      </w:pPr>
    </w:p>
    <w:p w:rsidR="009E1226" w:rsidRPr="00FD3680" w:rsidRDefault="009E1226" w:rsidP="009E1226">
      <w:pPr>
        <w:spacing w:after="0" w:line="240" w:lineRule="auto"/>
        <w:jc w:val="both"/>
        <w:rPr>
          <w:rFonts w:ascii="Times New Roman" w:hAnsi="Times New Roman" w:cs="Times New Roman"/>
          <w:sz w:val="24"/>
          <w:szCs w:val="24"/>
        </w:rPr>
      </w:pPr>
    </w:p>
    <w:p w:rsidR="009E1226" w:rsidRPr="00FD3680" w:rsidRDefault="00CC79AD" w:rsidP="009E1226">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Prezentovaný scenár</w:t>
      </w:r>
      <w:r w:rsidR="009E1226" w:rsidRPr="00FD3680">
        <w:rPr>
          <w:rFonts w:ascii="Times New Roman" w:hAnsi="Times New Roman" w:cs="Times New Roman"/>
          <w:sz w:val="24"/>
          <w:szCs w:val="24"/>
        </w:rPr>
        <w:t xml:space="preserve"> zvy</w:t>
      </w:r>
      <w:r w:rsidRPr="00FD3680">
        <w:rPr>
          <w:rFonts w:ascii="Times New Roman" w:hAnsi="Times New Roman" w:cs="Times New Roman"/>
          <w:sz w:val="24"/>
          <w:szCs w:val="24"/>
        </w:rPr>
        <w:t>šovania zamestnanosti nepočíta</w:t>
      </w:r>
      <w:r w:rsidR="009E1226" w:rsidRPr="00FD3680">
        <w:rPr>
          <w:rFonts w:ascii="Times New Roman" w:hAnsi="Times New Roman" w:cs="Times New Roman"/>
          <w:sz w:val="24"/>
          <w:szCs w:val="24"/>
        </w:rPr>
        <w:t xml:space="preserve"> s ďalším nárastom zamestnanosti vplyvom multiplikačného a akceleračného efektu, nakoľko sa predpokladá, že poľnohospodárski podnikatelia nebudú svoje podnikanie rozširovať bez dostatočnej stabilizácie svojich existujúcich podnikateľských aktivít. Za týchto okolností je možné pre</w:t>
      </w:r>
      <w:r w:rsidR="00CC5351" w:rsidRPr="00FD3680">
        <w:rPr>
          <w:rFonts w:ascii="Times New Roman" w:hAnsi="Times New Roman" w:cs="Times New Roman"/>
          <w:sz w:val="24"/>
          <w:szCs w:val="24"/>
        </w:rPr>
        <w:t xml:space="preserve">dpokladať, že najväčší nárast </w:t>
      </w:r>
      <w:r w:rsidR="009E1226" w:rsidRPr="00FD3680">
        <w:rPr>
          <w:rFonts w:ascii="Times New Roman" w:hAnsi="Times New Roman" w:cs="Times New Roman"/>
          <w:sz w:val="24"/>
          <w:szCs w:val="24"/>
        </w:rPr>
        <w:t xml:space="preserve">zamestnanosti, nastane začiatkom II. štvrťroka </w:t>
      </w:r>
      <w:r w:rsidRPr="00FD3680">
        <w:rPr>
          <w:rFonts w:ascii="Times New Roman" w:hAnsi="Times New Roman" w:cs="Times New Roman"/>
          <w:sz w:val="24"/>
          <w:szCs w:val="24"/>
        </w:rPr>
        <w:t xml:space="preserve">2016, kedy sa prezumuje najväčšia intenzita začatia podnikania zo strany cieľových skupín poľnohospodárskych </w:t>
      </w:r>
      <w:r w:rsidR="009908F6" w:rsidRPr="00FD3680">
        <w:rPr>
          <w:rFonts w:ascii="Times New Roman" w:hAnsi="Times New Roman" w:cs="Times New Roman"/>
          <w:sz w:val="24"/>
          <w:szCs w:val="24"/>
        </w:rPr>
        <w:t>podnikateľov</w:t>
      </w:r>
      <w:r w:rsidR="009E1226" w:rsidRPr="00FD3680">
        <w:rPr>
          <w:rFonts w:ascii="Times New Roman" w:hAnsi="Times New Roman" w:cs="Times New Roman"/>
          <w:sz w:val="24"/>
          <w:szCs w:val="24"/>
        </w:rPr>
        <w:t xml:space="preserve">. </w:t>
      </w:r>
    </w:p>
    <w:p w:rsidR="00971E44" w:rsidRPr="00FD3680" w:rsidRDefault="00971E44" w:rsidP="00971E44">
      <w:pPr>
        <w:spacing w:after="0" w:line="240" w:lineRule="auto"/>
        <w:jc w:val="both"/>
        <w:rPr>
          <w:rFonts w:ascii="Times New Roman" w:hAnsi="Times New Roman" w:cs="Times New Roman"/>
          <w:sz w:val="24"/>
          <w:szCs w:val="24"/>
          <w:lang w:eastAsia="ar-SA"/>
        </w:rPr>
      </w:pPr>
    </w:p>
    <w:p w:rsidR="00971E44" w:rsidRPr="00FD3680" w:rsidRDefault="00971E44"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AF7E17" w:rsidRPr="00FD3680" w:rsidRDefault="00AF7E17" w:rsidP="00971E44">
      <w:pPr>
        <w:spacing w:after="0" w:line="240" w:lineRule="auto"/>
        <w:jc w:val="both"/>
        <w:rPr>
          <w:rFonts w:ascii="Times New Roman" w:hAnsi="Times New Roman" w:cs="Times New Roman"/>
          <w:sz w:val="24"/>
          <w:szCs w:val="24"/>
          <w:lang w:eastAsia="ar-SA"/>
        </w:rPr>
      </w:pPr>
    </w:p>
    <w:p w:rsidR="00971E44" w:rsidRPr="00FD3680" w:rsidRDefault="00971E44" w:rsidP="001B37F0">
      <w:pPr>
        <w:spacing w:after="0" w:line="240" w:lineRule="auto"/>
        <w:rPr>
          <w:rFonts w:ascii="Times New Roman" w:hAnsi="Times New Roman" w:cs="Times New Roman"/>
          <w:sz w:val="20"/>
          <w:szCs w:val="20"/>
        </w:rPr>
      </w:pPr>
    </w:p>
    <w:p w:rsidR="00C8463D" w:rsidRPr="00FD3680" w:rsidRDefault="00C8463D" w:rsidP="00771A68">
      <w:pPr>
        <w:pStyle w:val="Nadpis1"/>
        <w:numPr>
          <w:ilvl w:val="0"/>
          <w:numId w:val="36"/>
        </w:numPr>
      </w:pPr>
      <w:bookmarkStart w:id="39" w:name="_Toc394589451"/>
      <w:r w:rsidRPr="00FD3680">
        <w:lastRenderedPageBreak/>
        <w:t>Závery, vyhlásenia a odporúčania</w:t>
      </w:r>
      <w:bookmarkEnd w:id="39"/>
      <w:r w:rsidRPr="00FD3680">
        <w:t xml:space="preserve"> </w:t>
      </w:r>
    </w:p>
    <w:p w:rsidR="00C8463D" w:rsidRPr="00FD3680" w:rsidRDefault="00C8463D" w:rsidP="00C8463D">
      <w:pPr>
        <w:spacing w:after="0" w:line="240" w:lineRule="auto"/>
        <w:jc w:val="both"/>
        <w:rPr>
          <w:rFonts w:ascii="Times New Roman" w:hAnsi="Times New Roman" w:cs="Times New Roman"/>
          <w:sz w:val="24"/>
          <w:szCs w:val="24"/>
        </w:rPr>
      </w:pPr>
    </w:p>
    <w:p w:rsidR="00B005C5" w:rsidRPr="00FD3680" w:rsidRDefault="00B005C5" w:rsidP="00B005C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 xml:space="preserve">Podpora </w:t>
      </w:r>
      <w:r w:rsidR="002833A5" w:rsidRPr="00FD3680">
        <w:rPr>
          <w:rFonts w:ascii="Times New Roman" w:hAnsi="Times New Roman" w:cs="Times New Roman"/>
          <w:sz w:val="24"/>
          <w:szCs w:val="24"/>
        </w:rPr>
        <w:t>malých, mladých a rodinných farmárov</w:t>
      </w:r>
      <w:r w:rsidRPr="00FD3680">
        <w:rPr>
          <w:rFonts w:ascii="Times New Roman" w:hAnsi="Times New Roman" w:cs="Times New Roman"/>
          <w:sz w:val="24"/>
          <w:szCs w:val="24"/>
        </w:rPr>
        <w:t xml:space="preserve"> je založená na efektívnom využívaní je</w:t>
      </w:r>
      <w:r w:rsidR="002833A5" w:rsidRPr="00FD3680">
        <w:rPr>
          <w:rFonts w:ascii="Times New Roman" w:hAnsi="Times New Roman" w:cs="Times New Roman"/>
          <w:sz w:val="24"/>
          <w:szCs w:val="24"/>
        </w:rPr>
        <w:t xml:space="preserve">dnotlivých podporných nástrojov </w:t>
      </w:r>
      <w:r w:rsidRPr="00FD3680">
        <w:rPr>
          <w:rFonts w:ascii="Times New Roman" w:hAnsi="Times New Roman" w:cs="Times New Roman"/>
          <w:sz w:val="24"/>
          <w:szCs w:val="24"/>
        </w:rPr>
        <w:t>a intenzite napĺňania hlavného cieľa a myšlienkového základu tejto koncepcie. Vzhľadom na to, by sa vplyv jednotlivých podporných titulov pre cieľové skupiny poľnohospodárskych podnikateľov mal merať podľa predpokladov intenzity využívania špecifikovaných nástrojov podpory.</w:t>
      </w:r>
    </w:p>
    <w:p w:rsidR="00B31B70" w:rsidRPr="00FD3680" w:rsidRDefault="00B31B70" w:rsidP="00B31B70">
      <w:pPr>
        <w:spacing w:after="0" w:line="240" w:lineRule="auto"/>
        <w:jc w:val="both"/>
        <w:rPr>
          <w:rFonts w:ascii="Times New Roman" w:hAnsi="Times New Roman" w:cs="Times New Roman"/>
          <w:sz w:val="24"/>
          <w:szCs w:val="24"/>
        </w:rPr>
      </w:pPr>
    </w:p>
    <w:p w:rsidR="00B31B70" w:rsidRPr="00FD3680" w:rsidRDefault="00B31B70" w:rsidP="00B005C5">
      <w:pPr>
        <w:spacing w:after="0" w:line="240" w:lineRule="auto"/>
        <w:jc w:val="both"/>
        <w:rPr>
          <w:rFonts w:ascii="Times New Roman" w:hAnsi="Times New Roman" w:cs="Times New Roman"/>
          <w:sz w:val="24"/>
          <w:szCs w:val="24"/>
        </w:rPr>
      </w:pPr>
      <w:r w:rsidRPr="00FD3680">
        <w:rPr>
          <w:rFonts w:ascii="Times New Roman" w:hAnsi="Times New Roman" w:cs="Times New Roman"/>
          <w:sz w:val="24"/>
          <w:szCs w:val="24"/>
        </w:rPr>
        <w:t>Komplexný prehľad podporných mechanizmov, ktoré je možné aplikovať pre skupiny malých, mladých a rodinných farmárov</w:t>
      </w:r>
      <w:r w:rsidR="002833A5" w:rsidRPr="00FD3680">
        <w:rPr>
          <w:rFonts w:ascii="Times New Roman" w:hAnsi="Times New Roman" w:cs="Times New Roman"/>
          <w:sz w:val="24"/>
          <w:szCs w:val="24"/>
        </w:rPr>
        <w:t>,</w:t>
      </w:r>
      <w:r w:rsidR="008D33D3" w:rsidRPr="00FD3680">
        <w:rPr>
          <w:rFonts w:ascii="Times New Roman" w:hAnsi="Times New Roman" w:cs="Times New Roman"/>
          <w:sz w:val="24"/>
          <w:szCs w:val="24"/>
        </w:rPr>
        <w:t xml:space="preserve"> je uvedený v kapitole č. 4.</w:t>
      </w:r>
    </w:p>
    <w:p w:rsidR="00C8463D" w:rsidRPr="00FD3680" w:rsidRDefault="00C8463D" w:rsidP="00C8463D">
      <w:pPr>
        <w:spacing w:after="0" w:line="240" w:lineRule="auto"/>
        <w:jc w:val="both"/>
        <w:rPr>
          <w:rFonts w:ascii="Times New Roman" w:hAnsi="Times New Roman" w:cs="Times New Roman"/>
          <w:sz w:val="24"/>
          <w:szCs w:val="24"/>
        </w:rPr>
      </w:pPr>
    </w:p>
    <w:p w:rsidR="001B37F0" w:rsidRPr="00FD3680" w:rsidRDefault="001B37F0" w:rsidP="00C8463D">
      <w:pPr>
        <w:spacing w:after="0" w:line="240" w:lineRule="auto"/>
        <w:jc w:val="both"/>
        <w:rPr>
          <w:rFonts w:ascii="Times New Roman" w:eastAsia="Calibri" w:hAnsi="Times New Roman"/>
          <w:sz w:val="24"/>
          <w:szCs w:val="24"/>
        </w:rPr>
      </w:pPr>
      <w:r w:rsidRPr="00FD3680">
        <w:rPr>
          <w:rFonts w:ascii="Times New Roman" w:eastAsia="Calibri" w:hAnsi="Times New Roman"/>
          <w:sz w:val="24"/>
          <w:szCs w:val="24"/>
        </w:rPr>
        <w:t>V záujme vytvorenia podmienok na efektívnu aplikáciu prezentovaných podporných nástrojov je nevyhnutné, aby MPRV SR sústredilo svoju aktivitu do týchto iniciatív:</w:t>
      </w:r>
    </w:p>
    <w:p w:rsidR="008D33D3" w:rsidRPr="00FD3680" w:rsidRDefault="008D33D3" w:rsidP="00824FB4">
      <w:pPr>
        <w:spacing w:after="0" w:line="240" w:lineRule="auto"/>
        <w:jc w:val="both"/>
        <w:rPr>
          <w:rFonts w:ascii="Times New Roman" w:eastAsia="Calibri" w:hAnsi="Times New Roman"/>
          <w:sz w:val="24"/>
          <w:szCs w:val="24"/>
        </w:rPr>
      </w:pPr>
    </w:p>
    <w:p w:rsidR="001B37F0" w:rsidRPr="00FD3680" w:rsidRDefault="001B37F0" w:rsidP="00771A68">
      <w:pPr>
        <w:pStyle w:val="Odsekzoznamu"/>
        <w:numPr>
          <w:ilvl w:val="0"/>
          <w:numId w:val="34"/>
        </w:numPr>
        <w:spacing w:after="0" w:line="240" w:lineRule="auto"/>
        <w:jc w:val="both"/>
        <w:rPr>
          <w:rFonts w:ascii="Times New Roman" w:eastAsia="Calibri" w:hAnsi="Times New Roman"/>
          <w:sz w:val="24"/>
          <w:szCs w:val="24"/>
        </w:rPr>
      </w:pPr>
      <w:r w:rsidRPr="00FD3680">
        <w:rPr>
          <w:rFonts w:ascii="Times New Roman" w:eastAsia="Calibri" w:hAnsi="Times New Roman"/>
          <w:sz w:val="24"/>
          <w:szCs w:val="24"/>
        </w:rPr>
        <w:t xml:space="preserve">v spolupráci so Slovenským pozemkovým fondom (SPF) a za asistencie </w:t>
      </w:r>
      <w:r w:rsidR="00AA1EC3" w:rsidRPr="00FD3680">
        <w:rPr>
          <w:rFonts w:ascii="Times New Roman" w:eastAsia="Calibri" w:hAnsi="Times New Roman"/>
          <w:sz w:val="24"/>
          <w:szCs w:val="24"/>
        </w:rPr>
        <w:t>Národného poľnohospodárskeho a potravinárskeho centra</w:t>
      </w:r>
      <w:r w:rsidRPr="00FD3680">
        <w:rPr>
          <w:rFonts w:ascii="Times New Roman" w:eastAsia="Calibri" w:hAnsi="Times New Roman"/>
          <w:sz w:val="24"/>
          <w:szCs w:val="24"/>
        </w:rPr>
        <w:t xml:space="preserve"> (</w:t>
      </w:r>
      <w:r w:rsidR="00AA1EC3" w:rsidRPr="00FD3680">
        <w:rPr>
          <w:rFonts w:ascii="Times New Roman" w:eastAsia="Calibri" w:hAnsi="Times New Roman"/>
          <w:sz w:val="24"/>
          <w:szCs w:val="24"/>
        </w:rPr>
        <w:t>NPPC</w:t>
      </w:r>
      <w:r w:rsidRPr="00FD3680">
        <w:rPr>
          <w:rFonts w:ascii="Times New Roman" w:eastAsia="Calibri" w:hAnsi="Times New Roman"/>
          <w:sz w:val="24"/>
          <w:szCs w:val="24"/>
        </w:rPr>
        <w:t xml:space="preserve">) </w:t>
      </w:r>
      <w:r w:rsidR="008D33D3" w:rsidRPr="00FD3680">
        <w:rPr>
          <w:rFonts w:ascii="Times New Roman" w:eastAsia="Calibri" w:hAnsi="Times New Roman"/>
          <w:sz w:val="24"/>
          <w:szCs w:val="24"/>
        </w:rPr>
        <w:t>určiť konkrétny postup úpravy existujúcich nájomných vzťahov k pôde v správe SPF;</w:t>
      </w:r>
    </w:p>
    <w:p w:rsidR="008D33D3" w:rsidRPr="00FD3680" w:rsidRDefault="008D33D3" w:rsidP="008D33D3">
      <w:pPr>
        <w:pStyle w:val="Odsekzoznamu"/>
        <w:spacing w:after="0" w:line="240" w:lineRule="auto"/>
        <w:jc w:val="both"/>
        <w:rPr>
          <w:rFonts w:ascii="Times New Roman" w:eastAsia="Calibri" w:hAnsi="Times New Roman"/>
          <w:sz w:val="24"/>
          <w:szCs w:val="24"/>
        </w:rPr>
      </w:pPr>
    </w:p>
    <w:p w:rsidR="008D33D3" w:rsidRPr="00FD3680" w:rsidRDefault="008D33D3" w:rsidP="00771A68">
      <w:pPr>
        <w:pStyle w:val="Odsekzoznamu"/>
        <w:numPr>
          <w:ilvl w:val="0"/>
          <w:numId w:val="34"/>
        </w:numPr>
        <w:spacing w:after="0" w:line="240" w:lineRule="auto"/>
        <w:jc w:val="both"/>
        <w:rPr>
          <w:rFonts w:ascii="Times New Roman" w:eastAsia="Calibri" w:hAnsi="Times New Roman"/>
          <w:sz w:val="24"/>
          <w:szCs w:val="24"/>
        </w:rPr>
      </w:pPr>
      <w:r w:rsidRPr="00FD3680">
        <w:rPr>
          <w:rFonts w:ascii="Times New Roman" w:eastAsia="Calibri" w:hAnsi="Times New Roman"/>
          <w:sz w:val="24"/>
          <w:szCs w:val="24"/>
        </w:rPr>
        <w:t>novelizovať právny poriadok SR v zodpovedajúcich častiach tak, aby bolo možné aplikovať stanovený postup na úpravu existujúcich nájomných vzťahov k pôde v správe SPF; a</w:t>
      </w:r>
    </w:p>
    <w:p w:rsidR="008D33D3" w:rsidRPr="00FD3680" w:rsidRDefault="008D33D3" w:rsidP="008D33D3">
      <w:pPr>
        <w:pStyle w:val="Odsekzoznamu"/>
        <w:rPr>
          <w:rFonts w:ascii="Times New Roman" w:eastAsia="Calibri" w:hAnsi="Times New Roman"/>
          <w:sz w:val="24"/>
          <w:szCs w:val="24"/>
        </w:rPr>
      </w:pPr>
    </w:p>
    <w:p w:rsidR="008D33D3" w:rsidRPr="00FD3680" w:rsidRDefault="008D33D3" w:rsidP="00771A68">
      <w:pPr>
        <w:pStyle w:val="Odsekzoznamu"/>
        <w:numPr>
          <w:ilvl w:val="0"/>
          <w:numId w:val="34"/>
        </w:numPr>
        <w:spacing w:after="0" w:line="240" w:lineRule="auto"/>
        <w:jc w:val="both"/>
        <w:rPr>
          <w:rFonts w:ascii="Times New Roman" w:eastAsia="Calibri" w:hAnsi="Times New Roman"/>
          <w:sz w:val="24"/>
          <w:szCs w:val="24"/>
        </w:rPr>
      </w:pPr>
      <w:r w:rsidRPr="00FD3680">
        <w:rPr>
          <w:rFonts w:ascii="Times New Roman" w:eastAsia="Calibri" w:hAnsi="Times New Roman"/>
          <w:sz w:val="24"/>
          <w:szCs w:val="24"/>
        </w:rPr>
        <w:t xml:space="preserve">v spolupráci so Slovenskou záručnou a rozvojovou bankou dopracovať navrhované úverové produkty tak, aby reflektovali myšlienkový základ a ciele tejto koncepcie. </w:t>
      </w:r>
    </w:p>
    <w:p w:rsidR="001B37F0" w:rsidRPr="00FD3680" w:rsidRDefault="001B37F0" w:rsidP="00C8463D">
      <w:pPr>
        <w:spacing w:after="0" w:line="240" w:lineRule="auto"/>
        <w:jc w:val="both"/>
        <w:rPr>
          <w:rFonts w:ascii="Times New Roman" w:eastAsia="Calibri" w:hAnsi="Times New Roman"/>
          <w:sz w:val="24"/>
          <w:szCs w:val="24"/>
        </w:rPr>
      </w:pPr>
    </w:p>
    <w:p w:rsidR="00752C19" w:rsidRPr="00FD3680" w:rsidRDefault="00C8463D" w:rsidP="00C8463D">
      <w:pPr>
        <w:spacing w:after="0" w:line="240" w:lineRule="auto"/>
        <w:jc w:val="both"/>
        <w:rPr>
          <w:rFonts w:ascii="Times New Roman" w:eastAsia="Calibri" w:hAnsi="Times New Roman"/>
          <w:sz w:val="24"/>
          <w:szCs w:val="24"/>
        </w:rPr>
      </w:pPr>
      <w:r w:rsidRPr="00FD3680">
        <w:rPr>
          <w:rFonts w:ascii="Times New Roman" w:eastAsia="Calibri" w:hAnsi="Times New Roman"/>
          <w:sz w:val="24"/>
          <w:szCs w:val="24"/>
        </w:rPr>
        <w:t xml:space="preserve">Na záver je potrebné dodať, že projekcia napĺňania cieľov koncepcie ako aj všetky výroky s týmto spojené sú založené na princípe vzácnosti výrobných faktorov a hospodárnosti ich využívania. </w:t>
      </w:r>
    </w:p>
    <w:p w:rsidR="00752C19" w:rsidRPr="00FD3680" w:rsidRDefault="00752C19" w:rsidP="00C8463D">
      <w:pPr>
        <w:spacing w:after="0" w:line="240" w:lineRule="auto"/>
        <w:jc w:val="both"/>
        <w:rPr>
          <w:rFonts w:ascii="Times New Roman" w:eastAsia="Calibri" w:hAnsi="Times New Roman"/>
          <w:sz w:val="24"/>
          <w:szCs w:val="24"/>
        </w:rPr>
      </w:pPr>
    </w:p>
    <w:p w:rsidR="00C8463D" w:rsidRPr="00FD3680" w:rsidRDefault="00C8463D" w:rsidP="00C8463D">
      <w:pPr>
        <w:spacing w:after="0" w:line="240" w:lineRule="auto"/>
        <w:jc w:val="both"/>
        <w:rPr>
          <w:rFonts w:ascii="Times New Roman" w:eastAsia="Calibri" w:hAnsi="Times New Roman"/>
          <w:sz w:val="24"/>
          <w:szCs w:val="24"/>
        </w:rPr>
      </w:pPr>
      <w:r w:rsidRPr="00FD3680">
        <w:rPr>
          <w:rFonts w:ascii="Times New Roman" w:eastAsia="Calibri" w:hAnsi="Times New Roman"/>
          <w:sz w:val="24"/>
          <w:szCs w:val="24"/>
        </w:rPr>
        <w:t xml:space="preserve">Podnikateľský subjekt v poľnohospodárstve teda kombinuje svoje výrobné faktory s ohľadom na ich požadovaný výstup tak aby vstupy minimalizoval a výstupy maximalizoval. Snaží sa tak dosiahnuť finančnú rovnováhu a sústreďuje sa na zachovanie svojej platobnej schopnosti a solventnosti, na princípe súkromného vlastníctva a rozhodovacej autonómii. </w:t>
      </w:r>
    </w:p>
    <w:p w:rsidR="00C8463D" w:rsidRPr="00FD3680" w:rsidRDefault="00C8463D" w:rsidP="00C8463D">
      <w:pPr>
        <w:spacing w:after="0" w:line="240" w:lineRule="auto"/>
        <w:jc w:val="both"/>
        <w:rPr>
          <w:rFonts w:ascii="Times New Roman" w:eastAsia="Calibri" w:hAnsi="Times New Roman"/>
          <w:sz w:val="24"/>
          <w:szCs w:val="24"/>
        </w:rPr>
      </w:pPr>
    </w:p>
    <w:p w:rsidR="00F6469F" w:rsidRDefault="00C8463D" w:rsidP="00C8463D">
      <w:pPr>
        <w:spacing w:after="0" w:line="240" w:lineRule="auto"/>
        <w:jc w:val="both"/>
        <w:rPr>
          <w:rFonts w:ascii="Times New Roman" w:eastAsia="Calibri" w:hAnsi="Times New Roman"/>
          <w:sz w:val="24"/>
          <w:szCs w:val="24"/>
        </w:rPr>
      </w:pPr>
      <w:r w:rsidRPr="00FD3680">
        <w:rPr>
          <w:rFonts w:ascii="Times New Roman" w:eastAsia="Calibri" w:hAnsi="Times New Roman"/>
          <w:sz w:val="24"/>
          <w:szCs w:val="24"/>
        </w:rPr>
        <w:t>Poľnohospodársky podnikateľ sa autonómne rozhoduje o svojej podnikovej stratégii, na princípe maximalizácie ziskovosti, a štát v konečnom dôsledku nenesie bremeno dôsledkov jeho zlých strategických rozhodnutí.</w:t>
      </w:r>
    </w:p>
    <w:p w:rsidR="00F6469F" w:rsidRPr="00FD3680" w:rsidRDefault="00F6469F" w:rsidP="00C8463D">
      <w:pPr>
        <w:spacing w:after="0" w:line="240" w:lineRule="auto"/>
        <w:jc w:val="both"/>
        <w:rPr>
          <w:rFonts w:ascii="Times New Roman" w:eastAsia="Calibri" w:hAnsi="Times New Roman"/>
          <w:sz w:val="24"/>
          <w:szCs w:val="24"/>
        </w:rPr>
        <w:sectPr w:rsidR="00F6469F" w:rsidRPr="00FD3680" w:rsidSect="00B12F0E">
          <w:headerReference w:type="default" r:id="rId16"/>
          <w:footerReference w:type="default" r:id="rId17"/>
          <w:pgSz w:w="11906" w:h="16838"/>
          <w:pgMar w:top="1417" w:right="1417" w:bottom="1417" w:left="1417" w:header="708" w:footer="708" w:gutter="0"/>
          <w:cols w:space="708"/>
          <w:titlePg/>
          <w:docGrid w:linePitch="360"/>
        </w:sectPr>
      </w:pPr>
    </w:p>
    <w:p w:rsidR="0092435A" w:rsidRPr="00FD3680" w:rsidRDefault="0092435A" w:rsidP="00F6469F">
      <w:pPr>
        <w:spacing w:after="0" w:line="240" w:lineRule="auto"/>
        <w:jc w:val="both"/>
        <w:rPr>
          <w:rFonts w:ascii="Times New Roman" w:hAnsi="Times New Roman" w:cs="Times New Roman"/>
          <w:sz w:val="24"/>
          <w:szCs w:val="24"/>
        </w:rPr>
      </w:pPr>
    </w:p>
    <w:sectPr w:rsidR="0092435A" w:rsidRPr="00FD3680" w:rsidSect="0092435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A4" w:rsidRDefault="00664AA4" w:rsidP="00B12F0E">
      <w:pPr>
        <w:spacing w:after="0" w:line="240" w:lineRule="auto"/>
      </w:pPr>
      <w:r>
        <w:separator/>
      </w:r>
    </w:p>
  </w:endnote>
  <w:endnote w:type="continuationSeparator" w:id="0">
    <w:p w:rsidR="00664AA4" w:rsidRDefault="00664AA4" w:rsidP="00B1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Stencil"/>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43804"/>
      <w:docPartObj>
        <w:docPartGallery w:val="Page Numbers (Bottom of Page)"/>
        <w:docPartUnique/>
      </w:docPartObj>
    </w:sdtPr>
    <w:sdtEndPr/>
    <w:sdtContent>
      <w:p w:rsidR="00271FE9" w:rsidRDefault="00271FE9">
        <w:pPr>
          <w:pStyle w:val="Pta"/>
          <w:jc w:val="right"/>
        </w:pPr>
        <w:r w:rsidRPr="00B12F0E">
          <w:rPr>
            <w:rFonts w:ascii="Times New Roman" w:hAnsi="Times New Roman" w:cs="Times New Roman"/>
            <w:sz w:val="20"/>
            <w:szCs w:val="20"/>
          </w:rPr>
          <w:fldChar w:fldCharType="begin"/>
        </w:r>
        <w:r w:rsidRPr="00B12F0E">
          <w:rPr>
            <w:rFonts w:ascii="Times New Roman" w:hAnsi="Times New Roman" w:cs="Times New Roman"/>
            <w:sz w:val="20"/>
            <w:szCs w:val="20"/>
          </w:rPr>
          <w:instrText>PAGE   \* MERGEFORMAT</w:instrText>
        </w:r>
        <w:r w:rsidRPr="00B12F0E">
          <w:rPr>
            <w:rFonts w:ascii="Times New Roman" w:hAnsi="Times New Roman" w:cs="Times New Roman"/>
            <w:sz w:val="20"/>
            <w:szCs w:val="20"/>
          </w:rPr>
          <w:fldChar w:fldCharType="separate"/>
        </w:r>
        <w:r w:rsidR="003E0146">
          <w:rPr>
            <w:rFonts w:ascii="Times New Roman" w:hAnsi="Times New Roman" w:cs="Times New Roman"/>
            <w:noProof/>
            <w:sz w:val="20"/>
            <w:szCs w:val="20"/>
          </w:rPr>
          <w:t>22</w:t>
        </w:r>
        <w:r w:rsidRPr="00B12F0E">
          <w:rPr>
            <w:rFonts w:ascii="Times New Roman" w:hAnsi="Times New Roman" w:cs="Times New Roman"/>
            <w:sz w:val="20"/>
            <w:szCs w:val="20"/>
          </w:rPr>
          <w:fldChar w:fldCharType="end"/>
        </w:r>
      </w:p>
    </w:sdtContent>
  </w:sdt>
  <w:p w:rsidR="00271FE9" w:rsidRDefault="00271F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A4" w:rsidRDefault="00664AA4" w:rsidP="00B12F0E">
      <w:pPr>
        <w:spacing w:after="0" w:line="240" w:lineRule="auto"/>
      </w:pPr>
      <w:r>
        <w:separator/>
      </w:r>
    </w:p>
  </w:footnote>
  <w:footnote w:type="continuationSeparator" w:id="0">
    <w:p w:rsidR="00664AA4" w:rsidRDefault="00664AA4" w:rsidP="00B12F0E">
      <w:pPr>
        <w:spacing w:after="0" w:line="240" w:lineRule="auto"/>
      </w:pPr>
      <w:r>
        <w:continuationSeparator/>
      </w:r>
    </w:p>
  </w:footnote>
  <w:footnote w:id="1">
    <w:p w:rsidR="00271FE9" w:rsidRPr="00A02AB1" w:rsidRDefault="00271FE9">
      <w:pPr>
        <w:pStyle w:val="Textpoznmkypodiarou"/>
        <w:rPr>
          <w:rFonts w:ascii="Times New Roman" w:hAnsi="Times New Roman" w:cs="Times New Roman"/>
        </w:rPr>
      </w:pPr>
      <w:r w:rsidRPr="00A02AB1">
        <w:rPr>
          <w:rStyle w:val="Odkaznapoznmkupodiarou"/>
          <w:rFonts w:ascii="Times New Roman" w:hAnsi="Times New Roman" w:cs="Times New Roman"/>
        </w:rPr>
        <w:footnoteRef/>
      </w:r>
      <w:r w:rsidRPr="00A02AB1">
        <w:rPr>
          <w:rFonts w:ascii="Times New Roman" w:hAnsi="Times New Roman" w:cs="Times New Roman"/>
        </w:rPr>
        <w:t xml:space="preserve"> V ďalších častiach materiálu sa bude, v náležitých prípadoch, na označenie všetkých troch kategórií farmárov súčasne, používať slovné spojenie „cieľová skupina poľnohospodárskych podnikateľov“.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E9" w:rsidRDefault="00271FE9" w:rsidP="00657726">
    <w:pPr>
      <w:pStyle w:val="Hlavika"/>
      <w:tabs>
        <w:tab w:val="clear" w:pos="4536"/>
        <w:tab w:val="clear" w:pos="9072"/>
        <w:tab w:val="left" w:pos="23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6E4"/>
    <w:multiLevelType w:val="hybridMultilevel"/>
    <w:tmpl w:val="78EEA772"/>
    <w:lvl w:ilvl="0" w:tplc="041B0005">
      <w:start w:val="1"/>
      <w:numFmt w:val="bullet"/>
      <w:lvlText w:val=""/>
      <w:lvlJc w:val="left"/>
      <w:pPr>
        <w:ind w:left="720" w:hanging="360"/>
      </w:pPr>
      <w:rPr>
        <w:rFonts w:ascii="Wingdings" w:hAnsi="Wingdings" w:hint="default"/>
      </w:rPr>
    </w:lvl>
    <w:lvl w:ilvl="1" w:tplc="AD7E5DD0">
      <w:start w:val="1"/>
      <w:numFmt w:val="bullet"/>
      <w:lvlText w:val="-"/>
      <w:lvlJc w:val="left"/>
      <w:pPr>
        <w:ind w:left="1440" w:hanging="360"/>
      </w:pPr>
      <w:rPr>
        <w:rFonts w:ascii="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C518C3"/>
    <w:multiLevelType w:val="multilevel"/>
    <w:tmpl w:val="612E959E"/>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
    <w:nsid w:val="080B321D"/>
    <w:multiLevelType w:val="hybridMultilevel"/>
    <w:tmpl w:val="2D4C1740"/>
    <w:lvl w:ilvl="0" w:tplc="041B0005">
      <w:start w:val="1"/>
      <w:numFmt w:val="bullet"/>
      <w:lvlText w:val=""/>
      <w:lvlJc w:val="left"/>
      <w:pPr>
        <w:ind w:left="720" w:hanging="360"/>
      </w:pPr>
      <w:rPr>
        <w:rFonts w:ascii="Wingdings" w:hAnsi="Wingdings" w:hint="default"/>
      </w:rPr>
    </w:lvl>
    <w:lvl w:ilvl="1" w:tplc="44864FCC">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84363B"/>
    <w:multiLevelType w:val="hybridMultilevel"/>
    <w:tmpl w:val="80F82D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9672BD"/>
    <w:multiLevelType w:val="hybridMultilevel"/>
    <w:tmpl w:val="18A828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9EA7EFE"/>
    <w:multiLevelType w:val="hybridMultilevel"/>
    <w:tmpl w:val="71E608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AFD4D63"/>
    <w:multiLevelType w:val="hybridMultilevel"/>
    <w:tmpl w:val="076E7B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ED7BB5"/>
    <w:multiLevelType w:val="hybridMultilevel"/>
    <w:tmpl w:val="603C669A"/>
    <w:lvl w:ilvl="0" w:tplc="041B0005">
      <w:start w:val="1"/>
      <w:numFmt w:val="bullet"/>
      <w:lvlText w:val=""/>
      <w:lvlJc w:val="left"/>
      <w:pPr>
        <w:ind w:left="720" w:hanging="360"/>
      </w:pPr>
      <w:rPr>
        <w:rFonts w:ascii="Wingdings" w:hAnsi="Wingdings" w:hint="default"/>
      </w:rPr>
    </w:lvl>
    <w:lvl w:ilvl="1" w:tplc="44864FCC">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851CEA"/>
    <w:multiLevelType w:val="hybridMultilevel"/>
    <w:tmpl w:val="DA9045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2CB2112"/>
    <w:multiLevelType w:val="hybridMultilevel"/>
    <w:tmpl w:val="E636222E"/>
    <w:lvl w:ilvl="0" w:tplc="041B0005">
      <w:start w:val="1"/>
      <w:numFmt w:val="bullet"/>
      <w:lvlText w:val=""/>
      <w:lvlJc w:val="left"/>
      <w:pPr>
        <w:ind w:left="1065" w:hanging="705"/>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9455AB"/>
    <w:multiLevelType w:val="hybridMultilevel"/>
    <w:tmpl w:val="91B2FF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0B2EA1"/>
    <w:multiLevelType w:val="hybridMultilevel"/>
    <w:tmpl w:val="090C7A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026CAC"/>
    <w:multiLevelType w:val="hybridMultilevel"/>
    <w:tmpl w:val="BA0A9C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4CC6D70"/>
    <w:multiLevelType w:val="hybridMultilevel"/>
    <w:tmpl w:val="3FC248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037FCF"/>
    <w:multiLevelType w:val="hybridMultilevel"/>
    <w:tmpl w:val="8E4C898E"/>
    <w:lvl w:ilvl="0" w:tplc="041B0005">
      <w:start w:val="1"/>
      <w:numFmt w:val="bullet"/>
      <w:lvlText w:val=""/>
      <w:lvlJc w:val="left"/>
      <w:pPr>
        <w:ind w:left="720" w:hanging="360"/>
      </w:pPr>
      <w:rPr>
        <w:rFonts w:ascii="Wingdings" w:hAnsi="Wingdings" w:hint="default"/>
      </w:rPr>
    </w:lvl>
    <w:lvl w:ilvl="1" w:tplc="AD7E5DD0">
      <w:start w:val="1"/>
      <w:numFmt w:val="bullet"/>
      <w:lvlText w:val="-"/>
      <w:lvlJc w:val="left"/>
      <w:pPr>
        <w:ind w:left="1440" w:hanging="360"/>
      </w:pPr>
      <w:rPr>
        <w:rFonts w:ascii="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804B28"/>
    <w:multiLevelType w:val="hybridMultilevel"/>
    <w:tmpl w:val="F172408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6D173F"/>
    <w:multiLevelType w:val="hybridMultilevel"/>
    <w:tmpl w:val="15A8115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7A45D9B"/>
    <w:multiLevelType w:val="hybridMultilevel"/>
    <w:tmpl w:val="B748CA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9925D4B"/>
    <w:multiLevelType w:val="multilevel"/>
    <w:tmpl w:val="9B7AFD64"/>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9">
    <w:nsid w:val="39A10EF4"/>
    <w:multiLevelType w:val="hybridMultilevel"/>
    <w:tmpl w:val="9D9253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D7A3439"/>
    <w:multiLevelType w:val="hybridMultilevel"/>
    <w:tmpl w:val="1FDE0DA2"/>
    <w:lvl w:ilvl="0" w:tplc="041B0005">
      <w:start w:val="1"/>
      <w:numFmt w:val="bullet"/>
      <w:lvlText w:val=""/>
      <w:lvlJc w:val="left"/>
      <w:pPr>
        <w:ind w:left="720" w:hanging="360"/>
      </w:pPr>
      <w:rPr>
        <w:rFonts w:ascii="Wingdings" w:hAnsi="Wingdings" w:hint="default"/>
      </w:rPr>
    </w:lvl>
    <w:lvl w:ilvl="1" w:tplc="AD7E5DD0">
      <w:start w:val="1"/>
      <w:numFmt w:val="bullet"/>
      <w:lvlText w:val="-"/>
      <w:lvlJc w:val="left"/>
      <w:pPr>
        <w:ind w:left="1440" w:hanging="360"/>
      </w:pPr>
      <w:rPr>
        <w:rFonts w:ascii="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1E650BE"/>
    <w:multiLevelType w:val="multilevel"/>
    <w:tmpl w:val="2518919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2989"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nsid w:val="449D7959"/>
    <w:multiLevelType w:val="hybridMultilevel"/>
    <w:tmpl w:val="75D046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72A6063"/>
    <w:multiLevelType w:val="hybridMultilevel"/>
    <w:tmpl w:val="21CAB5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7D60E5B"/>
    <w:multiLevelType w:val="hybridMultilevel"/>
    <w:tmpl w:val="B8F628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BB774ED"/>
    <w:multiLevelType w:val="hybridMultilevel"/>
    <w:tmpl w:val="F14CBB1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C1C0CF1"/>
    <w:multiLevelType w:val="hybridMultilevel"/>
    <w:tmpl w:val="D95AF058"/>
    <w:lvl w:ilvl="0" w:tplc="041B0005">
      <w:start w:val="1"/>
      <w:numFmt w:val="bullet"/>
      <w:lvlText w:val=""/>
      <w:lvlJc w:val="left"/>
      <w:pPr>
        <w:ind w:left="720" w:hanging="360"/>
      </w:pPr>
      <w:rPr>
        <w:rFonts w:ascii="Wingdings" w:hAnsi="Wingdings" w:hint="default"/>
      </w:rPr>
    </w:lvl>
    <w:lvl w:ilvl="1" w:tplc="44864FCC">
      <w:start w:val="1"/>
      <w:numFmt w:val="bullet"/>
      <w:lvlText w:val=""/>
      <w:lvlJc w:val="left"/>
      <w:pPr>
        <w:ind w:left="1440" w:hanging="360"/>
      </w:pPr>
      <w:rPr>
        <w:rFonts w:ascii="Symbol" w:hAnsi="Symbol" w:hint="default"/>
      </w:rPr>
    </w:lvl>
    <w:lvl w:ilvl="2" w:tplc="CE82FFD2">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C3435B3"/>
    <w:multiLevelType w:val="multilevel"/>
    <w:tmpl w:val="300C8126"/>
    <w:lvl w:ilvl="0">
      <w:start w:val="2"/>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8">
    <w:nsid w:val="51015F5F"/>
    <w:multiLevelType w:val="hybridMultilevel"/>
    <w:tmpl w:val="9D6A59B6"/>
    <w:lvl w:ilvl="0" w:tplc="041B0005">
      <w:start w:val="1"/>
      <w:numFmt w:val="bullet"/>
      <w:lvlText w:val=""/>
      <w:lvlJc w:val="left"/>
      <w:pPr>
        <w:ind w:left="720" w:hanging="360"/>
      </w:pPr>
      <w:rPr>
        <w:rFonts w:ascii="Wingdings" w:hAnsi="Wingdings" w:hint="default"/>
      </w:rPr>
    </w:lvl>
    <w:lvl w:ilvl="1" w:tplc="1F2E963E">
      <w:start w:val="7"/>
      <w:numFmt w:val="bullet"/>
      <w:lvlText w:val="–"/>
      <w:lvlJc w:val="left"/>
      <w:pPr>
        <w:ind w:left="1785" w:hanging="705"/>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293267F"/>
    <w:multiLevelType w:val="hybridMultilevel"/>
    <w:tmpl w:val="15604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2A252E6"/>
    <w:multiLevelType w:val="hybridMultilevel"/>
    <w:tmpl w:val="58F6573C"/>
    <w:lvl w:ilvl="0" w:tplc="041B0005">
      <w:start w:val="1"/>
      <w:numFmt w:val="bullet"/>
      <w:lvlText w:val=""/>
      <w:lvlJc w:val="left"/>
      <w:pPr>
        <w:ind w:left="1065" w:hanging="705"/>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2A83006"/>
    <w:multiLevelType w:val="hybridMultilevel"/>
    <w:tmpl w:val="1BE6C4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3D25652"/>
    <w:multiLevelType w:val="hybridMultilevel"/>
    <w:tmpl w:val="BC1031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8772737"/>
    <w:multiLevelType w:val="hybridMultilevel"/>
    <w:tmpl w:val="4B6AA16C"/>
    <w:lvl w:ilvl="0" w:tplc="041B0005">
      <w:start w:val="1"/>
      <w:numFmt w:val="bullet"/>
      <w:lvlText w:val=""/>
      <w:lvlJc w:val="left"/>
      <w:pPr>
        <w:ind w:left="720" w:hanging="360"/>
      </w:pPr>
      <w:rPr>
        <w:rFonts w:ascii="Wingdings" w:hAnsi="Wingdings" w:hint="default"/>
      </w:rPr>
    </w:lvl>
    <w:lvl w:ilvl="1" w:tplc="AD7E5DD0">
      <w:start w:val="1"/>
      <w:numFmt w:val="bullet"/>
      <w:lvlText w:val="-"/>
      <w:lvlJc w:val="left"/>
      <w:pPr>
        <w:ind w:left="1440" w:hanging="360"/>
      </w:pPr>
      <w:rPr>
        <w:rFonts w:ascii="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99D31A1"/>
    <w:multiLevelType w:val="hybridMultilevel"/>
    <w:tmpl w:val="78ACD1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F1327D3"/>
    <w:multiLevelType w:val="hybridMultilevel"/>
    <w:tmpl w:val="0D049E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3A4530C"/>
    <w:multiLevelType w:val="hybridMultilevel"/>
    <w:tmpl w:val="6E68222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6517718D"/>
    <w:multiLevelType w:val="hybridMultilevel"/>
    <w:tmpl w:val="D9DEB39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8931284"/>
    <w:multiLevelType w:val="hybridMultilevel"/>
    <w:tmpl w:val="05DAD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C217DD5"/>
    <w:multiLevelType w:val="hybridMultilevel"/>
    <w:tmpl w:val="C2AA9682"/>
    <w:lvl w:ilvl="0" w:tplc="041B0001">
      <w:start w:val="1"/>
      <w:numFmt w:val="bullet"/>
      <w:lvlText w:val=""/>
      <w:lvlJc w:val="left"/>
      <w:pPr>
        <w:ind w:left="720" w:hanging="360"/>
      </w:pPr>
      <w:rPr>
        <w:rFonts w:ascii="Symbol" w:hAnsi="Symbol" w:hint="default"/>
      </w:rPr>
    </w:lvl>
    <w:lvl w:ilvl="1" w:tplc="AD7E5DD0">
      <w:start w:val="1"/>
      <w:numFmt w:val="bullet"/>
      <w:lvlText w:val="-"/>
      <w:lvlJc w:val="left"/>
      <w:pPr>
        <w:ind w:left="1440" w:hanging="360"/>
      </w:pPr>
      <w:rPr>
        <w:rFonts w:ascii="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073391B"/>
    <w:multiLevelType w:val="hybridMultilevel"/>
    <w:tmpl w:val="E180A8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1AE01A9"/>
    <w:multiLevelType w:val="hybridMultilevel"/>
    <w:tmpl w:val="F96423A6"/>
    <w:lvl w:ilvl="0" w:tplc="0DEC7988">
      <w:start w:val="158"/>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42">
    <w:nsid w:val="72D80E70"/>
    <w:multiLevelType w:val="hybridMultilevel"/>
    <w:tmpl w:val="1868AB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5F2112B"/>
    <w:multiLevelType w:val="multilevel"/>
    <w:tmpl w:val="2F369F0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61D1901"/>
    <w:multiLevelType w:val="hybridMultilevel"/>
    <w:tmpl w:val="CFF45F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D9A5BFA"/>
    <w:multiLevelType w:val="multilevel"/>
    <w:tmpl w:val="89FAAA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bullet"/>
      <w:lvlText w:val=""/>
      <w:lvlJc w:val="left"/>
      <w:pPr>
        <w:tabs>
          <w:tab w:val="num" w:pos="1417"/>
        </w:tabs>
        <w:ind w:left="1417" w:hanging="567"/>
      </w:pPr>
      <w:rPr>
        <w:rFonts w:ascii="Wingdings" w:hAnsi="Wingding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num w:numId="1">
    <w:abstractNumId w:val="7"/>
  </w:num>
  <w:num w:numId="2">
    <w:abstractNumId w:val="34"/>
  </w:num>
  <w:num w:numId="3">
    <w:abstractNumId w:val="41"/>
  </w:num>
  <w:num w:numId="4">
    <w:abstractNumId w:val="40"/>
  </w:num>
  <w:num w:numId="5">
    <w:abstractNumId w:val="24"/>
  </w:num>
  <w:num w:numId="6">
    <w:abstractNumId w:val="10"/>
  </w:num>
  <w:num w:numId="7">
    <w:abstractNumId w:val="4"/>
  </w:num>
  <w:num w:numId="8">
    <w:abstractNumId w:val="25"/>
  </w:num>
  <w:num w:numId="9">
    <w:abstractNumId w:val="37"/>
  </w:num>
  <w:num w:numId="10">
    <w:abstractNumId w:val="32"/>
  </w:num>
  <w:num w:numId="11">
    <w:abstractNumId w:val="19"/>
  </w:num>
  <w:num w:numId="12">
    <w:abstractNumId w:val="9"/>
  </w:num>
  <w:num w:numId="13">
    <w:abstractNumId w:val="35"/>
  </w:num>
  <w:num w:numId="14">
    <w:abstractNumId w:val="26"/>
  </w:num>
  <w:num w:numId="15">
    <w:abstractNumId w:val="8"/>
  </w:num>
  <w:num w:numId="16">
    <w:abstractNumId w:val="42"/>
  </w:num>
  <w:num w:numId="17">
    <w:abstractNumId w:val="28"/>
  </w:num>
  <w:num w:numId="18">
    <w:abstractNumId w:val="5"/>
  </w:num>
  <w:num w:numId="19">
    <w:abstractNumId w:val="36"/>
  </w:num>
  <w:num w:numId="20">
    <w:abstractNumId w:val="16"/>
  </w:num>
  <w:num w:numId="21">
    <w:abstractNumId w:val="17"/>
  </w:num>
  <w:num w:numId="22">
    <w:abstractNumId w:val="13"/>
  </w:num>
  <w:num w:numId="23">
    <w:abstractNumId w:val="11"/>
  </w:num>
  <w:num w:numId="24">
    <w:abstractNumId w:val="15"/>
  </w:num>
  <w:num w:numId="25">
    <w:abstractNumId w:val="30"/>
  </w:num>
  <w:num w:numId="26">
    <w:abstractNumId w:val="14"/>
  </w:num>
  <w:num w:numId="27">
    <w:abstractNumId w:val="20"/>
  </w:num>
  <w:num w:numId="28">
    <w:abstractNumId w:val="22"/>
  </w:num>
  <w:num w:numId="29">
    <w:abstractNumId w:val="39"/>
  </w:num>
  <w:num w:numId="30">
    <w:abstractNumId w:val="33"/>
  </w:num>
  <w:num w:numId="31">
    <w:abstractNumId w:val="0"/>
  </w:num>
  <w:num w:numId="32">
    <w:abstractNumId w:val="29"/>
  </w:num>
  <w:num w:numId="33">
    <w:abstractNumId w:val="2"/>
  </w:num>
  <w:num w:numId="34">
    <w:abstractNumId w:val="44"/>
  </w:num>
  <w:num w:numId="35">
    <w:abstractNumId w:val="21"/>
  </w:num>
  <w:num w:numId="36">
    <w:abstractNumId w:val="43"/>
  </w:num>
  <w:num w:numId="37">
    <w:abstractNumId w:val="6"/>
  </w:num>
  <w:num w:numId="38">
    <w:abstractNumId w:val="23"/>
  </w:num>
  <w:num w:numId="39">
    <w:abstractNumId w:val="38"/>
  </w:num>
  <w:num w:numId="40">
    <w:abstractNumId w:val="12"/>
  </w:num>
  <w:num w:numId="41">
    <w:abstractNumId w:val="31"/>
  </w:num>
  <w:num w:numId="42">
    <w:abstractNumId w:val="3"/>
  </w:num>
  <w:num w:numId="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2B"/>
    <w:rsid w:val="00002448"/>
    <w:rsid w:val="00006D32"/>
    <w:rsid w:val="00007E43"/>
    <w:rsid w:val="000128CF"/>
    <w:rsid w:val="0003384C"/>
    <w:rsid w:val="0003457D"/>
    <w:rsid w:val="00037AFB"/>
    <w:rsid w:val="00066B62"/>
    <w:rsid w:val="000701A4"/>
    <w:rsid w:val="0007521F"/>
    <w:rsid w:val="00075AE0"/>
    <w:rsid w:val="0007782D"/>
    <w:rsid w:val="00081006"/>
    <w:rsid w:val="000943F0"/>
    <w:rsid w:val="0009709D"/>
    <w:rsid w:val="000A591B"/>
    <w:rsid w:val="000A6B36"/>
    <w:rsid w:val="000B038C"/>
    <w:rsid w:val="000B68D8"/>
    <w:rsid w:val="000B7B8F"/>
    <w:rsid w:val="000D17D0"/>
    <w:rsid w:val="000D5D9C"/>
    <w:rsid w:val="000D6A9A"/>
    <w:rsid w:val="000E0659"/>
    <w:rsid w:val="000E2933"/>
    <w:rsid w:val="00105BD1"/>
    <w:rsid w:val="00114A16"/>
    <w:rsid w:val="00114F46"/>
    <w:rsid w:val="00123632"/>
    <w:rsid w:val="00130E14"/>
    <w:rsid w:val="00132037"/>
    <w:rsid w:val="0013209D"/>
    <w:rsid w:val="001342AA"/>
    <w:rsid w:val="00136ECF"/>
    <w:rsid w:val="00140E09"/>
    <w:rsid w:val="00143720"/>
    <w:rsid w:val="00164E55"/>
    <w:rsid w:val="00165761"/>
    <w:rsid w:val="00170235"/>
    <w:rsid w:val="00174101"/>
    <w:rsid w:val="0017747D"/>
    <w:rsid w:val="00177A4F"/>
    <w:rsid w:val="00180598"/>
    <w:rsid w:val="00190AC5"/>
    <w:rsid w:val="001956AE"/>
    <w:rsid w:val="001A1861"/>
    <w:rsid w:val="001A35DA"/>
    <w:rsid w:val="001A4615"/>
    <w:rsid w:val="001A59FA"/>
    <w:rsid w:val="001B37F0"/>
    <w:rsid w:val="001C09F7"/>
    <w:rsid w:val="001D0982"/>
    <w:rsid w:val="001D17E3"/>
    <w:rsid w:val="001D1A2D"/>
    <w:rsid w:val="001D46A4"/>
    <w:rsid w:val="001D563A"/>
    <w:rsid w:val="001D6220"/>
    <w:rsid w:val="001E72B8"/>
    <w:rsid w:val="001F04B2"/>
    <w:rsid w:val="001F2D5B"/>
    <w:rsid w:val="00202331"/>
    <w:rsid w:val="00206F71"/>
    <w:rsid w:val="00213182"/>
    <w:rsid w:val="002157FA"/>
    <w:rsid w:val="00216B46"/>
    <w:rsid w:val="0022192B"/>
    <w:rsid w:val="00222C82"/>
    <w:rsid w:val="00240F22"/>
    <w:rsid w:val="0024123C"/>
    <w:rsid w:val="0024148F"/>
    <w:rsid w:val="00242CA6"/>
    <w:rsid w:val="002479B1"/>
    <w:rsid w:val="00252A3D"/>
    <w:rsid w:val="00253BA7"/>
    <w:rsid w:val="00256EA3"/>
    <w:rsid w:val="00257451"/>
    <w:rsid w:val="00266A1F"/>
    <w:rsid w:val="00271FE9"/>
    <w:rsid w:val="00277C1A"/>
    <w:rsid w:val="00282843"/>
    <w:rsid w:val="002833A5"/>
    <w:rsid w:val="002915DF"/>
    <w:rsid w:val="00293ED7"/>
    <w:rsid w:val="00295C22"/>
    <w:rsid w:val="002A18F5"/>
    <w:rsid w:val="002A3148"/>
    <w:rsid w:val="002B456A"/>
    <w:rsid w:val="002B6A25"/>
    <w:rsid w:val="002C0CA0"/>
    <w:rsid w:val="002C3189"/>
    <w:rsid w:val="002C74D3"/>
    <w:rsid w:val="002D0A1C"/>
    <w:rsid w:val="002F093A"/>
    <w:rsid w:val="002F156E"/>
    <w:rsid w:val="002F33E2"/>
    <w:rsid w:val="002F3633"/>
    <w:rsid w:val="00311515"/>
    <w:rsid w:val="00312485"/>
    <w:rsid w:val="00316DC1"/>
    <w:rsid w:val="003229C3"/>
    <w:rsid w:val="00323004"/>
    <w:rsid w:val="00326BC3"/>
    <w:rsid w:val="00330DCE"/>
    <w:rsid w:val="003310D2"/>
    <w:rsid w:val="003328A5"/>
    <w:rsid w:val="003339F3"/>
    <w:rsid w:val="003365FF"/>
    <w:rsid w:val="00342F2F"/>
    <w:rsid w:val="00344645"/>
    <w:rsid w:val="003466E8"/>
    <w:rsid w:val="00347D7F"/>
    <w:rsid w:val="00350C7F"/>
    <w:rsid w:val="003510A6"/>
    <w:rsid w:val="00357FD0"/>
    <w:rsid w:val="00365319"/>
    <w:rsid w:val="00382D80"/>
    <w:rsid w:val="00384E9F"/>
    <w:rsid w:val="00387811"/>
    <w:rsid w:val="00392085"/>
    <w:rsid w:val="003949B5"/>
    <w:rsid w:val="003A2AAE"/>
    <w:rsid w:val="003A41E2"/>
    <w:rsid w:val="003B42F5"/>
    <w:rsid w:val="003B7928"/>
    <w:rsid w:val="003C21B5"/>
    <w:rsid w:val="003C4519"/>
    <w:rsid w:val="003C6B2A"/>
    <w:rsid w:val="003E0146"/>
    <w:rsid w:val="003E11AC"/>
    <w:rsid w:val="003F2474"/>
    <w:rsid w:val="003F5C01"/>
    <w:rsid w:val="00403A4C"/>
    <w:rsid w:val="00404CBF"/>
    <w:rsid w:val="00416FCC"/>
    <w:rsid w:val="004207A8"/>
    <w:rsid w:val="00434B91"/>
    <w:rsid w:val="00434C13"/>
    <w:rsid w:val="004443EA"/>
    <w:rsid w:val="0045269F"/>
    <w:rsid w:val="00456120"/>
    <w:rsid w:val="0047645A"/>
    <w:rsid w:val="00476973"/>
    <w:rsid w:val="00491F74"/>
    <w:rsid w:val="00495F8C"/>
    <w:rsid w:val="004A44ED"/>
    <w:rsid w:val="004B45B1"/>
    <w:rsid w:val="004B4CA5"/>
    <w:rsid w:val="004C065C"/>
    <w:rsid w:val="004C462B"/>
    <w:rsid w:val="004C60A1"/>
    <w:rsid w:val="004D049E"/>
    <w:rsid w:val="004E5813"/>
    <w:rsid w:val="004F15E4"/>
    <w:rsid w:val="004F4740"/>
    <w:rsid w:val="00502684"/>
    <w:rsid w:val="0051504C"/>
    <w:rsid w:val="005178CB"/>
    <w:rsid w:val="00532258"/>
    <w:rsid w:val="00540388"/>
    <w:rsid w:val="0058008E"/>
    <w:rsid w:val="00581818"/>
    <w:rsid w:val="00585C82"/>
    <w:rsid w:val="00590B68"/>
    <w:rsid w:val="005A0A3C"/>
    <w:rsid w:val="005A14D2"/>
    <w:rsid w:val="005B5A72"/>
    <w:rsid w:val="005B79B8"/>
    <w:rsid w:val="005C63B6"/>
    <w:rsid w:val="005C6BD4"/>
    <w:rsid w:val="005D0563"/>
    <w:rsid w:val="005D2FAA"/>
    <w:rsid w:val="005E206E"/>
    <w:rsid w:val="005E412D"/>
    <w:rsid w:val="005F0292"/>
    <w:rsid w:val="005F60A0"/>
    <w:rsid w:val="00604341"/>
    <w:rsid w:val="00604527"/>
    <w:rsid w:val="00605B46"/>
    <w:rsid w:val="00614DE1"/>
    <w:rsid w:val="00632356"/>
    <w:rsid w:val="00640AF2"/>
    <w:rsid w:val="00642DEF"/>
    <w:rsid w:val="00643CD3"/>
    <w:rsid w:val="006460F5"/>
    <w:rsid w:val="006466A1"/>
    <w:rsid w:val="006539C6"/>
    <w:rsid w:val="00657726"/>
    <w:rsid w:val="0066064F"/>
    <w:rsid w:val="00664AA4"/>
    <w:rsid w:val="00671962"/>
    <w:rsid w:val="00671C9A"/>
    <w:rsid w:val="0067322C"/>
    <w:rsid w:val="006808E4"/>
    <w:rsid w:val="006816B8"/>
    <w:rsid w:val="0068467F"/>
    <w:rsid w:val="00684E15"/>
    <w:rsid w:val="00690640"/>
    <w:rsid w:val="00691572"/>
    <w:rsid w:val="006937EC"/>
    <w:rsid w:val="00693BA6"/>
    <w:rsid w:val="006B2C60"/>
    <w:rsid w:val="006B4511"/>
    <w:rsid w:val="006B5633"/>
    <w:rsid w:val="006C228F"/>
    <w:rsid w:val="006C77E8"/>
    <w:rsid w:val="006D23B9"/>
    <w:rsid w:val="006D491F"/>
    <w:rsid w:val="006D6365"/>
    <w:rsid w:val="006D7258"/>
    <w:rsid w:val="006D79E7"/>
    <w:rsid w:val="006F1087"/>
    <w:rsid w:val="006F2477"/>
    <w:rsid w:val="006F26B7"/>
    <w:rsid w:val="00700DF8"/>
    <w:rsid w:val="00707920"/>
    <w:rsid w:val="0071617B"/>
    <w:rsid w:val="00717094"/>
    <w:rsid w:val="00722895"/>
    <w:rsid w:val="00735147"/>
    <w:rsid w:val="00740611"/>
    <w:rsid w:val="00752684"/>
    <w:rsid w:val="00752C19"/>
    <w:rsid w:val="00753A47"/>
    <w:rsid w:val="00761280"/>
    <w:rsid w:val="00761F56"/>
    <w:rsid w:val="00765721"/>
    <w:rsid w:val="007664C1"/>
    <w:rsid w:val="0076674D"/>
    <w:rsid w:val="00771A68"/>
    <w:rsid w:val="007747AF"/>
    <w:rsid w:val="00775A05"/>
    <w:rsid w:val="00782D0E"/>
    <w:rsid w:val="00796950"/>
    <w:rsid w:val="007A083D"/>
    <w:rsid w:val="007A1AD0"/>
    <w:rsid w:val="007B08AA"/>
    <w:rsid w:val="007C1E08"/>
    <w:rsid w:val="007D09A8"/>
    <w:rsid w:val="007F1DB3"/>
    <w:rsid w:val="008051E9"/>
    <w:rsid w:val="00810A34"/>
    <w:rsid w:val="008127EF"/>
    <w:rsid w:val="0081292A"/>
    <w:rsid w:val="008209DD"/>
    <w:rsid w:val="00821BBC"/>
    <w:rsid w:val="00824FB4"/>
    <w:rsid w:val="00826202"/>
    <w:rsid w:val="0083142A"/>
    <w:rsid w:val="00833C8F"/>
    <w:rsid w:val="008405EC"/>
    <w:rsid w:val="008506F0"/>
    <w:rsid w:val="00850938"/>
    <w:rsid w:val="0085230A"/>
    <w:rsid w:val="00853656"/>
    <w:rsid w:val="00854281"/>
    <w:rsid w:val="00860797"/>
    <w:rsid w:val="00866D1E"/>
    <w:rsid w:val="0087129C"/>
    <w:rsid w:val="008739B8"/>
    <w:rsid w:val="00874652"/>
    <w:rsid w:val="00877D62"/>
    <w:rsid w:val="008855DE"/>
    <w:rsid w:val="008962D8"/>
    <w:rsid w:val="008A3353"/>
    <w:rsid w:val="008B3BC1"/>
    <w:rsid w:val="008B69EC"/>
    <w:rsid w:val="008B73D3"/>
    <w:rsid w:val="008C0844"/>
    <w:rsid w:val="008D0780"/>
    <w:rsid w:val="008D1060"/>
    <w:rsid w:val="008D143B"/>
    <w:rsid w:val="008D33D3"/>
    <w:rsid w:val="008D496D"/>
    <w:rsid w:val="008D6AEF"/>
    <w:rsid w:val="008D7D69"/>
    <w:rsid w:val="008F2E85"/>
    <w:rsid w:val="008F4775"/>
    <w:rsid w:val="00901676"/>
    <w:rsid w:val="00901953"/>
    <w:rsid w:val="00903BC7"/>
    <w:rsid w:val="009042AC"/>
    <w:rsid w:val="009078B5"/>
    <w:rsid w:val="0091502A"/>
    <w:rsid w:val="009174DC"/>
    <w:rsid w:val="0092435A"/>
    <w:rsid w:val="00931733"/>
    <w:rsid w:val="00936A4B"/>
    <w:rsid w:val="0094395F"/>
    <w:rsid w:val="00961606"/>
    <w:rsid w:val="00963D5D"/>
    <w:rsid w:val="00970396"/>
    <w:rsid w:val="00971E44"/>
    <w:rsid w:val="00973D06"/>
    <w:rsid w:val="00975745"/>
    <w:rsid w:val="00981B10"/>
    <w:rsid w:val="00986442"/>
    <w:rsid w:val="009908F6"/>
    <w:rsid w:val="00995A3D"/>
    <w:rsid w:val="00997821"/>
    <w:rsid w:val="009A31DE"/>
    <w:rsid w:val="009A3B95"/>
    <w:rsid w:val="009A4FC5"/>
    <w:rsid w:val="009A59DC"/>
    <w:rsid w:val="009B2853"/>
    <w:rsid w:val="009C1731"/>
    <w:rsid w:val="009C34BD"/>
    <w:rsid w:val="009D2CB4"/>
    <w:rsid w:val="009E1226"/>
    <w:rsid w:val="009E17D3"/>
    <w:rsid w:val="009E255E"/>
    <w:rsid w:val="009F119B"/>
    <w:rsid w:val="009F2962"/>
    <w:rsid w:val="00A02AB1"/>
    <w:rsid w:val="00A04510"/>
    <w:rsid w:val="00A05923"/>
    <w:rsid w:val="00A1222C"/>
    <w:rsid w:val="00A41A88"/>
    <w:rsid w:val="00A65ED6"/>
    <w:rsid w:val="00A65F13"/>
    <w:rsid w:val="00A662A5"/>
    <w:rsid w:val="00A72CA2"/>
    <w:rsid w:val="00A76BE5"/>
    <w:rsid w:val="00A92368"/>
    <w:rsid w:val="00A96D8E"/>
    <w:rsid w:val="00AA11DF"/>
    <w:rsid w:val="00AA1EC3"/>
    <w:rsid w:val="00AB06A0"/>
    <w:rsid w:val="00AC1D70"/>
    <w:rsid w:val="00AC4BBE"/>
    <w:rsid w:val="00AD112E"/>
    <w:rsid w:val="00AD61A9"/>
    <w:rsid w:val="00AE089D"/>
    <w:rsid w:val="00AE53CC"/>
    <w:rsid w:val="00AF2374"/>
    <w:rsid w:val="00AF7E17"/>
    <w:rsid w:val="00B005C5"/>
    <w:rsid w:val="00B03F2B"/>
    <w:rsid w:val="00B12F0E"/>
    <w:rsid w:val="00B15347"/>
    <w:rsid w:val="00B31B70"/>
    <w:rsid w:val="00B31DA7"/>
    <w:rsid w:val="00B418C5"/>
    <w:rsid w:val="00B44FFD"/>
    <w:rsid w:val="00B45492"/>
    <w:rsid w:val="00B64B9B"/>
    <w:rsid w:val="00B72285"/>
    <w:rsid w:val="00B7489F"/>
    <w:rsid w:val="00B757F2"/>
    <w:rsid w:val="00B82116"/>
    <w:rsid w:val="00B84045"/>
    <w:rsid w:val="00B849F3"/>
    <w:rsid w:val="00BA075A"/>
    <w:rsid w:val="00BB65FD"/>
    <w:rsid w:val="00BC2DB0"/>
    <w:rsid w:val="00BC6086"/>
    <w:rsid w:val="00BC7C60"/>
    <w:rsid w:val="00BD0437"/>
    <w:rsid w:val="00BD0494"/>
    <w:rsid w:val="00BD398F"/>
    <w:rsid w:val="00BE4557"/>
    <w:rsid w:val="00BE5DC5"/>
    <w:rsid w:val="00BE741A"/>
    <w:rsid w:val="00BF1587"/>
    <w:rsid w:val="00BF1676"/>
    <w:rsid w:val="00BF204E"/>
    <w:rsid w:val="00C01196"/>
    <w:rsid w:val="00C02DE3"/>
    <w:rsid w:val="00C04683"/>
    <w:rsid w:val="00C04DBA"/>
    <w:rsid w:val="00C11261"/>
    <w:rsid w:val="00C168F4"/>
    <w:rsid w:val="00C2211B"/>
    <w:rsid w:val="00C307EF"/>
    <w:rsid w:val="00C30DB0"/>
    <w:rsid w:val="00C3191F"/>
    <w:rsid w:val="00C345A7"/>
    <w:rsid w:val="00C35780"/>
    <w:rsid w:val="00C42BA7"/>
    <w:rsid w:val="00C52BDB"/>
    <w:rsid w:val="00C61B5F"/>
    <w:rsid w:val="00C7724A"/>
    <w:rsid w:val="00C77B00"/>
    <w:rsid w:val="00C81119"/>
    <w:rsid w:val="00C824A7"/>
    <w:rsid w:val="00C8463D"/>
    <w:rsid w:val="00C91597"/>
    <w:rsid w:val="00C95413"/>
    <w:rsid w:val="00C95A55"/>
    <w:rsid w:val="00CA0326"/>
    <w:rsid w:val="00CA2D21"/>
    <w:rsid w:val="00CA526D"/>
    <w:rsid w:val="00CA7B4B"/>
    <w:rsid w:val="00CA7BA8"/>
    <w:rsid w:val="00CB3186"/>
    <w:rsid w:val="00CB5B7A"/>
    <w:rsid w:val="00CC1376"/>
    <w:rsid w:val="00CC5351"/>
    <w:rsid w:val="00CC79AD"/>
    <w:rsid w:val="00CE0B33"/>
    <w:rsid w:val="00CE2F54"/>
    <w:rsid w:val="00CE3A64"/>
    <w:rsid w:val="00CF0CA9"/>
    <w:rsid w:val="00CF3D9A"/>
    <w:rsid w:val="00CF4C02"/>
    <w:rsid w:val="00CF631F"/>
    <w:rsid w:val="00CF6E0C"/>
    <w:rsid w:val="00D01A4C"/>
    <w:rsid w:val="00D0567D"/>
    <w:rsid w:val="00D128B0"/>
    <w:rsid w:val="00D1357E"/>
    <w:rsid w:val="00D25AEA"/>
    <w:rsid w:val="00D27F00"/>
    <w:rsid w:val="00D30621"/>
    <w:rsid w:val="00D41EDF"/>
    <w:rsid w:val="00D5756D"/>
    <w:rsid w:val="00D5799A"/>
    <w:rsid w:val="00D62948"/>
    <w:rsid w:val="00D67142"/>
    <w:rsid w:val="00D751FF"/>
    <w:rsid w:val="00D84C5A"/>
    <w:rsid w:val="00D860DA"/>
    <w:rsid w:val="00D87489"/>
    <w:rsid w:val="00D905BD"/>
    <w:rsid w:val="00DA2973"/>
    <w:rsid w:val="00DA3849"/>
    <w:rsid w:val="00DA3B5A"/>
    <w:rsid w:val="00DB05BA"/>
    <w:rsid w:val="00DB14F2"/>
    <w:rsid w:val="00DC4E1C"/>
    <w:rsid w:val="00DD2367"/>
    <w:rsid w:val="00DF511C"/>
    <w:rsid w:val="00DF61D5"/>
    <w:rsid w:val="00E00DA3"/>
    <w:rsid w:val="00E03078"/>
    <w:rsid w:val="00E16919"/>
    <w:rsid w:val="00E32D5C"/>
    <w:rsid w:val="00E32E5A"/>
    <w:rsid w:val="00E3642A"/>
    <w:rsid w:val="00E37A82"/>
    <w:rsid w:val="00E445A0"/>
    <w:rsid w:val="00E561DC"/>
    <w:rsid w:val="00E56890"/>
    <w:rsid w:val="00E63D68"/>
    <w:rsid w:val="00E641DA"/>
    <w:rsid w:val="00E6496C"/>
    <w:rsid w:val="00E65D54"/>
    <w:rsid w:val="00E735DC"/>
    <w:rsid w:val="00E80B20"/>
    <w:rsid w:val="00E90B2E"/>
    <w:rsid w:val="00E93D9D"/>
    <w:rsid w:val="00EA4EEC"/>
    <w:rsid w:val="00EA66DD"/>
    <w:rsid w:val="00EA6D41"/>
    <w:rsid w:val="00EA71B8"/>
    <w:rsid w:val="00EB7530"/>
    <w:rsid w:val="00EC0DEC"/>
    <w:rsid w:val="00EC794E"/>
    <w:rsid w:val="00EE0801"/>
    <w:rsid w:val="00EF3D34"/>
    <w:rsid w:val="00F03F90"/>
    <w:rsid w:val="00F04148"/>
    <w:rsid w:val="00F13888"/>
    <w:rsid w:val="00F157AD"/>
    <w:rsid w:val="00F17207"/>
    <w:rsid w:val="00F20E8C"/>
    <w:rsid w:val="00F22527"/>
    <w:rsid w:val="00F24A47"/>
    <w:rsid w:val="00F27D5E"/>
    <w:rsid w:val="00F303FE"/>
    <w:rsid w:val="00F32C42"/>
    <w:rsid w:val="00F37ABC"/>
    <w:rsid w:val="00F42790"/>
    <w:rsid w:val="00F42B5A"/>
    <w:rsid w:val="00F45915"/>
    <w:rsid w:val="00F473F4"/>
    <w:rsid w:val="00F541BD"/>
    <w:rsid w:val="00F633BF"/>
    <w:rsid w:val="00F638E1"/>
    <w:rsid w:val="00F6469F"/>
    <w:rsid w:val="00F65588"/>
    <w:rsid w:val="00F71A51"/>
    <w:rsid w:val="00F73C78"/>
    <w:rsid w:val="00F76F74"/>
    <w:rsid w:val="00F83C92"/>
    <w:rsid w:val="00F85B2C"/>
    <w:rsid w:val="00F866AC"/>
    <w:rsid w:val="00F90EDD"/>
    <w:rsid w:val="00F92227"/>
    <w:rsid w:val="00F92B84"/>
    <w:rsid w:val="00F96F13"/>
    <w:rsid w:val="00FB2829"/>
    <w:rsid w:val="00FC3F87"/>
    <w:rsid w:val="00FD146F"/>
    <w:rsid w:val="00FD3680"/>
    <w:rsid w:val="00FD4279"/>
    <w:rsid w:val="00FE17D0"/>
    <w:rsid w:val="00FE24FD"/>
    <w:rsid w:val="00FE6E43"/>
    <w:rsid w:val="00FE7D7E"/>
    <w:rsid w:val="00FF0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0DCE"/>
  </w:style>
  <w:style w:type="paragraph" w:styleId="Nadpis1">
    <w:name w:val="heading 1"/>
    <w:basedOn w:val="Normlny"/>
    <w:next w:val="Normlny"/>
    <w:link w:val="Nadpis1Char"/>
    <w:uiPriority w:val="9"/>
    <w:qFormat/>
    <w:rsid w:val="00F633BF"/>
    <w:pPr>
      <w:keepNext/>
      <w:keepLines/>
      <w:numPr>
        <w:numId w:val="35"/>
      </w:numPr>
      <w:spacing w:before="480" w:after="0"/>
      <w:outlineLvl w:val="0"/>
    </w:pPr>
    <w:rPr>
      <w:rFonts w:ascii="Times New Roman" w:eastAsiaTheme="majorEastAsia" w:hAnsi="Times New Roman" w:cstheme="majorBidi"/>
      <w:b/>
      <w:bCs/>
      <w:caps/>
      <w:sz w:val="28"/>
      <w:szCs w:val="28"/>
    </w:rPr>
  </w:style>
  <w:style w:type="paragraph" w:styleId="Nadpis2">
    <w:name w:val="heading 2"/>
    <w:basedOn w:val="Normlny"/>
    <w:next w:val="Normlny"/>
    <w:link w:val="Nadpis2Char"/>
    <w:uiPriority w:val="9"/>
    <w:unhideWhenUsed/>
    <w:qFormat/>
    <w:rsid w:val="00F633BF"/>
    <w:pPr>
      <w:keepNext/>
      <w:keepLines/>
      <w:numPr>
        <w:ilvl w:val="1"/>
        <w:numId w:val="35"/>
      </w:numPr>
      <w:spacing w:before="200" w:after="0"/>
      <w:outlineLvl w:val="1"/>
    </w:pPr>
    <w:rPr>
      <w:rFonts w:ascii="Times New Roman" w:eastAsiaTheme="majorEastAsia" w:hAnsi="Times New Roman" w:cstheme="majorBidi"/>
      <w:b/>
      <w:bCs/>
      <w:sz w:val="28"/>
      <w:szCs w:val="26"/>
    </w:rPr>
  </w:style>
  <w:style w:type="paragraph" w:styleId="Nadpis3">
    <w:name w:val="heading 3"/>
    <w:basedOn w:val="Normlny"/>
    <w:next w:val="Normlny"/>
    <w:link w:val="Nadpis3Char"/>
    <w:uiPriority w:val="9"/>
    <w:unhideWhenUsed/>
    <w:qFormat/>
    <w:rsid w:val="00F633BF"/>
    <w:pPr>
      <w:keepNext/>
      <w:keepLines/>
      <w:numPr>
        <w:ilvl w:val="2"/>
        <w:numId w:val="35"/>
      </w:numPr>
      <w:spacing w:before="200" w:after="0"/>
      <w:ind w:left="720"/>
      <w:outlineLvl w:val="2"/>
    </w:pPr>
    <w:rPr>
      <w:rFonts w:ascii="Times New Roman" w:eastAsiaTheme="majorEastAsia" w:hAnsi="Times New Roman" w:cstheme="majorBidi"/>
      <w:b/>
      <w:bCs/>
      <w:sz w:val="26"/>
    </w:rPr>
  </w:style>
  <w:style w:type="paragraph" w:styleId="Nadpis4">
    <w:name w:val="heading 4"/>
    <w:basedOn w:val="Normlny"/>
    <w:next w:val="Normlny"/>
    <w:link w:val="Nadpis4Char"/>
    <w:uiPriority w:val="9"/>
    <w:semiHidden/>
    <w:unhideWhenUsed/>
    <w:qFormat/>
    <w:rsid w:val="00F633BF"/>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F633BF"/>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F633BF"/>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F633BF"/>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F633BF"/>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F633BF"/>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192B"/>
    <w:pPr>
      <w:ind w:left="720"/>
      <w:contextualSpacing/>
    </w:pPr>
  </w:style>
  <w:style w:type="paragraph" w:styleId="Textbubliny">
    <w:name w:val="Balloon Text"/>
    <w:basedOn w:val="Normlny"/>
    <w:link w:val="TextbublinyChar"/>
    <w:uiPriority w:val="99"/>
    <w:semiHidden/>
    <w:unhideWhenUsed/>
    <w:rsid w:val="009439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395F"/>
    <w:rPr>
      <w:rFonts w:ascii="Tahoma" w:hAnsi="Tahoma" w:cs="Tahoma"/>
      <w:sz w:val="16"/>
      <w:szCs w:val="16"/>
    </w:rPr>
  </w:style>
  <w:style w:type="table" w:styleId="Mriekatabuky">
    <w:name w:val="Table Grid"/>
    <w:basedOn w:val="Normlnatabuka"/>
    <w:uiPriority w:val="59"/>
    <w:rsid w:val="00943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12F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F0E"/>
  </w:style>
  <w:style w:type="paragraph" w:styleId="Pta">
    <w:name w:val="footer"/>
    <w:basedOn w:val="Normlny"/>
    <w:link w:val="PtaChar"/>
    <w:uiPriority w:val="99"/>
    <w:unhideWhenUsed/>
    <w:rsid w:val="00B12F0E"/>
    <w:pPr>
      <w:tabs>
        <w:tab w:val="center" w:pos="4536"/>
        <w:tab w:val="right" w:pos="9072"/>
      </w:tabs>
      <w:spacing w:after="0" w:line="240" w:lineRule="auto"/>
    </w:pPr>
  </w:style>
  <w:style w:type="character" w:customStyle="1" w:styleId="PtaChar">
    <w:name w:val="Päta Char"/>
    <w:basedOn w:val="Predvolenpsmoodseku"/>
    <w:link w:val="Pta"/>
    <w:uiPriority w:val="99"/>
    <w:rsid w:val="00B12F0E"/>
  </w:style>
  <w:style w:type="character" w:styleId="Hypertextovprepojenie">
    <w:name w:val="Hyperlink"/>
    <w:uiPriority w:val="99"/>
    <w:rsid w:val="00F76F74"/>
    <w:rPr>
      <w:color w:val="0000FF"/>
      <w:u w:val="single"/>
    </w:rPr>
  </w:style>
  <w:style w:type="paragraph" w:styleId="Obyajntext">
    <w:name w:val="Plain Text"/>
    <w:basedOn w:val="Normlny"/>
    <w:link w:val="ObyajntextChar"/>
    <w:uiPriority w:val="99"/>
    <w:unhideWhenUsed/>
    <w:rsid w:val="00F76F74"/>
    <w:pPr>
      <w:spacing w:after="0" w:line="240" w:lineRule="auto"/>
    </w:pPr>
    <w:rPr>
      <w:rFonts w:ascii="Courier New" w:eastAsia="Calibri" w:hAnsi="Courier New" w:cs="Courier New"/>
      <w:sz w:val="20"/>
      <w:szCs w:val="20"/>
      <w:lang w:eastAsia="sk-SK"/>
    </w:rPr>
  </w:style>
  <w:style w:type="character" w:customStyle="1" w:styleId="ObyajntextChar">
    <w:name w:val="Obyčajný text Char"/>
    <w:basedOn w:val="Predvolenpsmoodseku"/>
    <w:link w:val="Obyajntext"/>
    <w:uiPriority w:val="99"/>
    <w:rsid w:val="00F76F74"/>
    <w:rPr>
      <w:rFonts w:ascii="Courier New" w:eastAsia="Calibri" w:hAnsi="Courier New" w:cs="Courier New"/>
      <w:sz w:val="20"/>
      <w:szCs w:val="20"/>
      <w:lang w:eastAsia="sk-SK"/>
    </w:rPr>
  </w:style>
  <w:style w:type="paragraph" w:customStyle="1" w:styleId="odsek">
    <w:name w:val="odsek"/>
    <w:basedOn w:val="Normlny"/>
    <w:link w:val="odsekChar"/>
    <w:qFormat/>
    <w:rsid w:val="00E445A0"/>
    <w:pPr>
      <w:keepNext/>
      <w:spacing w:after="0" w:line="240" w:lineRule="auto"/>
      <w:ind w:firstLine="709"/>
      <w:jc w:val="both"/>
    </w:pPr>
    <w:rPr>
      <w:rFonts w:ascii="Times New Roman" w:eastAsia="Calibri" w:hAnsi="Times New Roman" w:cs="Times New Roman"/>
      <w:sz w:val="24"/>
      <w:szCs w:val="24"/>
      <w:lang w:eastAsia="sk-SK"/>
    </w:rPr>
  </w:style>
  <w:style w:type="character" w:customStyle="1" w:styleId="odsekChar">
    <w:name w:val="odsek Char"/>
    <w:link w:val="odsek"/>
    <w:locked/>
    <w:rsid w:val="00E445A0"/>
    <w:rPr>
      <w:rFonts w:ascii="Times New Roman" w:eastAsia="Calibri" w:hAnsi="Times New Roman" w:cs="Times New Roman"/>
      <w:sz w:val="24"/>
      <w:szCs w:val="24"/>
      <w:lang w:eastAsia="sk-SK"/>
    </w:rPr>
  </w:style>
  <w:style w:type="character" w:styleId="Odkaznakomentr">
    <w:name w:val="annotation reference"/>
    <w:basedOn w:val="Predvolenpsmoodseku"/>
    <w:uiPriority w:val="99"/>
    <w:semiHidden/>
    <w:unhideWhenUsed/>
    <w:rsid w:val="00722895"/>
    <w:rPr>
      <w:sz w:val="16"/>
      <w:szCs w:val="16"/>
    </w:rPr>
  </w:style>
  <w:style w:type="paragraph" w:styleId="Textkomentra">
    <w:name w:val="annotation text"/>
    <w:basedOn w:val="Normlny"/>
    <w:link w:val="TextkomentraChar"/>
    <w:uiPriority w:val="99"/>
    <w:semiHidden/>
    <w:unhideWhenUsed/>
    <w:rsid w:val="00722895"/>
    <w:pPr>
      <w:spacing w:line="240" w:lineRule="auto"/>
    </w:pPr>
    <w:rPr>
      <w:sz w:val="20"/>
      <w:szCs w:val="20"/>
    </w:rPr>
  </w:style>
  <w:style w:type="character" w:customStyle="1" w:styleId="TextkomentraChar">
    <w:name w:val="Text komentára Char"/>
    <w:basedOn w:val="Predvolenpsmoodseku"/>
    <w:link w:val="Textkomentra"/>
    <w:uiPriority w:val="99"/>
    <w:semiHidden/>
    <w:rsid w:val="00722895"/>
    <w:rPr>
      <w:sz w:val="20"/>
      <w:szCs w:val="20"/>
    </w:rPr>
  </w:style>
  <w:style w:type="character" w:customStyle="1" w:styleId="Nadpis1Char">
    <w:name w:val="Nadpis 1 Char"/>
    <w:basedOn w:val="Predvolenpsmoodseku"/>
    <w:link w:val="Nadpis1"/>
    <w:uiPriority w:val="9"/>
    <w:rsid w:val="00F633BF"/>
    <w:rPr>
      <w:rFonts w:ascii="Times New Roman" w:eastAsiaTheme="majorEastAsia" w:hAnsi="Times New Roman" w:cstheme="majorBidi"/>
      <w:b/>
      <w:bCs/>
      <w:caps/>
      <w:sz w:val="28"/>
      <w:szCs w:val="28"/>
    </w:rPr>
  </w:style>
  <w:style w:type="paragraph" w:styleId="Hlavikaobsahu">
    <w:name w:val="TOC Heading"/>
    <w:basedOn w:val="Nadpis1"/>
    <w:next w:val="Normlny"/>
    <w:uiPriority w:val="39"/>
    <w:semiHidden/>
    <w:unhideWhenUsed/>
    <w:qFormat/>
    <w:rsid w:val="00997821"/>
    <w:pPr>
      <w:outlineLvl w:val="9"/>
    </w:pPr>
    <w:rPr>
      <w:lang w:eastAsia="sk-SK"/>
    </w:rPr>
  </w:style>
  <w:style w:type="character" w:customStyle="1" w:styleId="Nadpis2Char">
    <w:name w:val="Nadpis 2 Char"/>
    <w:basedOn w:val="Predvolenpsmoodseku"/>
    <w:link w:val="Nadpis2"/>
    <w:uiPriority w:val="9"/>
    <w:rsid w:val="00F633BF"/>
    <w:rPr>
      <w:rFonts w:ascii="Times New Roman" w:eastAsiaTheme="majorEastAsia" w:hAnsi="Times New Roman" w:cstheme="majorBidi"/>
      <w:b/>
      <w:bCs/>
      <w:sz w:val="28"/>
      <w:szCs w:val="26"/>
    </w:rPr>
  </w:style>
  <w:style w:type="character" w:customStyle="1" w:styleId="Nadpis3Char">
    <w:name w:val="Nadpis 3 Char"/>
    <w:basedOn w:val="Predvolenpsmoodseku"/>
    <w:link w:val="Nadpis3"/>
    <w:uiPriority w:val="9"/>
    <w:rsid w:val="00F633BF"/>
    <w:rPr>
      <w:rFonts w:ascii="Times New Roman" w:eastAsiaTheme="majorEastAsia" w:hAnsi="Times New Roman" w:cstheme="majorBidi"/>
      <w:b/>
      <w:bCs/>
      <w:sz w:val="26"/>
    </w:rPr>
  </w:style>
  <w:style w:type="character" w:customStyle="1" w:styleId="Nadpis4Char">
    <w:name w:val="Nadpis 4 Char"/>
    <w:basedOn w:val="Predvolenpsmoodseku"/>
    <w:link w:val="Nadpis4"/>
    <w:uiPriority w:val="9"/>
    <w:semiHidden/>
    <w:rsid w:val="00F633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F633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F633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F633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F633B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F633BF"/>
    <w:rPr>
      <w:rFonts w:asciiTheme="majorHAnsi" w:eastAsiaTheme="majorEastAsia" w:hAnsiTheme="majorHAnsi" w:cstheme="majorBidi"/>
      <w:i/>
      <w:iCs/>
      <w:color w:val="404040" w:themeColor="text1" w:themeTint="BF"/>
      <w:sz w:val="20"/>
      <w:szCs w:val="20"/>
    </w:rPr>
  </w:style>
  <w:style w:type="paragraph" w:styleId="Obsah1">
    <w:name w:val="toc 1"/>
    <w:basedOn w:val="Normlny"/>
    <w:next w:val="Normlny"/>
    <w:autoRedefine/>
    <w:uiPriority w:val="39"/>
    <w:unhideWhenUsed/>
    <w:rsid w:val="00C3191F"/>
    <w:pPr>
      <w:tabs>
        <w:tab w:val="left" w:pos="440"/>
        <w:tab w:val="right" w:leader="dot" w:pos="9062"/>
      </w:tabs>
      <w:spacing w:after="0" w:line="300" w:lineRule="auto"/>
    </w:pPr>
    <w:rPr>
      <w:rFonts w:ascii="Times New Roman" w:hAnsi="Times New Roman" w:cs="Times New Roman"/>
      <w:b/>
      <w:caps/>
      <w:noProof/>
      <w:sz w:val="20"/>
      <w:szCs w:val="20"/>
    </w:rPr>
  </w:style>
  <w:style w:type="paragraph" w:styleId="Obsah2">
    <w:name w:val="toc 2"/>
    <w:basedOn w:val="Normlny"/>
    <w:next w:val="Normlny"/>
    <w:autoRedefine/>
    <w:uiPriority w:val="39"/>
    <w:unhideWhenUsed/>
    <w:rsid w:val="00C345A7"/>
    <w:pPr>
      <w:spacing w:after="100"/>
      <w:ind w:left="220"/>
    </w:pPr>
  </w:style>
  <w:style w:type="paragraph" w:styleId="Obsah3">
    <w:name w:val="toc 3"/>
    <w:basedOn w:val="Normlny"/>
    <w:next w:val="Normlny"/>
    <w:autoRedefine/>
    <w:uiPriority w:val="39"/>
    <w:unhideWhenUsed/>
    <w:rsid w:val="00C345A7"/>
    <w:pPr>
      <w:tabs>
        <w:tab w:val="left" w:pos="1320"/>
        <w:tab w:val="right" w:leader="dot" w:pos="9062"/>
      </w:tabs>
      <w:spacing w:after="100"/>
      <w:ind w:left="440"/>
    </w:pPr>
    <w:rPr>
      <w:rFonts w:ascii="Times New Roman" w:hAnsi="Times New Roman" w:cs="Times New Roman"/>
      <w:i/>
      <w:noProof/>
      <w:sz w:val="20"/>
      <w:szCs w:val="20"/>
    </w:rPr>
  </w:style>
  <w:style w:type="paragraph" w:styleId="Textpoznmkypodiarou">
    <w:name w:val="footnote text"/>
    <w:basedOn w:val="Normlny"/>
    <w:link w:val="TextpoznmkypodiarouChar"/>
    <w:uiPriority w:val="99"/>
    <w:semiHidden/>
    <w:unhideWhenUsed/>
    <w:rsid w:val="00A02AB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02AB1"/>
    <w:rPr>
      <w:sz w:val="20"/>
      <w:szCs w:val="20"/>
    </w:rPr>
  </w:style>
  <w:style w:type="character" w:styleId="Odkaznapoznmkupodiarou">
    <w:name w:val="footnote reference"/>
    <w:basedOn w:val="Predvolenpsmoodseku"/>
    <w:uiPriority w:val="99"/>
    <w:semiHidden/>
    <w:unhideWhenUsed/>
    <w:rsid w:val="00A02AB1"/>
    <w:rPr>
      <w:vertAlign w:val="superscript"/>
    </w:rPr>
  </w:style>
  <w:style w:type="paragraph" w:customStyle="1" w:styleId="Point0number">
    <w:name w:val="Point 0 (number)"/>
    <w:basedOn w:val="Normlny"/>
    <w:rsid w:val="0068467F"/>
    <w:pPr>
      <w:numPr>
        <w:numId w:val="43"/>
      </w:numPr>
      <w:spacing w:before="120" w:after="120" w:line="240" w:lineRule="auto"/>
      <w:jc w:val="both"/>
    </w:pPr>
    <w:rPr>
      <w:rFonts w:ascii="Times New Roman" w:hAnsi="Times New Roman" w:cs="Times New Roman"/>
      <w:sz w:val="24"/>
      <w:szCs w:val="24"/>
      <w:lang w:eastAsia="sk-SK"/>
    </w:rPr>
  </w:style>
  <w:style w:type="paragraph" w:customStyle="1" w:styleId="Point1number">
    <w:name w:val="Point 1 (number)"/>
    <w:basedOn w:val="Normlny"/>
    <w:rsid w:val="0068467F"/>
    <w:pPr>
      <w:numPr>
        <w:ilvl w:val="2"/>
        <w:numId w:val="43"/>
      </w:numPr>
      <w:spacing w:before="120" w:after="120" w:line="240" w:lineRule="auto"/>
      <w:jc w:val="both"/>
    </w:pPr>
    <w:rPr>
      <w:rFonts w:ascii="Times New Roman" w:hAnsi="Times New Roman" w:cs="Times New Roman"/>
      <w:sz w:val="24"/>
      <w:szCs w:val="24"/>
      <w:lang w:eastAsia="sk-SK"/>
    </w:rPr>
  </w:style>
  <w:style w:type="paragraph" w:customStyle="1" w:styleId="Point2number">
    <w:name w:val="Point 2 (number)"/>
    <w:basedOn w:val="Normlny"/>
    <w:rsid w:val="0068467F"/>
    <w:pPr>
      <w:numPr>
        <w:ilvl w:val="4"/>
        <w:numId w:val="43"/>
      </w:numPr>
      <w:spacing w:before="120" w:after="120" w:line="240" w:lineRule="auto"/>
      <w:jc w:val="both"/>
    </w:pPr>
    <w:rPr>
      <w:rFonts w:ascii="Times New Roman" w:hAnsi="Times New Roman" w:cs="Times New Roman"/>
      <w:sz w:val="24"/>
      <w:szCs w:val="24"/>
      <w:lang w:eastAsia="sk-SK"/>
    </w:rPr>
  </w:style>
  <w:style w:type="paragraph" w:customStyle="1" w:styleId="Point3number">
    <w:name w:val="Point 3 (number)"/>
    <w:basedOn w:val="Normlny"/>
    <w:rsid w:val="0068467F"/>
    <w:pPr>
      <w:numPr>
        <w:ilvl w:val="6"/>
        <w:numId w:val="43"/>
      </w:numPr>
      <w:spacing w:before="120" w:after="120" w:line="240" w:lineRule="auto"/>
      <w:jc w:val="both"/>
    </w:pPr>
    <w:rPr>
      <w:rFonts w:ascii="Times New Roman" w:hAnsi="Times New Roman" w:cs="Times New Roman"/>
      <w:sz w:val="24"/>
      <w:szCs w:val="24"/>
      <w:lang w:eastAsia="sk-SK"/>
    </w:rPr>
  </w:style>
  <w:style w:type="paragraph" w:customStyle="1" w:styleId="Point0letter">
    <w:name w:val="Point 0 (letter)"/>
    <w:basedOn w:val="Normlny"/>
    <w:rsid w:val="0068467F"/>
    <w:pPr>
      <w:numPr>
        <w:ilvl w:val="1"/>
        <w:numId w:val="43"/>
      </w:numPr>
      <w:spacing w:before="120" w:after="120" w:line="240" w:lineRule="auto"/>
      <w:jc w:val="both"/>
    </w:pPr>
    <w:rPr>
      <w:rFonts w:ascii="Times New Roman" w:hAnsi="Times New Roman" w:cs="Times New Roman"/>
      <w:sz w:val="24"/>
      <w:szCs w:val="24"/>
      <w:lang w:eastAsia="sk-SK"/>
    </w:rPr>
  </w:style>
  <w:style w:type="paragraph" w:customStyle="1" w:styleId="Point1letter">
    <w:name w:val="Point 1 (letter)"/>
    <w:basedOn w:val="Normlny"/>
    <w:rsid w:val="0068467F"/>
    <w:pPr>
      <w:numPr>
        <w:ilvl w:val="3"/>
        <w:numId w:val="43"/>
      </w:numPr>
      <w:spacing w:before="120" w:after="120" w:line="240" w:lineRule="auto"/>
      <w:jc w:val="both"/>
    </w:pPr>
    <w:rPr>
      <w:rFonts w:ascii="Times New Roman" w:hAnsi="Times New Roman" w:cs="Times New Roman"/>
      <w:sz w:val="24"/>
      <w:szCs w:val="24"/>
      <w:lang w:eastAsia="sk-SK"/>
    </w:rPr>
  </w:style>
  <w:style w:type="paragraph" w:customStyle="1" w:styleId="Point2letter">
    <w:name w:val="Point 2 (letter)"/>
    <w:basedOn w:val="Normlny"/>
    <w:rsid w:val="0068467F"/>
    <w:pPr>
      <w:numPr>
        <w:ilvl w:val="5"/>
        <w:numId w:val="43"/>
      </w:numPr>
      <w:spacing w:before="120" w:after="120" w:line="240" w:lineRule="auto"/>
      <w:jc w:val="both"/>
    </w:pPr>
    <w:rPr>
      <w:rFonts w:ascii="Times New Roman" w:hAnsi="Times New Roman" w:cs="Times New Roman"/>
      <w:sz w:val="24"/>
      <w:szCs w:val="24"/>
      <w:lang w:eastAsia="sk-SK"/>
    </w:rPr>
  </w:style>
  <w:style w:type="paragraph" w:customStyle="1" w:styleId="Point3letter">
    <w:name w:val="Point 3 (letter)"/>
    <w:basedOn w:val="Normlny"/>
    <w:rsid w:val="0068467F"/>
    <w:pPr>
      <w:numPr>
        <w:ilvl w:val="7"/>
        <w:numId w:val="43"/>
      </w:numPr>
      <w:spacing w:before="120" w:after="120" w:line="240" w:lineRule="auto"/>
      <w:jc w:val="both"/>
    </w:pPr>
    <w:rPr>
      <w:rFonts w:ascii="Times New Roman" w:hAnsi="Times New Roman" w:cs="Times New Roman"/>
      <w:sz w:val="24"/>
      <w:szCs w:val="24"/>
      <w:lang w:eastAsia="sk-SK"/>
    </w:rPr>
  </w:style>
  <w:style w:type="paragraph" w:customStyle="1" w:styleId="Point4letter">
    <w:name w:val="Point 4 (letter)"/>
    <w:basedOn w:val="Normlny"/>
    <w:rsid w:val="0068467F"/>
    <w:pPr>
      <w:numPr>
        <w:ilvl w:val="8"/>
        <w:numId w:val="43"/>
      </w:numPr>
      <w:spacing w:before="120" w:after="120" w:line="240" w:lineRule="auto"/>
      <w:jc w:val="both"/>
    </w:pPr>
    <w:rPr>
      <w:rFonts w:ascii="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0DCE"/>
  </w:style>
  <w:style w:type="paragraph" w:styleId="Nadpis1">
    <w:name w:val="heading 1"/>
    <w:basedOn w:val="Normlny"/>
    <w:next w:val="Normlny"/>
    <w:link w:val="Nadpis1Char"/>
    <w:uiPriority w:val="9"/>
    <w:qFormat/>
    <w:rsid w:val="00F633BF"/>
    <w:pPr>
      <w:keepNext/>
      <w:keepLines/>
      <w:numPr>
        <w:numId w:val="35"/>
      </w:numPr>
      <w:spacing w:before="480" w:after="0"/>
      <w:outlineLvl w:val="0"/>
    </w:pPr>
    <w:rPr>
      <w:rFonts w:ascii="Times New Roman" w:eastAsiaTheme="majorEastAsia" w:hAnsi="Times New Roman" w:cstheme="majorBidi"/>
      <w:b/>
      <w:bCs/>
      <w:caps/>
      <w:sz w:val="28"/>
      <w:szCs w:val="28"/>
    </w:rPr>
  </w:style>
  <w:style w:type="paragraph" w:styleId="Nadpis2">
    <w:name w:val="heading 2"/>
    <w:basedOn w:val="Normlny"/>
    <w:next w:val="Normlny"/>
    <w:link w:val="Nadpis2Char"/>
    <w:uiPriority w:val="9"/>
    <w:unhideWhenUsed/>
    <w:qFormat/>
    <w:rsid w:val="00F633BF"/>
    <w:pPr>
      <w:keepNext/>
      <w:keepLines/>
      <w:numPr>
        <w:ilvl w:val="1"/>
        <w:numId w:val="35"/>
      </w:numPr>
      <w:spacing w:before="200" w:after="0"/>
      <w:outlineLvl w:val="1"/>
    </w:pPr>
    <w:rPr>
      <w:rFonts w:ascii="Times New Roman" w:eastAsiaTheme="majorEastAsia" w:hAnsi="Times New Roman" w:cstheme="majorBidi"/>
      <w:b/>
      <w:bCs/>
      <w:sz w:val="28"/>
      <w:szCs w:val="26"/>
    </w:rPr>
  </w:style>
  <w:style w:type="paragraph" w:styleId="Nadpis3">
    <w:name w:val="heading 3"/>
    <w:basedOn w:val="Normlny"/>
    <w:next w:val="Normlny"/>
    <w:link w:val="Nadpis3Char"/>
    <w:uiPriority w:val="9"/>
    <w:unhideWhenUsed/>
    <w:qFormat/>
    <w:rsid w:val="00F633BF"/>
    <w:pPr>
      <w:keepNext/>
      <w:keepLines/>
      <w:numPr>
        <w:ilvl w:val="2"/>
        <w:numId w:val="35"/>
      </w:numPr>
      <w:spacing w:before="200" w:after="0"/>
      <w:ind w:left="720"/>
      <w:outlineLvl w:val="2"/>
    </w:pPr>
    <w:rPr>
      <w:rFonts w:ascii="Times New Roman" w:eastAsiaTheme="majorEastAsia" w:hAnsi="Times New Roman" w:cstheme="majorBidi"/>
      <w:b/>
      <w:bCs/>
      <w:sz w:val="26"/>
    </w:rPr>
  </w:style>
  <w:style w:type="paragraph" w:styleId="Nadpis4">
    <w:name w:val="heading 4"/>
    <w:basedOn w:val="Normlny"/>
    <w:next w:val="Normlny"/>
    <w:link w:val="Nadpis4Char"/>
    <w:uiPriority w:val="9"/>
    <w:semiHidden/>
    <w:unhideWhenUsed/>
    <w:qFormat/>
    <w:rsid w:val="00F633BF"/>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F633BF"/>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F633BF"/>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F633BF"/>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F633BF"/>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F633BF"/>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192B"/>
    <w:pPr>
      <w:ind w:left="720"/>
      <w:contextualSpacing/>
    </w:pPr>
  </w:style>
  <w:style w:type="paragraph" w:styleId="Textbubliny">
    <w:name w:val="Balloon Text"/>
    <w:basedOn w:val="Normlny"/>
    <w:link w:val="TextbublinyChar"/>
    <w:uiPriority w:val="99"/>
    <w:semiHidden/>
    <w:unhideWhenUsed/>
    <w:rsid w:val="009439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395F"/>
    <w:rPr>
      <w:rFonts w:ascii="Tahoma" w:hAnsi="Tahoma" w:cs="Tahoma"/>
      <w:sz w:val="16"/>
      <w:szCs w:val="16"/>
    </w:rPr>
  </w:style>
  <w:style w:type="table" w:styleId="Mriekatabuky">
    <w:name w:val="Table Grid"/>
    <w:basedOn w:val="Normlnatabuka"/>
    <w:uiPriority w:val="59"/>
    <w:rsid w:val="00943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12F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F0E"/>
  </w:style>
  <w:style w:type="paragraph" w:styleId="Pta">
    <w:name w:val="footer"/>
    <w:basedOn w:val="Normlny"/>
    <w:link w:val="PtaChar"/>
    <w:uiPriority w:val="99"/>
    <w:unhideWhenUsed/>
    <w:rsid w:val="00B12F0E"/>
    <w:pPr>
      <w:tabs>
        <w:tab w:val="center" w:pos="4536"/>
        <w:tab w:val="right" w:pos="9072"/>
      </w:tabs>
      <w:spacing w:after="0" w:line="240" w:lineRule="auto"/>
    </w:pPr>
  </w:style>
  <w:style w:type="character" w:customStyle="1" w:styleId="PtaChar">
    <w:name w:val="Päta Char"/>
    <w:basedOn w:val="Predvolenpsmoodseku"/>
    <w:link w:val="Pta"/>
    <w:uiPriority w:val="99"/>
    <w:rsid w:val="00B12F0E"/>
  </w:style>
  <w:style w:type="character" w:styleId="Hypertextovprepojenie">
    <w:name w:val="Hyperlink"/>
    <w:uiPriority w:val="99"/>
    <w:rsid w:val="00F76F74"/>
    <w:rPr>
      <w:color w:val="0000FF"/>
      <w:u w:val="single"/>
    </w:rPr>
  </w:style>
  <w:style w:type="paragraph" w:styleId="Obyajntext">
    <w:name w:val="Plain Text"/>
    <w:basedOn w:val="Normlny"/>
    <w:link w:val="ObyajntextChar"/>
    <w:uiPriority w:val="99"/>
    <w:unhideWhenUsed/>
    <w:rsid w:val="00F76F74"/>
    <w:pPr>
      <w:spacing w:after="0" w:line="240" w:lineRule="auto"/>
    </w:pPr>
    <w:rPr>
      <w:rFonts w:ascii="Courier New" w:eastAsia="Calibri" w:hAnsi="Courier New" w:cs="Courier New"/>
      <w:sz w:val="20"/>
      <w:szCs w:val="20"/>
      <w:lang w:eastAsia="sk-SK"/>
    </w:rPr>
  </w:style>
  <w:style w:type="character" w:customStyle="1" w:styleId="ObyajntextChar">
    <w:name w:val="Obyčajný text Char"/>
    <w:basedOn w:val="Predvolenpsmoodseku"/>
    <w:link w:val="Obyajntext"/>
    <w:uiPriority w:val="99"/>
    <w:rsid w:val="00F76F74"/>
    <w:rPr>
      <w:rFonts w:ascii="Courier New" w:eastAsia="Calibri" w:hAnsi="Courier New" w:cs="Courier New"/>
      <w:sz w:val="20"/>
      <w:szCs w:val="20"/>
      <w:lang w:eastAsia="sk-SK"/>
    </w:rPr>
  </w:style>
  <w:style w:type="paragraph" w:customStyle="1" w:styleId="odsek">
    <w:name w:val="odsek"/>
    <w:basedOn w:val="Normlny"/>
    <w:link w:val="odsekChar"/>
    <w:qFormat/>
    <w:rsid w:val="00E445A0"/>
    <w:pPr>
      <w:keepNext/>
      <w:spacing w:after="0" w:line="240" w:lineRule="auto"/>
      <w:ind w:firstLine="709"/>
      <w:jc w:val="both"/>
    </w:pPr>
    <w:rPr>
      <w:rFonts w:ascii="Times New Roman" w:eastAsia="Calibri" w:hAnsi="Times New Roman" w:cs="Times New Roman"/>
      <w:sz w:val="24"/>
      <w:szCs w:val="24"/>
      <w:lang w:eastAsia="sk-SK"/>
    </w:rPr>
  </w:style>
  <w:style w:type="character" w:customStyle="1" w:styleId="odsekChar">
    <w:name w:val="odsek Char"/>
    <w:link w:val="odsek"/>
    <w:locked/>
    <w:rsid w:val="00E445A0"/>
    <w:rPr>
      <w:rFonts w:ascii="Times New Roman" w:eastAsia="Calibri" w:hAnsi="Times New Roman" w:cs="Times New Roman"/>
      <w:sz w:val="24"/>
      <w:szCs w:val="24"/>
      <w:lang w:eastAsia="sk-SK"/>
    </w:rPr>
  </w:style>
  <w:style w:type="character" w:styleId="Odkaznakomentr">
    <w:name w:val="annotation reference"/>
    <w:basedOn w:val="Predvolenpsmoodseku"/>
    <w:uiPriority w:val="99"/>
    <w:semiHidden/>
    <w:unhideWhenUsed/>
    <w:rsid w:val="00722895"/>
    <w:rPr>
      <w:sz w:val="16"/>
      <w:szCs w:val="16"/>
    </w:rPr>
  </w:style>
  <w:style w:type="paragraph" w:styleId="Textkomentra">
    <w:name w:val="annotation text"/>
    <w:basedOn w:val="Normlny"/>
    <w:link w:val="TextkomentraChar"/>
    <w:uiPriority w:val="99"/>
    <w:semiHidden/>
    <w:unhideWhenUsed/>
    <w:rsid w:val="00722895"/>
    <w:pPr>
      <w:spacing w:line="240" w:lineRule="auto"/>
    </w:pPr>
    <w:rPr>
      <w:sz w:val="20"/>
      <w:szCs w:val="20"/>
    </w:rPr>
  </w:style>
  <w:style w:type="character" w:customStyle="1" w:styleId="TextkomentraChar">
    <w:name w:val="Text komentára Char"/>
    <w:basedOn w:val="Predvolenpsmoodseku"/>
    <w:link w:val="Textkomentra"/>
    <w:uiPriority w:val="99"/>
    <w:semiHidden/>
    <w:rsid w:val="00722895"/>
    <w:rPr>
      <w:sz w:val="20"/>
      <w:szCs w:val="20"/>
    </w:rPr>
  </w:style>
  <w:style w:type="character" w:customStyle="1" w:styleId="Nadpis1Char">
    <w:name w:val="Nadpis 1 Char"/>
    <w:basedOn w:val="Predvolenpsmoodseku"/>
    <w:link w:val="Nadpis1"/>
    <w:uiPriority w:val="9"/>
    <w:rsid w:val="00F633BF"/>
    <w:rPr>
      <w:rFonts w:ascii="Times New Roman" w:eastAsiaTheme="majorEastAsia" w:hAnsi="Times New Roman" w:cstheme="majorBidi"/>
      <w:b/>
      <w:bCs/>
      <w:caps/>
      <w:sz w:val="28"/>
      <w:szCs w:val="28"/>
    </w:rPr>
  </w:style>
  <w:style w:type="paragraph" w:styleId="Hlavikaobsahu">
    <w:name w:val="TOC Heading"/>
    <w:basedOn w:val="Nadpis1"/>
    <w:next w:val="Normlny"/>
    <w:uiPriority w:val="39"/>
    <w:semiHidden/>
    <w:unhideWhenUsed/>
    <w:qFormat/>
    <w:rsid w:val="00997821"/>
    <w:pPr>
      <w:outlineLvl w:val="9"/>
    </w:pPr>
    <w:rPr>
      <w:lang w:eastAsia="sk-SK"/>
    </w:rPr>
  </w:style>
  <w:style w:type="character" w:customStyle="1" w:styleId="Nadpis2Char">
    <w:name w:val="Nadpis 2 Char"/>
    <w:basedOn w:val="Predvolenpsmoodseku"/>
    <w:link w:val="Nadpis2"/>
    <w:uiPriority w:val="9"/>
    <w:rsid w:val="00F633BF"/>
    <w:rPr>
      <w:rFonts w:ascii="Times New Roman" w:eastAsiaTheme="majorEastAsia" w:hAnsi="Times New Roman" w:cstheme="majorBidi"/>
      <w:b/>
      <w:bCs/>
      <w:sz w:val="28"/>
      <w:szCs w:val="26"/>
    </w:rPr>
  </w:style>
  <w:style w:type="character" w:customStyle="1" w:styleId="Nadpis3Char">
    <w:name w:val="Nadpis 3 Char"/>
    <w:basedOn w:val="Predvolenpsmoodseku"/>
    <w:link w:val="Nadpis3"/>
    <w:uiPriority w:val="9"/>
    <w:rsid w:val="00F633BF"/>
    <w:rPr>
      <w:rFonts w:ascii="Times New Roman" w:eastAsiaTheme="majorEastAsia" w:hAnsi="Times New Roman" w:cstheme="majorBidi"/>
      <w:b/>
      <w:bCs/>
      <w:sz w:val="26"/>
    </w:rPr>
  </w:style>
  <w:style w:type="character" w:customStyle="1" w:styleId="Nadpis4Char">
    <w:name w:val="Nadpis 4 Char"/>
    <w:basedOn w:val="Predvolenpsmoodseku"/>
    <w:link w:val="Nadpis4"/>
    <w:uiPriority w:val="9"/>
    <w:semiHidden/>
    <w:rsid w:val="00F633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F633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F633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F633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F633B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F633BF"/>
    <w:rPr>
      <w:rFonts w:asciiTheme="majorHAnsi" w:eastAsiaTheme="majorEastAsia" w:hAnsiTheme="majorHAnsi" w:cstheme="majorBidi"/>
      <w:i/>
      <w:iCs/>
      <w:color w:val="404040" w:themeColor="text1" w:themeTint="BF"/>
      <w:sz w:val="20"/>
      <w:szCs w:val="20"/>
    </w:rPr>
  </w:style>
  <w:style w:type="paragraph" w:styleId="Obsah1">
    <w:name w:val="toc 1"/>
    <w:basedOn w:val="Normlny"/>
    <w:next w:val="Normlny"/>
    <w:autoRedefine/>
    <w:uiPriority w:val="39"/>
    <w:unhideWhenUsed/>
    <w:rsid w:val="00C3191F"/>
    <w:pPr>
      <w:tabs>
        <w:tab w:val="left" w:pos="440"/>
        <w:tab w:val="right" w:leader="dot" w:pos="9062"/>
      </w:tabs>
      <w:spacing w:after="0" w:line="300" w:lineRule="auto"/>
    </w:pPr>
    <w:rPr>
      <w:rFonts w:ascii="Times New Roman" w:hAnsi="Times New Roman" w:cs="Times New Roman"/>
      <w:b/>
      <w:caps/>
      <w:noProof/>
      <w:sz w:val="20"/>
      <w:szCs w:val="20"/>
    </w:rPr>
  </w:style>
  <w:style w:type="paragraph" w:styleId="Obsah2">
    <w:name w:val="toc 2"/>
    <w:basedOn w:val="Normlny"/>
    <w:next w:val="Normlny"/>
    <w:autoRedefine/>
    <w:uiPriority w:val="39"/>
    <w:unhideWhenUsed/>
    <w:rsid w:val="00C345A7"/>
    <w:pPr>
      <w:spacing w:after="100"/>
      <w:ind w:left="220"/>
    </w:pPr>
  </w:style>
  <w:style w:type="paragraph" w:styleId="Obsah3">
    <w:name w:val="toc 3"/>
    <w:basedOn w:val="Normlny"/>
    <w:next w:val="Normlny"/>
    <w:autoRedefine/>
    <w:uiPriority w:val="39"/>
    <w:unhideWhenUsed/>
    <w:rsid w:val="00C345A7"/>
    <w:pPr>
      <w:tabs>
        <w:tab w:val="left" w:pos="1320"/>
        <w:tab w:val="right" w:leader="dot" w:pos="9062"/>
      </w:tabs>
      <w:spacing w:after="100"/>
      <w:ind w:left="440"/>
    </w:pPr>
    <w:rPr>
      <w:rFonts w:ascii="Times New Roman" w:hAnsi="Times New Roman" w:cs="Times New Roman"/>
      <w:i/>
      <w:noProof/>
      <w:sz w:val="20"/>
      <w:szCs w:val="20"/>
    </w:rPr>
  </w:style>
  <w:style w:type="paragraph" w:styleId="Textpoznmkypodiarou">
    <w:name w:val="footnote text"/>
    <w:basedOn w:val="Normlny"/>
    <w:link w:val="TextpoznmkypodiarouChar"/>
    <w:uiPriority w:val="99"/>
    <w:semiHidden/>
    <w:unhideWhenUsed/>
    <w:rsid w:val="00A02AB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02AB1"/>
    <w:rPr>
      <w:sz w:val="20"/>
      <w:szCs w:val="20"/>
    </w:rPr>
  </w:style>
  <w:style w:type="character" w:styleId="Odkaznapoznmkupodiarou">
    <w:name w:val="footnote reference"/>
    <w:basedOn w:val="Predvolenpsmoodseku"/>
    <w:uiPriority w:val="99"/>
    <w:semiHidden/>
    <w:unhideWhenUsed/>
    <w:rsid w:val="00A02AB1"/>
    <w:rPr>
      <w:vertAlign w:val="superscript"/>
    </w:rPr>
  </w:style>
  <w:style w:type="paragraph" w:customStyle="1" w:styleId="Point0number">
    <w:name w:val="Point 0 (number)"/>
    <w:basedOn w:val="Normlny"/>
    <w:rsid w:val="0068467F"/>
    <w:pPr>
      <w:numPr>
        <w:numId w:val="43"/>
      </w:numPr>
      <w:spacing w:before="120" w:after="120" w:line="240" w:lineRule="auto"/>
      <w:jc w:val="both"/>
    </w:pPr>
    <w:rPr>
      <w:rFonts w:ascii="Times New Roman" w:hAnsi="Times New Roman" w:cs="Times New Roman"/>
      <w:sz w:val="24"/>
      <w:szCs w:val="24"/>
      <w:lang w:eastAsia="sk-SK"/>
    </w:rPr>
  </w:style>
  <w:style w:type="paragraph" w:customStyle="1" w:styleId="Point1number">
    <w:name w:val="Point 1 (number)"/>
    <w:basedOn w:val="Normlny"/>
    <w:rsid w:val="0068467F"/>
    <w:pPr>
      <w:numPr>
        <w:ilvl w:val="2"/>
        <w:numId w:val="43"/>
      </w:numPr>
      <w:spacing w:before="120" w:after="120" w:line="240" w:lineRule="auto"/>
      <w:jc w:val="both"/>
    </w:pPr>
    <w:rPr>
      <w:rFonts w:ascii="Times New Roman" w:hAnsi="Times New Roman" w:cs="Times New Roman"/>
      <w:sz w:val="24"/>
      <w:szCs w:val="24"/>
      <w:lang w:eastAsia="sk-SK"/>
    </w:rPr>
  </w:style>
  <w:style w:type="paragraph" w:customStyle="1" w:styleId="Point2number">
    <w:name w:val="Point 2 (number)"/>
    <w:basedOn w:val="Normlny"/>
    <w:rsid w:val="0068467F"/>
    <w:pPr>
      <w:numPr>
        <w:ilvl w:val="4"/>
        <w:numId w:val="43"/>
      </w:numPr>
      <w:spacing w:before="120" w:after="120" w:line="240" w:lineRule="auto"/>
      <w:jc w:val="both"/>
    </w:pPr>
    <w:rPr>
      <w:rFonts w:ascii="Times New Roman" w:hAnsi="Times New Roman" w:cs="Times New Roman"/>
      <w:sz w:val="24"/>
      <w:szCs w:val="24"/>
      <w:lang w:eastAsia="sk-SK"/>
    </w:rPr>
  </w:style>
  <w:style w:type="paragraph" w:customStyle="1" w:styleId="Point3number">
    <w:name w:val="Point 3 (number)"/>
    <w:basedOn w:val="Normlny"/>
    <w:rsid w:val="0068467F"/>
    <w:pPr>
      <w:numPr>
        <w:ilvl w:val="6"/>
        <w:numId w:val="43"/>
      </w:numPr>
      <w:spacing w:before="120" w:after="120" w:line="240" w:lineRule="auto"/>
      <w:jc w:val="both"/>
    </w:pPr>
    <w:rPr>
      <w:rFonts w:ascii="Times New Roman" w:hAnsi="Times New Roman" w:cs="Times New Roman"/>
      <w:sz w:val="24"/>
      <w:szCs w:val="24"/>
      <w:lang w:eastAsia="sk-SK"/>
    </w:rPr>
  </w:style>
  <w:style w:type="paragraph" w:customStyle="1" w:styleId="Point0letter">
    <w:name w:val="Point 0 (letter)"/>
    <w:basedOn w:val="Normlny"/>
    <w:rsid w:val="0068467F"/>
    <w:pPr>
      <w:numPr>
        <w:ilvl w:val="1"/>
        <w:numId w:val="43"/>
      </w:numPr>
      <w:spacing w:before="120" w:after="120" w:line="240" w:lineRule="auto"/>
      <w:jc w:val="both"/>
    </w:pPr>
    <w:rPr>
      <w:rFonts w:ascii="Times New Roman" w:hAnsi="Times New Roman" w:cs="Times New Roman"/>
      <w:sz w:val="24"/>
      <w:szCs w:val="24"/>
      <w:lang w:eastAsia="sk-SK"/>
    </w:rPr>
  </w:style>
  <w:style w:type="paragraph" w:customStyle="1" w:styleId="Point1letter">
    <w:name w:val="Point 1 (letter)"/>
    <w:basedOn w:val="Normlny"/>
    <w:rsid w:val="0068467F"/>
    <w:pPr>
      <w:numPr>
        <w:ilvl w:val="3"/>
        <w:numId w:val="43"/>
      </w:numPr>
      <w:spacing w:before="120" w:after="120" w:line="240" w:lineRule="auto"/>
      <w:jc w:val="both"/>
    </w:pPr>
    <w:rPr>
      <w:rFonts w:ascii="Times New Roman" w:hAnsi="Times New Roman" w:cs="Times New Roman"/>
      <w:sz w:val="24"/>
      <w:szCs w:val="24"/>
      <w:lang w:eastAsia="sk-SK"/>
    </w:rPr>
  </w:style>
  <w:style w:type="paragraph" w:customStyle="1" w:styleId="Point2letter">
    <w:name w:val="Point 2 (letter)"/>
    <w:basedOn w:val="Normlny"/>
    <w:rsid w:val="0068467F"/>
    <w:pPr>
      <w:numPr>
        <w:ilvl w:val="5"/>
        <w:numId w:val="43"/>
      </w:numPr>
      <w:spacing w:before="120" w:after="120" w:line="240" w:lineRule="auto"/>
      <w:jc w:val="both"/>
    </w:pPr>
    <w:rPr>
      <w:rFonts w:ascii="Times New Roman" w:hAnsi="Times New Roman" w:cs="Times New Roman"/>
      <w:sz w:val="24"/>
      <w:szCs w:val="24"/>
      <w:lang w:eastAsia="sk-SK"/>
    </w:rPr>
  </w:style>
  <w:style w:type="paragraph" w:customStyle="1" w:styleId="Point3letter">
    <w:name w:val="Point 3 (letter)"/>
    <w:basedOn w:val="Normlny"/>
    <w:rsid w:val="0068467F"/>
    <w:pPr>
      <w:numPr>
        <w:ilvl w:val="7"/>
        <w:numId w:val="43"/>
      </w:numPr>
      <w:spacing w:before="120" w:after="120" w:line="240" w:lineRule="auto"/>
      <w:jc w:val="both"/>
    </w:pPr>
    <w:rPr>
      <w:rFonts w:ascii="Times New Roman" w:hAnsi="Times New Roman" w:cs="Times New Roman"/>
      <w:sz w:val="24"/>
      <w:szCs w:val="24"/>
      <w:lang w:eastAsia="sk-SK"/>
    </w:rPr>
  </w:style>
  <w:style w:type="paragraph" w:customStyle="1" w:styleId="Point4letter">
    <w:name w:val="Point 4 (letter)"/>
    <w:basedOn w:val="Normlny"/>
    <w:rsid w:val="0068467F"/>
    <w:pPr>
      <w:numPr>
        <w:ilvl w:val="8"/>
        <w:numId w:val="43"/>
      </w:numPr>
      <w:spacing w:before="120" w:after="120" w:line="240" w:lineRule="auto"/>
      <w:jc w:val="both"/>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tej.bobovnik\Documents\MINISTER\Koncepcia%20malych%20a%20mladych%20farmarov\MISC\vypocty_koncepcia_farma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tej.bobovnik\Documents\MINISTER\Koncepcia%20malych%20a%20mladych%20farmarov\MISC\vypocty_koncepcia_farma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tej.bobovnik\Documents\MINISTER\Koncepcia%20malych%20a%20mladych%20farmarov\MISC\vypocty_koncepcia_farma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Hárok1!$A$4</c:f>
              <c:strCache>
                <c:ptCount val="1"/>
                <c:pt idx="0">
                  <c:v>index medziročného úbytku zamestnancov</c:v>
                </c:pt>
              </c:strCache>
            </c:strRef>
          </c:tx>
          <c:spPr>
            <a:ln w="38100">
              <a:solidFill>
                <a:schemeClr val="accent1">
                  <a:lumMod val="75000"/>
                </a:schemeClr>
              </a:solidFill>
            </a:ln>
          </c:spPr>
          <c:marker>
            <c:symbol val="none"/>
          </c:marker>
          <c:cat>
            <c:strRef>
              <c:f>Hárok1!$E$1:$U$1</c:f>
              <c:strCach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strCache>
            </c:strRef>
          </c:cat>
          <c:val>
            <c:numRef>
              <c:f>Hárok1!$E$4:$U$4</c:f>
              <c:numCache>
                <c:formatCode>0.000</c:formatCode>
                <c:ptCount val="17"/>
                <c:pt idx="0">
                  <c:v>1.5400243803331939</c:v>
                </c:pt>
                <c:pt idx="1">
                  <c:v>0.57170184696570159</c:v>
                </c:pt>
                <c:pt idx="2">
                  <c:v>1.7890850351909546</c:v>
                </c:pt>
                <c:pt idx="3">
                  <c:v>0.9405391461369792</c:v>
                </c:pt>
                <c:pt idx="4">
                  <c:v>0.79964344487109162</c:v>
                </c:pt>
                <c:pt idx="5">
                  <c:v>0.45146630080603672</c:v>
                </c:pt>
                <c:pt idx="6">
                  <c:v>1.0142450142450143</c:v>
                </c:pt>
                <c:pt idx="7">
                  <c:v>1.4672284644194722</c:v>
                </c:pt>
                <c:pt idx="8">
                  <c:v>1.1428206764518187</c:v>
                </c:pt>
                <c:pt idx="9">
                  <c:v>0.17601072146526694</c:v>
                </c:pt>
                <c:pt idx="10">
                  <c:v>2.3680203045685277</c:v>
                </c:pt>
                <c:pt idx="11">
                  <c:v>0.77893890675241162</c:v>
                </c:pt>
                <c:pt idx="12">
                  <c:v>1.153422772617819</c:v>
                </c:pt>
                <c:pt idx="13">
                  <c:v>0.9982105577095135</c:v>
                </c:pt>
                <c:pt idx="14">
                  <c:v>0.99731102479832656</c:v>
                </c:pt>
                <c:pt idx="15">
                  <c:v>0.58747753145595916</c:v>
                </c:pt>
                <c:pt idx="16">
                  <c:v>0.45334013258541561</c:v>
                </c:pt>
              </c:numCache>
            </c:numRef>
          </c:val>
          <c:smooth val="0"/>
        </c:ser>
        <c:ser>
          <c:idx val="1"/>
          <c:order val="1"/>
          <c:tx>
            <c:strRef>
              <c:f>Hárok1!$A$8</c:f>
              <c:strCache>
                <c:ptCount val="1"/>
                <c:pt idx="0">
                  <c:v>index vývoja produktivity práce</c:v>
                </c:pt>
              </c:strCache>
            </c:strRef>
          </c:tx>
          <c:spPr>
            <a:ln w="38100">
              <a:solidFill>
                <a:srgbClr val="92D050"/>
              </a:solidFill>
            </a:ln>
          </c:spPr>
          <c:marker>
            <c:symbol val="none"/>
          </c:marker>
          <c:cat>
            <c:strRef>
              <c:f>Hárok1!$E$1:$U$1</c:f>
              <c:strCach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strCache>
            </c:strRef>
          </c:cat>
          <c:val>
            <c:numRef>
              <c:f>Hárok1!$E$8:$U$8</c:f>
              <c:numCache>
                <c:formatCode>#,##0.000</c:formatCode>
                <c:ptCount val="17"/>
                <c:pt idx="0">
                  <c:v>1.1739604837783084</c:v>
                </c:pt>
                <c:pt idx="1">
                  <c:v>1.1569951297535037</c:v>
                </c:pt>
                <c:pt idx="2">
                  <c:v>1.2733002477142192</c:v>
                </c:pt>
                <c:pt idx="3">
                  <c:v>1.069862842308005</c:v>
                </c:pt>
                <c:pt idx="4">
                  <c:v>1.2477243302527614</c:v>
                </c:pt>
                <c:pt idx="5">
                  <c:v>1.3241177434797498</c:v>
                </c:pt>
                <c:pt idx="6">
                  <c:v>1.1794458454711065</c:v>
                </c:pt>
                <c:pt idx="7">
                  <c:v>1.10364566374197</c:v>
                </c:pt>
                <c:pt idx="8">
                  <c:v>1.1934239373006896</c:v>
                </c:pt>
                <c:pt idx="9">
                  <c:v>0.99749948949649769</c:v>
                </c:pt>
                <c:pt idx="10">
                  <c:v>1.2036531745019785</c:v>
                </c:pt>
                <c:pt idx="11">
                  <c:v>1.3517947509007471</c:v>
                </c:pt>
                <c:pt idx="12">
                  <c:v>1.219345687926719</c:v>
                </c:pt>
                <c:pt idx="13">
                  <c:v>0.84587923768130813</c:v>
                </c:pt>
                <c:pt idx="14">
                  <c:v>0.98355799499412955</c:v>
                </c:pt>
                <c:pt idx="15">
                  <c:v>1.3296080375791297</c:v>
                </c:pt>
                <c:pt idx="16">
                  <c:v>0.97990046960620003</c:v>
                </c:pt>
              </c:numCache>
            </c:numRef>
          </c:val>
          <c:smooth val="0"/>
        </c:ser>
        <c:dLbls>
          <c:showLegendKey val="0"/>
          <c:showVal val="0"/>
          <c:showCatName val="0"/>
          <c:showSerName val="0"/>
          <c:showPercent val="0"/>
          <c:showBubbleSize val="0"/>
        </c:dLbls>
        <c:marker val="1"/>
        <c:smooth val="0"/>
        <c:axId val="60715392"/>
        <c:axId val="60716928"/>
      </c:lineChart>
      <c:catAx>
        <c:axId val="60715392"/>
        <c:scaling>
          <c:orientation val="minMax"/>
        </c:scaling>
        <c:delete val="0"/>
        <c:axPos val="b"/>
        <c:majorTickMark val="out"/>
        <c:minorTickMark val="none"/>
        <c:tickLblPos val="nextTo"/>
        <c:crossAx val="60716928"/>
        <c:crosses val="autoZero"/>
        <c:auto val="1"/>
        <c:lblAlgn val="ctr"/>
        <c:lblOffset val="100"/>
        <c:noMultiLvlLbl val="0"/>
      </c:catAx>
      <c:valAx>
        <c:axId val="60716928"/>
        <c:scaling>
          <c:orientation val="minMax"/>
        </c:scaling>
        <c:delete val="0"/>
        <c:axPos val="l"/>
        <c:majorGridlines/>
        <c:numFmt formatCode="0.000" sourceLinked="1"/>
        <c:majorTickMark val="out"/>
        <c:minorTickMark val="none"/>
        <c:tickLblPos val="nextTo"/>
        <c:crossAx val="60715392"/>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Hárok1!$A$8</c:f>
              <c:strCache>
                <c:ptCount val="1"/>
                <c:pt idx="0">
                  <c:v>index vývoja produktivity práce</c:v>
                </c:pt>
              </c:strCache>
            </c:strRef>
          </c:tx>
          <c:spPr>
            <a:ln w="38100">
              <a:solidFill>
                <a:schemeClr val="accent1">
                  <a:lumMod val="75000"/>
                </a:schemeClr>
              </a:solidFill>
            </a:ln>
          </c:spPr>
          <c:marker>
            <c:symbol val="none"/>
          </c:marker>
          <c:cat>
            <c:strRef>
              <c:f>Hárok1!$E$1:$U$1</c:f>
              <c:strCach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strCache>
            </c:strRef>
          </c:cat>
          <c:val>
            <c:numRef>
              <c:f>Hárok1!$E$8:$U$8</c:f>
              <c:numCache>
                <c:formatCode>#,##0.000</c:formatCode>
                <c:ptCount val="17"/>
                <c:pt idx="0">
                  <c:v>1.1739604837783084</c:v>
                </c:pt>
                <c:pt idx="1">
                  <c:v>1.1569951297535037</c:v>
                </c:pt>
                <c:pt idx="2">
                  <c:v>1.2733002477142192</c:v>
                </c:pt>
                <c:pt idx="3">
                  <c:v>1.069862842308005</c:v>
                </c:pt>
                <c:pt idx="4">
                  <c:v>1.2477243302527614</c:v>
                </c:pt>
                <c:pt idx="5">
                  <c:v>1.3241177434797498</c:v>
                </c:pt>
                <c:pt idx="6">
                  <c:v>1.1794458454711065</c:v>
                </c:pt>
                <c:pt idx="7">
                  <c:v>1.10364566374197</c:v>
                </c:pt>
                <c:pt idx="8">
                  <c:v>1.1934239373006896</c:v>
                </c:pt>
                <c:pt idx="9">
                  <c:v>0.99749948949649769</c:v>
                </c:pt>
                <c:pt idx="10">
                  <c:v>1.2036531745019785</c:v>
                </c:pt>
                <c:pt idx="11">
                  <c:v>1.3517947509007471</c:v>
                </c:pt>
                <c:pt idx="12">
                  <c:v>1.219345687926719</c:v>
                </c:pt>
                <c:pt idx="13">
                  <c:v>0.84587923768130813</c:v>
                </c:pt>
                <c:pt idx="14">
                  <c:v>0.98355799499412955</c:v>
                </c:pt>
                <c:pt idx="15">
                  <c:v>1.3296080375791297</c:v>
                </c:pt>
                <c:pt idx="16">
                  <c:v>0.97990046960620003</c:v>
                </c:pt>
              </c:numCache>
            </c:numRef>
          </c:val>
          <c:smooth val="0"/>
        </c:ser>
        <c:ser>
          <c:idx val="1"/>
          <c:order val="1"/>
          <c:tx>
            <c:strRef>
              <c:f>Hárok1!$A$12</c:f>
              <c:strCache>
                <c:ptCount val="1"/>
                <c:pt idx="0">
                  <c:v>index vývoja ročných mzdových nákladov na zamestnanca</c:v>
                </c:pt>
              </c:strCache>
            </c:strRef>
          </c:tx>
          <c:spPr>
            <a:ln w="38100">
              <a:solidFill>
                <a:srgbClr val="92D050"/>
              </a:solidFill>
            </a:ln>
          </c:spPr>
          <c:marker>
            <c:symbol val="none"/>
          </c:marker>
          <c:cat>
            <c:strRef>
              <c:f>Hárok1!$E$1:$U$1</c:f>
              <c:strCach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strCache>
            </c:strRef>
          </c:cat>
          <c:val>
            <c:numRef>
              <c:f>Hárok1!$E$12:$U$12</c:f>
              <c:numCache>
                <c:formatCode>#,##0.000</c:formatCode>
                <c:ptCount val="17"/>
                <c:pt idx="0">
                  <c:v>1.1364694937209818</c:v>
                </c:pt>
                <c:pt idx="1">
                  <c:v>1.1061272157820718</c:v>
                </c:pt>
                <c:pt idx="2">
                  <c:v>1.0925584321642201</c:v>
                </c:pt>
                <c:pt idx="3">
                  <c:v>1.068993942775585</c:v>
                </c:pt>
                <c:pt idx="4">
                  <c:v>1.0864461146812296</c:v>
                </c:pt>
                <c:pt idx="5">
                  <c:v>1.0849315180116774</c:v>
                </c:pt>
                <c:pt idx="6">
                  <c:v>1.0553283424477458</c:v>
                </c:pt>
                <c:pt idx="7">
                  <c:v>1.044344854753392</c:v>
                </c:pt>
                <c:pt idx="8">
                  <c:v>1.1295025483172365</c:v>
                </c:pt>
                <c:pt idx="9">
                  <c:v>1.0795536751124839</c:v>
                </c:pt>
                <c:pt idx="10">
                  <c:v>1.0873277788540436</c:v>
                </c:pt>
                <c:pt idx="11">
                  <c:v>1.1021113889613205</c:v>
                </c:pt>
                <c:pt idx="12">
                  <c:v>1.1008999909222412</c:v>
                </c:pt>
                <c:pt idx="13">
                  <c:v>0.99928486337959965</c:v>
                </c:pt>
                <c:pt idx="14">
                  <c:v>1.0406550739468272</c:v>
                </c:pt>
                <c:pt idx="15">
                  <c:v>1.0739117205871698</c:v>
                </c:pt>
                <c:pt idx="16">
                  <c:v>1.0749823313325555</c:v>
                </c:pt>
              </c:numCache>
            </c:numRef>
          </c:val>
          <c:smooth val="0"/>
        </c:ser>
        <c:dLbls>
          <c:showLegendKey val="0"/>
          <c:showVal val="0"/>
          <c:showCatName val="0"/>
          <c:showSerName val="0"/>
          <c:showPercent val="0"/>
          <c:showBubbleSize val="0"/>
        </c:dLbls>
        <c:marker val="1"/>
        <c:smooth val="0"/>
        <c:axId val="60725504"/>
        <c:axId val="60727296"/>
      </c:lineChart>
      <c:catAx>
        <c:axId val="60725504"/>
        <c:scaling>
          <c:orientation val="minMax"/>
        </c:scaling>
        <c:delete val="0"/>
        <c:axPos val="b"/>
        <c:majorTickMark val="out"/>
        <c:minorTickMark val="none"/>
        <c:tickLblPos val="nextTo"/>
        <c:crossAx val="60727296"/>
        <c:crosses val="autoZero"/>
        <c:auto val="1"/>
        <c:lblAlgn val="ctr"/>
        <c:lblOffset val="100"/>
        <c:noMultiLvlLbl val="0"/>
      </c:catAx>
      <c:valAx>
        <c:axId val="60727296"/>
        <c:scaling>
          <c:orientation val="minMax"/>
          <c:min val="0.8"/>
        </c:scaling>
        <c:delete val="0"/>
        <c:axPos val="l"/>
        <c:majorGridlines/>
        <c:numFmt formatCode="#,##0.000" sourceLinked="1"/>
        <c:majorTickMark val="out"/>
        <c:minorTickMark val="none"/>
        <c:tickLblPos val="nextTo"/>
        <c:crossAx val="60725504"/>
        <c:crosses val="autoZero"/>
        <c:crossBetween val="between"/>
      </c:valAx>
    </c:plotArea>
    <c:legend>
      <c:legendPos val="b"/>
      <c:layout>
        <c:manualLayout>
          <c:xMode val="edge"/>
          <c:yMode val="edge"/>
          <c:x val="1.079551031007976E-2"/>
          <c:y val="0.7987586736974428"/>
          <c:w val="0.97407611693325979"/>
          <c:h val="0.16982056352849392"/>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1"/>
            <c:bubble3D val="0"/>
            <c:spPr>
              <a:solidFill>
                <a:srgbClr val="C00000"/>
              </a:solidFill>
            </c:spPr>
          </c:dPt>
          <c:dLbls>
            <c:dLbl>
              <c:idx val="0"/>
              <c:layout>
                <c:manualLayout>
                  <c:x val="-0.22031319559525794"/>
                  <c:y val="-1.4240613972226186E-2"/>
                </c:manualLayout>
              </c:layout>
              <c:tx>
                <c:rich>
                  <a:bodyPr/>
                  <a:lstStyle/>
                  <a:p>
                    <a:r>
                      <a:rPr lang="en-US" b="1"/>
                      <a:t>1 </a:t>
                    </a:r>
                    <a:r>
                      <a:rPr lang="sk-SK" b="1"/>
                      <a:t>009</a:t>
                    </a:r>
                  </a:p>
                  <a:p>
                    <a:r>
                      <a:rPr lang="sk-SK"/>
                      <a:t>pracovných miest</a:t>
                    </a:r>
                    <a:endParaRPr lang="en-US"/>
                  </a:p>
                </c:rich>
              </c:tx>
              <c:showLegendKey val="0"/>
              <c:showVal val="1"/>
              <c:showCatName val="0"/>
              <c:showSerName val="0"/>
              <c:showPercent val="0"/>
              <c:showBubbleSize val="0"/>
            </c:dLbl>
            <c:dLbl>
              <c:idx val="1"/>
              <c:tx>
                <c:rich>
                  <a:bodyPr/>
                  <a:lstStyle/>
                  <a:p>
                    <a:r>
                      <a:rPr lang="sk-SK" b="1"/>
                      <a:t>1 108</a:t>
                    </a:r>
                  </a:p>
                  <a:p>
                    <a:r>
                      <a:rPr lang="sk-SK"/>
                      <a:t>pracovných miest</a:t>
                    </a:r>
                    <a:endParaRPr lang="en-US"/>
                  </a:p>
                </c:rich>
              </c:tx>
              <c:showLegendKey val="0"/>
              <c:showVal val="1"/>
              <c:showCatName val="0"/>
              <c:showSerName val="0"/>
              <c:showPercent val="0"/>
              <c:showBubbleSize val="0"/>
            </c:dLbl>
            <c:dLbl>
              <c:idx val="2"/>
              <c:layout>
                <c:manualLayout>
                  <c:x val="0.12945156450711406"/>
                  <c:y val="8.6777169886506911E-2"/>
                </c:manualLayout>
              </c:layout>
              <c:tx>
                <c:rich>
                  <a:bodyPr/>
                  <a:lstStyle/>
                  <a:p>
                    <a:r>
                      <a:rPr lang="en-US" b="1"/>
                      <a:t>308</a:t>
                    </a:r>
                    <a:endParaRPr lang="sk-SK" b="1"/>
                  </a:p>
                  <a:p>
                    <a:r>
                      <a:rPr lang="sk-SK"/>
                      <a:t>pracovných miest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Hárok5!$A$26:$A$27</c:f>
              <c:strCache>
                <c:ptCount val="2"/>
                <c:pt idx="0">
                  <c:v>pracovné miesta vytvorené otvorením možnosti prenájmu p. p. v správe SPF</c:v>
                </c:pt>
                <c:pt idx="1">
                  <c:v>pracovné miesta vytvorené vplyvom efektívnej aplikácie ostatných podporných mechanizmov</c:v>
                </c:pt>
              </c:strCache>
            </c:strRef>
          </c:cat>
          <c:val>
            <c:numRef>
              <c:f>Hárok5!$B$26:$B$27</c:f>
              <c:numCache>
                <c:formatCode>#,##0</c:formatCode>
                <c:ptCount val="2"/>
                <c:pt idx="0">
                  <c:v>1009</c:v>
                </c:pt>
                <c:pt idx="1">
                  <c:v>1108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494422572178478"/>
          <c:y val="8.6235418489355481E-2"/>
          <c:w val="0.33838910761154856"/>
          <c:h val="0.70715842811315255"/>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792F-AB80-4F5B-B0A6-BD266D14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45</Pages>
  <Words>16527</Words>
  <Characters>94205</Characters>
  <Application>Microsoft Office Word</Application>
  <DocSecurity>0</DocSecurity>
  <Lines>785</Lines>
  <Paragraphs>221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Bobovník Matej</dc:creator>
  <cp:lastModifiedBy>Bobovník Matej</cp:lastModifiedBy>
  <cp:revision>5</cp:revision>
  <cp:lastPrinted>2014-08-21T21:15:00Z</cp:lastPrinted>
  <dcterms:created xsi:type="dcterms:W3CDTF">2014-09-29T12:26:00Z</dcterms:created>
  <dcterms:modified xsi:type="dcterms:W3CDTF">2014-10-13T12:03:00Z</dcterms:modified>
</cp:coreProperties>
</file>