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E" w:rsidRPr="00212145" w:rsidRDefault="004B5568" w:rsidP="001E16CF">
      <w:pPr>
        <w:jc w:val="right"/>
        <w:rPr>
          <w:rFonts w:ascii="Times New Roman" w:hAnsi="Times New Roman" w:cs="Times New Roman"/>
          <w:sz w:val="24"/>
          <w:szCs w:val="24"/>
        </w:rPr>
      </w:pPr>
      <w:r w:rsidRPr="00212145">
        <w:rPr>
          <w:rFonts w:ascii="Times New Roman" w:hAnsi="Times New Roman" w:cs="Times New Roman"/>
          <w:sz w:val="24"/>
          <w:szCs w:val="24"/>
        </w:rPr>
        <w:t>Príloha č. 3</w:t>
      </w:r>
    </w:p>
    <w:p w:rsidR="00F95B30" w:rsidRPr="00212145" w:rsidRDefault="00F95B30" w:rsidP="001E16CF">
      <w:pPr>
        <w:jc w:val="right"/>
        <w:rPr>
          <w:rFonts w:ascii="Times New Roman" w:hAnsi="Times New Roman" w:cs="Times New Roman"/>
        </w:rPr>
      </w:pPr>
    </w:p>
    <w:p w:rsidR="003B0212" w:rsidRPr="00212145" w:rsidRDefault="003B0212" w:rsidP="00F13D14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745F4B1" wp14:editId="61C90530">
            <wp:extent cx="5760720" cy="3240000"/>
            <wp:effectExtent l="0" t="0" r="11430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22D5" w:rsidRPr="00212145">
        <w:rPr>
          <w:rFonts w:ascii="Times New Roman" w:hAnsi="Times New Roman" w:cs="Times New Roman"/>
          <w:b/>
          <w:sz w:val="20"/>
        </w:rPr>
        <w:t>Zdroj:</w:t>
      </w:r>
      <w:r w:rsidR="00E2255D" w:rsidRPr="00212145">
        <w:rPr>
          <w:rFonts w:ascii="Times New Roman" w:hAnsi="Times New Roman" w:cs="Times New Roman"/>
          <w:sz w:val="20"/>
        </w:rPr>
        <w:t xml:space="preserve"> V</w:t>
      </w:r>
      <w:r w:rsidR="004522D5" w:rsidRPr="00212145">
        <w:rPr>
          <w:rFonts w:ascii="Times New Roman" w:hAnsi="Times New Roman" w:cs="Times New Roman"/>
          <w:sz w:val="20"/>
        </w:rPr>
        <w:t>ýpočty MF SR na základe VFR 2014</w:t>
      </w:r>
      <w:r w:rsidR="00E2255D" w:rsidRPr="00212145">
        <w:rPr>
          <w:rFonts w:ascii="Times New Roman" w:hAnsi="Times New Roman" w:cs="Times New Roman"/>
          <w:sz w:val="20"/>
        </w:rPr>
        <w:t> – </w:t>
      </w:r>
      <w:r w:rsidR="004522D5" w:rsidRPr="00212145">
        <w:rPr>
          <w:rFonts w:ascii="Times New Roman" w:hAnsi="Times New Roman" w:cs="Times New Roman"/>
          <w:sz w:val="20"/>
        </w:rPr>
        <w:t>2020 schváleného Európskym parlamentom dňa 19.11.2013</w:t>
      </w:r>
      <w:r w:rsidR="00E2255D" w:rsidRPr="00212145">
        <w:rPr>
          <w:rFonts w:ascii="Times New Roman" w:hAnsi="Times New Roman" w:cs="Times New Roman"/>
          <w:sz w:val="20"/>
        </w:rPr>
        <w:t>.</w:t>
      </w:r>
    </w:p>
    <w:p w:rsidR="00F95B30" w:rsidRPr="00212145" w:rsidRDefault="00D64FD6" w:rsidP="00F13D14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 xml:space="preserve">Poznámka: </w:t>
      </w:r>
      <w:r w:rsidRPr="00212145">
        <w:rPr>
          <w:rFonts w:ascii="Times New Roman" w:hAnsi="Times New Roman" w:cs="Times New Roman"/>
          <w:sz w:val="20"/>
        </w:rPr>
        <w:t xml:space="preserve">Uvedené sumy sú </w:t>
      </w:r>
      <w:r w:rsidR="0061654A" w:rsidRPr="00212145">
        <w:rPr>
          <w:rFonts w:ascii="Times New Roman" w:hAnsi="Times New Roman" w:cs="Times New Roman"/>
          <w:sz w:val="20"/>
        </w:rPr>
        <w:t xml:space="preserve">vypočítané </w:t>
      </w:r>
      <w:r w:rsidRPr="00212145">
        <w:rPr>
          <w:rFonts w:ascii="Times New Roman" w:hAnsi="Times New Roman" w:cs="Times New Roman"/>
          <w:sz w:val="20"/>
        </w:rPr>
        <w:t xml:space="preserve">na základe predpokladu neprepadnutia záväzkov </w:t>
      </w:r>
      <w:r w:rsidR="00395110" w:rsidRPr="00212145">
        <w:rPr>
          <w:rFonts w:ascii="Times New Roman" w:hAnsi="Times New Roman" w:cs="Times New Roman"/>
          <w:sz w:val="20"/>
        </w:rPr>
        <w:t xml:space="preserve">(napr. </w:t>
      </w:r>
      <w:r w:rsidRPr="00212145">
        <w:rPr>
          <w:rFonts w:ascii="Times New Roman" w:hAnsi="Times New Roman" w:cs="Times New Roman"/>
          <w:sz w:val="20"/>
        </w:rPr>
        <w:t xml:space="preserve">z dôvodu nedodržania pravidla </w:t>
      </w:r>
      <w:r w:rsidR="00395110" w:rsidRPr="00212145">
        <w:rPr>
          <w:rFonts w:ascii="Times New Roman" w:hAnsi="Times New Roman" w:cs="Times New Roman"/>
          <w:sz w:val="20"/>
        </w:rPr>
        <w:t xml:space="preserve">N + 3). </w:t>
      </w:r>
      <w:r w:rsidR="00396D13" w:rsidRPr="00212145">
        <w:rPr>
          <w:rFonts w:ascii="Times New Roman" w:hAnsi="Times New Roman" w:cs="Times New Roman"/>
          <w:sz w:val="20"/>
        </w:rPr>
        <w:t>MF SR pri výpočte príjmov</w:t>
      </w:r>
      <w:r w:rsidR="00395110" w:rsidRPr="00212145">
        <w:rPr>
          <w:rFonts w:ascii="Times New Roman" w:hAnsi="Times New Roman" w:cs="Times New Roman"/>
          <w:sz w:val="20"/>
        </w:rPr>
        <w:t xml:space="preserve"> SR z priamo r</w:t>
      </w:r>
      <w:r w:rsidR="004B7CF9" w:rsidRPr="00212145">
        <w:rPr>
          <w:rFonts w:ascii="Times New Roman" w:hAnsi="Times New Roman" w:cs="Times New Roman"/>
          <w:sz w:val="20"/>
        </w:rPr>
        <w:t xml:space="preserve">iadených programov EK </w:t>
      </w:r>
      <w:r w:rsidR="00396D13" w:rsidRPr="00212145">
        <w:rPr>
          <w:rFonts w:ascii="Times New Roman" w:hAnsi="Times New Roman" w:cs="Times New Roman"/>
          <w:sz w:val="20"/>
        </w:rPr>
        <w:t xml:space="preserve">vychádzalo z predpokladu, že </w:t>
      </w:r>
      <w:r w:rsidR="004B7CF9" w:rsidRPr="00212145">
        <w:rPr>
          <w:rFonts w:ascii="Times New Roman" w:hAnsi="Times New Roman" w:cs="Times New Roman"/>
          <w:sz w:val="20"/>
        </w:rPr>
        <w:t>sch</w:t>
      </w:r>
      <w:r w:rsidR="00396D13" w:rsidRPr="00212145">
        <w:rPr>
          <w:rFonts w:ascii="Times New Roman" w:hAnsi="Times New Roman" w:cs="Times New Roman"/>
          <w:sz w:val="20"/>
        </w:rPr>
        <w:t>opnosť</w:t>
      </w:r>
      <w:r w:rsidR="004B7CF9" w:rsidRPr="00212145">
        <w:rPr>
          <w:rFonts w:ascii="Times New Roman" w:hAnsi="Times New Roman" w:cs="Times New Roman"/>
          <w:sz w:val="20"/>
        </w:rPr>
        <w:t xml:space="preserve"> slovenských subjektov využívať tieto programy v rokoch 2007</w:t>
      </w:r>
      <w:r w:rsidR="00F70DE4" w:rsidRPr="00212145">
        <w:rPr>
          <w:rFonts w:ascii="Times New Roman" w:hAnsi="Times New Roman" w:cs="Times New Roman"/>
          <w:sz w:val="20"/>
        </w:rPr>
        <w:t xml:space="preserve"> – </w:t>
      </w:r>
      <w:r w:rsidR="004B7CF9" w:rsidRPr="00212145">
        <w:rPr>
          <w:rFonts w:ascii="Times New Roman" w:hAnsi="Times New Roman" w:cs="Times New Roman"/>
          <w:sz w:val="20"/>
        </w:rPr>
        <w:t xml:space="preserve">2011 </w:t>
      </w:r>
      <w:r w:rsidR="00396D13" w:rsidRPr="00212145">
        <w:rPr>
          <w:rFonts w:ascii="Times New Roman" w:hAnsi="Times New Roman" w:cs="Times New Roman"/>
          <w:sz w:val="20"/>
        </w:rPr>
        <w:t xml:space="preserve">bude </w:t>
      </w:r>
      <w:r w:rsidR="00395110" w:rsidRPr="00212145">
        <w:rPr>
          <w:rFonts w:ascii="Times New Roman" w:hAnsi="Times New Roman" w:cs="Times New Roman"/>
          <w:sz w:val="20"/>
        </w:rPr>
        <w:t>v</w:t>
      </w:r>
      <w:r w:rsidR="004B7CF9" w:rsidRPr="00212145">
        <w:rPr>
          <w:rFonts w:ascii="Times New Roman" w:hAnsi="Times New Roman" w:cs="Times New Roman"/>
          <w:sz w:val="20"/>
        </w:rPr>
        <w:t> období 2014</w:t>
      </w:r>
      <w:r w:rsidR="00F70DE4" w:rsidRPr="00212145">
        <w:rPr>
          <w:rFonts w:ascii="Times New Roman" w:hAnsi="Times New Roman" w:cs="Times New Roman"/>
          <w:sz w:val="20"/>
        </w:rPr>
        <w:t xml:space="preserve"> – </w:t>
      </w:r>
      <w:r w:rsidR="004B7CF9" w:rsidRPr="00212145">
        <w:rPr>
          <w:rFonts w:ascii="Times New Roman" w:hAnsi="Times New Roman" w:cs="Times New Roman"/>
          <w:sz w:val="20"/>
        </w:rPr>
        <w:t>2020</w:t>
      </w:r>
      <w:r w:rsidR="00396D13" w:rsidRPr="00212145">
        <w:rPr>
          <w:rFonts w:ascii="Times New Roman" w:hAnsi="Times New Roman" w:cs="Times New Roman"/>
          <w:sz w:val="20"/>
        </w:rPr>
        <w:t xml:space="preserve"> zachovaná</w:t>
      </w:r>
      <w:r w:rsidR="00395110" w:rsidRPr="00212145">
        <w:rPr>
          <w:rFonts w:ascii="Times New Roman" w:hAnsi="Times New Roman" w:cs="Times New Roman"/>
          <w:sz w:val="20"/>
        </w:rPr>
        <w:t xml:space="preserve">. </w:t>
      </w:r>
    </w:p>
    <w:p w:rsidR="000C4D5C" w:rsidRPr="00212145" w:rsidRDefault="003B0212" w:rsidP="00F13D14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77D8E8F0" wp14:editId="576D2B9C">
            <wp:extent cx="5760720" cy="3240000"/>
            <wp:effectExtent l="0" t="0" r="11430" b="177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C4D5C" w:rsidRPr="00212145">
        <w:rPr>
          <w:rFonts w:ascii="Times New Roman" w:hAnsi="Times New Roman" w:cs="Times New Roman"/>
          <w:b/>
          <w:sz w:val="20"/>
        </w:rPr>
        <w:t>Zdroj:</w:t>
      </w:r>
      <w:r w:rsidR="00E2255D" w:rsidRPr="00212145">
        <w:rPr>
          <w:rFonts w:ascii="Times New Roman" w:hAnsi="Times New Roman" w:cs="Times New Roman"/>
          <w:sz w:val="20"/>
        </w:rPr>
        <w:t xml:space="preserve"> V</w:t>
      </w:r>
      <w:r w:rsidR="000C4D5C" w:rsidRPr="00212145">
        <w:rPr>
          <w:rFonts w:ascii="Times New Roman" w:hAnsi="Times New Roman" w:cs="Times New Roman"/>
          <w:sz w:val="20"/>
        </w:rPr>
        <w:t>ýpočty MF SR na základe VFR 2014</w:t>
      </w:r>
      <w:r w:rsidR="00E2255D" w:rsidRPr="00212145">
        <w:rPr>
          <w:rFonts w:ascii="Times New Roman" w:hAnsi="Times New Roman" w:cs="Times New Roman"/>
          <w:sz w:val="20"/>
        </w:rPr>
        <w:t> – </w:t>
      </w:r>
      <w:r w:rsidR="000C4D5C" w:rsidRPr="00212145">
        <w:rPr>
          <w:rFonts w:ascii="Times New Roman" w:hAnsi="Times New Roman" w:cs="Times New Roman"/>
          <w:sz w:val="20"/>
        </w:rPr>
        <w:t>2020 schváleného Európskym parlamentom dňa 19.11.2013</w:t>
      </w:r>
      <w:r w:rsidR="00E2255D" w:rsidRPr="00212145">
        <w:rPr>
          <w:rFonts w:ascii="Times New Roman" w:hAnsi="Times New Roman" w:cs="Times New Roman"/>
          <w:sz w:val="20"/>
        </w:rPr>
        <w:t>.</w:t>
      </w:r>
    </w:p>
    <w:p w:rsidR="003B0212" w:rsidRPr="00212145" w:rsidRDefault="00395110" w:rsidP="00F13D14">
      <w:pPr>
        <w:spacing w:before="12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 xml:space="preserve">Poznámka: </w:t>
      </w:r>
      <w:r w:rsidR="00B95E6D" w:rsidRPr="00212145">
        <w:rPr>
          <w:rFonts w:ascii="Times New Roman" w:hAnsi="Times New Roman" w:cs="Times New Roman"/>
          <w:sz w:val="20"/>
        </w:rPr>
        <w:t>MF SR vchádza z</w:t>
      </w:r>
      <w:r w:rsidR="00396D13" w:rsidRPr="00212145">
        <w:rPr>
          <w:rFonts w:ascii="Times New Roman" w:hAnsi="Times New Roman" w:cs="Times New Roman"/>
          <w:sz w:val="20"/>
        </w:rPr>
        <w:t xml:space="preserve"> konzervatívneho </w:t>
      </w:r>
      <w:r w:rsidRPr="00212145">
        <w:rPr>
          <w:rFonts w:ascii="Times New Roman" w:hAnsi="Times New Roman" w:cs="Times New Roman"/>
          <w:sz w:val="20"/>
        </w:rPr>
        <w:t>predpoklad</w:t>
      </w:r>
      <w:r w:rsidR="00B95E6D" w:rsidRPr="00212145">
        <w:rPr>
          <w:rFonts w:ascii="Times New Roman" w:hAnsi="Times New Roman" w:cs="Times New Roman"/>
          <w:sz w:val="20"/>
        </w:rPr>
        <w:t>u</w:t>
      </w:r>
      <w:r w:rsidRPr="00212145">
        <w:rPr>
          <w:rFonts w:ascii="Times New Roman" w:hAnsi="Times New Roman" w:cs="Times New Roman"/>
          <w:sz w:val="20"/>
        </w:rPr>
        <w:t xml:space="preserve">, že objemy jednoročných rozpočtov </w:t>
      </w:r>
      <w:r w:rsidR="00396D13" w:rsidRPr="00212145">
        <w:rPr>
          <w:rFonts w:ascii="Times New Roman" w:hAnsi="Times New Roman" w:cs="Times New Roman"/>
          <w:sz w:val="20"/>
        </w:rPr>
        <w:t xml:space="preserve">aj mimorozpočtové nástroje </w:t>
      </w:r>
      <w:r w:rsidRPr="00212145">
        <w:rPr>
          <w:rFonts w:ascii="Times New Roman" w:hAnsi="Times New Roman" w:cs="Times New Roman"/>
          <w:sz w:val="20"/>
        </w:rPr>
        <w:t xml:space="preserve">budú </w:t>
      </w:r>
      <w:r w:rsidR="00396D13" w:rsidRPr="00212145">
        <w:rPr>
          <w:rFonts w:ascii="Times New Roman" w:hAnsi="Times New Roman" w:cs="Times New Roman"/>
          <w:sz w:val="20"/>
        </w:rPr>
        <w:t xml:space="preserve">využité </w:t>
      </w:r>
      <w:r w:rsidRPr="00212145">
        <w:rPr>
          <w:rFonts w:ascii="Times New Roman" w:hAnsi="Times New Roman" w:cs="Times New Roman"/>
          <w:sz w:val="20"/>
        </w:rPr>
        <w:t>vo výške stropov stanovenýc</w:t>
      </w:r>
      <w:r w:rsidR="00F70DE4" w:rsidRPr="00212145">
        <w:rPr>
          <w:rFonts w:ascii="Times New Roman" w:hAnsi="Times New Roman" w:cs="Times New Roman"/>
          <w:sz w:val="20"/>
        </w:rPr>
        <w:t>h v n</w:t>
      </w:r>
      <w:r w:rsidR="00396D13" w:rsidRPr="00212145">
        <w:rPr>
          <w:rFonts w:ascii="Times New Roman" w:hAnsi="Times New Roman" w:cs="Times New Roman"/>
          <w:sz w:val="20"/>
        </w:rPr>
        <w:t>ariadení o VFR 2014 – 2020.</w:t>
      </w:r>
      <w:r w:rsidR="00C3589A" w:rsidRPr="00212145">
        <w:rPr>
          <w:rFonts w:ascii="Times New Roman" w:hAnsi="Times New Roman" w:cs="Times New Roman"/>
          <w:sz w:val="20"/>
        </w:rPr>
        <w:t xml:space="preserve"> Odvody </w:t>
      </w:r>
      <w:r w:rsidR="007E7B21" w:rsidRPr="00212145">
        <w:rPr>
          <w:rFonts w:ascii="Times New Roman" w:hAnsi="Times New Roman" w:cs="Times New Roman"/>
          <w:sz w:val="20"/>
        </w:rPr>
        <w:t>všetkých</w:t>
      </w:r>
      <w:r w:rsidR="00C3589A" w:rsidRPr="00212145">
        <w:rPr>
          <w:rFonts w:ascii="Times New Roman" w:hAnsi="Times New Roman" w:cs="Times New Roman"/>
          <w:sz w:val="20"/>
        </w:rPr>
        <w:t xml:space="preserve"> ČŠ </w:t>
      </w:r>
      <w:r w:rsidR="007E7B21" w:rsidRPr="00212145">
        <w:rPr>
          <w:rFonts w:ascii="Times New Roman" w:hAnsi="Times New Roman" w:cs="Times New Roman"/>
          <w:sz w:val="20"/>
        </w:rPr>
        <w:t>zohľadňujú</w:t>
      </w:r>
      <w:r w:rsidR="00304D49" w:rsidRPr="00212145">
        <w:rPr>
          <w:rFonts w:ascii="Times New Roman" w:hAnsi="Times New Roman" w:cs="Times New Roman"/>
          <w:sz w:val="20"/>
        </w:rPr>
        <w:t xml:space="preserve"> korekcie pre </w:t>
      </w:r>
      <w:r w:rsidR="007E7B21" w:rsidRPr="00212145">
        <w:rPr>
          <w:rFonts w:ascii="Times New Roman" w:hAnsi="Times New Roman" w:cs="Times New Roman"/>
          <w:sz w:val="20"/>
        </w:rPr>
        <w:t>nasledovné</w:t>
      </w:r>
      <w:r w:rsidR="00C3589A" w:rsidRPr="00212145">
        <w:rPr>
          <w:rFonts w:ascii="Times New Roman" w:hAnsi="Times New Roman" w:cs="Times New Roman"/>
          <w:sz w:val="20"/>
        </w:rPr>
        <w:t xml:space="preserve"> ČŠ</w:t>
      </w:r>
      <w:r w:rsidR="007E7B21" w:rsidRPr="00212145">
        <w:rPr>
          <w:rFonts w:ascii="Times New Roman" w:hAnsi="Times New Roman" w:cs="Times New Roman"/>
          <w:sz w:val="20"/>
        </w:rPr>
        <w:t>: DE, DK, NL, AT, SE, UK</w:t>
      </w:r>
      <w:r w:rsidR="00C3589A" w:rsidRPr="00212145">
        <w:rPr>
          <w:rFonts w:ascii="Times New Roman" w:hAnsi="Times New Roman" w:cs="Times New Roman"/>
          <w:sz w:val="20"/>
        </w:rPr>
        <w:t>.</w:t>
      </w:r>
    </w:p>
    <w:p w:rsidR="00212145" w:rsidRPr="00212145" w:rsidRDefault="003B0212" w:rsidP="00F145ED">
      <w:pPr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</w:rPr>
        <w:br w:type="page"/>
      </w:r>
      <w:bookmarkStart w:id="0" w:name="_GoBack"/>
      <w:r w:rsidRPr="00212145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 wp14:anchorId="631EAFCF" wp14:editId="2B4B8479">
            <wp:extent cx="5760720" cy="3240000"/>
            <wp:effectExtent l="0" t="0" r="11430" b="1778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  <w:r w:rsidR="006A2C69" w:rsidRPr="00212145">
        <w:rPr>
          <w:rFonts w:ascii="Times New Roman" w:hAnsi="Times New Roman" w:cs="Times New Roman"/>
          <w:b/>
          <w:sz w:val="20"/>
        </w:rPr>
        <w:t>Zdroj:</w:t>
      </w:r>
      <w:r w:rsidR="00E2255D" w:rsidRPr="00212145">
        <w:rPr>
          <w:rFonts w:ascii="Times New Roman" w:hAnsi="Times New Roman" w:cs="Times New Roman"/>
          <w:sz w:val="20"/>
        </w:rPr>
        <w:t xml:space="preserve"> V</w:t>
      </w:r>
      <w:r w:rsidR="006A2C69" w:rsidRPr="00212145">
        <w:rPr>
          <w:rFonts w:ascii="Times New Roman" w:hAnsi="Times New Roman" w:cs="Times New Roman"/>
          <w:sz w:val="20"/>
        </w:rPr>
        <w:t>ýpočty MF SR na základe VFR 2014</w:t>
      </w:r>
      <w:r w:rsidR="00E2255D" w:rsidRPr="00212145">
        <w:rPr>
          <w:rFonts w:ascii="Times New Roman" w:hAnsi="Times New Roman" w:cs="Times New Roman"/>
          <w:sz w:val="20"/>
        </w:rPr>
        <w:t> – </w:t>
      </w:r>
      <w:r w:rsidR="006A2C69" w:rsidRPr="00212145">
        <w:rPr>
          <w:rFonts w:ascii="Times New Roman" w:hAnsi="Times New Roman" w:cs="Times New Roman"/>
          <w:sz w:val="20"/>
        </w:rPr>
        <w:t>2020 schváleného Európskym parlamentom dňa 19.11.2013</w:t>
      </w:r>
      <w:r w:rsidR="00E2255D" w:rsidRPr="00212145">
        <w:rPr>
          <w:rFonts w:ascii="Times New Roman" w:hAnsi="Times New Roman" w:cs="Times New Roman"/>
          <w:sz w:val="20"/>
        </w:rPr>
        <w:t>.</w:t>
      </w:r>
    </w:p>
    <w:p w:rsidR="003B0212" w:rsidRPr="00212145" w:rsidRDefault="006A2C69" w:rsidP="00F145ED">
      <w:pPr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 xml:space="preserve">Poznámka: </w:t>
      </w:r>
      <w:r w:rsidR="009443C3" w:rsidRPr="00212145">
        <w:rPr>
          <w:rFonts w:ascii="Times New Roman" w:hAnsi="Times New Roman" w:cs="Times New Roman"/>
          <w:sz w:val="20"/>
        </w:rPr>
        <w:t>Obvykle</w:t>
      </w:r>
      <w:r w:rsidR="00F4220F" w:rsidRPr="00212145">
        <w:rPr>
          <w:rFonts w:ascii="Times New Roman" w:hAnsi="Times New Roman" w:cs="Times New Roman"/>
          <w:sz w:val="20"/>
        </w:rPr>
        <w:t xml:space="preserve"> je čistá finančná pozícia </w:t>
      </w:r>
      <w:r w:rsidR="009443C3" w:rsidRPr="00212145">
        <w:rPr>
          <w:rFonts w:ascii="Times New Roman" w:hAnsi="Times New Roman" w:cs="Times New Roman"/>
          <w:sz w:val="20"/>
        </w:rPr>
        <w:t>členského štátu vypočítaná</w:t>
      </w:r>
      <w:r w:rsidR="00F4220F" w:rsidRPr="00212145">
        <w:rPr>
          <w:rFonts w:ascii="Times New Roman" w:hAnsi="Times New Roman" w:cs="Times New Roman"/>
          <w:sz w:val="20"/>
        </w:rPr>
        <w:t xml:space="preserve"> spätne ako rozdiel príjmov vyjadrených v platbách a odvodov do rozpočtu EÚ</w:t>
      </w:r>
      <w:r w:rsidR="00E2255D" w:rsidRPr="00212145">
        <w:rPr>
          <w:rFonts w:ascii="Times New Roman" w:hAnsi="Times New Roman" w:cs="Times New Roman"/>
          <w:sz w:val="20"/>
        </w:rPr>
        <w:t>.</w:t>
      </w:r>
      <w:r w:rsidR="00F4220F" w:rsidRPr="00212145">
        <w:rPr>
          <w:rFonts w:ascii="Times New Roman" w:hAnsi="Times New Roman" w:cs="Times New Roman"/>
          <w:sz w:val="20"/>
        </w:rPr>
        <w:t xml:space="preserve"> </w:t>
      </w:r>
      <w:r w:rsidR="009443C3" w:rsidRPr="00212145">
        <w:rPr>
          <w:rFonts w:ascii="Times New Roman" w:hAnsi="Times New Roman" w:cs="Times New Roman"/>
          <w:sz w:val="20"/>
        </w:rPr>
        <w:t>MF SR p</w:t>
      </w:r>
      <w:r w:rsidR="00F4220F" w:rsidRPr="00212145">
        <w:rPr>
          <w:rFonts w:ascii="Times New Roman" w:hAnsi="Times New Roman" w:cs="Times New Roman"/>
          <w:sz w:val="20"/>
        </w:rPr>
        <w:t xml:space="preserve">ri odhade budúcej čistej finančnej pozície na rozdiel od </w:t>
      </w:r>
      <w:r w:rsidR="009443C3" w:rsidRPr="00212145">
        <w:rPr>
          <w:rFonts w:ascii="Times New Roman" w:hAnsi="Times New Roman" w:cs="Times New Roman"/>
          <w:sz w:val="20"/>
        </w:rPr>
        <w:t>tohto tradičného prístupu stanovilo</w:t>
      </w:r>
      <w:r w:rsidR="00F4220F" w:rsidRPr="00212145">
        <w:rPr>
          <w:rFonts w:ascii="Times New Roman" w:hAnsi="Times New Roman" w:cs="Times New Roman"/>
          <w:sz w:val="20"/>
        </w:rPr>
        <w:t xml:space="preserve"> čistú finančnú pozíciu ako rozdiel príjmov vyjadrených v záväzkoch a odvodov do rozpočtu EÚ. </w:t>
      </w:r>
      <w:r w:rsidR="00C22778" w:rsidRPr="00212145">
        <w:rPr>
          <w:rFonts w:ascii="Times New Roman" w:hAnsi="Times New Roman" w:cs="Times New Roman"/>
          <w:sz w:val="20"/>
        </w:rPr>
        <w:t xml:space="preserve">MF SR aktuálne nedisponuje odhadmi platieb </w:t>
      </w:r>
      <w:r w:rsidR="009443C3" w:rsidRPr="00212145">
        <w:rPr>
          <w:rFonts w:ascii="Times New Roman" w:hAnsi="Times New Roman" w:cs="Times New Roman"/>
          <w:sz w:val="20"/>
        </w:rPr>
        <w:t>vyplývajúcich</w:t>
      </w:r>
      <w:r w:rsidR="00F4220F" w:rsidRPr="00212145">
        <w:rPr>
          <w:rFonts w:ascii="Times New Roman" w:hAnsi="Times New Roman" w:cs="Times New Roman"/>
          <w:sz w:val="20"/>
        </w:rPr>
        <w:t xml:space="preserve"> zo záväzkov </w:t>
      </w:r>
      <w:r w:rsidR="009443C3" w:rsidRPr="00212145">
        <w:rPr>
          <w:rFonts w:ascii="Times New Roman" w:hAnsi="Times New Roman" w:cs="Times New Roman"/>
          <w:sz w:val="20"/>
        </w:rPr>
        <w:t>stanovených vo VFR </w:t>
      </w:r>
      <w:r w:rsidR="00F4220F" w:rsidRPr="00212145">
        <w:rPr>
          <w:rFonts w:ascii="Times New Roman" w:hAnsi="Times New Roman" w:cs="Times New Roman"/>
          <w:sz w:val="20"/>
        </w:rPr>
        <w:t>2014 – 2020</w:t>
      </w:r>
      <w:r w:rsidR="009443C3" w:rsidRPr="00212145">
        <w:rPr>
          <w:rFonts w:ascii="Times New Roman" w:hAnsi="Times New Roman" w:cs="Times New Roman"/>
          <w:sz w:val="20"/>
        </w:rPr>
        <w:t xml:space="preserve"> (predpokladané rozloženie príjmov členských štátov v čase), ktoré bude zasahovať aj do </w:t>
      </w:r>
      <w:r w:rsidR="00C22778" w:rsidRPr="00212145">
        <w:rPr>
          <w:rFonts w:ascii="Times New Roman" w:hAnsi="Times New Roman" w:cs="Times New Roman"/>
          <w:sz w:val="20"/>
        </w:rPr>
        <w:t>obdobia po roku 2020.</w:t>
      </w:r>
      <w:r w:rsidR="007E7B21" w:rsidRPr="00212145">
        <w:rPr>
          <w:rFonts w:ascii="Times New Roman" w:hAnsi="Times New Roman" w:cs="Times New Roman"/>
          <w:sz w:val="20"/>
        </w:rPr>
        <w:t xml:space="preserve"> Odvody všetkých ČŠ zohľadňujú korekcie pre DE, DK, NL, AT, SE, UK.</w:t>
      </w:r>
    </w:p>
    <w:p w:rsidR="00E2255D" w:rsidRPr="00212145" w:rsidRDefault="002E0ED1" w:rsidP="00F145E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BD54CEA" wp14:editId="20F48221">
            <wp:extent cx="5760720" cy="3240000"/>
            <wp:effectExtent l="0" t="0" r="11430" b="177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2255D" w:rsidRPr="00212145">
        <w:rPr>
          <w:rFonts w:ascii="Times New Roman" w:hAnsi="Times New Roman" w:cs="Times New Roman"/>
          <w:b/>
          <w:sz w:val="20"/>
        </w:rPr>
        <w:t>Zdroj:</w:t>
      </w:r>
      <w:r w:rsidR="00E2255D" w:rsidRPr="00212145">
        <w:rPr>
          <w:rFonts w:ascii="Times New Roman" w:hAnsi="Times New Roman" w:cs="Times New Roman"/>
          <w:sz w:val="20"/>
        </w:rPr>
        <w:t xml:space="preserve"> výpočty MF SR na základe VFR 2014 – 2020 schválenéh</w:t>
      </w:r>
      <w:r w:rsidR="00F70DE4" w:rsidRPr="00212145">
        <w:rPr>
          <w:rFonts w:ascii="Times New Roman" w:hAnsi="Times New Roman" w:cs="Times New Roman"/>
          <w:sz w:val="20"/>
        </w:rPr>
        <w:t>o Európskym parlamentom dňa 19.11.</w:t>
      </w:r>
      <w:r w:rsidR="00E2255D" w:rsidRPr="00212145">
        <w:rPr>
          <w:rFonts w:ascii="Times New Roman" w:hAnsi="Times New Roman" w:cs="Times New Roman"/>
          <w:sz w:val="20"/>
        </w:rPr>
        <w:t>2013</w:t>
      </w:r>
    </w:p>
    <w:p w:rsidR="00F06CC0" w:rsidRDefault="000C4D5C" w:rsidP="00F145ED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>Zoznam skratiek členských štátov EÚ:</w:t>
      </w:r>
      <w:r w:rsidR="0005720E" w:rsidRPr="00212145">
        <w:rPr>
          <w:rFonts w:ascii="Times New Roman" w:hAnsi="Times New Roman" w:cs="Times New Roman"/>
          <w:b/>
          <w:sz w:val="20"/>
        </w:rPr>
        <w:t xml:space="preserve"> </w:t>
      </w:r>
      <w:r w:rsidR="003C1C60" w:rsidRPr="00212145">
        <w:rPr>
          <w:rFonts w:ascii="Times New Roman" w:hAnsi="Times New Roman" w:cs="Times New Roman"/>
          <w:sz w:val="20"/>
        </w:rPr>
        <w:t xml:space="preserve">AT – Rakúsko, BE – Belgicko, BG – Bulharsko, CY – Cyprus, CZ – Česká republika, DE – Nemecko, DK – Dánsko, EE – Estónsko, GR – Grécko, ES – Španielsko, FI – Fínsko, </w:t>
      </w:r>
      <w:r w:rsidR="00F13D14" w:rsidRPr="00212145">
        <w:rPr>
          <w:rFonts w:ascii="Times New Roman" w:hAnsi="Times New Roman" w:cs="Times New Roman"/>
          <w:sz w:val="20"/>
        </w:rPr>
        <w:t xml:space="preserve">FR – Francúzsko, HU - Maďarsko, HR – Chorvátsko, </w:t>
      </w:r>
      <w:r w:rsidR="003C1C60" w:rsidRPr="00212145">
        <w:rPr>
          <w:rFonts w:ascii="Times New Roman" w:hAnsi="Times New Roman" w:cs="Times New Roman"/>
          <w:sz w:val="20"/>
        </w:rPr>
        <w:t xml:space="preserve">IE - Írsko, IT – Taliansko, LU – Luxembursko, LT – Litva, LV – Lotyšsko, MT – Malta, NL – Holandsko, PL – Poľsko, PT – Portugalsko, RO – Rumunsko, SE – Švédsko, SI – Slovinsko, </w:t>
      </w:r>
      <w:r w:rsidR="003C1C60" w:rsidRPr="00212145">
        <w:rPr>
          <w:rFonts w:ascii="Times New Roman" w:hAnsi="Times New Roman" w:cs="Times New Roman"/>
          <w:b/>
          <w:sz w:val="20"/>
        </w:rPr>
        <w:t>SK – Slovenská republika</w:t>
      </w:r>
      <w:r w:rsidRPr="00212145">
        <w:rPr>
          <w:rFonts w:ascii="Times New Roman" w:hAnsi="Times New Roman" w:cs="Times New Roman"/>
          <w:sz w:val="20"/>
        </w:rPr>
        <w:t>, UK – </w:t>
      </w:r>
      <w:r w:rsidR="003C1C60" w:rsidRPr="00212145">
        <w:rPr>
          <w:rFonts w:ascii="Times New Roman" w:hAnsi="Times New Roman" w:cs="Times New Roman"/>
          <w:sz w:val="20"/>
        </w:rPr>
        <w:t>Spojené kráľovstvo Veľkej Británie a Severného Írska</w:t>
      </w:r>
    </w:p>
    <w:p w:rsidR="00F06CC0" w:rsidRDefault="00F06CC0" w:rsidP="00F145E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0212" w:rsidRDefault="00F06CC0" w:rsidP="00F13D14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1B5FF3DE" wp14:editId="6F31E1B8">
            <wp:extent cx="5760000" cy="3240000"/>
            <wp:effectExtent l="0" t="0" r="12700" b="1778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25EE" w:rsidRDefault="002F25EE" w:rsidP="00F13D14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>Zdroj:</w:t>
      </w:r>
      <w:r w:rsidRPr="00212145">
        <w:rPr>
          <w:rFonts w:ascii="Times New Roman" w:hAnsi="Times New Roman" w:cs="Times New Roman"/>
          <w:sz w:val="20"/>
        </w:rPr>
        <w:t xml:space="preserve"> výpočty MF SR na základe VFR 2014 – 2020 schváleného Európskym parlamentom dňa 19.11.2013</w:t>
      </w:r>
    </w:p>
    <w:p w:rsidR="002F25EE" w:rsidRPr="00212145" w:rsidRDefault="002F25EE" w:rsidP="00F13D14">
      <w:pPr>
        <w:spacing w:before="120" w:after="0" w:line="240" w:lineRule="auto"/>
        <w:jc w:val="both"/>
        <w:rPr>
          <w:rFonts w:ascii="Times New Roman" w:hAnsi="Times New Roman" w:cs="Times New Roman"/>
          <w:sz w:val="20"/>
        </w:rPr>
      </w:pPr>
      <w:r w:rsidRPr="00212145">
        <w:rPr>
          <w:rFonts w:ascii="Times New Roman" w:hAnsi="Times New Roman" w:cs="Times New Roman"/>
          <w:b/>
          <w:sz w:val="20"/>
        </w:rPr>
        <w:t xml:space="preserve">Poznámka: </w:t>
      </w:r>
      <w:r>
        <w:rPr>
          <w:rFonts w:ascii="Times New Roman" w:hAnsi="Times New Roman" w:cs="Times New Roman"/>
          <w:sz w:val="20"/>
        </w:rPr>
        <w:t>Predpokladaná čistá finančná pozícia Luxemburska voči rozpočtu EÚ by mala v sledovanom období dosiahnuť 19 061 EUR.</w:t>
      </w:r>
      <w:r w:rsidR="007270D5">
        <w:rPr>
          <w:rFonts w:ascii="Times New Roman" w:hAnsi="Times New Roman" w:cs="Times New Roman"/>
          <w:sz w:val="20"/>
        </w:rPr>
        <w:t xml:space="preserve"> Populácia jednotlivých členských štátov EÚ predstavuje priemer počtu obyvateľov pre roky 2014 až 2020.</w:t>
      </w:r>
    </w:p>
    <w:sectPr w:rsidR="002F25EE" w:rsidRPr="00212145" w:rsidSect="00740E77">
      <w:footerReference w:type="default" r:id="rId13"/>
      <w:pgSz w:w="11906" w:h="16838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16" w:rsidRDefault="00542D16" w:rsidP="008E496A">
      <w:pPr>
        <w:spacing w:after="0" w:line="240" w:lineRule="auto"/>
      </w:pPr>
      <w:r>
        <w:separator/>
      </w:r>
    </w:p>
  </w:endnote>
  <w:endnote w:type="continuationSeparator" w:id="0">
    <w:p w:rsidR="00542D16" w:rsidRDefault="00542D16" w:rsidP="008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260652"/>
      <w:docPartObj>
        <w:docPartGallery w:val="Page Numbers (Bottom of Page)"/>
        <w:docPartUnique/>
      </w:docPartObj>
    </w:sdtPr>
    <w:sdtEndPr/>
    <w:sdtContent>
      <w:p w:rsidR="008E496A" w:rsidRDefault="008E496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77">
          <w:rPr>
            <w:noProof/>
          </w:rPr>
          <w:t>2</w:t>
        </w:r>
        <w:r>
          <w:fldChar w:fldCharType="end"/>
        </w:r>
      </w:p>
    </w:sdtContent>
  </w:sdt>
  <w:p w:rsidR="008E496A" w:rsidRDefault="008E49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16" w:rsidRDefault="00542D16" w:rsidP="008E496A">
      <w:pPr>
        <w:spacing w:after="0" w:line="240" w:lineRule="auto"/>
      </w:pPr>
      <w:r>
        <w:separator/>
      </w:r>
    </w:p>
  </w:footnote>
  <w:footnote w:type="continuationSeparator" w:id="0">
    <w:p w:rsidR="00542D16" w:rsidRDefault="00542D16" w:rsidP="008E4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2"/>
    <w:rsid w:val="0005720E"/>
    <w:rsid w:val="000C4D5C"/>
    <w:rsid w:val="00111602"/>
    <w:rsid w:val="001E16CF"/>
    <w:rsid w:val="00203FFA"/>
    <w:rsid w:val="00206246"/>
    <w:rsid w:val="00212145"/>
    <w:rsid w:val="002E0ED1"/>
    <w:rsid w:val="002F25EE"/>
    <w:rsid w:val="00304D49"/>
    <w:rsid w:val="0031008A"/>
    <w:rsid w:val="00395110"/>
    <w:rsid w:val="00396D13"/>
    <w:rsid w:val="003B0212"/>
    <w:rsid w:val="003C1C60"/>
    <w:rsid w:val="003C4FF9"/>
    <w:rsid w:val="004522D5"/>
    <w:rsid w:val="004B5568"/>
    <w:rsid w:val="004B7CF9"/>
    <w:rsid w:val="00542D16"/>
    <w:rsid w:val="00561272"/>
    <w:rsid w:val="005C6DF9"/>
    <w:rsid w:val="0061654A"/>
    <w:rsid w:val="006A2C69"/>
    <w:rsid w:val="007270D5"/>
    <w:rsid w:val="00740E77"/>
    <w:rsid w:val="007A0305"/>
    <w:rsid w:val="007E7B21"/>
    <w:rsid w:val="007F2789"/>
    <w:rsid w:val="007F6EBF"/>
    <w:rsid w:val="008E496A"/>
    <w:rsid w:val="00906398"/>
    <w:rsid w:val="009102AF"/>
    <w:rsid w:val="009443C3"/>
    <w:rsid w:val="009B6CE9"/>
    <w:rsid w:val="00A8025E"/>
    <w:rsid w:val="00B5163A"/>
    <w:rsid w:val="00B95E6D"/>
    <w:rsid w:val="00BC09D1"/>
    <w:rsid w:val="00C22778"/>
    <w:rsid w:val="00C3589A"/>
    <w:rsid w:val="00D3362A"/>
    <w:rsid w:val="00D64FD6"/>
    <w:rsid w:val="00E2255D"/>
    <w:rsid w:val="00F06CC0"/>
    <w:rsid w:val="00F13D14"/>
    <w:rsid w:val="00F145ED"/>
    <w:rsid w:val="00F4220F"/>
    <w:rsid w:val="00F70DE4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2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96A"/>
  </w:style>
  <w:style w:type="paragraph" w:styleId="Pta">
    <w:name w:val="footer"/>
    <w:basedOn w:val="Normlny"/>
    <w:link w:val="PtaChar"/>
    <w:uiPriority w:val="99"/>
    <w:unhideWhenUsed/>
    <w:rsid w:val="008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2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96A"/>
  </w:style>
  <w:style w:type="paragraph" w:styleId="Pta">
    <w:name w:val="footer"/>
    <w:basedOn w:val="Normlny"/>
    <w:link w:val="PtaChar"/>
    <w:uiPriority w:val="99"/>
    <w:unhideWhenUsed/>
    <w:rsid w:val="008E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mfsr.sk\DfsRoot\ADRESARE\S18_MEDZINARODNE_VZTAHY\1812_EU%20rozpo&#269;et\MFF_2014_2020\VYPOCTY%20-%20PRIEREZOVE\EU28_pr&#237;jmy%20&#268;&#35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mfsr.sk\DfsRoot\ADRESARE\S18_MEDZINARODNE_VZTAHY\1812_EU%20rozpo&#269;et\MFF_2014_2020\VYPOCTY%20-%20PRIEREZOVE\EU28_pr&#237;jmy%20&#268;&#35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mfsr.sk\DfsRoot\ADRESARE\S18_MEDZINARODNE_VZTAHY\1812_EU%20rozpo&#269;et\MFF_2014_2020\VYPOCTY%20-%20PRIEREZOVE\EU28_pr&#237;jmy%20&#268;&#35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mfsr.sk\DfsRoot\ADRESARE\S18_MEDZINARODNE_VZTAHY\1812_EU%20rozpo&#269;et\MFF_2014_2020\VYPOCTY%20-%20PRIEREZOVE\EU28_pr&#237;jmy%20&#268;&#35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.mfsr.sk\DfsRoot\ADRESARE\S18_MEDZINARODNE_VZTAHY\1812_EU%20rozpo&#269;et\MFF_2014_2020\VYPOCTY%20-%20PRIEREZOVE\EU28_pr&#237;jmy%20&#268;&#3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Predpokladané p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ríjmy ČŠ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EÚ 28 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z rozpočtu EÚ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v</a:t>
            </a:r>
            <a:r>
              <a:rPr lang="sk-SK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mld. EUR 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(2014-2020)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 vyjadrené v záväzkoch EÚ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97474975263223"/>
          <c:y val="2.445984508764777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Príjmy jednotlivých ČŠ z rozpočtu EÚ (2014-2020)</c:v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8.81226000469062E-3"/>
                  <c:y val="-3.74451012000588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203065001172655E-3"/>
                  <c:y val="-1.6339869281045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20,3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prijmy_graf!$A$2:$A$29</c:f>
              <c:strCache>
                <c:ptCount val="28"/>
                <c:pt idx="0">
                  <c:v>PL</c:v>
                </c:pt>
                <c:pt idx="1">
                  <c:v>FR</c:v>
                </c:pt>
                <c:pt idx="2">
                  <c:v>DE</c:v>
                </c:pt>
                <c:pt idx="3">
                  <c:v>IT</c:v>
                </c:pt>
                <c:pt idx="4">
                  <c:v>ES</c:v>
                </c:pt>
                <c:pt idx="5">
                  <c:v>BE</c:v>
                </c:pt>
                <c:pt idx="6">
                  <c:v>UK</c:v>
                </c:pt>
                <c:pt idx="7">
                  <c:v>RO</c:v>
                </c:pt>
                <c:pt idx="8">
                  <c:v>EL</c:v>
                </c:pt>
                <c:pt idx="9">
                  <c:v>HU</c:v>
                </c:pt>
                <c:pt idx="10">
                  <c:v>PT</c:v>
                </c:pt>
                <c:pt idx="11">
                  <c:v>CZ</c:v>
                </c:pt>
                <c:pt idx="12">
                  <c:v>SK</c:v>
                </c:pt>
                <c:pt idx="13">
                  <c:v>BG</c:v>
                </c:pt>
                <c:pt idx="14">
                  <c:v>NL</c:v>
                </c:pt>
                <c:pt idx="15">
                  <c:v>AT</c:v>
                </c:pt>
                <c:pt idx="16">
                  <c:v>SE</c:v>
                </c:pt>
                <c:pt idx="17">
                  <c:v>IE</c:v>
                </c:pt>
                <c:pt idx="18">
                  <c:v>LU</c:v>
                </c:pt>
                <c:pt idx="19">
                  <c:v>LT</c:v>
                </c:pt>
                <c:pt idx="20">
                  <c:v>HR</c:v>
                </c:pt>
                <c:pt idx="21">
                  <c:v>DK</c:v>
                </c:pt>
                <c:pt idx="22">
                  <c:v>FI</c:v>
                </c:pt>
                <c:pt idx="23">
                  <c:v>LV</c:v>
                </c:pt>
                <c:pt idx="24">
                  <c:v>EE</c:v>
                </c:pt>
                <c:pt idx="25">
                  <c:v>SI</c:v>
                </c:pt>
                <c:pt idx="26">
                  <c:v>CY</c:v>
                </c:pt>
                <c:pt idx="27">
                  <c:v>MT</c:v>
                </c:pt>
              </c:strCache>
            </c:strRef>
          </c:cat>
          <c:val>
            <c:numRef>
              <c:f>prijmy_graf!$B$2:$B$29</c:f>
              <c:numCache>
                <c:formatCode>General</c:formatCode>
                <c:ptCount val="28"/>
                <c:pt idx="0">
                  <c:v>119057.59050187381</c:v>
                </c:pt>
                <c:pt idx="1">
                  <c:v>100529.43573007264</c:v>
                </c:pt>
                <c:pt idx="2">
                  <c:v>89750.086857777773</c:v>
                </c:pt>
                <c:pt idx="3">
                  <c:v>88058.328564001713</c:v>
                </c:pt>
                <c:pt idx="4">
                  <c:v>86372.133730538131</c:v>
                </c:pt>
                <c:pt idx="5">
                  <c:v>58197.2911680494</c:v>
                </c:pt>
                <c:pt idx="6">
                  <c:v>54587.221462133035</c:v>
                </c:pt>
                <c:pt idx="7">
                  <c:v>47094.107496446624</c:v>
                </c:pt>
                <c:pt idx="8">
                  <c:v>43458.363883555685</c:v>
                </c:pt>
                <c:pt idx="9">
                  <c:v>35641.018547399923</c:v>
                </c:pt>
                <c:pt idx="10">
                  <c:v>33627.103774392875</c:v>
                </c:pt>
                <c:pt idx="11">
                  <c:v>32124.741075115726</c:v>
                </c:pt>
                <c:pt idx="12">
                  <c:v>20287.553290308737</c:v>
                </c:pt>
                <c:pt idx="13">
                  <c:v>16901.616265236193</c:v>
                </c:pt>
                <c:pt idx="14">
                  <c:v>16625.02872553913</c:v>
                </c:pt>
                <c:pt idx="15">
                  <c:v>15309.734458718518</c:v>
                </c:pt>
                <c:pt idx="16">
                  <c:v>14658.852771020271</c:v>
                </c:pt>
                <c:pt idx="17">
                  <c:v>14330.035038073504</c:v>
                </c:pt>
                <c:pt idx="18">
                  <c:v>13542.784050450457</c:v>
                </c:pt>
                <c:pt idx="19">
                  <c:v>13501.617851528703</c:v>
                </c:pt>
                <c:pt idx="20">
                  <c:v>13000</c:v>
                </c:pt>
                <c:pt idx="21">
                  <c:v>11159.072670429125</c:v>
                </c:pt>
                <c:pt idx="22">
                  <c:v>10786.57146023554</c:v>
                </c:pt>
                <c:pt idx="23">
                  <c:v>8210.6314546050671</c:v>
                </c:pt>
                <c:pt idx="24">
                  <c:v>6103.0488266558987</c:v>
                </c:pt>
                <c:pt idx="25">
                  <c:v>5908.2850239705449</c:v>
                </c:pt>
                <c:pt idx="26">
                  <c:v>1412.0156098204325</c:v>
                </c:pt>
                <c:pt idx="27">
                  <c:v>1067.2751007322556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97120"/>
        <c:axId val="122433536"/>
      </c:barChart>
      <c:catAx>
        <c:axId val="12219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122433536"/>
        <c:crosses val="autoZero"/>
        <c:auto val="1"/>
        <c:lblAlgn val="ctr"/>
        <c:lblOffset val="100"/>
        <c:noMultiLvlLbl val="0"/>
      </c:catAx>
      <c:valAx>
        <c:axId val="122433536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122197120"/>
        <c:crosses val="autoZero"/>
        <c:crossBetween val="between"/>
        <c:dispUnits>
          <c:builtInUnit val="thousan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Predpokladané o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dvody ČŠ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EÚ 28 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do rozpočtu EÚ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v mld.</a:t>
            </a:r>
            <a:r>
              <a:rPr lang="sk-SK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EUR </a:t>
            </a: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(2014-2020) </a:t>
            </a:r>
            <a:endParaRPr lang="sk-SK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6106320043327921E-2"/>
          <c:y val="0.22897608739866926"/>
          <c:w val="0.90750249449407216"/>
          <c:h val="0.67131834506515553"/>
        </c:manualLayout>
      </c:layout>
      <c:barChart>
        <c:barDir val="col"/>
        <c:grouping val="clustered"/>
        <c:varyColors val="0"/>
        <c:ser>
          <c:idx val="0"/>
          <c:order val="0"/>
          <c:tx>
            <c:v>Odvody jednotlivých ČŠ do rozpočtu EÚ (2014-2020) v mil. EUR</c:v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7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7"/>
              <c:layout>
                <c:manualLayout>
                  <c:x val="2.203065001172655E-3"/>
                  <c:y val="1.1066204074163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/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odvody_graf!$A$2:$A$29</c:f>
              <c:strCache>
                <c:ptCount val="28"/>
                <c:pt idx="0">
                  <c:v>DE</c:v>
                </c:pt>
                <c:pt idx="1">
                  <c:v>FR</c:v>
                </c:pt>
                <c:pt idx="2">
                  <c:v>IT</c:v>
                </c:pt>
                <c:pt idx="3">
                  <c:v>UK</c:v>
                </c:pt>
                <c:pt idx="4">
                  <c:v>ES</c:v>
                </c:pt>
                <c:pt idx="5">
                  <c:v>NL</c:v>
                </c:pt>
                <c:pt idx="6">
                  <c:v>BE</c:v>
                </c:pt>
                <c:pt idx="7">
                  <c:v>PL</c:v>
                </c:pt>
                <c:pt idx="8">
                  <c:v>SE</c:v>
                </c:pt>
                <c:pt idx="9">
                  <c:v>AT</c:v>
                </c:pt>
                <c:pt idx="10">
                  <c:v>DK</c:v>
                </c:pt>
                <c:pt idx="11">
                  <c:v>FI</c:v>
                </c:pt>
                <c:pt idx="12">
                  <c:v>EL</c:v>
                </c:pt>
                <c:pt idx="13">
                  <c:v>PT</c:v>
                </c:pt>
                <c:pt idx="14">
                  <c:v>RO</c:v>
                </c:pt>
                <c:pt idx="15">
                  <c:v>CZ</c:v>
                </c:pt>
                <c:pt idx="16">
                  <c:v>IE</c:v>
                </c:pt>
                <c:pt idx="17">
                  <c:v>HU</c:v>
                </c:pt>
                <c:pt idx="18">
                  <c:v>SK</c:v>
                </c:pt>
                <c:pt idx="19">
                  <c:v>HR</c:v>
                </c:pt>
                <c:pt idx="20">
                  <c:v>BG</c:v>
                </c:pt>
                <c:pt idx="21">
                  <c:v>LT</c:v>
                </c:pt>
                <c:pt idx="22">
                  <c:v>SI</c:v>
                </c:pt>
                <c:pt idx="23">
                  <c:v>LU</c:v>
                </c:pt>
                <c:pt idx="24">
                  <c:v>LV</c:v>
                </c:pt>
                <c:pt idx="25">
                  <c:v>EE</c:v>
                </c:pt>
                <c:pt idx="26">
                  <c:v>CY</c:v>
                </c:pt>
                <c:pt idx="27">
                  <c:v>MT</c:v>
                </c:pt>
              </c:strCache>
            </c:strRef>
          </c:cat>
          <c:val>
            <c:numRef>
              <c:f>odvody_graf!$B$2:$B$29</c:f>
              <c:numCache>
                <c:formatCode>General</c:formatCode>
                <c:ptCount val="28"/>
                <c:pt idx="0">
                  <c:v>213851.86459614217</c:v>
                </c:pt>
                <c:pt idx="1">
                  <c:v>180281.35748470048</c:v>
                </c:pt>
                <c:pt idx="2">
                  <c:v>132190.76024425303</c:v>
                </c:pt>
                <c:pt idx="3">
                  <c:v>115335.38419655169</c:v>
                </c:pt>
                <c:pt idx="4">
                  <c:v>87768.893950369122</c:v>
                </c:pt>
                <c:pt idx="5">
                  <c:v>54231.286846893046</c:v>
                </c:pt>
                <c:pt idx="6">
                  <c:v>44638.36024674146</c:v>
                </c:pt>
                <c:pt idx="7">
                  <c:v>36346.784838537118</c:v>
                </c:pt>
                <c:pt idx="8">
                  <c:v>33087.371390227367</c:v>
                </c:pt>
                <c:pt idx="9">
                  <c:v>23344.849660557429</c:v>
                </c:pt>
                <c:pt idx="10">
                  <c:v>21377.810865772997</c:v>
                </c:pt>
                <c:pt idx="11">
                  <c:v>17228.776841781731</c:v>
                </c:pt>
                <c:pt idx="12">
                  <c:v>14532.235754923604</c:v>
                </c:pt>
                <c:pt idx="13">
                  <c:v>13617.853095392711</c:v>
                </c:pt>
                <c:pt idx="14">
                  <c:v>13408.166443973714</c:v>
                </c:pt>
                <c:pt idx="15">
                  <c:v>12881.730577890188</c:v>
                </c:pt>
                <c:pt idx="16">
                  <c:v>12496.713911315102</c:v>
                </c:pt>
                <c:pt idx="17">
                  <c:v>8339.9885744362764</c:v>
                </c:pt>
                <c:pt idx="18">
                  <c:v>6786.1344707135968</c:v>
                </c:pt>
                <c:pt idx="19">
                  <c:v>3942.1481598070422</c:v>
                </c:pt>
                <c:pt idx="20">
                  <c:v>3845.5633177773066</c:v>
                </c:pt>
                <c:pt idx="21">
                  <c:v>3293.2989281266487</c:v>
                </c:pt>
                <c:pt idx="22">
                  <c:v>3280.5860223097015</c:v>
                </c:pt>
                <c:pt idx="23">
                  <c:v>2847.2437810706797</c:v>
                </c:pt>
                <c:pt idx="24">
                  <c:v>2140.5184150755758</c:v>
                </c:pt>
                <c:pt idx="25">
                  <c:v>1703.1878822415106</c:v>
                </c:pt>
                <c:pt idx="26">
                  <c:v>1339.1222565473799</c:v>
                </c:pt>
                <c:pt idx="27">
                  <c:v>615.39356192751143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12160"/>
        <c:axId val="20816640"/>
      </c:barChart>
      <c:catAx>
        <c:axId val="136412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20816640"/>
        <c:crosses val="autoZero"/>
        <c:auto val="1"/>
        <c:lblAlgn val="ctr"/>
        <c:lblOffset val="100"/>
        <c:noMultiLvlLbl val="0"/>
      </c:catAx>
      <c:valAx>
        <c:axId val="20816640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136412160"/>
        <c:crosses val="autoZero"/>
        <c:crossBetween val="between"/>
        <c:dispUnits>
          <c:builtInUnit val="thousan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Čistá finančná pozícia ČŠ EÚ 28 voči rozpočtu EÚ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v mld. EUR (2014-2020)</a:t>
            </a:r>
            <a:r>
              <a:rPr lang="sk-SK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ako rozdiel </a:t>
            </a:r>
            <a:r>
              <a:rPr lang="sk-SK" sz="1600">
                <a:latin typeface="Times New Roman" panose="02020603050405020304" pitchFamily="18" charset="0"/>
                <a:cs typeface="Times New Roman" panose="02020603050405020304" pitchFamily="18" charset="0"/>
              </a:rPr>
              <a:t>príjmov (vyjadrených v záväzkoch EÚ) a </a:t>
            </a:r>
            <a:r>
              <a:rPr lang="sk-SK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odvodov</a:t>
            </a:r>
            <a:endParaRPr lang="sk-SK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Čistá finančná pozícia jednotlicých ČŠ voči rozpočtu EÚ v mil. EUR (2014-2020)</c:v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4.40613000234531E-3"/>
                  <c:y val="3.6218193225486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4487277290194642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ČFP_graf!$A$2:$A$29</c:f>
              <c:strCache>
                <c:ptCount val="28"/>
                <c:pt idx="0">
                  <c:v>PL</c:v>
                </c:pt>
                <c:pt idx="1">
                  <c:v>RO</c:v>
                </c:pt>
                <c:pt idx="2">
                  <c:v>EL</c:v>
                </c:pt>
                <c:pt idx="3">
                  <c:v>HU</c:v>
                </c:pt>
                <c:pt idx="4">
                  <c:v>PT</c:v>
                </c:pt>
                <c:pt idx="5">
                  <c:v>CZ</c:v>
                </c:pt>
                <c:pt idx="6">
                  <c:v>BE</c:v>
                </c:pt>
                <c:pt idx="7">
                  <c:v>SK</c:v>
                </c:pt>
                <c:pt idx="8">
                  <c:v>BG</c:v>
                </c:pt>
                <c:pt idx="9">
                  <c:v>LU</c:v>
                </c:pt>
                <c:pt idx="10">
                  <c:v>LT</c:v>
                </c:pt>
                <c:pt idx="11">
                  <c:v>HR</c:v>
                </c:pt>
                <c:pt idx="12">
                  <c:v>LV</c:v>
                </c:pt>
                <c:pt idx="13">
                  <c:v>EE</c:v>
                </c:pt>
                <c:pt idx="14">
                  <c:v>SI</c:v>
                </c:pt>
                <c:pt idx="15">
                  <c:v>IE</c:v>
                </c:pt>
                <c:pt idx="16">
                  <c:v>MT</c:v>
                </c:pt>
                <c:pt idx="17">
                  <c:v>CY</c:v>
                </c:pt>
                <c:pt idx="18">
                  <c:v>ES</c:v>
                </c:pt>
                <c:pt idx="19">
                  <c:v>FI</c:v>
                </c:pt>
                <c:pt idx="20">
                  <c:v>AT</c:v>
                </c:pt>
                <c:pt idx="21">
                  <c:v>DK</c:v>
                </c:pt>
                <c:pt idx="22">
                  <c:v>SE</c:v>
                </c:pt>
                <c:pt idx="23">
                  <c:v>NL</c:v>
                </c:pt>
                <c:pt idx="24">
                  <c:v>IT</c:v>
                </c:pt>
                <c:pt idx="25">
                  <c:v>UK</c:v>
                </c:pt>
                <c:pt idx="26">
                  <c:v>FR</c:v>
                </c:pt>
                <c:pt idx="27">
                  <c:v>DE</c:v>
                </c:pt>
              </c:strCache>
            </c:strRef>
          </c:cat>
          <c:val>
            <c:numRef>
              <c:f>ČFP_graf!$B$2:$B$29</c:f>
              <c:numCache>
                <c:formatCode>General</c:formatCode>
                <c:ptCount val="28"/>
                <c:pt idx="0">
                  <c:v>82710.805663336694</c:v>
                </c:pt>
                <c:pt idx="1">
                  <c:v>33685.94105247291</c:v>
                </c:pt>
                <c:pt idx="2">
                  <c:v>28926.128128632081</c:v>
                </c:pt>
                <c:pt idx="3">
                  <c:v>27301.029972963646</c:v>
                </c:pt>
                <c:pt idx="4">
                  <c:v>20009.250679000164</c:v>
                </c:pt>
                <c:pt idx="5">
                  <c:v>19243.010497225536</c:v>
                </c:pt>
                <c:pt idx="6">
                  <c:v>13558.93092130794</c:v>
                </c:pt>
                <c:pt idx="7">
                  <c:v>13501.418819595139</c:v>
                </c:pt>
                <c:pt idx="8">
                  <c:v>13056.052947458886</c:v>
                </c:pt>
                <c:pt idx="9">
                  <c:v>10695.540269379777</c:v>
                </c:pt>
                <c:pt idx="10">
                  <c:v>10208.318923402054</c:v>
                </c:pt>
                <c:pt idx="11">
                  <c:v>9057.8518401929578</c:v>
                </c:pt>
                <c:pt idx="12">
                  <c:v>6070.1130395294913</c:v>
                </c:pt>
                <c:pt idx="13">
                  <c:v>4399.8609444143876</c:v>
                </c:pt>
                <c:pt idx="14">
                  <c:v>2627.6990016608434</c:v>
                </c:pt>
                <c:pt idx="15">
                  <c:v>1833.3211267584011</c:v>
                </c:pt>
                <c:pt idx="16">
                  <c:v>451.8815388047442</c:v>
                </c:pt>
                <c:pt idx="17">
                  <c:v>72.893353273052526</c:v>
                </c:pt>
                <c:pt idx="18">
                  <c:v>-1396.7602198309905</c:v>
                </c:pt>
                <c:pt idx="19">
                  <c:v>-6442.2053815461913</c:v>
                </c:pt>
                <c:pt idx="20">
                  <c:v>-8035.1152018389112</c:v>
                </c:pt>
                <c:pt idx="21">
                  <c:v>-10218.738195343873</c:v>
                </c:pt>
                <c:pt idx="22">
                  <c:v>-18428.518619207098</c:v>
                </c:pt>
                <c:pt idx="23">
                  <c:v>-37606.258121353916</c:v>
                </c:pt>
                <c:pt idx="24">
                  <c:v>-44132.43168025132</c:v>
                </c:pt>
                <c:pt idx="25">
                  <c:v>-60748.162734418656</c:v>
                </c:pt>
                <c:pt idx="26">
                  <c:v>-79751.921754627838</c:v>
                </c:pt>
                <c:pt idx="27">
                  <c:v>-124101.7777383644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48000"/>
        <c:axId val="20862080"/>
      </c:barChart>
      <c:catAx>
        <c:axId val="20848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20862080"/>
        <c:crosses val="autoZero"/>
        <c:auto val="1"/>
        <c:lblAlgn val="ctr"/>
        <c:lblOffset val="100"/>
        <c:noMultiLvlLbl val="0"/>
      </c:catAx>
      <c:valAx>
        <c:axId val="20862080"/>
        <c:scaling>
          <c:orientation val="minMax"/>
          <c:max val="100000"/>
          <c:min val="-125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20848000"/>
        <c:crosses val="autoZero"/>
        <c:crossBetween val="between"/>
        <c:majorUnit val="25000"/>
        <c:dispUnits>
          <c:builtInUnit val="thousan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sk-SK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Predpokladaná č</a:t>
            </a:r>
            <a:r>
              <a:rPr lang="en-US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istá finančná pozícia ČŠ</a:t>
            </a:r>
            <a:r>
              <a:rPr lang="sk-SK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EÚ 28</a:t>
            </a:r>
            <a:r>
              <a:rPr lang="en-US" sz="18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vyjadrená ako % HDP (2014-2020)</a:t>
            </a:r>
            <a:endParaRPr lang="sk-SK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Čistá finančná pozícia jednotlivých ČŠ vyjadrená ako % HDP (2014-2020)</c:v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3"/>
              <c:layout>
                <c:manualLayout>
                  <c:x val="2.2038567493112946E-3"/>
                  <c:y val="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403573658509729E-17"/>
                  <c:y val="7.511737089201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611570247933884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/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1019283746556474E-2"/>
                  <c:y val="-2.2535211267605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sk-SK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'ČFP(HDP)_graf'!$A$2:$A$29</c:f>
              <c:strCache>
                <c:ptCount val="28"/>
                <c:pt idx="0">
                  <c:v>LU</c:v>
                </c:pt>
                <c:pt idx="1">
                  <c:v>BG</c:v>
                </c:pt>
                <c:pt idx="2">
                  <c:v>LT</c:v>
                </c:pt>
                <c:pt idx="3">
                  <c:v>HU</c:v>
                </c:pt>
                <c:pt idx="4">
                  <c:v>LV</c:v>
                </c:pt>
                <c:pt idx="5">
                  <c:v>EE</c:v>
                </c:pt>
                <c:pt idx="6">
                  <c:v>RO</c:v>
                </c:pt>
                <c:pt idx="7">
                  <c:v>HR</c:v>
                </c:pt>
                <c:pt idx="8">
                  <c:v>PL</c:v>
                </c:pt>
                <c:pt idx="9">
                  <c:v>SK</c:v>
                </c:pt>
                <c:pt idx="10">
                  <c:v>EL</c:v>
                </c:pt>
                <c:pt idx="11">
                  <c:v>CZ</c:v>
                </c:pt>
                <c:pt idx="12">
                  <c:v>PT</c:v>
                </c:pt>
                <c:pt idx="13">
                  <c:v>SI</c:v>
                </c:pt>
                <c:pt idx="14">
                  <c:v>MT</c:v>
                </c:pt>
                <c:pt idx="15">
                  <c:v>BE</c:v>
                </c:pt>
                <c:pt idx="16">
                  <c:v>IE</c:v>
                </c:pt>
                <c:pt idx="17">
                  <c:v>CY</c:v>
                </c:pt>
                <c:pt idx="18">
                  <c:v>ES</c:v>
                </c:pt>
                <c:pt idx="19">
                  <c:v>AT</c:v>
                </c:pt>
                <c:pt idx="20">
                  <c:v>IT</c:v>
                </c:pt>
                <c:pt idx="21">
                  <c:v>UK</c:v>
                </c:pt>
                <c:pt idx="22">
                  <c:v>FI</c:v>
                </c:pt>
                <c:pt idx="23">
                  <c:v>FR</c:v>
                </c:pt>
                <c:pt idx="24">
                  <c:v>DK</c:v>
                </c:pt>
                <c:pt idx="25">
                  <c:v>SE</c:v>
                </c:pt>
                <c:pt idx="26">
                  <c:v>DE</c:v>
                </c:pt>
                <c:pt idx="27">
                  <c:v>NL</c:v>
                </c:pt>
              </c:strCache>
            </c:strRef>
          </c:cat>
          <c:val>
            <c:numRef>
              <c:f>'ČFP(HDP)_graf'!$B$2:$B$29</c:f>
              <c:numCache>
                <c:formatCode>0.00%</c:formatCode>
                <c:ptCount val="28"/>
                <c:pt idx="0">
                  <c:v>3.9236984988019509E-2</c:v>
                </c:pt>
                <c:pt idx="1">
                  <c:v>3.9026011173576604E-2</c:v>
                </c:pt>
                <c:pt idx="2">
                  <c:v>3.5948388646581696E-2</c:v>
                </c:pt>
                <c:pt idx="3">
                  <c:v>3.5593515014210091E-2</c:v>
                </c:pt>
                <c:pt idx="4">
                  <c:v>3.0734633385114486E-2</c:v>
                </c:pt>
                <c:pt idx="5">
                  <c:v>2.9510880308787315E-2</c:v>
                </c:pt>
                <c:pt idx="6">
                  <c:v>2.6775371382691836E-2</c:v>
                </c:pt>
                <c:pt idx="7">
                  <c:v>2.6213170584796924E-2</c:v>
                </c:pt>
                <c:pt idx="8">
                  <c:v>2.5555379577223938E-2</c:v>
                </c:pt>
                <c:pt idx="9">
                  <c:v>2.1499999999999998E-2</c:v>
                </c:pt>
                <c:pt idx="10">
                  <c:v>2.0190373875534816E-2</c:v>
                </c:pt>
                <c:pt idx="11">
                  <c:v>1.7009239981209092E-2</c:v>
                </c:pt>
                <c:pt idx="12">
                  <c:v>1.6014402744215277E-2</c:v>
                </c:pt>
                <c:pt idx="13">
                  <c:v>9.6023604940696679E-3</c:v>
                </c:pt>
                <c:pt idx="14">
                  <c:v>8.5013277115244881E-3</c:v>
                </c:pt>
                <c:pt idx="15">
                  <c:v>4.3625312755760206E-3</c:v>
                </c:pt>
                <c:pt idx="16">
                  <c:v>1.6660137931786118E-3</c:v>
                </c:pt>
                <c:pt idx="17">
                  <c:v>6.0195114934193019E-4</c:v>
                </c:pt>
                <c:pt idx="18">
                  <c:v>-1.7230461965604284E-4</c:v>
                </c:pt>
                <c:pt idx="19">
                  <c:v>-3.1616236182353198E-3</c:v>
                </c:pt>
                <c:pt idx="20">
                  <c:v>-3.5734941170634821E-3</c:v>
                </c:pt>
                <c:pt idx="21">
                  <c:v>-3.87440804870906E-3</c:v>
                </c:pt>
                <c:pt idx="22">
                  <c:v>-4.0188473862834695E-3</c:v>
                </c:pt>
                <c:pt idx="23">
                  <c:v>-4.7311813885614774E-3</c:v>
                </c:pt>
                <c:pt idx="24">
                  <c:v>-5.048163721272942E-3</c:v>
                </c:pt>
                <c:pt idx="25">
                  <c:v>-5.239006408760228E-3</c:v>
                </c:pt>
                <c:pt idx="26">
                  <c:v>-5.7120780896752089E-3</c:v>
                </c:pt>
                <c:pt idx="27">
                  <c:v>-7.4968928701078111E-3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77376"/>
        <c:axId val="27878912"/>
      </c:barChart>
      <c:catAx>
        <c:axId val="27877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27878912"/>
        <c:crosses val="autoZero"/>
        <c:auto val="1"/>
        <c:lblAlgn val="ctr"/>
        <c:lblOffset val="100"/>
        <c:noMultiLvlLbl val="0"/>
      </c:catAx>
      <c:valAx>
        <c:axId val="27878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/>
          </a:p>
        </c:txPr>
        <c:crossAx val="2787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sk-SK" sz="1400"/>
              <a:t>Predpokladaná čistá finančná pozícia voči rozpočtu EÚ </a:t>
            </a:r>
          </a:p>
          <a:p>
            <a:pPr>
              <a:defRPr sz="1400"/>
            </a:pPr>
            <a:r>
              <a:rPr lang="sk-SK" sz="1400"/>
              <a:t>na obyvateľa</a:t>
            </a:r>
            <a:r>
              <a:rPr lang="sk-SK" sz="1400" baseline="0"/>
              <a:t> v EUR </a:t>
            </a:r>
            <a:r>
              <a:rPr lang="sk-SK" sz="1400"/>
              <a:t>(celková suma za roky 2014 až 2020)</a:t>
            </a:r>
            <a:endParaRPr lang="en-US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'ČFP(per capita)_graf'!$B$1</c:f>
              <c:strCache>
                <c:ptCount val="1"/>
                <c:pt idx="0">
                  <c:v>ČFP per capita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09722222222222E-3"/>
                  <c:y val="7.8395061728395062E-3"/>
                </c:manualLayout>
              </c:layout>
              <c:numFmt formatCode="#,##0" sourceLinked="0"/>
              <c:spPr/>
              <c:txPr>
                <a:bodyPr/>
                <a:lstStyle/>
                <a:p>
                  <a:pPr>
                    <a:defRPr b="1"/>
                  </a:pPr>
                  <a:endParaRPr lang="sk-SK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6145833333333334E-3"/>
                  <c:y val="1.175925925925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'ČFP(per capita)_graf'!$A$2:$A$29</c:f>
              <c:strCache>
                <c:ptCount val="28"/>
                <c:pt idx="0">
                  <c:v>LU</c:v>
                </c:pt>
                <c:pt idx="1">
                  <c:v>LT</c:v>
                </c:pt>
                <c:pt idx="2">
                  <c:v>EE</c:v>
                </c:pt>
                <c:pt idx="3">
                  <c:v>LV</c:v>
                </c:pt>
                <c:pt idx="4">
                  <c:v>HU</c:v>
                </c:pt>
                <c:pt idx="5">
                  <c:v>EL</c:v>
                </c:pt>
                <c:pt idx="6">
                  <c:v>SK</c:v>
                </c:pt>
                <c:pt idx="7">
                  <c:v>PL</c:v>
                </c:pt>
                <c:pt idx="8">
                  <c:v>HR</c:v>
                </c:pt>
                <c:pt idx="9">
                  <c:v>PT</c:v>
                </c:pt>
                <c:pt idx="10">
                  <c:v>BG</c:v>
                </c:pt>
                <c:pt idx="11">
                  <c:v>CZ</c:v>
                </c:pt>
                <c:pt idx="12">
                  <c:v>RO</c:v>
                </c:pt>
                <c:pt idx="13">
                  <c:v>SI</c:v>
                </c:pt>
                <c:pt idx="14">
                  <c:v>BE</c:v>
                </c:pt>
                <c:pt idx="15">
                  <c:v>MT</c:v>
                </c:pt>
                <c:pt idx="16">
                  <c:v>IE</c:v>
                </c:pt>
                <c:pt idx="17">
                  <c:v>CY</c:v>
                </c:pt>
                <c:pt idx="18">
                  <c:v>ES</c:v>
                </c:pt>
                <c:pt idx="19">
                  <c:v>IT</c:v>
                </c:pt>
                <c:pt idx="20">
                  <c:v>UK</c:v>
                </c:pt>
                <c:pt idx="21">
                  <c:v>AT</c:v>
                </c:pt>
                <c:pt idx="22">
                  <c:v>FI</c:v>
                </c:pt>
                <c:pt idx="23">
                  <c:v>FR</c:v>
                </c:pt>
                <c:pt idx="24">
                  <c:v>DE</c:v>
                </c:pt>
                <c:pt idx="25">
                  <c:v>DK</c:v>
                </c:pt>
                <c:pt idx="26">
                  <c:v>SE</c:v>
                </c:pt>
                <c:pt idx="27">
                  <c:v>NL</c:v>
                </c:pt>
              </c:strCache>
            </c:strRef>
          </c:cat>
          <c:val>
            <c:numRef>
              <c:f>'ČFP(per capita)_graf'!$B$2:$B$29</c:f>
              <c:numCache>
                <c:formatCode>General</c:formatCode>
                <c:ptCount val="28"/>
                <c:pt idx="0">
                  <c:v>19060.615343207006</c:v>
                </c:pt>
                <c:pt idx="1">
                  <c:v>3336.9319697717842</c:v>
                </c:pt>
                <c:pt idx="2">
                  <c:v>3305.2969767328941</c:v>
                </c:pt>
                <c:pt idx="3">
                  <c:v>2927.3201604110186</c:v>
                </c:pt>
                <c:pt idx="4">
                  <c:v>2758.1936829506922</c:v>
                </c:pt>
                <c:pt idx="5">
                  <c:v>2533.0706627898185</c:v>
                </c:pt>
                <c:pt idx="6">
                  <c:v>2451.0764485919212</c:v>
                </c:pt>
                <c:pt idx="7">
                  <c:v>2151.2157186388285</c:v>
                </c:pt>
                <c:pt idx="8">
                  <c:v>2132.9154025932976</c:v>
                </c:pt>
                <c:pt idx="9">
                  <c:v>1875.2185720317934</c:v>
                </c:pt>
                <c:pt idx="10">
                  <c:v>1820.5844640127348</c:v>
                </c:pt>
                <c:pt idx="11">
                  <c:v>1804.5696575160227</c:v>
                </c:pt>
                <c:pt idx="12">
                  <c:v>1594.2000779720197</c:v>
                </c:pt>
                <c:pt idx="13">
                  <c:v>1249.7626114378475</c:v>
                </c:pt>
                <c:pt idx="14">
                  <c:v>1188.6847333500609</c:v>
                </c:pt>
                <c:pt idx="15">
                  <c:v>1079.6731431497308</c:v>
                </c:pt>
                <c:pt idx="16">
                  <c:v>386.76428804871432</c:v>
                </c:pt>
                <c:pt idx="17">
                  <c:v>82.066223318223649</c:v>
                </c:pt>
                <c:pt idx="18">
                  <c:v>-29.740807481895409</c:v>
                </c:pt>
                <c:pt idx="19">
                  <c:v>-710.54371269435569</c:v>
                </c:pt>
                <c:pt idx="20">
                  <c:v>-930.51030283234297</c:v>
                </c:pt>
                <c:pt idx="21">
                  <c:v>-938.84729687584047</c:v>
                </c:pt>
                <c:pt idx="22">
                  <c:v>-1167.0060449866651</c:v>
                </c:pt>
                <c:pt idx="23">
                  <c:v>-1190.6359293723399</c:v>
                </c:pt>
                <c:pt idx="24">
                  <c:v>-1530.8436207032203</c:v>
                </c:pt>
                <c:pt idx="25">
                  <c:v>-1802.1620494248191</c:v>
                </c:pt>
                <c:pt idx="26">
                  <c:v>-1869.6703195001032</c:v>
                </c:pt>
                <c:pt idx="27">
                  <c:v>-2204.2639325850096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653312"/>
        <c:axId val="96654848"/>
      </c:barChart>
      <c:catAx>
        <c:axId val="96653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sk-SK"/>
          </a:p>
        </c:txPr>
        <c:crossAx val="96654848"/>
        <c:crosses val="autoZero"/>
        <c:auto val="1"/>
        <c:lblAlgn val="ctr"/>
        <c:lblOffset val="100"/>
        <c:noMultiLvlLbl val="0"/>
      </c:catAx>
      <c:valAx>
        <c:axId val="96654848"/>
        <c:scaling>
          <c:orientation val="minMax"/>
          <c:max val="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533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A36E-8CE1-4F1C-BBAA-A0AAAB5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Šimo</dc:creator>
  <cp:lastModifiedBy>Andrej Šimo</cp:lastModifiedBy>
  <cp:revision>4</cp:revision>
  <cp:lastPrinted>2013-12-12T08:08:00Z</cp:lastPrinted>
  <dcterms:created xsi:type="dcterms:W3CDTF">2013-12-11T13:43:00Z</dcterms:created>
  <dcterms:modified xsi:type="dcterms:W3CDTF">2013-12-12T08:13:00Z</dcterms:modified>
</cp:coreProperties>
</file>