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E2" w:rsidRPr="00CC1DE2" w:rsidRDefault="00AC1FD7" w:rsidP="00CC1DE2">
      <w:pPr>
        <w:spacing w:after="0"/>
        <w:jc w:val="right"/>
        <w:rPr>
          <w:rFonts w:ascii="Times New Roman" w:hAnsi="Times New Roman" w:cs="Times New Roman"/>
        </w:rPr>
      </w:pPr>
      <w:r w:rsidRPr="00CC1DE2">
        <w:rPr>
          <w:rFonts w:ascii="Times New Roman" w:hAnsi="Times New Roman" w:cs="Times New Roman"/>
        </w:rPr>
        <w:t xml:space="preserve">Príloha </w:t>
      </w:r>
      <w:r w:rsidR="00CC1DE2" w:rsidRPr="00CC1DE2">
        <w:rPr>
          <w:rFonts w:ascii="Times New Roman" w:hAnsi="Times New Roman" w:cs="Times New Roman"/>
        </w:rPr>
        <w:t>č. 2</w:t>
      </w:r>
    </w:p>
    <w:p w:rsidR="00CC1DE2" w:rsidRDefault="00CC1DE2" w:rsidP="00CC1DE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4AC0">
        <w:rPr>
          <w:rFonts w:ascii="Times New Roman" w:hAnsi="Times New Roman" w:cs="Times New Roman"/>
          <w:i/>
          <w:sz w:val="20"/>
          <w:szCs w:val="20"/>
        </w:rPr>
        <w:t>Analýza stavu úrazovosti a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Pr="00104AC0">
        <w:rPr>
          <w:rFonts w:ascii="Times New Roman" w:hAnsi="Times New Roman" w:cs="Times New Roman"/>
          <w:i/>
          <w:sz w:val="20"/>
          <w:szCs w:val="20"/>
        </w:rPr>
        <w:t>bezpečnosti</w:t>
      </w:r>
    </w:p>
    <w:p w:rsidR="00CC1DE2" w:rsidRPr="00104AC0" w:rsidRDefault="00CC1DE2" w:rsidP="00CC1DE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4AC0">
        <w:rPr>
          <w:rFonts w:ascii="Times New Roman" w:hAnsi="Times New Roman" w:cs="Times New Roman"/>
          <w:i/>
          <w:sz w:val="20"/>
          <w:szCs w:val="20"/>
        </w:rPr>
        <w:t xml:space="preserve"> detí a mládeže v Slovenskej republike</w:t>
      </w:r>
    </w:p>
    <w:p w:rsidR="00CC1DE2" w:rsidRDefault="00CC1DE2" w:rsidP="00CC1DE2">
      <w:pPr>
        <w:spacing w:after="0"/>
      </w:pPr>
    </w:p>
    <w:p w:rsidR="00B15E8E" w:rsidRDefault="00B15E8E">
      <w:pPr>
        <w:rPr>
          <w:i/>
        </w:rPr>
      </w:pPr>
    </w:p>
    <w:p w:rsidR="003E0717" w:rsidRDefault="003E0717">
      <w:pPr>
        <w:rPr>
          <w:i/>
        </w:rPr>
      </w:pPr>
    </w:p>
    <w:p w:rsidR="00F935BB" w:rsidRDefault="00F935BB">
      <w:pPr>
        <w:rPr>
          <w:i/>
        </w:rPr>
      </w:pPr>
    </w:p>
    <w:p w:rsidR="00D62FCF" w:rsidRDefault="00D62FCF">
      <w:pPr>
        <w:rPr>
          <w:i/>
        </w:rPr>
      </w:pPr>
      <w:r w:rsidRPr="00D62FCF">
        <w:rPr>
          <w:i/>
        </w:rPr>
        <w:t>Graf</w:t>
      </w:r>
      <w:r>
        <w:rPr>
          <w:i/>
        </w:rPr>
        <w:t xml:space="preserve"> č.</w:t>
      </w:r>
      <w:r w:rsidRPr="00D62FCF">
        <w:rPr>
          <w:i/>
        </w:rPr>
        <w:t xml:space="preserve"> 1 Potenciál pre záchranu životov detí a mladistvých v hodnotených 31 krajinách </w:t>
      </w:r>
    </w:p>
    <w:p w:rsidR="00704475" w:rsidRPr="00B15E8E" w:rsidRDefault="00B15E8E" w:rsidP="00B15E8E">
      <w:pPr>
        <w:rPr>
          <w:i/>
        </w:rPr>
      </w:pPr>
      <w:r w:rsidRPr="00B15E8E">
        <w:rPr>
          <w:i/>
          <w:noProof/>
          <w:lang w:eastAsia="sk-SK"/>
        </w:rPr>
        <w:drawing>
          <wp:inline distT="0" distB="0" distL="0" distR="0">
            <wp:extent cx="5765361" cy="6722305"/>
            <wp:effectExtent l="19050" t="0" r="25839" b="2345"/>
            <wp:docPr id="81" name="Graf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62FCF" w:rsidRPr="00D62FCF">
        <w:rPr>
          <w:sz w:val="20"/>
          <w:szCs w:val="20"/>
        </w:rPr>
        <w:t>Zdroj: Child Safety Report Card Europe 2012 – Summary for 31 Countries</w:t>
      </w:r>
    </w:p>
    <w:p w:rsidR="00653F18" w:rsidRDefault="00653F18" w:rsidP="00D62FCF">
      <w:pPr>
        <w:spacing w:after="0"/>
        <w:sectPr w:rsidR="00653F18" w:rsidSect="00653F18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1132"/>
          <w:docGrid w:linePitch="360"/>
        </w:sectPr>
      </w:pPr>
    </w:p>
    <w:p w:rsidR="00CC1DE2" w:rsidRDefault="00CC1DE2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F5C6F" w:rsidRDefault="00FF5C6F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F5C6F" w:rsidRDefault="00FF5C6F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6F65" w:rsidRPr="00F4538D" w:rsidRDefault="00E86F65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Tab.č.1 </w:t>
      </w:r>
      <w:r w:rsidRPr="00145AB2">
        <w:rPr>
          <w:rFonts w:ascii="Times New Roman" w:hAnsi="Times New Roman" w:cs="Times New Roman"/>
          <w:i/>
        </w:rPr>
        <w:t xml:space="preserve">Počet úmrtí detí vo veku 0-19 </w:t>
      </w:r>
      <w:r w:rsidRPr="00F4538D">
        <w:rPr>
          <w:rFonts w:ascii="Times New Roman" w:hAnsi="Times New Roman" w:cs="Times New Roman"/>
          <w:b/>
          <w:i/>
        </w:rPr>
        <w:t>podľa</w:t>
      </w:r>
    </w:p>
    <w:p w:rsidR="00E86F65" w:rsidRPr="00145AB2" w:rsidRDefault="00E86F65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4538D">
        <w:rPr>
          <w:rFonts w:ascii="Times New Roman" w:hAnsi="Times New Roman" w:cs="Times New Roman"/>
          <w:b/>
          <w:i/>
        </w:rPr>
        <w:t xml:space="preserve"> mechanizmu</w:t>
      </w:r>
      <w:r w:rsidRPr="00145AB2">
        <w:rPr>
          <w:rFonts w:ascii="Times New Roman" w:hAnsi="Times New Roman" w:cs="Times New Roman"/>
          <w:i/>
        </w:rPr>
        <w:t xml:space="preserve"> úmrtia v rokoch 2010, 2011,</w:t>
      </w:r>
    </w:p>
    <w:p w:rsidR="00E86F65" w:rsidRPr="00145AB2" w:rsidRDefault="00E86F65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AB2">
        <w:rPr>
          <w:rFonts w:ascii="Times New Roman" w:hAnsi="Times New Roman" w:cs="Times New Roman"/>
          <w:i/>
        </w:rPr>
        <w:t xml:space="preserve"> 2012 </w:t>
      </w:r>
      <w:r w:rsidR="0089190B">
        <w:rPr>
          <w:rFonts w:ascii="Times New Roman" w:hAnsi="Times New Roman" w:cs="Times New Roman"/>
          <w:i/>
        </w:rPr>
        <w:t>v SR</w:t>
      </w:r>
    </w:p>
    <w:tbl>
      <w:tblPr>
        <w:tblStyle w:val="Svetlpodfarbeniezvraznenie4"/>
        <w:tblW w:w="4077" w:type="dxa"/>
        <w:tblLook w:val="04A0"/>
      </w:tblPr>
      <w:tblGrid>
        <w:gridCol w:w="1242"/>
        <w:gridCol w:w="993"/>
        <w:gridCol w:w="992"/>
        <w:gridCol w:w="850"/>
      </w:tblGrid>
      <w:tr w:rsidR="00E86F65" w:rsidRPr="002D213C" w:rsidTr="003D1365">
        <w:trPr>
          <w:cnfStyle w:val="100000000000"/>
          <w:trHeight w:val="315"/>
        </w:trPr>
        <w:tc>
          <w:tcPr>
            <w:cnfStyle w:val="001000000000"/>
            <w:tcW w:w="1242" w:type="dxa"/>
            <w:vMerge w:val="restart"/>
            <w:noWrap/>
            <w:hideMark/>
          </w:tcPr>
          <w:p w:rsidR="00E86F65" w:rsidRPr="002D213C" w:rsidRDefault="00E86F65" w:rsidP="003D1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6F65" w:rsidRPr="002D213C" w:rsidRDefault="00E86F65" w:rsidP="003D136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86F65" w:rsidRPr="002D213C" w:rsidRDefault="00E86F65" w:rsidP="003D136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86F65" w:rsidRPr="002D213C" w:rsidTr="003D1365">
        <w:trPr>
          <w:cnfStyle w:val="000000100000"/>
          <w:trHeight w:val="330"/>
        </w:trPr>
        <w:tc>
          <w:tcPr>
            <w:cnfStyle w:val="001000000000"/>
            <w:tcW w:w="1242" w:type="dxa"/>
            <w:vMerge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2011</w:t>
            </w:r>
          </w:p>
        </w:tc>
        <w:tc>
          <w:tcPr>
            <w:tcW w:w="850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2012</w:t>
            </w:r>
          </w:p>
        </w:tc>
      </w:tr>
      <w:tr w:rsidR="00E86F65" w:rsidRPr="002D213C" w:rsidTr="003D1365">
        <w:trPr>
          <w:trHeight w:val="330"/>
        </w:trPr>
        <w:tc>
          <w:tcPr>
            <w:cnfStyle w:val="001000000000"/>
            <w:tcW w:w="1242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dopravné</w:t>
            </w:r>
          </w:p>
        </w:tc>
        <w:tc>
          <w:tcPr>
            <w:tcW w:w="993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850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</w:tr>
      <w:tr w:rsidR="00E86F65" w:rsidRPr="002D213C" w:rsidTr="003D1365">
        <w:trPr>
          <w:cnfStyle w:val="000000100000"/>
          <w:trHeight w:val="315"/>
        </w:trPr>
        <w:tc>
          <w:tcPr>
            <w:cnfStyle w:val="001000000000"/>
            <w:tcW w:w="1242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utopenie</w:t>
            </w:r>
          </w:p>
        </w:tc>
        <w:tc>
          <w:tcPr>
            <w:tcW w:w="993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E86F65" w:rsidRPr="002D213C" w:rsidTr="003D1365">
        <w:trPr>
          <w:trHeight w:val="315"/>
        </w:trPr>
        <w:tc>
          <w:tcPr>
            <w:cnfStyle w:val="001000000000"/>
            <w:tcW w:w="1242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pády</w:t>
            </w:r>
          </w:p>
        </w:tc>
        <w:tc>
          <w:tcPr>
            <w:tcW w:w="993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 w:rsidR="00E86F65" w:rsidRPr="002D213C" w:rsidTr="003D1365">
        <w:trPr>
          <w:cnfStyle w:val="000000100000"/>
          <w:trHeight w:val="315"/>
        </w:trPr>
        <w:tc>
          <w:tcPr>
            <w:cnfStyle w:val="001000000000"/>
            <w:tcW w:w="1242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otravy</w:t>
            </w:r>
          </w:p>
        </w:tc>
        <w:tc>
          <w:tcPr>
            <w:tcW w:w="993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E86F65" w:rsidRPr="002D213C" w:rsidTr="003D1365">
        <w:trPr>
          <w:trHeight w:val="315"/>
        </w:trPr>
        <w:tc>
          <w:tcPr>
            <w:cnfStyle w:val="001000000000"/>
            <w:tcW w:w="1242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popálenie</w:t>
            </w:r>
          </w:p>
        </w:tc>
        <w:tc>
          <w:tcPr>
            <w:tcW w:w="993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E86F65" w:rsidRPr="002D213C" w:rsidTr="003D1365">
        <w:trPr>
          <w:cnfStyle w:val="000000100000"/>
          <w:trHeight w:val="315"/>
        </w:trPr>
        <w:tc>
          <w:tcPr>
            <w:cnfStyle w:val="001000000000"/>
            <w:tcW w:w="1242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993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106</w:t>
            </w:r>
          </w:p>
        </w:tc>
        <w:tc>
          <w:tcPr>
            <w:tcW w:w="850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</w:tr>
    </w:tbl>
    <w:p w:rsidR="00E86F65" w:rsidRPr="00CC1DE2" w:rsidRDefault="00CC1DE2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DE2">
        <w:rPr>
          <w:rFonts w:ascii="Times New Roman" w:hAnsi="Times New Roman" w:cs="Times New Roman"/>
          <w:sz w:val="20"/>
          <w:szCs w:val="20"/>
        </w:rPr>
        <w:t>Zdroj: NCZI</w:t>
      </w:r>
    </w:p>
    <w:p w:rsidR="00CC1DE2" w:rsidRDefault="00CC1DE2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DE2" w:rsidRDefault="00CC1DE2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F65" w:rsidRPr="00145AB2" w:rsidRDefault="00E86F65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AB2">
        <w:rPr>
          <w:rFonts w:ascii="Times New Roman" w:hAnsi="Times New Roman" w:cs="Times New Roman"/>
          <w:i/>
        </w:rPr>
        <w:t>Graf č.</w:t>
      </w:r>
      <w:r>
        <w:rPr>
          <w:rFonts w:ascii="Times New Roman" w:hAnsi="Times New Roman" w:cs="Times New Roman"/>
          <w:i/>
        </w:rPr>
        <w:t>2</w:t>
      </w:r>
    </w:p>
    <w:p w:rsidR="00E86F65" w:rsidRDefault="00E86F65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E86F65" w:rsidSect="00145A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D213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2762652" cy="2252312"/>
            <wp:effectExtent l="19050" t="0" r="18648" b="0"/>
            <wp:docPr id="3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6F65" w:rsidRPr="00CC1DE2" w:rsidRDefault="00E86F65" w:rsidP="00E86F65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1DE2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CC1DE2" w:rsidRDefault="00E86F65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C1DE2" w:rsidRDefault="00CC1DE2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F65" w:rsidRPr="00E86F65" w:rsidRDefault="00E86F65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F65">
        <w:rPr>
          <w:rFonts w:ascii="Times New Roman" w:hAnsi="Times New Roman" w:cs="Times New Roman"/>
          <w:i/>
        </w:rPr>
        <w:t>Tab. č.2 Štandardizovaná úmrtnosť/100 000</w:t>
      </w:r>
    </w:p>
    <w:p w:rsidR="00E86F65" w:rsidRPr="00E86F65" w:rsidRDefault="00E86F65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F65">
        <w:rPr>
          <w:rFonts w:ascii="Times New Roman" w:hAnsi="Times New Roman" w:cs="Times New Roman"/>
          <w:i/>
        </w:rPr>
        <w:t>detí na</w:t>
      </w:r>
      <w:r w:rsidRPr="00190195">
        <w:rPr>
          <w:rFonts w:ascii="Times New Roman" w:hAnsi="Times New Roman" w:cs="Times New Roman"/>
          <w:b/>
          <w:i/>
        </w:rPr>
        <w:t xml:space="preserve"> neúmyselné </w:t>
      </w:r>
      <w:r w:rsidRPr="00E86F65">
        <w:rPr>
          <w:rFonts w:ascii="Times New Roman" w:hAnsi="Times New Roman" w:cs="Times New Roman"/>
          <w:i/>
        </w:rPr>
        <w:t xml:space="preserve">poranenia </w:t>
      </w:r>
    </w:p>
    <w:p w:rsidR="00E86F65" w:rsidRPr="00E86F65" w:rsidRDefault="00E86F65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86F65">
        <w:rPr>
          <w:rFonts w:ascii="Times New Roman" w:hAnsi="Times New Roman" w:cs="Times New Roman"/>
          <w:i/>
        </w:rPr>
        <w:t xml:space="preserve">v rokoch 2010 </w:t>
      </w:r>
      <w:r w:rsidR="0089190B">
        <w:rPr>
          <w:rFonts w:ascii="Times New Roman" w:hAnsi="Times New Roman" w:cs="Times New Roman"/>
          <w:i/>
        </w:rPr>
        <w:t>–</w:t>
      </w:r>
      <w:r w:rsidRPr="00E86F65">
        <w:rPr>
          <w:rFonts w:ascii="Times New Roman" w:hAnsi="Times New Roman" w:cs="Times New Roman"/>
          <w:i/>
        </w:rPr>
        <w:t xml:space="preserve"> 2012</w:t>
      </w:r>
      <w:r w:rsidR="0089190B">
        <w:rPr>
          <w:rFonts w:ascii="Times New Roman" w:hAnsi="Times New Roman" w:cs="Times New Roman"/>
          <w:i/>
        </w:rPr>
        <w:t xml:space="preserve"> v SR</w:t>
      </w:r>
    </w:p>
    <w:tbl>
      <w:tblPr>
        <w:tblStyle w:val="Svetlpodfarbeniezvraznenie4"/>
        <w:tblW w:w="4219" w:type="dxa"/>
        <w:tblLook w:val="04A0"/>
      </w:tblPr>
      <w:tblGrid>
        <w:gridCol w:w="1242"/>
        <w:gridCol w:w="993"/>
        <w:gridCol w:w="992"/>
        <w:gridCol w:w="992"/>
      </w:tblGrid>
      <w:tr w:rsidR="00E86F65" w:rsidRPr="00190195" w:rsidTr="003D1365">
        <w:trPr>
          <w:cnfStyle w:val="100000000000"/>
          <w:trHeight w:val="315"/>
        </w:trPr>
        <w:tc>
          <w:tcPr>
            <w:cnfStyle w:val="001000000000"/>
            <w:tcW w:w="1242" w:type="dxa"/>
            <w:vMerge w:val="restart"/>
            <w:noWrap/>
            <w:hideMark/>
          </w:tcPr>
          <w:p w:rsidR="00E86F65" w:rsidRPr="002D213C" w:rsidRDefault="00E86F65" w:rsidP="003D1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86F65" w:rsidRPr="002D213C" w:rsidRDefault="00E86F65" w:rsidP="003D136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E86F65" w:rsidRPr="00190195" w:rsidTr="003D1365">
        <w:trPr>
          <w:cnfStyle w:val="000000100000"/>
          <w:trHeight w:val="330"/>
        </w:trPr>
        <w:tc>
          <w:tcPr>
            <w:cnfStyle w:val="001000000000"/>
            <w:tcW w:w="1242" w:type="dxa"/>
            <w:vMerge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3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2011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2012</w:t>
            </w:r>
          </w:p>
        </w:tc>
      </w:tr>
      <w:tr w:rsidR="00E86F65" w:rsidRPr="00190195" w:rsidTr="003D1365">
        <w:trPr>
          <w:trHeight w:val="330"/>
        </w:trPr>
        <w:tc>
          <w:tcPr>
            <w:cnfStyle w:val="001000000000"/>
            <w:tcW w:w="1242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dopravné</w:t>
            </w:r>
          </w:p>
        </w:tc>
        <w:tc>
          <w:tcPr>
            <w:tcW w:w="993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4,7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5,2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3,5</w:t>
            </w:r>
          </w:p>
        </w:tc>
      </w:tr>
      <w:tr w:rsidR="00E86F65" w:rsidRPr="00190195" w:rsidTr="003D1365">
        <w:trPr>
          <w:cnfStyle w:val="000000100000"/>
          <w:trHeight w:val="315"/>
        </w:trPr>
        <w:tc>
          <w:tcPr>
            <w:cnfStyle w:val="001000000000"/>
            <w:tcW w:w="1242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utopenie</w:t>
            </w:r>
          </w:p>
        </w:tc>
        <w:tc>
          <w:tcPr>
            <w:tcW w:w="993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1,7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E86F65" w:rsidRPr="00190195" w:rsidTr="003D1365">
        <w:trPr>
          <w:trHeight w:val="315"/>
        </w:trPr>
        <w:tc>
          <w:tcPr>
            <w:cnfStyle w:val="001000000000"/>
            <w:tcW w:w="1242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pády</w:t>
            </w:r>
          </w:p>
        </w:tc>
        <w:tc>
          <w:tcPr>
            <w:tcW w:w="993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0,8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0,5</w:t>
            </w:r>
          </w:p>
        </w:tc>
      </w:tr>
      <w:tr w:rsidR="00E86F65" w:rsidRPr="00190195" w:rsidTr="003D1365">
        <w:trPr>
          <w:cnfStyle w:val="000000100000"/>
          <w:trHeight w:val="315"/>
        </w:trPr>
        <w:tc>
          <w:tcPr>
            <w:cnfStyle w:val="001000000000"/>
            <w:tcW w:w="1242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otravy</w:t>
            </w:r>
          </w:p>
        </w:tc>
        <w:tc>
          <w:tcPr>
            <w:tcW w:w="993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0,2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0,2</w:t>
            </w:r>
          </w:p>
        </w:tc>
      </w:tr>
      <w:tr w:rsidR="00E86F65" w:rsidRPr="00190195" w:rsidTr="003D1365">
        <w:trPr>
          <w:trHeight w:val="315"/>
        </w:trPr>
        <w:tc>
          <w:tcPr>
            <w:cnfStyle w:val="001000000000"/>
            <w:tcW w:w="1242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popálenie</w:t>
            </w:r>
          </w:p>
        </w:tc>
        <w:tc>
          <w:tcPr>
            <w:tcW w:w="993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0,1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992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0,2</w:t>
            </w:r>
          </w:p>
        </w:tc>
      </w:tr>
    </w:tbl>
    <w:p w:rsidR="00E86F65" w:rsidRPr="00190195" w:rsidRDefault="00E86F65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195">
        <w:rPr>
          <w:rFonts w:ascii="Times New Roman" w:hAnsi="Times New Roman" w:cs="Times New Roman"/>
          <w:sz w:val="20"/>
          <w:szCs w:val="20"/>
        </w:rPr>
        <w:t>Zdroj: NCZI</w:t>
      </w:r>
    </w:p>
    <w:p w:rsidR="00E86F65" w:rsidRPr="00190195" w:rsidRDefault="00E86F65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86F65" w:rsidRPr="00190195" w:rsidRDefault="00E86F65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C1DE2" w:rsidRDefault="00CC1DE2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CC1DE2" w:rsidRDefault="00CC1DE2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E86F65" w:rsidRPr="00E86F65" w:rsidRDefault="00CC1DE2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G</w:t>
      </w:r>
      <w:r w:rsidR="00E86F65" w:rsidRPr="00E86F65">
        <w:rPr>
          <w:rFonts w:ascii="Times New Roman" w:hAnsi="Times New Roman" w:cs="Times New Roman"/>
          <w:i/>
          <w:szCs w:val="24"/>
        </w:rPr>
        <w:t>raf.č.3</w:t>
      </w:r>
    </w:p>
    <w:p w:rsidR="00E86F65" w:rsidRPr="00190195" w:rsidRDefault="00E86F65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  <w:sectPr w:rsidR="00E86F65" w:rsidRPr="00190195" w:rsidSect="001901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90195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2951547" cy="2213811"/>
            <wp:effectExtent l="19050" t="0" r="20253" b="0"/>
            <wp:docPr id="31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6F65" w:rsidRDefault="00E86F65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6F65" w:rsidRDefault="00E86F65" w:rsidP="00E86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6F65" w:rsidRDefault="00E86F65" w:rsidP="00E86F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</w:p>
    <w:p w:rsidR="00E86F65" w:rsidRDefault="00E86F65" w:rsidP="00E86F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</w:p>
    <w:p w:rsidR="00E86F65" w:rsidRDefault="00E86F65" w:rsidP="00E86F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</w:p>
    <w:p w:rsidR="00E86F65" w:rsidRPr="00964613" w:rsidRDefault="00E86F65" w:rsidP="00E86F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lang w:eastAsia="sk-SK"/>
        </w:rPr>
        <w:t>T</w:t>
      </w:r>
      <w:r w:rsidRPr="00964613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ab. č. </w:t>
      </w:r>
      <w:r>
        <w:rPr>
          <w:rFonts w:ascii="Times New Roman" w:eastAsia="Times New Roman" w:hAnsi="Times New Roman" w:cs="Times New Roman"/>
          <w:i/>
          <w:color w:val="000000"/>
          <w:lang w:eastAsia="sk-SK"/>
        </w:rPr>
        <w:t>3</w:t>
      </w:r>
      <w:r w:rsidRPr="00964613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2D213C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Porovnanie </w:t>
      </w:r>
      <w:r w:rsidRPr="00964613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štandardizovanej </w:t>
      </w:r>
    </w:p>
    <w:p w:rsidR="00E86F65" w:rsidRPr="00964613" w:rsidRDefault="00E86F65" w:rsidP="00E86F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964613">
        <w:rPr>
          <w:rFonts w:ascii="Times New Roman" w:eastAsia="Times New Roman" w:hAnsi="Times New Roman" w:cs="Times New Roman"/>
          <w:i/>
          <w:color w:val="000000"/>
          <w:lang w:eastAsia="sk-SK"/>
        </w:rPr>
        <w:t>úmrtnosti /100 000</w:t>
      </w:r>
      <w:r w:rsidRPr="002D213C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detí </w:t>
      </w:r>
      <w:r w:rsidR="00593BD5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na </w:t>
      </w:r>
      <w:r w:rsidR="00593BD5" w:rsidRPr="00593BD5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 xml:space="preserve">neúmyselné </w:t>
      </w:r>
      <w:r w:rsidR="00593BD5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poranenia </w:t>
      </w:r>
      <w:r w:rsidRPr="002D213C">
        <w:rPr>
          <w:rFonts w:ascii="Times New Roman" w:eastAsia="Times New Roman" w:hAnsi="Times New Roman" w:cs="Times New Roman"/>
          <w:i/>
          <w:color w:val="000000"/>
          <w:lang w:eastAsia="sk-SK"/>
        </w:rPr>
        <w:t>vo veku 0- 19 rokov</w:t>
      </w:r>
    </w:p>
    <w:p w:rsidR="00E86F65" w:rsidRPr="00964613" w:rsidRDefault="00E86F65" w:rsidP="00E86F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2D213C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Pr="00964613">
        <w:rPr>
          <w:rFonts w:ascii="Times New Roman" w:eastAsia="Times New Roman" w:hAnsi="Times New Roman" w:cs="Times New Roman"/>
          <w:i/>
          <w:color w:val="000000"/>
          <w:lang w:eastAsia="sk-SK"/>
        </w:rPr>
        <w:t>z</w:t>
      </w:r>
      <w:r w:rsidRPr="002D213C">
        <w:rPr>
          <w:rFonts w:ascii="Times New Roman" w:eastAsia="Times New Roman" w:hAnsi="Times New Roman" w:cs="Times New Roman"/>
          <w:i/>
          <w:color w:val="000000"/>
          <w:lang w:eastAsia="sk-SK"/>
        </w:rPr>
        <w:t>a obdobi</w:t>
      </w:r>
      <w:r w:rsidRPr="00964613">
        <w:rPr>
          <w:rFonts w:ascii="Times New Roman" w:eastAsia="Times New Roman" w:hAnsi="Times New Roman" w:cs="Times New Roman"/>
          <w:i/>
          <w:color w:val="000000"/>
          <w:lang w:eastAsia="sk-SK"/>
        </w:rPr>
        <w:t>e</w:t>
      </w:r>
      <w:r w:rsidRPr="002D213C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2003 - 2005 a 2010 </w:t>
      </w:r>
      <w:r w:rsidR="0089190B">
        <w:rPr>
          <w:rFonts w:ascii="Times New Roman" w:eastAsia="Times New Roman" w:hAnsi="Times New Roman" w:cs="Times New Roman"/>
          <w:i/>
          <w:color w:val="000000"/>
          <w:lang w:eastAsia="sk-SK"/>
        </w:rPr>
        <w:t>–</w:t>
      </w:r>
      <w:r w:rsidRPr="002D213C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2012</w:t>
      </w:r>
      <w:r w:rsidR="0089190B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v SR</w:t>
      </w:r>
    </w:p>
    <w:tbl>
      <w:tblPr>
        <w:tblStyle w:val="Svetlpodfarbeniezvraznenie4"/>
        <w:tblW w:w="4786" w:type="dxa"/>
        <w:tblLook w:val="04A0"/>
      </w:tblPr>
      <w:tblGrid>
        <w:gridCol w:w="1028"/>
        <w:gridCol w:w="640"/>
        <w:gridCol w:w="605"/>
        <w:gridCol w:w="672"/>
        <w:gridCol w:w="639"/>
        <w:gridCol w:w="605"/>
        <w:gridCol w:w="672"/>
      </w:tblGrid>
      <w:tr w:rsidR="00E86F65" w:rsidRPr="002D213C" w:rsidTr="003D1365">
        <w:trPr>
          <w:cnfStyle w:val="100000000000"/>
          <w:trHeight w:val="315"/>
        </w:trPr>
        <w:tc>
          <w:tcPr>
            <w:cnfStyle w:val="001000000000"/>
            <w:tcW w:w="1028" w:type="dxa"/>
            <w:vMerge w:val="restart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17" w:type="dxa"/>
            <w:gridSpan w:val="3"/>
            <w:noWrap/>
            <w:hideMark/>
          </w:tcPr>
          <w:p w:rsidR="00E86F65" w:rsidRPr="002D213C" w:rsidRDefault="00E86F65" w:rsidP="003D1365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Priemer za roky 2003 - 2005</w:t>
            </w:r>
          </w:p>
        </w:tc>
        <w:tc>
          <w:tcPr>
            <w:tcW w:w="1841" w:type="dxa"/>
            <w:gridSpan w:val="3"/>
            <w:noWrap/>
            <w:hideMark/>
          </w:tcPr>
          <w:p w:rsidR="00E86F65" w:rsidRPr="002D213C" w:rsidRDefault="00E86F65" w:rsidP="003D1365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Priemer za roky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sk-SK"/>
              </w:rPr>
              <w:t>20010-</w:t>
            </w: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2012</w:t>
            </w:r>
          </w:p>
        </w:tc>
      </w:tr>
      <w:tr w:rsidR="00E86F65" w:rsidRPr="00145AB2" w:rsidTr="003D1365">
        <w:trPr>
          <w:cnfStyle w:val="000000100000"/>
          <w:trHeight w:val="315"/>
        </w:trPr>
        <w:tc>
          <w:tcPr>
            <w:cnfStyle w:val="001000000000"/>
            <w:tcW w:w="1028" w:type="dxa"/>
            <w:vMerge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muži</w:t>
            </w:r>
          </w:p>
        </w:tc>
        <w:tc>
          <w:tcPr>
            <w:tcW w:w="605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ženy </w:t>
            </w:r>
          </w:p>
        </w:tc>
        <w:tc>
          <w:tcPr>
            <w:tcW w:w="672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spolu </w:t>
            </w:r>
          </w:p>
        </w:tc>
        <w:tc>
          <w:tcPr>
            <w:tcW w:w="639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muži</w:t>
            </w:r>
          </w:p>
        </w:tc>
        <w:tc>
          <w:tcPr>
            <w:tcW w:w="605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ženy</w:t>
            </w:r>
          </w:p>
        </w:tc>
        <w:tc>
          <w:tcPr>
            <w:tcW w:w="597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</w:tr>
      <w:tr w:rsidR="00E86F65" w:rsidRPr="002D213C" w:rsidTr="003D1365">
        <w:trPr>
          <w:trHeight w:val="315"/>
        </w:trPr>
        <w:tc>
          <w:tcPr>
            <w:cnfStyle w:val="001000000000"/>
            <w:tcW w:w="1028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dopravné</w:t>
            </w:r>
          </w:p>
        </w:tc>
        <w:tc>
          <w:tcPr>
            <w:tcW w:w="640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4,43</w:t>
            </w:r>
          </w:p>
        </w:tc>
        <w:tc>
          <w:tcPr>
            <w:tcW w:w="605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1,8</w:t>
            </w:r>
          </w:p>
        </w:tc>
        <w:tc>
          <w:tcPr>
            <w:tcW w:w="672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3,12</w:t>
            </w:r>
          </w:p>
        </w:tc>
        <w:tc>
          <w:tcPr>
            <w:tcW w:w="639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6,2</w:t>
            </w:r>
          </w:p>
        </w:tc>
        <w:tc>
          <w:tcPr>
            <w:tcW w:w="605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2,7</w:t>
            </w:r>
          </w:p>
        </w:tc>
        <w:tc>
          <w:tcPr>
            <w:tcW w:w="597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4,45</w:t>
            </w:r>
          </w:p>
        </w:tc>
      </w:tr>
      <w:tr w:rsidR="00E86F65" w:rsidRPr="00145AB2" w:rsidTr="003D1365">
        <w:trPr>
          <w:cnfStyle w:val="000000100000"/>
          <w:trHeight w:val="362"/>
        </w:trPr>
        <w:tc>
          <w:tcPr>
            <w:cnfStyle w:val="001000000000"/>
            <w:tcW w:w="1028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utopenia</w:t>
            </w:r>
          </w:p>
        </w:tc>
        <w:tc>
          <w:tcPr>
            <w:tcW w:w="640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1,45</w:t>
            </w:r>
          </w:p>
        </w:tc>
        <w:tc>
          <w:tcPr>
            <w:tcW w:w="605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0,4</w:t>
            </w:r>
          </w:p>
        </w:tc>
        <w:tc>
          <w:tcPr>
            <w:tcW w:w="672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0,93</w:t>
            </w:r>
          </w:p>
        </w:tc>
        <w:tc>
          <w:tcPr>
            <w:tcW w:w="639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605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0,5</w:t>
            </w:r>
          </w:p>
        </w:tc>
        <w:tc>
          <w:tcPr>
            <w:tcW w:w="597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1,5</w:t>
            </w:r>
          </w:p>
        </w:tc>
      </w:tr>
      <w:tr w:rsidR="00E86F65" w:rsidRPr="002D213C" w:rsidTr="003D1365">
        <w:trPr>
          <w:trHeight w:val="315"/>
        </w:trPr>
        <w:tc>
          <w:tcPr>
            <w:cnfStyle w:val="001000000000"/>
            <w:tcW w:w="1028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pády</w:t>
            </w:r>
          </w:p>
        </w:tc>
        <w:tc>
          <w:tcPr>
            <w:tcW w:w="640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0,57</w:t>
            </w:r>
          </w:p>
        </w:tc>
        <w:tc>
          <w:tcPr>
            <w:tcW w:w="605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0,32</w:t>
            </w:r>
          </w:p>
        </w:tc>
        <w:tc>
          <w:tcPr>
            <w:tcW w:w="672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0,45</w:t>
            </w:r>
          </w:p>
        </w:tc>
        <w:tc>
          <w:tcPr>
            <w:tcW w:w="639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05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0,2</w:t>
            </w:r>
          </w:p>
        </w:tc>
        <w:tc>
          <w:tcPr>
            <w:tcW w:w="597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0,6</w:t>
            </w:r>
          </w:p>
        </w:tc>
      </w:tr>
      <w:tr w:rsidR="00E86F65" w:rsidRPr="00145AB2" w:rsidTr="003D1365">
        <w:trPr>
          <w:cnfStyle w:val="000000100000"/>
          <w:trHeight w:val="315"/>
        </w:trPr>
        <w:tc>
          <w:tcPr>
            <w:cnfStyle w:val="001000000000"/>
            <w:tcW w:w="1028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otravy</w:t>
            </w:r>
          </w:p>
        </w:tc>
        <w:tc>
          <w:tcPr>
            <w:tcW w:w="640" w:type="dxa"/>
            <w:noWrap/>
            <w:hideMark/>
          </w:tcPr>
          <w:p w:rsidR="00E86F65" w:rsidRPr="002D213C" w:rsidRDefault="00E86F65" w:rsidP="003D13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0,31</w:t>
            </w:r>
          </w:p>
        </w:tc>
        <w:tc>
          <w:tcPr>
            <w:tcW w:w="605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0,29</w:t>
            </w:r>
          </w:p>
        </w:tc>
        <w:tc>
          <w:tcPr>
            <w:tcW w:w="672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0,3</w:t>
            </w:r>
          </w:p>
        </w:tc>
        <w:tc>
          <w:tcPr>
            <w:tcW w:w="639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0,2</w:t>
            </w:r>
          </w:p>
        </w:tc>
        <w:tc>
          <w:tcPr>
            <w:tcW w:w="605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0,1</w:t>
            </w:r>
          </w:p>
        </w:tc>
        <w:tc>
          <w:tcPr>
            <w:tcW w:w="597" w:type="dxa"/>
            <w:noWrap/>
            <w:hideMark/>
          </w:tcPr>
          <w:p w:rsidR="00E86F65" w:rsidRPr="002D213C" w:rsidRDefault="00E86F65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0,6</w:t>
            </w:r>
          </w:p>
        </w:tc>
      </w:tr>
      <w:tr w:rsidR="00E86F65" w:rsidRPr="002D213C" w:rsidTr="003D1365">
        <w:trPr>
          <w:trHeight w:val="315"/>
        </w:trPr>
        <w:tc>
          <w:tcPr>
            <w:cnfStyle w:val="001000000000"/>
            <w:tcW w:w="1028" w:type="dxa"/>
            <w:noWrap/>
            <w:hideMark/>
          </w:tcPr>
          <w:p w:rsidR="00E86F65" w:rsidRPr="002D213C" w:rsidRDefault="00E86F65" w:rsidP="003D1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sk-SK"/>
              </w:rPr>
              <w:t>P</w:t>
            </w: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opále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sk-SK"/>
              </w:rPr>
              <w:t>-</w:t>
            </w: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niny</w:t>
            </w:r>
          </w:p>
        </w:tc>
        <w:tc>
          <w:tcPr>
            <w:tcW w:w="640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0,17</w:t>
            </w:r>
          </w:p>
        </w:tc>
        <w:tc>
          <w:tcPr>
            <w:tcW w:w="605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0,27</w:t>
            </w:r>
          </w:p>
        </w:tc>
        <w:tc>
          <w:tcPr>
            <w:tcW w:w="672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0,19</w:t>
            </w:r>
          </w:p>
        </w:tc>
        <w:tc>
          <w:tcPr>
            <w:tcW w:w="639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0,26</w:t>
            </w:r>
          </w:p>
        </w:tc>
        <w:tc>
          <w:tcPr>
            <w:tcW w:w="605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0,2</w:t>
            </w:r>
          </w:p>
        </w:tc>
        <w:tc>
          <w:tcPr>
            <w:tcW w:w="597" w:type="dxa"/>
            <w:noWrap/>
            <w:hideMark/>
          </w:tcPr>
          <w:p w:rsidR="00E86F65" w:rsidRPr="002D213C" w:rsidRDefault="00E86F65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0,23</w:t>
            </w:r>
          </w:p>
        </w:tc>
      </w:tr>
    </w:tbl>
    <w:tbl>
      <w:tblPr>
        <w:tblW w:w="15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40"/>
        <w:gridCol w:w="195"/>
        <w:gridCol w:w="376"/>
      </w:tblGrid>
      <w:tr w:rsidR="00E86F65" w:rsidRPr="00E4603C" w:rsidTr="003D1365">
        <w:trPr>
          <w:trHeight w:val="70"/>
        </w:trPr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5" w:rsidRPr="00E4603C" w:rsidRDefault="00E86F65" w:rsidP="003D1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sk-SK"/>
              </w:rPr>
              <w:lastRenderedPageBreak/>
              <w:t>Zdroj:WHO,NCZI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5" w:rsidRPr="00E4603C" w:rsidRDefault="00E86F65" w:rsidP="003D1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  <w:tr w:rsidR="00E86F65" w:rsidRPr="00E4603C" w:rsidTr="003D1365">
        <w:trPr>
          <w:trHeight w:val="70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5" w:rsidRPr="00E4603C" w:rsidRDefault="00E86F65" w:rsidP="003D1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5" w:rsidRPr="00E4603C" w:rsidRDefault="00E86F65" w:rsidP="003D1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F65" w:rsidRPr="00E4603C" w:rsidRDefault="00E86F65" w:rsidP="003D1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</w:tbl>
    <w:p w:rsidR="00E86F65" w:rsidRDefault="00E86F65" w:rsidP="00E86F65"/>
    <w:p w:rsidR="00E86F65" w:rsidRDefault="00E86F65" w:rsidP="00E86F65"/>
    <w:p w:rsidR="00E86F65" w:rsidRDefault="00CC1DE2" w:rsidP="00CC1DE2">
      <w:pPr>
        <w:spacing w:after="0" w:line="240" w:lineRule="auto"/>
      </w:pPr>
      <w:r>
        <w:t>Graf. č.4</w:t>
      </w:r>
    </w:p>
    <w:p w:rsidR="00E86F65" w:rsidRPr="00145AB2" w:rsidRDefault="00E86F65" w:rsidP="00CC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13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3175903" cy="2095133"/>
            <wp:effectExtent l="19050" t="0" r="24497" b="367"/>
            <wp:docPr id="23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6F65" w:rsidRDefault="00E86F65" w:rsidP="00CC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86F65" w:rsidSect="00E86F6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45AB2">
        <w:rPr>
          <w:rFonts w:ascii="Times New Roman" w:hAnsi="Times New Roman" w:cs="Times New Roman"/>
          <w:sz w:val="20"/>
          <w:szCs w:val="20"/>
        </w:rPr>
        <w:lastRenderedPageBreak/>
        <w:t>Zdroj:NCZI</w:t>
      </w:r>
    </w:p>
    <w:p w:rsidR="00702FF8" w:rsidRDefault="00702FF8" w:rsidP="00702F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</w:p>
    <w:p w:rsidR="00702FF8" w:rsidRDefault="00702FF8" w:rsidP="00702F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</w:p>
    <w:p w:rsidR="00702FF8" w:rsidRDefault="00702FF8" w:rsidP="00702F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Tab.č. 4  </w:t>
      </w:r>
      <w:r w:rsidRPr="00145AB2">
        <w:rPr>
          <w:rFonts w:ascii="Times New Roman" w:eastAsia="Times New Roman" w:hAnsi="Times New Roman" w:cs="Times New Roman"/>
          <w:i/>
          <w:color w:val="000000"/>
          <w:lang w:eastAsia="sk-SK"/>
        </w:rPr>
        <w:t>Počet ú</w:t>
      </w:r>
      <w:r w:rsidRPr="002D213C">
        <w:rPr>
          <w:rFonts w:ascii="Times New Roman" w:eastAsia="Times New Roman" w:hAnsi="Times New Roman" w:cs="Times New Roman"/>
          <w:i/>
          <w:color w:val="000000"/>
          <w:lang w:eastAsia="sk-SK"/>
        </w:rPr>
        <w:t>mrt</w:t>
      </w:r>
      <w:r w:rsidRPr="00145AB2">
        <w:rPr>
          <w:rFonts w:ascii="Times New Roman" w:eastAsia="Times New Roman" w:hAnsi="Times New Roman" w:cs="Times New Roman"/>
          <w:i/>
          <w:color w:val="000000"/>
          <w:lang w:eastAsia="sk-SK"/>
        </w:rPr>
        <w:t>í</w:t>
      </w:r>
      <w:r w:rsidRPr="002D213C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detí vo veku 0-19 rokov </w:t>
      </w:r>
    </w:p>
    <w:p w:rsidR="00702FF8" w:rsidRDefault="00702FF8" w:rsidP="00702F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2D213C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v dôsledku </w:t>
      </w:r>
      <w:r w:rsidRPr="002D213C">
        <w:rPr>
          <w:rFonts w:ascii="Times New Roman" w:eastAsia="Times New Roman" w:hAnsi="Times New Roman" w:cs="Times New Roman"/>
          <w:b/>
          <w:i/>
          <w:color w:val="000000"/>
          <w:lang w:eastAsia="sk-SK"/>
        </w:rPr>
        <w:t>úmyselných</w:t>
      </w:r>
      <w:r w:rsidRPr="002D213C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úrazov v</w:t>
      </w:r>
      <w:r>
        <w:rPr>
          <w:rFonts w:ascii="Times New Roman" w:eastAsia="Times New Roman" w:hAnsi="Times New Roman" w:cs="Times New Roman"/>
          <w:i/>
          <w:color w:val="000000"/>
          <w:lang w:eastAsia="sk-SK"/>
        </w:rPr>
        <w:t> </w:t>
      </w:r>
      <w:r w:rsidRPr="002D213C">
        <w:rPr>
          <w:rFonts w:ascii="Times New Roman" w:eastAsia="Times New Roman" w:hAnsi="Times New Roman" w:cs="Times New Roman"/>
          <w:i/>
          <w:color w:val="000000"/>
          <w:lang w:eastAsia="sk-SK"/>
        </w:rPr>
        <w:t>S</w:t>
      </w:r>
      <w:r>
        <w:rPr>
          <w:rFonts w:ascii="Times New Roman" w:eastAsia="Times New Roman" w:hAnsi="Times New Roman" w:cs="Times New Roman"/>
          <w:i/>
          <w:color w:val="000000"/>
          <w:lang w:eastAsia="sk-SK"/>
        </w:rPr>
        <w:t>R</w:t>
      </w:r>
      <w:r w:rsidRPr="002D213C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podľa</w:t>
      </w:r>
    </w:p>
    <w:p w:rsidR="00702FF8" w:rsidRDefault="00702FF8" w:rsidP="00702F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2D213C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mechanizmu v rokoch 2010, 2011, 2012</w:t>
      </w:r>
      <w:r w:rsidR="0089190B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</w:p>
    <w:tbl>
      <w:tblPr>
        <w:tblStyle w:val="Svetlpodfarbeniezvraznenie4"/>
        <w:tblW w:w="3936" w:type="dxa"/>
        <w:tblLook w:val="04A0"/>
      </w:tblPr>
      <w:tblGrid>
        <w:gridCol w:w="1823"/>
        <w:gridCol w:w="696"/>
        <w:gridCol w:w="708"/>
        <w:gridCol w:w="709"/>
      </w:tblGrid>
      <w:tr w:rsidR="00702FF8" w:rsidRPr="002D213C" w:rsidTr="003D1365">
        <w:trPr>
          <w:cnfStyle w:val="100000000000"/>
          <w:trHeight w:val="315"/>
        </w:trPr>
        <w:tc>
          <w:tcPr>
            <w:cnfStyle w:val="001000000000"/>
            <w:tcW w:w="1823" w:type="dxa"/>
            <w:vMerge w:val="restart"/>
            <w:noWrap/>
            <w:hideMark/>
          </w:tcPr>
          <w:p w:rsidR="00702FF8" w:rsidRPr="002D213C" w:rsidRDefault="00702FF8" w:rsidP="003D1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02FF8" w:rsidRPr="002D213C" w:rsidRDefault="00702FF8" w:rsidP="003D136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02FF8" w:rsidRPr="002D213C" w:rsidRDefault="00702FF8" w:rsidP="003D136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02FF8" w:rsidRPr="002D213C" w:rsidRDefault="00702FF8" w:rsidP="003D136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702FF8" w:rsidRPr="002D213C" w:rsidTr="003D1365">
        <w:trPr>
          <w:cnfStyle w:val="000000100000"/>
          <w:trHeight w:val="330"/>
        </w:trPr>
        <w:tc>
          <w:tcPr>
            <w:cnfStyle w:val="001000000000"/>
            <w:tcW w:w="1823" w:type="dxa"/>
            <w:vMerge/>
            <w:hideMark/>
          </w:tcPr>
          <w:p w:rsidR="00702FF8" w:rsidRPr="002D213C" w:rsidRDefault="00702FF8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96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708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2011</w:t>
            </w:r>
          </w:p>
        </w:tc>
        <w:tc>
          <w:tcPr>
            <w:tcW w:w="709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2012</w:t>
            </w:r>
          </w:p>
        </w:tc>
      </w:tr>
      <w:tr w:rsidR="00702FF8" w:rsidRPr="002D213C" w:rsidTr="003D1365">
        <w:trPr>
          <w:trHeight w:val="330"/>
        </w:trPr>
        <w:tc>
          <w:tcPr>
            <w:cnfStyle w:val="001000000000"/>
            <w:tcW w:w="1823" w:type="dxa"/>
            <w:noWrap/>
            <w:hideMark/>
          </w:tcPr>
          <w:p w:rsidR="00702FF8" w:rsidRPr="002D213C" w:rsidRDefault="00702FF8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vraždy</w:t>
            </w:r>
          </w:p>
        </w:tc>
        <w:tc>
          <w:tcPr>
            <w:tcW w:w="696" w:type="dxa"/>
            <w:noWrap/>
            <w:hideMark/>
          </w:tcPr>
          <w:p w:rsidR="00702FF8" w:rsidRPr="002D213C" w:rsidRDefault="00702FF8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02FF8" w:rsidRPr="002D213C" w:rsidRDefault="00702FF8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702FF8" w:rsidRPr="002D213C" w:rsidRDefault="00702FF8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702FF8" w:rsidRPr="002D213C" w:rsidTr="003D1365">
        <w:trPr>
          <w:cnfStyle w:val="000000100000"/>
          <w:trHeight w:val="315"/>
        </w:trPr>
        <w:tc>
          <w:tcPr>
            <w:cnfStyle w:val="001000000000"/>
            <w:tcW w:w="1823" w:type="dxa"/>
            <w:noWrap/>
            <w:hideMark/>
          </w:tcPr>
          <w:p w:rsidR="00702FF8" w:rsidRPr="002D213C" w:rsidRDefault="00702FF8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samovraždy</w:t>
            </w:r>
          </w:p>
        </w:tc>
        <w:tc>
          <w:tcPr>
            <w:tcW w:w="696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702FF8" w:rsidRPr="002D213C" w:rsidTr="003D1365">
        <w:trPr>
          <w:trHeight w:val="315"/>
        </w:trPr>
        <w:tc>
          <w:tcPr>
            <w:cnfStyle w:val="001000000000"/>
            <w:tcW w:w="1823" w:type="dxa"/>
            <w:noWrap/>
            <w:hideMark/>
          </w:tcPr>
          <w:p w:rsidR="00702FF8" w:rsidRPr="002D213C" w:rsidRDefault="00702FF8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zanedbávanie</w:t>
            </w:r>
          </w:p>
        </w:tc>
        <w:tc>
          <w:tcPr>
            <w:tcW w:w="696" w:type="dxa"/>
            <w:noWrap/>
            <w:hideMark/>
          </w:tcPr>
          <w:p w:rsidR="00702FF8" w:rsidRPr="002D213C" w:rsidRDefault="00702FF8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702FF8" w:rsidRPr="002D213C" w:rsidRDefault="00702FF8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702FF8" w:rsidRPr="002D213C" w:rsidRDefault="00702FF8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702FF8" w:rsidRPr="002D213C" w:rsidTr="003D1365">
        <w:trPr>
          <w:cnfStyle w:val="000000100000"/>
          <w:trHeight w:val="315"/>
        </w:trPr>
        <w:tc>
          <w:tcPr>
            <w:cnfStyle w:val="001000000000"/>
            <w:tcW w:w="1823" w:type="dxa"/>
            <w:noWrap/>
            <w:hideMark/>
          </w:tcPr>
          <w:p w:rsidR="00702FF8" w:rsidRPr="002D213C" w:rsidRDefault="00CF2CDA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</w:t>
            </w:r>
            <w:r w:rsidR="00702FF8"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statné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*</w:t>
            </w:r>
            <w:r w:rsidR="00702FF8"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neumysel.úrazy</w:t>
            </w:r>
          </w:p>
        </w:tc>
        <w:tc>
          <w:tcPr>
            <w:tcW w:w="696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702FF8" w:rsidRPr="002D213C" w:rsidTr="003D1365">
        <w:trPr>
          <w:trHeight w:val="315"/>
        </w:trPr>
        <w:tc>
          <w:tcPr>
            <w:cnfStyle w:val="001000000000"/>
            <w:tcW w:w="1823" w:type="dxa"/>
            <w:noWrap/>
            <w:hideMark/>
          </w:tcPr>
          <w:p w:rsidR="00702FF8" w:rsidRPr="002D213C" w:rsidRDefault="00702FF8" w:rsidP="003D13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696" w:type="dxa"/>
            <w:noWrap/>
            <w:hideMark/>
          </w:tcPr>
          <w:p w:rsidR="00702FF8" w:rsidRPr="002D213C" w:rsidRDefault="00702FF8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708" w:type="dxa"/>
            <w:noWrap/>
            <w:hideMark/>
          </w:tcPr>
          <w:p w:rsidR="00702FF8" w:rsidRPr="002D213C" w:rsidRDefault="00702FF8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702FF8" w:rsidRPr="002D213C" w:rsidRDefault="00702FF8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</w:tbl>
    <w:p w:rsidR="00702FF8" w:rsidRDefault="00702FF8" w:rsidP="0070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13C">
        <w:rPr>
          <w:rFonts w:ascii="Times New Roman" w:hAnsi="Times New Roman" w:cs="Times New Roman"/>
          <w:sz w:val="20"/>
          <w:szCs w:val="20"/>
        </w:rPr>
        <w:t>Zdroj: NCZI</w:t>
      </w:r>
    </w:p>
    <w:p w:rsidR="00702FF8" w:rsidRDefault="00702FF8" w:rsidP="0070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2FF8" w:rsidRDefault="00702FF8" w:rsidP="0070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2FF8" w:rsidRDefault="00702FF8" w:rsidP="0070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E6E" w:rsidRDefault="00342E6E" w:rsidP="0070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2FF8" w:rsidRDefault="00702FF8" w:rsidP="0070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Graf</w:t>
      </w:r>
      <w:r w:rsidR="00593BD5">
        <w:rPr>
          <w:rFonts w:ascii="Times New Roman" w:hAnsi="Times New Roman" w:cs="Times New Roman"/>
          <w:sz w:val="20"/>
          <w:szCs w:val="20"/>
        </w:rPr>
        <w:t xml:space="preserve"> č.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</w:p>
    <w:p w:rsidR="00702FF8" w:rsidRDefault="00702FF8" w:rsidP="0070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13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3171023" cy="2184935"/>
            <wp:effectExtent l="19050" t="0" r="10327" b="5815"/>
            <wp:docPr id="64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2FF8" w:rsidRPr="002D213C" w:rsidRDefault="00702FF8" w:rsidP="0070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13C">
        <w:rPr>
          <w:rFonts w:ascii="Times New Roman" w:hAnsi="Times New Roman" w:cs="Times New Roman"/>
          <w:sz w:val="20"/>
          <w:szCs w:val="20"/>
        </w:rPr>
        <w:t>Zdroj: NCZI</w:t>
      </w:r>
    </w:p>
    <w:p w:rsidR="00702FF8" w:rsidRDefault="00702FF8" w:rsidP="0070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702FF8" w:rsidSect="00F4538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2FF8" w:rsidRDefault="00702FF8" w:rsidP="00702FF8">
      <w:pPr>
        <w:spacing w:after="0" w:line="240" w:lineRule="auto"/>
        <w:jc w:val="both"/>
        <w:rPr>
          <w:rFonts w:ascii="Times New Roman" w:hAnsi="Times New Roman" w:cs="Times New Roman"/>
        </w:rPr>
        <w:sectPr w:rsidR="00702FF8" w:rsidSect="00145A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2FF8" w:rsidRDefault="00702FF8" w:rsidP="00702FF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02FF8" w:rsidRDefault="00702FF8" w:rsidP="00702FF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02FF8" w:rsidRDefault="00702FF8" w:rsidP="00702FF8">
      <w:pPr>
        <w:spacing w:after="0" w:line="240" w:lineRule="auto"/>
        <w:jc w:val="both"/>
        <w:rPr>
          <w:rFonts w:ascii="Times New Roman" w:hAnsi="Times New Roman" w:cs="Times New Roman"/>
          <w:i/>
        </w:rPr>
        <w:sectPr w:rsidR="00702FF8" w:rsidSect="00145A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2FF8" w:rsidRPr="00145AB2" w:rsidRDefault="00702FF8" w:rsidP="00702F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AB2">
        <w:rPr>
          <w:rFonts w:ascii="Times New Roman" w:hAnsi="Times New Roman" w:cs="Times New Roman"/>
          <w:i/>
        </w:rPr>
        <w:lastRenderedPageBreak/>
        <w:t>Tab. č.</w:t>
      </w:r>
      <w:r>
        <w:rPr>
          <w:rFonts w:ascii="Times New Roman" w:hAnsi="Times New Roman" w:cs="Times New Roman"/>
          <w:i/>
        </w:rPr>
        <w:t>5</w:t>
      </w:r>
      <w:r w:rsidRPr="00145AB2">
        <w:rPr>
          <w:rFonts w:ascii="Times New Roman" w:hAnsi="Times New Roman" w:cs="Times New Roman"/>
          <w:i/>
        </w:rPr>
        <w:t xml:space="preserve"> Štandardizované úmrtia/100 000 </w:t>
      </w:r>
    </w:p>
    <w:p w:rsidR="00702FF8" w:rsidRPr="00145AB2" w:rsidRDefault="00702FF8" w:rsidP="00702F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45AB2">
        <w:rPr>
          <w:rFonts w:ascii="Times New Roman" w:hAnsi="Times New Roman" w:cs="Times New Roman"/>
          <w:i/>
        </w:rPr>
        <w:t xml:space="preserve">detí v dôsledku </w:t>
      </w:r>
      <w:r w:rsidRPr="00F4538D">
        <w:rPr>
          <w:rFonts w:ascii="Times New Roman" w:hAnsi="Times New Roman" w:cs="Times New Roman"/>
          <w:b/>
          <w:i/>
        </w:rPr>
        <w:t>úmyselných</w:t>
      </w:r>
      <w:r w:rsidRPr="00145AB2">
        <w:rPr>
          <w:rFonts w:ascii="Times New Roman" w:hAnsi="Times New Roman" w:cs="Times New Roman"/>
          <w:i/>
        </w:rPr>
        <w:t xml:space="preserve"> poranení</w:t>
      </w:r>
      <w:r w:rsidRPr="00145A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213C">
        <w:rPr>
          <w:rFonts w:ascii="Calibri" w:eastAsia="Times New Roman" w:hAnsi="Calibri" w:cs="Times New Roman"/>
          <w:i/>
          <w:color w:val="000000"/>
          <w:lang w:eastAsia="sk-SK"/>
        </w:rPr>
        <w:t>v</w:t>
      </w:r>
      <w:r w:rsidRPr="00145AB2">
        <w:rPr>
          <w:rFonts w:ascii="Calibri" w:eastAsia="Times New Roman" w:hAnsi="Calibri" w:cs="Times New Roman"/>
          <w:i/>
          <w:color w:val="000000"/>
          <w:lang w:eastAsia="sk-SK"/>
        </w:rPr>
        <w:t> </w:t>
      </w:r>
      <w:r w:rsidRPr="002D213C">
        <w:rPr>
          <w:rFonts w:ascii="Calibri" w:eastAsia="Times New Roman" w:hAnsi="Calibri" w:cs="Times New Roman"/>
          <w:i/>
          <w:color w:val="000000"/>
          <w:lang w:eastAsia="sk-SK"/>
        </w:rPr>
        <w:t>S</w:t>
      </w:r>
      <w:r w:rsidRPr="00145AB2">
        <w:rPr>
          <w:rFonts w:ascii="Calibri" w:eastAsia="Times New Roman" w:hAnsi="Calibri" w:cs="Times New Roman"/>
          <w:i/>
          <w:color w:val="000000"/>
          <w:lang w:eastAsia="sk-SK"/>
        </w:rPr>
        <w:t>R</w:t>
      </w:r>
    </w:p>
    <w:p w:rsidR="00702FF8" w:rsidRPr="00145AB2" w:rsidRDefault="00702FF8" w:rsidP="00702FF8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sk-SK"/>
        </w:rPr>
      </w:pPr>
      <w:r w:rsidRPr="002D213C">
        <w:rPr>
          <w:rFonts w:ascii="Calibri" w:eastAsia="Times New Roman" w:hAnsi="Calibri" w:cs="Times New Roman"/>
          <w:i/>
          <w:color w:val="000000"/>
          <w:lang w:eastAsia="sk-SK"/>
        </w:rPr>
        <w:t>podľa mechanizmu v rokoch 2010, 2011, 2012</w:t>
      </w:r>
    </w:p>
    <w:tbl>
      <w:tblPr>
        <w:tblStyle w:val="Svetlpodfarbeniezvraznenie4"/>
        <w:tblW w:w="3936" w:type="dxa"/>
        <w:tblLook w:val="04A0"/>
      </w:tblPr>
      <w:tblGrid>
        <w:gridCol w:w="1823"/>
        <w:gridCol w:w="696"/>
        <w:gridCol w:w="708"/>
        <w:gridCol w:w="709"/>
      </w:tblGrid>
      <w:tr w:rsidR="00702FF8" w:rsidRPr="002D213C" w:rsidTr="003D1365">
        <w:trPr>
          <w:cnfStyle w:val="100000000000"/>
          <w:trHeight w:val="315"/>
        </w:trPr>
        <w:tc>
          <w:tcPr>
            <w:cnfStyle w:val="001000000000"/>
            <w:tcW w:w="1823" w:type="dxa"/>
            <w:vMerge w:val="restart"/>
            <w:noWrap/>
            <w:hideMark/>
          </w:tcPr>
          <w:p w:rsidR="00702FF8" w:rsidRPr="002D213C" w:rsidRDefault="00702FF8" w:rsidP="003D13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702FF8" w:rsidRPr="002D213C" w:rsidRDefault="00702FF8" w:rsidP="003D136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702FF8" w:rsidRPr="002D213C" w:rsidRDefault="00702FF8" w:rsidP="003D136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702FF8" w:rsidRPr="002D213C" w:rsidRDefault="00702FF8" w:rsidP="003D136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702FF8" w:rsidRPr="002D213C" w:rsidTr="003D1365">
        <w:trPr>
          <w:cnfStyle w:val="000000100000"/>
          <w:trHeight w:val="330"/>
        </w:trPr>
        <w:tc>
          <w:tcPr>
            <w:cnfStyle w:val="001000000000"/>
            <w:tcW w:w="1823" w:type="dxa"/>
            <w:vMerge/>
            <w:hideMark/>
          </w:tcPr>
          <w:p w:rsidR="00702FF8" w:rsidRPr="002D213C" w:rsidRDefault="00702FF8" w:rsidP="003D1365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96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2010</w:t>
            </w:r>
          </w:p>
        </w:tc>
        <w:tc>
          <w:tcPr>
            <w:tcW w:w="708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2011</w:t>
            </w:r>
          </w:p>
        </w:tc>
        <w:tc>
          <w:tcPr>
            <w:tcW w:w="709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2012</w:t>
            </w:r>
          </w:p>
        </w:tc>
      </w:tr>
      <w:tr w:rsidR="00702FF8" w:rsidRPr="002D213C" w:rsidTr="003D1365">
        <w:trPr>
          <w:trHeight w:val="330"/>
        </w:trPr>
        <w:tc>
          <w:tcPr>
            <w:cnfStyle w:val="001000000000"/>
            <w:tcW w:w="1823" w:type="dxa"/>
            <w:noWrap/>
            <w:hideMark/>
          </w:tcPr>
          <w:p w:rsidR="00702FF8" w:rsidRPr="002D213C" w:rsidRDefault="00702FF8" w:rsidP="003D1365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vraždy</w:t>
            </w:r>
          </w:p>
        </w:tc>
        <w:tc>
          <w:tcPr>
            <w:tcW w:w="696" w:type="dxa"/>
            <w:noWrap/>
            <w:hideMark/>
          </w:tcPr>
          <w:p w:rsidR="00702FF8" w:rsidRPr="002D213C" w:rsidRDefault="00702FF8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0,1</w:t>
            </w:r>
          </w:p>
        </w:tc>
        <w:tc>
          <w:tcPr>
            <w:tcW w:w="708" w:type="dxa"/>
            <w:noWrap/>
            <w:hideMark/>
          </w:tcPr>
          <w:p w:rsidR="00702FF8" w:rsidRPr="002D213C" w:rsidRDefault="00702FF8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0,4</w:t>
            </w:r>
          </w:p>
        </w:tc>
        <w:tc>
          <w:tcPr>
            <w:tcW w:w="709" w:type="dxa"/>
            <w:noWrap/>
            <w:hideMark/>
          </w:tcPr>
          <w:p w:rsidR="00702FF8" w:rsidRPr="002D213C" w:rsidRDefault="00702FF8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0,4</w:t>
            </w:r>
          </w:p>
        </w:tc>
      </w:tr>
      <w:tr w:rsidR="00702FF8" w:rsidRPr="002D213C" w:rsidTr="003D1365">
        <w:trPr>
          <w:cnfStyle w:val="000000100000"/>
          <w:trHeight w:val="315"/>
        </w:trPr>
        <w:tc>
          <w:tcPr>
            <w:cnfStyle w:val="001000000000"/>
            <w:tcW w:w="1823" w:type="dxa"/>
            <w:noWrap/>
            <w:hideMark/>
          </w:tcPr>
          <w:p w:rsidR="00702FF8" w:rsidRPr="002D213C" w:rsidRDefault="00702FF8" w:rsidP="003D1365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samovraždy</w:t>
            </w:r>
          </w:p>
        </w:tc>
        <w:tc>
          <w:tcPr>
            <w:tcW w:w="696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1,4</w:t>
            </w:r>
          </w:p>
        </w:tc>
        <w:tc>
          <w:tcPr>
            <w:tcW w:w="708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0,9</w:t>
            </w:r>
          </w:p>
        </w:tc>
        <w:tc>
          <w:tcPr>
            <w:tcW w:w="709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1,1</w:t>
            </w:r>
          </w:p>
        </w:tc>
      </w:tr>
      <w:tr w:rsidR="00702FF8" w:rsidRPr="002D213C" w:rsidTr="003D1365">
        <w:trPr>
          <w:trHeight w:val="315"/>
        </w:trPr>
        <w:tc>
          <w:tcPr>
            <w:cnfStyle w:val="001000000000"/>
            <w:tcW w:w="1823" w:type="dxa"/>
            <w:noWrap/>
            <w:hideMark/>
          </w:tcPr>
          <w:p w:rsidR="00702FF8" w:rsidRPr="002D213C" w:rsidRDefault="00702FF8" w:rsidP="003D1365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zanedbávanie</w:t>
            </w:r>
          </w:p>
        </w:tc>
        <w:tc>
          <w:tcPr>
            <w:tcW w:w="696" w:type="dxa"/>
            <w:noWrap/>
            <w:hideMark/>
          </w:tcPr>
          <w:p w:rsidR="00702FF8" w:rsidRPr="002D213C" w:rsidRDefault="00702FF8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702FF8" w:rsidRPr="002D213C" w:rsidRDefault="00702FF8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702FF8" w:rsidRPr="002D213C" w:rsidRDefault="00702FF8" w:rsidP="003D1365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</w:tr>
      <w:tr w:rsidR="00702FF8" w:rsidRPr="002D213C" w:rsidTr="003D1365">
        <w:trPr>
          <w:cnfStyle w:val="000000100000"/>
          <w:trHeight w:val="315"/>
        </w:trPr>
        <w:tc>
          <w:tcPr>
            <w:cnfStyle w:val="001000000000"/>
            <w:tcW w:w="1823" w:type="dxa"/>
            <w:noWrap/>
            <w:hideMark/>
          </w:tcPr>
          <w:p w:rsidR="00702FF8" w:rsidRPr="002D213C" w:rsidRDefault="00CF2CDA" w:rsidP="003D1365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</w:t>
            </w:r>
            <w:r w:rsidR="00702FF8"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statné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*</w:t>
            </w:r>
            <w:r w:rsidR="00702FF8"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neumysel.úrazy</w:t>
            </w:r>
          </w:p>
        </w:tc>
        <w:tc>
          <w:tcPr>
            <w:tcW w:w="696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1,2</w:t>
            </w:r>
          </w:p>
        </w:tc>
        <w:tc>
          <w:tcPr>
            <w:tcW w:w="708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0,6</w:t>
            </w:r>
          </w:p>
        </w:tc>
        <w:tc>
          <w:tcPr>
            <w:tcW w:w="709" w:type="dxa"/>
            <w:noWrap/>
            <w:hideMark/>
          </w:tcPr>
          <w:p w:rsidR="00702FF8" w:rsidRPr="002D213C" w:rsidRDefault="00702FF8" w:rsidP="003D136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2D213C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0,8</w:t>
            </w:r>
          </w:p>
        </w:tc>
      </w:tr>
    </w:tbl>
    <w:p w:rsidR="00702FF8" w:rsidRPr="00145AB2" w:rsidRDefault="00702FF8" w:rsidP="0070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45AB2">
        <w:rPr>
          <w:rFonts w:ascii="Times New Roman" w:hAnsi="Times New Roman" w:cs="Times New Roman"/>
          <w:sz w:val="20"/>
          <w:szCs w:val="28"/>
        </w:rPr>
        <w:t>Zdroj: NCZI</w:t>
      </w:r>
    </w:p>
    <w:p w:rsidR="00702FF8" w:rsidRDefault="00702FF8" w:rsidP="0070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FF8" w:rsidRDefault="00702FF8" w:rsidP="0070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2FF8" w:rsidRPr="00F4538D" w:rsidRDefault="00702FF8" w:rsidP="0070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538D">
        <w:rPr>
          <w:rFonts w:ascii="Times New Roman" w:hAnsi="Times New Roman" w:cs="Times New Roman"/>
          <w:sz w:val="20"/>
          <w:szCs w:val="20"/>
        </w:rPr>
        <w:lastRenderedPageBreak/>
        <w:t xml:space="preserve">Graf </w:t>
      </w:r>
      <w:r w:rsidR="00593BD5">
        <w:rPr>
          <w:rFonts w:ascii="Times New Roman" w:hAnsi="Times New Roman" w:cs="Times New Roman"/>
          <w:sz w:val="20"/>
          <w:szCs w:val="20"/>
        </w:rPr>
        <w:t>č.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702FF8" w:rsidRDefault="00702FF8" w:rsidP="0070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13C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2929122" cy="2088683"/>
            <wp:effectExtent l="19050" t="0" r="23628" b="6817"/>
            <wp:docPr id="65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2FF8" w:rsidRPr="002D213C" w:rsidRDefault="00702FF8" w:rsidP="00702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D213C">
        <w:rPr>
          <w:rFonts w:ascii="Times New Roman" w:hAnsi="Times New Roman" w:cs="Times New Roman"/>
          <w:sz w:val="20"/>
          <w:szCs w:val="20"/>
        </w:rPr>
        <w:t>Zdroj: NCZI</w:t>
      </w:r>
    </w:p>
    <w:p w:rsidR="00702FF8" w:rsidRDefault="00702FF8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  <w:sectPr w:rsidR="00702FF8" w:rsidSect="00702FF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2A64" w:rsidRDefault="00CF2CDA" w:rsidP="00892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*ostatné neúmyselné úrazy:</w:t>
      </w:r>
      <w:r w:rsidRPr="00CF2CDA">
        <w:rPr>
          <w:rFonts w:ascii="Arial" w:hAnsi="Arial" w:cs="Arial"/>
        </w:rPr>
        <w:t xml:space="preserve"> </w:t>
      </w:r>
      <w:r w:rsidRPr="00CF2CDA">
        <w:rPr>
          <w:rStyle w:val="hps"/>
          <w:rFonts w:ascii="Times New Roman" w:hAnsi="Times New Roman" w:cs="Times New Roman"/>
          <w:i/>
          <w:sz w:val="20"/>
          <w:szCs w:val="20"/>
        </w:rPr>
        <w:t>u</w:t>
      </w:r>
      <w:r w:rsidR="00593BD5">
        <w:rPr>
          <w:rStyle w:val="hps"/>
          <w:rFonts w:ascii="Times New Roman" w:hAnsi="Times New Roman" w:cs="Times New Roman"/>
          <w:i/>
          <w:sz w:val="20"/>
          <w:szCs w:val="20"/>
        </w:rPr>
        <w:t>du</w:t>
      </w:r>
      <w:r w:rsidRPr="00CF2CDA">
        <w:rPr>
          <w:rStyle w:val="hps"/>
          <w:rFonts w:ascii="Times New Roman" w:hAnsi="Times New Roman" w:cs="Times New Roman"/>
          <w:i/>
          <w:sz w:val="20"/>
          <w:szCs w:val="20"/>
        </w:rPr>
        <w:t>senie</w:t>
      </w:r>
      <w:r w:rsidRPr="00CF2CDA">
        <w:rPr>
          <w:rStyle w:val="longtext"/>
          <w:rFonts w:ascii="Times New Roman" w:hAnsi="Times New Roman" w:cs="Times New Roman"/>
          <w:i/>
          <w:sz w:val="20"/>
          <w:szCs w:val="20"/>
        </w:rPr>
        <w:t xml:space="preserve">, </w:t>
      </w:r>
      <w:r w:rsidRPr="00CF2CDA">
        <w:rPr>
          <w:rStyle w:val="hps"/>
          <w:rFonts w:ascii="Times New Roman" w:hAnsi="Times New Roman" w:cs="Times New Roman"/>
          <w:i/>
          <w:sz w:val="20"/>
          <w:szCs w:val="20"/>
        </w:rPr>
        <w:t>škrtenie</w:t>
      </w:r>
      <w:r w:rsidRPr="00CF2CDA">
        <w:rPr>
          <w:rStyle w:val="longtext"/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Style w:val="longtext"/>
          <w:rFonts w:ascii="Times New Roman" w:hAnsi="Times New Roman" w:cs="Times New Roman"/>
          <w:i/>
          <w:sz w:val="20"/>
          <w:szCs w:val="20"/>
        </w:rPr>
        <w:t>uhryznutie zvieraťom a jedovaté uštipnutie,</w:t>
      </w:r>
      <w:r w:rsidRPr="00CF2CDA">
        <w:rPr>
          <w:rStyle w:val="longtext"/>
          <w:rFonts w:ascii="Times New Roman" w:hAnsi="Times New Roman" w:cs="Times New Roman"/>
          <w:i/>
          <w:sz w:val="20"/>
          <w:szCs w:val="20"/>
        </w:rPr>
        <w:t xml:space="preserve"> </w:t>
      </w:r>
      <w:r w:rsidR="00892A64">
        <w:rPr>
          <w:rStyle w:val="hps"/>
          <w:rFonts w:ascii="Times New Roman" w:hAnsi="Times New Roman" w:cs="Times New Roman"/>
          <w:i/>
          <w:sz w:val="20"/>
          <w:szCs w:val="20"/>
        </w:rPr>
        <w:lastRenderedPageBreak/>
        <w:t>podchladenie</w:t>
      </w:r>
      <w:r w:rsidR="00892A64" w:rsidRPr="00CF2CDA">
        <w:rPr>
          <w:rStyle w:val="longtext"/>
          <w:rFonts w:ascii="Times New Roman" w:hAnsi="Times New Roman" w:cs="Times New Roman"/>
          <w:i/>
          <w:sz w:val="20"/>
          <w:szCs w:val="20"/>
        </w:rPr>
        <w:t xml:space="preserve">, </w:t>
      </w:r>
      <w:r w:rsidR="00892A64" w:rsidRPr="00CF2CDA">
        <w:rPr>
          <w:rStyle w:val="hps"/>
          <w:rFonts w:ascii="Times New Roman" w:hAnsi="Times New Roman" w:cs="Times New Roman"/>
          <w:i/>
          <w:sz w:val="20"/>
          <w:szCs w:val="20"/>
        </w:rPr>
        <w:t>hypertermia</w:t>
      </w:r>
      <w:r w:rsidR="00892A64" w:rsidRPr="00CF2CDA">
        <w:rPr>
          <w:rStyle w:val="longtext"/>
          <w:rFonts w:ascii="Times New Roman" w:hAnsi="Times New Roman" w:cs="Times New Roman"/>
          <w:i/>
          <w:sz w:val="20"/>
          <w:szCs w:val="20"/>
        </w:rPr>
        <w:t xml:space="preserve">, </w:t>
      </w:r>
      <w:r w:rsidR="00892A64" w:rsidRPr="00CF2CDA">
        <w:rPr>
          <w:rStyle w:val="hps"/>
          <w:rFonts w:ascii="Times New Roman" w:hAnsi="Times New Roman" w:cs="Times New Roman"/>
          <w:i/>
          <w:sz w:val="20"/>
          <w:szCs w:val="20"/>
        </w:rPr>
        <w:t>prírodné</w:t>
      </w:r>
      <w:r w:rsidR="00892A64" w:rsidRPr="00CF2CDA">
        <w:rPr>
          <w:rStyle w:val="longtext"/>
          <w:rFonts w:ascii="Times New Roman" w:hAnsi="Times New Roman" w:cs="Times New Roman"/>
          <w:i/>
          <w:sz w:val="20"/>
          <w:szCs w:val="20"/>
        </w:rPr>
        <w:t xml:space="preserve"> </w:t>
      </w:r>
      <w:r w:rsidR="00892A64" w:rsidRPr="00CF2CDA">
        <w:rPr>
          <w:rStyle w:val="hps"/>
          <w:rFonts w:ascii="Times New Roman" w:hAnsi="Times New Roman" w:cs="Times New Roman"/>
          <w:i/>
          <w:sz w:val="20"/>
          <w:szCs w:val="20"/>
        </w:rPr>
        <w:t>katastrofy</w:t>
      </w:r>
      <w:r w:rsidR="00892A64" w:rsidRPr="00CF2CDA">
        <w:rPr>
          <w:rFonts w:ascii="Times New Roman" w:hAnsi="Times New Roman" w:cs="Times New Roman"/>
          <w:i/>
          <w:sz w:val="20"/>
          <w:szCs w:val="20"/>
        </w:rPr>
        <w:br/>
      </w:r>
    </w:p>
    <w:p w:rsidR="00892A64" w:rsidRDefault="00892A64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  <w:sectPr w:rsidR="00892A64" w:rsidSect="00892A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6F65" w:rsidRDefault="00E86F65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92A64" w:rsidRDefault="00892A64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  <w:sectPr w:rsidR="00892A64" w:rsidSect="00892A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6F65" w:rsidRDefault="00E86F65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92A64" w:rsidRDefault="00892A64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92A64" w:rsidRDefault="00892A64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6F65" w:rsidRDefault="00892A64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Tabuľka č. 6 Počet hospitalizácií detí vo veku 0-19 na rôzne druhy úrazov (okrem dopravných) v r.2010</w:t>
      </w:r>
      <w:r w:rsidR="00220B8B">
        <w:rPr>
          <w:rFonts w:ascii="Times New Roman" w:hAnsi="Times New Roman" w:cs="Times New Roman"/>
          <w:i/>
        </w:rPr>
        <w:t>, 2011 a 2012</w:t>
      </w:r>
    </w:p>
    <w:p w:rsidR="00220B8B" w:rsidRDefault="00220B8B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Svetlpodfarbeniezvraznenie2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220B8B" w:rsidTr="00220B8B">
        <w:trPr>
          <w:cnfStyle w:val="100000000000"/>
        </w:trPr>
        <w:tc>
          <w:tcPr>
            <w:cnfStyle w:val="001000000000"/>
            <w:tcW w:w="2322" w:type="dxa"/>
          </w:tcPr>
          <w:p w:rsidR="00220B8B" w:rsidRDefault="00220B8B" w:rsidP="00FF5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220B8B" w:rsidRDefault="00220B8B" w:rsidP="00220B8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22" w:type="dxa"/>
          </w:tcPr>
          <w:p w:rsidR="00220B8B" w:rsidRDefault="00220B8B" w:rsidP="00220B8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22" w:type="dxa"/>
          </w:tcPr>
          <w:p w:rsidR="00220B8B" w:rsidRDefault="00220B8B" w:rsidP="00220B8B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220B8B" w:rsidTr="00220B8B">
        <w:trPr>
          <w:cnfStyle w:val="000000100000"/>
        </w:trPr>
        <w:tc>
          <w:tcPr>
            <w:cnfStyle w:val="001000000000"/>
            <w:tcW w:w="2322" w:type="dxa"/>
          </w:tcPr>
          <w:p w:rsidR="00220B8B" w:rsidRDefault="00220B8B" w:rsidP="00FF5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B8B" w:rsidRDefault="00220B8B" w:rsidP="00FF5C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hospitalizácií na rôzne druhy úrazov *</w:t>
            </w:r>
          </w:p>
        </w:tc>
        <w:tc>
          <w:tcPr>
            <w:tcW w:w="2322" w:type="dxa"/>
          </w:tcPr>
          <w:p w:rsidR="00220B8B" w:rsidRDefault="00220B8B" w:rsidP="0022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B8B" w:rsidRDefault="00220B8B" w:rsidP="0022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1771</w:t>
            </w:r>
          </w:p>
        </w:tc>
        <w:tc>
          <w:tcPr>
            <w:tcW w:w="2322" w:type="dxa"/>
          </w:tcPr>
          <w:p w:rsidR="00220B8B" w:rsidRDefault="00220B8B" w:rsidP="0022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B8B" w:rsidRDefault="00220B8B" w:rsidP="0022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</w:t>
            </w:r>
          </w:p>
        </w:tc>
        <w:tc>
          <w:tcPr>
            <w:tcW w:w="2322" w:type="dxa"/>
          </w:tcPr>
          <w:p w:rsidR="00220B8B" w:rsidRDefault="00220B8B" w:rsidP="0022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B8B" w:rsidRDefault="00220B8B" w:rsidP="00220B8B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</w:t>
            </w:r>
          </w:p>
        </w:tc>
      </w:tr>
    </w:tbl>
    <w:p w:rsidR="00892A64" w:rsidRPr="00892A64" w:rsidRDefault="00892A64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92A64" w:rsidRPr="00892A64" w:rsidSect="00892A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Zdroj:NCZ</w:t>
      </w:r>
    </w:p>
    <w:p w:rsidR="00220B8B" w:rsidRDefault="00220B8B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92A64" w:rsidRDefault="00220B8B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  <w:sectPr w:rsidR="00892A64" w:rsidSect="00892A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</w:rPr>
        <w:t xml:space="preserve">*Druhy úrazov: popáleniny, poleptania, omrzliny, otrava liečivami, liekmi a biologickými látkami, </w:t>
      </w:r>
      <w:r w:rsidR="00593BD5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>dusenie, týranie, pády, utopenie, uškrtenie, otravy, úmyselné sebapoškodzovanie</w:t>
      </w:r>
    </w:p>
    <w:p w:rsidR="00220B8B" w:rsidRDefault="00220B8B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20B8B" w:rsidRDefault="00220B8B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20B8B" w:rsidRDefault="00220B8B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20B8B" w:rsidRDefault="00220B8B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20B8B" w:rsidRDefault="00220B8B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9190B" w:rsidRDefault="0089190B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9190B" w:rsidRDefault="0089190B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6F65" w:rsidRDefault="00892A64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Graf </w:t>
      </w:r>
      <w:r w:rsidR="00593BD5">
        <w:rPr>
          <w:rFonts w:ascii="Times New Roman" w:hAnsi="Times New Roman" w:cs="Times New Roman"/>
          <w:i/>
        </w:rPr>
        <w:t>č.</w:t>
      </w:r>
      <w:r>
        <w:rPr>
          <w:rFonts w:ascii="Times New Roman" w:hAnsi="Times New Roman" w:cs="Times New Roman"/>
          <w:i/>
        </w:rPr>
        <w:t xml:space="preserve">7 Počet hospitalizovaných detí vo veku 0-19 na rôzne druhy úrazov v r.2010 </w:t>
      </w:r>
      <w:r w:rsidR="0089190B">
        <w:rPr>
          <w:rFonts w:ascii="Times New Roman" w:hAnsi="Times New Roman" w:cs="Times New Roman"/>
          <w:i/>
        </w:rPr>
        <w:t>v SR</w:t>
      </w:r>
    </w:p>
    <w:p w:rsidR="00892A64" w:rsidRDefault="00892A64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6F65" w:rsidRPr="00892A64" w:rsidRDefault="00892A64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92A64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2655570" cy="2854738"/>
            <wp:effectExtent l="19050" t="0" r="11430" b="2762"/>
            <wp:docPr id="68" name="Graf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6F65" w:rsidRDefault="00892A64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Zdroj:NCZI</w:t>
      </w:r>
    </w:p>
    <w:p w:rsidR="00E86F65" w:rsidRPr="00892A64" w:rsidRDefault="00E86F65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6F65" w:rsidRDefault="00E86F65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92A64" w:rsidRDefault="00892A64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92A64" w:rsidRDefault="00892A64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Graf</w:t>
      </w:r>
      <w:r w:rsidR="00593BD5">
        <w:rPr>
          <w:rFonts w:ascii="Times New Roman" w:hAnsi="Times New Roman" w:cs="Times New Roman"/>
          <w:i/>
        </w:rPr>
        <w:t xml:space="preserve"> č.</w:t>
      </w:r>
      <w:r>
        <w:rPr>
          <w:rFonts w:ascii="Times New Roman" w:hAnsi="Times New Roman" w:cs="Times New Roman"/>
          <w:i/>
        </w:rPr>
        <w:t>8</w:t>
      </w:r>
      <w:r w:rsidRPr="00892A6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Počet hospitalizovaných detí vo veku 0-19 na rôzne druhy úrazov v r.2011</w:t>
      </w:r>
      <w:r w:rsidR="0089190B">
        <w:rPr>
          <w:rFonts w:ascii="Times New Roman" w:hAnsi="Times New Roman" w:cs="Times New Roman"/>
          <w:i/>
        </w:rPr>
        <w:t xml:space="preserve"> v SR</w:t>
      </w:r>
    </w:p>
    <w:p w:rsidR="00892A64" w:rsidRDefault="00892A64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86F65" w:rsidRDefault="00892A64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92A64">
        <w:rPr>
          <w:rFonts w:ascii="Times New Roman" w:hAnsi="Times New Roman" w:cs="Times New Roman"/>
          <w:i/>
          <w:noProof/>
          <w:lang w:eastAsia="sk-SK"/>
        </w:rPr>
        <w:drawing>
          <wp:inline distT="0" distB="0" distL="0" distR="0">
            <wp:extent cx="3023089" cy="2743200"/>
            <wp:effectExtent l="19050" t="0" r="24911" b="0"/>
            <wp:docPr id="69" name="Graf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2A64" w:rsidRDefault="00892A64" w:rsidP="00FF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  <w:sectPr w:rsidR="00892A64" w:rsidSect="00892A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2A64" w:rsidRDefault="00892A64" w:rsidP="00F9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Graf </w:t>
      </w:r>
      <w:r w:rsidR="00593BD5">
        <w:rPr>
          <w:rFonts w:ascii="Times New Roman" w:hAnsi="Times New Roman" w:cs="Times New Roman"/>
          <w:i/>
        </w:rPr>
        <w:t>č.</w:t>
      </w:r>
      <w:r>
        <w:rPr>
          <w:rFonts w:ascii="Times New Roman" w:hAnsi="Times New Roman" w:cs="Times New Roman"/>
          <w:i/>
        </w:rPr>
        <w:t>9</w:t>
      </w:r>
      <w:r w:rsidRPr="00892A6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Počet hospitalizovaných detí vo veku 0-19</w:t>
      </w:r>
    </w:p>
    <w:p w:rsidR="00892A64" w:rsidRDefault="00892A64" w:rsidP="00F9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rôzne druhy úrazov v r.2012</w:t>
      </w:r>
      <w:r w:rsidR="0089190B">
        <w:rPr>
          <w:rFonts w:ascii="Times New Roman" w:hAnsi="Times New Roman" w:cs="Times New Roman"/>
          <w:i/>
        </w:rPr>
        <w:t xml:space="preserve"> v SR</w:t>
      </w:r>
    </w:p>
    <w:p w:rsidR="00E86F65" w:rsidRDefault="00E86F65" w:rsidP="00892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86F65" w:rsidRDefault="00E86F65" w:rsidP="00892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  <w:sectPr w:rsidR="00E86F65" w:rsidSect="00892A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6F65" w:rsidRDefault="00892A64" w:rsidP="00F935BB">
      <w:pPr>
        <w:jc w:val="center"/>
        <w:sectPr w:rsidR="00E86F65" w:rsidSect="00892A64">
          <w:type w:val="continuous"/>
          <w:pgSz w:w="11906" w:h="16838"/>
          <w:pgMar w:top="1417" w:right="1417" w:bottom="1417" w:left="1417" w:header="708" w:footer="708" w:gutter="0"/>
          <w:cols w:space="1132"/>
          <w:docGrid w:linePitch="360"/>
        </w:sectPr>
      </w:pPr>
      <w:r>
        <w:lastRenderedPageBreak/>
        <w:t>Zdroj:NCZI</w:t>
      </w:r>
      <w:r w:rsidRPr="00892A64">
        <w:rPr>
          <w:noProof/>
          <w:lang w:eastAsia="sk-SK"/>
        </w:rPr>
        <w:drawing>
          <wp:inline distT="0" distB="0" distL="0" distR="0">
            <wp:extent cx="3840773" cy="2743200"/>
            <wp:effectExtent l="19050" t="0" r="26377" b="0"/>
            <wp:docPr id="6" name="Graf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2FCF" w:rsidRDefault="00D62FCF"/>
    <w:p w:rsidR="00D62FCF" w:rsidRDefault="00D62FCF"/>
    <w:p w:rsidR="00D62FCF" w:rsidRDefault="00D62FCF"/>
    <w:p w:rsidR="00D62FCF" w:rsidRDefault="00D62FCF"/>
    <w:p w:rsidR="00D62FCF" w:rsidRDefault="00D62FCF"/>
    <w:p w:rsidR="00704475" w:rsidRDefault="00704475" w:rsidP="007044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  <w:sectPr w:rsidR="00704475" w:rsidSect="00892A64">
          <w:type w:val="continuous"/>
          <w:pgSz w:w="11906" w:h="16838"/>
          <w:pgMar w:top="1417" w:right="1417" w:bottom="1417" w:left="1417" w:header="708" w:footer="708" w:gutter="0"/>
          <w:cols w:space="1132"/>
          <w:docGrid w:linePitch="360"/>
        </w:sectPr>
      </w:pPr>
    </w:p>
    <w:p w:rsidR="0072115F" w:rsidRPr="001111F0" w:rsidRDefault="001111F0" w:rsidP="0011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11F0">
        <w:rPr>
          <w:rFonts w:ascii="Times New Roman" w:hAnsi="Times New Roman" w:cs="Times New Roman"/>
          <w:sz w:val="28"/>
          <w:szCs w:val="28"/>
        </w:rPr>
        <w:lastRenderedPageBreak/>
        <w:t>Vybrané výsledky</w:t>
      </w:r>
      <w:r w:rsidRPr="001111F0">
        <w:rPr>
          <w:sz w:val="28"/>
          <w:szCs w:val="28"/>
        </w:rPr>
        <w:t xml:space="preserve"> p</w:t>
      </w:r>
      <w:r w:rsidRPr="001111F0">
        <w:rPr>
          <w:rFonts w:ascii="Times New Roman" w:hAnsi="Times New Roman" w:cs="Times New Roman"/>
          <w:sz w:val="28"/>
          <w:szCs w:val="28"/>
        </w:rPr>
        <w:t>rieskumu „</w:t>
      </w:r>
      <w:r w:rsidRPr="001111F0">
        <w:rPr>
          <w:rFonts w:ascii="Times New Roman" w:hAnsi="Times New Roman" w:cs="Times New Roman"/>
          <w:b/>
          <w:bCs/>
          <w:sz w:val="28"/>
          <w:szCs w:val="28"/>
        </w:rPr>
        <w:t xml:space="preserve">Monitoring úrazovosti u detí predškolského a školského veku “, Úrad verejného zdravotníctva SR, 2009 </w:t>
      </w:r>
    </w:p>
    <w:p w:rsidR="001111F0" w:rsidRPr="001111F0" w:rsidRDefault="001111F0" w:rsidP="00111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1DE2" w:rsidRDefault="00CC1DE2" w:rsidP="00CC1D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DE2">
        <w:rPr>
          <w:rFonts w:ascii="Times New Roman" w:hAnsi="Times New Roman" w:cs="Times New Roman"/>
        </w:rPr>
        <w:t>Prieskum preukázal, že u detí sa najčastejšie vyskytujú zlomeniny (23,7%), nasledujú pomliaždenia mäkkých tkanív (23,4%), otvorené rany (22,5%), povrchové poškodenia kože (popáleniny, poleptania) – 13,8% a vykĺbenia (11,1%).  Otras mozgu sa vyskytol u 3,1% opýtaných a najnižšie percento respondentov uviedlo otravy, poranenia vnútorných orgánov a kombinácie rôznych druhov úrazov (od 0,1 do cca 2%)</w:t>
      </w:r>
    </w:p>
    <w:p w:rsidR="00CC1DE2" w:rsidRPr="00CC1DE2" w:rsidRDefault="00CC1DE2" w:rsidP="00CC1D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DE2" w:rsidRPr="00CC1DE2" w:rsidRDefault="00CC1DE2" w:rsidP="00CC1D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1DE2">
        <w:rPr>
          <w:rFonts w:ascii="Times New Roman" w:hAnsi="Times New Roman" w:cs="Times New Roman"/>
          <w:sz w:val="20"/>
          <w:szCs w:val="20"/>
        </w:rPr>
        <w:t xml:space="preserve">Graf </w:t>
      </w:r>
      <w:r w:rsidR="00593BD5">
        <w:rPr>
          <w:rFonts w:ascii="Times New Roman" w:hAnsi="Times New Roman" w:cs="Times New Roman"/>
          <w:sz w:val="20"/>
          <w:szCs w:val="20"/>
        </w:rPr>
        <w:t>č.</w:t>
      </w:r>
      <w:r w:rsidRPr="00CC1DE2">
        <w:rPr>
          <w:rFonts w:ascii="Times New Roman" w:hAnsi="Times New Roman" w:cs="Times New Roman"/>
          <w:sz w:val="20"/>
          <w:szCs w:val="20"/>
        </w:rPr>
        <w:t>10</w:t>
      </w:r>
    </w:p>
    <w:p w:rsidR="00CC1DE2" w:rsidRDefault="00CC1DE2" w:rsidP="00CC1D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1DE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397110" cy="3243878"/>
            <wp:effectExtent l="19050" t="0" r="13090" b="0"/>
            <wp:docPr id="77" name="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C1DE2" w:rsidRDefault="00CC1DE2" w:rsidP="00CC1D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1DE2">
        <w:rPr>
          <w:rFonts w:ascii="Times New Roman" w:hAnsi="Times New Roman" w:cs="Times New Roman"/>
          <w:sz w:val="20"/>
          <w:szCs w:val="20"/>
        </w:rPr>
        <w:t>Zdroj: ÚVZ SR</w:t>
      </w:r>
    </w:p>
    <w:p w:rsidR="00CC1DE2" w:rsidRDefault="00CC1DE2" w:rsidP="00CC1DE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C1DE2" w:rsidRDefault="00CC1DE2" w:rsidP="00CC1DE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C1DE2">
        <w:rPr>
          <w:rFonts w:ascii="Times New Roman" w:hAnsi="Times New Roman" w:cs="Times New Roman"/>
        </w:rPr>
        <w:t xml:space="preserve">Dôležitým kritériom hodnotenia úrazov vo všeobecnosti je ich závažnosť. Ako vyplynulo z výsledkov projektu, prevažnú väčšinu úrazov u respondentov možno zaradiť medzi ľahké (67%), 30,5% predstavovali stredne ťažké úrazy a ťažkých bolo iba 2,5% (graf </w:t>
      </w:r>
      <w:r w:rsidR="00593BD5">
        <w:rPr>
          <w:rFonts w:ascii="Times New Roman" w:hAnsi="Times New Roman" w:cs="Times New Roman"/>
        </w:rPr>
        <w:t>č.</w:t>
      </w:r>
      <w:r w:rsidRPr="00CC1DE2">
        <w:rPr>
          <w:rFonts w:ascii="Times New Roman" w:hAnsi="Times New Roman" w:cs="Times New Roman"/>
        </w:rPr>
        <w:t>11).</w:t>
      </w:r>
    </w:p>
    <w:p w:rsidR="00CC1DE2" w:rsidRPr="00CC1DE2" w:rsidRDefault="00CC1DE2" w:rsidP="00CC1DE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72115F" w:rsidRPr="00CC1DE2" w:rsidRDefault="0072115F" w:rsidP="0072115F">
      <w:pPr>
        <w:spacing w:after="0"/>
        <w:ind w:firstLine="360"/>
        <w:jc w:val="both"/>
        <w:rPr>
          <w:sz w:val="20"/>
          <w:szCs w:val="20"/>
        </w:rPr>
      </w:pPr>
      <w:r w:rsidRPr="00CC1DE2">
        <w:rPr>
          <w:sz w:val="20"/>
          <w:szCs w:val="20"/>
        </w:rPr>
        <w:t xml:space="preserve">Graf </w:t>
      </w:r>
      <w:r w:rsidR="00593BD5">
        <w:rPr>
          <w:sz w:val="20"/>
          <w:szCs w:val="20"/>
        </w:rPr>
        <w:t>č.</w:t>
      </w:r>
      <w:r w:rsidRPr="00CC1DE2">
        <w:rPr>
          <w:sz w:val="20"/>
          <w:szCs w:val="20"/>
        </w:rPr>
        <w:t>1</w:t>
      </w:r>
      <w:r w:rsidR="00CC1DE2" w:rsidRPr="00CC1DE2">
        <w:rPr>
          <w:sz w:val="20"/>
          <w:szCs w:val="20"/>
        </w:rPr>
        <w:t>1</w:t>
      </w:r>
    </w:p>
    <w:p w:rsidR="0072115F" w:rsidRDefault="00CC1DE2" w:rsidP="0072115F">
      <w:pPr>
        <w:spacing w:after="0"/>
        <w:ind w:firstLine="360"/>
        <w:jc w:val="both"/>
      </w:pPr>
      <w:r w:rsidRPr="00CC1DE2">
        <w:rPr>
          <w:noProof/>
          <w:lang w:eastAsia="sk-SK"/>
        </w:rPr>
        <w:drawing>
          <wp:inline distT="0" distB="0" distL="0" distR="0">
            <wp:extent cx="4738663" cy="2678592"/>
            <wp:effectExtent l="19050" t="0" r="23837" b="7458"/>
            <wp:docPr id="78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C1DE2" w:rsidRPr="001111F0" w:rsidRDefault="00CC1DE2" w:rsidP="00CC1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E2">
        <w:rPr>
          <w:rFonts w:ascii="Times New Roman" w:hAnsi="Times New Roman" w:cs="Times New Roman"/>
        </w:rPr>
        <w:lastRenderedPageBreak/>
        <w:t>Z hodnotenia miery závažnosti úrazov u detí vyplynulo, že 56,1% úrazov si síce vyžiadalo lekárske ošetrenie, 88,5% pri úraze nebola potrebná hospitalizácia, pri 11,5% bola potrebná hospitalizácia</w:t>
      </w:r>
      <w:r w:rsidRPr="001111F0">
        <w:rPr>
          <w:rFonts w:ascii="Times New Roman" w:hAnsi="Times New Roman" w:cs="Times New Roman"/>
          <w:sz w:val="24"/>
          <w:szCs w:val="24"/>
        </w:rPr>
        <w:t>.</w:t>
      </w:r>
    </w:p>
    <w:p w:rsidR="0072115F" w:rsidRPr="00CC1DE2" w:rsidRDefault="0072115F" w:rsidP="00F935BB">
      <w:pPr>
        <w:spacing w:before="240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C1DE2">
        <w:rPr>
          <w:rFonts w:ascii="Times New Roman" w:hAnsi="Times New Roman" w:cs="Times New Roman"/>
          <w:sz w:val="20"/>
          <w:szCs w:val="20"/>
        </w:rPr>
        <w:t xml:space="preserve">Graf </w:t>
      </w:r>
      <w:r w:rsidR="00593BD5">
        <w:rPr>
          <w:rFonts w:ascii="Times New Roman" w:hAnsi="Times New Roman" w:cs="Times New Roman"/>
          <w:sz w:val="20"/>
          <w:szCs w:val="20"/>
        </w:rPr>
        <w:t>č.</w:t>
      </w:r>
      <w:r w:rsidR="00CC1DE2" w:rsidRPr="00CC1DE2">
        <w:rPr>
          <w:rFonts w:ascii="Times New Roman" w:hAnsi="Times New Roman" w:cs="Times New Roman"/>
          <w:sz w:val="20"/>
          <w:szCs w:val="20"/>
        </w:rPr>
        <w:t>12</w:t>
      </w:r>
    </w:p>
    <w:p w:rsidR="0072115F" w:rsidRDefault="00CC1DE2" w:rsidP="00F935BB">
      <w:pPr>
        <w:spacing w:after="0"/>
        <w:ind w:firstLine="708"/>
      </w:pPr>
      <w:r w:rsidRPr="00CC1DE2">
        <w:rPr>
          <w:noProof/>
          <w:lang w:eastAsia="sk-SK"/>
        </w:rPr>
        <w:drawing>
          <wp:inline distT="0" distB="0" distL="0" distR="0">
            <wp:extent cx="4825512" cy="3261946"/>
            <wp:effectExtent l="19050" t="0" r="13188" b="0"/>
            <wp:docPr id="79" name="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11F0" w:rsidRPr="00CC1DE2" w:rsidRDefault="00CC1DE2" w:rsidP="0072115F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C1DE2">
        <w:rPr>
          <w:rFonts w:ascii="Times New Roman" w:hAnsi="Times New Roman" w:cs="Times New Roman"/>
          <w:sz w:val="20"/>
          <w:szCs w:val="20"/>
        </w:rPr>
        <w:t>Zdroj: ÚVZ SR</w:t>
      </w:r>
    </w:p>
    <w:p w:rsidR="0072115F" w:rsidRDefault="0072115F" w:rsidP="00CC1DE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C1DE2">
        <w:rPr>
          <w:rFonts w:ascii="Times New Roman" w:hAnsi="Times New Roman" w:cs="Times New Roman"/>
        </w:rPr>
        <w:t>Pri porovnaní miesta vzniku úrazu u chlapcov a dievčat (graf č. 1</w:t>
      </w:r>
      <w:r w:rsidR="00593BD5">
        <w:rPr>
          <w:rFonts w:ascii="Times New Roman" w:hAnsi="Times New Roman" w:cs="Times New Roman"/>
        </w:rPr>
        <w:t>3</w:t>
      </w:r>
      <w:r w:rsidRPr="00CC1DE2">
        <w:rPr>
          <w:rFonts w:ascii="Times New Roman" w:hAnsi="Times New Roman" w:cs="Times New Roman"/>
        </w:rPr>
        <w:t>)  možno konštatovať, že u oboch pohlaví sa najviac úrazov odohralo v domácom prostredí, druhým najčastejším miestom vzniku úrazov boli v rámci verejných priestranstiev dopravné komunikácie. Tu však bol výskyt  úrazov dvojnásobne  vyšší u dievčat ( 32,8% oproti 13,4% u chlapcov).</w:t>
      </w:r>
    </w:p>
    <w:p w:rsidR="00CC1DE2" w:rsidRPr="00CC1DE2" w:rsidRDefault="00CC1DE2" w:rsidP="00CC1DE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72115F" w:rsidRDefault="0072115F" w:rsidP="00593BD5">
      <w:pPr>
        <w:spacing w:after="0"/>
      </w:pPr>
      <w:r>
        <w:t xml:space="preserve">Graf č. </w:t>
      </w:r>
      <w:r w:rsidR="00593BD5">
        <w:t>1</w:t>
      </w:r>
      <w:r>
        <w:t>3</w:t>
      </w:r>
    </w:p>
    <w:p w:rsidR="0072115F" w:rsidRDefault="0072115F" w:rsidP="00F935B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520104" cy="2748945"/>
            <wp:effectExtent l="19050" t="0" r="23446" b="0"/>
            <wp:docPr id="8" name="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F7246" w:rsidRDefault="004F7246" w:rsidP="00CC1D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7246" w:rsidRDefault="004F7246" w:rsidP="00CC1D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115F" w:rsidRDefault="0072115F" w:rsidP="004F72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DE2">
        <w:rPr>
          <w:rFonts w:ascii="Times New Roman" w:hAnsi="Times New Roman" w:cs="Times New Roman"/>
        </w:rPr>
        <w:lastRenderedPageBreak/>
        <w:t>Pokiaľ ide o dĺžku hospitalizácie, prevažujú úrazy, ktoré si vyžiadali cca týždňový pobyt v nemocničnom zariadení (39,9%). Dlhodobú hospitalizáciu v dĺžke trvania 6- 8 týždňov udalo iba nevýznamné percento opýtaných – cca  1,9 -1,3 % respondentov</w:t>
      </w:r>
      <w:r w:rsidR="00CC1DE2" w:rsidRPr="00CC1DE2">
        <w:rPr>
          <w:rFonts w:ascii="Times New Roman" w:hAnsi="Times New Roman" w:cs="Times New Roman"/>
        </w:rPr>
        <w:t xml:space="preserve"> (graf </w:t>
      </w:r>
      <w:r w:rsidR="00593BD5">
        <w:rPr>
          <w:rFonts w:ascii="Times New Roman" w:hAnsi="Times New Roman" w:cs="Times New Roman"/>
        </w:rPr>
        <w:t>č.</w:t>
      </w:r>
      <w:r w:rsidR="00CC1DE2" w:rsidRPr="00CC1DE2">
        <w:rPr>
          <w:rFonts w:ascii="Times New Roman" w:hAnsi="Times New Roman" w:cs="Times New Roman"/>
        </w:rPr>
        <w:t>1</w:t>
      </w:r>
      <w:r w:rsidR="00593BD5">
        <w:rPr>
          <w:rFonts w:ascii="Times New Roman" w:hAnsi="Times New Roman" w:cs="Times New Roman"/>
        </w:rPr>
        <w:t>4</w:t>
      </w:r>
      <w:r w:rsidRPr="00CC1DE2">
        <w:rPr>
          <w:rFonts w:ascii="Times New Roman" w:hAnsi="Times New Roman" w:cs="Times New Roman"/>
        </w:rPr>
        <w:t xml:space="preserve">). </w:t>
      </w:r>
    </w:p>
    <w:p w:rsidR="0072115F" w:rsidRDefault="0072115F" w:rsidP="00593BD5">
      <w:pPr>
        <w:spacing w:after="0" w:line="240" w:lineRule="auto"/>
      </w:pPr>
      <w:r>
        <w:t xml:space="preserve">Graf č. </w:t>
      </w:r>
      <w:r w:rsidR="00CC1DE2">
        <w:t>1</w:t>
      </w:r>
      <w:r w:rsidR="00593BD5">
        <w:t>4</w:t>
      </w:r>
    </w:p>
    <w:p w:rsidR="0072115F" w:rsidRDefault="00CC1DE2" w:rsidP="00F935BB">
      <w:pPr>
        <w:spacing w:after="0"/>
        <w:jc w:val="center"/>
      </w:pPr>
      <w:r w:rsidRPr="00CC1DE2">
        <w:rPr>
          <w:noProof/>
          <w:lang w:eastAsia="sk-SK"/>
        </w:rPr>
        <w:drawing>
          <wp:inline distT="0" distB="0" distL="0" distR="0">
            <wp:extent cx="5760720" cy="3327788"/>
            <wp:effectExtent l="19050" t="0" r="11430" b="5962"/>
            <wp:docPr id="80" name="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2115F" w:rsidRPr="00CC1DE2" w:rsidRDefault="00CC1DE2">
      <w:pPr>
        <w:rPr>
          <w:rFonts w:ascii="Times New Roman" w:hAnsi="Times New Roman" w:cs="Times New Roman"/>
          <w:sz w:val="20"/>
          <w:szCs w:val="20"/>
        </w:rPr>
      </w:pPr>
      <w:r w:rsidRPr="00CC1DE2">
        <w:rPr>
          <w:rFonts w:ascii="Times New Roman" w:hAnsi="Times New Roman" w:cs="Times New Roman"/>
          <w:sz w:val="20"/>
          <w:szCs w:val="20"/>
        </w:rPr>
        <w:t>Zdroj: ÚVZ SR</w:t>
      </w:r>
    </w:p>
    <w:p w:rsidR="006562CF" w:rsidRPr="00CC1DE2" w:rsidRDefault="006562CF" w:rsidP="00CC1DE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C1DE2">
        <w:rPr>
          <w:rFonts w:ascii="Times New Roman" w:hAnsi="Times New Roman" w:cs="Times New Roman"/>
        </w:rPr>
        <w:t xml:space="preserve">Zaujímavý je tiež údaj o tom, ktorá časť dňa je z pohľadu výskytu úrazov u detí najkritickejšia. Zo spracovaných výsledkov vyplynulo, že najviac úrazov sa odohralo v poludňajších hodinách bez ohľadu na vek - 60,7% (graf č. </w:t>
      </w:r>
      <w:r w:rsidR="00CC1DE2" w:rsidRPr="00CC1DE2">
        <w:rPr>
          <w:rFonts w:ascii="Times New Roman" w:hAnsi="Times New Roman" w:cs="Times New Roman"/>
        </w:rPr>
        <w:t>1</w:t>
      </w:r>
      <w:r w:rsidR="00593BD5">
        <w:rPr>
          <w:rFonts w:ascii="Times New Roman" w:hAnsi="Times New Roman" w:cs="Times New Roman"/>
        </w:rPr>
        <w:t>5</w:t>
      </w:r>
      <w:r w:rsidRPr="00CC1DE2">
        <w:rPr>
          <w:rFonts w:ascii="Times New Roman" w:hAnsi="Times New Roman" w:cs="Times New Roman"/>
        </w:rPr>
        <w:t>). Nasledovali úrazy, ktoré sa odohrali v ranných hodinách – 11,5%, najmenej ich bolo večer a v noci.</w:t>
      </w:r>
    </w:p>
    <w:p w:rsidR="006562CF" w:rsidRPr="00CC1DE2" w:rsidRDefault="006562CF" w:rsidP="00CC1DE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CC1DE2">
        <w:rPr>
          <w:rFonts w:ascii="Times New Roman" w:hAnsi="Times New Roman" w:cs="Times New Roman"/>
        </w:rPr>
        <w:t>Pri hodnotení dní v týždni z pohľadu výskytu úrazov sa ich najvyšší výskyt  zaznamenal v nedeľu, najnižší v pondelok. Tento fakt by mohol súvisieť s voľnočasovými  aktivitami detí</w:t>
      </w:r>
      <w:r w:rsidR="00CC1DE2" w:rsidRPr="00CC1DE2">
        <w:rPr>
          <w:rFonts w:ascii="Times New Roman" w:hAnsi="Times New Roman" w:cs="Times New Roman"/>
        </w:rPr>
        <w:t xml:space="preserve"> (graf </w:t>
      </w:r>
      <w:r w:rsidR="00593BD5">
        <w:rPr>
          <w:rFonts w:ascii="Times New Roman" w:hAnsi="Times New Roman" w:cs="Times New Roman"/>
        </w:rPr>
        <w:t>č.</w:t>
      </w:r>
      <w:r w:rsidR="00CC1DE2" w:rsidRPr="00CC1DE2">
        <w:rPr>
          <w:rFonts w:ascii="Times New Roman" w:hAnsi="Times New Roman" w:cs="Times New Roman"/>
        </w:rPr>
        <w:t>1</w:t>
      </w:r>
      <w:r w:rsidR="00593BD5">
        <w:rPr>
          <w:rFonts w:ascii="Times New Roman" w:hAnsi="Times New Roman" w:cs="Times New Roman"/>
        </w:rPr>
        <w:t>6</w:t>
      </w:r>
      <w:r w:rsidR="00CC1DE2" w:rsidRPr="00CC1DE2">
        <w:rPr>
          <w:rFonts w:ascii="Times New Roman" w:hAnsi="Times New Roman" w:cs="Times New Roman"/>
        </w:rPr>
        <w:t>)</w:t>
      </w:r>
      <w:r w:rsidRPr="00CC1DE2">
        <w:rPr>
          <w:rFonts w:ascii="Times New Roman" w:hAnsi="Times New Roman" w:cs="Times New Roman"/>
        </w:rPr>
        <w:t xml:space="preserve"> </w:t>
      </w:r>
    </w:p>
    <w:p w:rsidR="006562CF" w:rsidRPr="004F7246" w:rsidRDefault="006562CF" w:rsidP="00CC1DE2">
      <w:pPr>
        <w:spacing w:after="0"/>
        <w:rPr>
          <w:rFonts w:ascii="Times New Roman" w:hAnsi="Times New Roman" w:cs="Times New Roman"/>
        </w:rPr>
      </w:pPr>
      <w:r w:rsidRPr="00593BD5">
        <w:rPr>
          <w:rFonts w:ascii="Times New Roman" w:hAnsi="Times New Roman" w:cs="Times New Roman"/>
          <w:sz w:val="20"/>
          <w:szCs w:val="20"/>
        </w:rPr>
        <w:t xml:space="preserve">Graf </w:t>
      </w:r>
      <w:r w:rsidR="00593BD5">
        <w:rPr>
          <w:rFonts w:ascii="Times New Roman" w:hAnsi="Times New Roman" w:cs="Times New Roman"/>
          <w:sz w:val="20"/>
          <w:szCs w:val="20"/>
        </w:rPr>
        <w:t xml:space="preserve">č. </w:t>
      </w:r>
      <w:r w:rsidR="00CC1DE2" w:rsidRPr="00593BD5">
        <w:rPr>
          <w:rFonts w:ascii="Times New Roman" w:hAnsi="Times New Roman" w:cs="Times New Roman"/>
          <w:sz w:val="20"/>
          <w:szCs w:val="20"/>
        </w:rPr>
        <w:t>1</w:t>
      </w:r>
      <w:r w:rsidR="00593BD5" w:rsidRPr="00593BD5">
        <w:rPr>
          <w:rFonts w:ascii="Times New Roman" w:hAnsi="Times New Roman" w:cs="Times New Roman"/>
          <w:sz w:val="20"/>
          <w:szCs w:val="20"/>
        </w:rPr>
        <w:t>5</w:t>
      </w:r>
      <w:r w:rsidR="00593BD5">
        <w:rPr>
          <w:rFonts w:ascii="Times New Roman" w:hAnsi="Times New Roman" w:cs="Times New Roman"/>
        </w:rPr>
        <w:tab/>
      </w:r>
      <w:r w:rsidR="00593BD5">
        <w:rPr>
          <w:rFonts w:ascii="Times New Roman" w:hAnsi="Times New Roman" w:cs="Times New Roman"/>
        </w:rPr>
        <w:tab/>
      </w:r>
      <w:r w:rsidR="00593BD5">
        <w:rPr>
          <w:rFonts w:ascii="Times New Roman" w:hAnsi="Times New Roman" w:cs="Times New Roman"/>
        </w:rPr>
        <w:tab/>
      </w:r>
      <w:r w:rsidR="00593BD5">
        <w:rPr>
          <w:rFonts w:ascii="Times New Roman" w:hAnsi="Times New Roman" w:cs="Times New Roman"/>
        </w:rPr>
        <w:tab/>
      </w:r>
      <w:r w:rsidR="00593BD5">
        <w:rPr>
          <w:rFonts w:ascii="Times New Roman" w:hAnsi="Times New Roman" w:cs="Times New Roman"/>
        </w:rPr>
        <w:tab/>
      </w:r>
      <w:r w:rsidRPr="004F7246">
        <w:rPr>
          <w:rFonts w:ascii="Times New Roman" w:hAnsi="Times New Roman" w:cs="Times New Roman"/>
        </w:rPr>
        <w:tab/>
      </w:r>
      <w:r w:rsidRPr="00593BD5">
        <w:rPr>
          <w:rFonts w:ascii="Times New Roman" w:hAnsi="Times New Roman" w:cs="Times New Roman"/>
          <w:sz w:val="20"/>
          <w:szCs w:val="20"/>
        </w:rPr>
        <w:t>G</w:t>
      </w:r>
      <w:r w:rsidR="00CC1DE2" w:rsidRPr="00593BD5">
        <w:rPr>
          <w:rFonts w:ascii="Times New Roman" w:hAnsi="Times New Roman" w:cs="Times New Roman"/>
          <w:sz w:val="20"/>
          <w:szCs w:val="20"/>
        </w:rPr>
        <w:t xml:space="preserve">raf </w:t>
      </w:r>
      <w:r w:rsidR="00593BD5" w:rsidRPr="00593BD5">
        <w:rPr>
          <w:rFonts w:ascii="Times New Roman" w:hAnsi="Times New Roman" w:cs="Times New Roman"/>
          <w:sz w:val="20"/>
          <w:szCs w:val="20"/>
        </w:rPr>
        <w:t>č.</w:t>
      </w:r>
      <w:r w:rsidR="00CC1DE2" w:rsidRPr="00593BD5">
        <w:rPr>
          <w:rFonts w:ascii="Times New Roman" w:hAnsi="Times New Roman" w:cs="Times New Roman"/>
          <w:sz w:val="20"/>
          <w:szCs w:val="20"/>
        </w:rPr>
        <w:t>1</w:t>
      </w:r>
      <w:r w:rsidR="00593BD5" w:rsidRPr="00593BD5">
        <w:rPr>
          <w:rFonts w:ascii="Times New Roman" w:hAnsi="Times New Roman" w:cs="Times New Roman"/>
          <w:sz w:val="20"/>
          <w:szCs w:val="20"/>
        </w:rPr>
        <w:t>6</w:t>
      </w:r>
      <w:r w:rsidRPr="004F7246">
        <w:rPr>
          <w:rFonts w:ascii="Times New Roman" w:hAnsi="Times New Roman" w:cs="Times New Roman"/>
        </w:rPr>
        <w:tab/>
      </w:r>
    </w:p>
    <w:p w:rsidR="006562CF" w:rsidRDefault="006562CF" w:rsidP="00CC1DE2">
      <w:pPr>
        <w:spacing w:after="0"/>
        <w:ind w:right="-108"/>
        <w:jc w:val="both"/>
      </w:pPr>
      <w:r>
        <w:rPr>
          <w:noProof/>
          <w:lang w:eastAsia="sk-SK"/>
        </w:rPr>
        <w:drawing>
          <wp:inline distT="0" distB="0" distL="0" distR="0">
            <wp:extent cx="2857500" cy="3156585"/>
            <wp:effectExtent l="19050" t="0" r="19050" b="5715"/>
            <wp:docPr id="13" name="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>
            <wp:extent cx="2778125" cy="3165475"/>
            <wp:effectExtent l="19050" t="0" r="22225" b="0"/>
            <wp:docPr id="11" name="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562CF" w:rsidRPr="004F7246" w:rsidRDefault="004F7246">
      <w:pPr>
        <w:rPr>
          <w:rFonts w:ascii="Times New Roman" w:hAnsi="Times New Roman" w:cs="Times New Roman"/>
          <w:sz w:val="20"/>
          <w:szCs w:val="20"/>
        </w:rPr>
      </w:pPr>
      <w:r w:rsidRPr="004F7246">
        <w:rPr>
          <w:rFonts w:ascii="Times New Roman" w:hAnsi="Times New Roman" w:cs="Times New Roman"/>
          <w:sz w:val="20"/>
          <w:szCs w:val="20"/>
        </w:rPr>
        <w:t>Zdroj: ÚVZ SR</w:t>
      </w:r>
    </w:p>
    <w:sectPr w:rsidR="006562CF" w:rsidRPr="004F7246" w:rsidSect="00892A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B9C" w:rsidRDefault="000B2B9C" w:rsidP="00CC1DE2">
      <w:pPr>
        <w:spacing w:after="0" w:line="240" w:lineRule="auto"/>
      </w:pPr>
      <w:r>
        <w:separator/>
      </w:r>
    </w:p>
  </w:endnote>
  <w:endnote w:type="continuationSeparator" w:id="1">
    <w:p w:rsidR="000B2B9C" w:rsidRDefault="000B2B9C" w:rsidP="00CC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9192"/>
      <w:docPartObj>
        <w:docPartGallery w:val="Page Numbers (Bottom of Page)"/>
        <w:docPartUnique/>
      </w:docPartObj>
    </w:sdtPr>
    <w:sdtContent>
      <w:p w:rsidR="00A305A7" w:rsidRDefault="0051339C">
        <w:pPr>
          <w:pStyle w:val="Pta"/>
        </w:pPr>
        <w:r w:rsidRPr="0051339C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5121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A305A7" w:rsidRDefault="0051339C">
                    <w:pPr>
                      <w:pStyle w:val="Pt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F15048" w:rsidRPr="00F15048">
                        <w:rPr>
                          <w:noProof/>
                          <w:sz w:val="28"/>
                          <w:szCs w:val="28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B9C" w:rsidRDefault="000B2B9C" w:rsidP="00CC1DE2">
      <w:pPr>
        <w:spacing w:after="0" w:line="240" w:lineRule="auto"/>
      </w:pPr>
      <w:r>
        <w:separator/>
      </w:r>
    </w:p>
  </w:footnote>
  <w:footnote w:type="continuationSeparator" w:id="1">
    <w:p w:rsidR="000B2B9C" w:rsidRDefault="000B2B9C" w:rsidP="00CC1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8194"/>
    <o:shapelayout v:ext="edit">
      <o:idmap v:ext="edit" data="5"/>
      <o:rules v:ext="edit">
        <o:r id="V:Rule1" type="callout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C1FD7"/>
    <w:rsid w:val="000A1B75"/>
    <w:rsid w:val="000B2B9C"/>
    <w:rsid w:val="001111F0"/>
    <w:rsid w:val="001755BD"/>
    <w:rsid w:val="00220B8B"/>
    <w:rsid w:val="00342E6E"/>
    <w:rsid w:val="003B46CD"/>
    <w:rsid w:val="003E0717"/>
    <w:rsid w:val="00447DC0"/>
    <w:rsid w:val="004F7246"/>
    <w:rsid w:val="0051339C"/>
    <w:rsid w:val="00593BD5"/>
    <w:rsid w:val="005B0C19"/>
    <w:rsid w:val="00653F18"/>
    <w:rsid w:val="006562CF"/>
    <w:rsid w:val="00702FF8"/>
    <w:rsid w:val="00704475"/>
    <w:rsid w:val="0072115F"/>
    <w:rsid w:val="00806892"/>
    <w:rsid w:val="00855102"/>
    <w:rsid w:val="0089190B"/>
    <w:rsid w:val="00892A64"/>
    <w:rsid w:val="00A305A7"/>
    <w:rsid w:val="00AC1FD7"/>
    <w:rsid w:val="00AC6598"/>
    <w:rsid w:val="00AD198C"/>
    <w:rsid w:val="00B15E8E"/>
    <w:rsid w:val="00B5136A"/>
    <w:rsid w:val="00C127A5"/>
    <w:rsid w:val="00C55AFD"/>
    <w:rsid w:val="00CC1DE2"/>
    <w:rsid w:val="00CC2DE3"/>
    <w:rsid w:val="00CF202D"/>
    <w:rsid w:val="00CF2CDA"/>
    <w:rsid w:val="00D62FCF"/>
    <w:rsid w:val="00DD75E3"/>
    <w:rsid w:val="00DF375A"/>
    <w:rsid w:val="00E72100"/>
    <w:rsid w:val="00E73CB3"/>
    <w:rsid w:val="00E86F65"/>
    <w:rsid w:val="00EA1996"/>
    <w:rsid w:val="00F15048"/>
    <w:rsid w:val="00F768C3"/>
    <w:rsid w:val="00F935BB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5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zvraznenie4">
    <w:name w:val="Light Shading Accent 4"/>
    <w:basedOn w:val="Normlnatabuka"/>
    <w:uiPriority w:val="60"/>
    <w:rsid w:val="007044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70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475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Predvolenpsmoodseku"/>
    <w:rsid w:val="00CF2CDA"/>
  </w:style>
  <w:style w:type="character" w:customStyle="1" w:styleId="hps">
    <w:name w:val="hps"/>
    <w:basedOn w:val="Predvolenpsmoodseku"/>
    <w:rsid w:val="00CF2CDA"/>
  </w:style>
  <w:style w:type="table" w:styleId="Svetlpodfarbeniezvraznenie3">
    <w:name w:val="Light Shading Accent 3"/>
    <w:basedOn w:val="Normlnatabuka"/>
    <w:uiPriority w:val="60"/>
    <w:rsid w:val="00892A6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riekatabuky">
    <w:name w:val="Table Grid"/>
    <w:basedOn w:val="Normlnatabuka"/>
    <w:uiPriority w:val="59"/>
    <w:rsid w:val="00220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2">
    <w:name w:val="Light Shading Accent 2"/>
    <w:basedOn w:val="Normlnatabuka"/>
    <w:uiPriority w:val="60"/>
    <w:rsid w:val="00220B8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lavika">
    <w:name w:val="header"/>
    <w:basedOn w:val="Normlny"/>
    <w:link w:val="HlavikaChar"/>
    <w:uiPriority w:val="99"/>
    <w:semiHidden/>
    <w:unhideWhenUsed/>
    <w:rsid w:val="00CC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C1DE2"/>
  </w:style>
  <w:style w:type="paragraph" w:styleId="Pta">
    <w:name w:val="footer"/>
    <w:basedOn w:val="Normlny"/>
    <w:link w:val="PtaChar"/>
    <w:uiPriority w:val="99"/>
    <w:unhideWhenUsed/>
    <w:rsid w:val="00CC1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1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alzlova.INTRANET0\My%20Documents\Urazy%20-%20pot.zachr&#225;nen&#253;ch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1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Pracovn__h_rok_programu_Microsoft_Office_Excel2.xlsx"/><Relationship Id="rId1" Type="http://schemas.openxmlformats.org/officeDocument/2006/relationships/image" Target="../media/image1.jpeg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3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4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5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6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racovn__h_rok_programu_Microsoft_Office_Excel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alzlova.INTRANET0\Local%20Settings\Temporary%20Internet%20Files\Content.Outlook\Q75Y0GIB\&#250;razy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alzlova.INTRANET0\Local%20Settings\Temporary%20Internet%20Files\Content.Outlook\Q75Y0GIB\&#250;razy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alzlova.INTRANET0\Local%20Settings\Temporary%20Internet%20Files\Content.Outlook\Q75Y0GIB\&#250;razy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alzlova.INTRANET0\Local%20Settings\Temporary%20Internet%20Files\Content.Outlook\Q75Y0GIB\&#250;razy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alzlova.INTRANET0\Local%20Settings\Temporary%20Internet%20Files\Content.Outlook\Q75Y0GIB\&#250;razy%20(2)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Halzlova.INTRANET0\Local%20Settings\Temporary%20Internet%20Files\Content.Outlook\Q75Y0GIB\Urazy%20bez%20prekladov%2020102011201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alzlova.INTRANET0\Local%20Settings\Temporary%20Internet%20Files\Content.Outlook\Q75Y0GIB\Urazy%20bez%20prekladov%2020102011201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alzlova.INTRANET0\Local%20Settings\Temporary%20Internet%20Files\Content.Outlook\Q75Y0GIB\Urazy%20bez%20prekladov%2020102011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view3D>
      <c:rAngAx val="1"/>
    </c:view3D>
    <c:plotArea>
      <c:layout>
        <c:manualLayout>
          <c:layoutTarget val="inner"/>
          <c:xMode val="edge"/>
          <c:yMode val="edge"/>
          <c:x val="0.15417919385843679"/>
          <c:y val="1.0416666666666671E-2"/>
          <c:w val="0.81391206467289745"/>
          <c:h val="0.91603461286089405"/>
        </c:manualLayout>
      </c:layout>
      <c:bar3DChart>
        <c:barDir val="bar"/>
        <c:grouping val="stacked"/>
        <c:ser>
          <c:idx val="0"/>
          <c:order val="0"/>
          <c:tx>
            <c:strRef>
              <c:f>Hárok1!$C$17:$C$18</c:f>
              <c:strCache>
                <c:ptCount val="1"/>
                <c:pt idx="0">
                  <c:v>počet úmrtí</c:v>
                </c:pt>
              </c:strCache>
            </c:strRef>
          </c:tx>
          <c:dLbls>
            <c:txPr>
              <a:bodyPr/>
              <a:lstStyle/>
              <a:p>
                <a:pPr>
                  <a:defRPr sz="800" baseline="0"/>
                </a:pPr>
                <a:endParaRPr lang="sk-SK"/>
              </a:p>
            </c:txPr>
            <c:showVal val="1"/>
          </c:dLbls>
          <c:cat>
            <c:strRef>
              <c:f>Hárok1!$B$19:$B$45</c:f>
              <c:strCache>
                <c:ptCount val="27"/>
                <c:pt idx="0">
                  <c:v>Slovenia</c:v>
                </c:pt>
                <c:pt idx="1">
                  <c:v>Estónia</c:v>
                </c:pt>
                <c:pt idx="2">
                  <c:v>Latvia</c:v>
                </c:pt>
                <c:pt idx="3">
                  <c:v>Denmark</c:v>
                </c:pt>
                <c:pt idx="4">
                  <c:v>Croatia</c:v>
                </c:pt>
                <c:pt idx="5">
                  <c:v>Norway</c:v>
                </c:pt>
                <c:pt idx="6">
                  <c:v>Slovakia</c:v>
                </c:pt>
                <c:pt idx="7">
                  <c:v>Sweden</c:v>
                </c:pt>
                <c:pt idx="8">
                  <c:v>Ireland</c:v>
                </c:pt>
                <c:pt idx="9">
                  <c:v>Finlandia</c:v>
                </c:pt>
                <c:pt idx="10">
                  <c:v>Austria</c:v>
                </c:pt>
                <c:pt idx="11">
                  <c:v>Portugal</c:v>
                </c:pt>
                <c:pt idx="12">
                  <c:v>Israel</c:v>
                </c:pt>
                <c:pt idx="13">
                  <c:v>Hungary</c:v>
                </c:pt>
                <c:pt idx="14">
                  <c:v>Netherlands</c:v>
                </c:pt>
                <c:pt idx="15">
                  <c:v>Czech Republic</c:v>
                </c:pt>
                <c:pt idx="16">
                  <c:v>Lithuania</c:v>
                </c:pt>
                <c:pt idx="17">
                  <c:v>Greece</c:v>
                </c:pt>
                <c:pt idx="18">
                  <c:v>Belgium</c:v>
                </c:pt>
                <c:pt idx="19">
                  <c:v>Bulgaria</c:v>
                </c:pt>
                <c:pt idx="20">
                  <c:v>Spain</c:v>
                </c:pt>
                <c:pt idx="21">
                  <c:v>Romania</c:v>
                </c:pt>
                <c:pt idx="22">
                  <c:v>Italy</c:v>
                </c:pt>
                <c:pt idx="23">
                  <c:v>United Kingdom</c:v>
                </c:pt>
                <c:pt idx="24">
                  <c:v>Germany</c:v>
                </c:pt>
                <c:pt idx="25">
                  <c:v>Poland</c:v>
                </c:pt>
                <c:pt idx="26">
                  <c:v>France</c:v>
                </c:pt>
              </c:strCache>
            </c:strRef>
          </c:cat>
          <c:val>
            <c:numRef>
              <c:f>Hárok1!$C$19:$C$45</c:f>
              <c:numCache>
                <c:formatCode>General</c:formatCode>
                <c:ptCount val="27"/>
                <c:pt idx="0">
                  <c:v>20</c:v>
                </c:pt>
                <c:pt idx="1">
                  <c:v>14</c:v>
                </c:pt>
                <c:pt idx="2">
                  <c:v>23</c:v>
                </c:pt>
                <c:pt idx="3">
                  <c:v>67</c:v>
                </c:pt>
                <c:pt idx="4">
                  <c:v>47</c:v>
                </c:pt>
                <c:pt idx="5">
                  <c:v>62</c:v>
                </c:pt>
                <c:pt idx="6">
                  <c:v>61</c:v>
                </c:pt>
                <c:pt idx="7">
                  <c:v>110</c:v>
                </c:pt>
                <c:pt idx="8">
                  <c:v>61</c:v>
                </c:pt>
                <c:pt idx="9">
                  <c:v>62</c:v>
                </c:pt>
                <c:pt idx="10">
                  <c:v>88</c:v>
                </c:pt>
                <c:pt idx="11">
                  <c:v>111</c:v>
                </c:pt>
                <c:pt idx="12">
                  <c:v>134</c:v>
                </c:pt>
                <c:pt idx="13">
                  <c:v>106</c:v>
                </c:pt>
                <c:pt idx="14">
                  <c:v>198</c:v>
                </c:pt>
                <c:pt idx="15">
                  <c:v>107</c:v>
                </c:pt>
                <c:pt idx="16">
                  <c:v>38</c:v>
                </c:pt>
                <c:pt idx="17">
                  <c:v>111</c:v>
                </c:pt>
                <c:pt idx="18">
                  <c:v>122</c:v>
                </c:pt>
                <c:pt idx="19">
                  <c:v>75</c:v>
                </c:pt>
                <c:pt idx="20">
                  <c:v>453</c:v>
                </c:pt>
                <c:pt idx="21">
                  <c:v>225</c:v>
                </c:pt>
                <c:pt idx="22">
                  <c:v>575</c:v>
                </c:pt>
                <c:pt idx="23">
                  <c:v>745</c:v>
                </c:pt>
                <c:pt idx="24">
                  <c:v>768</c:v>
                </c:pt>
                <c:pt idx="25">
                  <c:v>424</c:v>
                </c:pt>
                <c:pt idx="26">
                  <c:v>773</c:v>
                </c:pt>
              </c:numCache>
            </c:numRef>
          </c:val>
        </c:ser>
        <c:ser>
          <c:idx val="1"/>
          <c:order val="1"/>
          <c:tx>
            <c:strRef>
              <c:f>Hárok1!$D$17:$D$18</c:f>
              <c:strCache>
                <c:ptCount val="1"/>
                <c:pt idx="0">
                  <c:v>počet potencionálne zachránených </c:v>
                </c:pt>
              </c:strCache>
            </c:strRef>
          </c:tx>
          <c:dLbls>
            <c:txPr>
              <a:bodyPr/>
              <a:lstStyle/>
              <a:p>
                <a:pPr>
                  <a:defRPr sz="800" baseline="0"/>
                </a:pPr>
                <a:endParaRPr lang="sk-SK"/>
              </a:p>
            </c:txPr>
            <c:showVal val="1"/>
          </c:dLbls>
          <c:cat>
            <c:strRef>
              <c:f>Hárok1!$B$19:$B$45</c:f>
              <c:strCache>
                <c:ptCount val="27"/>
                <c:pt idx="0">
                  <c:v>Slovenia</c:v>
                </c:pt>
                <c:pt idx="1">
                  <c:v>Estónia</c:v>
                </c:pt>
                <c:pt idx="2">
                  <c:v>Latvia</c:v>
                </c:pt>
                <c:pt idx="3">
                  <c:v>Denmark</c:v>
                </c:pt>
                <c:pt idx="4">
                  <c:v>Croatia</c:v>
                </c:pt>
                <c:pt idx="5">
                  <c:v>Norway</c:v>
                </c:pt>
                <c:pt idx="6">
                  <c:v>Slovakia</c:v>
                </c:pt>
                <c:pt idx="7">
                  <c:v>Sweden</c:v>
                </c:pt>
                <c:pt idx="8">
                  <c:v>Ireland</c:v>
                </c:pt>
                <c:pt idx="9">
                  <c:v>Finlandia</c:v>
                </c:pt>
                <c:pt idx="10">
                  <c:v>Austria</c:v>
                </c:pt>
                <c:pt idx="11">
                  <c:v>Portugal</c:v>
                </c:pt>
                <c:pt idx="12">
                  <c:v>Israel</c:v>
                </c:pt>
                <c:pt idx="13">
                  <c:v>Hungary</c:v>
                </c:pt>
                <c:pt idx="14">
                  <c:v>Netherlands</c:v>
                </c:pt>
                <c:pt idx="15">
                  <c:v>Czech Republic</c:v>
                </c:pt>
                <c:pt idx="16">
                  <c:v>Lithuania</c:v>
                </c:pt>
                <c:pt idx="17">
                  <c:v>Greece</c:v>
                </c:pt>
                <c:pt idx="18">
                  <c:v>Belgium</c:v>
                </c:pt>
                <c:pt idx="19">
                  <c:v>Bulgaria</c:v>
                </c:pt>
                <c:pt idx="20">
                  <c:v>Spain</c:v>
                </c:pt>
                <c:pt idx="21">
                  <c:v>Romania</c:v>
                </c:pt>
                <c:pt idx="22">
                  <c:v>Italy</c:v>
                </c:pt>
                <c:pt idx="23">
                  <c:v>United Kingdom</c:v>
                </c:pt>
                <c:pt idx="24">
                  <c:v>Germany</c:v>
                </c:pt>
                <c:pt idx="25">
                  <c:v>Poland</c:v>
                </c:pt>
                <c:pt idx="26">
                  <c:v>France</c:v>
                </c:pt>
              </c:strCache>
            </c:strRef>
          </c:cat>
          <c:val>
            <c:numRef>
              <c:f>Hárok1!$D$19:$D$45</c:f>
              <c:numCache>
                <c:formatCode>General</c:formatCode>
                <c:ptCount val="27"/>
                <c:pt idx="0">
                  <c:v>11</c:v>
                </c:pt>
                <c:pt idx="1">
                  <c:v>24</c:v>
                </c:pt>
                <c:pt idx="2">
                  <c:v>58</c:v>
                </c:pt>
                <c:pt idx="3">
                  <c:v>37</c:v>
                </c:pt>
                <c:pt idx="4">
                  <c:v>62</c:v>
                </c:pt>
                <c:pt idx="5">
                  <c:v>57</c:v>
                </c:pt>
                <c:pt idx="6">
                  <c:v>60</c:v>
                </c:pt>
                <c:pt idx="7">
                  <c:v>13</c:v>
                </c:pt>
                <c:pt idx="8">
                  <c:v>64</c:v>
                </c:pt>
                <c:pt idx="9">
                  <c:v>64</c:v>
                </c:pt>
                <c:pt idx="10">
                  <c:v>56</c:v>
                </c:pt>
                <c:pt idx="11">
                  <c:v>41</c:v>
                </c:pt>
                <c:pt idx="12">
                  <c:v>47</c:v>
                </c:pt>
                <c:pt idx="13">
                  <c:v>79</c:v>
                </c:pt>
                <c:pt idx="14">
                  <c:v>0</c:v>
                </c:pt>
                <c:pt idx="15">
                  <c:v>91</c:v>
                </c:pt>
                <c:pt idx="16">
                  <c:v>173</c:v>
                </c:pt>
                <c:pt idx="17">
                  <c:v>173</c:v>
                </c:pt>
                <c:pt idx="18">
                  <c:v>147</c:v>
                </c:pt>
                <c:pt idx="19">
                  <c:v>208</c:v>
                </c:pt>
                <c:pt idx="20">
                  <c:v>215</c:v>
                </c:pt>
                <c:pt idx="21">
                  <c:v>552</c:v>
                </c:pt>
                <c:pt idx="22">
                  <c:v>285</c:v>
                </c:pt>
                <c:pt idx="23">
                  <c:v>198</c:v>
                </c:pt>
                <c:pt idx="24">
                  <c:v>222</c:v>
                </c:pt>
                <c:pt idx="25">
                  <c:v>703</c:v>
                </c:pt>
                <c:pt idx="26">
                  <c:v>419</c:v>
                </c:pt>
              </c:numCache>
            </c:numRef>
          </c:val>
        </c:ser>
        <c:shape val="box"/>
        <c:axId val="233818752"/>
        <c:axId val="237140224"/>
        <c:axId val="0"/>
      </c:bar3DChart>
      <c:catAx>
        <c:axId val="233818752"/>
        <c:scaling>
          <c:orientation val="minMax"/>
        </c:scaling>
        <c:axPos val="l"/>
        <c:tickLblPos val="nextTo"/>
        <c:spPr>
          <a:noFill/>
        </c:spPr>
        <c:txPr>
          <a:bodyPr/>
          <a:lstStyle/>
          <a:p>
            <a:pPr>
              <a:defRPr sz="800" b="1" baseline="0"/>
            </a:pPr>
            <a:endParaRPr lang="sk-SK"/>
          </a:p>
        </c:txPr>
        <c:crossAx val="237140224"/>
        <c:crosses val="autoZero"/>
        <c:auto val="1"/>
        <c:lblAlgn val="ctr"/>
        <c:lblOffset val="100"/>
      </c:catAx>
      <c:valAx>
        <c:axId val="23714022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sk-SK"/>
          </a:p>
        </c:txPr>
        <c:crossAx val="233818752"/>
        <c:crosses val="autoZero"/>
        <c:crossBetween val="between"/>
      </c:valAx>
      <c:spPr>
        <a:noFill/>
      </c:spPr>
    </c:plotArea>
    <c:legend>
      <c:legendPos val="r"/>
      <c:txPr>
        <a:bodyPr/>
        <a:lstStyle/>
        <a:p>
          <a:pPr>
            <a:defRPr sz="800" baseline="0"/>
          </a:pPr>
          <a:endParaRPr lang="sk-SK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 sz="11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 b="0"/>
              <a:t>Percento detí podľa druhu poranenia</a:t>
            </a:r>
          </a:p>
        </c:rich>
      </c:tx>
      <c:layout>
        <c:manualLayout>
          <c:xMode val="edge"/>
          <c:yMode val="edge"/>
          <c:x val="8.6580086580086743E-2"/>
          <c:y val="7.3426573426573424E-2"/>
        </c:manualLayout>
      </c:layout>
      <c:spPr>
        <a:noFill/>
        <a:ln w="25373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9.0909090909091064E-2"/>
          <c:y val="0.37762237762237888"/>
          <c:w val="0.5"/>
          <c:h val="0.3216783216783223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FF9900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00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0000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FF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layout>
                <c:manualLayout>
                  <c:x val="9.3386600276364126E-3"/>
                  <c:y val="2.1961604950002947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3.0589192085255165E-2"/>
                  <c:y val="3.7827381059496415E-2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3.1959073297652845E-4"/>
                  <c:y val="-5.3164528299983117E-2"/>
                </c:manualLayout>
              </c:layout>
              <c:dLblPos val="bestFit"/>
              <c:showVal val="1"/>
            </c:dLbl>
            <c:dLbl>
              <c:idx val="6"/>
              <c:layout>
                <c:manualLayout>
                  <c:x val="-1.6814434471914726E-2"/>
                  <c:y val="-4.8195634765230422E-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2.6691617656184684E-2"/>
                  <c:y val="-4.7319753514411533E-2"/>
                </c:manualLayout>
              </c:layout>
              <c:dLblPos val="bestFit"/>
              <c:showVal val="1"/>
            </c:dLbl>
            <c:dLbl>
              <c:idx val="8"/>
              <c:layout>
                <c:manualLayout>
                  <c:x val="5.1057575407969076E-2"/>
                  <c:y val="-4.3823250017907954E-2"/>
                </c:manualLayout>
              </c:layout>
              <c:dLblPos val="bestFit"/>
              <c:showVal val="1"/>
            </c:dLbl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5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sk-SK"/>
              </a:p>
            </c:txPr>
            <c:showVal val="1"/>
            <c:showLeaderLines val="1"/>
          </c:dLbls>
          <c:cat>
            <c:strRef>
              <c:f>SR_2!$B$4:$B$12</c:f>
              <c:strCache>
                <c:ptCount val="9"/>
                <c:pt idx="0">
                  <c:v>pomliaždenie mäkkých tkanív</c:v>
                </c:pt>
                <c:pt idx="1">
                  <c:v>vykĺbenie</c:v>
                </c:pt>
                <c:pt idx="2">
                  <c:v>zlomenina</c:v>
                </c:pt>
                <c:pt idx="3">
                  <c:v>otras mozgu</c:v>
                </c:pt>
                <c:pt idx="4">
                  <c:v>otvorená rana</c:v>
                </c:pt>
                <c:pt idx="5">
                  <c:v>povrchové poškodenie kože (popáleniny, poleptania)</c:v>
                </c:pt>
                <c:pt idx="6">
                  <c:v>otrava</c:v>
                </c:pt>
                <c:pt idx="7">
                  <c:v>poranenie vnútorných orgánov</c:v>
                </c:pt>
                <c:pt idx="8">
                  <c:v>kombinácie jednotlivých druhov úrazov</c:v>
                </c:pt>
              </c:strCache>
            </c:strRef>
          </c:cat>
          <c:val>
            <c:numRef>
              <c:f>SR_2!$C$4:$C$12</c:f>
              <c:numCache>
                <c:formatCode>0.00%</c:formatCode>
                <c:ptCount val="9"/>
                <c:pt idx="0">
                  <c:v>0.23400000000000001</c:v>
                </c:pt>
                <c:pt idx="1">
                  <c:v>0.111</c:v>
                </c:pt>
                <c:pt idx="2">
                  <c:v>0.23700000000000004</c:v>
                </c:pt>
                <c:pt idx="3">
                  <c:v>3.1000000000000052E-2</c:v>
                </c:pt>
                <c:pt idx="4">
                  <c:v>0.22500000000000001</c:v>
                </c:pt>
                <c:pt idx="5">
                  <c:v>0.13800000000000001</c:v>
                </c:pt>
                <c:pt idx="6">
                  <c:v>1.0000000000000028E-3</c:v>
                </c:pt>
                <c:pt idx="7">
                  <c:v>5.0000000000000105E-3</c:v>
                </c:pt>
                <c:pt idx="8">
                  <c:v>1.7999999999999999E-2</c:v>
                </c:pt>
              </c:numCache>
            </c:numRef>
          </c:val>
        </c:ser>
      </c:pie3DChart>
      <c:spPr>
        <a:noFill/>
        <a:ln w="25373">
          <a:noFill/>
        </a:ln>
      </c:spPr>
    </c:plotArea>
    <c:legend>
      <c:legendPos val="r"/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sk-SK"/>
        </a:p>
      </c:txPr>
    </c:legend>
    <c:plotVisOnly val="1"/>
    <c:dispBlanksAs val="zero"/>
  </c:chart>
  <c:spPr>
    <a:solidFill>
      <a:srgbClr val="FFFFCC"/>
    </a:solidFill>
    <a:ln w="3172">
      <a:solidFill>
        <a:srgbClr val="000000"/>
      </a:solidFill>
      <a:prstDash val="solid"/>
    </a:ln>
  </c:spPr>
  <c:txPr>
    <a:bodyPr/>
    <a:lstStyle/>
    <a:p>
      <a:pPr>
        <a:defRPr sz="94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 sz="1400" b="0"/>
              <a:t>Závažnosť úrazu</a:t>
            </a:r>
          </a:p>
        </c:rich>
      </c:tx>
      <c:layout>
        <c:manualLayout>
          <c:xMode val="edge"/>
          <c:yMode val="edge"/>
          <c:x val="0.36468646864686605"/>
          <c:y val="2.0648967551622505E-2"/>
        </c:manualLayout>
      </c:layout>
      <c:spPr>
        <a:noFill/>
        <a:ln w="25400">
          <a:noFill/>
        </a:ln>
      </c:spPr>
    </c:title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7891347735833973"/>
          <c:y val="0.15863342633039826"/>
          <c:w val="0.82838283828382864"/>
          <c:h val="0.49852507374631344"/>
        </c:manualLayout>
      </c:layout>
      <c:bar3DChart>
        <c:barDir val="col"/>
        <c:grouping val="clustered"/>
        <c:ser>
          <c:idx val="0"/>
          <c:order val="0"/>
          <c:tx>
            <c:strRef>
              <c:f>SR_2!$B$30</c:f>
              <c:strCache>
                <c:ptCount val="1"/>
                <c:pt idx="0">
                  <c:v>ľahký 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9851059252906986E-2"/>
                  <c:y val="-6.2226394254792039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Val val="1"/>
          </c:dLbls>
          <c:val>
            <c:numRef>
              <c:f>SR_2!$C$30</c:f>
              <c:numCache>
                <c:formatCode>0.0%</c:formatCode>
                <c:ptCount val="1"/>
                <c:pt idx="0">
                  <c:v>0.67000000000000204</c:v>
                </c:pt>
              </c:numCache>
            </c:numRef>
          </c:val>
        </c:ser>
        <c:ser>
          <c:idx val="1"/>
          <c:order val="1"/>
          <c:tx>
            <c:strRef>
              <c:f>SR_2!$B$31</c:f>
              <c:strCache>
                <c:ptCount val="1"/>
                <c:pt idx="0">
                  <c:v>stredný 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4329817339939131E-2"/>
                  <c:y val="-4.8668638648088493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Val val="1"/>
          </c:dLbls>
          <c:val>
            <c:numRef>
              <c:f>SR_2!$C$31</c:f>
              <c:numCache>
                <c:formatCode>0.0%</c:formatCode>
                <c:ptCount val="1"/>
                <c:pt idx="0">
                  <c:v>0.30500000000000038</c:v>
                </c:pt>
              </c:numCache>
            </c:numRef>
          </c:val>
        </c:ser>
        <c:ser>
          <c:idx val="2"/>
          <c:order val="2"/>
          <c:tx>
            <c:strRef>
              <c:f>SR_2!$B$32</c:f>
              <c:strCache>
                <c:ptCount val="1"/>
                <c:pt idx="0">
                  <c:v>ťažký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2902959806042309E-2"/>
                  <c:y val="-7.2373278925015536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Val val="1"/>
          </c:dLbls>
          <c:val>
            <c:numRef>
              <c:f>SR_2!$C$32</c:f>
              <c:numCache>
                <c:formatCode>0.0%</c:formatCode>
                <c:ptCount val="1"/>
                <c:pt idx="0">
                  <c:v>2.5000000000000001E-2</c:v>
                </c:pt>
              </c:numCache>
            </c:numRef>
          </c:val>
        </c:ser>
        <c:shape val="box"/>
        <c:axId val="173234048"/>
        <c:axId val="173235584"/>
        <c:axId val="0"/>
      </c:bar3DChart>
      <c:catAx>
        <c:axId val="173234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73235584"/>
        <c:crosses val="autoZero"/>
        <c:auto val="1"/>
        <c:lblAlgn val="ctr"/>
        <c:lblOffset val="100"/>
        <c:tickLblSkip val="1"/>
        <c:tickMarkSkip val="1"/>
      </c:catAx>
      <c:valAx>
        <c:axId val="173235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73234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blipFill dpi="0" rotWithShape="0">
      <a:blip xmlns:r="http://schemas.openxmlformats.org/officeDocument/2006/relationships" r:embed="rId1"/>
      <a:srcRect/>
      <a:tile tx="0" ty="0" sx="100000" sy="100000" flip="none" algn="tl"/>
    </a:blip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 b="0"/>
              <a:t>Lekárske ošetrenie a hospitalizácia v prípade úrazu</a:t>
            </a:r>
          </a:p>
        </c:rich>
      </c:tx>
      <c:layout>
        <c:manualLayout>
          <c:xMode val="edge"/>
          <c:yMode val="edge"/>
          <c:x val="0.141280353200883"/>
          <c:y val="1.9762845849802466E-2"/>
        </c:manualLayout>
      </c:layout>
      <c:spPr>
        <a:noFill/>
        <a:ln w="25400">
          <a:noFill/>
        </a:ln>
      </c:spPr>
    </c:title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803538446583113"/>
          <c:y val="0.26886294384687276"/>
          <c:w val="0.84988962472406182"/>
          <c:h val="0.3794466403162064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33954985759241E-2"/>
                  <c:y val="-3.1509657256267094E-2"/>
                </c:manualLayout>
              </c:layout>
              <c:showVal val="1"/>
            </c:dLbl>
            <c:dLbl>
              <c:idx val="2"/>
              <c:layout>
                <c:manualLayout>
                  <c:x val="7.11916621165554E-3"/>
                  <c:y val="-2.5497918498774585E-2"/>
                </c:manualLayout>
              </c:layout>
              <c:showVal val="1"/>
            </c:dLbl>
            <c:dLbl>
              <c:idx val="4"/>
              <c:layout>
                <c:manualLayout>
                  <c:x val="6.1062880844824459E-3"/>
                  <c:y val="-1.568792798649378E-2"/>
                </c:manualLayout>
              </c:layout>
              <c:showVal val="1"/>
            </c:dLbl>
            <c:dLbl>
              <c:idx val="6"/>
              <c:layout>
                <c:manualLayout>
                  <c:x val="5.0934099573094142E-3"/>
                  <c:y val="-9.3624113768575861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Val val="1"/>
          </c:dLbls>
          <c:cat>
            <c:strRef>
              <c:f>SR_1!$B$83:$B$89</c:f>
              <c:strCache>
                <c:ptCount val="7"/>
                <c:pt idx="0">
                  <c:v>Úraz si vyžiadal lekárske ošetrenie</c:v>
                </c:pt>
                <c:pt idx="2">
                  <c:v>Úraz si nevyžiadal lekárske ošetrenie</c:v>
                </c:pt>
                <c:pt idx="4">
                  <c:v>Pri úraze bola potrebná hospitalizácia</c:v>
                </c:pt>
                <c:pt idx="6">
                  <c:v>Pri úraze nebola potrebná hospitalizácia</c:v>
                </c:pt>
              </c:strCache>
            </c:strRef>
          </c:cat>
          <c:val>
            <c:numRef>
              <c:f>SR_1!$C$83:$C$89</c:f>
              <c:numCache>
                <c:formatCode>General</c:formatCode>
                <c:ptCount val="7"/>
                <c:pt idx="0" formatCode="0.0%">
                  <c:v>0.56100000000000005</c:v>
                </c:pt>
                <c:pt idx="2" formatCode="0.0%">
                  <c:v>0.43800000000000078</c:v>
                </c:pt>
                <c:pt idx="4" formatCode="0.0%">
                  <c:v>0.115</c:v>
                </c:pt>
                <c:pt idx="6" formatCode="0.0%">
                  <c:v>0.88500000000000001</c:v>
                </c:pt>
              </c:numCache>
            </c:numRef>
          </c:val>
        </c:ser>
        <c:shape val="cylinder"/>
        <c:axId val="173216896"/>
        <c:axId val="173218432"/>
        <c:axId val="0"/>
      </c:bar3DChart>
      <c:catAx>
        <c:axId val="1732168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sk-SK"/>
          </a:p>
        </c:txPr>
        <c:crossAx val="173218432"/>
        <c:crosses val="autoZero"/>
        <c:auto val="1"/>
        <c:lblAlgn val="ctr"/>
        <c:lblOffset val="100"/>
        <c:tickMarkSkip val="1"/>
      </c:catAx>
      <c:valAx>
        <c:axId val="173218432"/>
        <c:scaling>
          <c:orientation val="minMax"/>
          <c:max val="1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73216896"/>
        <c:crosses val="autoZero"/>
        <c:crossBetween val="between"/>
        <c:majorUnit val="0.2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99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 b="0"/>
              <a:t>Miesto vzniku úrazu u chlapcov v porovnaní 
s dievčatami</a:t>
            </a:r>
          </a:p>
        </c:rich>
      </c:tx>
      <c:layout>
        <c:manualLayout>
          <c:xMode val="edge"/>
          <c:yMode val="edge"/>
          <c:x val="0.15011037527593821"/>
          <c:y val="1.8018018018018021E-2"/>
        </c:manualLayout>
      </c:layout>
      <c:spPr>
        <a:solidFill>
          <a:srgbClr val="FFFF99"/>
        </a:solidFill>
        <a:ln w="3175">
          <a:solidFill>
            <a:srgbClr val="000000"/>
          </a:solidFill>
          <a:prstDash val="solid"/>
        </a:ln>
      </c:spPr>
    </c:title>
    <c:plotArea>
      <c:layout>
        <c:manualLayout>
          <c:layoutTarget val="inner"/>
          <c:xMode val="edge"/>
          <c:yMode val="edge"/>
          <c:x val="0.3863134657836661"/>
          <c:y val="0.28378378378378388"/>
          <c:w val="0.41059602649006621"/>
          <c:h val="0.67117117117117309"/>
        </c:manualLayout>
      </c:layout>
      <c:barChart>
        <c:barDir val="bar"/>
        <c:grouping val="clustered"/>
        <c:ser>
          <c:idx val="0"/>
          <c:order val="0"/>
          <c:tx>
            <c:strRef>
              <c:f>'CH-D'!$K$59</c:f>
              <c:strCache>
                <c:ptCount val="1"/>
                <c:pt idx="0">
                  <c:v>chlapci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sk-SK"/>
              </a:p>
            </c:txPr>
            <c:showVal val="1"/>
          </c:dLbls>
          <c:cat>
            <c:strRef>
              <c:f>'CH-D'!$J$60:$J$64</c:f>
              <c:strCache>
                <c:ptCount val="5"/>
                <c:pt idx="0">
                  <c:v>doma</c:v>
                </c:pt>
                <c:pt idx="1">
                  <c:v>v škole</c:v>
                </c:pt>
                <c:pt idx="2">
                  <c:v>ihriská, športoviská</c:v>
                </c:pt>
                <c:pt idx="3">
                  <c:v>verejné priestranstvá (ulica)</c:v>
                </c:pt>
                <c:pt idx="4">
                  <c:v>dopravná komunikácia</c:v>
                </c:pt>
              </c:strCache>
            </c:strRef>
          </c:cat>
          <c:val>
            <c:numRef>
              <c:f>'CH-D'!$K$60:$K$64</c:f>
              <c:numCache>
                <c:formatCode>0.0%</c:formatCode>
                <c:ptCount val="5"/>
                <c:pt idx="0">
                  <c:v>0.31000000000000055</c:v>
                </c:pt>
                <c:pt idx="1">
                  <c:v>0.13300000000000001</c:v>
                </c:pt>
                <c:pt idx="2">
                  <c:v>0.21000000000000021</c:v>
                </c:pt>
                <c:pt idx="3">
                  <c:v>0.21300000000000024</c:v>
                </c:pt>
                <c:pt idx="4">
                  <c:v>0.13400000000000001</c:v>
                </c:pt>
              </c:numCache>
            </c:numRef>
          </c:val>
        </c:ser>
        <c:ser>
          <c:idx val="1"/>
          <c:order val="1"/>
          <c:tx>
            <c:strRef>
              <c:f>'CH-D'!$L$59</c:f>
              <c:strCache>
                <c:ptCount val="1"/>
                <c:pt idx="0">
                  <c:v>dievčatá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sk-SK"/>
              </a:p>
            </c:txPr>
            <c:showVal val="1"/>
          </c:dLbls>
          <c:cat>
            <c:strRef>
              <c:f>'CH-D'!$J$60:$J$64</c:f>
              <c:strCache>
                <c:ptCount val="5"/>
                <c:pt idx="0">
                  <c:v>doma</c:v>
                </c:pt>
                <c:pt idx="1">
                  <c:v>v škole</c:v>
                </c:pt>
                <c:pt idx="2">
                  <c:v>ihriská, športoviská</c:v>
                </c:pt>
                <c:pt idx="3">
                  <c:v>verejné priestranstvá (ulica)</c:v>
                </c:pt>
                <c:pt idx="4">
                  <c:v>dopravná komunikácia</c:v>
                </c:pt>
              </c:strCache>
            </c:strRef>
          </c:cat>
          <c:val>
            <c:numRef>
              <c:f>'CH-D'!$L$60:$L$64</c:f>
              <c:numCache>
                <c:formatCode>0.0%</c:formatCode>
                <c:ptCount val="5"/>
                <c:pt idx="0">
                  <c:v>0.37200000000000055</c:v>
                </c:pt>
                <c:pt idx="1">
                  <c:v>0.15200000000000027</c:v>
                </c:pt>
                <c:pt idx="2">
                  <c:v>0.22900000000000001</c:v>
                </c:pt>
                <c:pt idx="3">
                  <c:v>0.21900000000000031</c:v>
                </c:pt>
                <c:pt idx="4">
                  <c:v>0.32800000000000062</c:v>
                </c:pt>
              </c:numCache>
            </c:numRef>
          </c:val>
        </c:ser>
        <c:dLbls>
          <c:showVal val="1"/>
        </c:dLbls>
        <c:axId val="143420800"/>
        <c:axId val="143430784"/>
      </c:barChart>
      <c:catAx>
        <c:axId val="14342080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43430784"/>
        <c:crosses val="autoZero"/>
        <c:auto val="1"/>
        <c:lblAlgn val="ctr"/>
        <c:lblOffset val="100"/>
        <c:tickLblSkip val="1"/>
        <c:tickMarkSkip val="1"/>
      </c:catAx>
      <c:valAx>
        <c:axId val="143430784"/>
        <c:scaling>
          <c:orientation val="minMax"/>
        </c:scaling>
        <c:delete val="1"/>
        <c:axPos val="b"/>
        <c:numFmt formatCode="0.0%" sourceLinked="1"/>
        <c:tickLblPos val="nextTo"/>
        <c:crossAx val="1434208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119205298013265"/>
          <c:y val="0.51801801801801861"/>
          <c:w val="0.16556291390728478"/>
          <c:h val="0.20270270270270271"/>
        </c:manualLayout>
      </c:layout>
      <c:spPr>
        <a:solidFill>
          <a:srgbClr val="FFFF99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94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k-SK"/>
        </a:p>
      </c:txPr>
    </c:legend>
    <c:plotVisOnly val="1"/>
    <c:dispBlanksAs val="gap"/>
  </c:chart>
  <c:spPr>
    <a:gradFill rotWithShape="0">
      <a:gsLst>
        <a:gs pos="0">
          <a:srgbClr val="CCCCFF"/>
        </a:gs>
        <a:gs pos="100000">
          <a:srgbClr val="CCFFFF"/>
        </a:gs>
      </a:gsLst>
      <a:lin ang="2700000" scaled="1"/>
    </a:gra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 sz="15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 b="0"/>
              <a:t>Dĺžka hospitalizácie </a:t>
            </a:r>
          </a:p>
        </c:rich>
      </c:tx>
      <c:layout>
        <c:manualLayout>
          <c:xMode val="edge"/>
          <c:yMode val="edge"/>
          <c:x val="0.34323432343234322"/>
          <c:y val="2.0172910662824312E-2"/>
        </c:manualLayout>
      </c:layout>
      <c:spPr>
        <a:noFill/>
        <a:ln w="25400">
          <a:noFill/>
        </a:ln>
      </c:spPr>
    </c:title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0156369342721"/>
          <c:y val="0.19292695327947573"/>
          <c:w val="0.87623762376237624"/>
          <c:h val="0.53602305475504319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9801108126060886E-2"/>
                  <c:y val="-4.4204367492388486E-2"/>
                </c:manualLayout>
              </c:layout>
              <c:showVal val="1"/>
            </c:dLbl>
            <c:dLbl>
              <c:idx val="1"/>
              <c:layout>
                <c:manualLayout>
                  <c:x val="2.2434049429190087E-2"/>
                  <c:y val="-3.0192417731498326E-2"/>
                </c:manualLayout>
              </c:layout>
              <c:showVal val="1"/>
            </c:dLbl>
            <c:dLbl>
              <c:idx val="2"/>
              <c:layout>
                <c:manualLayout>
                  <c:x val="1.661814584783074E-2"/>
                  <c:y val="-2.4886476935537138E-2"/>
                </c:manualLayout>
              </c:layout>
              <c:showVal val="1"/>
            </c:dLbl>
            <c:dLbl>
              <c:idx val="3"/>
              <c:layout>
                <c:manualLayout>
                  <c:x val="9.152077249969845E-3"/>
                  <c:y val="-3.5727109971734013E-2"/>
                </c:manualLayout>
              </c:layout>
              <c:showVal val="1"/>
            </c:dLbl>
            <c:dLbl>
              <c:idx val="4"/>
              <c:layout>
                <c:manualLayout>
                  <c:x val="7.3057149484478875E-3"/>
                  <c:y val="-5.3859827145037821E-2"/>
                </c:manualLayout>
              </c:layout>
              <c:showVal val="1"/>
            </c:dLbl>
            <c:dLbl>
              <c:idx val="5"/>
              <c:layout>
                <c:manualLayout>
                  <c:x val="-4.8868221092825091E-3"/>
                  <c:y val="-5.2143116181451357E-2"/>
                </c:manualLayout>
              </c:layout>
              <c:showVal val="1"/>
            </c:dLbl>
            <c:dLbl>
              <c:idx val="6"/>
              <c:layout>
                <c:manualLayout>
                  <c:x val="-1.0702725690641641E-2"/>
                  <c:y val="-3.8232022677652681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Val val="1"/>
          </c:dLbls>
          <c:cat>
            <c:strRef>
              <c:f>SR_1!$B$115:$B$121</c:f>
              <c:strCache>
                <c:ptCount val="7"/>
                <c:pt idx="0">
                  <c:v>menej ako 1 týždeň</c:v>
                </c:pt>
                <c:pt idx="1">
                  <c:v>1 týždeň</c:v>
                </c:pt>
                <c:pt idx="2">
                  <c:v>2 týždne</c:v>
                </c:pt>
                <c:pt idx="3">
                  <c:v>3 týždne</c:v>
                </c:pt>
                <c:pt idx="4">
                  <c:v>4 týždne</c:v>
                </c:pt>
                <c:pt idx="5">
                  <c:v>6 týždňov</c:v>
                </c:pt>
                <c:pt idx="6">
                  <c:v>8 týždňov</c:v>
                </c:pt>
              </c:strCache>
            </c:strRef>
          </c:cat>
          <c:val>
            <c:numRef>
              <c:f>SR_1!$C$115:$C$121</c:f>
              <c:numCache>
                <c:formatCode>0.0%</c:formatCode>
                <c:ptCount val="7"/>
                <c:pt idx="0">
                  <c:v>0.18400000000000033</c:v>
                </c:pt>
                <c:pt idx="1">
                  <c:v>0.39900000000000091</c:v>
                </c:pt>
                <c:pt idx="2">
                  <c:v>0.13900000000000001</c:v>
                </c:pt>
                <c:pt idx="3">
                  <c:v>0.10100000000000002</c:v>
                </c:pt>
                <c:pt idx="4">
                  <c:v>0.114</c:v>
                </c:pt>
                <c:pt idx="5">
                  <c:v>1.9000000000000045E-2</c:v>
                </c:pt>
                <c:pt idx="6">
                  <c:v>1.2999999999999998E-2</c:v>
                </c:pt>
              </c:numCache>
            </c:numRef>
          </c:val>
        </c:ser>
        <c:shape val="cone"/>
        <c:axId val="189797888"/>
        <c:axId val="189799808"/>
        <c:axId val="0"/>
      </c:bar3DChart>
      <c:catAx>
        <c:axId val="189797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sk-SK"/>
                  <a:t>počet týždňov</a:t>
                </a:r>
              </a:p>
            </c:rich>
          </c:tx>
          <c:layout>
            <c:manualLayout>
              <c:xMode val="edge"/>
              <c:yMode val="edge"/>
              <c:x val="0.43729372937293731"/>
              <c:y val="0.8789625360230547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sk-SK"/>
          </a:p>
        </c:txPr>
        <c:crossAx val="189799808"/>
        <c:crosses val="autoZero"/>
        <c:auto val="1"/>
        <c:lblAlgn val="ctr"/>
        <c:lblOffset val="100"/>
        <c:tickLblSkip val="1"/>
        <c:tickMarkSkip val="1"/>
      </c:catAx>
      <c:valAx>
        <c:axId val="189799808"/>
        <c:scaling>
          <c:orientation val="minMax"/>
          <c:max val="0.5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k-SK"/>
          </a:p>
        </c:txPr>
        <c:crossAx val="189797888"/>
        <c:crosses val="autoZero"/>
        <c:crossBetween val="between"/>
        <c:majorUnit val="0.1"/>
      </c:valAx>
      <c:spPr>
        <a:noFill/>
        <a:ln w="25400">
          <a:noFill/>
        </a:ln>
      </c:spPr>
    </c:plotArea>
    <c:plotVisOnly val="1"/>
    <c:dispBlanksAs val="gap"/>
  </c:chart>
  <c:spPr>
    <a:solidFill>
      <a:srgbClr val="CCFFCC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 sz="1000" b="0"/>
              <a:t>Časť dňa, v ktorej sa úraz odohral</a:t>
            </a:r>
          </a:p>
        </c:rich>
      </c:tx>
      <c:layout>
        <c:manualLayout>
          <c:xMode val="edge"/>
          <c:yMode val="edge"/>
          <c:x val="0.2"/>
          <c:y val="1.8518518518518552E-2"/>
        </c:manualLayout>
      </c:layout>
      <c:spPr>
        <a:noFill/>
        <a:ln w="25399">
          <a:noFill/>
        </a:ln>
      </c:spPr>
    </c:title>
    <c:view3D>
      <c:perspective val="0"/>
    </c:view3D>
    <c:plotArea>
      <c:layout>
        <c:manualLayout>
          <c:layoutTarget val="inner"/>
          <c:xMode val="edge"/>
          <c:yMode val="edge"/>
          <c:x val="6.666666666666668E-2"/>
          <c:y val="0.36574074074074081"/>
          <c:w val="0.72820512820512862"/>
          <c:h val="0.259259259259259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4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sk-SK"/>
              </a:p>
            </c:txPr>
            <c:showVal val="1"/>
            <c:showLeaderLines val="1"/>
          </c:dLbls>
          <c:cat>
            <c:strRef>
              <c:f>SR_2!$B$82:$B$85</c:f>
              <c:strCache>
                <c:ptCount val="4"/>
                <c:pt idx="0">
                  <c:v>ráno</c:v>
                </c:pt>
                <c:pt idx="1">
                  <c:v>obed</c:v>
                </c:pt>
                <c:pt idx="2">
                  <c:v>večer</c:v>
                </c:pt>
                <c:pt idx="3">
                  <c:v>v noci</c:v>
                </c:pt>
              </c:strCache>
            </c:strRef>
          </c:cat>
          <c:val>
            <c:numRef>
              <c:f>SR_2!$C$82:$C$85</c:f>
              <c:numCache>
                <c:formatCode>0.0%</c:formatCode>
                <c:ptCount val="4"/>
                <c:pt idx="0">
                  <c:v>0.115</c:v>
                </c:pt>
                <c:pt idx="1">
                  <c:v>0.60700000000000065</c:v>
                </c:pt>
                <c:pt idx="2">
                  <c:v>0.27100000000000002</c:v>
                </c:pt>
                <c:pt idx="3">
                  <c:v>7.0000000000000097E-3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4102564102564104"/>
          <c:y val="0.42592592592592693"/>
          <c:w val="0.13846153846153875"/>
          <c:h val="0.20833333333333368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36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k-SK"/>
        </a:p>
      </c:txPr>
    </c:legend>
    <c:plotVisOnly val="1"/>
    <c:dispBlanksAs val="zero"/>
  </c:chart>
  <c:spPr>
    <a:gradFill rotWithShape="0">
      <a:gsLst>
        <a:gs pos="0">
          <a:srgbClr val="CCFFCC"/>
        </a:gs>
        <a:gs pos="100000">
          <a:srgbClr val="CCFFFF"/>
        </a:gs>
      </a:gsLst>
      <a:lin ang="5400000" scaled="1"/>
    </a:gradFill>
    <a:ln w="3175">
      <a:solidFill>
        <a:srgbClr val="000000"/>
      </a:solidFill>
      <a:prstDash val="solid"/>
    </a:ln>
  </c:spPr>
  <c:txPr>
    <a:bodyPr/>
    <a:lstStyle/>
    <a:p>
      <a:pPr>
        <a:defRPr sz="4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sk-SK" sz="900" b="0"/>
              <a:t>Deň v týždni, v ktorom sa úraz odohral</a:t>
            </a:r>
          </a:p>
        </c:rich>
      </c:tx>
      <c:layout>
        <c:manualLayout>
          <c:xMode val="edge"/>
          <c:yMode val="edge"/>
          <c:x val="0.18779342723004694"/>
          <c:y val="2.0576131687242802E-2"/>
        </c:manualLayout>
      </c:layout>
      <c:spPr>
        <a:noFill/>
        <a:ln w="25370">
          <a:noFill/>
        </a:ln>
      </c:spPr>
    </c:title>
    <c:view3D>
      <c:hPercent val="10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C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145539906103326"/>
          <c:y val="8.2304526748971207E-2"/>
          <c:w val="0.86854460093896713"/>
          <c:h val="0.59259259259259267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00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FF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3399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00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66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FF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666699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7350400777367665E-2"/>
                  <c:y val="-2.1850095180392201E-2"/>
                </c:manualLayout>
              </c:layout>
              <c:showVal val="1"/>
            </c:dLbl>
            <c:dLbl>
              <c:idx val="1"/>
              <c:layout>
                <c:manualLayout>
                  <c:x val="2.3116320600769982E-2"/>
                  <c:y val="-3.3860011712659691E-2"/>
                </c:manualLayout>
              </c:layout>
              <c:showVal val="1"/>
            </c:dLbl>
            <c:dLbl>
              <c:idx val="2"/>
              <c:layout>
                <c:manualLayout>
                  <c:x val="1.8164277634309927E-2"/>
                  <c:y val="-3.0553461362669346E-2"/>
                </c:manualLayout>
              </c:layout>
              <c:showVal val="1"/>
            </c:dLbl>
            <c:dLbl>
              <c:idx val="3"/>
              <c:layout>
                <c:manualLayout>
                  <c:x val="2.1274334511003083E-2"/>
                  <c:y val="-1.4383022694992741E-2"/>
                </c:manualLayout>
              </c:layout>
              <c:showVal val="1"/>
            </c:dLbl>
            <c:dLbl>
              <c:idx val="4"/>
              <c:layout>
                <c:manualLayout>
                  <c:x val="1.2955747292152087E-2"/>
                  <c:y val="-2.4139603932174871E-2"/>
                </c:manualLayout>
              </c:layout>
              <c:showVal val="1"/>
            </c:dLbl>
            <c:dLbl>
              <c:idx val="5"/>
              <c:layout>
                <c:manualLayout>
                  <c:x val="1.2698899961448459E-2"/>
                  <c:y val="-3.0180893609183752E-2"/>
                </c:manualLayout>
              </c:layout>
              <c:showVal val="1"/>
            </c:dLbl>
            <c:dLbl>
              <c:idx val="6"/>
              <c:layout>
                <c:manualLayout>
                  <c:x val="1.2442052630745163E-2"/>
                  <c:y val="-1.4492174881795205E-2"/>
                </c:manualLayout>
              </c:layout>
              <c:showVal val="1"/>
            </c:dLbl>
            <c:dLbl>
              <c:idx val="7"/>
              <c:layout>
                <c:manualLayout>
                  <c:x val="2.0246585233183827E-2"/>
                  <c:y val="-3.3805277665081096E-2"/>
                </c:manualLayout>
              </c:layout>
              <c:showVal val="1"/>
            </c:dLbl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474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sk-SK"/>
              </a:p>
            </c:txPr>
            <c:showVal val="1"/>
          </c:dLbls>
          <c:cat>
            <c:strRef>
              <c:f>SR_2!$B$115:$B$122</c:f>
              <c:strCache>
                <c:ptCount val="8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  <c:pt idx="7">
                  <c:v>nevie, resp.sa nepamätá</c:v>
                </c:pt>
              </c:strCache>
            </c:strRef>
          </c:cat>
          <c:val>
            <c:numRef>
              <c:f>SR_2!$C$115:$C$122</c:f>
              <c:numCache>
                <c:formatCode>0.0%</c:formatCode>
                <c:ptCount val="8"/>
                <c:pt idx="0">
                  <c:v>6.4000000000000112E-2</c:v>
                </c:pt>
                <c:pt idx="1">
                  <c:v>0.11</c:v>
                </c:pt>
                <c:pt idx="2">
                  <c:v>0.18300000000000027</c:v>
                </c:pt>
                <c:pt idx="3">
                  <c:v>8.2000000000000003E-2</c:v>
                </c:pt>
                <c:pt idx="4">
                  <c:v>0.11799999999999998</c:v>
                </c:pt>
                <c:pt idx="5">
                  <c:v>0.18500000000000028</c:v>
                </c:pt>
                <c:pt idx="6">
                  <c:v>0.21400000000000027</c:v>
                </c:pt>
                <c:pt idx="7">
                  <c:v>4.3999999999999997E-2</c:v>
                </c:pt>
              </c:numCache>
            </c:numRef>
          </c:val>
        </c:ser>
        <c:shape val="cylinder"/>
        <c:axId val="256006784"/>
        <c:axId val="256024960"/>
        <c:axId val="0"/>
      </c:bar3DChart>
      <c:catAx>
        <c:axId val="256006784"/>
        <c:scaling>
          <c:orientation val="minMax"/>
        </c:scaling>
        <c:axPos val="b"/>
        <c:numFmt formatCode="General" sourceLinked="1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sk-SK"/>
          </a:p>
        </c:txPr>
        <c:crossAx val="256024960"/>
        <c:crosses val="autoZero"/>
        <c:auto val="1"/>
        <c:lblAlgn val="ctr"/>
        <c:lblOffset val="100"/>
        <c:tickLblSkip val="1"/>
        <c:tickMarkSkip val="1"/>
      </c:catAx>
      <c:valAx>
        <c:axId val="256024960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sk-SK"/>
          </a:p>
        </c:txPr>
        <c:crossAx val="256006784"/>
        <c:crosses val="autoZero"/>
        <c:crossBetween val="between"/>
      </c:valAx>
      <c:spPr>
        <a:noFill/>
        <a:ln w="25370">
          <a:noFill/>
        </a:ln>
      </c:spPr>
    </c:plotArea>
    <c:plotVisOnly val="1"/>
    <c:dispBlanksAs val="gap"/>
  </c:chart>
  <c:spPr>
    <a:solidFill>
      <a:srgbClr val="FFFFCC"/>
    </a:solidFill>
    <a:ln w="3171">
      <a:solidFill>
        <a:srgbClr val="000000"/>
      </a:solidFill>
      <a:prstDash val="solid"/>
    </a:ln>
  </c:spPr>
  <c:txPr>
    <a:bodyPr/>
    <a:lstStyle/>
    <a:p>
      <a:pPr>
        <a:defRPr sz="44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0.26935245981866857"/>
          <c:y val="3.3831902507290415E-2"/>
          <c:w val="0.66586389629636977"/>
          <c:h val="0.74547910807275453"/>
        </c:manualLayout>
      </c:layout>
      <c:barChart>
        <c:barDir val="bar"/>
        <c:grouping val="clustered"/>
        <c:ser>
          <c:idx val="0"/>
          <c:order val="0"/>
          <c:tx>
            <c:strRef>
              <c:f>Hárok1!$D$20:$D$21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Hárok1!$C$22:$C$27</c:f>
              <c:strCache>
                <c:ptCount val="6"/>
                <c:pt idx="0">
                  <c:v>dopravné</c:v>
                </c:pt>
                <c:pt idx="1">
                  <c:v>utopenie</c:v>
                </c:pt>
                <c:pt idx="2">
                  <c:v>pády</c:v>
                </c:pt>
                <c:pt idx="3">
                  <c:v>otravy</c:v>
                </c:pt>
                <c:pt idx="4">
                  <c:v>popálenie</c:v>
                </c:pt>
                <c:pt idx="5">
                  <c:v>SPOLU</c:v>
                </c:pt>
              </c:strCache>
            </c:strRef>
          </c:cat>
          <c:val>
            <c:numRef>
              <c:f>Hárok1!$D$22:$D$27</c:f>
              <c:numCache>
                <c:formatCode>General</c:formatCode>
                <c:ptCount val="6"/>
                <c:pt idx="0">
                  <c:v>62</c:v>
                </c:pt>
                <c:pt idx="1">
                  <c:v>22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  <c:pt idx="5">
                  <c:v>94</c:v>
                </c:pt>
              </c:numCache>
            </c:numRef>
          </c:val>
        </c:ser>
        <c:ser>
          <c:idx val="1"/>
          <c:order val="1"/>
          <c:tx>
            <c:strRef>
              <c:f>Hárok1!$E$20:$E$21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Hárok1!$C$22:$C$27</c:f>
              <c:strCache>
                <c:ptCount val="6"/>
                <c:pt idx="0">
                  <c:v>dopravné</c:v>
                </c:pt>
                <c:pt idx="1">
                  <c:v>utopenie</c:v>
                </c:pt>
                <c:pt idx="2">
                  <c:v>pády</c:v>
                </c:pt>
                <c:pt idx="3">
                  <c:v>otravy</c:v>
                </c:pt>
                <c:pt idx="4">
                  <c:v>popálenie</c:v>
                </c:pt>
                <c:pt idx="5">
                  <c:v>SPOLU</c:v>
                </c:pt>
              </c:strCache>
            </c:strRef>
          </c:cat>
          <c:val>
            <c:numRef>
              <c:f>Hárok1!$E$22:$E$27</c:f>
              <c:numCache>
                <c:formatCode>General</c:formatCode>
                <c:ptCount val="6"/>
                <c:pt idx="0">
                  <c:v>68</c:v>
                </c:pt>
                <c:pt idx="1">
                  <c:v>22</c:v>
                </c:pt>
                <c:pt idx="2">
                  <c:v>9</c:v>
                </c:pt>
                <c:pt idx="3">
                  <c:v>2</c:v>
                </c:pt>
                <c:pt idx="4">
                  <c:v>5</c:v>
                </c:pt>
                <c:pt idx="5">
                  <c:v>106</c:v>
                </c:pt>
              </c:numCache>
            </c:numRef>
          </c:val>
        </c:ser>
        <c:ser>
          <c:idx val="2"/>
          <c:order val="2"/>
          <c:tx>
            <c:strRef>
              <c:f>Hárok1!$F$20:$F$21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Hárok1!$C$22:$C$27</c:f>
              <c:strCache>
                <c:ptCount val="6"/>
                <c:pt idx="0">
                  <c:v>dopravné</c:v>
                </c:pt>
                <c:pt idx="1">
                  <c:v>utopenie</c:v>
                </c:pt>
                <c:pt idx="2">
                  <c:v>pády</c:v>
                </c:pt>
                <c:pt idx="3">
                  <c:v>otravy</c:v>
                </c:pt>
                <c:pt idx="4">
                  <c:v>popálenie</c:v>
                </c:pt>
                <c:pt idx="5">
                  <c:v>SPOLU</c:v>
                </c:pt>
              </c:strCache>
            </c:strRef>
          </c:cat>
          <c:val>
            <c:numRef>
              <c:f>Hárok1!$F$22:$F$27</c:f>
              <c:numCache>
                <c:formatCode>General</c:formatCode>
                <c:ptCount val="6"/>
                <c:pt idx="0">
                  <c:v>45</c:v>
                </c:pt>
                <c:pt idx="1">
                  <c:v>13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68</c:v>
                </c:pt>
              </c:numCache>
            </c:numRef>
          </c:val>
        </c:ser>
        <c:axId val="261559424"/>
        <c:axId val="261560960"/>
      </c:barChart>
      <c:catAx>
        <c:axId val="261559424"/>
        <c:scaling>
          <c:orientation val="minMax"/>
        </c:scaling>
        <c:axPos val="l"/>
        <c:tickLblPos val="nextTo"/>
        <c:crossAx val="261560960"/>
        <c:crosses val="autoZero"/>
        <c:auto val="1"/>
        <c:lblAlgn val="ctr"/>
        <c:lblOffset val="100"/>
      </c:catAx>
      <c:valAx>
        <c:axId val="261560960"/>
        <c:scaling>
          <c:orientation val="minMax"/>
        </c:scaling>
        <c:axPos val="b"/>
        <c:majorGridlines/>
        <c:numFmt formatCode="General" sourceLinked="1"/>
        <c:tickLblPos val="nextTo"/>
        <c:crossAx val="261559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52337153055255"/>
          <c:y val="0.3019457339835695"/>
          <c:w val="0.17747662846944742"/>
          <c:h val="0.30588968135853423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/>
      <c:barChart>
        <c:barDir val="bar"/>
        <c:grouping val="clustered"/>
        <c:ser>
          <c:idx val="0"/>
          <c:order val="0"/>
          <c:tx>
            <c:strRef>
              <c:f>Hárok1!$C$49:$C$50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Hárok1!$B$51:$B$55</c:f>
              <c:strCache>
                <c:ptCount val="5"/>
                <c:pt idx="0">
                  <c:v>dopravné</c:v>
                </c:pt>
                <c:pt idx="1">
                  <c:v>utopenie</c:v>
                </c:pt>
                <c:pt idx="2">
                  <c:v>pády</c:v>
                </c:pt>
                <c:pt idx="3">
                  <c:v>otravy</c:v>
                </c:pt>
                <c:pt idx="4">
                  <c:v>popálenie</c:v>
                </c:pt>
              </c:strCache>
            </c:strRef>
          </c:cat>
          <c:val>
            <c:numRef>
              <c:f>Hárok1!$C$51:$C$55</c:f>
              <c:numCache>
                <c:formatCode>General</c:formatCode>
                <c:ptCount val="5"/>
                <c:pt idx="0">
                  <c:v>4.7</c:v>
                </c:pt>
                <c:pt idx="1">
                  <c:v>1.8</c:v>
                </c:pt>
                <c:pt idx="2">
                  <c:v>0.5</c:v>
                </c:pt>
                <c:pt idx="3">
                  <c:v>0.2</c:v>
                </c:pt>
                <c:pt idx="4">
                  <c:v>0.1</c:v>
                </c:pt>
              </c:numCache>
            </c:numRef>
          </c:val>
        </c:ser>
        <c:ser>
          <c:idx val="1"/>
          <c:order val="1"/>
          <c:tx>
            <c:strRef>
              <c:f>Hárok1!$D$49:$D$50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Hárok1!$B$51:$B$55</c:f>
              <c:strCache>
                <c:ptCount val="5"/>
                <c:pt idx="0">
                  <c:v>dopravné</c:v>
                </c:pt>
                <c:pt idx="1">
                  <c:v>utopenie</c:v>
                </c:pt>
                <c:pt idx="2">
                  <c:v>pády</c:v>
                </c:pt>
                <c:pt idx="3">
                  <c:v>otravy</c:v>
                </c:pt>
                <c:pt idx="4">
                  <c:v>popálenie</c:v>
                </c:pt>
              </c:strCache>
            </c:strRef>
          </c:cat>
          <c:val>
            <c:numRef>
              <c:f>Hárok1!$D$51:$D$55</c:f>
              <c:numCache>
                <c:formatCode>General</c:formatCode>
                <c:ptCount val="5"/>
                <c:pt idx="0">
                  <c:v>5.2</c:v>
                </c:pt>
                <c:pt idx="1">
                  <c:v>1.7</c:v>
                </c:pt>
                <c:pt idx="2">
                  <c:v>0.8</c:v>
                </c:pt>
                <c:pt idx="3">
                  <c:v>0.2</c:v>
                </c:pt>
                <c:pt idx="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Hárok1!$E$49:$E$50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Hárok1!$B$51:$B$55</c:f>
              <c:strCache>
                <c:ptCount val="5"/>
                <c:pt idx="0">
                  <c:v>dopravné</c:v>
                </c:pt>
                <c:pt idx="1">
                  <c:v>utopenie</c:v>
                </c:pt>
                <c:pt idx="2">
                  <c:v>pády</c:v>
                </c:pt>
                <c:pt idx="3">
                  <c:v>otravy</c:v>
                </c:pt>
                <c:pt idx="4">
                  <c:v>popálenie</c:v>
                </c:pt>
              </c:strCache>
            </c:strRef>
          </c:cat>
          <c:val>
            <c:numRef>
              <c:f>Hárok1!$E$51:$E$55</c:f>
              <c:numCache>
                <c:formatCode>General</c:formatCode>
                <c:ptCount val="5"/>
                <c:pt idx="0">
                  <c:v>3.5</c:v>
                </c:pt>
                <c:pt idx="1">
                  <c:v>1</c:v>
                </c:pt>
                <c:pt idx="2">
                  <c:v>0.5</c:v>
                </c:pt>
                <c:pt idx="3">
                  <c:v>0.2</c:v>
                </c:pt>
                <c:pt idx="4">
                  <c:v>0.2</c:v>
                </c:pt>
              </c:numCache>
            </c:numRef>
          </c:val>
        </c:ser>
        <c:axId val="301338624"/>
        <c:axId val="301340160"/>
      </c:barChart>
      <c:catAx>
        <c:axId val="301338624"/>
        <c:scaling>
          <c:orientation val="minMax"/>
        </c:scaling>
        <c:axPos val="l"/>
        <c:tickLblPos val="nextTo"/>
        <c:crossAx val="301340160"/>
        <c:crosses val="autoZero"/>
        <c:auto val="1"/>
        <c:lblAlgn val="ctr"/>
        <c:lblOffset val="100"/>
      </c:catAx>
      <c:valAx>
        <c:axId val="301340160"/>
        <c:scaling>
          <c:orientation val="minMax"/>
        </c:scaling>
        <c:axPos val="b"/>
        <c:majorGridlines/>
        <c:numFmt formatCode="General" sourceLinked="1"/>
        <c:tickLblPos val="nextTo"/>
        <c:crossAx val="301338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0.26715689275488164"/>
          <c:y val="7.5574882360554665E-2"/>
          <c:w val="0.44490816131983396"/>
          <c:h val="0.7946211660252227"/>
        </c:manualLayout>
      </c:layout>
      <c:barChart>
        <c:barDir val="bar"/>
        <c:grouping val="clustered"/>
        <c:ser>
          <c:idx val="0"/>
          <c:order val="0"/>
          <c:tx>
            <c:strRef>
              <c:f>Hárok3!$B$7</c:f>
              <c:strCache>
                <c:ptCount val="1"/>
                <c:pt idx="0">
                  <c:v>dopravné</c:v>
                </c:pt>
              </c:strCache>
            </c:strRef>
          </c:tx>
          <c:cat>
            <c:multiLvlStrRef>
              <c:f>Hárok3!$C$5:$H$6</c:f>
              <c:multiLvlStrCache>
                <c:ptCount val="6"/>
                <c:lvl>
                  <c:pt idx="0">
                    <c:v>muži</c:v>
                  </c:pt>
                  <c:pt idx="1">
                    <c:v>ženy </c:v>
                  </c:pt>
                  <c:pt idx="2">
                    <c:v>spolu </c:v>
                  </c:pt>
                  <c:pt idx="3">
                    <c:v>muži</c:v>
                  </c:pt>
                  <c:pt idx="4">
                    <c:v>ženy</c:v>
                  </c:pt>
                  <c:pt idx="5">
                    <c:v>spolu</c:v>
                  </c:pt>
                </c:lvl>
                <c:lvl>
                  <c:pt idx="0">
                    <c:v>Priemer za roky 2003 - 2005</c:v>
                  </c:pt>
                  <c:pt idx="3">
                    <c:v>Priemer za roky 2010 - 2012</c:v>
                  </c:pt>
                </c:lvl>
              </c:multiLvlStrCache>
            </c:multiLvlStrRef>
          </c:cat>
          <c:val>
            <c:numRef>
              <c:f>Hárok3!$C$7:$H$7</c:f>
              <c:numCache>
                <c:formatCode>General</c:formatCode>
                <c:ptCount val="6"/>
                <c:pt idx="0">
                  <c:v>4.4300000000000024</c:v>
                </c:pt>
                <c:pt idx="1">
                  <c:v>1.8</c:v>
                </c:pt>
                <c:pt idx="2">
                  <c:v>3.12</c:v>
                </c:pt>
                <c:pt idx="3">
                  <c:v>6.2</c:v>
                </c:pt>
                <c:pt idx="4">
                  <c:v>2.7</c:v>
                </c:pt>
                <c:pt idx="5">
                  <c:v>4.45</c:v>
                </c:pt>
              </c:numCache>
            </c:numRef>
          </c:val>
        </c:ser>
        <c:ser>
          <c:idx val="1"/>
          <c:order val="1"/>
          <c:tx>
            <c:strRef>
              <c:f>Hárok3!$B$8</c:f>
              <c:strCache>
                <c:ptCount val="1"/>
                <c:pt idx="0">
                  <c:v>utopenia</c:v>
                </c:pt>
              </c:strCache>
            </c:strRef>
          </c:tx>
          <c:cat>
            <c:multiLvlStrRef>
              <c:f>Hárok3!$C$5:$H$6</c:f>
              <c:multiLvlStrCache>
                <c:ptCount val="6"/>
                <c:lvl>
                  <c:pt idx="0">
                    <c:v>muži</c:v>
                  </c:pt>
                  <c:pt idx="1">
                    <c:v>ženy </c:v>
                  </c:pt>
                  <c:pt idx="2">
                    <c:v>spolu </c:v>
                  </c:pt>
                  <c:pt idx="3">
                    <c:v>muži</c:v>
                  </c:pt>
                  <c:pt idx="4">
                    <c:v>ženy</c:v>
                  </c:pt>
                  <c:pt idx="5">
                    <c:v>spolu</c:v>
                  </c:pt>
                </c:lvl>
                <c:lvl>
                  <c:pt idx="0">
                    <c:v>Priemer za roky 2003 - 2005</c:v>
                  </c:pt>
                  <c:pt idx="3">
                    <c:v>Priemer za roky 2010 - 2012</c:v>
                  </c:pt>
                </c:lvl>
              </c:multiLvlStrCache>
            </c:multiLvlStrRef>
          </c:cat>
          <c:val>
            <c:numRef>
              <c:f>Hárok3!$C$8:$H$8</c:f>
              <c:numCache>
                <c:formatCode>General</c:formatCode>
                <c:ptCount val="6"/>
                <c:pt idx="0">
                  <c:v>1.45</c:v>
                </c:pt>
                <c:pt idx="1">
                  <c:v>0.4</c:v>
                </c:pt>
                <c:pt idx="2">
                  <c:v>0.93</c:v>
                </c:pt>
                <c:pt idx="3">
                  <c:v>2.5</c:v>
                </c:pt>
                <c:pt idx="4">
                  <c:v>0.5</c:v>
                </c:pt>
                <c:pt idx="5">
                  <c:v>1.5</c:v>
                </c:pt>
              </c:numCache>
            </c:numRef>
          </c:val>
        </c:ser>
        <c:ser>
          <c:idx val="2"/>
          <c:order val="2"/>
          <c:tx>
            <c:strRef>
              <c:f>Hárok3!$B$9</c:f>
              <c:strCache>
                <c:ptCount val="1"/>
                <c:pt idx="0">
                  <c:v>pády</c:v>
                </c:pt>
              </c:strCache>
            </c:strRef>
          </c:tx>
          <c:cat>
            <c:multiLvlStrRef>
              <c:f>Hárok3!$C$5:$H$6</c:f>
              <c:multiLvlStrCache>
                <c:ptCount val="6"/>
                <c:lvl>
                  <c:pt idx="0">
                    <c:v>muži</c:v>
                  </c:pt>
                  <c:pt idx="1">
                    <c:v>ženy </c:v>
                  </c:pt>
                  <c:pt idx="2">
                    <c:v>spolu </c:v>
                  </c:pt>
                  <c:pt idx="3">
                    <c:v>muži</c:v>
                  </c:pt>
                  <c:pt idx="4">
                    <c:v>ženy</c:v>
                  </c:pt>
                  <c:pt idx="5">
                    <c:v>spolu</c:v>
                  </c:pt>
                </c:lvl>
                <c:lvl>
                  <c:pt idx="0">
                    <c:v>Priemer za roky 2003 - 2005</c:v>
                  </c:pt>
                  <c:pt idx="3">
                    <c:v>Priemer za roky 2010 - 2012</c:v>
                  </c:pt>
                </c:lvl>
              </c:multiLvlStrCache>
            </c:multiLvlStrRef>
          </c:cat>
          <c:val>
            <c:numRef>
              <c:f>Hárok3!$C$9:$H$9</c:f>
              <c:numCache>
                <c:formatCode>General</c:formatCode>
                <c:ptCount val="6"/>
                <c:pt idx="0">
                  <c:v>0.56999999999999995</c:v>
                </c:pt>
                <c:pt idx="1">
                  <c:v>0.32000000000000084</c:v>
                </c:pt>
                <c:pt idx="2">
                  <c:v>0.45</c:v>
                </c:pt>
                <c:pt idx="3">
                  <c:v>1</c:v>
                </c:pt>
                <c:pt idx="4">
                  <c:v>0.2</c:v>
                </c:pt>
                <c:pt idx="5">
                  <c:v>0.60000000000000064</c:v>
                </c:pt>
              </c:numCache>
            </c:numRef>
          </c:val>
        </c:ser>
        <c:ser>
          <c:idx val="3"/>
          <c:order val="3"/>
          <c:tx>
            <c:strRef>
              <c:f>Hárok3!$B$10</c:f>
              <c:strCache>
                <c:ptCount val="1"/>
                <c:pt idx="0">
                  <c:v>otravy</c:v>
                </c:pt>
              </c:strCache>
            </c:strRef>
          </c:tx>
          <c:cat>
            <c:multiLvlStrRef>
              <c:f>Hárok3!$C$5:$H$6</c:f>
              <c:multiLvlStrCache>
                <c:ptCount val="6"/>
                <c:lvl>
                  <c:pt idx="0">
                    <c:v>muži</c:v>
                  </c:pt>
                  <c:pt idx="1">
                    <c:v>ženy </c:v>
                  </c:pt>
                  <c:pt idx="2">
                    <c:v>spolu </c:v>
                  </c:pt>
                  <c:pt idx="3">
                    <c:v>muži</c:v>
                  </c:pt>
                  <c:pt idx="4">
                    <c:v>ženy</c:v>
                  </c:pt>
                  <c:pt idx="5">
                    <c:v>spolu</c:v>
                  </c:pt>
                </c:lvl>
                <c:lvl>
                  <c:pt idx="0">
                    <c:v>Priemer za roky 2003 - 2005</c:v>
                  </c:pt>
                  <c:pt idx="3">
                    <c:v>Priemer za roky 2010 - 2012</c:v>
                  </c:pt>
                </c:lvl>
              </c:multiLvlStrCache>
            </c:multiLvlStrRef>
          </c:cat>
          <c:val>
            <c:numRef>
              <c:f>Hárok3!$C$10:$H$10</c:f>
              <c:numCache>
                <c:formatCode>General</c:formatCode>
                <c:ptCount val="6"/>
                <c:pt idx="0">
                  <c:v>0.31000000000000072</c:v>
                </c:pt>
                <c:pt idx="1">
                  <c:v>0.29000000000000031</c:v>
                </c:pt>
                <c:pt idx="2">
                  <c:v>0.30000000000000032</c:v>
                </c:pt>
                <c:pt idx="3">
                  <c:v>0.2</c:v>
                </c:pt>
                <c:pt idx="4">
                  <c:v>0.1</c:v>
                </c:pt>
                <c:pt idx="5">
                  <c:v>0.60000000000000064</c:v>
                </c:pt>
              </c:numCache>
            </c:numRef>
          </c:val>
        </c:ser>
        <c:ser>
          <c:idx val="4"/>
          <c:order val="4"/>
          <c:tx>
            <c:strRef>
              <c:f>Hárok3!$B$11</c:f>
              <c:strCache>
                <c:ptCount val="1"/>
                <c:pt idx="0">
                  <c:v>popáleniny</c:v>
                </c:pt>
              </c:strCache>
            </c:strRef>
          </c:tx>
          <c:cat>
            <c:multiLvlStrRef>
              <c:f>Hárok3!$C$5:$H$6</c:f>
              <c:multiLvlStrCache>
                <c:ptCount val="6"/>
                <c:lvl>
                  <c:pt idx="0">
                    <c:v>muži</c:v>
                  </c:pt>
                  <c:pt idx="1">
                    <c:v>ženy </c:v>
                  </c:pt>
                  <c:pt idx="2">
                    <c:v>spolu </c:v>
                  </c:pt>
                  <c:pt idx="3">
                    <c:v>muži</c:v>
                  </c:pt>
                  <c:pt idx="4">
                    <c:v>ženy</c:v>
                  </c:pt>
                  <c:pt idx="5">
                    <c:v>spolu</c:v>
                  </c:pt>
                </c:lvl>
                <c:lvl>
                  <c:pt idx="0">
                    <c:v>Priemer za roky 2003 - 2005</c:v>
                  </c:pt>
                  <c:pt idx="3">
                    <c:v>Priemer za roky 2010 - 2012</c:v>
                  </c:pt>
                </c:lvl>
              </c:multiLvlStrCache>
            </c:multiLvlStrRef>
          </c:cat>
          <c:val>
            <c:numRef>
              <c:f>Hárok3!$C$11:$H$11</c:f>
              <c:numCache>
                <c:formatCode>General</c:formatCode>
                <c:ptCount val="6"/>
                <c:pt idx="0">
                  <c:v>0.17</c:v>
                </c:pt>
                <c:pt idx="1">
                  <c:v>0.27</c:v>
                </c:pt>
                <c:pt idx="2">
                  <c:v>0.19</c:v>
                </c:pt>
                <c:pt idx="3">
                  <c:v>0.26</c:v>
                </c:pt>
                <c:pt idx="4">
                  <c:v>0.2</c:v>
                </c:pt>
                <c:pt idx="5">
                  <c:v>0.23</c:v>
                </c:pt>
              </c:numCache>
            </c:numRef>
          </c:val>
        </c:ser>
        <c:axId val="141426688"/>
        <c:axId val="141428224"/>
      </c:barChart>
      <c:catAx>
        <c:axId val="141426688"/>
        <c:scaling>
          <c:orientation val="minMax"/>
        </c:scaling>
        <c:axPos val="l"/>
        <c:tickLblPos val="nextTo"/>
        <c:crossAx val="141428224"/>
        <c:crosses val="autoZero"/>
        <c:lblAlgn val="ctr"/>
        <c:lblOffset val="100"/>
      </c:catAx>
      <c:valAx>
        <c:axId val="141428224"/>
        <c:scaling>
          <c:orientation val="minMax"/>
        </c:scaling>
        <c:axPos val="b"/>
        <c:majorGridlines/>
        <c:numFmt formatCode="General" sourceLinked="1"/>
        <c:tickLblPos val="nextTo"/>
        <c:crossAx val="1414266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845317534233837"/>
          <c:y val="0.28646636843350232"/>
          <c:w val="0.23154682465766174"/>
          <c:h val="0.38923323436788432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0.31191801351085341"/>
          <c:y val="1.4867324401074346E-3"/>
          <c:w val="0.5216137235942635"/>
          <c:h val="0.80010244529312768"/>
        </c:manualLayout>
      </c:layout>
      <c:barChart>
        <c:barDir val="bar"/>
        <c:grouping val="clustered"/>
        <c:ser>
          <c:idx val="0"/>
          <c:order val="0"/>
          <c:tx>
            <c:strRef>
              <c:f>Hárok2!$C$16:$C$17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Hárok2!$B$18:$B$22</c:f>
              <c:strCache>
                <c:ptCount val="5"/>
                <c:pt idx="0">
                  <c:v>vraždy</c:v>
                </c:pt>
                <c:pt idx="1">
                  <c:v>samovraždy</c:v>
                </c:pt>
                <c:pt idx="2">
                  <c:v>zanedbávanie</c:v>
                </c:pt>
                <c:pt idx="3">
                  <c:v>ostatné neumysel.úrazy</c:v>
                </c:pt>
                <c:pt idx="4">
                  <c:v>SPOLU</c:v>
                </c:pt>
              </c:strCache>
            </c:strRef>
          </c:cat>
          <c:val>
            <c:numRef>
              <c:f>Hárok2!$C$18:$C$22</c:f>
              <c:numCache>
                <c:formatCode>General</c:formatCode>
                <c:ptCount val="5"/>
                <c:pt idx="0">
                  <c:v>1</c:v>
                </c:pt>
                <c:pt idx="1">
                  <c:v>19</c:v>
                </c:pt>
                <c:pt idx="2">
                  <c:v>0</c:v>
                </c:pt>
                <c:pt idx="3">
                  <c:v>13</c:v>
                </c:pt>
                <c:pt idx="4">
                  <c:v>33</c:v>
                </c:pt>
              </c:numCache>
            </c:numRef>
          </c:val>
        </c:ser>
        <c:ser>
          <c:idx val="1"/>
          <c:order val="1"/>
          <c:tx>
            <c:strRef>
              <c:f>Hárok2!$D$16:$D$17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Hárok2!$B$18:$B$22</c:f>
              <c:strCache>
                <c:ptCount val="5"/>
                <c:pt idx="0">
                  <c:v>vraždy</c:v>
                </c:pt>
                <c:pt idx="1">
                  <c:v>samovraždy</c:v>
                </c:pt>
                <c:pt idx="2">
                  <c:v>zanedbávanie</c:v>
                </c:pt>
                <c:pt idx="3">
                  <c:v>ostatné neumysel.úrazy</c:v>
                </c:pt>
                <c:pt idx="4">
                  <c:v>SPOLU</c:v>
                </c:pt>
              </c:strCache>
            </c:strRef>
          </c:cat>
          <c:val>
            <c:numRef>
              <c:f>Hárok2!$D$18:$D$22</c:f>
              <c:numCache>
                <c:formatCode>General</c:formatCode>
                <c:ptCount val="5"/>
                <c:pt idx="0">
                  <c:v>5</c:v>
                </c:pt>
                <c:pt idx="1">
                  <c:v>12</c:v>
                </c:pt>
                <c:pt idx="2">
                  <c:v>0</c:v>
                </c:pt>
                <c:pt idx="3">
                  <c:v>7</c:v>
                </c:pt>
                <c:pt idx="4">
                  <c:v>24</c:v>
                </c:pt>
              </c:numCache>
            </c:numRef>
          </c:val>
        </c:ser>
        <c:ser>
          <c:idx val="2"/>
          <c:order val="2"/>
          <c:tx>
            <c:strRef>
              <c:f>Hárok2!$E$16:$E$17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Hárok2!$B$18:$B$22</c:f>
              <c:strCache>
                <c:ptCount val="5"/>
                <c:pt idx="0">
                  <c:v>vraždy</c:v>
                </c:pt>
                <c:pt idx="1">
                  <c:v>samovraždy</c:v>
                </c:pt>
                <c:pt idx="2">
                  <c:v>zanedbávanie</c:v>
                </c:pt>
                <c:pt idx="3">
                  <c:v>ostatné neumysel.úrazy</c:v>
                </c:pt>
                <c:pt idx="4">
                  <c:v>SPOLU</c:v>
                </c:pt>
              </c:strCache>
            </c:strRef>
          </c:cat>
          <c:val>
            <c:numRef>
              <c:f>Hárok2!$E$18:$E$22</c:f>
              <c:numCache>
                <c:formatCode>General</c:formatCode>
                <c:ptCount val="5"/>
                <c:pt idx="0">
                  <c:v>5</c:v>
                </c:pt>
                <c:pt idx="1">
                  <c:v>15</c:v>
                </c:pt>
                <c:pt idx="2">
                  <c:v>0</c:v>
                </c:pt>
                <c:pt idx="3">
                  <c:v>10</c:v>
                </c:pt>
                <c:pt idx="4">
                  <c:v>30</c:v>
                </c:pt>
              </c:numCache>
            </c:numRef>
          </c:val>
        </c:ser>
        <c:axId val="141437184"/>
        <c:axId val="141443072"/>
      </c:barChart>
      <c:catAx>
        <c:axId val="141437184"/>
        <c:scaling>
          <c:orientation val="minMax"/>
        </c:scaling>
        <c:axPos val="l"/>
        <c:tickLblPos val="nextTo"/>
        <c:crossAx val="141443072"/>
        <c:crosses val="autoZero"/>
        <c:auto val="1"/>
        <c:lblAlgn val="ctr"/>
        <c:lblOffset val="100"/>
      </c:catAx>
      <c:valAx>
        <c:axId val="141443072"/>
        <c:scaling>
          <c:orientation val="minMax"/>
        </c:scaling>
        <c:axPos val="b"/>
        <c:majorGridlines/>
        <c:numFmt formatCode="General" sourceLinked="1"/>
        <c:tickLblPos val="nextTo"/>
        <c:crossAx val="141437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08041905293352"/>
          <c:y val="0.37529910043620679"/>
          <c:w val="0.13454139610025925"/>
          <c:h val="0.24940143713008442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plotArea>
      <c:layout>
        <c:manualLayout>
          <c:layoutTarget val="inner"/>
          <c:xMode val="edge"/>
          <c:yMode val="edge"/>
          <c:x val="0.28817806628960241"/>
          <c:y val="5.0925925925925923E-2"/>
          <c:w val="0.53053585762953204"/>
          <c:h val="0.79869969378827865"/>
        </c:manualLayout>
      </c:layout>
      <c:barChart>
        <c:barDir val="bar"/>
        <c:grouping val="clustered"/>
        <c:ser>
          <c:idx val="0"/>
          <c:order val="0"/>
          <c:tx>
            <c:strRef>
              <c:f>Hárok2!$C$43:$C$44</c:f>
              <c:strCache>
                <c:ptCount val="1"/>
                <c:pt idx="0">
                  <c:v>2010</c:v>
                </c:pt>
              </c:strCache>
            </c:strRef>
          </c:tx>
          <c:cat>
            <c:strRef>
              <c:f>Hárok2!$B$45:$B$48</c:f>
              <c:strCache>
                <c:ptCount val="4"/>
                <c:pt idx="0">
                  <c:v>vraždy</c:v>
                </c:pt>
                <c:pt idx="1">
                  <c:v>samovraždy</c:v>
                </c:pt>
                <c:pt idx="2">
                  <c:v>zanedbávanie</c:v>
                </c:pt>
                <c:pt idx="3">
                  <c:v>ostatné neumysel.úrazy</c:v>
                </c:pt>
              </c:strCache>
            </c:strRef>
          </c:cat>
          <c:val>
            <c:numRef>
              <c:f>Hárok2!$C$45:$C$48</c:f>
              <c:numCache>
                <c:formatCode>General</c:formatCode>
                <c:ptCount val="4"/>
                <c:pt idx="0">
                  <c:v>0.1</c:v>
                </c:pt>
                <c:pt idx="1">
                  <c:v>1.4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</c:ser>
        <c:ser>
          <c:idx val="1"/>
          <c:order val="1"/>
          <c:tx>
            <c:strRef>
              <c:f>Hárok2!$D$43:$D$44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Hárok2!$B$45:$B$48</c:f>
              <c:strCache>
                <c:ptCount val="4"/>
                <c:pt idx="0">
                  <c:v>vraždy</c:v>
                </c:pt>
                <c:pt idx="1">
                  <c:v>samovraždy</c:v>
                </c:pt>
                <c:pt idx="2">
                  <c:v>zanedbávanie</c:v>
                </c:pt>
                <c:pt idx="3">
                  <c:v>ostatné neumysel.úrazy</c:v>
                </c:pt>
              </c:strCache>
            </c:strRef>
          </c:cat>
          <c:val>
            <c:numRef>
              <c:f>Hárok2!$D$45:$D$48</c:f>
              <c:numCache>
                <c:formatCode>General</c:formatCode>
                <c:ptCount val="4"/>
                <c:pt idx="0">
                  <c:v>0.4</c:v>
                </c:pt>
                <c:pt idx="1">
                  <c:v>0.9</c:v>
                </c:pt>
                <c:pt idx="2">
                  <c:v>0</c:v>
                </c:pt>
                <c:pt idx="3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Hárok2!$E$43:$E$44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Hárok2!$B$45:$B$48</c:f>
              <c:strCache>
                <c:ptCount val="4"/>
                <c:pt idx="0">
                  <c:v>vraždy</c:v>
                </c:pt>
                <c:pt idx="1">
                  <c:v>samovraždy</c:v>
                </c:pt>
                <c:pt idx="2">
                  <c:v>zanedbávanie</c:v>
                </c:pt>
                <c:pt idx="3">
                  <c:v>ostatné neumysel.úrazy</c:v>
                </c:pt>
              </c:strCache>
            </c:strRef>
          </c:cat>
          <c:val>
            <c:numRef>
              <c:f>Hárok2!$E$45:$E$48</c:f>
              <c:numCache>
                <c:formatCode>General</c:formatCode>
                <c:ptCount val="4"/>
                <c:pt idx="0">
                  <c:v>0.4</c:v>
                </c:pt>
                <c:pt idx="1">
                  <c:v>1.1000000000000001</c:v>
                </c:pt>
                <c:pt idx="2">
                  <c:v>0</c:v>
                </c:pt>
                <c:pt idx="3">
                  <c:v>0.8</c:v>
                </c:pt>
              </c:numCache>
            </c:numRef>
          </c:val>
        </c:ser>
        <c:axId val="141468416"/>
        <c:axId val="141469952"/>
      </c:barChart>
      <c:catAx>
        <c:axId val="141468416"/>
        <c:scaling>
          <c:orientation val="minMax"/>
        </c:scaling>
        <c:axPos val="l"/>
        <c:tickLblPos val="nextTo"/>
        <c:crossAx val="141469952"/>
        <c:crosses val="autoZero"/>
        <c:auto val="1"/>
        <c:lblAlgn val="ctr"/>
        <c:lblOffset val="100"/>
      </c:catAx>
      <c:valAx>
        <c:axId val="141469952"/>
        <c:scaling>
          <c:orientation val="minMax"/>
        </c:scaling>
        <c:axPos val="b"/>
        <c:majorGridlines/>
        <c:numFmt formatCode="General" sourceLinked="1"/>
        <c:tickLblPos val="nextTo"/>
        <c:crossAx val="141468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091755029677602"/>
          <c:y val="0.37442403032954352"/>
          <c:w val="0.17181979447633419"/>
          <c:h val="0.25115157480314959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/>
      <c:pieChart>
        <c:varyColors val="1"/>
        <c:ser>
          <c:idx val="0"/>
          <c:order val="0"/>
          <c:tx>
            <c:strRef>
              <c:f>'podiely 2010'!$A$5</c:f>
              <c:strCache>
                <c:ptCount val="1"/>
                <c:pt idx="0">
                  <c:v>0-1</c:v>
                </c:pt>
              </c:strCache>
            </c:strRef>
          </c:tx>
          <c:explosion val="1"/>
          <c:dPt>
            <c:idx val="0"/>
            <c:explosion val="0"/>
          </c:dPt>
          <c:dLbls>
            <c:dLblPos val="bestFit"/>
            <c:showCatName val="1"/>
            <c:showPercent val="1"/>
          </c:dLbls>
          <c:cat>
            <c:strRef>
              <c:f>'podiely 2010'!$B$4:$K$4</c:f>
              <c:strCache>
                <c:ptCount val="10"/>
                <c:pt idx="0">
                  <c:v>popálenie, poleptanie</c:v>
                </c:pt>
                <c:pt idx="1">
                  <c:v>omrzliny</c:v>
                </c:pt>
                <c:pt idx="2">
                  <c:v>otrava liečivami, liekmi </c:v>
                </c:pt>
                <c:pt idx="3">
                  <c:v>týranie</c:v>
                </c:pt>
                <c:pt idx="4">
                  <c:v>iné vonkajšie príčiny</c:v>
                </c:pt>
                <c:pt idx="5">
                  <c:v>pády</c:v>
                </c:pt>
                <c:pt idx="6">
                  <c:v>topenie</c:v>
                </c:pt>
                <c:pt idx="7">
                  <c:v>udusenie, uškrtenie</c:v>
                </c:pt>
                <c:pt idx="8">
                  <c:v>otravy</c:v>
                </c:pt>
                <c:pt idx="9">
                  <c:v>úmyselné sebapoškodzovania</c:v>
                </c:pt>
              </c:strCache>
            </c:strRef>
          </c:cat>
          <c:val>
            <c:numRef>
              <c:f>'podiely 2010'!$B$5:$K$5</c:f>
              <c:numCache>
                <c:formatCode>General</c:formatCode>
                <c:ptCount val="10"/>
                <c:pt idx="0">
                  <c:v>45</c:v>
                </c:pt>
                <c:pt idx="2">
                  <c:v>13</c:v>
                </c:pt>
                <c:pt idx="3">
                  <c:v>1</c:v>
                </c:pt>
                <c:pt idx="5">
                  <c:v>12</c:v>
                </c:pt>
                <c:pt idx="6">
                  <c:v>1</c:v>
                </c:pt>
                <c:pt idx="7">
                  <c:v>15</c:v>
                </c:pt>
                <c:pt idx="8">
                  <c:v>20</c:v>
                </c:pt>
              </c:numCache>
            </c:numRef>
          </c:val>
        </c:ser>
        <c:ser>
          <c:idx val="1"/>
          <c:order val="1"/>
          <c:tx>
            <c:strRef>
              <c:f>'podiely 2010'!$A$6</c:f>
              <c:strCache>
                <c:ptCount val="1"/>
                <c:pt idx="0">
                  <c:v>01-04</c:v>
                </c:pt>
              </c:strCache>
            </c:strRef>
          </c:tx>
          <c:dLbls>
            <c:showCatName val="1"/>
            <c:showPercent val="1"/>
          </c:dLbls>
          <c:cat>
            <c:strRef>
              <c:f>'podiely 2010'!$B$4:$K$4</c:f>
              <c:strCache>
                <c:ptCount val="10"/>
                <c:pt idx="0">
                  <c:v>popálenie, poleptanie</c:v>
                </c:pt>
                <c:pt idx="1">
                  <c:v>omrzliny</c:v>
                </c:pt>
                <c:pt idx="2">
                  <c:v>otrava liečivami, liekmi </c:v>
                </c:pt>
                <c:pt idx="3">
                  <c:v>týranie</c:v>
                </c:pt>
                <c:pt idx="4">
                  <c:v>iné vonkajšie príčiny</c:v>
                </c:pt>
                <c:pt idx="5">
                  <c:v>pády</c:v>
                </c:pt>
                <c:pt idx="6">
                  <c:v>topenie</c:v>
                </c:pt>
                <c:pt idx="7">
                  <c:v>udusenie, uškrtenie</c:v>
                </c:pt>
                <c:pt idx="8">
                  <c:v>otravy</c:v>
                </c:pt>
                <c:pt idx="9">
                  <c:v>úmyselné sebapoškodzovania</c:v>
                </c:pt>
              </c:strCache>
            </c:strRef>
          </c:cat>
          <c:val>
            <c:numRef>
              <c:f>'podiely 2010'!$B$6:$K$6</c:f>
              <c:numCache>
                <c:formatCode>General</c:formatCode>
                <c:ptCount val="10"/>
                <c:pt idx="0">
                  <c:v>289</c:v>
                </c:pt>
                <c:pt idx="2">
                  <c:v>251</c:v>
                </c:pt>
                <c:pt idx="4">
                  <c:v>6</c:v>
                </c:pt>
                <c:pt idx="5">
                  <c:v>19</c:v>
                </c:pt>
                <c:pt idx="6">
                  <c:v>11</c:v>
                </c:pt>
                <c:pt idx="7">
                  <c:v>13</c:v>
                </c:pt>
                <c:pt idx="8">
                  <c:v>200</c:v>
                </c:pt>
                <c:pt idx="9">
                  <c:v>6</c:v>
                </c:pt>
              </c:numCache>
            </c:numRef>
          </c:val>
        </c:ser>
        <c:ser>
          <c:idx val="2"/>
          <c:order val="2"/>
          <c:tx>
            <c:strRef>
              <c:f>'podiely 2010'!$A$7</c:f>
              <c:strCache>
                <c:ptCount val="1"/>
                <c:pt idx="0">
                  <c:v>05-09</c:v>
                </c:pt>
              </c:strCache>
            </c:strRef>
          </c:tx>
          <c:dLbls>
            <c:showCatName val="1"/>
            <c:showPercent val="1"/>
          </c:dLbls>
          <c:cat>
            <c:strRef>
              <c:f>'podiely 2010'!$B$4:$K$4</c:f>
              <c:strCache>
                <c:ptCount val="10"/>
                <c:pt idx="0">
                  <c:v>popálenie, poleptanie</c:v>
                </c:pt>
                <c:pt idx="1">
                  <c:v>omrzliny</c:v>
                </c:pt>
                <c:pt idx="2">
                  <c:v>otrava liečivami, liekmi </c:v>
                </c:pt>
                <c:pt idx="3">
                  <c:v>týranie</c:v>
                </c:pt>
                <c:pt idx="4">
                  <c:v>iné vonkajšie príčiny</c:v>
                </c:pt>
                <c:pt idx="5">
                  <c:v>pády</c:v>
                </c:pt>
                <c:pt idx="6">
                  <c:v>topenie</c:v>
                </c:pt>
                <c:pt idx="7">
                  <c:v>udusenie, uškrtenie</c:v>
                </c:pt>
                <c:pt idx="8">
                  <c:v>otravy</c:v>
                </c:pt>
                <c:pt idx="9">
                  <c:v>úmyselné sebapoškodzovania</c:v>
                </c:pt>
              </c:strCache>
            </c:strRef>
          </c:cat>
          <c:val>
            <c:numRef>
              <c:f>'podiely 2010'!$B$7:$K$7</c:f>
              <c:numCache>
                <c:formatCode>General</c:formatCode>
                <c:ptCount val="10"/>
                <c:pt idx="0">
                  <c:v>47</c:v>
                </c:pt>
                <c:pt idx="2">
                  <c:v>23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29</c:v>
                </c:pt>
                <c:pt idx="9">
                  <c:v>2</c:v>
                </c:pt>
              </c:numCache>
            </c:numRef>
          </c:val>
        </c:ser>
        <c:ser>
          <c:idx val="3"/>
          <c:order val="3"/>
          <c:tx>
            <c:strRef>
              <c:f>'podiely 2010'!$A$8</c:f>
              <c:strCache>
                <c:ptCount val="1"/>
                <c:pt idx="0">
                  <c:v>10-14</c:v>
                </c:pt>
              </c:strCache>
            </c:strRef>
          </c:tx>
          <c:dLbls>
            <c:showCatName val="1"/>
            <c:showPercent val="1"/>
          </c:dLbls>
          <c:cat>
            <c:strRef>
              <c:f>'podiely 2010'!$B$4:$K$4</c:f>
              <c:strCache>
                <c:ptCount val="10"/>
                <c:pt idx="0">
                  <c:v>popálenie, poleptanie</c:v>
                </c:pt>
                <c:pt idx="1">
                  <c:v>omrzliny</c:v>
                </c:pt>
                <c:pt idx="2">
                  <c:v>otrava liečivami, liekmi </c:v>
                </c:pt>
                <c:pt idx="3">
                  <c:v>týranie</c:v>
                </c:pt>
                <c:pt idx="4">
                  <c:v>iné vonkajšie príčiny</c:v>
                </c:pt>
                <c:pt idx="5">
                  <c:v>pády</c:v>
                </c:pt>
                <c:pt idx="6">
                  <c:v>topenie</c:v>
                </c:pt>
                <c:pt idx="7">
                  <c:v>udusenie, uškrtenie</c:v>
                </c:pt>
                <c:pt idx="8">
                  <c:v>otravy</c:v>
                </c:pt>
                <c:pt idx="9">
                  <c:v>úmyselné sebapoškodzovania</c:v>
                </c:pt>
              </c:strCache>
            </c:strRef>
          </c:cat>
          <c:val>
            <c:numRef>
              <c:f>'podiely 2010'!$B$8:$K$8</c:f>
              <c:numCache>
                <c:formatCode>General</c:formatCode>
                <c:ptCount val="10"/>
                <c:pt idx="0">
                  <c:v>37</c:v>
                </c:pt>
                <c:pt idx="2">
                  <c:v>72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60</c:v>
                </c:pt>
                <c:pt idx="9">
                  <c:v>59</c:v>
                </c:pt>
              </c:numCache>
            </c:numRef>
          </c:val>
        </c:ser>
        <c:ser>
          <c:idx val="4"/>
          <c:order val="4"/>
          <c:tx>
            <c:strRef>
              <c:f>'podiely 2010'!$A$9</c:f>
              <c:strCache>
                <c:ptCount val="1"/>
                <c:pt idx="0">
                  <c:v>15-19</c:v>
                </c:pt>
              </c:strCache>
            </c:strRef>
          </c:tx>
          <c:dLbls>
            <c:showCatName val="1"/>
            <c:showPercent val="1"/>
          </c:dLbls>
          <c:cat>
            <c:strRef>
              <c:f>'podiely 2010'!$B$4:$K$4</c:f>
              <c:strCache>
                <c:ptCount val="10"/>
                <c:pt idx="0">
                  <c:v>popálenie, poleptanie</c:v>
                </c:pt>
                <c:pt idx="1">
                  <c:v>omrzliny</c:v>
                </c:pt>
                <c:pt idx="2">
                  <c:v>otrava liečivami, liekmi </c:v>
                </c:pt>
                <c:pt idx="3">
                  <c:v>týranie</c:v>
                </c:pt>
                <c:pt idx="4">
                  <c:v>iné vonkajšie príčiny</c:v>
                </c:pt>
                <c:pt idx="5">
                  <c:v>pády</c:v>
                </c:pt>
                <c:pt idx="6">
                  <c:v>topenie</c:v>
                </c:pt>
                <c:pt idx="7">
                  <c:v>udusenie, uškrtenie</c:v>
                </c:pt>
                <c:pt idx="8">
                  <c:v>otravy</c:v>
                </c:pt>
                <c:pt idx="9">
                  <c:v>úmyselné sebapoškodzovania</c:v>
                </c:pt>
              </c:strCache>
            </c:strRef>
          </c:cat>
          <c:val>
            <c:numRef>
              <c:f>'podiely 2010'!$B$9:$K$9</c:f>
              <c:numCache>
                <c:formatCode>General</c:formatCode>
                <c:ptCount val="10"/>
                <c:pt idx="0">
                  <c:v>49</c:v>
                </c:pt>
                <c:pt idx="1">
                  <c:v>4</c:v>
                </c:pt>
                <c:pt idx="2">
                  <c:v>165</c:v>
                </c:pt>
                <c:pt idx="5">
                  <c:v>3</c:v>
                </c:pt>
                <c:pt idx="6">
                  <c:v>4</c:v>
                </c:pt>
                <c:pt idx="7">
                  <c:v>1</c:v>
                </c:pt>
                <c:pt idx="8">
                  <c:v>96</c:v>
                </c:pt>
                <c:pt idx="9">
                  <c:v>197</c:v>
                </c:pt>
              </c:numCache>
            </c:numRef>
          </c:val>
        </c:ser>
        <c:ser>
          <c:idx val="5"/>
          <c:order val="5"/>
          <c:tx>
            <c:strRef>
              <c:f>'podiely 2010'!$A$10</c:f>
              <c:strCache>
                <c:ptCount val="1"/>
                <c:pt idx="0">
                  <c:v>Celkový súčet</c:v>
                </c:pt>
              </c:strCache>
            </c:strRef>
          </c:tx>
          <c:dLbls>
            <c:showCatName val="1"/>
            <c:showPercent val="1"/>
          </c:dLbls>
          <c:cat>
            <c:strRef>
              <c:f>'podiely 2010'!$B$4:$K$4</c:f>
              <c:strCache>
                <c:ptCount val="10"/>
                <c:pt idx="0">
                  <c:v>popálenie, poleptanie</c:v>
                </c:pt>
                <c:pt idx="1">
                  <c:v>omrzliny</c:v>
                </c:pt>
                <c:pt idx="2">
                  <c:v>otrava liečivami, liekmi </c:v>
                </c:pt>
                <c:pt idx="3">
                  <c:v>týranie</c:v>
                </c:pt>
                <c:pt idx="4">
                  <c:v>iné vonkajšie príčiny</c:v>
                </c:pt>
                <c:pt idx="5">
                  <c:v>pády</c:v>
                </c:pt>
                <c:pt idx="6">
                  <c:v>topenie</c:v>
                </c:pt>
                <c:pt idx="7">
                  <c:v>udusenie, uškrtenie</c:v>
                </c:pt>
                <c:pt idx="8">
                  <c:v>otravy</c:v>
                </c:pt>
                <c:pt idx="9">
                  <c:v>úmyselné sebapoškodzovania</c:v>
                </c:pt>
              </c:strCache>
            </c:strRef>
          </c:cat>
          <c:val>
            <c:numRef>
              <c:f>'podiely 2010'!$B$10:$K$10</c:f>
              <c:numCache>
                <c:formatCode>General</c:formatCode>
                <c:ptCount val="10"/>
                <c:pt idx="0">
                  <c:v>467</c:v>
                </c:pt>
                <c:pt idx="1">
                  <c:v>4</c:v>
                </c:pt>
                <c:pt idx="2">
                  <c:v>524</c:v>
                </c:pt>
                <c:pt idx="3">
                  <c:v>4</c:v>
                </c:pt>
                <c:pt idx="4">
                  <c:v>10</c:v>
                </c:pt>
                <c:pt idx="5">
                  <c:v>38</c:v>
                </c:pt>
                <c:pt idx="6">
                  <c:v>19</c:v>
                </c:pt>
                <c:pt idx="7">
                  <c:v>31</c:v>
                </c:pt>
                <c:pt idx="8">
                  <c:v>405</c:v>
                </c:pt>
                <c:pt idx="9">
                  <c:v>264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/>
      <c:pieChart>
        <c:varyColors val="1"/>
        <c:ser>
          <c:idx val="0"/>
          <c:order val="0"/>
          <c:tx>
            <c:strRef>
              <c:f>'podiely 2011'!$A$4</c:f>
              <c:strCache>
                <c:ptCount val="1"/>
                <c:pt idx="0">
                  <c:v>0-1</c:v>
                </c:pt>
              </c:strCache>
            </c:strRef>
          </c:tx>
          <c:explosion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popálenieobarenie 46%</a:t>
                    </a:r>
                  </a:p>
                </c:rich>
              </c:tx>
              <c:dLblPos val="bestFit"/>
              <c:showCatName val="1"/>
              <c:showPercent val="1"/>
              <c:separator> </c:separator>
            </c:dLbl>
            <c:dLbl>
              <c:idx val="2"/>
              <c:dLblPos val="bestFit"/>
              <c:showLegendKey val="1"/>
              <c:showCatName val="1"/>
              <c:showPercent val="1"/>
            </c:dLbl>
            <c:dLblPos val="bestFit"/>
            <c:showCatName val="1"/>
            <c:showPercent val="1"/>
            <c:showLeaderLines val="1"/>
          </c:dLbls>
          <c:cat>
            <c:strRef>
              <c:f>'podiely 2011'!$B$3:$K$3</c:f>
              <c:strCache>
                <c:ptCount val="10"/>
                <c:pt idx="0">
                  <c:v>popálenie, obarenie</c:v>
                </c:pt>
                <c:pt idx="1">
                  <c:v>omrzliny</c:v>
                </c:pt>
                <c:pt idx="2">
                  <c:v>otravy liečivami, liekmi</c:v>
                </c:pt>
                <c:pt idx="3">
                  <c:v>týranie</c:v>
                </c:pt>
                <c:pt idx="4">
                  <c:v>iné vonkajšie príčiny</c:v>
                </c:pt>
                <c:pt idx="5">
                  <c:v>pády</c:v>
                </c:pt>
                <c:pt idx="6">
                  <c:v>topenie</c:v>
                </c:pt>
                <c:pt idx="7">
                  <c:v>udusenie, uškrtenie</c:v>
                </c:pt>
                <c:pt idx="8">
                  <c:v>otravy </c:v>
                </c:pt>
                <c:pt idx="9">
                  <c:v>úmyselné sebapoškodzovanie</c:v>
                </c:pt>
              </c:strCache>
            </c:strRef>
          </c:cat>
          <c:val>
            <c:numRef>
              <c:f>'podiely 2011'!$B$4:$K$4</c:f>
              <c:numCache>
                <c:formatCode>General</c:formatCode>
                <c:ptCount val="10"/>
                <c:pt idx="0">
                  <c:v>45</c:v>
                </c:pt>
                <c:pt idx="2">
                  <c:v>11</c:v>
                </c:pt>
                <c:pt idx="4">
                  <c:v>2</c:v>
                </c:pt>
                <c:pt idx="5">
                  <c:v>14</c:v>
                </c:pt>
                <c:pt idx="7">
                  <c:v>14</c:v>
                </c:pt>
                <c:pt idx="8">
                  <c:v>13</c:v>
                </c:pt>
              </c:numCache>
            </c:numRef>
          </c:val>
        </c:ser>
        <c:ser>
          <c:idx val="1"/>
          <c:order val="1"/>
          <c:tx>
            <c:strRef>
              <c:f>'podiely 2011'!$A$5</c:f>
              <c:strCache>
                <c:ptCount val="1"/>
                <c:pt idx="0">
                  <c:v>01-04</c:v>
                </c:pt>
              </c:strCache>
            </c:strRef>
          </c:tx>
          <c:cat>
            <c:strRef>
              <c:f>'podiely 2011'!$B$3:$K$3</c:f>
              <c:strCache>
                <c:ptCount val="10"/>
                <c:pt idx="0">
                  <c:v>popálenie, obarenie</c:v>
                </c:pt>
                <c:pt idx="1">
                  <c:v>omrzliny</c:v>
                </c:pt>
                <c:pt idx="2">
                  <c:v>otravy liečivami, liekmi</c:v>
                </c:pt>
                <c:pt idx="3">
                  <c:v>týranie</c:v>
                </c:pt>
                <c:pt idx="4">
                  <c:v>iné vonkajšie príčiny</c:v>
                </c:pt>
                <c:pt idx="5">
                  <c:v>pády</c:v>
                </c:pt>
                <c:pt idx="6">
                  <c:v>topenie</c:v>
                </c:pt>
                <c:pt idx="7">
                  <c:v>udusenie, uškrtenie</c:v>
                </c:pt>
                <c:pt idx="8">
                  <c:v>otravy </c:v>
                </c:pt>
                <c:pt idx="9">
                  <c:v>úmyselné sebapoškodzovanie</c:v>
                </c:pt>
              </c:strCache>
            </c:strRef>
          </c:cat>
          <c:val>
            <c:numRef>
              <c:f>'podiely 2011'!$B$5:$K$5</c:f>
              <c:numCache>
                <c:formatCode>General</c:formatCode>
                <c:ptCount val="10"/>
                <c:pt idx="0">
                  <c:v>297</c:v>
                </c:pt>
                <c:pt idx="2">
                  <c:v>228</c:v>
                </c:pt>
                <c:pt idx="3">
                  <c:v>2</c:v>
                </c:pt>
                <c:pt idx="4">
                  <c:v>4</c:v>
                </c:pt>
                <c:pt idx="5">
                  <c:v>7</c:v>
                </c:pt>
                <c:pt idx="6">
                  <c:v>7</c:v>
                </c:pt>
                <c:pt idx="7">
                  <c:v>4</c:v>
                </c:pt>
                <c:pt idx="8">
                  <c:v>177</c:v>
                </c:pt>
                <c:pt idx="9">
                  <c:v>4</c:v>
                </c:pt>
              </c:numCache>
            </c:numRef>
          </c:val>
        </c:ser>
        <c:ser>
          <c:idx val="2"/>
          <c:order val="2"/>
          <c:tx>
            <c:strRef>
              <c:f>'podiely 2011'!$A$6</c:f>
              <c:strCache>
                <c:ptCount val="1"/>
                <c:pt idx="0">
                  <c:v>05-09</c:v>
                </c:pt>
              </c:strCache>
            </c:strRef>
          </c:tx>
          <c:cat>
            <c:strRef>
              <c:f>'podiely 2011'!$B$3:$K$3</c:f>
              <c:strCache>
                <c:ptCount val="10"/>
                <c:pt idx="0">
                  <c:v>popálenie, obarenie</c:v>
                </c:pt>
                <c:pt idx="1">
                  <c:v>omrzliny</c:v>
                </c:pt>
                <c:pt idx="2">
                  <c:v>otravy liečivami, liekmi</c:v>
                </c:pt>
                <c:pt idx="3">
                  <c:v>týranie</c:v>
                </c:pt>
                <c:pt idx="4">
                  <c:v>iné vonkajšie príčiny</c:v>
                </c:pt>
                <c:pt idx="5">
                  <c:v>pády</c:v>
                </c:pt>
                <c:pt idx="6">
                  <c:v>topenie</c:v>
                </c:pt>
                <c:pt idx="7">
                  <c:v>udusenie, uškrtenie</c:v>
                </c:pt>
                <c:pt idx="8">
                  <c:v>otravy </c:v>
                </c:pt>
                <c:pt idx="9">
                  <c:v>úmyselné sebapoškodzovanie</c:v>
                </c:pt>
              </c:strCache>
            </c:strRef>
          </c:cat>
          <c:val>
            <c:numRef>
              <c:f>'podiely 2011'!$B$6:$K$6</c:f>
              <c:numCache>
                <c:formatCode>General</c:formatCode>
                <c:ptCount val="10"/>
                <c:pt idx="0">
                  <c:v>54</c:v>
                </c:pt>
                <c:pt idx="2">
                  <c:v>46</c:v>
                </c:pt>
                <c:pt idx="3">
                  <c:v>2</c:v>
                </c:pt>
                <c:pt idx="5">
                  <c:v>2</c:v>
                </c:pt>
                <c:pt idx="6">
                  <c:v>1</c:v>
                </c:pt>
                <c:pt idx="8">
                  <c:v>27</c:v>
                </c:pt>
                <c:pt idx="9">
                  <c:v>2</c:v>
                </c:pt>
              </c:numCache>
            </c:numRef>
          </c:val>
        </c:ser>
        <c:ser>
          <c:idx val="3"/>
          <c:order val="3"/>
          <c:tx>
            <c:strRef>
              <c:f>'podiely 2011'!$A$7</c:f>
              <c:strCache>
                <c:ptCount val="1"/>
                <c:pt idx="0">
                  <c:v>10-14</c:v>
                </c:pt>
              </c:strCache>
            </c:strRef>
          </c:tx>
          <c:cat>
            <c:strRef>
              <c:f>'podiely 2011'!$B$3:$K$3</c:f>
              <c:strCache>
                <c:ptCount val="10"/>
                <c:pt idx="0">
                  <c:v>popálenie, obarenie</c:v>
                </c:pt>
                <c:pt idx="1">
                  <c:v>omrzliny</c:v>
                </c:pt>
                <c:pt idx="2">
                  <c:v>otravy liečivami, liekmi</c:v>
                </c:pt>
                <c:pt idx="3">
                  <c:v>týranie</c:v>
                </c:pt>
                <c:pt idx="4">
                  <c:v>iné vonkajšie príčiny</c:v>
                </c:pt>
                <c:pt idx="5">
                  <c:v>pády</c:v>
                </c:pt>
                <c:pt idx="6">
                  <c:v>topenie</c:v>
                </c:pt>
                <c:pt idx="7">
                  <c:v>udusenie, uškrtenie</c:v>
                </c:pt>
                <c:pt idx="8">
                  <c:v>otravy </c:v>
                </c:pt>
                <c:pt idx="9">
                  <c:v>úmyselné sebapoškodzovanie</c:v>
                </c:pt>
              </c:strCache>
            </c:strRef>
          </c:cat>
          <c:val>
            <c:numRef>
              <c:f>'podiely 2011'!$B$7:$K$7</c:f>
              <c:numCache>
                <c:formatCode>General</c:formatCode>
                <c:ptCount val="10"/>
                <c:pt idx="0">
                  <c:v>33</c:v>
                </c:pt>
                <c:pt idx="2">
                  <c:v>94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44</c:v>
                </c:pt>
                <c:pt idx="9">
                  <c:v>35</c:v>
                </c:pt>
              </c:numCache>
            </c:numRef>
          </c:val>
        </c:ser>
        <c:ser>
          <c:idx val="4"/>
          <c:order val="4"/>
          <c:tx>
            <c:strRef>
              <c:f>'podiely 2011'!$A$8</c:f>
              <c:strCache>
                <c:ptCount val="1"/>
                <c:pt idx="0">
                  <c:v>15-19</c:v>
                </c:pt>
              </c:strCache>
            </c:strRef>
          </c:tx>
          <c:cat>
            <c:strRef>
              <c:f>'podiely 2011'!$B$3:$K$3</c:f>
              <c:strCache>
                <c:ptCount val="10"/>
                <c:pt idx="0">
                  <c:v>popálenie, obarenie</c:v>
                </c:pt>
                <c:pt idx="1">
                  <c:v>omrzliny</c:v>
                </c:pt>
                <c:pt idx="2">
                  <c:v>otravy liečivami, liekmi</c:v>
                </c:pt>
                <c:pt idx="3">
                  <c:v>týranie</c:v>
                </c:pt>
                <c:pt idx="4">
                  <c:v>iné vonkajšie príčiny</c:v>
                </c:pt>
                <c:pt idx="5">
                  <c:v>pády</c:v>
                </c:pt>
                <c:pt idx="6">
                  <c:v>topenie</c:v>
                </c:pt>
                <c:pt idx="7">
                  <c:v>udusenie, uškrtenie</c:v>
                </c:pt>
                <c:pt idx="8">
                  <c:v>otravy </c:v>
                </c:pt>
                <c:pt idx="9">
                  <c:v>úmyselné sebapoškodzovanie</c:v>
                </c:pt>
              </c:strCache>
            </c:strRef>
          </c:cat>
          <c:val>
            <c:numRef>
              <c:f>'podiely 2011'!$B$8:$K$8</c:f>
              <c:numCache>
                <c:formatCode>General</c:formatCode>
                <c:ptCount val="10"/>
                <c:pt idx="0">
                  <c:v>35</c:v>
                </c:pt>
                <c:pt idx="1">
                  <c:v>1</c:v>
                </c:pt>
                <c:pt idx="2">
                  <c:v>194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89</c:v>
                </c:pt>
                <c:pt idx="9">
                  <c:v>121</c:v>
                </c:pt>
              </c:numCache>
            </c:numRef>
          </c:val>
        </c:ser>
        <c:ser>
          <c:idx val="5"/>
          <c:order val="5"/>
          <c:tx>
            <c:strRef>
              <c:f>'podiely 2011'!$A$9</c:f>
              <c:strCache>
                <c:ptCount val="1"/>
                <c:pt idx="0">
                  <c:v>Celkový súčet</c:v>
                </c:pt>
              </c:strCache>
            </c:strRef>
          </c:tx>
          <c:cat>
            <c:strRef>
              <c:f>'podiely 2011'!$B$3:$K$3</c:f>
              <c:strCache>
                <c:ptCount val="10"/>
                <c:pt idx="0">
                  <c:v>popálenie, obarenie</c:v>
                </c:pt>
                <c:pt idx="1">
                  <c:v>omrzliny</c:v>
                </c:pt>
                <c:pt idx="2">
                  <c:v>otravy liečivami, liekmi</c:v>
                </c:pt>
                <c:pt idx="3">
                  <c:v>týranie</c:v>
                </c:pt>
                <c:pt idx="4">
                  <c:v>iné vonkajšie príčiny</c:v>
                </c:pt>
                <c:pt idx="5">
                  <c:v>pády</c:v>
                </c:pt>
                <c:pt idx="6">
                  <c:v>topenie</c:v>
                </c:pt>
                <c:pt idx="7">
                  <c:v>udusenie, uškrtenie</c:v>
                </c:pt>
                <c:pt idx="8">
                  <c:v>otravy </c:v>
                </c:pt>
                <c:pt idx="9">
                  <c:v>úmyselné sebapoškodzovanie</c:v>
                </c:pt>
              </c:strCache>
            </c:strRef>
          </c:cat>
          <c:val>
            <c:numRef>
              <c:f>'podiely 2011'!$B$9:$K$9</c:f>
              <c:numCache>
                <c:formatCode>General</c:formatCode>
                <c:ptCount val="10"/>
                <c:pt idx="0">
                  <c:v>464</c:v>
                </c:pt>
                <c:pt idx="1">
                  <c:v>1</c:v>
                </c:pt>
                <c:pt idx="2">
                  <c:v>573</c:v>
                </c:pt>
                <c:pt idx="3">
                  <c:v>4</c:v>
                </c:pt>
                <c:pt idx="4">
                  <c:v>7</c:v>
                </c:pt>
                <c:pt idx="5">
                  <c:v>25</c:v>
                </c:pt>
                <c:pt idx="6">
                  <c:v>13</c:v>
                </c:pt>
                <c:pt idx="7">
                  <c:v>21</c:v>
                </c:pt>
                <c:pt idx="8">
                  <c:v>350</c:v>
                </c:pt>
                <c:pt idx="9">
                  <c:v>162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chart>
    <c:autoTitleDeleted val="1"/>
    <c:plotArea>
      <c:layout/>
      <c:pieChart>
        <c:varyColors val="1"/>
        <c:ser>
          <c:idx val="0"/>
          <c:order val="0"/>
          <c:tx>
            <c:strRef>
              <c:f>'podiely 2012'!$A$6</c:f>
              <c:strCache>
                <c:ptCount val="1"/>
                <c:pt idx="0">
                  <c:v>0-1</c:v>
                </c:pt>
              </c:strCache>
            </c:strRef>
          </c:tx>
          <c:dLbls>
            <c:dLblPos val="bestFit"/>
            <c:showCatName val="1"/>
            <c:showPercent val="1"/>
            <c:showLeaderLines val="1"/>
          </c:dLbls>
          <c:cat>
            <c:strRef>
              <c:f>'podiely 2012'!$B$5:$L$5</c:f>
              <c:strCache>
                <c:ptCount val="11"/>
                <c:pt idx="0">
                  <c:v>popálenie</c:v>
                </c:pt>
                <c:pt idx="1">
                  <c:v>omrzliny</c:v>
                </c:pt>
                <c:pt idx="2">
                  <c:v>otrava liečivami, liekmi</c:v>
                </c:pt>
                <c:pt idx="3">
                  <c:v>zadusenie</c:v>
                </c:pt>
                <c:pt idx="4">
                  <c:v>týranie</c:v>
                </c:pt>
                <c:pt idx="5">
                  <c:v>iné vonkajšie príčiny</c:v>
                </c:pt>
                <c:pt idx="6">
                  <c:v> pády</c:v>
                </c:pt>
                <c:pt idx="7">
                  <c:v>utopenie</c:v>
                </c:pt>
                <c:pt idx="8">
                  <c:v>udusenie, uškrtenie</c:v>
                </c:pt>
                <c:pt idx="9">
                  <c:v>otravy</c:v>
                </c:pt>
                <c:pt idx="10">
                  <c:v>neúmyselné sebapoškodzovanie</c:v>
                </c:pt>
              </c:strCache>
            </c:strRef>
          </c:cat>
          <c:val>
            <c:numRef>
              <c:f>'podiely 2012'!$B$6:$L$6</c:f>
              <c:numCache>
                <c:formatCode>General</c:formatCode>
                <c:ptCount val="11"/>
                <c:pt idx="0">
                  <c:v>30</c:v>
                </c:pt>
                <c:pt idx="1">
                  <c:v>1</c:v>
                </c:pt>
                <c:pt idx="2">
                  <c:v>9</c:v>
                </c:pt>
                <c:pt idx="5">
                  <c:v>1</c:v>
                </c:pt>
                <c:pt idx="6">
                  <c:v>11</c:v>
                </c:pt>
                <c:pt idx="7">
                  <c:v>1</c:v>
                </c:pt>
                <c:pt idx="8">
                  <c:v>21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'podiely 2012'!$A$7</c:f>
              <c:strCache>
                <c:ptCount val="1"/>
                <c:pt idx="0">
                  <c:v>01-04</c:v>
                </c:pt>
              </c:strCache>
            </c:strRef>
          </c:tx>
          <c:cat>
            <c:strRef>
              <c:f>'podiely 2012'!$B$5:$L$5</c:f>
              <c:strCache>
                <c:ptCount val="11"/>
                <c:pt idx="0">
                  <c:v>popálenie</c:v>
                </c:pt>
                <c:pt idx="1">
                  <c:v>omrzliny</c:v>
                </c:pt>
                <c:pt idx="2">
                  <c:v>otrava liečivami, liekmi</c:v>
                </c:pt>
                <c:pt idx="3">
                  <c:v>zadusenie</c:v>
                </c:pt>
                <c:pt idx="4">
                  <c:v>týranie</c:v>
                </c:pt>
                <c:pt idx="5">
                  <c:v>iné vonkajšie príčiny</c:v>
                </c:pt>
                <c:pt idx="6">
                  <c:v> pády</c:v>
                </c:pt>
                <c:pt idx="7">
                  <c:v>utopenie</c:v>
                </c:pt>
                <c:pt idx="8">
                  <c:v>udusenie, uškrtenie</c:v>
                </c:pt>
                <c:pt idx="9">
                  <c:v>otravy</c:v>
                </c:pt>
                <c:pt idx="10">
                  <c:v>neúmyselné sebapoškodzovanie</c:v>
                </c:pt>
              </c:strCache>
            </c:strRef>
          </c:cat>
          <c:val>
            <c:numRef>
              <c:f>'podiely 2012'!$B$7:$L$7</c:f>
              <c:numCache>
                <c:formatCode>General</c:formatCode>
                <c:ptCount val="11"/>
                <c:pt idx="0">
                  <c:v>311</c:v>
                </c:pt>
                <c:pt idx="2">
                  <c:v>218</c:v>
                </c:pt>
                <c:pt idx="4">
                  <c:v>1</c:v>
                </c:pt>
                <c:pt idx="5">
                  <c:v>1</c:v>
                </c:pt>
                <c:pt idx="6">
                  <c:v>14</c:v>
                </c:pt>
                <c:pt idx="7">
                  <c:v>2</c:v>
                </c:pt>
                <c:pt idx="8">
                  <c:v>7</c:v>
                </c:pt>
                <c:pt idx="9">
                  <c:v>149</c:v>
                </c:pt>
              </c:numCache>
            </c:numRef>
          </c:val>
        </c:ser>
        <c:ser>
          <c:idx val="2"/>
          <c:order val="2"/>
          <c:tx>
            <c:strRef>
              <c:f>'podiely 2012'!$A$8</c:f>
              <c:strCache>
                <c:ptCount val="1"/>
                <c:pt idx="0">
                  <c:v>05-09</c:v>
                </c:pt>
              </c:strCache>
            </c:strRef>
          </c:tx>
          <c:cat>
            <c:strRef>
              <c:f>'podiely 2012'!$B$5:$L$5</c:f>
              <c:strCache>
                <c:ptCount val="11"/>
                <c:pt idx="0">
                  <c:v>popálenie</c:v>
                </c:pt>
                <c:pt idx="1">
                  <c:v>omrzliny</c:v>
                </c:pt>
                <c:pt idx="2">
                  <c:v>otrava liečivami, liekmi</c:v>
                </c:pt>
                <c:pt idx="3">
                  <c:v>zadusenie</c:v>
                </c:pt>
                <c:pt idx="4">
                  <c:v>týranie</c:v>
                </c:pt>
                <c:pt idx="5">
                  <c:v>iné vonkajšie príčiny</c:v>
                </c:pt>
                <c:pt idx="6">
                  <c:v> pády</c:v>
                </c:pt>
                <c:pt idx="7">
                  <c:v>utopenie</c:v>
                </c:pt>
                <c:pt idx="8">
                  <c:v>udusenie, uškrtenie</c:v>
                </c:pt>
                <c:pt idx="9">
                  <c:v>otravy</c:v>
                </c:pt>
                <c:pt idx="10">
                  <c:v>neúmyselné sebapoškodzovanie</c:v>
                </c:pt>
              </c:strCache>
            </c:strRef>
          </c:cat>
          <c:val>
            <c:numRef>
              <c:f>'podiely 2012'!$B$8:$L$8</c:f>
              <c:numCache>
                <c:formatCode>General</c:formatCode>
                <c:ptCount val="11"/>
                <c:pt idx="0">
                  <c:v>56</c:v>
                </c:pt>
                <c:pt idx="2">
                  <c:v>30</c:v>
                </c:pt>
                <c:pt idx="4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25</c:v>
                </c:pt>
                <c:pt idx="10">
                  <c:v>2</c:v>
                </c:pt>
              </c:numCache>
            </c:numRef>
          </c:val>
        </c:ser>
        <c:ser>
          <c:idx val="3"/>
          <c:order val="3"/>
          <c:tx>
            <c:strRef>
              <c:f>'podiely 2012'!$A$9</c:f>
              <c:strCache>
                <c:ptCount val="1"/>
                <c:pt idx="0">
                  <c:v>10-14</c:v>
                </c:pt>
              </c:strCache>
            </c:strRef>
          </c:tx>
          <c:cat>
            <c:strRef>
              <c:f>'podiely 2012'!$B$5:$L$5</c:f>
              <c:strCache>
                <c:ptCount val="11"/>
                <c:pt idx="0">
                  <c:v>popálenie</c:v>
                </c:pt>
                <c:pt idx="1">
                  <c:v>omrzliny</c:v>
                </c:pt>
                <c:pt idx="2">
                  <c:v>otrava liečivami, liekmi</c:v>
                </c:pt>
                <c:pt idx="3">
                  <c:v>zadusenie</c:v>
                </c:pt>
                <c:pt idx="4">
                  <c:v>týranie</c:v>
                </c:pt>
                <c:pt idx="5">
                  <c:v>iné vonkajšie príčiny</c:v>
                </c:pt>
                <c:pt idx="6">
                  <c:v> pády</c:v>
                </c:pt>
                <c:pt idx="7">
                  <c:v>utopenie</c:v>
                </c:pt>
                <c:pt idx="8">
                  <c:v>udusenie, uškrtenie</c:v>
                </c:pt>
                <c:pt idx="9">
                  <c:v>otravy</c:v>
                </c:pt>
                <c:pt idx="10">
                  <c:v>neúmyselné sebapoškodzovanie</c:v>
                </c:pt>
              </c:strCache>
            </c:strRef>
          </c:cat>
          <c:val>
            <c:numRef>
              <c:f>'podiely 2012'!$B$9:$L$9</c:f>
              <c:numCache>
                <c:formatCode>General</c:formatCode>
                <c:ptCount val="11"/>
                <c:pt idx="0">
                  <c:v>24</c:v>
                </c:pt>
                <c:pt idx="2">
                  <c:v>58</c:v>
                </c:pt>
                <c:pt idx="4">
                  <c:v>1</c:v>
                </c:pt>
                <c:pt idx="5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44</c:v>
                </c:pt>
                <c:pt idx="10">
                  <c:v>45</c:v>
                </c:pt>
              </c:numCache>
            </c:numRef>
          </c:val>
        </c:ser>
        <c:ser>
          <c:idx val="4"/>
          <c:order val="4"/>
          <c:tx>
            <c:strRef>
              <c:f>'podiely 2012'!$A$10</c:f>
              <c:strCache>
                <c:ptCount val="1"/>
                <c:pt idx="0">
                  <c:v>15-19</c:v>
                </c:pt>
              </c:strCache>
            </c:strRef>
          </c:tx>
          <c:cat>
            <c:strRef>
              <c:f>'podiely 2012'!$B$5:$L$5</c:f>
              <c:strCache>
                <c:ptCount val="11"/>
                <c:pt idx="0">
                  <c:v>popálenie</c:v>
                </c:pt>
                <c:pt idx="1">
                  <c:v>omrzliny</c:v>
                </c:pt>
                <c:pt idx="2">
                  <c:v>otrava liečivami, liekmi</c:v>
                </c:pt>
                <c:pt idx="3">
                  <c:v>zadusenie</c:v>
                </c:pt>
                <c:pt idx="4">
                  <c:v>týranie</c:v>
                </c:pt>
                <c:pt idx="5">
                  <c:v>iné vonkajšie príčiny</c:v>
                </c:pt>
                <c:pt idx="6">
                  <c:v> pády</c:v>
                </c:pt>
                <c:pt idx="7">
                  <c:v>utopenie</c:v>
                </c:pt>
                <c:pt idx="8">
                  <c:v>udusenie, uškrtenie</c:v>
                </c:pt>
                <c:pt idx="9">
                  <c:v>otravy</c:v>
                </c:pt>
                <c:pt idx="10">
                  <c:v>neúmyselné sebapoškodzovanie</c:v>
                </c:pt>
              </c:strCache>
            </c:strRef>
          </c:cat>
          <c:val>
            <c:numRef>
              <c:f>'podiely 2012'!$B$10:$L$10</c:f>
              <c:numCache>
                <c:formatCode>General</c:formatCode>
                <c:ptCount val="11"/>
                <c:pt idx="0">
                  <c:v>36</c:v>
                </c:pt>
                <c:pt idx="1">
                  <c:v>5</c:v>
                </c:pt>
                <c:pt idx="2">
                  <c:v>181</c:v>
                </c:pt>
                <c:pt idx="3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86</c:v>
                </c:pt>
                <c:pt idx="10">
                  <c:v>133</c:v>
                </c:pt>
              </c:numCache>
            </c:numRef>
          </c:val>
        </c:ser>
        <c:ser>
          <c:idx val="5"/>
          <c:order val="5"/>
          <c:tx>
            <c:strRef>
              <c:f>'podiely 2012'!$A$11</c:f>
              <c:strCache>
                <c:ptCount val="1"/>
                <c:pt idx="0">
                  <c:v>Celkový súčet</c:v>
                </c:pt>
              </c:strCache>
            </c:strRef>
          </c:tx>
          <c:cat>
            <c:strRef>
              <c:f>'podiely 2012'!$B$5:$L$5</c:f>
              <c:strCache>
                <c:ptCount val="11"/>
                <c:pt idx="0">
                  <c:v>popálenie</c:v>
                </c:pt>
                <c:pt idx="1">
                  <c:v>omrzliny</c:v>
                </c:pt>
                <c:pt idx="2">
                  <c:v>otrava liečivami, liekmi</c:v>
                </c:pt>
                <c:pt idx="3">
                  <c:v>zadusenie</c:v>
                </c:pt>
                <c:pt idx="4">
                  <c:v>týranie</c:v>
                </c:pt>
                <c:pt idx="5">
                  <c:v>iné vonkajšie príčiny</c:v>
                </c:pt>
                <c:pt idx="6">
                  <c:v> pády</c:v>
                </c:pt>
                <c:pt idx="7">
                  <c:v>utopenie</c:v>
                </c:pt>
                <c:pt idx="8">
                  <c:v>udusenie, uškrtenie</c:v>
                </c:pt>
                <c:pt idx="9">
                  <c:v>otravy</c:v>
                </c:pt>
                <c:pt idx="10">
                  <c:v>neúmyselné sebapoškodzovanie</c:v>
                </c:pt>
              </c:strCache>
            </c:strRef>
          </c:cat>
          <c:val>
            <c:numRef>
              <c:f>'podiely 2012'!$B$11:$L$11</c:f>
              <c:numCache>
                <c:formatCode>General</c:formatCode>
                <c:ptCount val="11"/>
                <c:pt idx="0">
                  <c:v>457</c:v>
                </c:pt>
                <c:pt idx="1">
                  <c:v>6</c:v>
                </c:pt>
                <c:pt idx="2">
                  <c:v>496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  <c:pt idx="6">
                  <c:v>28</c:v>
                </c:pt>
                <c:pt idx="7">
                  <c:v>6</c:v>
                </c:pt>
                <c:pt idx="8">
                  <c:v>31</c:v>
                </c:pt>
                <c:pt idx="9">
                  <c:v>314</c:v>
                </c:pt>
                <c:pt idx="10">
                  <c:v>180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0.8125</cdr:x>
      <cdr:y>0.31395</cdr:y>
    </cdr:from>
    <cdr:to>
      <cdr:x>1</cdr:x>
      <cdr:y>0.54845</cdr:y>
    </cdr:to>
    <cdr:sp macro="" textlink="">
      <cdr:nvSpPr>
        <cdr:cNvPr id="2" name="BlokTextu 1"/>
        <cdr:cNvSpPr txBox="1"/>
      </cdr:nvSpPr>
      <cdr:spPr>
        <a:xfrm xmlns:a="http://schemas.openxmlformats.org/drawingml/2006/main">
          <a:off x="3714750" y="1543052"/>
          <a:ext cx="857249" cy="1152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sk-SK" sz="1100"/>
        </a:p>
      </cdr:txBody>
    </cdr:sp>
  </cdr:relSizeAnchor>
</c:userShape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518E-0DD4-411B-8726-FA33A3F4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UVZ SR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Halzlová, MPH</dc:creator>
  <cp:keywords/>
  <dc:description/>
  <cp:lastModifiedBy>Ing. Katarína Halzlová, MPH</cp:lastModifiedBy>
  <cp:revision>2</cp:revision>
  <cp:lastPrinted>2013-09-30T10:42:00Z</cp:lastPrinted>
  <dcterms:created xsi:type="dcterms:W3CDTF">2013-11-12T10:42:00Z</dcterms:created>
  <dcterms:modified xsi:type="dcterms:W3CDTF">2013-11-12T10:42:00Z</dcterms:modified>
</cp:coreProperties>
</file>