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E4" w:rsidRPr="0035027D" w:rsidRDefault="001B60E4" w:rsidP="00561F4D">
      <w:pPr>
        <w:spacing w:after="0"/>
        <w:jc w:val="center"/>
      </w:pPr>
      <w:bookmarkStart w:id="0" w:name="_Toc101941780"/>
    </w:p>
    <w:p w:rsidR="001B60E4" w:rsidRPr="0035027D" w:rsidRDefault="001B60E4" w:rsidP="00561F4D">
      <w:pPr>
        <w:spacing w:after="0"/>
        <w:jc w:val="center"/>
      </w:pPr>
    </w:p>
    <w:p w:rsidR="001B60E4" w:rsidRPr="0035027D" w:rsidRDefault="001B60E4" w:rsidP="00561F4D">
      <w:pPr>
        <w:spacing w:after="0"/>
        <w:jc w:val="center"/>
      </w:pPr>
    </w:p>
    <w:p w:rsidR="001D64D0" w:rsidRPr="0035027D" w:rsidRDefault="001D64D0" w:rsidP="00561F4D">
      <w:pPr>
        <w:spacing w:after="0"/>
        <w:jc w:val="center"/>
      </w:pPr>
    </w:p>
    <w:p w:rsidR="001B60E4" w:rsidRPr="0035027D" w:rsidRDefault="001B60E4" w:rsidP="00561F4D">
      <w:pPr>
        <w:spacing w:after="0"/>
        <w:jc w:val="center"/>
      </w:pPr>
    </w:p>
    <w:p w:rsidR="001D64D0" w:rsidRPr="0035027D" w:rsidRDefault="001D64D0" w:rsidP="00561F4D">
      <w:pPr>
        <w:spacing w:after="0"/>
      </w:pPr>
    </w:p>
    <w:p w:rsidR="001D64D0" w:rsidRPr="0035027D" w:rsidRDefault="001D64D0" w:rsidP="00561F4D">
      <w:pPr>
        <w:spacing w:after="0"/>
      </w:pPr>
    </w:p>
    <w:p w:rsidR="003B2430" w:rsidRPr="0035027D" w:rsidRDefault="00336CD0" w:rsidP="00561F4D">
      <w:pPr>
        <w:spacing w:after="0"/>
        <w:jc w:val="center"/>
      </w:pPr>
      <w:r w:rsidRPr="0035027D">
        <w:rPr>
          <w:noProof/>
        </w:rPr>
        <w:drawing>
          <wp:inline distT="0" distB="0" distL="0" distR="0" wp14:anchorId="3BECC1BA" wp14:editId="04D0D13E">
            <wp:extent cx="876300" cy="1057275"/>
            <wp:effectExtent l="19050" t="0" r="0" b="0"/>
            <wp:docPr id="1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0"/>
                    <a:srcRect/>
                    <a:stretch>
                      <a:fillRect/>
                    </a:stretch>
                  </pic:blipFill>
                  <pic:spPr bwMode="auto">
                    <a:xfrm>
                      <a:off x="0" y="0"/>
                      <a:ext cx="876300" cy="1057275"/>
                    </a:xfrm>
                    <a:prstGeom prst="rect">
                      <a:avLst/>
                    </a:prstGeom>
                    <a:noFill/>
                    <a:ln w="9525">
                      <a:noFill/>
                      <a:miter lim="800000"/>
                      <a:headEnd/>
                      <a:tailEnd/>
                    </a:ln>
                  </pic:spPr>
                </pic:pic>
              </a:graphicData>
            </a:graphic>
          </wp:inline>
        </w:drawing>
      </w:r>
    </w:p>
    <w:p w:rsidR="003B2430" w:rsidRPr="0035027D" w:rsidRDefault="003B2430" w:rsidP="00561F4D">
      <w:pPr>
        <w:spacing w:after="0"/>
      </w:pPr>
    </w:p>
    <w:p w:rsidR="003B2430" w:rsidRPr="0035027D" w:rsidRDefault="003B2430" w:rsidP="00561F4D">
      <w:pPr>
        <w:spacing w:after="0"/>
      </w:pPr>
    </w:p>
    <w:p w:rsidR="003B2430" w:rsidRPr="0035027D" w:rsidRDefault="003B2430" w:rsidP="00561F4D">
      <w:pPr>
        <w:spacing w:after="0"/>
      </w:pPr>
    </w:p>
    <w:p w:rsidR="00240B9A" w:rsidRPr="0035027D" w:rsidRDefault="00240B9A" w:rsidP="00561F4D">
      <w:pPr>
        <w:spacing w:after="0"/>
        <w:jc w:val="center"/>
        <w:rPr>
          <w:b/>
          <w:bCs/>
          <w:sz w:val="56"/>
          <w:szCs w:val="56"/>
        </w:rPr>
      </w:pPr>
    </w:p>
    <w:p w:rsidR="00240B9A" w:rsidRPr="0035027D" w:rsidRDefault="00240B9A" w:rsidP="00561F4D">
      <w:pPr>
        <w:spacing w:after="0"/>
        <w:jc w:val="center"/>
        <w:rPr>
          <w:b/>
          <w:bCs/>
          <w:sz w:val="56"/>
          <w:szCs w:val="56"/>
        </w:rPr>
      </w:pPr>
    </w:p>
    <w:p w:rsidR="00E32D53" w:rsidRPr="0035027D" w:rsidRDefault="00CE5527" w:rsidP="00561F4D">
      <w:pPr>
        <w:spacing w:after="0"/>
        <w:jc w:val="center"/>
        <w:rPr>
          <w:b/>
          <w:bCs/>
          <w:sz w:val="56"/>
          <w:szCs w:val="56"/>
        </w:rPr>
      </w:pPr>
      <w:r w:rsidRPr="0035027D">
        <w:rPr>
          <w:b/>
          <w:bCs/>
          <w:sz w:val="56"/>
          <w:szCs w:val="56"/>
        </w:rPr>
        <w:t>Národný program reforiem</w:t>
      </w:r>
      <w:r w:rsidR="00EA7FEC" w:rsidRPr="0035027D">
        <w:rPr>
          <w:b/>
          <w:bCs/>
          <w:sz w:val="56"/>
          <w:szCs w:val="56"/>
        </w:rPr>
        <w:t xml:space="preserve"> </w:t>
      </w:r>
    </w:p>
    <w:p w:rsidR="00EE62BF" w:rsidRPr="0035027D" w:rsidRDefault="00E32D53" w:rsidP="00561F4D">
      <w:pPr>
        <w:spacing w:after="0"/>
        <w:jc w:val="center"/>
        <w:rPr>
          <w:b/>
          <w:bCs/>
          <w:sz w:val="56"/>
          <w:szCs w:val="56"/>
        </w:rPr>
      </w:pPr>
      <w:r w:rsidRPr="0035027D">
        <w:rPr>
          <w:b/>
          <w:bCs/>
          <w:sz w:val="56"/>
          <w:szCs w:val="56"/>
        </w:rPr>
        <w:t>Slovenskej republiky</w:t>
      </w:r>
      <w:r w:rsidR="00EA7FEC" w:rsidRPr="0035027D">
        <w:rPr>
          <w:b/>
          <w:bCs/>
          <w:sz w:val="56"/>
          <w:szCs w:val="56"/>
        </w:rPr>
        <w:t xml:space="preserve"> </w:t>
      </w:r>
      <w:r w:rsidR="00CE5527" w:rsidRPr="0035027D">
        <w:rPr>
          <w:b/>
          <w:bCs/>
          <w:sz w:val="56"/>
          <w:szCs w:val="56"/>
        </w:rPr>
        <w:t>201</w:t>
      </w:r>
      <w:r w:rsidR="004141E2" w:rsidRPr="0035027D">
        <w:rPr>
          <w:b/>
          <w:bCs/>
          <w:sz w:val="56"/>
          <w:szCs w:val="56"/>
        </w:rPr>
        <w:t>3</w:t>
      </w:r>
    </w:p>
    <w:p w:rsidR="0084183F" w:rsidRPr="0035027D" w:rsidRDefault="0084183F" w:rsidP="00561F4D">
      <w:pPr>
        <w:spacing w:after="0"/>
        <w:jc w:val="center"/>
        <w:rPr>
          <w:b/>
          <w:bCs/>
          <w:i/>
          <w:sz w:val="20"/>
          <w:szCs w:val="20"/>
        </w:rPr>
      </w:pPr>
    </w:p>
    <w:p w:rsidR="00F27DE1" w:rsidRPr="0035027D" w:rsidRDefault="00F27DE1" w:rsidP="00561F4D">
      <w:pPr>
        <w:spacing w:after="0"/>
        <w:jc w:val="center"/>
        <w:rPr>
          <w:b/>
          <w:bCs/>
          <w:sz w:val="32"/>
          <w:szCs w:val="32"/>
        </w:rPr>
      </w:pPr>
    </w:p>
    <w:p w:rsidR="00F27DE1" w:rsidRPr="0035027D" w:rsidRDefault="00F27DE1" w:rsidP="00561F4D">
      <w:pPr>
        <w:spacing w:after="0"/>
        <w:jc w:val="center"/>
        <w:rPr>
          <w:b/>
          <w:bCs/>
          <w:sz w:val="32"/>
          <w:szCs w:val="32"/>
        </w:rPr>
      </w:pPr>
    </w:p>
    <w:p w:rsidR="00F27DE1" w:rsidRPr="0035027D" w:rsidRDefault="00F27DE1" w:rsidP="00561F4D">
      <w:pPr>
        <w:spacing w:after="0"/>
        <w:jc w:val="center"/>
        <w:rPr>
          <w:b/>
          <w:bCs/>
          <w:sz w:val="32"/>
          <w:szCs w:val="32"/>
        </w:rPr>
      </w:pPr>
    </w:p>
    <w:p w:rsidR="00F27DE1" w:rsidRPr="0035027D" w:rsidRDefault="00F27DE1" w:rsidP="00561F4D">
      <w:pPr>
        <w:spacing w:after="0"/>
        <w:jc w:val="center"/>
        <w:rPr>
          <w:b/>
          <w:bCs/>
          <w:sz w:val="32"/>
          <w:szCs w:val="32"/>
        </w:rPr>
      </w:pPr>
    </w:p>
    <w:p w:rsidR="00F27DE1" w:rsidRPr="0035027D" w:rsidRDefault="00F27DE1" w:rsidP="00561F4D">
      <w:pPr>
        <w:spacing w:after="0"/>
        <w:jc w:val="center"/>
        <w:rPr>
          <w:b/>
          <w:bCs/>
          <w:sz w:val="32"/>
          <w:szCs w:val="32"/>
        </w:rPr>
      </w:pPr>
    </w:p>
    <w:p w:rsidR="00F27DE1" w:rsidRPr="0035027D" w:rsidRDefault="00F27DE1" w:rsidP="00561F4D">
      <w:pPr>
        <w:spacing w:after="0"/>
        <w:jc w:val="center"/>
        <w:rPr>
          <w:b/>
          <w:bCs/>
          <w:sz w:val="32"/>
          <w:szCs w:val="32"/>
        </w:rPr>
      </w:pPr>
    </w:p>
    <w:p w:rsidR="00F27DE1" w:rsidRPr="0035027D" w:rsidRDefault="00F27DE1" w:rsidP="00561F4D">
      <w:pPr>
        <w:spacing w:after="0"/>
        <w:jc w:val="center"/>
        <w:rPr>
          <w:b/>
          <w:bCs/>
          <w:sz w:val="32"/>
          <w:szCs w:val="32"/>
        </w:rPr>
      </w:pPr>
    </w:p>
    <w:p w:rsidR="00F27DE1" w:rsidRPr="0035027D" w:rsidRDefault="00F27DE1" w:rsidP="00561F4D">
      <w:pPr>
        <w:spacing w:after="0"/>
        <w:jc w:val="center"/>
        <w:rPr>
          <w:b/>
          <w:bCs/>
          <w:sz w:val="32"/>
          <w:szCs w:val="32"/>
        </w:rPr>
      </w:pPr>
    </w:p>
    <w:p w:rsidR="00F27DE1" w:rsidRPr="0035027D" w:rsidRDefault="00F27DE1" w:rsidP="00561F4D">
      <w:pPr>
        <w:spacing w:after="0"/>
        <w:jc w:val="center"/>
        <w:rPr>
          <w:b/>
          <w:bCs/>
          <w:sz w:val="32"/>
          <w:szCs w:val="32"/>
        </w:rPr>
      </w:pPr>
    </w:p>
    <w:p w:rsidR="00F27DE1" w:rsidRPr="0035027D" w:rsidRDefault="00F27DE1" w:rsidP="00561F4D">
      <w:pPr>
        <w:spacing w:after="0"/>
        <w:jc w:val="center"/>
        <w:rPr>
          <w:b/>
          <w:bCs/>
          <w:sz w:val="32"/>
          <w:szCs w:val="32"/>
        </w:rPr>
      </w:pPr>
    </w:p>
    <w:p w:rsidR="00F27DE1" w:rsidRPr="0035027D" w:rsidRDefault="00F27DE1" w:rsidP="00561F4D">
      <w:pPr>
        <w:spacing w:after="0"/>
        <w:jc w:val="center"/>
        <w:rPr>
          <w:b/>
          <w:bCs/>
          <w:sz w:val="32"/>
          <w:szCs w:val="32"/>
        </w:rPr>
      </w:pPr>
    </w:p>
    <w:p w:rsidR="00F27DE1" w:rsidRPr="0035027D" w:rsidRDefault="00F27DE1" w:rsidP="00561F4D">
      <w:pPr>
        <w:spacing w:after="0"/>
        <w:jc w:val="center"/>
        <w:rPr>
          <w:b/>
          <w:bCs/>
          <w:sz w:val="32"/>
          <w:szCs w:val="32"/>
        </w:rPr>
      </w:pPr>
    </w:p>
    <w:p w:rsidR="0084183F" w:rsidRPr="0035027D" w:rsidRDefault="0084183F" w:rsidP="00561F4D">
      <w:pPr>
        <w:spacing w:after="0"/>
        <w:jc w:val="center"/>
        <w:rPr>
          <w:b/>
          <w:bCs/>
          <w:sz w:val="32"/>
          <w:szCs w:val="32"/>
        </w:rPr>
      </w:pPr>
    </w:p>
    <w:p w:rsidR="0084183F" w:rsidRPr="0035027D" w:rsidRDefault="0084183F" w:rsidP="00561F4D">
      <w:pPr>
        <w:spacing w:after="0"/>
        <w:jc w:val="center"/>
        <w:rPr>
          <w:b/>
          <w:bCs/>
          <w:sz w:val="32"/>
          <w:szCs w:val="32"/>
        </w:rPr>
      </w:pPr>
    </w:p>
    <w:p w:rsidR="00FC0913" w:rsidRPr="0035027D" w:rsidRDefault="00FC0913" w:rsidP="00561F4D">
      <w:pPr>
        <w:spacing w:after="0"/>
        <w:jc w:val="center"/>
        <w:rPr>
          <w:b/>
          <w:bCs/>
          <w:sz w:val="28"/>
          <w:szCs w:val="28"/>
        </w:rPr>
      </w:pPr>
    </w:p>
    <w:p w:rsidR="00F27DE1" w:rsidRPr="0035027D" w:rsidRDefault="00EA7FEC" w:rsidP="00561F4D">
      <w:pPr>
        <w:spacing w:after="0"/>
        <w:jc w:val="center"/>
        <w:rPr>
          <w:b/>
          <w:bCs/>
          <w:sz w:val="20"/>
          <w:szCs w:val="20"/>
        </w:rPr>
      </w:pPr>
      <w:r w:rsidRPr="0035027D">
        <w:rPr>
          <w:b/>
          <w:bCs/>
          <w:sz w:val="28"/>
          <w:szCs w:val="28"/>
        </w:rPr>
        <w:t>apríl</w:t>
      </w:r>
      <w:r w:rsidR="0064347A" w:rsidRPr="0035027D">
        <w:rPr>
          <w:b/>
          <w:bCs/>
          <w:sz w:val="28"/>
          <w:szCs w:val="28"/>
        </w:rPr>
        <w:t xml:space="preserve"> 201</w:t>
      </w:r>
      <w:r w:rsidR="004141E2" w:rsidRPr="0035027D">
        <w:rPr>
          <w:b/>
          <w:bCs/>
          <w:sz w:val="28"/>
          <w:szCs w:val="28"/>
        </w:rPr>
        <w:t>3</w:t>
      </w:r>
    </w:p>
    <w:p w:rsidR="007D56EA" w:rsidRPr="0035027D" w:rsidRDefault="007D56EA" w:rsidP="00561F4D">
      <w:pPr>
        <w:spacing w:after="0"/>
        <w:jc w:val="center"/>
        <w:rPr>
          <w:b/>
          <w:bCs/>
          <w:sz w:val="16"/>
          <w:szCs w:val="16"/>
        </w:rPr>
        <w:sectPr w:rsidR="007D56EA" w:rsidRPr="0035027D" w:rsidSect="006D6AF5">
          <w:headerReference w:type="default" r:id="rId11"/>
          <w:footerReference w:type="default" r:id="rId12"/>
          <w:footerReference w:type="first" r:id="rId13"/>
          <w:pgSz w:w="11906" w:h="16838" w:code="9"/>
          <w:pgMar w:top="1701" w:right="0" w:bottom="1418" w:left="0" w:header="0" w:footer="709" w:gutter="0"/>
          <w:pgNumType w:start="1"/>
          <w:cols w:space="708"/>
          <w:titlePg/>
          <w:docGrid w:linePitch="360"/>
        </w:sectPr>
      </w:pPr>
    </w:p>
    <w:p w:rsidR="00D833B7" w:rsidRPr="0035027D" w:rsidRDefault="00D833B7" w:rsidP="00561F4D">
      <w:pPr>
        <w:spacing w:after="0"/>
        <w:rPr>
          <w:b/>
          <w:bCs/>
          <w:sz w:val="32"/>
          <w:szCs w:val="32"/>
        </w:rPr>
      </w:pPr>
      <w:bookmarkStart w:id="1" w:name="_Ref88912186"/>
      <w:bookmarkStart w:id="2" w:name="_Toc88962424"/>
      <w:bookmarkStart w:id="3" w:name="_Toc101941779"/>
      <w:bookmarkStart w:id="4" w:name="_Toc110332596"/>
      <w:bookmarkStart w:id="5" w:name="_Toc110333659"/>
      <w:bookmarkStart w:id="6" w:name="_Toc96245659"/>
      <w:r w:rsidRPr="0035027D">
        <w:rPr>
          <w:b/>
          <w:bCs/>
          <w:sz w:val="32"/>
          <w:szCs w:val="32"/>
        </w:rPr>
        <w:lastRenderedPageBreak/>
        <w:t>Obsah</w:t>
      </w:r>
    </w:p>
    <w:p w:rsidR="00D833B7" w:rsidRPr="0035027D" w:rsidRDefault="00D833B7" w:rsidP="00561F4D">
      <w:pPr>
        <w:spacing w:after="0"/>
      </w:pPr>
    </w:p>
    <w:p w:rsidR="002015E9" w:rsidRPr="0035027D" w:rsidRDefault="002015E9" w:rsidP="008E7AA6">
      <w:pPr>
        <w:spacing w:after="0"/>
      </w:pPr>
    </w:p>
    <w:p w:rsidR="00D1646E" w:rsidRPr="0035027D" w:rsidRDefault="0068444F">
      <w:pPr>
        <w:pStyle w:val="Obsah1"/>
        <w:tabs>
          <w:tab w:val="left" w:pos="440"/>
          <w:tab w:val="right" w:leader="dot" w:pos="9060"/>
        </w:tabs>
        <w:rPr>
          <w:rFonts w:ascii="Arial Narrow" w:eastAsiaTheme="minorEastAsia" w:hAnsi="Arial Narrow" w:cstheme="minorBidi"/>
          <w:b w:val="0"/>
          <w:bCs w:val="0"/>
          <w:noProof/>
          <w:sz w:val="22"/>
          <w:szCs w:val="22"/>
        </w:rPr>
      </w:pPr>
      <w:r w:rsidRPr="0035027D">
        <w:rPr>
          <w:rFonts w:ascii="Arial Narrow" w:hAnsi="Arial Narrow"/>
          <w:noProof/>
          <w:sz w:val="22"/>
          <w:szCs w:val="22"/>
        </w:rPr>
        <w:fldChar w:fldCharType="begin"/>
      </w:r>
      <w:r w:rsidR="00406FDA" w:rsidRPr="0035027D">
        <w:rPr>
          <w:rFonts w:ascii="Arial Narrow" w:hAnsi="Arial Narrow"/>
          <w:noProof/>
          <w:sz w:val="22"/>
          <w:szCs w:val="22"/>
        </w:rPr>
        <w:instrText xml:space="preserve"> TOC \o "1-4" \h \z \u </w:instrText>
      </w:r>
      <w:r w:rsidRPr="0035027D">
        <w:rPr>
          <w:rFonts w:ascii="Arial Narrow" w:hAnsi="Arial Narrow"/>
          <w:noProof/>
          <w:sz w:val="22"/>
          <w:szCs w:val="22"/>
        </w:rPr>
        <w:fldChar w:fldCharType="separate"/>
      </w:r>
      <w:hyperlink w:anchor="_Toc353563370" w:history="1">
        <w:r w:rsidR="00D1646E" w:rsidRPr="0035027D">
          <w:rPr>
            <w:rStyle w:val="Hypertextovprepojenie"/>
            <w:rFonts w:ascii="Arial Narrow" w:hAnsi="Arial Narrow"/>
            <w:noProof/>
          </w:rPr>
          <w:t>1</w:t>
        </w:r>
        <w:r w:rsidR="00D1646E" w:rsidRPr="0035027D">
          <w:rPr>
            <w:rFonts w:ascii="Arial Narrow" w:eastAsiaTheme="minorEastAsia" w:hAnsi="Arial Narrow" w:cstheme="minorBidi"/>
            <w:b w:val="0"/>
            <w:bCs w:val="0"/>
            <w:noProof/>
            <w:sz w:val="22"/>
            <w:szCs w:val="22"/>
          </w:rPr>
          <w:tab/>
        </w:r>
        <w:r w:rsidR="00D1646E" w:rsidRPr="0035027D">
          <w:rPr>
            <w:rStyle w:val="Hypertextovprepojenie"/>
            <w:rFonts w:ascii="Arial Narrow" w:hAnsi="Arial Narrow"/>
            <w:noProof/>
          </w:rPr>
          <w:t>Priority Národného programu reforiem SR</w:t>
        </w:r>
        <w:r w:rsidR="00D1646E" w:rsidRPr="0035027D">
          <w:rPr>
            <w:rFonts w:ascii="Arial Narrow" w:hAnsi="Arial Narrow"/>
            <w:noProof/>
            <w:webHidden/>
          </w:rPr>
          <w:tab/>
        </w:r>
        <w:r w:rsidR="00D1646E" w:rsidRPr="0035027D">
          <w:rPr>
            <w:rFonts w:ascii="Arial Narrow" w:hAnsi="Arial Narrow"/>
            <w:noProof/>
            <w:webHidden/>
          </w:rPr>
          <w:fldChar w:fldCharType="begin"/>
        </w:r>
        <w:r w:rsidR="00D1646E" w:rsidRPr="0035027D">
          <w:rPr>
            <w:rFonts w:ascii="Arial Narrow" w:hAnsi="Arial Narrow"/>
            <w:noProof/>
            <w:webHidden/>
          </w:rPr>
          <w:instrText xml:space="preserve"> PAGEREF _Toc353563370 \h </w:instrText>
        </w:r>
        <w:r w:rsidR="00D1646E" w:rsidRPr="0035027D">
          <w:rPr>
            <w:rFonts w:ascii="Arial Narrow" w:hAnsi="Arial Narrow"/>
            <w:noProof/>
            <w:webHidden/>
          </w:rPr>
        </w:r>
        <w:r w:rsidR="00D1646E" w:rsidRPr="0035027D">
          <w:rPr>
            <w:rFonts w:ascii="Arial Narrow" w:hAnsi="Arial Narrow"/>
            <w:noProof/>
            <w:webHidden/>
          </w:rPr>
          <w:fldChar w:fldCharType="separate"/>
        </w:r>
        <w:r w:rsidR="007848E4" w:rsidRPr="0035027D">
          <w:rPr>
            <w:rFonts w:ascii="Arial Narrow" w:hAnsi="Arial Narrow"/>
            <w:noProof/>
            <w:webHidden/>
          </w:rPr>
          <w:t>6</w:t>
        </w:r>
        <w:r w:rsidR="00D1646E" w:rsidRPr="0035027D">
          <w:rPr>
            <w:rFonts w:ascii="Arial Narrow" w:hAnsi="Arial Narrow"/>
            <w:noProof/>
            <w:webHidden/>
          </w:rPr>
          <w:fldChar w:fldCharType="end"/>
        </w:r>
      </w:hyperlink>
    </w:p>
    <w:p w:rsidR="00D1646E" w:rsidRPr="0035027D" w:rsidRDefault="00B45609">
      <w:pPr>
        <w:pStyle w:val="Obsah1"/>
        <w:tabs>
          <w:tab w:val="left" w:pos="440"/>
          <w:tab w:val="right" w:leader="dot" w:pos="9060"/>
        </w:tabs>
        <w:rPr>
          <w:rFonts w:ascii="Arial Narrow" w:eastAsiaTheme="minorEastAsia" w:hAnsi="Arial Narrow" w:cstheme="minorBidi"/>
          <w:b w:val="0"/>
          <w:bCs w:val="0"/>
          <w:noProof/>
          <w:sz w:val="22"/>
          <w:szCs w:val="22"/>
        </w:rPr>
      </w:pPr>
      <w:hyperlink w:anchor="_Toc353563371" w:history="1">
        <w:r w:rsidR="00D1646E" w:rsidRPr="0035027D">
          <w:rPr>
            <w:rStyle w:val="Hypertextovprepojenie"/>
            <w:rFonts w:ascii="Arial Narrow" w:hAnsi="Arial Narrow"/>
            <w:noProof/>
          </w:rPr>
          <w:t>2</w:t>
        </w:r>
        <w:r w:rsidR="00D1646E" w:rsidRPr="0035027D">
          <w:rPr>
            <w:rFonts w:ascii="Arial Narrow" w:eastAsiaTheme="minorEastAsia" w:hAnsi="Arial Narrow" w:cstheme="minorBidi"/>
            <w:b w:val="0"/>
            <w:bCs w:val="0"/>
            <w:noProof/>
            <w:sz w:val="22"/>
            <w:szCs w:val="22"/>
          </w:rPr>
          <w:tab/>
        </w:r>
        <w:r w:rsidR="00D1646E" w:rsidRPr="0035027D">
          <w:rPr>
            <w:rStyle w:val="Hypertextovprepojenie"/>
            <w:rFonts w:ascii="Arial Narrow" w:hAnsi="Arial Narrow"/>
            <w:noProof/>
          </w:rPr>
          <w:t>Plnenie opatrení Národného programu reforiem 2012</w:t>
        </w:r>
        <w:r w:rsidR="00D1646E" w:rsidRPr="0035027D">
          <w:rPr>
            <w:rFonts w:ascii="Arial Narrow" w:hAnsi="Arial Narrow"/>
            <w:noProof/>
            <w:webHidden/>
          </w:rPr>
          <w:tab/>
        </w:r>
        <w:r w:rsidR="00D1646E" w:rsidRPr="0035027D">
          <w:rPr>
            <w:rFonts w:ascii="Arial Narrow" w:hAnsi="Arial Narrow"/>
            <w:noProof/>
            <w:webHidden/>
          </w:rPr>
          <w:fldChar w:fldCharType="begin"/>
        </w:r>
        <w:r w:rsidR="00D1646E" w:rsidRPr="0035027D">
          <w:rPr>
            <w:rFonts w:ascii="Arial Narrow" w:hAnsi="Arial Narrow"/>
            <w:noProof/>
            <w:webHidden/>
          </w:rPr>
          <w:instrText xml:space="preserve"> PAGEREF _Toc353563371 \h </w:instrText>
        </w:r>
        <w:r w:rsidR="00D1646E" w:rsidRPr="0035027D">
          <w:rPr>
            <w:rFonts w:ascii="Arial Narrow" w:hAnsi="Arial Narrow"/>
            <w:noProof/>
            <w:webHidden/>
          </w:rPr>
        </w:r>
        <w:r w:rsidR="00D1646E" w:rsidRPr="0035027D">
          <w:rPr>
            <w:rFonts w:ascii="Arial Narrow" w:hAnsi="Arial Narrow"/>
            <w:noProof/>
            <w:webHidden/>
          </w:rPr>
          <w:fldChar w:fldCharType="separate"/>
        </w:r>
        <w:r w:rsidR="007848E4" w:rsidRPr="0035027D">
          <w:rPr>
            <w:rFonts w:ascii="Arial Narrow" w:hAnsi="Arial Narrow"/>
            <w:noProof/>
            <w:webHidden/>
          </w:rPr>
          <w:t>10</w:t>
        </w:r>
        <w:r w:rsidR="00D1646E" w:rsidRPr="0035027D">
          <w:rPr>
            <w:rFonts w:ascii="Arial Narrow" w:hAnsi="Arial Narrow"/>
            <w:noProof/>
            <w:webHidden/>
          </w:rPr>
          <w:fldChar w:fldCharType="end"/>
        </w:r>
      </w:hyperlink>
    </w:p>
    <w:p w:rsidR="00D1646E" w:rsidRPr="0035027D" w:rsidRDefault="00B45609">
      <w:pPr>
        <w:pStyle w:val="Obsah3"/>
        <w:tabs>
          <w:tab w:val="left" w:pos="1100"/>
          <w:tab w:val="right" w:leader="dot" w:pos="9060"/>
        </w:tabs>
        <w:rPr>
          <w:rFonts w:ascii="Arial Narrow" w:eastAsiaTheme="minorEastAsia" w:hAnsi="Arial Narrow" w:cstheme="minorBidi"/>
          <w:noProof/>
          <w:sz w:val="22"/>
          <w:szCs w:val="22"/>
        </w:rPr>
      </w:pPr>
      <w:hyperlink w:anchor="_Toc353563372" w:history="1">
        <w:r w:rsidR="00D1646E" w:rsidRPr="0035027D">
          <w:rPr>
            <w:rStyle w:val="Hypertextovprepojenie"/>
            <w:rFonts w:ascii="Arial Narrow" w:hAnsi="Arial Narrow"/>
            <w:noProof/>
          </w:rPr>
          <w:t>2.1</w:t>
        </w:r>
        <w:r w:rsidR="00D1646E" w:rsidRPr="0035027D">
          <w:rPr>
            <w:rFonts w:ascii="Arial Narrow" w:eastAsiaTheme="minorEastAsia" w:hAnsi="Arial Narrow" w:cstheme="minorBidi"/>
            <w:noProof/>
            <w:sz w:val="22"/>
            <w:szCs w:val="22"/>
          </w:rPr>
          <w:tab/>
        </w:r>
        <w:r w:rsidR="00D1646E" w:rsidRPr="0035027D">
          <w:rPr>
            <w:rStyle w:val="Hypertextovprepojenie"/>
            <w:rFonts w:ascii="Arial Narrow" w:hAnsi="Arial Narrow"/>
            <w:noProof/>
          </w:rPr>
          <w:t>Hodnotenie plnenia opatrení podľa jednotlivých špecifických odporúčaní</w:t>
        </w:r>
        <w:r w:rsidR="00D1646E" w:rsidRPr="0035027D">
          <w:rPr>
            <w:rFonts w:ascii="Arial Narrow" w:hAnsi="Arial Narrow"/>
            <w:noProof/>
            <w:webHidden/>
          </w:rPr>
          <w:tab/>
        </w:r>
        <w:r w:rsidR="00D1646E" w:rsidRPr="0035027D">
          <w:rPr>
            <w:rFonts w:ascii="Arial Narrow" w:hAnsi="Arial Narrow"/>
            <w:noProof/>
            <w:webHidden/>
          </w:rPr>
          <w:fldChar w:fldCharType="begin"/>
        </w:r>
        <w:r w:rsidR="00D1646E" w:rsidRPr="0035027D">
          <w:rPr>
            <w:rFonts w:ascii="Arial Narrow" w:hAnsi="Arial Narrow"/>
            <w:noProof/>
            <w:webHidden/>
          </w:rPr>
          <w:instrText xml:space="preserve"> PAGEREF _Toc353563372 \h </w:instrText>
        </w:r>
        <w:r w:rsidR="00D1646E" w:rsidRPr="0035027D">
          <w:rPr>
            <w:rFonts w:ascii="Arial Narrow" w:hAnsi="Arial Narrow"/>
            <w:noProof/>
            <w:webHidden/>
          </w:rPr>
        </w:r>
        <w:r w:rsidR="00D1646E" w:rsidRPr="0035027D">
          <w:rPr>
            <w:rFonts w:ascii="Arial Narrow" w:hAnsi="Arial Narrow"/>
            <w:noProof/>
            <w:webHidden/>
          </w:rPr>
          <w:fldChar w:fldCharType="separate"/>
        </w:r>
        <w:r w:rsidR="007848E4" w:rsidRPr="0035027D">
          <w:rPr>
            <w:rFonts w:ascii="Arial Narrow" w:hAnsi="Arial Narrow"/>
            <w:noProof/>
            <w:webHidden/>
          </w:rPr>
          <w:t>10</w:t>
        </w:r>
        <w:r w:rsidR="00D1646E" w:rsidRPr="0035027D">
          <w:rPr>
            <w:rFonts w:ascii="Arial Narrow" w:hAnsi="Arial Narrow"/>
            <w:noProof/>
            <w:webHidden/>
          </w:rPr>
          <w:fldChar w:fldCharType="end"/>
        </w:r>
      </w:hyperlink>
    </w:p>
    <w:p w:rsidR="00D1646E" w:rsidRPr="0035027D" w:rsidRDefault="00B45609">
      <w:pPr>
        <w:pStyle w:val="Obsah3"/>
        <w:tabs>
          <w:tab w:val="left" w:pos="1100"/>
          <w:tab w:val="right" w:leader="dot" w:pos="9060"/>
        </w:tabs>
        <w:rPr>
          <w:rFonts w:ascii="Arial Narrow" w:eastAsiaTheme="minorEastAsia" w:hAnsi="Arial Narrow" w:cstheme="minorBidi"/>
          <w:noProof/>
          <w:sz w:val="22"/>
          <w:szCs w:val="22"/>
        </w:rPr>
      </w:pPr>
      <w:hyperlink w:anchor="_Toc353563373" w:history="1">
        <w:r w:rsidR="00D1646E" w:rsidRPr="0035027D">
          <w:rPr>
            <w:rStyle w:val="Hypertextovprepojenie"/>
            <w:rFonts w:ascii="Arial Narrow" w:hAnsi="Arial Narrow"/>
            <w:noProof/>
          </w:rPr>
          <w:t>2.2</w:t>
        </w:r>
        <w:r w:rsidR="00D1646E" w:rsidRPr="0035027D">
          <w:rPr>
            <w:rFonts w:ascii="Arial Narrow" w:eastAsiaTheme="minorEastAsia" w:hAnsi="Arial Narrow" w:cstheme="minorBidi"/>
            <w:noProof/>
            <w:sz w:val="22"/>
            <w:szCs w:val="22"/>
          </w:rPr>
          <w:tab/>
        </w:r>
        <w:r w:rsidR="00D1646E" w:rsidRPr="0035027D">
          <w:rPr>
            <w:rStyle w:val="Hypertextovprepojenie"/>
            <w:rFonts w:ascii="Arial Narrow" w:hAnsi="Arial Narrow"/>
            <w:noProof/>
          </w:rPr>
          <w:t>Ďalšie realizované opatrenia</w:t>
        </w:r>
        <w:r w:rsidR="00D1646E" w:rsidRPr="0035027D">
          <w:rPr>
            <w:rFonts w:ascii="Arial Narrow" w:hAnsi="Arial Narrow"/>
            <w:noProof/>
            <w:webHidden/>
          </w:rPr>
          <w:tab/>
        </w:r>
        <w:r w:rsidR="00D1646E" w:rsidRPr="0035027D">
          <w:rPr>
            <w:rFonts w:ascii="Arial Narrow" w:hAnsi="Arial Narrow"/>
            <w:noProof/>
            <w:webHidden/>
          </w:rPr>
          <w:fldChar w:fldCharType="begin"/>
        </w:r>
        <w:r w:rsidR="00D1646E" w:rsidRPr="0035027D">
          <w:rPr>
            <w:rFonts w:ascii="Arial Narrow" w:hAnsi="Arial Narrow"/>
            <w:noProof/>
            <w:webHidden/>
          </w:rPr>
          <w:instrText xml:space="preserve"> PAGEREF _Toc353563373 \h </w:instrText>
        </w:r>
        <w:r w:rsidR="00D1646E" w:rsidRPr="0035027D">
          <w:rPr>
            <w:rFonts w:ascii="Arial Narrow" w:hAnsi="Arial Narrow"/>
            <w:noProof/>
            <w:webHidden/>
          </w:rPr>
        </w:r>
        <w:r w:rsidR="00D1646E" w:rsidRPr="0035027D">
          <w:rPr>
            <w:rFonts w:ascii="Arial Narrow" w:hAnsi="Arial Narrow"/>
            <w:noProof/>
            <w:webHidden/>
          </w:rPr>
          <w:fldChar w:fldCharType="separate"/>
        </w:r>
        <w:r w:rsidR="007848E4" w:rsidRPr="0035027D">
          <w:rPr>
            <w:rFonts w:ascii="Arial Narrow" w:hAnsi="Arial Narrow"/>
            <w:noProof/>
            <w:webHidden/>
          </w:rPr>
          <w:t>17</w:t>
        </w:r>
        <w:r w:rsidR="00D1646E" w:rsidRPr="0035027D">
          <w:rPr>
            <w:rFonts w:ascii="Arial Narrow" w:hAnsi="Arial Narrow"/>
            <w:noProof/>
            <w:webHidden/>
          </w:rPr>
          <w:fldChar w:fldCharType="end"/>
        </w:r>
      </w:hyperlink>
    </w:p>
    <w:p w:rsidR="00D1646E" w:rsidRPr="0035027D" w:rsidRDefault="00B45609">
      <w:pPr>
        <w:pStyle w:val="Obsah1"/>
        <w:tabs>
          <w:tab w:val="left" w:pos="440"/>
          <w:tab w:val="right" w:leader="dot" w:pos="9060"/>
        </w:tabs>
        <w:rPr>
          <w:rFonts w:ascii="Arial Narrow" w:eastAsiaTheme="minorEastAsia" w:hAnsi="Arial Narrow" w:cstheme="minorBidi"/>
          <w:b w:val="0"/>
          <w:bCs w:val="0"/>
          <w:noProof/>
          <w:sz w:val="22"/>
          <w:szCs w:val="22"/>
        </w:rPr>
      </w:pPr>
      <w:hyperlink w:anchor="_Toc353563374" w:history="1">
        <w:r w:rsidR="00D1646E" w:rsidRPr="0035027D">
          <w:rPr>
            <w:rStyle w:val="Hypertextovprepojenie"/>
            <w:rFonts w:ascii="Arial Narrow" w:hAnsi="Arial Narrow"/>
            <w:noProof/>
          </w:rPr>
          <w:t>3</w:t>
        </w:r>
        <w:r w:rsidR="00D1646E" w:rsidRPr="0035027D">
          <w:rPr>
            <w:rFonts w:ascii="Arial Narrow" w:eastAsiaTheme="minorEastAsia" w:hAnsi="Arial Narrow" w:cstheme="minorBidi"/>
            <w:b w:val="0"/>
            <w:bCs w:val="0"/>
            <w:noProof/>
            <w:sz w:val="22"/>
            <w:szCs w:val="22"/>
          </w:rPr>
          <w:tab/>
        </w:r>
        <w:r w:rsidR="00D1646E" w:rsidRPr="0035027D">
          <w:rPr>
            <w:rStyle w:val="Hypertextovprepojenie"/>
            <w:rFonts w:ascii="Arial Narrow" w:hAnsi="Arial Narrow"/>
            <w:noProof/>
          </w:rPr>
          <w:t>Makroekonomický rámec a strednodobá prognóza</w:t>
        </w:r>
        <w:r w:rsidR="00D1646E" w:rsidRPr="0035027D">
          <w:rPr>
            <w:rFonts w:ascii="Arial Narrow" w:hAnsi="Arial Narrow"/>
            <w:noProof/>
            <w:webHidden/>
          </w:rPr>
          <w:tab/>
        </w:r>
        <w:r w:rsidR="00D1646E" w:rsidRPr="0035027D">
          <w:rPr>
            <w:rFonts w:ascii="Arial Narrow" w:hAnsi="Arial Narrow"/>
            <w:noProof/>
            <w:webHidden/>
          </w:rPr>
          <w:fldChar w:fldCharType="begin"/>
        </w:r>
        <w:r w:rsidR="00D1646E" w:rsidRPr="0035027D">
          <w:rPr>
            <w:rFonts w:ascii="Arial Narrow" w:hAnsi="Arial Narrow"/>
            <w:noProof/>
            <w:webHidden/>
          </w:rPr>
          <w:instrText xml:space="preserve"> PAGEREF _Toc353563374 \h </w:instrText>
        </w:r>
        <w:r w:rsidR="00D1646E" w:rsidRPr="0035027D">
          <w:rPr>
            <w:rFonts w:ascii="Arial Narrow" w:hAnsi="Arial Narrow"/>
            <w:noProof/>
            <w:webHidden/>
          </w:rPr>
        </w:r>
        <w:r w:rsidR="00D1646E" w:rsidRPr="0035027D">
          <w:rPr>
            <w:rFonts w:ascii="Arial Narrow" w:hAnsi="Arial Narrow"/>
            <w:noProof/>
            <w:webHidden/>
          </w:rPr>
          <w:fldChar w:fldCharType="separate"/>
        </w:r>
        <w:r w:rsidR="007848E4" w:rsidRPr="0035027D">
          <w:rPr>
            <w:rFonts w:ascii="Arial Narrow" w:hAnsi="Arial Narrow"/>
            <w:noProof/>
            <w:webHidden/>
          </w:rPr>
          <w:t>21</w:t>
        </w:r>
        <w:r w:rsidR="00D1646E" w:rsidRPr="0035027D">
          <w:rPr>
            <w:rFonts w:ascii="Arial Narrow" w:hAnsi="Arial Narrow"/>
            <w:noProof/>
            <w:webHidden/>
          </w:rPr>
          <w:fldChar w:fldCharType="end"/>
        </w:r>
      </w:hyperlink>
    </w:p>
    <w:p w:rsidR="00D1646E" w:rsidRPr="0035027D" w:rsidRDefault="00B45609">
      <w:pPr>
        <w:pStyle w:val="Obsah1"/>
        <w:tabs>
          <w:tab w:val="left" w:pos="440"/>
          <w:tab w:val="right" w:leader="dot" w:pos="9060"/>
        </w:tabs>
        <w:rPr>
          <w:rFonts w:ascii="Arial Narrow" w:eastAsiaTheme="minorEastAsia" w:hAnsi="Arial Narrow" w:cstheme="minorBidi"/>
          <w:b w:val="0"/>
          <w:bCs w:val="0"/>
          <w:noProof/>
          <w:sz w:val="22"/>
          <w:szCs w:val="22"/>
        </w:rPr>
      </w:pPr>
      <w:hyperlink w:anchor="_Toc353563375" w:history="1">
        <w:r w:rsidR="00D1646E" w:rsidRPr="0035027D">
          <w:rPr>
            <w:rStyle w:val="Hypertextovprepojenie"/>
            <w:rFonts w:ascii="Arial Narrow" w:hAnsi="Arial Narrow"/>
            <w:noProof/>
          </w:rPr>
          <w:t>4</w:t>
        </w:r>
        <w:r w:rsidR="00D1646E" w:rsidRPr="0035027D">
          <w:rPr>
            <w:rFonts w:ascii="Arial Narrow" w:eastAsiaTheme="minorEastAsia" w:hAnsi="Arial Narrow" w:cstheme="minorBidi"/>
            <w:b w:val="0"/>
            <w:bCs w:val="0"/>
            <w:noProof/>
            <w:sz w:val="22"/>
            <w:szCs w:val="22"/>
          </w:rPr>
          <w:tab/>
        </w:r>
        <w:r w:rsidR="00D1646E" w:rsidRPr="0035027D">
          <w:rPr>
            <w:rStyle w:val="Hypertextovprepojenie"/>
            <w:rFonts w:ascii="Arial Narrow" w:hAnsi="Arial Narrow"/>
            <w:noProof/>
          </w:rPr>
          <w:t>Opatrenia v štrukturálnych prioritách</w:t>
        </w:r>
        <w:r w:rsidR="00D1646E" w:rsidRPr="0035027D">
          <w:rPr>
            <w:rFonts w:ascii="Arial Narrow" w:hAnsi="Arial Narrow"/>
            <w:noProof/>
            <w:webHidden/>
          </w:rPr>
          <w:tab/>
        </w:r>
        <w:r w:rsidR="00D1646E" w:rsidRPr="0035027D">
          <w:rPr>
            <w:rFonts w:ascii="Arial Narrow" w:hAnsi="Arial Narrow"/>
            <w:noProof/>
            <w:webHidden/>
          </w:rPr>
          <w:fldChar w:fldCharType="begin"/>
        </w:r>
        <w:r w:rsidR="00D1646E" w:rsidRPr="0035027D">
          <w:rPr>
            <w:rFonts w:ascii="Arial Narrow" w:hAnsi="Arial Narrow"/>
            <w:noProof/>
            <w:webHidden/>
          </w:rPr>
          <w:instrText xml:space="preserve"> PAGEREF _Toc353563375 \h </w:instrText>
        </w:r>
        <w:r w:rsidR="00D1646E" w:rsidRPr="0035027D">
          <w:rPr>
            <w:rFonts w:ascii="Arial Narrow" w:hAnsi="Arial Narrow"/>
            <w:noProof/>
            <w:webHidden/>
          </w:rPr>
        </w:r>
        <w:r w:rsidR="00D1646E" w:rsidRPr="0035027D">
          <w:rPr>
            <w:rFonts w:ascii="Arial Narrow" w:hAnsi="Arial Narrow"/>
            <w:noProof/>
            <w:webHidden/>
          </w:rPr>
          <w:fldChar w:fldCharType="separate"/>
        </w:r>
        <w:r w:rsidR="007848E4" w:rsidRPr="0035027D">
          <w:rPr>
            <w:rFonts w:ascii="Arial Narrow" w:hAnsi="Arial Narrow"/>
            <w:noProof/>
            <w:webHidden/>
          </w:rPr>
          <w:t>23</w:t>
        </w:r>
        <w:r w:rsidR="00D1646E" w:rsidRPr="0035027D">
          <w:rPr>
            <w:rFonts w:ascii="Arial Narrow" w:hAnsi="Arial Narrow"/>
            <w:noProof/>
            <w:webHidden/>
          </w:rPr>
          <w:fldChar w:fldCharType="end"/>
        </w:r>
      </w:hyperlink>
    </w:p>
    <w:p w:rsidR="00D1646E" w:rsidRPr="0035027D" w:rsidRDefault="00B45609">
      <w:pPr>
        <w:pStyle w:val="Obsah3"/>
        <w:tabs>
          <w:tab w:val="left" w:pos="1100"/>
          <w:tab w:val="right" w:leader="dot" w:pos="9060"/>
        </w:tabs>
        <w:rPr>
          <w:rFonts w:ascii="Arial Narrow" w:eastAsiaTheme="minorEastAsia" w:hAnsi="Arial Narrow" w:cstheme="minorBidi"/>
          <w:noProof/>
          <w:sz w:val="22"/>
          <w:szCs w:val="22"/>
        </w:rPr>
      </w:pPr>
      <w:hyperlink w:anchor="_Toc353563376" w:history="1">
        <w:r w:rsidR="00D1646E" w:rsidRPr="0035027D">
          <w:rPr>
            <w:rStyle w:val="Hypertextovprepojenie"/>
            <w:rFonts w:ascii="Arial Narrow" w:hAnsi="Arial Narrow"/>
            <w:noProof/>
          </w:rPr>
          <w:t>4.1</w:t>
        </w:r>
        <w:r w:rsidR="00D1646E" w:rsidRPr="0035027D">
          <w:rPr>
            <w:rFonts w:ascii="Arial Narrow" w:eastAsiaTheme="minorEastAsia" w:hAnsi="Arial Narrow" w:cstheme="minorBidi"/>
            <w:noProof/>
            <w:sz w:val="22"/>
            <w:szCs w:val="22"/>
          </w:rPr>
          <w:tab/>
        </w:r>
        <w:r w:rsidR="00D1646E" w:rsidRPr="0035027D">
          <w:rPr>
            <w:rStyle w:val="Hypertextovprepojenie"/>
            <w:rFonts w:ascii="Arial Narrow" w:hAnsi="Arial Narrow"/>
            <w:noProof/>
          </w:rPr>
          <w:t>Fiškálna politika a verejné financie</w:t>
        </w:r>
        <w:r w:rsidR="00D1646E" w:rsidRPr="0035027D">
          <w:rPr>
            <w:rFonts w:ascii="Arial Narrow" w:hAnsi="Arial Narrow"/>
            <w:noProof/>
            <w:webHidden/>
          </w:rPr>
          <w:tab/>
        </w:r>
        <w:r w:rsidR="00D1646E" w:rsidRPr="0035027D">
          <w:rPr>
            <w:rFonts w:ascii="Arial Narrow" w:hAnsi="Arial Narrow"/>
            <w:noProof/>
            <w:webHidden/>
          </w:rPr>
          <w:fldChar w:fldCharType="begin"/>
        </w:r>
        <w:r w:rsidR="00D1646E" w:rsidRPr="0035027D">
          <w:rPr>
            <w:rFonts w:ascii="Arial Narrow" w:hAnsi="Arial Narrow"/>
            <w:noProof/>
            <w:webHidden/>
          </w:rPr>
          <w:instrText xml:space="preserve"> PAGEREF _Toc353563376 \h </w:instrText>
        </w:r>
        <w:r w:rsidR="00D1646E" w:rsidRPr="0035027D">
          <w:rPr>
            <w:rFonts w:ascii="Arial Narrow" w:hAnsi="Arial Narrow"/>
            <w:noProof/>
            <w:webHidden/>
          </w:rPr>
        </w:r>
        <w:r w:rsidR="00D1646E" w:rsidRPr="0035027D">
          <w:rPr>
            <w:rFonts w:ascii="Arial Narrow" w:hAnsi="Arial Narrow"/>
            <w:noProof/>
            <w:webHidden/>
          </w:rPr>
          <w:fldChar w:fldCharType="separate"/>
        </w:r>
        <w:r w:rsidR="007848E4" w:rsidRPr="0035027D">
          <w:rPr>
            <w:rFonts w:ascii="Arial Narrow" w:hAnsi="Arial Narrow"/>
            <w:noProof/>
            <w:webHidden/>
          </w:rPr>
          <w:t>23</w:t>
        </w:r>
        <w:r w:rsidR="00D1646E" w:rsidRPr="0035027D">
          <w:rPr>
            <w:rFonts w:ascii="Arial Narrow" w:hAnsi="Arial Narrow"/>
            <w:noProof/>
            <w:webHidden/>
          </w:rPr>
          <w:fldChar w:fldCharType="end"/>
        </w:r>
      </w:hyperlink>
    </w:p>
    <w:p w:rsidR="00D1646E" w:rsidRPr="0035027D" w:rsidRDefault="00B45609">
      <w:pPr>
        <w:pStyle w:val="Obsah3"/>
        <w:tabs>
          <w:tab w:val="left" w:pos="1100"/>
          <w:tab w:val="right" w:leader="dot" w:pos="9060"/>
        </w:tabs>
        <w:rPr>
          <w:rFonts w:ascii="Arial Narrow" w:eastAsiaTheme="minorEastAsia" w:hAnsi="Arial Narrow" w:cstheme="minorBidi"/>
          <w:noProof/>
          <w:sz w:val="22"/>
          <w:szCs w:val="22"/>
        </w:rPr>
      </w:pPr>
      <w:hyperlink w:anchor="_Toc353563377" w:history="1">
        <w:r w:rsidR="00D1646E" w:rsidRPr="0035027D">
          <w:rPr>
            <w:rStyle w:val="Hypertextovprepojenie"/>
            <w:rFonts w:ascii="Arial Narrow" w:hAnsi="Arial Narrow"/>
            <w:noProof/>
          </w:rPr>
          <w:t>4.2</w:t>
        </w:r>
        <w:r w:rsidR="00D1646E" w:rsidRPr="0035027D">
          <w:rPr>
            <w:rFonts w:ascii="Arial Narrow" w:eastAsiaTheme="minorEastAsia" w:hAnsi="Arial Narrow" w:cstheme="minorBidi"/>
            <w:noProof/>
            <w:sz w:val="22"/>
            <w:szCs w:val="22"/>
          </w:rPr>
          <w:tab/>
        </w:r>
        <w:r w:rsidR="00D1646E" w:rsidRPr="0035027D">
          <w:rPr>
            <w:rStyle w:val="Hypertextovprepojenie"/>
            <w:rFonts w:ascii="Arial Narrow" w:hAnsi="Arial Narrow"/>
            <w:noProof/>
          </w:rPr>
          <w:t>Vzdelávanie, veda a inovácie</w:t>
        </w:r>
        <w:r w:rsidR="00D1646E" w:rsidRPr="0035027D">
          <w:rPr>
            <w:rFonts w:ascii="Arial Narrow" w:hAnsi="Arial Narrow"/>
            <w:noProof/>
            <w:webHidden/>
          </w:rPr>
          <w:tab/>
        </w:r>
        <w:r w:rsidR="00D1646E" w:rsidRPr="0035027D">
          <w:rPr>
            <w:rFonts w:ascii="Arial Narrow" w:hAnsi="Arial Narrow"/>
            <w:noProof/>
            <w:webHidden/>
          </w:rPr>
          <w:fldChar w:fldCharType="begin"/>
        </w:r>
        <w:r w:rsidR="00D1646E" w:rsidRPr="0035027D">
          <w:rPr>
            <w:rFonts w:ascii="Arial Narrow" w:hAnsi="Arial Narrow"/>
            <w:noProof/>
            <w:webHidden/>
          </w:rPr>
          <w:instrText xml:space="preserve"> PAGEREF _Toc353563377 \h </w:instrText>
        </w:r>
        <w:r w:rsidR="00D1646E" w:rsidRPr="0035027D">
          <w:rPr>
            <w:rFonts w:ascii="Arial Narrow" w:hAnsi="Arial Narrow"/>
            <w:noProof/>
            <w:webHidden/>
          </w:rPr>
        </w:r>
        <w:r w:rsidR="00D1646E" w:rsidRPr="0035027D">
          <w:rPr>
            <w:rFonts w:ascii="Arial Narrow" w:hAnsi="Arial Narrow"/>
            <w:noProof/>
            <w:webHidden/>
          </w:rPr>
          <w:fldChar w:fldCharType="separate"/>
        </w:r>
        <w:r w:rsidR="007848E4" w:rsidRPr="0035027D">
          <w:rPr>
            <w:rFonts w:ascii="Arial Narrow" w:hAnsi="Arial Narrow"/>
            <w:noProof/>
            <w:webHidden/>
          </w:rPr>
          <w:t>26</w:t>
        </w:r>
        <w:r w:rsidR="00D1646E" w:rsidRPr="0035027D">
          <w:rPr>
            <w:rFonts w:ascii="Arial Narrow" w:hAnsi="Arial Narrow"/>
            <w:noProof/>
            <w:webHidden/>
          </w:rPr>
          <w:fldChar w:fldCharType="end"/>
        </w:r>
      </w:hyperlink>
    </w:p>
    <w:p w:rsidR="00D1646E" w:rsidRPr="0035027D" w:rsidRDefault="00B45609">
      <w:pPr>
        <w:pStyle w:val="Obsah4"/>
        <w:tabs>
          <w:tab w:val="left" w:pos="1320"/>
          <w:tab w:val="right" w:leader="dot" w:pos="9060"/>
        </w:tabs>
        <w:rPr>
          <w:rFonts w:ascii="Arial Narrow" w:eastAsiaTheme="minorEastAsia" w:hAnsi="Arial Narrow" w:cstheme="minorBidi"/>
          <w:noProof/>
          <w:sz w:val="22"/>
          <w:szCs w:val="22"/>
        </w:rPr>
      </w:pPr>
      <w:hyperlink w:anchor="_Toc353563378" w:history="1">
        <w:r w:rsidR="00D1646E" w:rsidRPr="0035027D">
          <w:rPr>
            <w:rStyle w:val="Hypertextovprepojenie"/>
            <w:rFonts w:ascii="Arial Narrow" w:hAnsi="Arial Narrow"/>
            <w:noProof/>
          </w:rPr>
          <w:t>4.2.1</w:t>
        </w:r>
        <w:r w:rsidR="00D1646E" w:rsidRPr="0035027D">
          <w:rPr>
            <w:rFonts w:ascii="Arial Narrow" w:eastAsiaTheme="minorEastAsia" w:hAnsi="Arial Narrow" w:cstheme="minorBidi"/>
            <w:noProof/>
            <w:sz w:val="22"/>
            <w:szCs w:val="22"/>
          </w:rPr>
          <w:tab/>
        </w:r>
        <w:r w:rsidR="00D1646E" w:rsidRPr="0035027D">
          <w:rPr>
            <w:rStyle w:val="Hypertextovprepojenie"/>
            <w:rFonts w:ascii="Arial Narrow" w:hAnsi="Arial Narrow"/>
            <w:noProof/>
          </w:rPr>
          <w:t>Regionálne školstvo</w:t>
        </w:r>
        <w:r w:rsidR="00D1646E" w:rsidRPr="0035027D">
          <w:rPr>
            <w:rFonts w:ascii="Arial Narrow" w:hAnsi="Arial Narrow"/>
            <w:noProof/>
            <w:webHidden/>
          </w:rPr>
          <w:tab/>
        </w:r>
        <w:r w:rsidR="00D1646E" w:rsidRPr="0035027D">
          <w:rPr>
            <w:rFonts w:ascii="Arial Narrow" w:hAnsi="Arial Narrow"/>
            <w:noProof/>
            <w:webHidden/>
          </w:rPr>
          <w:fldChar w:fldCharType="begin"/>
        </w:r>
        <w:r w:rsidR="00D1646E" w:rsidRPr="0035027D">
          <w:rPr>
            <w:rFonts w:ascii="Arial Narrow" w:hAnsi="Arial Narrow"/>
            <w:noProof/>
            <w:webHidden/>
          </w:rPr>
          <w:instrText xml:space="preserve"> PAGEREF _Toc353563378 \h </w:instrText>
        </w:r>
        <w:r w:rsidR="00D1646E" w:rsidRPr="0035027D">
          <w:rPr>
            <w:rFonts w:ascii="Arial Narrow" w:hAnsi="Arial Narrow"/>
            <w:noProof/>
            <w:webHidden/>
          </w:rPr>
        </w:r>
        <w:r w:rsidR="00D1646E" w:rsidRPr="0035027D">
          <w:rPr>
            <w:rFonts w:ascii="Arial Narrow" w:hAnsi="Arial Narrow"/>
            <w:noProof/>
            <w:webHidden/>
          </w:rPr>
          <w:fldChar w:fldCharType="separate"/>
        </w:r>
        <w:r w:rsidR="007848E4" w:rsidRPr="0035027D">
          <w:rPr>
            <w:rFonts w:ascii="Arial Narrow" w:hAnsi="Arial Narrow"/>
            <w:noProof/>
            <w:webHidden/>
          </w:rPr>
          <w:t>27</w:t>
        </w:r>
        <w:r w:rsidR="00D1646E" w:rsidRPr="0035027D">
          <w:rPr>
            <w:rFonts w:ascii="Arial Narrow" w:hAnsi="Arial Narrow"/>
            <w:noProof/>
            <w:webHidden/>
          </w:rPr>
          <w:fldChar w:fldCharType="end"/>
        </w:r>
      </w:hyperlink>
    </w:p>
    <w:p w:rsidR="00D1646E" w:rsidRPr="0035027D" w:rsidRDefault="00B45609">
      <w:pPr>
        <w:pStyle w:val="Obsah4"/>
        <w:tabs>
          <w:tab w:val="left" w:pos="1320"/>
          <w:tab w:val="right" w:leader="dot" w:pos="9060"/>
        </w:tabs>
        <w:rPr>
          <w:rFonts w:ascii="Arial Narrow" w:eastAsiaTheme="minorEastAsia" w:hAnsi="Arial Narrow" w:cstheme="minorBidi"/>
          <w:noProof/>
          <w:sz w:val="22"/>
          <w:szCs w:val="22"/>
        </w:rPr>
      </w:pPr>
      <w:hyperlink w:anchor="_Toc353563379" w:history="1">
        <w:r w:rsidR="00D1646E" w:rsidRPr="0035027D">
          <w:rPr>
            <w:rStyle w:val="Hypertextovprepojenie"/>
            <w:rFonts w:ascii="Arial Narrow" w:hAnsi="Arial Narrow"/>
            <w:noProof/>
          </w:rPr>
          <w:t>4.2.2</w:t>
        </w:r>
        <w:r w:rsidR="00D1646E" w:rsidRPr="0035027D">
          <w:rPr>
            <w:rFonts w:ascii="Arial Narrow" w:eastAsiaTheme="minorEastAsia" w:hAnsi="Arial Narrow" w:cstheme="minorBidi"/>
            <w:noProof/>
            <w:sz w:val="22"/>
            <w:szCs w:val="22"/>
          </w:rPr>
          <w:tab/>
        </w:r>
        <w:r w:rsidR="00D1646E" w:rsidRPr="0035027D">
          <w:rPr>
            <w:rStyle w:val="Hypertextovprepojenie"/>
            <w:rFonts w:ascii="Arial Narrow" w:hAnsi="Arial Narrow"/>
            <w:noProof/>
          </w:rPr>
          <w:t>Vysoké školstvo a veda</w:t>
        </w:r>
        <w:r w:rsidR="00D1646E" w:rsidRPr="0035027D">
          <w:rPr>
            <w:rFonts w:ascii="Arial Narrow" w:hAnsi="Arial Narrow"/>
            <w:noProof/>
            <w:webHidden/>
          </w:rPr>
          <w:tab/>
        </w:r>
        <w:r w:rsidR="00D1646E" w:rsidRPr="0035027D">
          <w:rPr>
            <w:rFonts w:ascii="Arial Narrow" w:hAnsi="Arial Narrow"/>
            <w:noProof/>
            <w:webHidden/>
          </w:rPr>
          <w:fldChar w:fldCharType="begin"/>
        </w:r>
        <w:r w:rsidR="00D1646E" w:rsidRPr="0035027D">
          <w:rPr>
            <w:rFonts w:ascii="Arial Narrow" w:hAnsi="Arial Narrow"/>
            <w:noProof/>
            <w:webHidden/>
          </w:rPr>
          <w:instrText xml:space="preserve"> PAGEREF _Toc353563379 \h </w:instrText>
        </w:r>
        <w:r w:rsidR="00D1646E" w:rsidRPr="0035027D">
          <w:rPr>
            <w:rFonts w:ascii="Arial Narrow" w:hAnsi="Arial Narrow"/>
            <w:noProof/>
            <w:webHidden/>
          </w:rPr>
        </w:r>
        <w:r w:rsidR="00D1646E" w:rsidRPr="0035027D">
          <w:rPr>
            <w:rFonts w:ascii="Arial Narrow" w:hAnsi="Arial Narrow"/>
            <w:noProof/>
            <w:webHidden/>
          </w:rPr>
          <w:fldChar w:fldCharType="separate"/>
        </w:r>
        <w:r w:rsidR="007848E4" w:rsidRPr="0035027D">
          <w:rPr>
            <w:rFonts w:ascii="Arial Narrow" w:hAnsi="Arial Narrow"/>
            <w:noProof/>
            <w:webHidden/>
          </w:rPr>
          <w:t>29</w:t>
        </w:r>
        <w:r w:rsidR="00D1646E" w:rsidRPr="0035027D">
          <w:rPr>
            <w:rFonts w:ascii="Arial Narrow" w:hAnsi="Arial Narrow"/>
            <w:noProof/>
            <w:webHidden/>
          </w:rPr>
          <w:fldChar w:fldCharType="end"/>
        </w:r>
      </w:hyperlink>
    </w:p>
    <w:p w:rsidR="00D1646E" w:rsidRPr="0035027D" w:rsidRDefault="00B45609">
      <w:pPr>
        <w:pStyle w:val="Obsah4"/>
        <w:tabs>
          <w:tab w:val="left" w:pos="1320"/>
          <w:tab w:val="right" w:leader="dot" w:pos="9060"/>
        </w:tabs>
        <w:rPr>
          <w:rFonts w:ascii="Arial Narrow" w:eastAsiaTheme="minorEastAsia" w:hAnsi="Arial Narrow" w:cstheme="minorBidi"/>
          <w:noProof/>
          <w:sz w:val="22"/>
          <w:szCs w:val="22"/>
        </w:rPr>
      </w:pPr>
      <w:hyperlink w:anchor="_Toc353563380" w:history="1">
        <w:r w:rsidR="00D1646E" w:rsidRPr="0035027D">
          <w:rPr>
            <w:rStyle w:val="Hypertextovprepojenie"/>
            <w:rFonts w:ascii="Arial Narrow" w:hAnsi="Arial Narrow"/>
            <w:noProof/>
          </w:rPr>
          <w:t>4.2.3</w:t>
        </w:r>
        <w:r w:rsidR="00D1646E" w:rsidRPr="0035027D">
          <w:rPr>
            <w:rFonts w:ascii="Arial Narrow" w:eastAsiaTheme="minorEastAsia" w:hAnsi="Arial Narrow" w:cstheme="minorBidi"/>
            <w:noProof/>
            <w:sz w:val="22"/>
            <w:szCs w:val="22"/>
          </w:rPr>
          <w:tab/>
        </w:r>
        <w:r w:rsidR="00D1646E" w:rsidRPr="0035027D">
          <w:rPr>
            <w:rStyle w:val="Hypertextovprepojenie"/>
            <w:rFonts w:ascii="Arial Narrow" w:hAnsi="Arial Narrow"/>
            <w:noProof/>
          </w:rPr>
          <w:t>Ďalšie vzdelávanie</w:t>
        </w:r>
        <w:r w:rsidR="00D1646E" w:rsidRPr="0035027D">
          <w:rPr>
            <w:rFonts w:ascii="Arial Narrow" w:hAnsi="Arial Narrow"/>
            <w:noProof/>
            <w:webHidden/>
          </w:rPr>
          <w:tab/>
        </w:r>
        <w:r w:rsidR="00D1646E" w:rsidRPr="0035027D">
          <w:rPr>
            <w:rFonts w:ascii="Arial Narrow" w:hAnsi="Arial Narrow"/>
            <w:noProof/>
            <w:webHidden/>
          </w:rPr>
          <w:fldChar w:fldCharType="begin"/>
        </w:r>
        <w:r w:rsidR="00D1646E" w:rsidRPr="0035027D">
          <w:rPr>
            <w:rFonts w:ascii="Arial Narrow" w:hAnsi="Arial Narrow"/>
            <w:noProof/>
            <w:webHidden/>
          </w:rPr>
          <w:instrText xml:space="preserve"> PAGEREF _Toc353563380 \h </w:instrText>
        </w:r>
        <w:r w:rsidR="00D1646E" w:rsidRPr="0035027D">
          <w:rPr>
            <w:rFonts w:ascii="Arial Narrow" w:hAnsi="Arial Narrow"/>
            <w:noProof/>
            <w:webHidden/>
          </w:rPr>
        </w:r>
        <w:r w:rsidR="00D1646E" w:rsidRPr="0035027D">
          <w:rPr>
            <w:rFonts w:ascii="Arial Narrow" w:hAnsi="Arial Narrow"/>
            <w:noProof/>
            <w:webHidden/>
          </w:rPr>
          <w:fldChar w:fldCharType="separate"/>
        </w:r>
        <w:r w:rsidR="007848E4" w:rsidRPr="0035027D">
          <w:rPr>
            <w:rFonts w:ascii="Arial Narrow" w:hAnsi="Arial Narrow"/>
            <w:noProof/>
            <w:webHidden/>
          </w:rPr>
          <w:t>30</w:t>
        </w:r>
        <w:r w:rsidR="00D1646E" w:rsidRPr="0035027D">
          <w:rPr>
            <w:rFonts w:ascii="Arial Narrow" w:hAnsi="Arial Narrow"/>
            <w:noProof/>
            <w:webHidden/>
          </w:rPr>
          <w:fldChar w:fldCharType="end"/>
        </w:r>
      </w:hyperlink>
    </w:p>
    <w:p w:rsidR="00D1646E" w:rsidRPr="0035027D" w:rsidRDefault="00B45609">
      <w:pPr>
        <w:pStyle w:val="Obsah4"/>
        <w:tabs>
          <w:tab w:val="left" w:pos="1320"/>
          <w:tab w:val="right" w:leader="dot" w:pos="9060"/>
        </w:tabs>
        <w:rPr>
          <w:rFonts w:ascii="Arial Narrow" w:eastAsiaTheme="minorEastAsia" w:hAnsi="Arial Narrow" w:cstheme="minorBidi"/>
          <w:noProof/>
          <w:sz w:val="22"/>
          <w:szCs w:val="22"/>
        </w:rPr>
      </w:pPr>
      <w:hyperlink w:anchor="_Toc353563381" w:history="1">
        <w:r w:rsidR="00D1646E" w:rsidRPr="0035027D">
          <w:rPr>
            <w:rStyle w:val="Hypertextovprepojenie"/>
            <w:rFonts w:ascii="Arial Narrow" w:hAnsi="Arial Narrow"/>
            <w:noProof/>
          </w:rPr>
          <w:t>4.2.4</w:t>
        </w:r>
        <w:r w:rsidR="00D1646E" w:rsidRPr="0035027D">
          <w:rPr>
            <w:rFonts w:ascii="Arial Narrow" w:eastAsiaTheme="minorEastAsia" w:hAnsi="Arial Narrow" w:cstheme="minorBidi"/>
            <w:noProof/>
            <w:sz w:val="22"/>
            <w:szCs w:val="22"/>
          </w:rPr>
          <w:tab/>
        </w:r>
        <w:r w:rsidR="00D1646E" w:rsidRPr="0035027D">
          <w:rPr>
            <w:rStyle w:val="Hypertextovprepojenie"/>
            <w:rFonts w:ascii="Arial Narrow" w:hAnsi="Arial Narrow"/>
            <w:noProof/>
          </w:rPr>
          <w:t>Inovácie</w:t>
        </w:r>
        <w:r w:rsidR="00D1646E" w:rsidRPr="0035027D">
          <w:rPr>
            <w:rFonts w:ascii="Arial Narrow" w:hAnsi="Arial Narrow"/>
            <w:noProof/>
            <w:webHidden/>
          </w:rPr>
          <w:tab/>
        </w:r>
        <w:r w:rsidR="00D1646E" w:rsidRPr="0035027D">
          <w:rPr>
            <w:rFonts w:ascii="Arial Narrow" w:hAnsi="Arial Narrow"/>
            <w:noProof/>
            <w:webHidden/>
          </w:rPr>
          <w:fldChar w:fldCharType="begin"/>
        </w:r>
        <w:r w:rsidR="00D1646E" w:rsidRPr="0035027D">
          <w:rPr>
            <w:rFonts w:ascii="Arial Narrow" w:hAnsi="Arial Narrow"/>
            <w:noProof/>
            <w:webHidden/>
          </w:rPr>
          <w:instrText xml:space="preserve"> PAGEREF _Toc353563381 \h </w:instrText>
        </w:r>
        <w:r w:rsidR="00D1646E" w:rsidRPr="0035027D">
          <w:rPr>
            <w:rFonts w:ascii="Arial Narrow" w:hAnsi="Arial Narrow"/>
            <w:noProof/>
            <w:webHidden/>
          </w:rPr>
        </w:r>
        <w:r w:rsidR="00D1646E" w:rsidRPr="0035027D">
          <w:rPr>
            <w:rFonts w:ascii="Arial Narrow" w:hAnsi="Arial Narrow"/>
            <w:noProof/>
            <w:webHidden/>
          </w:rPr>
          <w:fldChar w:fldCharType="separate"/>
        </w:r>
        <w:r w:rsidR="007848E4" w:rsidRPr="0035027D">
          <w:rPr>
            <w:rFonts w:ascii="Arial Narrow" w:hAnsi="Arial Narrow"/>
            <w:noProof/>
            <w:webHidden/>
          </w:rPr>
          <w:t>31</w:t>
        </w:r>
        <w:r w:rsidR="00D1646E" w:rsidRPr="0035027D">
          <w:rPr>
            <w:rFonts w:ascii="Arial Narrow" w:hAnsi="Arial Narrow"/>
            <w:noProof/>
            <w:webHidden/>
          </w:rPr>
          <w:fldChar w:fldCharType="end"/>
        </w:r>
      </w:hyperlink>
    </w:p>
    <w:p w:rsidR="00D1646E" w:rsidRPr="0035027D" w:rsidRDefault="00B45609">
      <w:pPr>
        <w:pStyle w:val="Obsah3"/>
        <w:tabs>
          <w:tab w:val="left" w:pos="1100"/>
          <w:tab w:val="right" w:leader="dot" w:pos="9060"/>
        </w:tabs>
        <w:rPr>
          <w:rFonts w:ascii="Arial Narrow" w:eastAsiaTheme="minorEastAsia" w:hAnsi="Arial Narrow" w:cstheme="minorBidi"/>
          <w:noProof/>
          <w:sz w:val="22"/>
          <w:szCs w:val="22"/>
        </w:rPr>
      </w:pPr>
      <w:hyperlink w:anchor="_Toc353563382" w:history="1">
        <w:r w:rsidR="00D1646E" w:rsidRPr="0035027D">
          <w:rPr>
            <w:rStyle w:val="Hypertextovprepojenie"/>
            <w:rFonts w:ascii="Arial Narrow" w:hAnsi="Arial Narrow"/>
            <w:noProof/>
          </w:rPr>
          <w:t>4.3</w:t>
        </w:r>
        <w:r w:rsidR="00D1646E" w:rsidRPr="0035027D">
          <w:rPr>
            <w:rFonts w:ascii="Arial Narrow" w:eastAsiaTheme="minorEastAsia" w:hAnsi="Arial Narrow" w:cstheme="minorBidi"/>
            <w:noProof/>
            <w:sz w:val="22"/>
            <w:szCs w:val="22"/>
          </w:rPr>
          <w:tab/>
        </w:r>
        <w:r w:rsidR="00D1646E" w:rsidRPr="0035027D">
          <w:rPr>
            <w:rStyle w:val="Hypertextovprepojenie"/>
            <w:rFonts w:ascii="Arial Narrow" w:hAnsi="Arial Narrow"/>
            <w:noProof/>
          </w:rPr>
          <w:t>Zamestnanosť a sociálna inklúzia</w:t>
        </w:r>
        <w:r w:rsidR="00D1646E" w:rsidRPr="0035027D">
          <w:rPr>
            <w:rFonts w:ascii="Arial Narrow" w:hAnsi="Arial Narrow"/>
            <w:noProof/>
            <w:webHidden/>
          </w:rPr>
          <w:tab/>
        </w:r>
        <w:r w:rsidR="00D1646E" w:rsidRPr="0035027D">
          <w:rPr>
            <w:rFonts w:ascii="Arial Narrow" w:hAnsi="Arial Narrow"/>
            <w:noProof/>
            <w:webHidden/>
          </w:rPr>
          <w:fldChar w:fldCharType="begin"/>
        </w:r>
        <w:r w:rsidR="00D1646E" w:rsidRPr="0035027D">
          <w:rPr>
            <w:rFonts w:ascii="Arial Narrow" w:hAnsi="Arial Narrow"/>
            <w:noProof/>
            <w:webHidden/>
          </w:rPr>
          <w:instrText xml:space="preserve"> PAGEREF _Toc353563382 \h </w:instrText>
        </w:r>
        <w:r w:rsidR="00D1646E" w:rsidRPr="0035027D">
          <w:rPr>
            <w:rFonts w:ascii="Arial Narrow" w:hAnsi="Arial Narrow"/>
            <w:noProof/>
            <w:webHidden/>
          </w:rPr>
        </w:r>
        <w:r w:rsidR="00D1646E" w:rsidRPr="0035027D">
          <w:rPr>
            <w:rFonts w:ascii="Arial Narrow" w:hAnsi="Arial Narrow"/>
            <w:noProof/>
            <w:webHidden/>
          </w:rPr>
          <w:fldChar w:fldCharType="separate"/>
        </w:r>
        <w:r w:rsidR="007848E4" w:rsidRPr="0035027D">
          <w:rPr>
            <w:rFonts w:ascii="Arial Narrow" w:hAnsi="Arial Narrow"/>
            <w:noProof/>
            <w:webHidden/>
          </w:rPr>
          <w:t>32</w:t>
        </w:r>
        <w:r w:rsidR="00D1646E" w:rsidRPr="0035027D">
          <w:rPr>
            <w:rFonts w:ascii="Arial Narrow" w:hAnsi="Arial Narrow"/>
            <w:noProof/>
            <w:webHidden/>
          </w:rPr>
          <w:fldChar w:fldCharType="end"/>
        </w:r>
      </w:hyperlink>
    </w:p>
    <w:p w:rsidR="00D1646E" w:rsidRPr="0035027D" w:rsidRDefault="00B45609">
      <w:pPr>
        <w:pStyle w:val="Obsah4"/>
        <w:tabs>
          <w:tab w:val="left" w:pos="1320"/>
          <w:tab w:val="right" w:leader="dot" w:pos="9060"/>
        </w:tabs>
        <w:rPr>
          <w:rFonts w:ascii="Arial Narrow" w:eastAsiaTheme="minorEastAsia" w:hAnsi="Arial Narrow" w:cstheme="minorBidi"/>
          <w:noProof/>
          <w:sz w:val="22"/>
          <w:szCs w:val="22"/>
        </w:rPr>
      </w:pPr>
      <w:hyperlink w:anchor="_Toc353563383" w:history="1">
        <w:r w:rsidR="00D1646E" w:rsidRPr="0035027D">
          <w:rPr>
            <w:rStyle w:val="Hypertextovprepojenie"/>
            <w:rFonts w:ascii="Arial Narrow" w:hAnsi="Arial Narrow"/>
            <w:noProof/>
          </w:rPr>
          <w:t>4.3.1</w:t>
        </w:r>
        <w:r w:rsidR="00D1646E" w:rsidRPr="0035027D">
          <w:rPr>
            <w:rFonts w:ascii="Arial Narrow" w:eastAsiaTheme="minorEastAsia" w:hAnsi="Arial Narrow" w:cstheme="minorBidi"/>
            <w:noProof/>
            <w:sz w:val="22"/>
            <w:szCs w:val="22"/>
          </w:rPr>
          <w:tab/>
        </w:r>
        <w:r w:rsidR="00D1646E" w:rsidRPr="0035027D">
          <w:rPr>
            <w:rStyle w:val="Hypertextovprepojenie"/>
            <w:rFonts w:ascii="Arial Narrow" w:hAnsi="Arial Narrow"/>
            <w:noProof/>
          </w:rPr>
          <w:t>Zamestnanosť</w:t>
        </w:r>
        <w:r w:rsidR="00D1646E" w:rsidRPr="0035027D">
          <w:rPr>
            <w:rFonts w:ascii="Arial Narrow" w:hAnsi="Arial Narrow"/>
            <w:noProof/>
            <w:webHidden/>
          </w:rPr>
          <w:tab/>
        </w:r>
        <w:r w:rsidR="00D1646E" w:rsidRPr="0035027D">
          <w:rPr>
            <w:rFonts w:ascii="Arial Narrow" w:hAnsi="Arial Narrow"/>
            <w:noProof/>
            <w:webHidden/>
          </w:rPr>
          <w:fldChar w:fldCharType="begin"/>
        </w:r>
        <w:r w:rsidR="00D1646E" w:rsidRPr="0035027D">
          <w:rPr>
            <w:rFonts w:ascii="Arial Narrow" w:hAnsi="Arial Narrow"/>
            <w:noProof/>
            <w:webHidden/>
          </w:rPr>
          <w:instrText xml:space="preserve"> PAGEREF _Toc353563383 \h </w:instrText>
        </w:r>
        <w:r w:rsidR="00D1646E" w:rsidRPr="0035027D">
          <w:rPr>
            <w:rFonts w:ascii="Arial Narrow" w:hAnsi="Arial Narrow"/>
            <w:noProof/>
            <w:webHidden/>
          </w:rPr>
        </w:r>
        <w:r w:rsidR="00D1646E" w:rsidRPr="0035027D">
          <w:rPr>
            <w:rFonts w:ascii="Arial Narrow" w:hAnsi="Arial Narrow"/>
            <w:noProof/>
            <w:webHidden/>
          </w:rPr>
          <w:fldChar w:fldCharType="separate"/>
        </w:r>
        <w:r w:rsidR="007848E4" w:rsidRPr="0035027D">
          <w:rPr>
            <w:rFonts w:ascii="Arial Narrow" w:hAnsi="Arial Narrow"/>
            <w:noProof/>
            <w:webHidden/>
          </w:rPr>
          <w:t>33</w:t>
        </w:r>
        <w:r w:rsidR="00D1646E" w:rsidRPr="0035027D">
          <w:rPr>
            <w:rFonts w:ascii="Arial Narrow" w:hAnsi="Arial Narrow"/>
            <w:noProof/>
            <w:webHidden/>
          </w:rPr>
          <w:fldChar w:fldCharType="end"/>
        </w:r>
      </w:hyperlink>
    </w:p>
    <w:p w:rsidR="00D1646E" w:rsidRPr="0035027D" w:rsidRDefault="00B45609">
      <w:pPr>
        <w:pStyle w:val="Obsah4"/>
        <w:tabs>
          <w:tab w:val="left" w:pos="1320"/>
          <w:tab w:val="right" w:leader="dot" w:pos="9060"/>
        </w:tabs>
        <w:rPr>
          <w:rFonts w:ascii="Arial Narrow" w:eastAsiaTheme="minorEastAsia" w:hAnsi="Arial Narrow" w:cstheme="minorBidi"/>
          <w:noProof/>
          <w:sz w:val="22"/>
          <w:szCs w:val="22"/>
        </w:rPr>
      </w:pPr>
      <w:hyperlink w:anchor="_Toc353563384" w:history="1">
        <w:r w:rsidR="00D1646E" w:rsidRPr="0035027D">
          <w:rPr>
            <w:rStyle w:val="Hypertextovprepojenie"/>
            <w:rFonts w:ascii="Arial Narrow" w:hAnsi="Arial Narrow"/>
            <w:noProof/>
          </w:rPr>
          <w:t>4.3.2</w:t>
        </w:r>
        <w:r w:rsidR="00D1646E" w:rsidRPr="0035027D">
          <w:rPr>
            <w:rFonts w:ascii="Arial Narrow" w:eastAsiaTheme="minorEastAsia" w:hAnsi="Arial Narrow" w:cstheme="minorBidi"/>
            <w:noProof/>
            <w:sz w:val="22"/>
            <w:szCs w:val="22"/>
          </w:rPr>
          <w:tab/>
        </w:r>
        <w:r w:rsidR="00D1646E" w:rsidRPr="0035027D">
          <w:rPr>
            <w:rStyle w:val="Hypertextovprepojenie"/>
            <w:rFonts w:ascii="Arial Narrow" w:hAnsi="Arial Narrow"/>
            <w:noProof/>
          </w:rPr>
          <w:t>Sociálna inklúzia</w:t>
        </w:r>
        <w:r w:rsidR="00D1646E" w:rsidRPr="0035027D">
          <w:rPr>
            <w:rFonts w:ascii="Arial Narrow" w:hAnsi="Arial Narrow"/>
            <w:noProof/>
            <w:webHidden/>
          </w:rPr>
          <w:tab/>
        </w:r>
        <w:r w:rsidR="00D1646E" w:rsidRPr="0035027D">
          <w:rPr>
            <w:rFonts w:ascii="Arial Narrow" w:hAnsi="Arial Narrow"/>
            <w:noProof/>
            <w:webHidden/>
          </w:rPr>
          <w:fldChar w:fldCharType="begin"/>
        </w:r>
        <w:r w:rsidR="00D1646E" w:rsidRPr="0035027D">
          <w:rPr>
            <w:rFonts w:ascii="Arial Narrow" w:hAnsi="Arial Narrow"/>
            <w:noProof/>
            <w:webHidden/>
          </w:rPr>
          <w:instrText xml:space="preserve"> PAGEREF _Toc353563384 \h </w:instrText>
        </w:r>
        <w:r w:rsidR="00D1646E" w:rsidRPr="0035027D">
          <w:rPr>
            <w:rFonts w:ascii="Arial Narrow" w:hAnsi="Arial Narrow"/>
            <w:noProof/>
            <w:webHidden/>
          </w:rPr>
        </w:r>
        <w:r w:rsidR="00D1646E" w:rsidRPr="0035027D">
          <w:rPr>
            <w:rFonts w:ascii="Arial Narrow" w:hAnsi="Arial Narrow"/>
            <w:noProof/>
            <w:webHidden/>
          </w:rPr>
          <w:fldChar w:fldCharType="separate"/>
        </w:r>
        <w:r w:rsidR="007848E4" w:rsidRPr="0035027D">
          <w:rPr>
            <w:rFonts w:ascii="Arial Narrow" w:hAnsi="Arial Narrow"/>
            <w:noProof/>
            <w:webHidden/>
          </w:rPr>
          <w:t>35</w:t>
        </w:r>
        <w:r w:rsidR="00D1646E" w:rsidRPr="0035027D">
          <w:rPr>
            <w:rFonts w:ascii="Arial Narrow" w:hAnsi="Arial Narrow"/>
            <w:noProof/>
            <w:webHidden/>
          </w:rPr>
          <w:fldChar w:fldCharType="end"/>
        </w:r>
      </w:hyperlink>
    </w:p>
    <w:p w:rsidR="00D1646E" w:rsidRPr="0035027D" w:rsidRDefault="00B45609">
      <w:pPr>
        <w:pStyle w:val="Obsah3"/>
        <w:tabs>
          <w:tab w:val="left" w:pos="1100"/>
          <w:tab w:val="right" w:leader="dot" w:pos="9060"/>
        </w:tabs>
        <w:rPr>
          <w:rFonts w:ascii="Arial Narrow" w:eastAsiaTheme="minorEastAsia" w:hAnsi="Arial Narrow" w:cstheme="minorBidi"/>
          <w:noProof/>
          <w:sz w:val="22"/>
          <w:szCs w:val="22"/>
        </w:rPr>
      </w:pPr>
      <w:hyperlink w:anchor="_Toc353563385" w:history="1">
        <w:r w:rsidR="00D1646E" w:rsidRPr="0035027D">
          <w:rPr>
            <w:rStyle w:val="Hypertextovprepojenie"/>
            <w:rFonts w:ascii="Arial Narrow" w:hAnsi="Arial Narrow"/>
            <w:noProof/>
          </w:rPr>
          <w:t>4.4</w:t>
        </w:r>
        <w:r w:rsidR="00D1646E" w:rsidRPr="0035027D">
          <w:rPr>
            <w:rFonts w:ascii="Arial Narrow" w:eastAsiaTheme="minorEastAsia" w:hAnsi="Arial Narrow" w:cstheme="minorBidi"/>
            <w:noProof/>
            <w:sz w:val="22"/>
            <w:szCs w:val="22"/>
          </w:rPr>
          <w:tab/>
        </w:r>
        <w:r w:rsidR="00D1646E" w:rsidRPr="0035027D">
          <w:rPr>
            <w:rStyle w:val="Hypertextovprepojenie"/>
            <w:rFonts w:ascii="Arial Narrow" w:hAnsi="Arial Narrow"/>
            <w:noProof/>
          </w:rPr>
          <w:t>Podnikateľské prostredie</w:t>
        </w:r>
        <w:r w:rsidR="00D1646E" w:rsidRPr="0035027D">
          <w:rPr>
            <w:rFonts w:ascii="Arial Narrow" w:hAnsi="Arial Narrow"/>
            <w:noProof/>
            <w:webHidden/>
          </w:rPr>
          <w:tab/>
        </w:r>
        <w:r w:rsidR="00D1646E" w:rsidRPr="0035027D">
          <w:rPr>
            <w:rFonts w:ascii="Arial Narrow" w:hAnsi="Arial Narrow"/>
            <w:noProof/>
            <w:webHidden/>
          </w:rPr>
          <w:fldChar w:fldCharType="begin"/>
        </w:r>
        <w:r w:rsidR="00D1646E" w:rsidRPr="0035027D">
          <w:rPr>
            <w:rFonts w:ascii="Arial Narrow" w:hAnsi="Arial Narrow"/>
            <w:noProof/>
            <w:webHidden/>
          </w:rPr>
          <w:instrText xml:space="preserve"> PAGEREF _Toc353563385 \h </w:instrText>
        </w:r>
        <w:r w:rsidR="00D1646E" w:rsidRPr="0035027D">
          <w:rPr>
            <w:rFonts w:ascii="Arial Narrow" w:hAnsi="Arial Narrow"/>
            <w:noProof/>
            <w:webHidden/>
          </w:rPr>
        </w:r>
        <w:r w:rsidR="00D1646E" w:rsidRPr="0035027D">
          <w:rPr>
            <w:rFonts w:ascii="Arial Narrow" w:hAnsi="Arial Narrow"/>
            <w:noProof/>
            <w:webHidden/>
          </w:rPr>
          <w:fldChar w:fldCharType="separate"/>
        </w:r>
        <w:r w:rsidR="007848E4" w:rsidRPr="0035027D">
          <w:rPr>
            <w:rFonts w:ascii="Arial Narrow" w:hAnsi="Arial Narrow"/>
            <w:noProof/>
            <w:webHidden/>
          </w:rPr>
          <w:t>36</w:t>
        </w:r>
        <w:r w:rsidR="00D1646E" w:rsidRPr="0035027D">
          <w:rPr>
            <w:rFonts w:ascii="Arial Narrow" w:hAnsi="Arial Narrow"/>
            <w:noProof/>
            <w:webHidden/>
          </w:rPr>
          <w:fldChar w:fldCharType="end"/>
        </w:r>
      </w:hyperlink>
    </w:p>
    <w:p w:rsidR="00D1646E" w:rsidRPr="0035027D" w:rsidRDefault="00B45609">
      <w:pPr>
        <w:pStyle w:val="Obsah3"/>
        <w:tabs>
          <w:tab w:val="left" w:pos="1100"/>
          <w:tab w:val="right" w:leader="dot" w:pos="9060"/>
        </w:tabs>
        <w:rPr>
          <w:rFonts w:ascii="Arial Narrow" w:eastAsiaTheme="minorEastAsia" w:hAnsi="Arial Narrow" w:cstheme="minorBidi"/>
          <w:noProof/>
          <w:sz w:val="22"/>
          <w:szCs w:val="22"/>
        </w:rPr>
      </w:pPr>
      <w:hyperlink w:anchor="_Toc353563386" w:history="1">
        <w:r w:rsidR="00D1646E" w:rsidRPr="0035027D">
          <w:rPr>
            <w:rStyle w:val="Hypertextovprepojenie"/>
            <w:rFonts w:ascii="Arial Narrow" w:hAnsi="Arial Narrow"/>
            <w:noProof/>
          </w:rPr>
          <w:t>4.5</w:t>
        </w:r>
        <w:r w:rsidR="00D1646E" w:rsidRPr="0035027D">
          <w:rPr>
            <w:rFonts w:ascii="Arial Narrow" w:eastAsiaTheme="minorEastAsia" w:hAnsi="Arial Narrow" w:cstheme="minorBidi"/>
            <w:noProof/>
            <w:sz w:val="22"/>
            <w:szCs w:val="22"/>
          </w:rPr>
          <w:tab/>
        </w:r>
        <w:r w:rsidR="00D1646E" w:rsidRPr="0035027D">
          <w:rPr>
            <w:rStyle w:val="Hypertextovprepojenie"/>
            <w:rFonts w:ascii="Arial Narrow" w:hAnsi="Arial Narrow"/>
            <w:noProof/>
          </w:rPr>
          <w:t>Dopravná infraštruktúra a telekomunikácie</w:t>
        </w:r>
        <w:r w:rsidR="00D1646E" w:rsidRPr="0035027D">
          <w:rPr>
            <w:rFonts w:ascii="Arial Narrow" w:hAnsi="Arial Narrow"/>
            <w:noProof/>
            <w:webHidden/>
          </w:rPr>
          <w:tab/>
        </w:r>
        <w:r w:rsidR="00D1646E" w:rsidRPr="0035027D">
          <w:rPr>
            <w:rFonts w:ascii="Arial Narrow" w:hAnsi="Arial Narrow"/>
            <w:noProof/>
            <w:webHidden/>
          </w:rPr>
          <w:fldChar w:fldCharType="begin"/>
        </w:r>
        <w:r w:rsidR="00D1646E" w:rsidRPr="0035027D">
          <w:rPr>
            <w:rFonts w:ascii="Arial Narrow" w:hAnsi="Arial Narrow"/>
            <w:noProof/>
            <w:webHidden/>
          </w:rPr>
          <w:instrText xml:space="preserve"> PAGEREF _Toc353563386 \h </w:instrText>
        </w:r>
        <w:r w:rsidR="00D1646E" w:rsidRPr="0035027D">
          <w:rPr>
            <w:rFonts w:ascii="Arial Narrow" w:hAnsi="Arial Narrow"/>
            <w:noProof/>
            <w:webHidden/>
          </w:rPr>
        </w:r>
        <w:r w:rsidR="00D1646E" w:rsidRPr="0035027D">
          <w:rPr>
            <w:rFonts w:ascii="Arial Narrow" w:hAnsi="Arial Narrow"/>
            <w:noProof/>
            <w:webHidden/>
          </w:rPr>
          <w:fldChar w:fldCharType="separate"/>
        </w:r>
        <w:r w:rsidR="007848E4" w:rsidRPr="0035027D">
          <w:rPr>
            <w:rFonts w:ascii="Arial Narrow" w:hAnsi="Arial Narrow"/>
            <w:noProof/>
            <w:webHidden/>
          </w:rPr>
          <w:t>39</w:t>
        </w:r>
        <w:r w:rsidR="00D1646E" w:rsidRPr="0035027D">
          <w:rPr>
            <w:rFonts w:ascii="Arial Narrow" w:hAnsi="Arial Narrow"/>
            <w:noProof/>
            <w:webHidden/>
          </w:rPr>
          <w:fldChar w:fldCharType="end"/>
        </w:r>
      </w:hyperlink>
    </w:p>
    <w:p w:rsidR="00D1646E" w:rsidRPr="0035027D" w:rsidRDefault="00B45609">
      <w:pPr>
        <w:pStyle w:val="Obsah3"/>
        <w:tabs>
          <w:tab w:val="left" w:pos="1100"/>
          <w:tab w:val="right" w:leader="dot" w:pos="9060"/>
        </w:tabs>
        <w:rPr>
          <w:rFonts w:ascii="Arial Narrow" w:eastAsiaTheme="minorEastAsia" w:hAnsi="Arial Narrow" w:cstheme="minorBidi"/>
          <w:noProof/>
          <w:sz w:val="22"/>
          <w:szCs w:val="22"/>
        </w:rPr>
      </w:pPr>
      <w:hyperlink w:anchor="_Toc353563387" w:history="1">
        <w:r w:rsidR="00D1646E" w:rsidRPr="0035027D">
          <w:rPr>
            <w:rStyle w:val="Hypertextovprepojenie"/>
            <w:rFonts w:ascii="Arial Narrow" w:hAnsi="Arial Narrow"/>
            <w:noProof/>
          </w:rPr>
          <w:t>4.6</w:t>
        </w:r>
        <w:r w:rsidR="00D1646E" w:rsidRPr="0035027D">
          <w:rPr>
            <w:rFonts w:ascii="Arial Narrow" w:eastAsiaTheme="minorEastAsia" w:hAnsi="Arial Narrow" w:cstheme="minorBidi"/>
            <w:noProof/>
            <w:sz w:val="22"/>
            <w:szCs w:val="22"/>
          </w:rPr>
          <w:tab/>
        </w:r>
        <w:r w:rsidR="00D1646E" w:rsidRPr="0035027D">
          <w:rPr>
            <w:rStyle w:val="Hypertextovprepojenie"/>
            <w:rFonts w:ascii="Arial Narrow" w:hAnsi="Arial Narrow"/>
            <w:noProof/>
          </w:rPr>
          <w:t>Modernizácia verejnej správy</w:t>
        </w:r>
        <w:r w:rsidR="00D1646E" w:rsidRPr="0035027D">
          <w:rPr>
            <w:rFonts w:ascii="Arial Narrow" w:hAnsi="Arial Narrow"/>
            <w:noProof/>
            <w:webHidden/>
          </w:rPr>
          <w:tab/>
        </w:r>
        <w:r w:rsidR="00D1646E" w:rsidRPr="0035027D">
          <w:rPr>
            <w:rFonts w:ascii="Arial Narrow" w:hAnsi="Arial Narrow"/>
            <w:noProof/>
            <w:webHidden/>
          </w:rPr>
          <w:fldChar w:fldCharType="begin"/>
        </w:r>
        <w:r w:rsidR="00D1646E" w:rsidRPr="0035027D">
          <w:rPr>
            <w:rFonts w:ascii="Arial Narrow" w:hAnsi="Arial Narrow"/>
            <w:noProof/>
            <w:webHidden/>
          </w:rPr>
          <w:instrText xml:space="preserve"> PAGEREF _Toc353563387 \h </w:instrText>
        </w:r>
        <w:r w:rsidR="00D1646E" w:rsidRPr="0035027D">
          <w:rPr>
            <w:rFonts w:ascii="Arial Narrow" w:hAnsi="Arial Narrow"/>
            <w:noProof/>
            <w:webHidden/>
          </w:rPr>
        </w:r>
        <w:r w:rsidR="00D1646E" w:rsidRPr="0035027D">
          <w:rPr>
            <w:rFonts w:ascii="Arial Narrow" w:hAnsi="Arial Narrow"/>
            <w:noProof/>
            <w:webHidden/>
          </w:rPr>
          <w:fldChar w:fldCharType="separate"/>
        </w:r>
        <w:r w:rsidR="007848E4" w:rsidRPr="0035027D">
          <w:rPr>
            <w:rFonts w:ascii="Arial Narrow" w:hAnsi="Arial Narrow"/>
            <w:noProof/>
            <w:webHidden/>
          </w:rPr>
          <w:t>41</w:t>
        </w:r>
        <w:r w:rsidR="00D1646E" w:rsidRPr="0035027D">
          <w:rPr>
            <w:rFonts w:ascii="Arial Narrow" w:hAnsi="Arial Narrow"/>
            <w:noProof/>
            <w:webHidden/>
          </w:rPr>
          <w:fldChar w:fldCharType="end"/>
        </w:r>
      </w:hyperlink>
    </w:p>
    <w:p w:rsidR="00D1646E" w:rsidRPr="0035027D" w:rsidRDefault="00B45609">
      <w:pPr>
        <w:pStyle w:val="Obsah3"/>
        <w:tabs>
          <w:tab w:val="left" w:pos="1100"/>
          <w:tab w:val="right" w:leader="dot" w:pos="9060"/>
        </w:tabs>
        <w:rPr>
          <w:rFonts w:ascii="Arial Narrow" w:eastAsiaTheme="minorEastAsia" w:hAnsi="Arial Narrow" w:cstheme="minorBidi"/>
          <w:noProof/>
          <w:sz w:val="22"/>
          <w:szCs w:val="22"/>
        </w:rPr>
      </w:pPr>
      <w:hyperlink w:anchor="_Toc353563388" w:history="1">
        <w:r w:rsidR="00D1646E" w:rsidRPr="0035027D">
          <w:rPr>
            <w:rStyle w:val="Hypertextovprepojenie"/>
            <w:rFonts w:ascii="Arial Narrow" w:hAnsi="Arial Narrow"/>
            <w:noProof/>
          </w:rPr>
          <w:t>4.7</w:t>
        </w:r>
        <w:r w:rsidR="00D1646E" w:rsidRPr="0035027D">
          <w:rPr>
            <w:rFonts w:ascii="Arial Narrow" w:eastAsiaTheme="minorEastAsia" w:hAnsi="Arial Narrow" w:cstheme="minorBidi"/>
            <w:noProof/>
            <w:sz w:val="22"/>
            <w:szCs w:val="22"/>
          </w:rPr>
          <w:tab/>
        </w:r>
        <w:r w:rsidR="00D1646E" w:rsidRPr="0035027D">
          <w:rPr>
            <w:rStyle w:val="Hypertextovprepojenie"/>
            <w:rFonts w:ascii="Arial Narrow" w:hAnsi="Arial Narrow"/>
            <w:noProof/>
          </w:rPr>
          <w:t>Transparentné prostredie a vymožiteľnosť práva</w:t>
        </w:r>
        <w:r w:rsidR="00D1646E" w:rsidRPr="0035027D">
          <w:rPr>
            <w:rFonts w:ascii="Arial Narrow" w:hAnsi="Arial Narrow"/>
            <w:noProof/>
            <w:webHidden/>
          </w:rPr>
          <w:tab/>
        </w:r>
        <w:r w:rsidR="00D1646E" w:rsidRPr="0035027D">
          <w:rPr>
            <w:rFonts w:ascii="Arial Narrow" w:hAnsi="Arial Narrow"/>
            <w:noProof/>
            <w:webHidden/>
          </w:rPr>
          <w:fldChar w:fldCharType="begin"/>
        </w:r>
        <w:r w:rsidR="00D1646E" w:rsidRPr="0035027D">
          <w:rPr>
            <w:rFonts w:ascii="Arial Narrow" w:hAnsi="Arial Narrow"/>
            <w:noProof/>
            <w:webHidden/>
          </w:rPr>
          <w:instrText xml:space="preserve"> PAGEREF _Toc353563388 \h </w:instrText>
        </w:r>
        <w:r w:rsidR="00D1646E" w:rsidRPr="0035027D">
          <w:rPr>
            <w:rFonts w:ascii="Arial Narrow" w:hAnsi="Arial Narrow"/>
            <w:noProof/>
            <w:webHidden/>
          </w:rPr>
        </w:r>
        <w:r w:rsidR="00D1646E" w:rsidRPr="0035027D">
          <w:rPr>
            <w:rFonts w:ascii="Arial Narrow" w:hAnsi="Arial Narrow"/>
            <w:noProof/>
            <w:webHidden/>
          </w:rPr>
          <w:fldChar w:fldCharType="separate"/>
        </w:r>
        <w:r w:rsidR="007848E4" w:rsidRPr="0035027D">
          <w:rPr>
            <w:rFonts w:ascii="Arial Narrow" w:hAnsi="Arial Narrow"/>
            <w:noProof/>
            <w:webHidden/>
          </w:rPr>
          <w:t>43</w:t>
        </w:r>
        <w:r w:rsidR="00D1646E" w:rsidRPr="0035027D">
          <w:rPr>
            <w:rFonts w:ascii="Arial Narrow" w:hAnsi="Arial Narrow"/>
            <w:noProof/>
            <w:webHidden/>
          </w:rPr>
          <w:fldChar w:fldCharType="end"/>
        </w:r>
      </w:hyperlink>
    </w:p>
    <w:p w:rsidR="00D1646E" w:rsidRPr="0035027D" w:rsidRDefault="00B45609">
      <w:pPr>
        <w:pStyle w:val="Obsah3"/>
        <w:tabs>
          <w:tab w:val="left" w:pos="1100"/>
          <w:tab w:val="right" w:leader="dot" w:pos="9060"/>
        </w:tabs>
        <w:rPr>
          <w:rFonts w:ascii="Arial Narrow" w:eastAsiaTheme="minorEastAsia" w:hAnsi="Arial Narrow" w:cstheme="minorBidi"/>
          <w:noProof/>
          <w:sz w:val="22"/>
          <w:szCs w:val="22"/>
        </w:rPr>
      </w:pPr>
      <w:hyperlink w:anchor="_Toc353563389" w:history="1">
        <w:r w:rsidR="00D1646E" w:rsidRPr="0035027D">
          <w:rPr>
            <w:rStyle w:val="Hypertextovprepojenie"/>
            <w:rFonts w:ascii="Arial Narrow" w:hAnsi="Arial Narrow"/>
            <w:noProof/>
          </w:rPr>
          <w:t>4.8</w:t>
        </w:r>
        <w:r w:rsidR="00D1646E" w:rsidRPr="0035027D">
          <w:rPr>
            <w:rFonts w:ascii="Arial Narrow" w:eastAsiaTheme="minorEastAsia" w:hAnsi="Arial Narrow" w:cstheme="minorBidi"/>
            <w:noProof/>
            <w:sz w:val="22"/>
            <w:szCs w:val="22"/>
          </w:rPr>
          <w:tab/>
        </w:r>
        <w:r w:rsidR="00D1646E" w:rsidRPr="0035027D">
          <w:rPr>
            <w:rStyle w:val="Hypertextovprepojenie"/>
            <w:rFonts w:ascii="Arial Narrow" w:hAnsi="Arial Narrow"/>
            <w:noProof/>
          </w:rPr>
          <w:t>Zdravie</w:t>
        </w:r>
        <w:r w:rsidR="00D1646E" w:rsidRPr="0035027D">
          <w:rPr>
            <w:rFonts w:ascii="Arial Narrow" w:hAnsi="Arial Narrow"/>
            <w:noProof/>
            <w:webHidden/>
          </w:rPr>
          <w:tab/>
        </w:r>
        <w:r w:rsidR="00D1646E" w:rsidRPr="0035027D">
          <w:rPr>
            <w:rFonts w:ascii="Arial Narrow" w:hAnsi="Arial Narrow"/>
            <w:noProof/>
            <w:webHidden/>
          </w:rPr>
          <w:fldChar w:fldCharType="begin"/>
        </w:r>
        <w:r w:rsidR="00D1646E" w:rsidRPr="0035027D">
          <w:rPr>
            <w:rFonts w:ascii="Arial Narrow" w:hAnsi="Arial Narrow"/>
            <w:noProof/>
            <w:webHidden/>
          </w:rPr>
          <w:instrText xml:space="preserve"> PAGEREF _Toc353563389 \h </w:instrText>
        </w:r>
        <w:r w:rsidR="00D1646E" w:rsidRPr="0035027D">
          <w:rPr>
            <w:rFonts w:ascii="Arial Narrow" w:hAnsi="Arial Narrow"/>
            <w:noProof/>
            <w:webHidden/>
          </w:rPr>
        </w:r>
        <w:r w:rsidR="00D1646E" w:rsidRPr="0035027D">
          <w:rPr>
            <w:rFonts w:ascii="Arial Narrow" w:hAnsi="Arial Narrow"/>
            <w:noProof/>
            <w:webHidden/>
          </w:rPr>
          <w:fldChar w:fldCharType="separate"/>
        </w:r>
        <w:r w:rsidR="007848E4" w:rsidRPr="0035027D">
          <w:rPr>
            <w:rFonts w:ascii="Arial Narrow" w:hAnsi="Arial Narrow"/>
            <w:noProof/>
            <w:webHidden/>
          </w:rPr>
          <w:t>44</w:t>
        </w:r>
        <w:r w:rsidR="00D1646E" w:rsidRPr="0035027D">
          <w:rPr>
            <w:rFonts w:ascii="Arial Narrow" w:hAnsi="Arial Narrow"/>
            <w:noProof/>
            <w:webHidden/>
          </w:rPr>
          <w:fldChar w:fldCharType="end"/>
        </w:r>
      </w:hyperlink>
    </w:p>
    <w:p w:rsidR="00D1646E" w:rsidRPr="0035027D" w:rsidRDefault="00B45609">
      <w:pPr>
        <w:pStyle w:val="Obsah3"/>
        <w:tabs>
          <w:tab w:val="left" w:pos="1100"/>
          <w:tab w:val="right" w:leader="dot" w:pos="9060"/>
        </w:tabs>
        <w:rPr>
          <w:rFonts w:ascii="Arial Narrow" w:eastAsiaTheme="minorEastAsia" w:hAnsi="Arial Narrow" w:cstheme="minorBidi"/>
          <w:noProof/>
          <w:sz w:val="22"/>
          <w:szCs w:val="22"/>
        </w:rPr>
      </w:pPr>
      <w:hyperlink w:anchor="_Toc353563390" w:history="1">
        <w:r w:rsidR="00D1646E" w:rsidRPr="0035027D">
          <w:rPr>
            <w:rStyle w:val="Hypertextovprepojenie"/>
            <w:rFonts w:ascii="Arial Narrow" w:hAnsi="Arial Narrow"/>
            <w:noProof/>
          </w:rPr>
          <w:t>4.9</w:t>
        </w:r>
        <w:r w:rsidR="00D1646E" w:rsidRPr="0035027D">
          <w:rPr>
            <w:rFonts w:ascii="Arial Narrow" w:eastAsiaTheme="minorEastAsia" w:hAnsi="Arial Narrow" w:cstheme="minorBidi"/>
            <w:noProof/>
            <w:sz w:val="22"/>
            <w:szCs w:val="22"/>
          </w:rPr>
          <w:tab/>
        </w:r>
        <w:r w:rsidR="00D1646E" w:rsidRPr="0035027D">
          <w:rPr>
            <w:rStyle w:val="Hypertextovprepojenie"/>
            <w:rFonts w:ascii="Arial Narrow" w:hAnsi="Arial Narrow"/>
            <w:noProof/>
          </w:rPr>
          <w:t>Environmentálna udržateľnosť a energetika</w:t>
        </w:r>
        <w:r w:rsidR="00D1646E" w:rsidRPr="0035027D">
          <w:rPr>
            <w:rFonts w:ascii="Arial Narrow" w:hAnsi="Arial Narrow"/>
            <w:noProof/>
            <w:webHidden/>
          </w:rPr>
          <w:tab/>
        </w:r>
        <w:r w:rsidR="00D1646E" w:rsidRPr="0035027D">
          <w:rPr>
            <w:rFonts w:ascii="Arial Narrow" w:hAnsi="Arial Narrow"/>
            <w:noProof/>
            <w:webHidden/>
          </w:rPr>
          <w:fldChar w:fldCharType="begin"/>
        </w:r>
        <w:r w:rsidR="00D1646E" w:rsidRPr="0035027D">
          <w:rPr>
            <w:rFonts w:ascii="Arial Narrow" w:hAnsi="Arial Narrow"/>
            <w:noProof/>
            <w:webHidden/>
          </w:rPr>
          <w:instrText xml:space="preserve"> PAGEREF _Toc353563390 \h </w:instrText>
        </w:r>
        <w:r w:rsidR="00D1646E" w:rsidRPr="0035027D">
          <w:rPr>
            <w:rFonts w:ascii="Arial Narrow" w:hAnsi="Arial Narrow"/>
            <w:noProof/>
            <w:webHidden/>
          </w:rPr>
        </w:r>
        <w:r w:rsidR="00D1646E" w:rsidRPr="0035027D">
          <w:rPr>
            <w:rFonts w:ascii="Arial Narrow" w:hAnsi="Arial Narrow"/>
            <w:noProof/>
            <w:webHidden/>
          </w:rPr>
          <w:fldChar w:fldCharType="separate"/>
        </w:r>
        <w:r w:rsidR="007848E4" w:rsidRPr="0035027D">
          <w:rPr>
            <w:rFonts w:ascii="Arial Narrow" w:hAnsi="Arial Narrow"/>
            <w:noProof/>
            <w:webHidden/>
          </w:rPr>
          <w:t>47</w:t>
        </w:r>
        <w:r w:rsidR="00D1646E" w:rsidRPr="0035027D">
          <w:rPr>
            <w:rFonts w:ascii="Arial Narrow" w:hAnsi="Arial Narrow"/>
            <w:noProof/>
            <w:webHidden/>
          </w:rPr>
          <w:fldChar w:fldCharType="end"/>
        </w:r>
      </w:hyperlink>
    </w:p>
    <w:p w:rsidR="00D1646E" w:rsidRPr="0035027D" w:rsidRDefault="00B45609">
      <w:pPr>
        <w:pStyle w:val="Obsah1"/>
        <w:tabs>
          <w:tab w:val="left" w:pos="440"/>
          <w:tab w:val="right" w:leader="dot" w:pos="9060"/>
        </w:tabs>
        <w:rPr>
          <w:rFonts w:ascii="Arial Narrow" w:eastAsiaTheme="minorEastAsia" w:hAnsi="Arial Narrow" w:cstheme="minorBidi"/>
          <w:b w:val="0"/>
          <w:bCs w:val="0"/>
          <w:noProof/>
          <w:sz w:val="22"/>
          <w:szCs w:val="22"/>
        </w:rPr>
      </w:pPr>
      <w:hyperlink w:anchor="_Toc353563391" w:history="1">
        <w:r w:rsidR="00D1646E" w:rsidRPr="0035027D">
          <w:rPr>
            <w:rStyle w:val="Hypertextovprepojenie"/>
            <w:rFonts w:ascii="Arial Narrow" w:hAnsi="Arial Narrow"/>
            <w:noProof/>
            <w:lang w:eastAsia="cs-CZ"/>
          </w:rPr>
          <w:t>5</w:t>
        </w:r>
        <w:r w:rsidR="00D1646E" w:rsidRPr="0035027D">
          <w:rPr>
            <w:rFonts w:ascii="Arial Narrow" w:eastAsiaTheme="minorEastAsia" w:hAnsi="Arial Narrow" w:cstheme="minorBidi"/>
            <w:b w:val="0"/>
            <w:bCs w:val="0"/>
            <w:noProof/>
            <w:sz w:val="22"/>
            <w:szCs w:val="22"/>
          </w:rPr>
          <w:tab/>
        </w:r>
        <w:r w:rsidR="00D1646E" w:rsidRPr="0035027D">
          <w:rPr>
            <w:rStyle w:val="Hypertextovprepojenie"/>
            <w:rFonts w:ascii="Arial Narrow" w:hAnsi="Arial Narrow"/>
            <w:noProof/>
            <w:lang w:eastAsia="cs-CZ"/>
          </w:rPr>
          <w:t>Politika súdržnosti EÚ v programovom období 2014 - 2020</w:t>
        </w:r>
        <w:r w:rsidR="00D1646E" w:rsidRPr="0035027D">
          <w:rPr>
            <w:rFonts w:ascii="Arial Narrow" w:hAnsi="Arial Narrow"/>
            <w:noProof/>
            <w:webHidden/>
          </w:rPr>
          <w:tab/>
        </w:r>
        <w:r w:rsidR="00D1646E" w:rsidRPr="0035027D">
          <w:rPr>
            <w:rFonts w:ascii="Arial Narrow" w:hAnsi="Arial Narrow"/>
            <w:noProof/>
            <w:webHidden/>
          </w:rPr>
          <w:fldChar w:fldCharType="begin"/>
        </w:r>
        <w:r w:rsidR="00D1646E" w:rsidRPr="0035027D">
          <w:rPr>
            <w:rFonts w:ascii="Arial Narrow" w:hAnsi="Arial Narrow"/>
            <w:noProof/>
            <w:webHidden/>
          </w:rPr>
          <w:instrText xml:space="preserve"> PAGEREF _Toc353563391 \h </w:instrText>
        </w:r>
        <w:r w:rsidR="00D1646E" w:rsidRPr="0035027D">
          <w:rPr>
            <w:rFonts w:ascii="Arial Narrow" w:hAnsi="Arial Narrow"/>
            <w:noProof/>
            <w:webHidden/>
          </w:rPr>
        </w:r>
        <w:r w:rsidR="00D1646E" w:rsidRPr="0035027D">
          <w:rPr>
            <w:rFonts w:ascii="Arial Narrow" w:hAnsi="Arial Narrow"/>
            <w:noProof/>
            <w:webHidden/>
          </w:rPr>
          <w:fldChar w:fldCharType="separate"/>
        </w:r>
        <w:r w:rsidR="007848E4" w:rsidRPr="0035027D">
          <w:rPr>
            <w:rFonts w:ascii="Arial Narrow" w:hAnsi="Arial Narrow"/>
            <w:noProof/>
            <w:webHidden/>
          </w:rPr>
          <w:t>51</w:t>
        </w:r>
        <w:r w:rsidR="00D1646E" w:rsidRPr="0035027D">
          <w:rPr>
            <w:rFonts w:ascii="Arial Narrow" w:hAnsi="Arial Narrow"/>
            <w:noProof/>
            <w:webHidden/>
          </w:rPr>
          <w:fldChar w:fldCharType="end"/>
        </w:r>
      </w:hyperlink>
    </w:p>
    <w:p w:rsidR="00D1646E" w:rsidRPr="0035027D" w:rsidRDefault="00B45609">
      <w:pPr>
        <w:pStyle w:val="Obsah1"/>
        <w:tabs>
          <w:tab w:val="left" w:pos="440"/>
          <w:tab w:val="right" w:leader="dot" w:pos="9060"/>
        </w:tabs>
        <w:rPr>
          <w:rFonts w:ascii="Arial Narrow" w:eastAsiaTheme="minorEastAsia" w:hAnsi="Arial Narrow" w:cstheme="minorBidi"/>
          <w:b w:val="0"/>
          <w:bCs w:val="0"/>
          <w:noProof/>
          <w:sz w:val="22"/>
          <w:szCs w:val="22"/>
        </w:rPr>
      </w:pPr>
      <w:hyperlink w:anchor="_Toc353563392" w:history="1">
        <w:r w:rsidR="00D1646E" w:rsidRPr="0035027D">
          <w:rPr>
            <w:rStyle w:val="Hypertextovprepojenie"/>
            <w:rFonts w:ascii="Arial Narrow" w:hAnsi="Arial Narrow"/>
            <w:noProof/>
          </w:rPr>
          <w:t>6</w:t>
        </w:r>
        <w:r w:rsidR="00D1646E" w:rsidRPr="0035027D">
          <w:rPr>
            <w:rFonts w:ascii="Arial Narrow" w:eastAsiaTheme="minorEastAsia" w:hAnsi="Arial Narrow" w:cstheme="minorBidi"/>
            <w:b w:val="0"/>
            <w:bCs w:val="0"/>
            <w:noProof/>
            <w:sz w:val="22"/>
            <w:szCs w:val="22"/>
          </w:rPr>
          <w:tab/>
        </w:r>
        <w:r w:rsidR="00D1646E" w:rsidRPr="0035027D">
          <w:rPr>
            <w:rStyle w:val="Hypertextovprepojenie"/>
            <w:rFonts w:ascii="Arial Narrow" w:hAnsi="Arial Narrow"/>
            <w:noProof/>
          </w:rPr>
          <w:t>Inštitucionálne zabezpečenie Stratégie Európa 2020 v SR</w:t>
        </w:r>
        <w:r w:rsidR="00D1646E" w:rsidRPr="0035027D">
          <w:rPr>
            <w:rFonts w:ascii="Arial Narrow" w:hAnsi="Arial Narrow"/>
            <w:noProof/>
            <w:webHidden/>
          </w:rPr>
          <w:tab/>
        </w:r>
        <w:r w:rsidR="00D1646E" w:rsidRPr="0035027D">
          <w:rPr>
            <w:rFonts w:ascii="Arial Narrow" w:hAnsi="Arial Narrow"/>
            <w:noProof/>
            <w:webHidden/>
          </w:rPr>
          <w:fldChar w:fldCharType="begin"/>
        </w:r>
        <w:r w:rsidR="00D1646E" w:rsidRPr="0035027D">
          <w:rPr>
            <w:rFonts w:ascii="Arial Narrow" w:hAnsi="Arial Narrow"/>
            <w:noProof/>
            <w:webHidden/>
          </w:rPr>
          <w:instrText xml:space="preserve"> PAGEREF _Toc353563392 \h </w:instrText>
        </w:r>
        <w:r w:rsidR="00D1646E" w:rsidRPr="0035027D">
          <w:rPr>
            <w:rFonts w:ascii="Arial Narrow" w:hAnsi="Arial Narrow"/>
            <w:noProof/>
            <w:webHidden/>
          </w:rPr>
        </w:r>
        <w:r w:rsidR="00D1646E" w:rsidRPr="0035027D">
          <w:rPr>
            <w:rFonts w:ascii="Arial Narrow" w:hAnsi="Arial Narrow"/>
            <w:noProof/>
            <w:webHidden/>
          </w:rPr>
          <w:fldChar w:fldCharType="separate"/>
        </w:r>
        <w:r w:rsidR="007848E4" w:rsidRPr="0035027D">
          <w:rPr>
            <w:rFonts w:ascii="Arial Narrow" w:hAnsi="Arial Narrow"/>
            <w:noProof/>
            <w:webHidden/>
          </w:rPr>
          <w:t>54</w:t>
        </w:r>
        <w:r w:rsidR="00D1646E" w:rsidRPr="0035027D">
          <w:rPr>
            <w:rFonts w:ascii="Arial Narrow" w:hAnsi="Arial Narrow"/>
            <w:noProof/>
            <w:webHidden/>
          </w:rPr>
          <w:fldChar w:fldCharType="end"/>
        </w:r>
      </w:hyperlink>
    </w:p>
    <w:p w:rsidR="00D1646E" w:rsidRPr="0035027D" w:rsidRDefault="00B45609">
      <w:pPr>
        <w:pStyle w:val="Obsah1"/>
        <w:tabs>
          <w:tab w:val="right" w:leader="dot" w:pos="9060"/>
        </w:tabs>
        <w:rPr>
          <w:rFonts w:ascii="Arial Narrow" w:eastAsiaTheme="minorEastAsia" w:hAnsi="Arial Narrow" w:cstheme="minorBidi"/>
          <w:b w:val="0"/>
          <w:bCs w:val="0"/>
          <w:noProof/>
          <w:sz w:val="22"/>
          <w:szCs w:val="22"/>
        </w:rPr>
      </w:pPr>
      <w:hyperlink w:anchor="_Toc353563393" w:history="1">
        <w:r w:rsidR="00D1646E" w:rsidRPr="0035027D">
          <w:rPr>
            <w:rStyle w:val="Hypertextovprepojenie"/>
            <w:rFonts w:ascii="Arial Narrow" w:hAnsi="Arial Narrow"/>
            <w:noProof/>
          </w:rPr>
          <w:t>Príloha č. 1 – Národné ciele Stratégie Európa 2020</w:t>
        </w:r>
        <w:r w:rsidR="00D1646E" w:rsidRPr="0035027D">
          <w:rPr>
            <w:rFonts w:ascii="Arial Narrow" w:hAnsi="Arial Narrow"/>
            <w:noProof/>
            <w:webHidden/>
          </w:rPr>
          <w:tab/>
        </w:r>
        <w:r w:rsidR="00D1646E" w:rsidRPr="0035027D">
          <w:rPr>
            <w:rFonts w:ascii="Arial Narrow" w:hAnsi="Arial Narrow"/>
            <w:noProof/>
            <w:webHidden/>
          </w:rPr>
          <w:fldChar w:fldCharType="begin"/>
        </w:r>
        <w:r w:rsidR="00D1646E" w:rsidRPr="0035027D">
          <w:rPr>
            <w:rFonts w:ascii="Arial Narrow" w:hAnsi="Arial Narrow"/>
            <w:noProof/>
            <w:webHidden/>
          </w:rPr>
          <w:instrText xml:space="preserve"> PAGEREF _Toc353563393 \h </w:instrText>
        </w:r>
        <w:r w:rsidR="00D1646E" w:rsidRPr="0035027D">
          <w:rPr>
            <w:rFonts w:ascii="Arial Narrow" w:hAnsi="Arial Narrow"/>
            <w:noProof/>
            <w:webHidden/>
          </w:rPr>
        </w:r>
        <w:r w:rsidR="00D1646E" w:rsidRPr="0035027D">
          <w:rPr>
            <w:rFonts w:ascii="Arial Narrow" w:hAnsi="Arial Narrow"/>
            <w:noProof/>
            <w:webHidden/>
          </w:rPr>
          <w:fldChar w:fldCharType="separate"/>
        </w:r>
        <w:r w:rsidR="007848E4" w:rsidRPr="0035027D">
          <w:rPr>
            <w:rFonts w:ascii="Arial Narrow" w:hAnsi="Arial Narrow"/>
            <w:noProof/>
            <w:webHidden/>
          </w:rPr>
          <w:t>55</w:t>
        </w:r>
        <w:r w:rsidR="00D1646E" w:rsidRPr="0035027D">
          <w:rPr>
            <w:rFonts w:ascii="Arial Narrow" w:hAnsi="Arial Narrow"/>
            <w:noProof/>
            <w:webHidden/>
          </w:rPr>
          <w:fldChar w:fldCharType="end"/>
        </w:r>
      </w:hyperlink>
    </w:p>
    <w:p w:rsidR="003B7F7A" w:rsidRPr="0035027D" w:rsidRDefault="0068444F" w:rsidP="00C61270">
      <w:pPr>
        <w:pStyle w:val="Nadpis1"/>
        <w:tabs>
          <w:tab w:val="clear" w:pos="432"/>
        </w:tabs>
        <w:spacing w:before="0"/>
        <w:ind w:left="0" w:firstLine="0"/>
        <w:rPr>
          <w:b w:val="0"/>
          <w:bCs w:val="0"/>
          <w:sz w:val="22"/>
          <w:szCs w:val="22"/>
        </w:rPr>
      </w:pPr>
      <w:r w:rsidRPr="0035027D">
        <w:rPr>
          <w:noProof/>
          <w:sz w:val="22"/>
          <w:szCs w:val="22"/>
        </w:rPr>
        <w:fldChar w:fldCharType="end"/>
      </w:r>
    </w:p>
    <w:p w:rsidR="00F23D05" w:rsidRPr="0035027D" w:rsidRDefault="003B7F7A" w:rsidP="00F23D05">
      <w:pPr>
        <w:pBdr>
          <w:bottom w:val="single" w:sz="4" w:space="1" w:color="auto"/>
        </w:pBdr>
        <w:rPr>
          <w:b/>
        </w:rPr>
      </w:pPr>
      <w:bookmarkStart w:id="7" w:name="_GoBack"/>
      <w:bookmarkEnd w:id="7"/>
      <w:r w:rsidRPr="0035027D">
        <w:br w:type="page"/>
      </w:r>
      <w:bookmarkStart w:id="8" w:name="_Toc239756403"/>
      <w:bookmarkStart w:id="9" w:name="_Toc240168567"/>
      <w:bookmarkStart w:id="10" w:name="_Toc241307751"/>
      <w:bookmarkStart w:id="11" w:name="_Toc320096488"/>
      <w:bookmarkStart w:id="12" w:name="_Toc320096628"/>
      <w:bookmarkEnd w:id="1"/>
      <w:bookmarkEnd w:id="2"/>
      <w:bookmarkEnd w:id="3"/>
      <w:bookmarkEnd w:id="4"/>
      <w:bookmarkEnd w:id="5"/>
      <w:r w:rsidR="00F23D05" w:rsidRPr="0035027D">
        <w:rPr>
          <w:b/>
        </w:rPr>
        <w:lastRenderedPageBreak/>
        <w:t>Zoznam boxov</w:t>
      </w:r>
    </w:p>
    <w:p w:rsidR="00F23D05" w:rsidRPr="00526C82" w:rsidRDefault="00F23D05" w:rsidP="00B225AF">
      <w:pPr>
        <w:spacing w:after="0"/>
      </w:pPr>
      <w:r w:rsidRPr="0035027D">
        <w:t>Box 1: Východiská NPR v kontexte koordinácie politík EÚ.................................................</w:t>
      </w:r>
      <w:r w:rsidR="00B225AF">
        <w:t>..............................</w:t>
      </w:r>
      <w:r w:rsidRPr="0035027D">
        <w:t>....</w:t>
      </w:r>
      <w:r w:rsidR="00526C82">
        <w:t>.</w:t>
      </w:r>
      <w:r w:rsidR="00B225AF" w:rsidRPr="00526C82">
        <w:t>5</w:t>
      </w:r>
    </w:p>
    <w:p w:rsidR="00F23D05" w:rsidRPr="0035027D" w:rsidRDefault="00F23D05" w:rsidP="00B225AF">
      <w:pPr>
        <w:spacing w:after="0"/>
      </w:pPr>
      <w:r w:rsidRPr="0035027D">
        <w:t>Box 2: Reforma aktívnych politík trhu práce (APTP).........................................................</w:t>
      </w:r>
      <w:r w:rsidR="00B225AF">
        <w:t>.................................</w:t>
      </w:r>
      <w:r w:rsidRPr="0035027D">
        <w:t>...</w:t>
      </w:r>
      <w:r w:rsidR="00B225AF">
        <w:t>13</w:t>
      </w:r>
    </w:p>
    <w:p w:rsidR="00F23D05" w:rsidRPr="0035027D" w:rsidRDefault="00851094" w:rsidP="00B225AF">
      <w:pPr>
        <w:spacing w:after="0"/>
      </w:pPr>
      <w:r w:rsidRPr="0035027D">
        <w:t>Box 3: Novela zákona o vysokých školách.......................................................................</w:t>
      </w:r>
      <w:r w:rsidR="00B225AF">
        <w:t>.................................</w:t>
      </w:r>
      <w:r w:rsidRPr="0035027D">
        <w:t>....</w:t>
      </w:r>
      <w:r w:rsidR="00B225AF">
        <w:t>15</w:t>
      </w:r>
    </w:p>
    <w:p w:rsidR="001A124F" w:rsidRPr="0035027D" w:rsidRDefault="001A124F" w:rsidP="00B225AF">
      <w:pPr>
        <w:spacing w:after="0"/>
      </w:pPr>
      <w:r w:rsidRPr="0035027D">
        <w:t>Box 4: Metodika výpo</w:t>
      </w:r>
      <w:r w:rsidRPr="0035027D">
        <w:rPr>
          <w:rFonts w:cs="Times New Roman"/>
        </w:rPr>
        <w:t>č</w:t>
      </w:r>
      <w:r w:rsidRPr="0035027D">
        <w:t>tu národného indikatívneho cie</w:t>
      </w:r>
      <w:r w:rsidRPr="0035027D">
        <w:rPr>
          <w:rFonts w:cs="Times New Roman"/>
        </w:rPr>
        <w:t>ľ</w:t>
      </w:r>
      <w:r w:rsidRPr="0035027D">
        <w:t>a pod</w:t>
      </w:r>
      <w:r w:rsidRPr="0035027D">
        <w:rPr>
          <w:rFonts w:cs="Times New Roman"/>
        </w:rPr>
        <w:t>ľ</w:t>
      </w:r>
      <w:r w:rsidRPr="0035027D">
        <w:t>a 2012/27/EU..................................</w:t>
      </w:r>
      <w:r w:rsidR="00B225AF">
        <w:t>.......................18</w:t>
      </w:r>
    </w:p>
    <w:p w:rsidR="00851094" w:rsidRPr="0035027D" w:rsidRDefault="00851094" w:rsidP="00B225AF">
      <w:pPr>
        <w:spacing w:after="0"/>
      </w:pPr>
    </w:p>
    <w:p w:rsidR="00F23D05" w:rsidRPr="0035027D" w:rsidRDefault="00F23D05" w:rsidP="00F23D05">
      <w:pPr>
        <w:pBdr>
          <w:bottom w:val="single" w:sz="4" w:space="1" w:color="auto"/>
        </w:pBdr>
        <w:rPr>
          <w:b/>
        </w:rPr>
      </w:pPr>
      <w:r w:rsidRPr="0035027D">
        <w:rPr>
          <w:b/>
        </w:rPr>
        <w:t>Zoznam tabuliek</w:t>
      </w:r>
    </w:p>
    <w:p w:rsidR="00DA3C05" w:rsidRPr="0035027D" w:rsidRDefault="00DA3C05" w:rsidP="00DA3C05">
      <w:pPr>
        <w:spacing w:after="0"/>
        <w:jc w:val="left"/>
      </w:pPr>
      <w:r w:rsidRPr="0035027D">
        <w:t>Tab. 1:</w:t>
      </w:r>
      <w:r w:rsidRPr="0035027D">
        <w:rPr>
          <w:rFonts w:cs="Times New Roman"/>
          <w:b/>
          <w:bCs/>
        </w:rPr>
        <w:t xml:space="preserve"> </w:t>
      </w:r>
      <w:proofErr w:type="spellStart"/>
      <w:r w:rsidRPr="0035027D">
        <w:rPr>
          <w:rFonts w:cs="Times New Roman"/>
          <w:bCs/>
        </w:rPr>
        <w:t>Gestorstvo</w:t>
      </w:r>
      <w:proofErr w:type="spellEnd"/>
      <w:r w:rsidRPr="0035027D">
        <w:rPr>
          <w:rFonts w:cs="Times New Roman"/>
          <w:bCs/>
        </w:rPr>
        <w:t xml:space="preserve"> výsledkových ukazovateľov Stratégie Európa 2020</w:t>
      </w:r>
      <w:r w:rsidRPr="0035027D">
        <w:t>..............................</w:t>
      </w:r>
      <w:r w:rsidR="00B225AF">
        <w:t>...............................</w:t>
      </w:r>
      <w:r w:rsidRPr="0035027D">
        <w:t>....</w:t>
      </w:r>
      <w:r w:rsidR="00B225AF">
        <w:t>8</w:t>
      </w:r>
    </w:p>
    <w:p w:rsidR="00DA3C05" w:rsidRPr="0035027D" w:rsidRDefault="00DA3C05" w:rsidP="00DA3C05">
      <w:pPr>
        <w:spacing w:after="0"/>
        <w:jc w:val="left"/>
      </w:pPr>
      <w:r w:rsidRPr="0035027D">
        <w:t xml:space="preserve">Tab. 2: </w:t>
      </w:r>
      <w:r w:rsidRPr="0035027D">
        <w:rPr>
          <w:rFonts w:cs="Times New Roman"/>
          <w:bCs/>
        </w:rPr>
        <w:t>Výsledkové indikátory pre fiškálnu politiku a verejné financie</w:t>
      </w:r>
      <w:r w:rsidRPr="0035027D">
        <w:t>......................................</w:t>
      </w:r>
      <w:r w:rsidR="00B225AF">
        <w:t>.............................23</w:t>
      </w:r>
    </w:p>
    <w:p w:rsidR="00DA3C05" w:rsidRPr="0035027D" w:rsidRDefault="00DA3C05" w:rsidP="00A9266A">
      <w:pPr>
        <w:spacing w:after="0"/>
        <w:jc w:val="left"/>
      </w:pPr>
      <w:r w:rsidRPr="0035027D">
        <w:t xml:space="preserve">Tab. 3: </w:t>
      </w:r>
      <w:r w:rsidR="00A9266A" w:rsidRPr="0035027D">
        <w:rPr>
          <w:rFonts w:cs="Times New Roman"/>
          <w:bCs/>
        </w:rPr>
        <w:t>Výsledkové indikátory pre vzdelávanie, vedu a inovácie</w:t>
      </w:r>
      <w:r w:rsidRPr="0035027D">
        <w:t>......................................................</w:t>
      </w:r>
      <w:r w:rsidR="00A9266A" w:rsidRPr="0035027D">
        <w:t>.</w:t>
      </w:r>
      <w:r w:rsidR="00B225AF">
        <w:t>....................26</w:t>
      </w:r>
    </w:p>
    <w:p w:rsidR="00874CD1" w:rsidRPr="0035027D" w:rsidRDefault="00874CD1" w:rsidP="00874CD1">
      <w:pPr>
        <w:spacing w:after="0"/>
        <w:jc w:val="left"/>
      </w:pPr>
      <w:r w:rsidRPr="0035027D">
        <w:t>Tab. 4</w:t>
      </w:r>
      <w:r w:rsidRPr="0035027D">
        <w:rPr>
          <w:rFonts w:cs="Times New Roman"/>
          <w:bCs/>
        </w:rPr>
        <w:t>: Výsledkové indikátory pre zamestnanosť a sociálnu inklúziu.........................</w:t>
      </w:r>
      <w:r w:rsidRPr="0035027D">
        <w:t>..............</w:t>
      </w:r>
      <w:r w:rsidR="00B225AF">
        <w:t>.............................32</w:t>
      </w:r>
    </w:p>
    <w:p w:rsidR="00874CD1" w:rsidRPr="0035027D" w:rsidRDefault="00874CD1" w:rsidP="00874CD1">
      <w:pPr>
        <w:spacing w:after="0"/>
        <w:jc w:val="left"/>
      </w:pPr>
      <w:r w:rsidRPr="0035027D">
        <w:t xml:space="preserve">Tab. 5: </w:t>
      </w:r>
      <w:r w:rsidRPr="0035027D">
        <w:rPr>
          <w:rFonts w:cs="Times New Roman"/>
          <w:bCs/>
        </w:rPr>
        <w:t>Výsledkový indikátor pre podnikateľské prostredie...............................................................................</w:t>
      </w:r>
      <w:r w:rsidR="00B225AF">
        <w:rPr>
          <w:rFonts w:cs="Times New Roman"/>
          <w:bCs/>
        </w:rPr>
        <w:t>.....37</w:t>
      </w:r>
    </w:p>
    <w:p w:rsidR="00874CD1" w:rsidRPr="0035027D" w:rsidRDefault="00874CD1" w:rsidP="00A9266A">
      <w:pPr>
        <w:spacing w:after="0"/>
        <w:jc w:val="left"/>
        <w:rPr>
          <w:rFonts w:cs="Times New Roman"/>
          <w:bCs/>
        </w:rPr>
      </w:pPr>
      <w:r w:rsidRPr="0035027D">
        <w:t xml:space="preserve">Tab. 6: </w:t>
      </w:r>
      <w:r w:rsidRPr="0035027D">
        <w:rPr>
          <w:rFonts w:cs="Times New Roman"/>
          <w:bCs/>
        </w:rPr>
        <w:t>Výsledkový indikátor pre modernizáciu verejnej správy...............................................</w:t>
      </w:r>
      <w:r w:rsidR="009C44FF">
        <w:rPr>
          <w:rFonts w:cs="Times New Roman"/>
          <w:bCs/>
        </w:rPr>
        <w:t>..............................41</w:t>
      </w:r>
    </w:p>
    <w:p w:rsidR="00874CD1" w:rsidRPr="0035027D" w:rsidRDefault="00874CD1" w:rsidP="00874CD1">
      <w:pPr>
        <w:spacing w:after="0"/>
        <w:jc w:val="left"/>
      </w:pPr>
      <w:r w:rsidRPr="0035027D">
        <w:t>Tab. 7</w:t>
      </w:r>
      <w:r w:rsidRPr="0035027D">
        <w:rPr>
          <w:rFonts w:cs="Times New Roman"/>
          <w:bCs/>
        </w:rPr>
        <w:t>: Výsledkový indikátor pre transparentné prostredie a vymožiteľnosť práva.........</w:t>
      </w:r>
      <w:r w:rsidRPr="0035027D">
        <w:t>.........</w:t>
      </w:r>
      <w:r w:rsidR="0096579C">
        <w:t>..............................44</w:t>
      </w:r>
    </w:p>
    <w:p w:rsidR="00874CD1" w:rsidRPr="0035027D" w:rsidRDefault="00874CD1" w:rsidP="00874CD1">
      <w:pPr>
        <w:spacing w:after="0"/>
        <w:jc w:val="left"/>
      </w:pPr>
      <w:r w:rsidRPr="0035027D">
        <w:t xml:space="preserve">Tab. 8: </w:t>
      </w:r>
      <w:r w:rsidRPr="0035027D">
        <w:rPr>
          <w:rFonts w:cs="Times New Roman"/>
          <w:bCs/>
        </w:rPr>
        <w:t>Výsledkový indikátor pre zdravie..........................................................................................</w:t>
      </w:r>
      <w:r w:rsidR="009C44FF">
        <w:rPr>
          <w:rFonts w:cs="Times New Roman"/>
          <w:bCs/>
        </w:rPr>
        <w:t>......................45</w:t>
      </w:r>
    </w:p>
    <w:p w:rsidR="00874CD1" w:rsidRPr="0035027D" w:rsidRDefault="00874CD1" w:rsidP="00A9266A">
      <w:pPr>
        <w:spacing w:after="0"/>
        <w:jc w:val="left"/>
        <w:rPr>
          <w:rFonts w:cs="Times New Roman"/>
          <w:bCs/>
        </w:rPr>
      </w:pPr>
      <w:r w:rsidRPr="0035027D">
        <w:t xml:space="preserve">Tab. </w:t>
      </w:r>
      <w:r w:rsidRPr="0035027D">
        <w:rPr>
          <w:rFonts w:cs="Times New Roman"/>
          <w:bCs/>
        </w:rPr>
        <w:t>9: Výsledkové indikátory pre environmentálnu udržateľnosť a energetiku.......................</w:t>
      </w:r>
      <w:r w:rsidR="009C44FF">
        <w:rPr>
          <w:rFonts w:cs="Times New Roman"/>
          <w:bCs/>
        </w:rPr>
        <w:t>..............................48</w:t>
      </w:r>
    </w:p>
    <w:p w:rsidR="00874CD1" w:rsidRPr="0035027D" w:rsidRDefault="00874CD1" w:rsidP="00A9266A">
      <w:pPr>
        <w:spacing w:after="0"/>
        <w:jc w:val="left"/>
        <w:rPr>
          <w:rFonts w:cs="Times New Roman"/>
          <w:bCs/>
        </w:rPr>
      </w:pPr>
      <w:r w:rsidRPr="0035027D">
        <w:rPr>
          <w:rFonts w:cs="Times New Roman"/>
          <w:bCs/>
        </w:rPr>
        <w:t xml:space="preserve">Tab. 10: </w:t>
      </w:r>
      <w:r w:rsidR="00873EF2" w:rsidRPr="0035027D">
        <w:rPr>
          <w:rFonts w:cs="Times New Roman"/>
          <w:bCs/>
        </w:rPr>
        <w:t>Výsledkové ukazovatele Stratégie Európa 2020</w:t>
      </w:r>
      <w:r w:rsidRPr="0035027D">
        <w:rPr>
          <w:rFonts w:cs="Times New Roman"/>
          <w:bCs/>
        </w:rPr>
        <w:t>......................</w:t>
      </w:r>
      <w:r w:rsidR="00873EF2" w:rsidRPr="0035027D">
        <w:rPr>
          <w:rFonts w:cs="Times New Roman"/>
          <w:bCs/>
        </w:rPr>
        <w:t>............................</w:t>
      </w:r>
      <w:r w:rsidRPr="0035027D">
        <w:rPr>
          <w:rFonts w:cs="Times New Roman"/>
          <w:bCs/>
        </w:rPr>
        <w:t>......</w:t>
      </w:r>
      <w:r w:rsidR="009C44FF">
        <w:rPr>
          <w:rFonts w:cs="Times New Roman"/>
          <w:bCs/>
        </w:rPr>
        <w:t>..............................56</w:t>
      </w:r>
    </w:p>
    <w:p w:rsidR="00F23D05" w:rsidRPr="0035027D" w:rsidRDefault="00F23D05" w:rsidP="00F23D05">
      <w:pPr>
        <w:rPr>
          <w:rFonts w:eastAsiaTheme="minorEastAsia"/>
        </w:rPr>
      </w:pPr>
    </w:p>
    <w:p w:rsidR="00F23D05" w:rsidRPr="0035027D" w:rsidRDefault="00F23D05" w:rsidP="00F23D05">
      <w:pPr>
        <w:pBdr>
          <w:bottom w:val="single" w:sz="4" w:space="1" w:color="auto"/>
        </w:pBdr>
        <w:rPr>
          <w:b/>
        </w:rPr>
      </w:pPr>
      <w:r w:rsidRPr="0035027D">
        <w:rPr>
          <w:b/>
        </w:rPr>
        <w:t>Zoznam grafov</w:t>
      </w:r>
    </w:p>
    <w:p w:rsidR="00BA5412" w:rsidRPr="0035027D" w:rsidRDefault="00BA5412" w:rsidP="00526C82">
      <w:pPr>
        <w:spacing w:after="0"/>
        <w:jc w:val="left"/>
      </w:pPr>
      <w:r w:rsidRPr="0035027D">
        <w:t>Graf 1:</w:t>
      </w:r>
      <w:r w:rsidRPr="0035027D">
        <w:rPr>
          <w:rFonts w:cs="Times New Roman"/>
          <w:bCs/>
        </w:rPr>
        <w:t xml:space="preserve"> </w:t>
      </w:r>
      <w:r w:rsidRPr="0035027D">
        <w:rPr>
          <w:bCs/>
        </w:rPr>
        <w:t>Rozklad HDP na obyvate</w:t>
      </w:r>
      <w:r w:rsidRPr="0035027D">
        <w:rPr>
          <w:rFonts w:cs="Times New Roman"/>
          <w:bCs/>
        </w:rPr>
        <w:t>ľ</w:t>
      </w:r>
      <w:r w:rsidRPr="0035027D">
        <w:rPr>
          <w:bCs/>
        </w:rPr>
        <w:t>a (SR vo</w:t>
      </w:r>
      <w:r w:rsidRPr="0035027D">
        <w:rPr>
          <w:rFonts w:cs="Times New Roman"/>
          <w:bCs/>
        </w:rPr>
        <w:t>č</w:t>
      </w:r>
      <w:r w:rsidRPr="0035027D">
        <w:rPr>
          <w:bCs/>
        </w:rPr>
        <w:t>i EÚ15, 2011)</w:t>
      </w:r>
      <w:r w:rsidRPr="0035027D">
        <w:t>......................................................................................</w:t>
      </w:r>
      <w:r w:rsidR="009C44FF">
        <w:t>6</w:t>
      </w:r>
    </w:p>
    <w:p w:rsidR="00BA5412" w:rsidRPr="0035027D" w:rsidRDefault="00BA5412" w:rsidP="00526C82">
      <w:pPr>
        <w:spacing w:after="0"/>
        <w:jc w:val="left"/>
      </w:pPr>
      <w:r w:rsidRPr="0035027D">
        <w:t xml:space="preserve">Graf 2: </w:t>
      </w:r>
      <w:r w:rsidRPr="0035027D">
        <w:rPr>
          <w:bCs/>
        </w:rPr>
        <w:t xml:space="preserve">Prístup k zvýšeniu kvality </w:t>
      </w:r>
      <w:r w:rsidRPr="0035027D">
        <w:rPr>
          <w:rFonts w:cs="Times New Roman"/>
          <w:bCs/>
        </w:rPr>
        <w:t>ž</w:t>
      </w:r>
      <w:r w:rsidRPr="0035027D">
        <w:rPr>
          <w:bCs/>
        </w:rPr>
        <w:t>ivota v SR</w:t>
      </w:r>
      <w:r w:rsidRPr="0035027D">
        <w:t>.......................................................................................................</w:t>
      </w:r>
      <w:r w:rsidR="009C44FF">
        <w:t>.</w:t>
      </w:r>
      <w:r w:rsidRPr="0035027D">
        <w:t>..</w:t>
      </w:r>
      <w:r w:rsidR="009C44FF">
        <w:t>7</w:t>
      </w:r>
    </w:p>
    <w:p w:rsidR="00F23D05" w:rsidRPr="0035027D" w:rsidRDefault="00BA5412" w:rsidP="00526C82">
      <w:pPr>
        <w:spacing w:after="0"/>
        <w:jc w:val="left"/>
      </w:pPr>
      <w:r w:rsidRPr="0035027D">
        <w:t xml:space="preserve">Graf 3: </w:t>
      </w:r>
      <w:r w:rsidR="0087009C" w:rsidRPr="0035027D">
        <w:rPr>
          <w:bCs/>
        </w:rPr>
        <w:t>Výdavky na APTP v mil. eur</w:t>
      </w:r>
      <w:r w:rsidRPr="0035027D">
        <w:t>..........</w:t>
      </w:r>
      <w:r w:rsidR="0087009C" w:rsidRPr="0035027D">
        <w:t>........................................................</w:t>
      </w:r>
      <w:r w:rsidRPr="0035027D">
        <w:t>..................</w:t>
      </w:r>
      <w:r w:rsidR="009C44FF">
        <w:t>...............................</w:t>
      </w:r>
      <w:r w:rsidRPr="0035027D">
        <w:t>....</w:t>
      </w:r>
      <w:r w:rsidR="009C44FF">
        <w:t>14</w:t>
      </w:r>
    </w:p>
    <w:p w:rsidR="00DC611C" w:rsidRPr="0035027D" w:rsidRDefault="00DC611C" w:rsidP="00526C82">
      <w:pPr>
        <w:spacing w:after="0"/>
        <w:jc w:val="left"/>
      </w:pPr>
      <w:r w:rsidRPr="0035027D">
        <w:t>Graf 4:</w:t>
      </w:r>
      <w:r w:rsidRPr="0035027D">
        <w:rPr>
          <w:rFonts w:cs="Times New Roman"/>
          <w:bCs/>
        </w:rPr>
        <w:t xml:space="preserve"> </w:t>
      </w:r>
      <w:r w:rsidRPr="0035027D">
        <w:rPr>
          <w:bCs/>
        </w:rPr>
        <w:t>Štruktúra výdavkov APTP, % z celkových výdavkov</w:t>
      </w:r>
      <w:r w:rsidRPr="0035027D">
        <w:t>..............................................</w:t>
      </w:r>
      <w:r w:rsidR="009C44FF">
        <w:t>...............................</w:t>
      </w:r>
      <w:r w:rsidRPr="0035027D">
        <w:t>.....</w:t>
      </w:r>
      <w:r w:rsidR="009C44FF">
        <w:t>14</w:t>
      </w:r>
    </w:p>
    <w:p w:rsidR="00DC611C" w:rsidRPr="0035027D" w:rsidRDefault="00DC611C" w:rsidP="00526C82">
      <w:pPr>
        <w:spacing w:after="0"/>
        <w:jc w:val="left"/>
      </w:pPr>
      <w:r w:rsidRPr="009C44FF">
        <w:rPr>
          <w:rFonts w:cs="Times New Roman"/>
          <w:bCs/>
        </w:rPr>
        <w:t xml:space="preserve">Graf 5: </w:t>
      </w:r>
      <w:r w:rsidR="009C44FF" w:rsidRPr="009C44FF">
        <w:rPr>
          <w:rFonts w:cs="Times New Roman"/>
          <w:bCs/>
        </w:rPr>
        <w:t>Rast reálneho HDP v roku 2012 v EÚ (%)</w:t>
      </w:r>
      <w:r w:rsidRPr="0035027D">
        <w:t>....................................................</w:t>
      </w:r>
      <w:r w:rsidR="009C44FF">
        <w:t>.............</w:t>
      </w:r>
      <w:r w:rsidR="00D60F30">
        <w:t>............................</w:t>
      </w:r>
      <w:r w:rsidRPr="0035027D">
        <w:t>.....</w:t>
      </w:r>
      <w:r w:rsidR="009C44FF">
        <w:t>21</w:t>
      </w:r>
    </w:p>
    <w:p w:rsidR="00DC611C" w:rsidRPr="0035027D" w:rsidRDefault="00DC611C" w:rsidP="00526C82">
      <w:pPr>
        <w:spacing w:after="0"/>
        <w:jc w:val="left"/>
      </w:pPr>
      <w:r w:rsidRPr="0035027D">
        <w:t xml:space="preserve">Graf 6: </w:t>
      </w:r>
      <w:r w:rsidR="009C44FF" w:rsidRPr="0035027D">
        <w:rPr>
          <w:rFonts w:cs="Times New Roman"/>
          <w:bCs/>
        </w:rPr>
        <w:t>Príspevky k rastu HDP na Slovensku, 2010 - 2016</w:t>
      </w:r>
      <w:r w:rsidRPr="0035027D">
        <w:t>....................................................................................</w:t>
      </w:r>
      <w:r w:rsidR="009C44FF">
        <w:t>21</w:t>
      </w:r>
    </w:p>
    <w:p w:rsidR="00DC611C" w:rsidRPr="0035027D" w:rsidRDefault="00DC611C" w:rsidP="00526C82">
      <w:pPr>
        <w:spacing w:after="0"/>
        <w:jc w:val="left"/>
      </w:pPr>
      <w:r w:rsidRPr="0035027D">
        <w:rPr>
          <w:rFonts w:cs="Times New Roman"/>
          <w:bCs/>
        </w:rPr>
        <w:t>Graf</w:t>
      </w:r>
      <w:r w:rsidRPr="0035027D">
        <w:rPr>
          <w:bCs/>
        </w:rPr>
        <w:t xml:space="preserve"> 7: </w:t>
      </w:r>
      <w:r w:rsidR="00CE2607" w:rsidRPr="0035027D">
        <w:rPr>
          <w:bCs/>
        </w:rPr>
        <w:t>Medzinárodné porovnanie výdavkov na vzdelávanie...</w:t>
      </w:r>
      <w:r w:rsidRPr="0035027D">
        <w:t>...........................................</w:t>
      </w:r>
      <w:r w:rsidR="009C44FF">
        <w:t>...............................</w:t>
      </w:r>
      <w:r w:rsidRPr="0035027D">
        <w:t>....</w:t>
      </w:r>
      <w:r w:rsidR="009C44FF">
        <w:t>26</w:t>
      </w:r>
    </w:p>
    <w:p w:rsidR="00DC611C" w:rsidRPr="0035027D" w:rsidRDefault="00DC611C" w:rsidP="00526C82">
      <w:pPr>
        <w:spacing w:after="0"/>
        <w:jc w:val="left"/>
        <w:rPr>
          <w:rFonts w:cs="Times New Roman"/>
          <w:bCs/>
        </w:rPr>
      </w:pPr>
      <w:r w:rsidRPr="0035027D">
        <w:rPr>
          <w:rFonts w:cs="Times New Roman"/>
          <w:bCs/>
        </w:rPr>
        <w:t>Graf 8</w:t>
      </w:r>
      <w:r w:rsidRPr="0035027D">
        <w:rPr>
          <w:bCs/>
        </w:rPr>
        <w:t xml:space="preserve">: </w:t>
      </w:r>
      <w:r w:rsidR="00CE2607" w:rsidRPr="0035027D">
        <w:rPr>
          <w:bCs/>
        </w:rPr>
        <w:t>Výdavky na regionálne a vysoké školstvo zo štátneho rozpo</w:t>
      </w:r>
      <w:r w:rsidR="00CE2607" w:rsidRPr="0035027D">
        <w:rPr>
          <w:rFonts w:cs="Times New Roman"/>
          <w:bCs/>
        </w:rPr>
        <w:t>č</w:t>
      </w:r>
      <w:r w:rsidR="00CE2607" w:rsidRPr="0035027D">
        <w:rPr>
          <w:bCs/>
        </w:rPr>
        <w:t>tu (východiská rozpo</w:t>
      </w:r>
      <w:r w:rsidR="00CE2607" w:rsidRPr="0035027D">
        <w:rPr>
          <w:rFonts w:cs="Times New Roman"/>
          <w:bCs/>
        </w:rPr>
        <w:t>č</w:t>
      </w:r>
      <w:r w:rsidR="00CE2607" w:rsidRPr="0035027D">
        <w:rPr>
          <w:bCs/>
        </w:rPr>
        <w:t>tu 2014 - 2016)...</w:t>
      </w:r>
      <w:r w:rsidR="009C44FF">
        <w:rPr>
          <w:bCs/>
        </w:rPr>
        <w:t>...26</w:t>
      </w:r>
    </w:p>
    <w:p w:rsidR="00DC611C" w:rsidRPr="0035027D" w:rsidRDefault="00DC611C" w:rsidP="00526C82">
      <w:pPr>
        <w:spacing w:after="0"/>
        <w:jc w:val="left"/>
      </w:pPr>
      <w:r w:rsidRPr="0035027D">
        <w:rPr>
          <w:rFonts w:cs="Times New Roman"/>
          <w:bCs/>
        </w:rPr>
        <w:t xml:space="preserve">Graf 9: </w:t>
      </w:r>
      <w:r w:rsidR="009B6F99" w:rsidRPr="0035027D">
        <w:rPr>
          <w:rFonts w:cs="Times New Roman"/>
          <w:bCs/>
        </w:rPr>
        <w:t>Vstupy a výstupy R&amp;D ako % priemeru V3</w:t>
      </w:r>
      <w:r w:rsidRPr="0035027D">
        <w:rPr>
          <w:rFonts w:cs="Times New Roman"/>
          <w:bCs/>
        </w:rPr>
        <w:t>....................................................</w:t>
      </w:r>
      <w:r w:rsidR="009B6F99" w:rsidRPr="0035027D">
        <w:rPr>
          <w:rFonts w:cs="Times New Roman"/>
          <w:bCs/>
        </w:rPr>
        <w:t>.........................</w:t>
      </w:r>
      <w:r w:rsidR="009C44FF">
        <w:rPr>
          <w:rFonts w:cs="Times New Roman"/>
          <w:bCs/>
        </w:rPr>
        <w:t>...................27</w:t>
      </w:r>
    </w:p>
    <w:p w:rsidR="00DC611C" w:rsidRPr="0035027D" w:rsidRDefault="00B45609" w:rsidP="00526C82">
      <w:pPr>
        <w:spacing w:after="0"/>
        <w:jc w:val="left"/>
      </w:pPr>
      <w:hyperlink r:id="rId14" w:anchor="_Toc353466981" w:history="1">
        <w:r w:rsidR="00DC611C" w:rsidRPr="0035027D">
          <w:t>Graf 1</w:t>
        </w:r>
        <w:r w:rsidR="00DC611C" w:rsidRPr="0035027D">
          <w:rPr>
            <w:rFonts w:cs="Times New Roman"/>
            <w:bCs/>
          </w:rPr>
          <w:t xml:space="preserve">0: </w:t>
        </w:r>
        <w:r w:rsidR="009B6F99" w:rsidRPr="0035027D">
          <w:rPr>
            <w:rFonts w:cs="Times New Roman"/>
            <w:bCs/>
          </w:rPr>
          <w:t>Financovanie vedy a výskumu v rozpočte VS (mil. €)</w:t>
        </w:r>
        <w:r w:rsidR="00DC611C" w:rsidRPr="0035027D">
          <w:rPr>
            <w:rFonts w:cs="Times New Roman"/>
            <w:bCs/>
          </w:rPr>
          <w:t>......</w:t>
        </w:r>
        <w:r w:rsidR="00DC611C" w:rsidRPr="0035027D">
          <w:t>......................</w:t>
        </w:r>
        <w:r w:rsidR="009B6F99" w:rsidRPr="0035027D">
          <w:t>..........</w:t>
        </w:r>
        <w:r w:rsidR="00DC611C" w:rsidRPr="0035027D">
          <w:t>........</w:t>
        </w:r>
        <w:r w:rsidR="009C44FF">
          <w:t>...............................</w:t>
        </w:r>
        <w:r w:rsidR="00DC611C" w:rsidRPr="0035027D">
          <w:t>.</w:t>
        </w:r>
      </w:hyperlink>
      <w:r w:rsidR="009C44FF">
        <w:t>27</w:t>
      </w:r>
    </w:p>
    <w:p w:rsidR="00DC611C" w:rsidRPr="0035027D" w:rsidRDefault="00DC611C" w:rsidP="00526C82">
      <w:pPr>
        <w:spacing w:after="0"/>
        <w:jc w:val="left"/>
        <w:rPr>
          <w:rFonts w:cs="Times New Roman"/>
          <w:bCs/>
        </w:rPr>
      </w:pPr>
      <w:r w:rsidRPr="0035027D">
        <w:rPr>
          <w:rFonts w:cs="Times New Roman"/>
          <w:bCs/>
        </w:rPr>
        <w:t xml:space="preserve">Graf 11: </w:t>
      </w:r>
      <w:r w:rsidR="009B6F99" w:rsidRPr="0035027D">
        <w:rPr>
          <w:rFonts w:cs="Times New Roman"/>
          <w:bCs/>
        </w:rPr>
        <w:t>Miera nezamestnanosti 15 - 24-roční v %</w:t>
      </w:r>
      <w:r w:rsidRPr="0035027D">
        <w:rPr>
          <w:rFonts w:cs="Times New Roman"/>
          <w:bCs/>
        </w:rPr>
        <w:t>...............................................................</w:t>
      </w:r>
      <w:r w:rsidR="009B6F99" w:rsidRPr="0035027D">
        <w:rPr>
          <w:rFonts w:cs="Times New Roman"/>
          <w:bCs/>
        </w:rPr>
        <w:t>...........</w:t>
      </w:r>
      <w:r w:rsidR="0096579C">
        <w:rPr>
          <w:rFonts w:cs="Times New Roman"/>
          <w:bCs/>
        </w:rPr>
        <w:t>......................33</w:t>
      </w:r>
    </w:p>
    <w:p w:rsidR="00DC611C" w:rsidRPr="0035027D" w:rsidRDefault="00DC611C" w:rsidP="00526C82">
      <w:pPr>
        <w:spacing w:after="0"/>
        <w:jc w:val="left"/>
        <w:rPr>
          <w:rFonts w:cs="Times New Roman"/>
          <w:bCs/>
        </w:rPr>
      </w:pPr>
      <w:r w:rsidRPr="0035027D">
        <w:t xml:space="preserve">Graf 12: </w:t>
      </w:r>
      <w:r w:rsidR="009B6F99" w:rsidRPr="0035027D">
        <w:rPr>
          <w:rFonts w:cs="Times New Roman"/>
          <w:bCs/>
        </w:rPr>
        <w:t>NEET ukazovateľ (15 - 24 roční mimo pracovného alebo vzdelávacieho procesu) v %</w:t>
      </w:r>
      <w:r w:rsidRPr="0035027D">
        <w:rPr>
          <w:rFonts w:cs="Times New Roman"/>
          <w:bCs/>
        </w:rPr>
        <w:t>..</w:t>
      </w:r>
      <w:r w:rsidR="009B6F99" w:rsidRPr="0035027D">
        <w:rPr>
          <w:rFonts w:cs="Times New Roman"/>
          <w:bCs/>
        </w:rPr>
        <w:t>................</w:t>
      </w:r>
      <w:r w:rsidRPr="0035027D">
        <w:rPr>
          <w:rFonts w:cs="Times New Roman"/>
          <w:bCs/>
        </w:rPr>
        <w:t>.....</w:t>
      </w:r>
      <w:r w:rsidR="0096579C">
        <w:rPr>
          <w:rFonts w:cs="Times New Roman"/>
          <w:bCs/>
        </w:rPr>
        <w:t>...33</w:t>
      </w:r>
    </w:p>
    <w:p w:rsidR="009B6F99" w:rsidRPr="0035027D" w:rsidRDefault="009B6F99" w:rsidP="00526C82">
      <w:pPr>
        <w:spacing w:after="0"/>
        <w:jc w:val="left"/>
        <w:rPr>
          <w:rFonts w:cs="Times New Roman"/>
          <w:bCs/>
        </w:rPr>
      </w:pPr>
      <w:r w:rsidRPr="0035027D">
        <w:rPr>
          <w:rFonts w:cs="Times New Roman"/>
          <w:bCs/>
        </w:rPr>
        <w:t xml:space="preserve">Graf 13: </w:t>
      </w:r>
      <w:r w:rsidR="00CB1986" w:rsidRPr="0035027D">
        <w:rPr>
          <w:rFonts w:cs="Times New Roman"/>
          <w:bCs/>
        </w:rPr>
        <w:t>Výdavky na sociálne vylúčenie (v % HDP)</w:t>
      </w:r>
      <w:r w:rsidRPr="0035027D">
        <w:rPr>
          <w:rFonts w:cs="Times New Roman"/>
          <w:bCs/>
        </w:rPr>
        <w:t>...........................</w:t>
      </w:r>
      <w:r w:rsidR="00CB1986" w:rsidRPr="0035027D">
        <w:rPr>
          <w:rFonts w:cs="Times New Roman"/>
          <w:bCs/>
        </w:rPr>
        <w:t>...................</w:t>
      </w:r>
      <w:r w:rsidRPr="0035027D">
        <w:rPr>
          <w:rFonts w:cs="Times New Roman"/>
          <w:bCs/>
        </w:rPr>
        <w:t>..................</w:t>
      </w:r>
      <w:r w:rsidR="00D60F30">
        <w:rPr>
          <w:rFonts w:cs="Times New Roman"/>
          <w:bCs/>
        </w:rPr>
        <w:t>...............................33</w:t>
      </w:r>
    </w:p>
    <w:p w:rsidR="009B6F99" w:rsidRPr="0035027D" w:rsidRDefault="00B45609" w:rsidP="00526C82">
      <w:pPr>
        <w:spacing w:after="0"/>
        <w:jc w:val="left"/>
      </w:pPr>
      <w:hyperlink r:id="rId15" w:anchor="_Toc353466981" w:history="1">
        <w:r w:rsidR="009B6F99" w:rsidRPr="0035027D">
          <w:t>Gra</w:t>
        </w:r>
        <w:r w:rsidR="009B6F99" w:rsidRPr="0035027D">
          <w:rPr>
            <w:rFonts w:cs="Times New Roman"/>
            <w:bCs/>
          </w:rPr>
          <w:t xml:space="preserve">f 14: </w:t>
        </w:r>
        <w:r w:rsidR="00CB1986" w:rsidRPr="0035027D">
          <w:rPr>
            <w:rFonts w:cs="Times New Roman"/>
            <w:bCs/>
          </w:rPr>
          <w:t>Výdavky na podporu rodiny a detí (v % HDP)</w:t>
        </w:r>
        <w:r w:rsidR="009B6F99" w:rsidRPr="0035027D">
          <w:rPr>
            <w:rFonts w:cs="Times New Roman"/>
            <w:bCs/>
          </w:rPr>
          <w:t>................</w:t>
        </w:r>
        <w:r w:rsidR="009B6F99" w:rsidRPr="0035027D">
          <w:t>.............................</w:t>
        </w:r>
        <w:r w:rsidR="00CB1986" w:rsidRPr="0035027D">
          <w:t>......................................</w:t>
        </w:r>
        <w:r w:rsidR="00D60F30">
          <w:t>......</w:t>
        </w:r>
        <w:r w:rsidR="009B6F99" w:rsidRPr="0035027D">
          <w:t>.</w:t>
        </w:r>
      </w:hyperlink>
      <w:r w:rsidR="00D60F30">
        <w:t>33</w:t>
      </w:r>
    </w:p>
    <w:p w:rsidR="009B6F99" w:rsidRPr="0035027D" w:rsidRDefault="009B6F99" w:rsidP="00526C82">
      <w:pPr>
        <w:spacing w:after="0"/>
        <w:jc w:val="left"/>
        <w:rPr>
          <w:rFonts w:cs="Times New Roman"/>
          <w:bCs/>
        </w:rPr>
      </w:pPr>
      <w:r w:rsidRPr="0035027D">
        <w:rPr>
          <w:rFonts w:cs="Times New Roman"/>
          <w:bCs/>
        </w:rPr>
        <w:t xml:space="preserve">Graf 15: </w:t>
      </w:r>
      <w:r w:rsidR="00CB1986" w:rsidRPr="0035027D">
        <w:rPr>
          <w:rFonts w:cs="Times New Roman"/>
          <w:bCs/>
        </w:rPr>
        <w:t>Výdavky na cestnú infraštruktúru (v mil. eur)</w:t>
      </w:r>
      <w:r w:rsidRPr="0035027D">
        <w:rPr>
          <w:rFonts w:cs="Times New Roman"/>
          <w:bCs/>
        </w:rPr>
        <w:t>.................................</w:t>
      </w:r>
      <w:r w:rsidR="00CB1986" w:rsidRPr="0035027D">
        <w:rPr>
          <w:rFonts w:cs="Times New Roman"/>
          <w:bCs/>
        </w:rPr>
        <w:t>.......................</w:t>
      </w:r>
      <w:r w:rsidRPr="0035027D">
        <w:rPr>
          <w:rFonts w:cs="Times New Roman"/>
          <w:bCs/>
        </w:rPr>
        <w:t>.....</w:t>
      </w:r>
      <w:r w:rsidR="0096579C">
        <w:rPr>
          <w:rFonts w:cs="Times New Roman"/>
          <w:bCs/>
        </w:rPr>
        <w:t>..............................40</w:t>
      </w:r>
    </w:p>
    <w:p w:rsidR="00CB1986" w:rsidRPr="0035027D" w:rsidRDefault="009B6F99" w:rsidP="00526C82">
      <w:pPr>
        <w:spacing w:after="0"/>
        <w:jc w:val="left"/>
        <w:rPr>
          <w:b/>
          <w:color w:val="FFFFFF" w:themeColor="background1"/>
          <w:sz w:val="18"/>
          <w:szCs w:val="20"/>
        </w:rPr>
      </w:pPr>
      <w:r w:rsidRPr="0035027D">
        <w:t xml:space="preserve">Graf </w:t>
      </w:r>
      <w:r w:rsidRPr="0035027D">
        <w:rPr>
          <w:rFonts w:cs="Times New Roman"/>
          <w:bCs/>
        </w:rPr>
        <w:t xml:space="preserve">16: </w:t>
      </w:r>
      <w:r w:rsidR="00CB1986" w:rsidRPr="0035027D">
        <w:rPr>
          <w:rFonts w:cs="Times New Roman"/>
          <w:bCs/>
        </w:rPr>
        <w:t>Výdavky na výstavbu </w:t>
      </w:r>
      <w:proofErr w:type="spellStart"/>
      <w:r w:rsidR="00CB1986" w:rsidRPr="0035027D">
        <w:rPr>
          <w:rFonts w:cs="Times New Roman"/>
          <w:bCs/>
        </w:rPr>
        <w:t>žel</w:t>
      </w:r>
      <w:proofErr w:type="spellEnd"/>
      <w:r w:rsidR="00CB1986" w:rsidRPr="0035027D">
        <w:rPr>
          <w:rFonts w:cs="Times New Roman"/>
          <w:bCs/>
        </w:rPr>
        <w:t>. infraštruktúry (v mil. eur)...................................................</w:t>
      </w:r>
      <w:r w:rsidR="0096579C">
        <w:rPr>
          <w:rFonts w:cs="Times New Roman"/>
          <w:bCs/>
        </w:rPr>
        <w:t>..............................40</w:t>
      </w:r>
    </w:p>
    <w:p w:rsidR="00CB1986" w:rsidRPr="0035027D" w:rsidRDefault="00CB1986" w:rsidP="00526C82">
      <w:pPr>
        <w:spacing w:after="0"/>
        <w:jc w:val="left"/>
      </w:pPr>
      <w:r w:rsidRPr="0035027D">
        <w:rPr>
          <w:rFonts w:cs="Times New Roman"/>
          <w:bCs/>
        </w:rPr>
        <w:t>Graf 17: Diaľnice a RC......</w:t>
      </w:r>
      <w:r w:rsidRPr="0035027D">
        <w:t>.......................................................................................................</w:t>
      </w:r>
      <w:r w:rsidR="00D60F30">
        <w:t>..............................40</w:t>
      </w:r>
    </w:p>
    <w:p w:rsidR="00CB1986" w:rsidRPr="0035027D" w:rsidRDefault="00CB1986" w:rsidP="00526C82">
      <w:pPr>
        <w:spacing w:after="0"/>
        <w:jc w:val="left"/>
        <w:rPr>
          <w:rFonts w:cs="Times New Roman"/>
          <w:bCs/>
        </w:rPr>
      </w:pPr>
      <w:r w:rsidRPr="0035027D">
        <w:rPr>
          <w:rFonts w:cs="Times New Roman"/>
          <w:bCs/>
        </w:rPr>
        <w:t>Graf 18: Cesty I. triedy..............................................................................................................</w:t>
      </w:r>
      <w:r w:rsidR="00D60F30">
        <w:rPr>
          <w:rFonts w:cs="Times New Roman"/>
          <w:bCs/>
        </w:rPr>
        <w:t>.............................40</w:t>
      </w:r>
    </w:p>
    <w:p w:rsidR="00CB1986" w:rsidRPr="0035027D" w:rsidRDefault="00CB1986" w:rsidP="00526C82">
      <w:pPr>
        <w:spacing w:after="0"/>
        <w:jc w:val="left"/>
        <w:rPr>
          <w:rFonts w:cs="Times New Roman"/>
          <w:bCs/>
        </w:rPr>
      </w:pPr>
      <w:r w:rsidRPr="0035027D">
        <w:rPr>
          <w:rFonts w:cs="Times New Roman"/>
          <w:bCs/>
        </w:rPr>
        <w:t>Graf 19: Výdavky na zdravotníctvo (v % HDP).........................................................................</w:t>
      </w:r>
      <w:r w:rsidR="00D60F30">
        <w:rPr>
          <w:rFonts w:cs="Times New Roman"/>
          <w:bCs/>
        </w:rPr>
        <w:t>.............................45</w:t>
      </w:r>
    </w:p>
    <w:p w:rsidR="00CB1986" w:rsidRPr="0035027D" w:rsidRDefault="00CB1986" w:rsidP="00526C82">
      <w:pPr>
        <w:spacing w:after="0"/>
        <w:jc w:val="left"/>
      </w:pPr>
      <w:r w:rsidRPr="0035027D">
        <w:rPr>
          <w:rFonts w:cs="Times New Roman"/>
          <w:bCs/>
        </w:rPr>
        <w:t>Graf 20: Priemerný ročný rast výdavkov 1998 - 2010...............</w:t>
      </w:r>
      <w:r w:rsidRPr="0035027D">
        <w:t>................................................</w:t>
      </w:r>
      <w:r w:rsidR="00D60F30">
        <w:t>.............................45</w:t>
      </w:r>
    </w:p>
    <w:p w:rsidR="00CB1986" w:rsidRPr="0035027D" w:rsidRDefault="00CB1986" w:rsidP="00526C82">
      <w:pPr>
        <w:spacing w:after="0"/>
        <w:jc w:val="left"/>
        <w:rPr>
          <w:rFonts w:cs="Times New Roman"/>
          <w:bCs/>
        </w:rPr>
      </w:pPr>
      <w:r w:rsidRPr="0035027D">
        <w:rPr>
          <w:rFonts w:cs="Times New Roman"/>
          <w:bCs/>
        </w:rPr>
        <w:t>Graf 21: Efektívnosť slovenského zdravotníctva.......................................................................</w:t>
      </w:r>
      <w:r w:rsidR="00D60F30">
        <w:rPr>
          <w:rFonts w:cs="Times New Roman"/>
          <w:bCs/>
        </w:rPr>
        <w:t>.............................45</w:t>
      </w:r>
    </w:p>
    <w:p w:rsidR="00CB1986" w:rsidRPr="0035027D" w:rsidRDefault="00CB1986" w:rsidP="00526C82">
      <w:pPr>
        <w:spacing w:after="0"/>
        <w:jc w:val="left"/>
        <w:rPr>
          <w:rFonts w:cs="Times New Roman"/>
          <w:bCs/>
        </w:rPr>
      </w:pPr>
      <w:r w:rsidRPr="0035027D">
        <w:rPr>
          <w:rFonts w:cs="Times New Roman"/>
          <w:bCs/>
        </w:rPr>
        <w:t xml:space="preserve">Graf 22: </w:t>
      </w:r>
      <w:r w:rsidR="001B751C" w:rsidRPr="0035027D">
        <w:rPr>
          <w:rFonts w:cs="Times New Roman"/>
          <w:bCs/>
        </w:rPr>
        <w:t>Rast emisií a HDP (index 1995 = 100)</w:t>
      </w:r>
      <w:r w:rsidRPr="0035027D">
        <w:rPr>
          <w:rFonts w:cs="Times New Roman"/>
          <w:bCs/>
        </w:rPr>
        <w:t>...................</w:t>
      </w:r>
      <w:r w:rsidR="001B751C" w:rsidRPr="0035027D">
        <w:rPr>
          <w:rFonts w:cs="Times New Roman"/>
          <w:bCs/>
        </w:rPr>
        <w:t>...........</w:t>
      </w:r>
      <w:r w:rsidRPr="0035027D">
        <w:rPr>
          <w:rFonts w:cs="Times New Roman"/>
          <w:bCs/>
        </w:rPr>
        <w:t>..........................................</w:t>
      </w:r>
      <w:r w:rsidR="00D60F30">
        <w:rPr>
          <w:rFonts w:cs="Times New Roman"/>
          <w:bCs/>
        </w:rPr>
        <w:t>.............................48</w:t>
      </w:r>
    </w:p>
    <w:p w:rsidR="001B751C" w:rsidRPr="0035027D" w:rsidRDefault="001B751C" w:rsidP="00526C82">
      <w:pPr>
        <w:spacing w:after="0"/>
        <w:jc w:val="left"/>
      </w:pPr>
      <w:r w:rsidRPr="0035027D">
        <w:rPr>
          <w:rFonts w:cs="Times New Roman"/>
          <w:bCs/>
        </w:rPr>
        <w:t>Graf 23: Zhodnocovanie odpadov (%)............................</w:t>
      </w:r>
      <w:r w:rsidRPr="0035027D">
        <w:t>..........................................................</w:t>
      </w:r>
      <w:r w:rsidR="00D60F30">
        <w:t>......................</w:t>
      </w:r>
      <w:r w:rsidR="00455B70">
        <w:t>.</w:t>
      </w:r>
      <w:r w:rsidR="00D60F30">
        <w:t>.......48</w:t>
      </w:r>
    </w:p>
    <w:p w:rsidR="001B751C" w:rsidRPr="0035027D" w:rsidRDefault="001B751C" w:rsidP="00526C82">
      <w:pPr>
        <w:spacing w:after="0"/>
        <w:jc w:val="left"/>
        <w:rPr>
          <w:rFonts w:cs="Times New Roman"/>
          <w:bCs/>
        </w:rPr>
      </w:pPr>
      <w:r w:rsidRPr="0035027D">
        <w:rPr>
          <w:rFonts w:cs="Times New Roman"/>
          <w:bCs/>
        </w:rPr>
        <w:t xml:space="preserve">Graf 24: Podpora </w:t>
      </w:r>
      <w:bookmarkStart w:id="13" w:name="OLE_LINK4"/>
      <w:bookmarkStart w:id="14" w:name="OLE_LINK5"/>
      <w:r w:rsidRPr="0035027D">
        <w:rPr>
          <w:rFonts w:cs="Times New Roman"/>
          <w:bCs/>
        </w:rPr>
        <w:t xml:space="preserve">OZE a KVET cez ceny elektriny na </w:t>
      </w:r>
      <w:bookmarkEnd w:id="13"/>
      <w:bookmarkEnd w:id="14"/>
      <w:r w:rsidRPr="0035027D">
        <w:rPr>
          <w:rFonts w:cs="Times New Roman"/>
          <w:bCs/>
        </w:rPr>
        <w:t>Slovensku (mil. eur)..............................</w:t>
      </w:r>
      <w:r w:rsidR="00D60F30">
        <w:rPr>
          <w:rFonts w:cs="Times New Roman"/>
          <w:bCs/>
        </w:rPr>
        <w:t>.............................50</w:t>
      </w:r>
    </w:p>
    <w:p w:rsidR="00CB1986" w:rsidRPr="0035027D" w:rsidRDefault="00CB1986" w:rsidP="00CB1986">
      <w:pPr>
        <w:spacing w:after="0"/>
        <w:jc w:val="left"/>
        <w:rPr>
          <w:rFonts w:cs="Times New Roman"/>
          <w:bCs/>
        </w:rPr>
      </w:pPr>
    </w:p>
    <w:p w:rsidR="00CB1986" w:rsidRPr="0035027D" w:rsidRDefault="00CB1986" w:rsidP="009B6F99">
      <w:pPr>
        <w:spacing w:after="0"/>
        <w:jc w:val="left"/>
      </w:pPr>
    </w:p>
    <w:p w:rsidR="009B6F99" w:rsidRPr="0035027D" w:rsidRDefault="009B6F99" w:rsidP="00DC611C">
      <w:pPr>
        <w:spacing w:after="0"/>
        <w:jc w:val="left"/>
      </w:pPr>
    </w:p>
    <w:p w:rsidR="00DC611C" w:rsidRPr="0035027D" w:rsidRDefault="00DC611C" w:rsidP="00BA5412">
      <w:pPr>
        <w:spacing w:after="0"/>
        <w:jc w:val="left"/>
      </w:pPr>
    </w:p>
    <w:p w:rsidR="00F23D05" w:rsidRPr="0035027D" w:rsidRDefault="00F23D05">
      <w:pPr>
        <w:spacing w:after="0"/>
        <w:jc w:val="left"/>
      </w:pPr>
      <w:r w:rsidRPr="0035027D">
        <w:br w:type="page"/>
      </w:r>
    </w:p>
    <w:p w:rsidR="001D64D0" w:rsidRPr="0035027D" w:rsidRDefault="001D64D0" w:rsidP="00C61270">
      <w:pPr>
        <w:pStyle w:val="Nadpis5"/>
      </w:pPr>
      <w:r w:rsidRPr="0035027D">
        <w:lastRenderedPageBreak/>
        <w:t>Úvod</w:t>
      </w:r>
      <w:bookmarkEnd w:id="6"/>
      <w:bookmarkEnd w:id="8"/>
      <w:bookmarkEnd w:id="9"/>
      <w:bookmarkEnd w:id="10"/>
      <w:bookmarkEnd w:id="11"/>
      <w:bookmarkEnd w:id="12"/>
      <w:r w:rsidR="00501933" w:rsidRPr="0035027D">
        <w:t xml:space="preserve"> </w:t>
      </w:r>
    </w:p>
    <w:p w:rsidR="00C25A0E" w:rsidRPr="0035027D" w:rsidRDefault="00C25A0E" w:rsidP="00561F4D">
      <w:pPr>
        <w:autoSpaceDE w:val="0"/>
        <w:autoSpaceDN w:val="0"/>
        <w:adjustRightInd w:val="0"/>
        <w:spacing w:after="0"/>
      </w:pPr>
    </w:p>
    <w:p w:rsidR="00064A41" w:rsidRPr="0035027D" w:rsidRDefault="008D5BE9" w:rsidP="00064A41">
      <w:pPr>
        <w:spacing w:after="0"/>
      </w:pPr>
      <w:r w:rsidRPr="0035027D">
        <w:t>Svetová aj európska ekonomika sa</w:t>
      </w:r>
      <w:r w:rsidR="00064A41" w:rsidRPr="0035027D">
        <w:t xml:space="preserve"> nachádza v piatom roku krízy. Sú</w:t>
      </w:r>
      <w:r w:rsidR="00064A41" w:rsidRPr="0035027D">
        <w:rPr>
          <w:rFonts w:cs="Times New Roman"/>
        </w:rPr>
        <w:t>č</w:t>
      </w:r>
      <w:r w:rsidR="00064A41" w:rsidRPr="0035027D">
        <w:t xml:space="preserve">asná ekonomická situácia </w:t>
      </w:r>
      <w:r w:rsidRPr="0035027D">
        <w:t xml:space="preserve">na Slovensku </w:t>
      </w:r>
      <w:r w:rsidR="00064A41" w:rsidRPr="0035027D">
        <w:t>sa vyzna</w:t>
      </w:r>
      <w:r w:rsidR="00064A41" w:rsidRPr="0035027D">
        <w:rPr>
          <w:rFonts w:cs="Times New Roman"/>
        </w:rPr>
        <w:t>č</w:t>
      </w:r>
      <w:r w:rsidR="00064A41" w:rsidRPr="0035027D">
        <w:t>uje pretrvávajúcim nízkym rastom hospodárstva a s tým s</w:t>
      </w:r>
      <w:r w:rsidR="00351651" w:rsidRPr="0035027D">
        <w:t>úvisiacou</w:t>
      </w:r>
      <w:r w:rsidR="00064A41" w:rsidRPr="0035027D">
        <w:t xml:space="preserve"> </w:t>
      </w:r>
      <w:r w:rsidR="00351651" w:rsidRPr="0035027D">
        <w:t>stagnáciou</w:t>
      </w:r>
      <w:r w:rsidR="00064A41" w:rsidRPr="0035027D">
        <w:t xml:space="preserve"> zamestnanosti. Stav </w:t>
      </w:r>
      <w:r w:rsidR="00064A41" w:rsidRPr="0035027D">
        <w:rPr>
          <w:rFonts w:cs="Times New Roman"/>
        </w:rPr>
        <w:t>ď</w:t>
      </w:r>
      <w:r w:rsidR="00064A41" w:rsidRPr="0035027D">
        <w:t>alej zhoršuje potreba fiškálnej konsolidácie nielen doma, ale aj u našich najvä</w:t>
      </w:r>
      <w:r w:rsidR="00064A41" w:rsidRPr="0035027D">
        <w:rPr>
          <w:rFonts w:cs="Times New Roman"/>
        </w:rPr>
        <w:t>č</w:t>
      </w:r>
      <w:r w:rsidR="00064A41" w:rsidRPr="0035027D">
        <w:t xml:space="preserve">ších obchodných partnerov. Vláda </w:t>
      </w:r>
      <w:r w:rsidR="001A3402" w:rsidRPr="0035027D">
        <w:t xml:space="preserve">SR </w:t>
      </w:r>
      <w:r w:rsidR="00064A41" w:rsidRPr="0035027D">
        <w:t xml:space="preserve">preto </w:t>
      </w:r>
      <w:r w:rsidR="00064A41" w:rsidRPr="0035027D">
        <w:rPr>
          <w:rFonts w:cs="Times New Roman"/>
        </w:rPr>
        <w:t>č</w:t>
      </w:r>
      <w:r w:rsidR="00064A41" w:rsidRPr="0035027D">
        <w:t>elí ne</w:t>
      </w:r>
      <w:r w:rsidR="00064A41" w:rsidRPr="0035027D">
        <w:rPr>
          <w:rFonts w:cs="Times New Roman"/>
        </w:rPr>
        <w:t>ľ</w:t>
      </w:r>
      <w:r w:rsidR="00064A41" w:rsidRPr="0035027D">
        <w:t>ahkej situácii, v ktorej je nevyhnutné na jednej strane dodr</w:t>
      </w:r>
      <w:r w:rsidR="00064A41" w:rsidRPr="0035027D">
        <w:rPr>
          <w:rFonts w:cs="Times New Roman"/>
        </w:rPr>
        <w:t>ž</w:t>
      </w:r>
      <w:r w:rsidR="00064A41" w:rsidRPr="0035027D">
        <w:t>iava</w:t>
      </w:r>
      <w:r w:rsidR="00064A41" w:rsidRPr="0035027D">
        <w:rPr>
          <w:rFonts w:cs="Times New Roman"/>
        </w:rPr>
        <w:t>ť</w:t>
      </w:r>
      <w:r w:rsidR="00064A41" w:rsidRPr="0035027D">
        <w:t xml:space="preserve"> fiškálnu disciplínu</w:t>
      </w:r>
      <w:r w:rsidR="00535CC2" w:rsidRPr="0035027D">
        <w:t xml:space="preserve"> </w:t>
      </w:r>
      <w:r w:rsidR="002B119A" w:rsidRPr="0035027D">
        <w:t>potrebnú</w:t>
      </w:r>
      <w:r w:rsidR="00535CC2" w:rsidRPr="0035027D">
        <w:t xml:space="preserve"> pre </w:t>
      </w:r>
      <w:r w:rsidR="00D00829" w:rsidRPr="0035027D">
        <w:t>stabilitu a prosperitu</w:t>
      </w:r>
      <w:r w:rsidR="00535CC2" w:rsidRPr="0035027D">
        <w:t xml:space="preserve"> krajiny</w:t>
      </w:r>
      <w:r w:rsidR="00064A41" w:rsidRPr="0035027D">
        <w:t xml:space="preserve">, na strane druhej </w:t>
      </w:r>
      <w:r w:rsidR="00535CC2" w:rsidRPr="0035027D">
        <w:rPr>
          <w:rFonts w:cs="Times New Roman"/>
        </w:rPr>
        <w:t>č</w:t>
      </w:r>
      <w:r w:rsidR="00535CC2" w:rsidRPr="0035027D">
        <w:t xml:space="preserve">o najrýchlejšie </w:t>
      </w:r>
      <w:r w:rsidR="00F61680" w:rsidRPr="0035027D">
        <w:t>zvýši</w:t>
      </w:r>
      <w:r w:rsidR="00F61680" w:rsidRPr="0035027D">
        <w:rPr>
          <w:rFonts w:cs="Times New Roman"/>
        </w:rPr>
        <w:t>ť</w:t>
      </w:r>
      <w:r w:rsidR="00250433" w:rsidRPr="0035027D">
        <w:t xml:space="preserve"> hospodársky rast a</w:t>
      </w:r>
      <w:r w:rsidR="00F61680" w:rsidRPr="0035027D">
        <w:t xml:space="preserve"> zmierni</w:t>
      </w:r>
      <w:r w:rsidR="00F61680" w:rsidRPr="0035027D">
        <w:rPr>
          <w:rFonts w:cs="Times New Roman"/>
        </w:rPr>
        <w:t>ť</w:t>
      </w:r>
      <w:r w:rsidR="00250433" w:rsidRPr="0035027D">
        <w:t> </w:t>
      </w:r>
      <w:r w:rsidR="00064A41" w:rsidRPr="0035027D">
        <w:t xml:space="preserve"> negatívne následky</w:t>
      </w:r>
      <w:r w:rsidR="00F61680" w:rsidRPr="0035027D">
        <w:t xml:space="preserve"> európskej krízy a konsolidácie</w:t>
      </w:r>
      <w:r w:rsidR="00064A41" w:rsidRPr="0035027D">
        <w:t>. Zárove</w:t>
      </w:r>
      <w:r w:rsidR="00064A41" w:rsidRPr="0035027D">
        <w:rPr>
          <w:rFonts w:cs="Times New Roman"/>
        </w:rPr>
        <w:t>ň</w:t>
      </w:r>
      <w:r w:rsidR="00064A41" w:rsidRPr="0035027D">
        <w:t xml:space="preserve"> nezabúda na potrebu vytvori</w:t>
      </w:r>
      <w:r w:rsidR="00064A41" w:rsidRPr="0035027D">
        <w:rPr>
          <w:rFonts w:cs="Times New Roman"/>
        </w:rPr>
        <w:t>ť</w:t>
      </w:r>
      <w:r w:rsidR="00064A41" w:rsidRPr="0035027D">
        <w:t xml:space="preserve"> také podmienky, ktoré umo</w:t>
      </w:r>
      <w:r w:rsidR="00064A41" w:rsidRPr="0035027D">
        <w:rPr>
          <w:rFonts w:cs="Times New Roman"/>
        </w:rPr>
        <w:t>ž</w:t>
      </w:r>
      <w:r w:rsidR="00064A41" w:rsidRPr="0035027D">
        <w:t>nia Slovensku dlhodobo napredova</w:t>
      </w:r>
      <w:r w:rsidR="00064A41" w:rsidRPr="0035027D">
        <w:rPr>
          <w:rFonts w:cs="Times New Roman"/>
        </w:rPr>
        <w:t>ť</w:t>
      </w:r>
      <w:r w:rsidR="00064A41" w:rsidRPr="0035027D">
        <w:t xml:space="preserve"> a dobieha</w:t>
      </w:r>
      <w:r w:rsidR="00064A41" w:rsidRPr="0035027D">
        <w:rPr>
          <w:rFonts w:cs="Times New Roman"/>
        </w:rPr>
        <w:t>ť</w:t>
      </w:r>
      <w:r w:rsidR="00064A41" w:rsidRPr="0035027D">
        <w:t xml:space="preserve"> vyspelé ekonomiky západnej Európy. </w:t>
      </w:r>
    </w:p>
    <w:p w:rsidR="00A30FC8" w:rsidRPr="0035027D" w:rsidRDefault="00A30FC8" w:rsidP="00064A41">
      <w:pPr>
        <w:spacing w:after="0"/>
      </w:pPr>
    </w:p>
    <w:p w:rsidR="00A30FC8" w:rsidRPr="0035027D" w:rsidRDefault="002756FB" w:rsidP="002756FB">
      <w:pPr>
        <w:spacing w:after="0"/>
      </w:pPr>
      <w:r w:rsidRPr="0035027D">
        <w:t xml:space="preserve">Vláda </w:t>
      </w:r>
      <w:r w:rsidR="001A3402" w:rsidRPr="0035027D">
        <w:t xml:space="preserve">SR </w:t>
      </w:r>
      <w:r w:rsidRPr="0035027D">
        <w:t>za</w:t>
      </w:r>
      <w:r w:rsidRPr="0035027D">
        <w:rPr>
          <w:rFonts w:cs="Times New Roman"/>
        </w:rPr>
        <w:t>č</w:t>
      </w:r>
      <w:r w:rsidRPr="0035027D">
        <w:t>ala prijíma</w:t>
      </w:r>
      <w:r w:rsidRPr="0035027D">
        <w:rPr>
          <w:rFonts w:cs="Times New Roman"/>
        </w:rPr>
        <w:t>ť</w:t>
      </w:r>
      <w:r w:rsidRPr="0035027D">
        <w:t xml:space="preserve"> riešenia okam</w:t>
      </w:r>
      <w:r w:rsidRPr="0035027D">
        <w:rPr>
          <w:rFonts w:cs="Times New Roman"/>
        </w:rPr>
        <w:t>ž</w:t>
      </w:r>
      <w:r w:rsidRPr="0035027D">
        <w:t xml:space="preserve">ite po svojom nástupe a v uplynulom roku </w:t>
      </w:r>
      <w:r w:rsidR="00F61680" w:rsidRPr="0035027D">
        <w:t xml:space="preserve">zmenila </w:t>
      </w:r>
      <w:r w:rsidRPr="0035027D">
        <w:t>viacero k</w:t>
      </w:r>
      <w:r w:rsidRPr="0035027D">
        <w:rPr>
          <w:rFonts w:cs="Times New Roman"/>
        </w:rPr>
        <w:t>ľ</w:t>
      </w:r>
      <w:r w:rsidRPr="0035027D">
        <w:t>ú</w:t>
      </w:r>
      <w:r w:rsidRPr="0035027D">
        <w:rPr>
          <w:rFonts w:cs="Times New Roman"/>
        </w:rPr>
        <w:t>č</w:t>
      </w:r>
      <w:r w:rsidRPr="0035027D">
        <w:t xml:space="preserve">ových politík vrátane </w:t>
      </w:r>
      <w:r w:rsidR="002F5EB6" w:rsidRPr="0035027D">
        <w:t>balíka dodato</w:t>
      </w:r>
      <w:r w:rsidR="002F5EB6" w:rsidRPr="0035027D">
        <w:rPr>
          <w:rFonts w:cs="Times New Roman"/>
        </w:rPr>
        <w:t>č</w:t>
      </w:r>
      <w:r w:rsidR="002F5EB6" w:rsidRPr="0035027D">
        <w:t xml:space="preserve">ných </w:t>
      </w:r>
      <w:r w:rsidRPr="0035027D">
        <w:t>opatrení nevyhnutných na dodr</w:t>
      </w:r>
      <w:r w:rsidRPr="0035027D">
        <w:rPr>
          <w:rFonts w:cs="Times New Roman"/>
        </w:rPr>
        <w:t>ž</w:t>
      </w:r>
      <w:r w:rsidRPr="0035027D">
        <w:t xml:space="preserve">anie stanoveného deficitu verejnej správy </w:t>
      </w:r>
      <w:r w:rsidR="00311D0C" w:rsidRPr="0035027D">
        <w:t>u</w:t>
      </w:r>
      <w:r w:rsidR="00311D0C" w:rsidRPr="0035027D">
        <w:rPr>
          <w:rFonts w:cs="Times New Roman"/>
        </w:rPr>
        <w:t>ž</w:t>
      </w:r>
      <w:r w:rsidR="00311D0C" w:rsidRPr="0035027D">
        <w:t xml:space="preserve"> </w:t>
      </w:r>
      <w:r w:rsidRPr="0035027D">
        <w:t xml:space="preserve">v roku 2012. </w:t>
      </w:r>
      <w:r w:rsidR="002B119A" w:rsidRPr="0035027D">
        <w:t>Boli prijaté</w:t>
      </w:r>
      <w:r w:rsidR="00A30FC8" w:rsidRPr="0035027D">
        <w:t xml:space="preserve"> </w:t>
      </w:r>
      <w:r w:rsidR="002B119A" w:rsidRPr="0035027D">
        <w:t>aj</w:t>
      </w:r>
      <w:r w:rsidR="00A30FC8" w:rsidRPr="0035027D">
        <w:t xml:space="preserve"> </w:t>
      </w:r>
      <w:r w:rsidR="002F5EB6" w:rsidRPr="0035027D">
        <w:t xml:space="preserve">reformné </w:t>
      </w:r>
      <w:r w:rsidR="00A30FC8" w:rsidRPr="0035027D">
        <w:t>zmeny v dôchodkovom systéme, ktor</w:t>
      </w:r>
      <w:r w:rsidR="002B119A" w:rsidRPr="0035027D">
        <w:t>é</w:t>
      </w:r>
      <w:r w:rsidR="00A30FC8" w:rsidRPr="0035027D">
        <w:t xml:space="preserve"> </w:t>
      </w:r>
      <w:r w:rsidR="002B119A" w:rsidRPr="0035027D">
        <w:t xml:space="preserve">významne </w:t>
      </w:r>
      <w:r w:rsidR="002F5EB6" w:rsidRPr="0035027D">
        <w:t xml:space="preserve">zlepšujú </w:t>
      </w:r>
      <w:r w:rsidR="00A30FC8" w:rsidRPr="0035027D">
        <w:t xml:space="preserve">jeho </w:t>
      </w:r>
      <w:r w:rsidR="002F5EB6" w:rsidRPr="0035027D">
        <w:t xml:space="preserve">dlhodobú </w:t>
      </w:r>
      <w:r w:rsidR="00A30FC8" w:rsidRPr="0035027D">
        <w:t>udr</w:t>
      </w:r>
      <w:r w:rsidR="00A30FC8" w:rsidRPr="0035027D">
        <w:rPr>
          <w:rFonts w:cs="Times New Roman"/>
        </w:rPr>
        <w:t>ž</w:t>
      </w:r>
      <w:r w:rsidR="00A30FC8" w:rsidRPr="0035027D">
        <w:t>ate</w:t>
      </w:r>
      <w:r w:rsidR="00A30FC8" w:rsidRPr="0035027D">
        <w:rPr>
          <w:rFonts w:cs="Times New Roman"/>
        </w:rPr>
        <w:t>ľ</w:t>
      </w:r>
      <w:r w:rsidR="00A30FC8" w:rsidRPr="0035027D">
        <w:t>nos</w:t>
      </w:r>
      <w:r w:rsidR="00A30FC8" w:rsidRPr="0035027D">
        <w:rPr>
          <w:rFonts w:cs="Times New Roman"/>
        </w:rPr>
        <w:t>ť</w:t>
      </w:r>
      <w:r w:rsidR="00A30FC8" w:rsidRPr="0035027D">
        <w:t xml:space="preserve">. </w:t>
      </w:r>
      <w:r w:rsidR="00E254E0" w:rsidRPr="0035027D">
        <w:t xml:space="preserve">V oblasti zamestnanosti sa schválili opatrenia na podporu zamestnanosti mladých </w:t>
      </w:r>
      <w:r w:rsidR="00361397" w:rsidRPr="0035027D">
        <w:t xml:space="preserve">a zvýšenie efektívnosti aktívnych politík trhu práce. Zmeny v školstve sa sústredili na zvýšenie kvality a lepšie prepojenie vzdelávania s potrebami </w:t>
      </w:r>
      <w:r w:rsidR="006C1E62" w:rsidRPr="0035027D">
        <w:t>trhu práce</w:t>
      </w:r>
      <w:r w:rsidR="00361397" w:rsidRPr="0035027D">
        <w:t>.</w:t>
      </w:r>
    </w:p>
    <w:p w:rsidR="00064A41" w:rsidRPr="0035027D" w:rsidRDefault="00064A41" w:rsidP="00064A41">
      <w:pPr>
        <w:spacing w:after="0"/>
      </w:pPr>
    </w:p>
    <w:p w:rsidR="00064A41" w:rsidRPr="0035027D" w:rsidRDefault="00064A41" w:rsidP="00064A41">
      <w:pPr>
        <w:spacing w:after="0"/>
      </w:pPr>
      <w:r w:rsidRPr="0035027D">
        <w:t>Národný program reforiem (NPR) SR predstavuje súbor politík, ktorých cie</w:t>
      </w:r>
      <w:r w:rsidRPr="0035027D">
        <w:rPr>
          <w:rFonts w:cs="Times New Roman"/>
        </w:rPr>
        <w:t>ľ</w:t>
      </w:r>
      <w:r w:rsidRPr="0035027D">
        <w:t>om je prekona</w:t>
      </w:r>
      <w:r w:rsidRPr="0035027D">
        <w:rPr>
          <w:rFonts w:cs="Times New Roman"/>
        </w:rPr>
        <w:t>ť</w:t>
      </w:r>
      <w:r w:rsidRPr="0035027D">
        <w:t xml:space="preserve"> sú</w:t>
      </w:r>
      <w:r w:rsidRPr="0035027D">
        <w:rPr>
          <w:rFonts w:cs="Times New Roman"/>
        </w:rPr>
        <w:t>č</w:t>
      </w:r>
      <w:r w:rsidRPr="0035027D">
        <w:t>asnú krízu a podpori</w:t>
      </w:r>
      <w:r w:rsidRPr="0035027D">
        <w:rPr>
          <w:rFonts w:cs="Times New Roman"/>
        </w:rPr>
        <w:t>ť</w:t>
      </w:r>
      <w:r w:rsidRPr="0035027D">
        <w:t xml:space="preserve"> rast hospodárstva a zamestnanosti.</w:t>
      </w:r>
      <w:r w:rsidR="002756FB" w:rsidRPr="0035027D">
        <w:t xml:space="preserve"> </w:t>
      </w:r>
      <w:r w:rsidRPr="0035027D">
        <w:t>Štrukturálne opatrenia sú odpove</w:t>
      </w:r>
      <w:r w:rsidRPr="0035027D">
        <w:rPr>
          <w:rFonts w:cs="Times New Roman"/>
        </w:rPr>
        <w:t>ď</w:t>
      </w:r>
      <w:r w:rsidRPr="0035027D">
        <w:t>ou na potrebu o</w:t>
      </w:r>
      <w:r w:rsidRPr="0035027D">
        <w:rPr>
          <w:rFonts w:cs="Times New Roman"/>
        </w:rPr>
        <w:t>ž</w:t>
      </w:r>
      <w:r w:rsidRPr="0035027D">
        <w:t>ivenia ekonomiky</w:t>
      </w:r>
      <w:r w:rsidR="00F61680" w:rsidRPr="0035027D">
        <w:t xml:space="preserve"> a zabezpe</w:t>
      </w:r>
      <w:r w:rsidR="00F61680" w:rsidRPr="0035027D">
        <w:rPr>
          <w:rFonts w:cs="Times New Roman"/>
        </w:rPr>
        <w:t>č</w:t>
      </w:r>
      <w:r w:rsidR="00F61680" w:rsidRPr="0035027D">
        <w:t>enia dlhodob</w:t>
      </w:r>
      <w:r w:rsidR="00F61680" w:rsidRPr="0035027D">
        <w:rPr>
          <w:rFonts w:cs="Times New Roman"/>
        </w:rPr>
        <w:t>ého rastu</w:t>
      </w:r>
      <w:r w:rsidRPr="0035027D">
        <w:t>. Krátkodobé nástroje zabránia strate kapacít priemyslu a stavu, kedy „pre</w:t>
      </w:r>
      <w:r w:rsidRPr="0035027D">
        <w:rPr>
          <w:rFonts w:cs="Times New Roman"/>
        </w:rPr>
        <w:t>ž</w:t>
      </w:r>
      <w:r w:rsidRPr="0035027D">
        <w:t>ívajúce“ podniky nemô</w:t>
      </w:r>
      <w:r w:rsidRPr="0035027D">
        <w:rPr>
          <w:rFonts w:cs="Times New Roman"/>
        </w:rPr>
        <w:t>ž</w:t>
      </w:r>
      <w:r w:rsidRPr="0035027D">
        <w:t>u investova</w:t>
      </w:r>
      <w:r w:rsidRPr="0035027D">
        <w:rPr>
          <w:rFonts w:cs="Times New Roman"/>
        </w:rPr>
        <w:t>ť</w:t>
      </w:r>
      <w:r w:rsidRPr="0035027D">
        <w:t xml:space="preserve"> do zvyšovania vlastnej konkurencieschopnosti. Rovnako je nevyhnutné zabráni</w:t>
      </w:r>
      <w:r w:rsidRPr="0035027D">
        <w:rPr>
          <w:rFonts w:cs="Times New Roman"/>
        </w:rPr>
        <w:t>ť</w:t>
      </w:r>
      <w:r w:rsidRPr="0035027D">
        <w:t xml:space="preserve"> strate zru</w:t>
      </w:r>
      <w:r w:rsidRPr="0035027D">
        <w:rPr>
          <w:rFonts w:cs="Times New Roman"/>
        </w:rPr>
        <w:t>č</w:t>
      </w:r>
      <w:r w:rsidRPr="0035027D">
        <w:t>ností pracovnej sily udr</w:t>
      </w:r>
      <w:r w:rsidRPr="0035027D">
        <w:rPr>
          <w:rFonts w:cs="Times New Roman"/>
        </w:rPr>
        <w:t>ž</w:t>
      </w:r>
      <w:r w:rsidRPr="0035027D">
        <w:t>aním zamestnanosti a zvyšovaním kvalifikácie ob</w:t>
      </w:r>
      <w:r w:rsidRPr="0035027D">
        <w:rPr>
          <w:rFonts w:cs="Times New Roman"/>
        </w:rPr>
        <w:t>č</w:t>
      </w:r>
      <w:r w:rsidRPr="0035027D">
        <w:t>anov, ktorí majú problém nájs</w:t>
      </w:r>
      <w:r w:rsidRPr="0035027D">
        <w:rPr>
          <w:rFonts w:cs="Times New Roman"/>
        </w:rPr>
        <w:t>ť</w:t>
      </w:r>
      <w:r w:rsidR="00535CC2" w:rsidRPr="0035027D">
        <w:t xml:space="preserve"> si</w:t>
      </w:r>
      <w:r w:rsidRPr="0035027D">
        <w:t xml:space="preserve"> prácu. Vláda </w:t>
      </w:r>
      <w:r w:rsidR="001A3402" w:rsidRPr="0035027D">
        <w:t xml:space="preserve">SR </w:t>
      </w:r>
      <w:r w:rsidRPr="0035027D">
        <w:t xml:space="preserve">si uvedomuje </w:t>
      </w:r>
      <w:r w:rsidR="002F5EB6" w:rsidRPr="0035027D">
        <w:t>limity spô</w:t>
      </w:r>
      <w:r w:rsidR="00916F03" w:rsidRPr="0035027D">
        <w:t>so</w:t>
      </w:r>
      <w:r w:rsidR="002F5EB6" w:rsidRPr="0035027D">
        <w:t xml:space="preserve">bené potrebou ozdravenia </w:t>
      </w:r>
      <w:r w:rsidRPr="0035027D">
        <w:t xml:space="preserve">verejných financií. Mnohé krátkodobé výdavkové politiky </w:t>
      </w:r>
      <w:r w:rsidR="00F61680" w:rsidRPr="0035027D">
        <w:t xml:space="preserve">podporujúce agregátny dopyt </w:t>
      </w:r>
      <w:r w:rsidRPr="0035027D">
        <w:t>preto zárove</w:t>
      </w:r>
      <w:r w:rsidRPr="0035027D">
        <w:rPr>
          <w:rFonts w:cs="Times New Roman"/>
        </w:rPr>
        <w:t>ň</w:t>
      </w:r>
      <w:r w:rsidRPr="0035027D">
        <w:t xml:space="preserve"> trvalo posil</w:t>
      </w:r>
      <w:r w:rsidRPr="0035027D">
        <w:rPr>
          <w:rFonts w:cs="Times New Roman"/>
        </w:rPr>
        <w:t>ň</w:t>
      </w:r>
      <w:r w:rsidRPr="0035027D">
        <w:t>ujú našu ekonomiku. Patrí sem napríklad vzdelávanie nezamestnaných alebo budovanie dopravnej infraštruktúry.</w:t>
      </w:r>
    </w:p>
    <w:p w:rsidR="00064A41" w:rsidRPr="0035027D" w:rsidRDefault="00064A41" w:rsidP="00064A41">
      <w:pPr>
        <w:spacing w:after="0"/>
      </w:pPr>
    </w:p>
    <w:p w:rsidR="00064A41" w:rsidRPr="0035027D" w:rsidRDefault="00064A41" w:rsidP="00064A41">
      <w:pPr>
        <w:spacing w:after="0"/>
      </w:pPr>
      <w:r w:rsidRPr="0035027D">
        <w:t>Identifikácia potrebných politík je zalo</w:t>
      </w:r>
      <w:r w:rsidRPr="0035027D">
        <w:rPr>
          <w:rFonts w:cs="Times New Roman"/>
        </w:rPr>
        <w:t>ž</w:t>
      </w:r>
      <w:r w:rsidRPr="0035027D">
        <w:t>ená na analýze najvýznamnejších preká</w:t>
      </w:r>
      <w:r w:rsidRPr="0035027D">
        <w:rPr>
          <w:rFonts w:cs="Times New Roman"/>
        </w:rPr>
        <w:t>ž</w:t>
      </w:r>
      <w:r w:rsidRPr="0035027D">
        <w:t>ok rastu, prioritné oblasti sú však zvolené aj po zoh</w:t>
      </w:r>
      <w:r w:rsidRPr="0035027D">
        <w:rPr>
          <w:rFonts w:cs="Times New Roman"/>
        </w:rPr>
        <w:t>ľ</w:t>
      </w:r>
      <w:r w:rsidRPr="0035027D">
        <w:t xml:space="preserve">adnení niektorých </w:t>
      </w:r>
      <w:r w:rsidRPr="0035027D">
        <w:rPr>
          <w:rFonts w:cs="Times New Roman"/>
        </w:rPr>
        <w:t>ď</w:t>
      </w:r>
      <w:r w:rsidRPr="0035027D">
        <w:t>alších faktorov. N</w:t>
      </w:r>
      <w:r w:rsidRPr="0035027D">
        <w:rPr>
          <w:color w:val="000000" w:themeColor="text1"/>
        </w:rPr>
        <w:t>emusia nevyhnutne zvyšova</w:t>
      </w:r>
      <w:r w:rsidRPr="0035027D">
        <w:rPr>
          <w:rFonts w:cs="Times New Roman"/>
          <w:color w:val="000000" w:themeColor="text1"/>
        </w:rPr>
        <w:t>ť</w:t>
      </w:r>
      <w:r w:rsidRPr="0035027D">
        <w:rPr>
          <w:color w:val="000000" w:themeColor="text1"/>
        </w:rPr>
        <w:t xml:space="preserve"> HDP, ale prispievajú k vyššej kvalite </w:t>
      </w:r>
      <w:r w:rsidRPr="0035027D">
        <w:rPr>
          <w:rFonts w:cs="Times New Roman"/>
          <w:color w:val="000000" w:themeColor="text1"/>
        </w:rPr>
        <w:t>ž</w:t>
      </w:r>
      <w:r w:rsidRPr="0035027D">
        <w:rPr>
          <w:color w:val="000000" w:themeColor="text1"/>
        </w:rPr>
        <w:t>ivota</w:t>
      </w:r>
      <w:r w:rsidR="008F0F9A" w:rsidRPr="0035027D">
        <w:t>. Prioritnými oblas</w:t>
      </w:r>
      <w:r w:rsidR="008F0F9A" w:rsidRPr="0035027D">
        <w:rPr>
          <w:rFonts w:cs="Times New Roman"/>
        </w:rPr>
        <w:t>ť</w:t>
      </w:r>
      <w:r w:rsidR="008F0F9A" w:rsidRPr="0035027D">
        <w:t>ami</w:t>
      </w:r>
      <w:r w:rsidRPr="0035027D">
        <w:t xml:space="preserve"> Slovenska pre dosiahnutie udr</w:t>
      </w:r>
      <w:r w:rsidRPr="0035027D">
        <w:rPr>
          <w:rFonts w:cs="Times New Roman"/>
        </w:rPr>
        <w:t>ž</w:t>
      </w:r>
      <w:r w:rsidRPr="0035027D">
        <w:t>ate</w:t>
      </w:r>
      <w:r w:rsidRPr="0035027D">
        <w:rPr>
          <w:rFonts w:cs="Times New Roman"/>
        </w:rPr>
        <w:t>ľ</w:t>
      </w:r>
      <w:r w:rsidRPr="0035027D">
        <w:t>ného rozvoja sú</w:t>
      </w:r>
      <w:r w:rsidR="0037199A" w:rsidRPr="0035027D">
        <w:t xml:space="preserve"> </w:t>
      </w:r>
      <w:r w:rsidRPr="0035027D">
        <w:t>fiškálna politika a verejné financie, vzdelávanie, veda a inovácie, zamestnanos</w:t>
      </w:r>
      <w:r w:rsidRPr="0035027D">
        <w:rPr>
          <w:rFonts w:cs="Times New Roman"/>
        </w:rPr>
        <w:t>ť</w:t>
      </w:r>
      <w:r w:rsidRPr="0035027D">
        <w:t xml:space="preserve"> a sociálna inklúzia, podnikate</w:t>
      </w:r>
      <w:r w:rsidRPr="0035027D">
        <w:rPr>
          <w:rFonts w:cs="Times New Roman"/>
        </w:rPr>
        <w:t>ľ</w:t>
      </w:r>
      <w:r w:rsidRPr="0035027D">
        <w:t>ské prostredie, dopravná</w:t>
      </w:r>
      <w:r w:rsidR="00ED7F6D" w:rsidRPr="0035027D">
        <w:t xml:space="preserve"> </w:t>
      </w:r>
      <w:r w:rsidR="00C403D2" w:rsidRPr="0035027D">
        <w:t>i</w:t>
      </w:r>
      <w:r w:rsidRPr="0035027D">
        <w:t>nfraštruktúra</w:t>
      </w:r>
      <w:r w:rsidR="00C403D2" w:rsidRPr="0035027D">
        <w:t xml:space="preserve"> a telekomunikácie</w:t>
      </w:r>
      <w:r w:rsidRPr="0035027D">
        <w:t>, moderná a efektívna verejná správa, zdravie, environmentálna udr</w:t>
      </w:r>
      <w:r w:rsidRPr="0035027D">
        <w:rPr>
          <w:rFonts w:cs="Times New Roman"/>
        </w:rPr>
        <w:t>ž</w:t>
      </w:r>
      <w:r w:rsidRPr="0035027D">
        <w:t>ate</w:t>
      </w:r>
      <w:r w:rsidRPr="0035027D">
        <w:rPr>
          <w:rFonts w:cs="Times New Roman"/>
        </w:rPr>
        <w:t>ľ</w:t>
      </w:r>
      <w:r w:rsidRPr="0035027D">
        <w:t>nos</w:t>
      </w:r>
      <w:r w:rsidRPr="0035027D">
        <w:rPr>
          <w:rFonts w:cs="Times New Roman"/>
        </w:rPr>
        <w:t>ť</w:t>
      </w:r>
      <w:r w:rsidRPr="0035027D">
        <w:t xml:space="preserve"> a energetika. </w:t>
      </w:r>
    </w:p>
    <w:p w:rsidR="00064A41" w:rsidRPr="0035027D" w:rsidRDefault="00064A41" w:rsidP="00064A41">
      <w:pPr>
        <w:spacing w:after="0"/>
      </w:pPr>
    </w:p>
    <w:p w:rsidR="006E4B99" w:rsidRPr="0035027D" w:rsidRDefault="002756FB" w:rsidP="00064A41">
      <w:pPr>
        <w:spacing w:after="0"/>
      </w:pPr>
      <w:r w:rsidRPr="0035027D">
        <w:t>NPR sumarizuje aj konsolida</w:t>
      </w:r>
      <w:r w:rsidRPr="0035027D">
        <w:rPr>
          <w:rFonts w:cs="Times New Roman"/>
        </w:rPr>
        <w:t>č</w:t>
      </w:r>
      <w:r w:rsidRPr="0035027D">
        <w:t xml:space="preserve">né opatrenia, </w:t>
      </w:r>
      <w:r w:rsidR="002F5EB6" w:rsidRPr="0035027D">
        <w:rPr>
          <w:rFonts w:cs="Times New Roman"/>
        </w:rPr>
        <w:t>ť</w:t>
      </w:r>
      <w:r w:rsidR="002F5EB6" w:rsidRPr="0035027D">
        <w:t>a</w:t>
      </w:r>
      <w:r w:rsidR="002F5EB6" w:rsidRPr="0035027D">
        <w:rPr>
          <w:rFonts w:cs="Times New Roman"/>
        </w:rPr>
        <w:t>ž</w:t>
      </w:r>
      <w:r w:rsidR="002F5EB6" w:rsidRPr="0035027D">
        <w:t xml:space="preserve">iskovým </w:t>
      </w:r>
      <w:r w:rsidRPr="0035027D">
        <w:t xml:space="preserve">dokumentom vlády </w:t>
      </w:r>
      <w:r w:rsidR="001A3402" w:rsidRPr="0035027D">
        <w:t xml:space="preserve">SR </w:t>
      </w:r>
      <w:r w:rsidRPr="0035027D">
        <w:t xml:space="preserve">v tomto smere je však Program stability. Konsolidácia </w:t>
      </w:r>
      <w:r w:rsidR="002F5EB6" w:rsidRPr="0035027D">
        <w:t xml:space="preserve">verejných financií </w:t>
      </w:r>
      <w:r w:rsidRPr="0035027D">
        <w:t>umo</w:t>
      </w:r>
      <w:r w:rsidRPr="0035027D">
        <w:rPr>
          <w:rFonts w:cs="Times New Roman"/>
        </w:rPr>
        <w:t>ž</w:t>
      </w:r>
      <w:r w:rsidRPr="0035027D">
        <w:t xml:space="preserve">ní krajine </w:t>
      </w:r>
      <w:r w:rsidR="00F61680" w:rsidRPr="0035027D">
        <w:t>dosiahnu</w:t>
      </w:r>
      <w:r w:rsidR="00F61680" w:rsidRPr="0035027D">
        <w:rPr>
          <w:rFonts w:cs="Times New Roman"/>
        </w:rPr>
        <w:t>ť</w:t>
      </w:r>
      <w:r w:rsidR="00F61680" w:rsidRPr="0035027D">
        <w:t xml:space="preserve"> zdravé, efektívne a dlhodobo udr</w:t>
      </w:r>
      <w:r w:rsidR="00F61680" w:rsidRPr="0035027D">
        <w:rPr>
          <w:rFonts w:cs="Times New Roman"/>
        </w:rPr>
        <w:t>ž</w:t>
      </w:r>
      <w:r w:rsidR="00F61680" w:rsidRPr="0035027D">
        <w:t>ate</w:t>
      </w:r>
      <w:r w:rsidR="00F61680" w:rsidRPr="0035027D">
        <w:rPr>
          <w:rFonts w:cs="Times New Roman"/>
        </w:rPr>
        <w:t>ľ</w:t>
      </w:r>
      <w:r w:rsidR="00F61680" w:rsidRPr="0035027D">
        <w:t>né verejné rozpo</w:t>
      </w:r>
      <w:r w:rsidR="00F61680" w:rsidRPr="0035027D">
        <w:rPr>
          <w:rFonts w:cs="Times New Roman"/>
        </w:rPr>
        <w:t>č</w:t>
      </w:r>
      <w:r w:rsidR="00F61680" w:rsidRPr="0035027D">
        <w:t>ty</w:t>
      </w:r>
      <w:r w:rsidRPr="0035027D">
        <w:t xml:space="preserve"> a splni</w:t>
      </w:r>
      <w:r w:rsidRPr="0035027D">
        <w:rPr>
          <w:rFonts w:cs="Times New Roman"/>
        </w:rPr>
        <w:t>ť</w:t>
      </w:r>
      <w:r w:rsidRPr="0035027D">
        <w:t xml:space="preserve"> pravidlá Európskej únie, ktoré sme sa zaviazali dodr</w:t>
      </w:r>
      <w:r w:rsidRPr="0035027D">
        <w:rPr>
          <w:rFonts w:cs="Times New Roman"/>
        </w:rPr>
        <w:t>ž</w:t>
      </w:r>
      <w:r w:rsidRPr="0035027D">
        <w:t>iava</w:t>
      </w:r>
      <w:r w:rsidRPr="0035027D">
        <w:rPr>
          <w:rFonts w:cs="Times New Roman"/>
        </w:rPr>
        <w:t>ť</w:t>
      </w:r>
      <w:r w:rsidRPr="0035027D">
        <w:t>. Výber nástrojov odrá</w:t>
      </w:r>
      <w:r w:rsidRPr="0035027D">
        <w:rPr>
          <w:rFonts w:cs="Times New Roman"/>
        </w:rPr>
        <w:t>ž</w:t>
      </w:r>
      <w:r w:rsidRPr="0035027D">
        <w:t>a cie</w:t>
      </w:r>
      <w:r w:rsidRPr="0035027D">
        <w:rPr>
          <w:rFonts w:cs="Times New Roman"/>
        </w:rPr>
        <w:t>ľ</w:t>
      </w:r>
      <w:r w:rsidRPr="0035027D">
        <w:t xml:space="preserve"> </w:t>
      </w:r>
      <w:r w:rsidRPr="0035027D">
        <w:rPr>
          <w:rFonts w:cs="Times New Roman"/>
        </w:rPr>
        <w:t>č</w:t>
      </w:r>
      <w:r w:rsidRPr="0035027D">
        <w:t xml:space="preserve">o najmenšieho negatívneho vplyvu na ekonomický rast </w:t>
      </w:r>
      <w:r w:rsidR="00DB30FD" w:rsidRPr="0035027D">
        <w:t>a obyvate</w:t>
      </w:r>
      <w:r w:rsidR="00DB30FD" w:rsidRPr="0035027D">
        <w:rPr>
          <w:rFonts w:cs="Times New Roman"/>
        </w:rPr>
        <w:t>ľ</w:t>
      </w:r>
      <w:r w:rsidR="00DB30FD" w:rsidRPr="0035027D">
        <w:t xml:space="preserve">stvo </w:t>
      </w:r>
      <w:r w:rsidRPr="0035027D">
        <w:t>a snahu ochráni</w:t>
      </w:r>
      <w:r w:rsidRPr="0035027D">
        <w:rPr>
          <w:rFonts w:cs="Times New Roman"/>
        </w:rPr>
        <w:t>ť</w:t>
      </w:r>
      <w:r w:rsidRPr="0035027D">
        <w:t xml:space="preserve"> výdavky, ktoré zvyšujú produktivitu a konkurencieschopnos</w:t>
      </w:r>
      <w:r w:rsidRPr="0035027D">
        <w:rPr>
          <w:rFonts w:cs="Times New Roman"/>
        </w:rPr>
        <w:t>ť</w:t>
      </w:r>
      <w:r w:rsidRPr="0035027D">
        <w:t xml:space="preserve"> Slovenska.</w:t>
      </w:r>
      <w:r w:rsidR="006E4B99" w:rsidRPr="0035027D">
        <w:t xml:space="preserve"> </w:t>
      </w:r>
      <w:r w:rsidR="00064A41" w:rsidRPr="0035027D">
        <w:t xml:space="preserve">Financovanie </w:t>
      </w:r>
      <w:r w:rsidR="00311D0C" w:rsidRPr="0035027D">
        <w:t xml:space="preserve">ostatných </w:t>
      </w:r>
      <w:r w:rsidR="00064A41" w:rsidRPr="0035027D">
        <w:t xml:space="preserve">opatrení </w:t>
      </w:r>
      <w:r w:rsidR="00311D0C" w:rsidRPr="0035027D">
        <w:t xml:space="preserve">NPR </w:t>
      </w:r>
      <w:r w:rsidR="00064A41" w:rsidRPr="0035027D">
        <w:t>bude zabezpe</w:t>
      </w:r>
      <w:r w:rsidR="00064A41" w:rsidRPr="0035027D">
        <w:rPr>
          <w:rFonts w:cs="Times New Roman"/>
        </w:rPr>
        <w:t>č</w:t>
      </w:r>
      <w:r w:rsidR="00064A41" w:rsidRPr="0035027D">
        <w:t xml:space="preserve">ené v rámci stanovených limitov </w:t>
      </w:r>
      <w:r w:rsidR="00311D0C" w:rsidRPr="0035027D">
        <w:t xml:space="preserve">výdavkov </w:t>
      </w:r>
      <w:r w:rsidR="00064A41" w:rsidRPr="0035027D">
        <w:t>rozpo</w:t>
      </w:r>
      <w:r w:rsidR="00064A41" w:rsidRPr="0035027D">
        <w:rPr>
          <w:rFonts w:cs="Times New Roman"/>
        </w:rPr>
        <w:t>č</w:t>
      </w:r>
      <w:r w:rsidR="00064A41" w:rsidRPr="0035027D">
        <w:t>tových kapitol. Je teda v súlade s konsolida</w:t>
      </w:r>
      <w:r w:rsidR="00064A41" w:rsidRPr="0035027D">
        <w:rPr>
          <w:rFonts w:cs="Times New Roman"/>
        </w:rPr>
        <w:t>č</w:t>
      </w:r>
      <w:r w:rsidR="00064A41" w:rsidRPr="0035027D">
        <w:t>ným úsilím vlády</w:t>
      </w:r>
      <w:r w:rsidR="001A3402" w:rsidRPr="0035027D">
        <w:t xml:space="preserve"> SR</w:t>
      </w:r>
      <w:r w:rsidR="00064A41" w:rsidRPr="0035027D">
        <w:t xml:space="preserve">. </w:t>
      </w:r>
    </w:p>
    <w:p w:rsidR="006E4B99" w:rsidRPr="0035027D" w:rsidRDefault="006E4B99" w:rsidP="00064A41">
      <w:pPr>
        <w:spacing w:after="0"/>
      </w:pPr>
    </w:p>
    <w:p w:rsidR="00064A41" w:rsidRPr="0035027D" w:rsidRDefault="00064A41" w:rsidP="00064A41">
      <w:pPr>
        <w:spacing w:after="0"/>
      </w:pPr>
      <w:r w:rsidRPr="0035027D">
        <w:t>Politika súdr</w:t>
      </w:r>
      <w:r w:rsidRPr="0035027D">
        <w:rPr>
          <w:rFonts w:cs="Times New Roman"/>
        </w:rPr>
        <w:t>ž</w:t>
      </w:r>
      <w:r w:rsidRPr="0035027D">
        <w:t>nosti bude hra</w:t>
      </w:r>
      <w:r w:rsidRPr="0035027D">
        <w:rPr>
          <w:rFonts w:cs="Times New Roman"/>
        </w:rPr>
        <w:t>ť</w:t>
      </w:r>
      <w:r w:rsidRPr="0035027D">
        <w:t xml:space="preserve"> pri financovaní štrukturálnych politík</w:t>
      </w:r>
      <w:r w:rsidR="002F5EB6" w:rsidRPr="0035027D">
        <w:t xml:space="preserve"> dôle</w:t>
      </w:r>
      <w:r w:rsidR="002F5EB6" w:rsidRPr="0035027D">
        <w:rPr>
          <w:rFonts w:cs="Times New Roman"/>
        </w:rPr>
        <w:t>ž</w:t>
      </w:r>
      <w:r w:rsidR="002F5EB6" w:rsidRPr="0035027D">
        <w:t>itú úlohu</w:t>
      </w:r>
      <w:r w:rsidRPr="0035027D">
        <w:t xml:space="preserve">. V roku 2013 preto vláda </w:t>
      </w:r>
      <w:r w:rsidR="001A3402" w:rsidRPr="0035027D">
        <w:t xml:space="preserve">SR </w:t>
      </w:r>
      <w:r w:rsidRPr="0035027D">
        <w:t>po dohode s Európskou komisiou pristúpila k výraznejšiemu vyu</w:t>
      </w:r>
      <w:r w:rsidRPr="0035027D">
        <w:rPr>
          <w:rFonts w:cs="Times New Roman"/>
        </w:rPr>
        <w:t>ž</w:t>
      </w:r>
      <w:r w:rsidRPr="0035027D">
        <w:t xml:space="preserve">itiu fondov EÚ </w:t>
      </w:r>
      <w:r w:rsidR="00BC575B">
        <w:t xml:space="preserve">pre podporu hospodárskeho rastu, </w:t>
      </w:r>
      <w:r w:rsidRPr="0035027D">
        <w:t>na rozvoj základnej infraštruktúry a podporu zamestnanosti. V sú</w:t>
      </w:r>
      <w:r w:rsidRPr="0035027D">
        <w:rPr>
          <w:rFonts w:cs="Times New Roman"/>
        </w:rPr>
        <w:t>č</w:t>
      </w:r>
      <w:r w:rsidRPr="0035027D">
        <w:t>asnosti prebieha diskusia o podobe politiky súdr</w:t>
      </w:r>
      <w:r w:rsidRPr="0035027D">
        <w:rPr>
          <w:rFonts w:cs="Times New Roman"/>
        </w:rPr>
        <w:t>ž</w:t>
      </w:r>
      <w:r w:rsidRPr="0035027D">
        <w:t>nosti v </w:t>
      </w:r>
      <w:r w:rsidRPr="0035027D">
        <w:rPr>
          <w:rFonts w:cs="Times New Roman"/>
        </w:rPr>
        <w:t>ď</w:t>
      </w:r>
      <w:r w:rsidRPr="0035027D">
        <w:t>al</w:t>
      </w:r>
      <w:r w:rsidR="003B0CE0" w:rsidRPr="0035027D">
        <w:t>šom programov</w:t>
      </w:r>
      <w:r w:rsidRPr="0035027D">
        <w:t>om období</w:t>
      </w:r>
      <w:r w:rsidR="003B6C57" w:rsidRPr="0035027D">
        <w:t xml:space="preserve"> 2014 - 2020</w:t>
      </w:r>
      <w:r w:rsidRPr="0035027D">
        <w:t>. Zámerom vlády SR je zefektívni</w:t>
      </w:r>
      <w:r w:rsidRPr="0035027D">
        <w:rPr>
          <w:rFonts w:cs="Times New Roman"/>
        </w:rPr>
        <w:t>ť</w:t>
      </w:r>
      <w:r w:rsidRPr="0035027D">
        <w:t xml:space="preserve"> vyu</w:t>
      </w:r>
      <w:r w:rsidRPr="0035027D">
        <w:rPr>
          <w:rFonts w:cs="Times New Roman"/>
        </w:rPr>
        <w:t>ž</w:t>
      </w:r>
      <w:r w:rsidRPr="0035027D">
        <w:t>itie týchto prostriedkov, predovšetkým koncentráciou na k</w:t>
      </w:r>
      <w:r w:rsidRPr="0035027D">
        <w:rPr>
          <w:rFonts w:cs="Times New Roman"/>
        </w:rPr>
        <w:t>ľ</w:t>
      </w:r>
      <w:r w:rsidRPr="0035027D">
        <w:t>ú</w:t>
      </w:r>
      <w:r w:rsidRPr="0035027D">
        <w:rPr>
          <w:rFonts w:cs="Times New Roman"/>
        </w:rPr>
        <w:t>č</w:t>
      </w:r>
      <w:r w:rsidRPr="0035027D">
        <w:t>ové oblasti a priority hospodárskej politiky SR. Vo vä</w:t>
      </w:r>
      <w:r w:rsidRPr="0035027D">
        <w:rPr>
          <w:rFonts w:cs="Times New Roman"/>
        </w:rPr>
        <w:t>č</w:t>
      </w:r>
      <w:r w:rsidRPr="0035027D">
        <w:t>šej miere sa bude vyu</w:t>
      </w:r>
      <w:r w:rsidRPr="0035027D">
        <w:rPr>
          <w:rFonts w:cs="Times New Roman"/>
        </w:rPr>
        <w:t>ž</w:t>
      </w:r>
      <w:r w:rsidRPr="0035027D">
        <w:t>íva</w:t>
      </w:r>
      <w:r w:rsidRPr="0035027D">
        <w:rPr>
          <w:rFonts w:cs="Times New Roman"/>
        </w:rPr>
        <w:t>ť</w:t>
      </w:r>
      <w:r w:rsidRPr="0035027D">
        <w:t xml:space="preserve"> návratná forma pomoci. Úspora a vyššia ú</w:t>
      </w:r>
      <w:r w:rsidRPr="0035027D">
        <w:rPr>
          <w:rFonts w:cs="Times New Roman"/>
        </w:rPr>
        <w:t>č</w:t>
      </w:r>
      <w:r w:rsidRPr="0035027D">
        <w:t>innos</w:t>
      </w:r>
      <w:r w:rsidRPr="0035027D">
        <w:rPr>
          <w:rFonts w:cs="Times New Roman"/>
        </w:rPr>
        <w:t>ť</w:t>
      </w:r>
      <w:r w:rsidRPr="0035027D">
        <w:t xml:space="preserve"> vynalo</w:t>
      </w:r>
      <w:r w:rsidRPr="0035027D">
        <w:rPr>
          <w:rFonts w:cs="Times New Roman"/>
        </w:rPr>
        <w:t>ž</w:t>
      </w:r>
      <w:r w:rsidRPr="0035027D">
        <w:t>ených financií sa dosiahne aj obmedzením</w:t>
      </w:r>
      <w:r w:rsidR="0037199A" w:rsidRPr="0035027D">
        <w:t xml:space="preserve"> </w:t>
      </w:r>
      <w:r w:rsidRPr="0035027D">
        <w:t>tradi</w:t>
      </w:r>
      <w:r w:rsidRPr="0035027D">
        <w:rPr>
          <w:rFonts w:cs="Times New Roman"/>
        </w:rPr>
        <w:t>č</w:t>
      </w:r>
      <w:r w:rsidRPr="0035027D">
        <w:t xml:space="preserve">ných nenávratných príspevkov na prípady, kde sa vytvára verejný statok, a kde z dôvodu vzniku </w:t>
      </w:r>
      <w:r w:rsidR="00F64DFA" w:rsidRPr="0035027D">
        <w:t>pozitívnych</w:t>
      </w:r>
      <w:r w:rsidRPr="0035027D">
        <w:t xml:space="preserve"> externalít</w:t>
      </w:r>
      <w:r w:rsidR="00F64DFA" w:rsidRPr="0035027D">
        <w:t>, teda</w:t>
      </w:r>
      <w:r w:rsidRPr="0035027D">
        <w:t> neschopnosti internalizova</w:t>
      </w:r>
      <w:r w:rsidRPr="0035027D">
        <w:rPr>
          <w:rFonts w:cs="Times New Roman"/>
        </w:rPr>
        <w:t>ť</w:t>
      </w:r>
      <w:r w:rsidRPr="0035027D">
        <w:t xml:space="preserve"> celý zisk dochádza k zlyhaniam trhu. Verejné zdroje podporia takéto aktivity tak, aby sa ich úrove</w:t>
      </w:r>
      <w:r w:rsidRPr="0035027D">
        <w:rPr>
          <w:rFonts w:cs="Times New Roman"/>
        </w:rPr>
        <w:t>ň</w:t>
      </w:r>
      <w:r w:rsidRPr="0035027D">
        <w:t xml:space="preserve"> priblí</w:t>
      </w:r>
      <w:r w:rsidRPr="0035027D">
        <w:rPr>
          <w:rFonts w:cs="Times New Roman"/>
        </w:rPr>
        <w:t>ž</w:t>
      </w:r>
      <w:r w:rsidRPr="0035027D">
        <w:t>ila spolo</w:t>
      </w:r>
      <w:r w:rsidRPr="0035027D">
        <w:rPr>
          <w:rFonts w:cs="Times New Roman"/>
        </w:rPr>
        <w:t>č</w:t>
      </w:r>
      <w:r w:rsidRPr="0035027D">
        <w:t xml:space="preserve">enskému optimu. </w:t>
      </w:r>
    </w:p>
    <w:p w:rsidR="00064A41" w:rsidRPr="0035027D" w:rsidRDefault="00064A41" w:rsidP="00064A41">
      <w:pPr>
        <w:spacing w:after="0"/>
      </w:pPr>
    </w:p>
    <w:p w:rsidR="00064A41" w:rsidRPr="0035027D" w:rsidRDefault="00902F06" w:rsidP="00064A41">
      <w:pPr>
        <w:spacing w:after="0"/>
      </w:pPr>
      <w:r w:rsidRPr="0035027D">
        <w:t>NPR</w:t>
      </w:r>
      <w:r w:rsidR="00064A41" w:rsidRPr="0035027D">
        <w:t xml:space="preserve"> je hlavným strategickým dokumentom vlády SR v oblasti ekonomického rozvoja a štrukturálnych politík. Predstavuje národné opatrenia na dosiahnutie trvalo udr</w:t>
      </w:r>
      <w:r w:rsidR="00064A41" w:rsidRPr="0035027D">
        <w:rPr>
          <w:rFonts w:cs="Times New Roman"/>
        </w:rPr>
        <w:t>ž</w:t>
      </w:r>
      <w:r w:rsidR="00064A41" w:rsidRPr="0035027D">
        <w:t>ate</w:t>
      </w:r>
      <w:r w:rsidR="00064A41" w:rsidRPr="0035027D">
        <w:rPr>
          <w:rFonts w:cs="Times New Roman"/>
        </w:rPr>
        <w:t>ľ</w:t>
      </w:r>
      <w:r w:rsidR="00064A41" w:rsidRPr="0035027D">
        <w:t xml:space="preserve">ného hospodárskeho rastu, rastu zamestnanosti a zlepšenia kvality </w:t>
      </w:r>
      <w:r w:rsidR="00064A41" w:rsidRPr="0035027D">
        <w:rPr>
          <w:rFonts w:cs="Times New Roman"/>
        </w:rPr>
        <w:t>ž</w:t>
      </w:r>
      <w:r w:rsidR="00064A41" w:rsidRPr="0035027D">
        <w:t>ivota. Na medzinárodnej úrovni predstavuje tento materiál opatrenia na naplnenie cie</w:t>
      </w:r>
      <w:r w:rsidR="00064A41" w:rsidRPr="0035027D">
        <w:rPr>
          <w:rFonts w:cs="Times New Roman"/>
        </w:rPr>
        <w:t>ľ</w:t>
      </w:r>
      <w:r w:rsidR="00064A41" w:rsidRPr="0035027D">
        <w:t xml:space="preserve">ov </w:t>
      </w:r>
      <w:r w:rsidR="00064A41" w:rsidRPr="0035027D">
        <w:lastRenderedPageBreak/>
        <w:t>obsiahnutých v stratégii Európa 2020</w:t>
      </w:r>
      <w:r w:rsidR="00A47344" w:rsidRPr="0035027D">
        <w:t xml:space="preserve"> definovaných v </w:t>
      </w:r>
      <w:r w:rsidR="00064A41" w:rsidRPr="0035027D">
        <w:t>Ro</w:t>
      </w:r>
      <w:r w:rsidR="00064A41" w:rsidRPr="0035027D">
        <w:rPr>
          <w:rFonts w:cs="Times New Roman"/>
        </w:rPr>
        <w:t>č</w:t>
      </w:r>
      <w:r w:rsidR="00064A41" w:rsidRPr="0035027D">
        <w:t>n</w:t>
      </w:r>
      <w:r w:rsidR="00A47344" w:rsidRPr="0035027D">
        <w:t>om</w:t>
      </w:r>
      <w:r w:rsidR="00064A41" w:rsidRPr="0035027D">
        <w:t xml:space="preserve"> prieskumu rastu 2013</w:t>
      </w:r>
      <w:r w:rsidR="00A47344" w:rsidRPr="0035027D">
        <w:t xml:space="preserve"> a Integrovaných usmerneniach EK</w:t>
      </w:r>
      <w:r w:rsidR="00FD1F73">
        <w:t xml:space="preserve"> pre stratégiu Európa 2020</w:t>
      </w:r>
      <w:r w:rsidR="00BF0948" w:rsidRPr="0035027D">
        <w:t>, ako aj na splnenie špecifických odporú</w:t>
      </w:r>
      <w:r w:rsidR="00BF0948" w:rsidRPr="0035027D">
        <w:rPr>
          <w:rFonts w:cs="Times New Roman"/>
        </w:rPr>
        <w:t>č</w:t>
      </w:r>
      <w:r w:rsidR="00BF0948" w:rsidRPr="0035027D">
        <w:t xml:space="preserve">aní </w:t>
      </w:r>
      <w:r w:rsidR="00A47344" w:rsidRPr="0035027D">
        <w:t xml:space="preserve">Európskej rady </w:t>
      </w:r>
      <w:r w:rsidR="00BF0948" w:rsidRPr="0035027D">
        <w:t>pre SR</w:t>
      </w:r>
      <w:r w:rsidR="00064A41" w:rsidRPr="0035027D">
        <w:t xml:space="preserve">. </w:t>
      </w:r>
      <w:r w:rsidR="00ED7F6D" w:rsidRPr="0035027D">
        <w:t>NPR nevytvára dodato</w:t>
      </w:r>
      <w:r w:rsidR="00ED7F6D" w:rsidRPr="0035027D">
        <w:rPr>
          <w:rFonts w:cs="Times New Roman"/>
        </w:rPr>
        <w:t>č</w:t>
      </w:r>
      <w:r w:rsidR="00ED7F6D" w:rsidRPr="0035027D">
        <w:t>né nároky na rozpo</w:t>
      </w:r>
      <w:r w:rsidR="00ED7F6D" w:rsidRPr="0035027D">
        <w:rPr>
          <w:rFonts w:cs="Times New Roman"/>
        </w:rPr>
        <w:t>č</w:t>
      </w:r>
      <w:r w:rsidR="00ED7F6D" w:rsidRPr="0035027D">
        <w:t>et verejných financií. S</w:t>
      </w:r>
      <w:r w:rsidR="00064A41" w:rsidRPr="0035027D">
        <w:t xml:space="preserve">polu s Programom stability stanovujú priority vlády SR na nadchádzajúce obdobie v hospodárskej a fiškálnej politike. </w:t>
      </w:r>
    </w:p>
    <w:p w:rsidR="002F5AFA" w:rsidRDefault="002F5AFA" w:rsidP="00064A41">
      <w:pPr>
        <w:spacing w:after="0"/>
      </w:pPr>
    </w:p>
    <w:p w:rsidR="001F77AA" w:rsidRDefault="001F77AA" w:rsidP="001F77AA">
      <w:pPr>
        <w:spacing w:after="0"/>
      </w:pPr>
      <w:r>
        <w:t xml:space="preserve">NPR v súlade s Programovým vyhlásením vlády SR aj so sektorovými stratégiami vlády vytvára strednodobý rámec pre </w:t>
      </w:r>
      <w:r w:rsidRPr="00692CED">
        <w:t xml:space="preserve">formovanie rastového potenciálu slovenskej ekonomiky </w:t>
      </w:r>
      <w:r>
        <w:t xml:space="preserve">a zamestnanosti. Krátkodobý kontext hospodárskej politiky vlády je vyjadrený v dokumente Opatrenia v hospodárskej politike na podporu hospodárskeho rastu. Tento materiál je </w:t>
      </w:r>
      <w:r w:rsidRPr="00073956">
        <w:t>komplexne ponímaným súborom opatrení</w:t>
      </w:r>
      <w:r>
        <w:t xml:space="preserve">, ktoré nezasahujú </w:t>
      </w:r>
      <w:r w:rsidRPr="00692CED">
        <w:t xml:space="preserve"> </w:t>
      </w:r>
      <w:r w:rsidRPr="00073956">
        <w:t>len do tzv. výrobnej základne, teda odvetví a sektorov hospodárstva, ale aj do jej nadstavby, teda zdravotníctva, školstva, armády a</w:t>
      </w:r>
      <w:r>
        <w:t> verejnej správy a preto dopĺňa NPR 2013 a predstavuje nevyhnutné východisko</w:t>
      </w:r>
      <w:r w:rsidRPr="00692CED">
        <w:t xml:space="preserve"> na dosiahnutie</w:t>
      </w:r>
      <w:r>
        <w:t xml:space="preserve"> jeho</w:t>
      </w:r>
      <w:r w:rsidRPr="00692CED">
        <w:t xml:space="preserve"> priorít</w:t>
      </w:r>
      <w:r>
        <w:t xml:space="preserve">. </w:t>
      </w:r>
    </w:p>
    <w:p w:rsidR="001F77AA" w:rsidRPr="0035027D" w:rsidRDefault="001F77AA" w:rsidP="00064A41">
      <w:pPr>
        <w:spacing w:after="0"/>
      </w:pPr>
    </w:p>
    <w:p w:rsidR="003B6C57" w:rsidRPr="0035027D" w:rsidRDefault="003B6C57" w:rsidP="00064A41">
      <w:pPr>
        <w:spacing w:after="0"/>
      </w:pPr>
      <w:r w:rsidRPr="0035027D">
        <w:t>Informácie o úlohách vyplývajúcich pre ústredné orgány štátnej správy z Národného programu reforiem 2013, spôsob, termín a rozpo</w:t>
      </w:r>
      <w:r w:rsidRPr="0035027D">
        <w:rPr>
          <w:rFonts w:cs="Times New Roman"/>
        </w:rPr>
        <w:t>č</w:t>
      </w:r>
      <w:r w:rsidRPr="0035027D">
        <w:t>tového náklady ich realizácie, ako aj stav doterajšieho plnenia ulo</w:t>
      </w:r>
      <w:r w:rsidRPr="0035027D">
        <w:rPr>
          <w:rFonts w:cs="Times New Roman"/>
        </w:rPr>
        <w:t>ž</w:t>
      </w:r>
      <w:r w:rsidRPr="0035027D">
        <w:t>ených úloh a ich väzba na strategické dokumenty EÚ sú uvedené v Ak</w:t>
      </w:r>
      <w:r w:rsidRPr="0035027D">
        <w:rPr>
          <w:rFonts w:cs="Times New Roman"/>
        </w:rPr>
        <w:t>č</w:t>
      </w:r>
      <w:r w:rsidRPr="0035027D">
        <w:t>nom pláne Národného programu reforiem 2013.</w:t>
      </w:r>
    </w:p>
    <w:p w:rsidR="00064A41" w:rsidRPr="0035027D" w:rsidRDefault="00064A41" w:rsidP="00064A41">
      <w:pPr>
        <w:spacing w:after="0"/>
      </w:pPr>
    </w:p>
    <w:p w:rsidR="00064A41" w:rsidRPr="0035027D" w:rsidRDefault="00064A41" w:rsidP="00064A41">
      <w:pPr>
        <w:spacing w:after="0"/>
      </w:pPr>
    </w:p>
    <w:tbl>
      <w:tblPr>
        <w:tblStyle w:val="Mriekatabuky"/>
        <w:tblW w:w="0" w:type="auto"/>
        <w:tblLook w:val="04A0" w:firstRow="1" w:lastRow="0" w:firstColumn="1" w:lastColumn="0" w:noHBand="0" w:noVBand="1"/>
      </w:tblPr>
      <w:tblGrid>
        <w:gridCol w:w="9210"/>
      </w:tblGrid>
      <w:tr w:rsidR="00064A41" w:rsidRPr="0035027D" w:rsidTr="00350F0A">
        <w:tc>
          <w:tcPr>
            <w:tcW w:w="9210" w:type="dxa"/>
            <w:shd w:val="clear" w:color="auto" w:fill="D9D9D9" w:themeFill="background1" w:themeFillShade="D9"/>
            <w:tcMar>
              <w:top w:w="85" w:type="dxa"/>
              <w:bottom w:w="85" w:type="dxa"/>
            </w:tcMar>
          </w:tcPr>
          <w:p w:rsidR="00064A41" w:rsidRPr="0035027D" w:rsidRDefault="00F23D05" w:rsidP="00350F0A">
            <w:pPr>
              <w:spacing w:before="240" w:after="0"/>
              <w:rPr>
                <w:b/>
                <w:sz w:val="20"/>
              </w:rPr>
            </w:pPr>
            <w:r w:rsidRPr="0035027D">
              <w:rPr>
                <w:b/>
                <w:sz w:val="20"/>
              </w:rPr>
              <w:t xml:space="preserve">Box 1: </w:t>
            </w:r>
            <w:r w:rsidR="006E4B99" w:rsidRPr="0035027D">
              <w:rPr>
                <w:b/>
                <w:sz w:val="20"/>
              </w:rPr>
              <w:t>Východiská NPR</w:t>
            </w:r>
            <w:r w:rsidR="00064A41" w:rsidRPr="0035027D">
              <w:rPr>
                <w:b/>
                <w:sz w:val="20"/>
              </w:rPr>
              <w:t xml:space="preserve"> v kontexte koordinácie politík EÚ</w:t>
            </w:r>
          </w:p>
          <w:p w:rsidR="00064A41" w:rsidRPr="0035027D" w:rsidRDefault="00064A41" w:rsidP="00350F0A">
            <w:pPr>
              <w:spacing w:after="0"/>
              <w:rPr>
                <w:sz w:val="20"/>
              </w:rPr>
            </w:pPr>
          </w:p>
          <w:p w:rsidR="00064A41" w:rsidRPr="0035027D" w:rsidRDefault="00064A41" w:rsidP="00350F0A">
            <w:pPr>
              <w:spacing w:after="0"/>
              <w:rPr>
                <w:sz w:val="20"/>
              </w:rPr>
            </w:pPr>
            <w:r w:rsidRPr="0035027D">
              <w:rPr>
                <w:sz w:val="20"/>
              </w:rPr>
              <w:t>Kríza odhalila zásadné problémy a neudr</w:t>
            </w:r>
            <w:r w:rsidRPr="0035027D">
              <w:rPr>
                <w:rFonts w:cs="Times New Roman"/>
                <w:sz w:val="20"/>
              </w:rPr>
              <w:t>ž</w:t>
            </w:r>
            <w:r w:rsidRPr="0035027D">
              <w:rPr>
                <w:sz w:val="20"/>
              </w:rPr>
              <w:t>ate</w:t>
            </w:r>
            <w:r w:rsidRPr="0035027D">
              <w:rPr>
                <w:rFonts w:cs="Times New Roman"/>
                <w:sz w:val="20"/>
              </w:rPr>
              <w:t>ľ</w:t>
            </w:r>
            <w:r w:rsidRPr="0035027D">
              <w:rPr>
                <w:sz w:val="20"/>
              </w:rPr>
              <w:t>né trendy v mnohých európskych krajinách a poukázala na vysokú prepojenos</w:t>
            </w:r>
            <w:r w:rsidRPr="0035027D">
              <w:rPr>
                <w:rFonts w:cs="Times New Roman"/>
                <w:sz w:val="20"/>
              </w:rPr>
              <w:t>ť</w:t>
            </w:r>
            <w:r w:rsidRPr="0035027D">
              <w:rPr>
                <w:sz w:val="20"/>
              </w:rPr>
              <w:t xml:space="preserve"> ekonomík </w:t>
            </w:r>
            <w:r w:rsidRPr="0035027D">
              <w:rPr>
                <w:rFonts w:cs="Times New Roman"/>
                <w:sz w:val="20"/>
              </w:rPr>
              <w:t>č</w:t>
            </w:r>
            <w:r w:rsidRPr="0035027D">
              <w:rPr>
                <w:sz w:val="20"/>
              </w:rPr>
              <w:t>lenských štátov. Vyššia miera koordinácie hospodárskej politiky v celej EÚ, vyjadrená v rámci stratégie Európa 2020, by mala prispie</w:t>
            </w:r>
            <w:r w:rsidRPr="0035027D">
              <w:rPr>
                <w:rFonts w:cs="Times New Roman"/>
                <w:sz w:val="20"/>
              </w:rPr>
              <w:t>ť</w:t>
            </w:r>
            <w:r w:rsidRPr="0035027D">
              <w:rPr>
                <w:sz w:val="20"/>
              </w:rPr>
              <w:t xml:space="preserve"> k riešeniu uvedených problémov, podpore ekonomického rastu, tvorbe pracovných miest v budúcnosti a celkovému zvyšovaniu kvality </w:t>
            </w:r>
            <w:r w:rsidRPr="0035027D">
              <w:rPr>
                <w:rFonts w:cs="Times New Roman"/>
                <w:sz w:val="20"/>
              </w:rPr>
              <w:t>ž</w:t>
            </w:r>
            <w:r w:rsidRPr="0035027D">
              <w:rPr>
                <w:sz w:val="20"/>
              </w:rPr>
              <w:t xml:space="preserve">ivota. Posilnenie Európskeho semestra o Procedúru makroekonomických nerovnováh ešte viac posilní koordináciu makroekonomických, fiškálnych a štrukturálnych politík </w:t>
            </w:r>
            <w:r w:rsidRPr="0035027D">
              <w:rPr>
                <w:rFonts w:cs="Times New Roman"/>
                <w:sz w:val="20"/>
              </w:rPr>
              <w:t>č</w:t>
            </w:r>
            <w:r w:rsidRPr="0035027D">
              <w:rPr>
                <w:sz w:val="20"/>
              </w:rPr>
              <w:t xml:space="preserve">lenských krajín EÚ. </w:t>
            </w:r>
          </w:p>
          <w:p w:rsidR="00064A41" w:rsidRPr="0035027D" w:rsidRDefault="00064A41" w:rsidP="00350F0A">
            <w:pPr>
              <w:spacing w:after="0"/>
              <w:rPr>
                <w:sz w:val="20"/>
              </w:rPr>
            </w:pPr>
          </w:p>
          <w:p w:rsidR="00064A41" w:rsidRPr="0035027D" w:rsidRDefault="00064A41" w:rsidP="00350F0A">
            <w:pPr>
              <w:spacing w:after="0"/>
              <w:rPr>
                <w:sz w:val="20"/>
              </w:rPr>
            </w:pPr>
            <w:r w:rsidRPr="0035027D">
              <w:rPr>
                <w:sz w:val="20"/>
              </w:rPr>
              <w:t>Vzh</w:t>
            </w:r>
            <w:r w:rsidRPr="0035027D">
              <w:rPr>
                <w:rFonts w:cs="Times New Roman"/>
                <w:sz w:val="20"/>
              </w:rPr>
              <w:t>ľ</w:t>
            </w:r>
            <w:r w:rsidRPr="0035027D">
              <w:rPr>
                <w:sz w:val="20"/>
              </w:rPr>
              <w:t>adom na vysokú prepojenos</w:t>
            </w:r>
            <w:r w:rsidRPr="0035027D">
              <w:rPr>
                <w:rFonts w:cs="Times New Roman"/>
                <w:sz w:val="20"/>
              </w:rPr>
              <w:t>ť</w:t>
            </w:r>
            <w:r w:rsidRPr="0035027D">
              <w:rPr>
                <w:sz w:val="20"/>
              </w:rPr>
              <w:t xml:space="preserve"> ekonomík EÚ je efektívnejšie, pokia</w:t>
            </w:r>
            <w:r w:rsidRPr="0035027D">
              <w:rPr>
                <w:rFonts w:cs="Times New Roman"/>
                <w:sz w:val="20"/>
              </w:rPr>
              <w:t>ľ</w:t>
            </w:r>
            <w:r w:rsidRPr="0035027D">
              <w:rPr>
                <w:sz w:val="20"/>
              </w:rPr>
              <w:t xml:space="preserve"> je konanie všetkých </w:t>
            </w:r>
            <w:r w:rsidRPr="0035027D">
              <w:rPr>
                <w:rFonts w:cs="Times New Roman"/>
                <w:sz w:val="20"/>
              </w:rPr>
              <w:t>č</w:t>
            </w:r>
            <w:r w:rsidRPr="0035027D">
              <w:rPr>
                <w:sz w:val="20"/>
              </w:rPr>
              <w:t xml:space="preserve">lenských krajín v štrukturálnych politikách koordinované na úrovni EÚ, napriek tomu, </w:t>
            </w:r>
            <w:r w:rsidRPr="0035027D">
              <w:rPr>
                <w:rFonts w:cs="Times New Roman"/>
                <w:sz w:val="20"/>
              </w:rPr>
              <w:t>ž</w:t>
            </w:r>
            <w:r w:rsidRPr="0035027D">
              <w:rPr>
                <w:sz w:val="20"/>
              </w:rPr>
              <w:t xml:space="preserve">e patria do kompetencie jednotlivých </w:t>
            </w:r>
            <w:r w:rsidRPr="0035027D">
              <w:rPr>
                <w:rFonts w:cs="Times New Roman"/>
                <w:sz w:val="20"/>
              </w:rPr>
              <w:t>č</w:t>
            </w:r>
            <w:r w:rsidRPr="0035027D">
              <w:rPr>
                <w:sz w:val="20"/>
              </w:rPr>
              <w:t xml:space="preserve">lenských štátov. </w:t>
            </w:r>
            <w:r w:rsidRPr="0035027D">
              <w:rPr>
                <w:rFonts w:cs="Times New Roman"/>
                <w:sz w:val="20"/>
              </w:rPr>
              <w:t>Č</w:t>
            </w:r>
            <w:r w:rsidRPr="0035027D">
              <w:rPr>
                <w:sz w:val="20"/>
              </w:rPr>
              <w:t>lenské štáty sa taktie</w:t>
            </w:r>
            <w:r w:rsidRPr="0035027D">
              <w:rPr>
                <w:rFonts w:cs="Times New Roman"/>
                <w:sz w:val="20"/>
              </w:rPr>
              <w:t>ž</w:t>
            </w:r>
            <w:r w:rsidRPr="0035027D">
              <w:rPr>
                <w:sz w:val="20"/>
              </w:rPr>
              <w:t xml:space="preserve"> mô</w:t>
            </w:r>
            <w:r w:rsidRPr="0035027D">
              <w:rPr>
                <w:rFonts w:cs="Times New Roman"/>
                <w:sz w:val="20"/>
              </w:rPr>
              <w:t>ž</w:t>
            </w:r>
            <w:r w:rsidRPr="0035027D">
              <w:rPr>
                <w:sz w:val="20"/>
              </w:rPr>
              <w:t>u inšpirova</w:t>
            </w:r>
            <w:r w:rsidRPr="0035027D">
              <w:rPr>
                <w:rFonts w:cs="Times New Roman"/>
                <w:sz w:val="20"/>
              </w:rPr>
              <w:t>ť</w:t>
            </w:r>
            <w:r w:rsidRPr="0035027D">
              <w:rPr>
                <w:sz w:val="20"/>
              </w:rPr>
              <w:t xml:space="preserve"> príkladmi úspešných krajín. V rámci EÚ existuje konsenzus o všeobecnom smerovaní hospodárskych politík a politík zamestnanosti </w:t>
            </w:r>
            <w:r w:rsidRPr="0035027D">
              <w:rPr>
                <w:rFonts w:cs="Times New Roman"/>
                <w:sz w:val="20"/>
              </w:rPr>
              <w:t>č</w:t>
            </w:r>
            <w:r w:rsidRPr="0035027D">
              <w:rPr>
                <w:sz w:val="20"/>
              </w:rPr>
              <w:t xml:space="preserve">lenských krajín. </w:t>
            </w:r>
            <w:r w:rsidR="004D594E" w:rsidRPr="0035027D">
              <w:rPr>
                <w:sz w:val="20"/>
              </w:rPr>
              <w:t xml:space="preserve">Proces koordinácie </w:t>
            </w:r>
            <w:r w:rsidR="00182D7F" w:rsidRPr="0035027D">
              <w:rPr>
                <w:sz w:val="20"/>
              </w:rPr>
              <w:t xml:space="preserve">Stratégie Európa </w:t>
            </w:r>
            <w:r w:rsidRPr="0035027D">
              <w:rPr>
                <w:sz w:val="20"/>
              </w:rPr>
              <w:t>2020, tzv. Európsky semester, za</w:t>
            </w:r>
            <w:r w:rsidRPr="0035027D">
              <w:rPr>
                <w:rFonts w:cs="Times New Roman"/>
                <w:sz w:val="20"/>
              </w:rPr>
              <w:t>č</w:t>
            </w:r>
            <w:r w:rsidRPr="0035027D">
              <w:rPr>
                <w:sz w:val="20"/>
              </w:rPr>
              <w:t>ína Ro</w:t>
            </w:r>
            <w:r w:rsidRPr="0035027D">
              <w:rPr>
                <w:rFonts w:cs="Times New Roman"/>
                <w:sz w:val="20"/>
              </w:rPr>
              <w:t>č</w:t>
            </w:r>
            <w:r w:rsidRPr="0035027D">
              <w:rPr>
                <w:sz w:val="20"/>
              </w:rPr>
              <w:t>ným prieskumom rastu (</w:t>
            </w:r>
            <w:proofErr w:type="spellStart"/>
            <w:r w:rsidR="006C1E62" w:rsidRPr="0035027D">
              <w:rPr>
                <w:sz w:val="20"/>
              </w:rPr>
              <w:t>Annual</w:t>
            </w:r>
            <w:proofErr w:type="spellEnd"/>
            <w:r w:rsidR="006C1E62" w:rsidRPr="0035027D">
              <w:rPr>
                <w:sz w:val="20"/>
              </w:rPr>
              <w:t xml:space="preserve"> </w:t>
            </w:r>
            <w:proofErr w:type="spellStart"/>
            <w:r w:rsidR="006C1E62" w:rsidRPr="0035027D">
              <w:rPr>
                <w:sz w:val="20"/>
              </w:rPr>
              <w:t>Growth</w:t>
            </w:r>
            <w:proofErr w:type="spellEnd"/>
            <w:r w:rsidR="006C1E62" w:rsidRPr="0035027D">
              <w:rPr>
                <w:sz w:val="20"/>
              </w:rPr>
              <w:t xml:space="preserve"> </w:t>
            </w:r>
            <w:proofErr w:type="spellStart"/>
            <w:r w:rsidR="006C1E62" w:rsidRPr="0035027D">
              <w:rPr>
                <w:sz w:val="20"/>
              </w:rPr>
              <w:t>Survey</w:t>
            </w:r>
            <w:proofErr w:type="spellEnd"/>
            <w:r w:rsidR="006C1E62" w:rsidRPr="0035027D">
              <w:rPr>
                <w:sz w:val="20"/>
              </w:rPr>
              <w:t xml:space="preserve"> - </w:t>
            </w:r>
            <w:r w:rsidRPr="0035027D">
              <w:rPr>
                <w:sz w:val="20"/>
              </w:rPr>
              <w:t>AGS), ktorý obsahuje analýzu ekonomiky EÚ a stanovuje k</w:t>
            </w:r>
            <w:r w:rsidRPr="0035027D">
              <w:rPr>
                <w:rFonts w:cs="Times New Roman"/>
                <w:sz w:val="20"/>
              </w:rPr>
              <w:t>ľ</w:t>
            </w:r>
            <w:r w:rsidRPr="0035027D">
              <w:rPr>
                <w:sz w:val="20"/>
              </w:rPr>
              <w:t>ú</w:t>
            </w:r>
            <w:r w:rsidRPr="0035027D">
              <w:rPr>
                <w:rFonts w:cs="Times New Roman"/>
                <w:sz w:val="20"/>
              </w:rPr>
              <w:t>č</w:t>
            </w:r>
            <w:r w:rsidRPr="0035027D">
              <w:rPr>
                <w:sz w:val="20"/>
              </w:rPr>
              <w:t xml:space="preserve">ové priority reforiem v makroekonomickej a mikroekonomickej oblasti, ako aj reforiem trhu práce. </w:t>
            </w:r>
            <w:r w:rsidRPr="0035027D">
              <w:rPr>
                <w:rFonts w:cs="Times New Roman"/>
                <w:sz w:val="20"/>
              </w:rPr>
              <w:t>Č</w:t>
            </w:r>
            <w:r w:rsidRPr="0035027D">
              <w:rPr>
                <w:sz w:val="20"/>
              </w:rPr>
              <w:t xml:space="preserve">lenské štáty premietnu priority AGS vo vlastných strategických materiáloch obsahujúcich konkrétne opatrenia pre rozvoj ekonomiky – Národných programoch reforiem. </w:t>
            </w:r>
            <w:r w:rsidR="00FD1F73" w:rsidRPr="00FD1F73">
              <w:rPr>
                <w:sz w:val="20"/>
              </w:rPr>
              <w:t xml:space="preserve">V záujme podporovania rastu a zamestnanosti a schopnosti reagovať na fiškálne, makroekonomické a štrukturálne výzvy je naliehavou úlohou dokončenie a vykonávanie rámca pre lepšiu správu ekonomických záležitostí a posilnenie prepojenia jednotlivých politík, napr. medzi politikou súdržnosti a správou hospodárskych záležitostí </w:t>
            </w:r>
            <w:r w:rsidR="00290DAF">
              <w:rPr>
                <w:sz w:val="20"/>
              </w:rPr>
              <w:t>EÚ</w:t>
            </w:r>
            <w:r w:rsidR="00FD1F73" w:rsidRPr="00FD1F73">
              <w:rPr>
                <w:sz w:val="20"/>
              </w:rPr>
              <w:t xml:space="preserve">, </w:t>
            </w:r>
            <w:proofErr w:type="spellStart"/>
            <w:r w:rsidR="00FD1F73" w:rsidRPr="00FD1F73">
              <w:rPr>
                <w:sz w:val="20"/>
              </w:rPr>
              <w:t>makroregionálnymi</w:t>
            </w:r>
            <w:proofErr w:type="spellEnd"/>
            <w:r w:rsidR="00FD1F73" w:rsidRPr="00FD1F73">
              <w:rPr>
                <w:sz w:val="20"/>
              </w:rPr>
              <w:t xml:space="preserve"> stratégiami a</w:t>
            </w:r>
            <w:r w:rsidR="00290DAF">
              <w:rPr>
                <w:sz w:val="20"/>
              </w:rPr>
              <w:t xml:space="preserve"> </w:t>
            </w:r>
            <w:r w:rsidR="00FD1F73" w:rsidRPr="00FD1F73">
              <w:rPr>
                <w:sz w:val="20"/>
              </w:rPr>
              <w:t xml:space="preserve">pod. </w:t>
            </w:r>
            <w:r w:rsidR="006C1E62" w:rsidRPr="0035027D">
              <w:rPr>
                <w:sz w:val="20"/>
              </w:rPr>
              <w:t>Európska komisia zhodnotí priebeh reforiem v krajiná</w:t>
            </w:r>
            <w:r w:rsidR="00145EEB" w:rsidRPr="0035027D">
              <w:rPr>
                <w:sz w:val="20"/>
              </w:rPr>
              <w:t>ch, navrhované opatrenia NPR a P</w:t>
            </w:r>
            <w:r w:rsidR="006C1E62" w:rsidRPr="0035027D">
              <w:rPr>
                <w:sz w:val="20"/>
              </w:rPr>
              <w:t>rogramu stability, resp. konvergen</w:t>
            </w:r>
            <w:r w:rsidR="006C1E62" w:rsidRPr="0035027D">
              <w:rPr>
                <w:rFonts w:cs="Times New Roman"/>
                <w:sz w:val="20"/>
              </w:rPr>
              <w:t>č</w:t>
            </w:r>
            <w:r w:rsidR="006C1E62" w:rsidRPr="0035027D">
              <w:rPr>
                <w:sz w:val="20"/>
              </w:rPr>
              <w:t xml:space="preserve">ného programu, a na základe svojich zistení vydá pre </w:t>
            </w:r>
            <w:r w:rsidR="006C1E62" w:rsidRPr="0035027D">
              <w:rPr>
                <w:rFonts w:cs="Times New Roman"/>
                <w:sz w:val="20"/>
              </w:rPr>
              <w:t>č</w:t>
            </w:r>
            <w:r w:rsidR="006C1E62" w:rsidRPr="0035027D">
              <w:rPr>
                <w:sz w:val="20"/>
              </w:rPr>
              <w:t>lenské štáty špecifické odporú</w:t>
            </w:r>
            <w:r w:rsidR="006C1E62" w:rsidRPr="0035027D">
              <w:rPr>
                <w:rFonts w:cs="Times New Roman"/>
                <w:sz w:val="20"/>
              </w:rPr>
              <w:t>č</w:t>
            </w:r>
            <w:r w:rsidR="006C1E62" w:rsidRPr="0035027D">
              <w:rPr>
                <w:sz w:val="20"/>
              </w:rPr>
              <w:t>ania reformných opatrení a po ich schválení Európskou radou sa zakon</w:t>
            </w:r>
            <w:r w:rsidR="006C1E62" w:rsidRPr="0035027D">
              <w:rPr>
                <w:rFonts w:cs="Times New Roman"/>
                <w:sz w:val="20"/>
              </w:rPr>
              <w:t>č</w:t>
            </w:r>
            <w:r w:rsidR="006C1E62" w:rsidRPr="0035027D">
              <w:rPr>
                <w:sz w:val="20"/>
              </w:rPr>
              <w:t xml:space="preserve">í európsky semester. </w:t>
            </w:r>
            <w:r w:rsidR="000D0711" w:rsidRPr="0035027D">
              <w:rPr>
                <w:sz w:val="20"/>
              </w:rPr>
              <w:t xml:space="preserve">Rámcovo je semester </w:t>
            </w:r>
            <w:r w:rsidR="000D0711" w:rsidRPr="0035027D">
              <w:rPr>
                <w:rFonts w:cs="Times New Roman"/>
                <w:sz w:val="20"/>
              </w:rPr>
              <w:t>č</w:t>
            </w:r>
            <w:r w:rsidR="000D0711" w:rsidRPr="0035027D">
              <w:rPr>
                <w:sz w:val="20"/>
              </w:rPr>
              <w:t>asovo zhodný s obdobím prvého polroka.</w:t>
            </w:r>
          </w:p>
          <w:p w:rsidR="00064A41" w:rsidRPr="0035027D" w:rsidRDefault="00064A41" w:rsidP="00350F0A">
            <w:pPr>
              <w:spacing w:after="0"/>
              <w:rPr>
                <w:sz w:val="20"/>
              </w:rPr>
            </w:pPr>
          </w:p>
          <w:p w:rsidR="00064A41" w:rsidRPr="0035027D" w:rsidRDefault="00064A41" w:rsidP="00350F0A">
            <w:pPr>
              <w:rPr>
                <w:sz w:val="20"/>
              </w:rPr>
            </w:pPr>
            <w:r w:rsidRPr="0035027D">
              <w:rPr>
                <w:sz w:val="20"/>
              </w:rPr>
              <w:t>Vzh</w:t>
            </w:r>
            <w:r w:rsidRPr="0035027D">
              <w:rPr>
                <w:rFonts w:cs="Times New Roman"/>
                <w:sz w:val="20"/>
              </w:rPr>
              <w:t>ľ</w:t>
            </w:r>
            <w:r w:rsidRPr="0035027D">
              <w:rPr>
                <w:sz w:val="20"/>
              </w:rPr>
              <w:t xml:space="preserve">adom na to, </w:t>
            </w:r>
            <w:r w:rsidRPr="0035027D">
              <w:rPr>
                <w:rFonts w:cs="Times New Roman"/>
                <w:sz w:val="20"/>
              </w:rPr>
              <w:t>ž</w:t>
            </w:r>
            <w:r w:rsidRPr="0035027D">
              <w:rPr>
                <w:sz w:val="20"/>
              </w:rPr>
              <w:t>e mnohé problémy v európskej ekonomike stále pretrvávajú, priority ro</w:t>
            </w:r>
            <w:r w:rsidRPr="0035027D">
              <w:rPr>
                <w:rFonts w:cs="Times New Roman"/>
                <w:sz w:val="20"/>
              </w:rPr>
              <w:t>č</w:t>
            </w:r>
            <w:r w:rsidRPr="0035027D">
              <w:rPr>
                <w:sz w:val="20"/>
              </w:rPr>
              <w:t>ného prieskumu rastu na rok 2013 sú rovnaké ako v predchádzajúcom roku. Sú to:</w:t>
            </w:r>
          </w:p>
          <w:p w:rsidR="00064A41" w:rsidRPr="0035027D" w:rsidRDefault="00064A41" w:rsidP="00064A41">
            <w:pPr>
              <w:pStyle w:val="Odsekzoznamu"/>
              <w:numPr>
                <w:ilvl w:val="0"/>
                <w:numId w:val="19"/>
              </w:numPr>
              <w:spacing w:after="0" w:line="240" w:lineRule="auto"/>
              <w:rPr>
                <w:rFonts w:ascii="Arial Narrow" w:hAnsi="Arial Narrow"/>
                <w:sz w:val="20"/>
              </w:rPr>
            </w:pPr>
            <w:r w:rsidRPr="0035027D">
              <w:rPr>
                <w:rFonts w:ascii="Arial Narrow" w:hAnsi="Arial Narrow"/>
                <w:sz w:val="20"/>
              </w:rPr>
              <w:t>Diferencovaná fiškálna konsolidácia podporujúca rast</w:t>
            </w:r>
          </w:p>
          <w:p w:rsidR="00064A41" w:rsidRPr="0035027D" w:rsidRDefault="00064A41" w:rsidP="00064A41">
            <w:pPr>
              <w:pStyle w:val="Odsekzoznamu"/>
              <w:numPr>
                <w:ilvl w:val="0"/>
                <w:numId w:val="19"/>
              </w:numPr>
              <w:spacing w:after="0" w:line="240" w:lineRule="auto"/>
              <w:rPr>
                <w:rFonts w:ascii="Arial Narrow" w:hAnsi="Arial Narrow"/>
                <w:sz w:val="20"/>
              </w:rPr>
            </w:pPr>
            <w:r w:rsidRPr="0035027D">
              <w:rPr>
                <w:rFonts w:ascii="Arial Narrow" w:hAnsi="Arial Narrow"/>
                <w:sz w:val="20"/>
              </w:rPr>
              <w:t>Obnovenie normálneho poskytovania úverov v ekonomike</w:t>
            </w:r>
          </w:p>
          <w:p w:rsidR="00064A41" w:rsidRPr="0035027D" w:rsidRDefault="00064A41" w:rsidP="00064A41">
            <w:pPr>
              <w:pStyle w:val="Odsekzoznamu"/>
              <w:numPr>
                <w:ilvl w:val="0"/>
                <w:numId w:val="19"/>
              </w:numPr>
              <w:spacing w:after="0" w:line="240" w:lineRule="auto"/>
              <w:rPr>
                <w:rFonts w:ascii="Arial Narrow" w:hAnsi="Arial Narrow"/>
                <w:sz w:val="20"/>
              </w:rPr>
            </w:pPr>
            <w:r w:rsidRPr="0035027D">
              <w:rPr>
                <w:rFonts w:ascii="Arial Narrow" w:hAnsi="Arial Narrow"/>
                <w:sz w:val="20"/>
              </w:rPr>
              <w:t>Rast a konkurencieschopnosť teraz a v budúcnosti</w:t>
            </w:r>
          </w:p>
          <w:p w:rsidR="00064A41" w:rsidRPr="0035027D" w:rsidRDefault="005B5DF2" w:rsidP="00064A41">
            <w:pPr>
              <w:pStyle w:val="Odsekzoznamu"/>
              <w:numPr>
                <w:ilvl w:val="0"/>
                <w:numId w:val="19"/>
              </w:numPr>
              <w:spacing w:after="0" w:line="240" w:lineRule="auto"/>
              <w:rPr>
                <w:rFonts w:ascii="Arial Narrow" w:hAnsi="Arial Narrow"/>
                <w:sz w:val="20"/>
              </w:rPr>
            </w:pPr>
            <w:r w:rsidRPr="0035027D">
              <w:rPr>
                <w:rFonts w:ascii="Arial Narrow" w:hAnsi="Arial Narrow"/>
                <w:sz w:val="20"/>
              </w:rPr>
              <w:t>Boj</w:t>
            </w:r>
            <w:r w:rsidR="00064A41" w:rsidRPr="0035027D">
              <w:rPr>
                <w:rFonts w:ascii="Arial Narrow" w:hAnsi="Arial Narrow"/>
                <w:sz w:val="20"/>
              </w:rPr>
              <w:t xml:space="preserve"> s nezamestnanosťou a sociálnymi dopadmi krízy</w:t>
            </w:r>
          </w:p>
          <w:p w:rsidR="00064A41" w:rsidRPr="0035027D" w:rsidRDefault="00064A41" w:rsidP="00064A41">
            <w:pPr>
              <w:pStyle w:val="Odsekzoznamu"/>
              <w:numPr>
                <w:ilvl w:val="0"/>
                <w:numId w:val="19"/>
              </w:numPr>
              <w:spacing w:line="240" w:lineRule="auto"/>
              <w:rPr>
                <w:rFonts w:ascii="Arial Narrow" w:hAnsi="Arial Narrow"/>
                <w:sz w:val="20"/>
              </w:rPr>
            </w:pPr>
            <w:r w:rsidRPr="0035027D">
              <w:rPr>
                <w:rFonts w:ascii="Arial Narrow" w:hAnsi="Arial Narrow"/>
                <w:sz w:val="20"/>
              </w:rPr>
              <w:t>Modernizácia verejnej správy</w:t>
            </w:r>
          </w:p>
          <w:p w:rsidR="00064A41" w:rsidRPr="0035027D" w:rsidRDefault="00064A41" w:rsidP="006E4B99">
            <w:pPr>
              <w:spacing w:after="0"/>
            </w:pPr>
            <w:r w:rsidRPr="0035027D">
              <w:rPr>
                <w:sz w:val="20"/>
              </w:rPr>
              <w:t>Na dosiahnutie dlhodobých cie</w:t>
            </w:r>
            <w:r w:rsidRPr="0035027D">
              <w:rPr>
                <w:rFonts w:cs="Times New Roman"/>
                <w:sz w:val="20"/>
              </w:rPr>
              <w:t>ľ</w:t>
            </w:r>
            <w:r w:rsidRPr="0035027D">
              <w:rPr>
                <w:sz w:val="20"/>
              </w:rPr>
              <w:t>ov</w:t>
            </w:r>
            <w:r w:rsidR="00182D7F" w:rsidRPr="0035027D">
              <w:rPr>
                <w:sz w:val="20"/>
              </w:rPr>
              <w:t xml:space="preserve"> vytý</w:t>
            </w:r>
            <w:r w:rsidR="00182D7F" w:rsidRPr="0035027D">
              <w:rPr>
                <w:rFonts w:cs="Times New Roman"/>
                <w:sz w:val="20"/>
              </w:rPr>
              <w:t>č</w:t>
            </w:r>
            <w:r w:rsidR="00182D7F" w:rsidRPr="0035027D">
              <w:rPr>
                <w:sz w:val="20"/>
              </w:rPr>
              <w:t>ených v S</w:t>
            </w:r>
            <w:r w:rsidRPr="0035027D">
              <w:rPr>
                <w:sz w:val="20"/>
              </w:rPr>
              <w:t>tratégií Európa 2020 a naplnenie európskych priorít AGS je nevyhnutné, aby Slovenská republika prijala štrukturálne reformy, ktoré prinesú udr</w:t>
            </w:r>
            <w:r w:rsidRPr="0035027D">
              <w:rPr>
                <w:rFonts w:cs="Times New Roman"/>
                <w:sz w:val="20"/>
              </w:rPr>
              <w:t>ž</w:t>
            </w:r>
            <w:r w:rsidRPr="0035027D">
              <w:rPr>
                <w:sz w:val="20"/>
              </w:rPr>
              <w:t>ate</w:t>
            </w:r>
            <w:r w:rsidRPr="0035027D">
              <w:rPr>
                <w:rFonts w:cs="Times New Roman"/>
                <w:sz w:val="20"/>
              </w:rPr>
              <w:t>ľ</w:t>
            </w:r>
            <w:r w:rsidRPr="0035027D">
              <w:rPr>
                <w:sz w:val="20"/>
              </w:rPr>
              <w:t xml:space="preserve">ný rozvoj hospodárstva a rast zamestnanosti. Národný program reforiem preto analyticky hodnotí vývoj a stav slovenskej ekonomiky s dôrazom na identifikáciu prioritných oblastí, </w:t>
            </w:r>
            <w:r w:rsidR="006E4B99" w:rsidRPr="0035027D">
              <w:rPr>
                <w:sz w:val="20"/>
              </w:rPr>
              <w:t>ktoré vychádzajú z priorít AGS a zoh</w:t>
            </w:r>
            <w:r w:rsidR="006E4B99" w:rsidRPr="0035027D">
              <w:rPr>
                <w:rFonts w:cs="Times New Roman"/>
                <w:sz w:val="20"/>
              </w:rPr>
              <w:t>ľ</w:t>
            </w:r>
            <w:r w:rsidR="006E4B99" w:rsidRPr="0035027D">
              <w:rPr>
                <w:sz w:val="20"/>
              </w:rPr>
              <w:t>ad</w:t>
            </w:r>
            <w:r w:rsidR="006E4B99" w:rsidRPr="0035027D">
              <w:rPr>
                <w:rFonts w:cs="Times New Roman"/>
                <w:sz w:val="20"/>
              </w:rPr>
              <w:t>ň</w:t>
            </w:r>
            <w:r w:rsidR="006E4B99" w:rsidRPr="0035027D">
              <w:rPr>
                <w:sz w:val="20"/>
              </w:rPr>
              <w:t>ujú špecifiká Slovenska.</w:t>
            </w:r>
            <w:r w:rsidRPr="0035027D">
              <w:rPr>
                <w:sz w:val="20"/>
              </w:rPr>
              <w:t xml:space="preserve"> Predlo</w:t>
            </w:r>
            <w:r w:rsidRPr="0035027D">
              <w:rPr>
                <w:rFonts w:cs="Times New Roman"/>
                <w:sz w:val="20"/>
              </w:rPr>
              <w:t>ž</w:t>
            </w:r>
            <w:r w:rsidRPr="0035027D">
              <w:rPr>
                <w:sz w:val="20"/>
              </w:rPr>
              <w:t>ené opatrenia umo</w:t>
            </w:r>
            <w:r w:rsidRPr="0035027D">
              <w:rPr>
                <w:rFonts w:cs="Times New Roman"/>
                <w:sz w:val="20"/>
              </w:rPr>
              <w:t>ž</w:t>
            </w:r>
            <w:r w:rsidRPr="0035027D">
              <w:rPr>
                <w:sz w:val="20"/>
              </w:rPr>
              <w:t>nia napredova</w:t>
            </w:r>
            <w:r w:rsidRPr="0035027D">
              <w:rPr>
                <w:rFonts w:cs="Times New Roman"/>
                <w:sz w:val="20"/>
              </w:rPr>
              <w:t>ť</w:t>
            </w:r>
            <w:r w:rsidRPr="0035027D">
              <w:rPr>
                <w:sz w:val="20"/>
              </w:rPr>
              <w:t xml:space="preserve"> v týchto obla</w:t>
            </w:r>
            <w:r w:rsidR="00182D7F" w:rsidRPr="0035027D">
              <w:rPr>
                <w:sz w:val="20"/>
              </w:rPr>
              <w:t>stiach a priblí</w:t>
            </w:r>
            <w:r w:rsidR="00182D7F" w:rsidRPr="0035027D">
              <w:rPr>
                <w:rFonts w:cs="Times New Roman"/>
                <w:sz w:val="20"/>
              </w:rPr>
              <w:t>ž</w:t>
            </w:r>
            <w:r w:rsidR="00182D7F" w:rsidRPr="0035027D">
              <w:rPr>
                <w:sz w:val="20"/>
              </w:rPr>
              <w:t>i</w:t>
            </w:r>
            <w:r w:rsidR="00182D7F" w:rsidRPr="0035027D">
              <w:rPr>
                <w:rFonts w:cs="Times New Roman"/>
                <w:sz w:val="20"/>
              </w:rPr>
              <w:t>ť</w:t>
            </w:r>
            <w:r w:rsidR="00182D7F" w:rsidRPr="0035027D">
              <w:rPr>
                <w:sz w:val="20"/>
              </w:rPr>
              <w:t xml:space="preserve"> sa k cie</w:t>
            </w:r>
            <w:r w:rsidR="00182D7F" w:rsidRPr="0035027D">
              <w:rPr>
                <w:rFonts w:cs="Times New Roman"/>
                <w:sz w:val="20"/>
              </w:rPr>
              <w:t>ľ</w:t>
            </w:r>
            <w:r w:rsidR="00182D7F" w:rsidRPr="0035027D">
              <w:rPr>
                <w:sz w:val="20"/>
              </w:rPr>
              <w:t>om S</w:t>
            </w:r>
            <w:r w:rsidRPr="0035027D">
              <w:rPr>
                <w:sz w:val="20"/>
              </w:rPr>
              <w:t xml:space="preserve">tratégie </w:t>
            </w:r>
            <w:r w:rsidR="00182D7F" w:rsidRPr="0035027D">
              <w:rPr>
                <w:sz w:val="20"/>
              </w:rPr>
              <w:t xml:space="preserve">Európa </w:t>
            </w:r>
            <w:r w:rsidRPr="0035027D">
              <w:rPr>
                <w:sz w:val="20"/>
              </w:rPr>
              <w:t>2020.</w:t>
            </w:r>
          </w:p>
        </w:tc>
      </w:tr>
    </w:tbl>
    <w:p w:rsidR="00064A41" w:rsidRPr="0035027D" w:rsidRDefault="00064A41" w:rsidP="00064A41">
      <w:pPr>
        <w:spacing w:after="0"/>
      </w:pPr>
    </w:p>
    <w:p w:rsidR="00BF63E1" w:rsidRPr="0035027D" w:rsidRDefault="00BF63E1" w:rsidP="003C29D5">
      <w:pPr>
        <w:pStyle w:val="Nadpis1"/>
        <w:numPr>
          <w:ilvl w:val="0"/>
          <w:numId w:val="1"/>
        </w:numPr>
        <w:spacing w:before="0" w:after="0"/>
        <w:ind w:left="284" w:hanging="284"/>
        <w:rPr>
          <w:sz w:val="32"/>
          <w:szCs w:val="32"/>
        </w:rPr>
      </w:pPr>
      <w:bookmarkStart w:id="15" w:name="_Toc353563370"/>
      <w:bookmarkStart w:id="16" w:name="_Toc320096489"/>
      <w:bookmarkStart w:id="17" w:name="_Toc320096629"/>
      <w:bookmarkStart w:id="18" w:name="_Toc239756407"/>
      <w:bookmarkStart w:id="19" w:name="_Toc240168569"/>
      <w:r w:rsidRPr="0035027D">
        <w:rPr>
          <w:sz w:val="32"/>
          <w:szCs w:val="32"/>
        </w:rPr>
        <w:t>Priority Národného programu reforiem SR</w:t>
      </w:r>
      <w:bookmarkEnd w:id="15"/>
    </w:p>
    <w:p w:rsidR="00BF63E1" w:rsidRPr="0035027D" w:rsidRDefault="00BF63E1" w:rsidP="006E4B99">
      <w:pPr>
        <w:spacing w:after="0"/>
      </w:pPr>
    </w:p>
    <w:p w:rsidR="00A95647" w:rsidRPr="0035027D" w:rsidRDefault="00A95647" w:rsidP="00A95647">
      <w:pPr>
        <w:spacing w:after="0"/>
      </w:pPr>
      <w:r w:rsidRPr="0035027D">
        <w:t xml:space="preserve">Hospodársky </w:t>
      </w:r>
      <w:r w:rsidR="00CB2776" w:rsidRPr="0035027D">
        <w:t>rast</w:t>
      </w:r>
      <w:r w:rsidRPr="0035027D">
        <w:t xml:space="preserve"> meraný rastom HDP a zvyšovanie kvality </w:t>
      </w:r>
      <w:r w:rsidRPr="0035027D">
        <w:rPr>
          <w:rFonts w:cs="Times New Roman"/>
        </w:rPr>
        <w:t>ž</w:t>
      </w:r>
      <w:r w:rsidRPr="0035027D">
        <w:t>ivota sú navzájom prepojené ciele, preto</w:t>
      </w:r>
      <w:r w:rsidRPr="0035027D">
        <w:rPr>
          <w:rFonts w:cs="Times New Roman"/>
        </w:rPr>
        <w:t>ž</w:t>
      </w:r>
      <w:r w:rsidRPr="0035027D">
        <w:t>e ekonomický rast je predpokladom aj pre nemateriálne trvalo udr</w:t>
      </w:r>
      <w:r w:rsidRPr="0035027D">
        <w:rPr>
          <w:rFonts w:cs="Times New Roman"/>
        </w:rPr>
        <w:t>ž</w:t>
      </w:r>
      <w:r w:rsidRPr="0035027D">
        <w:t>ate</w:t>
      </w:r>
      <w:r w:rsidRPr="0035027D">
        <w:rPr>
          <w:rFonts w:cs="Times New Roman"/>
        </w:rPr>
        <w:t>ľ</w:t>
      </w:r>
      <w:r w:rsidRPr="0035027D">
        <w:t>né napredovanie krajín. Preto bola identifikácia priorít NPR uskuto</w:t>
      </w:r>
      <w:r w:rsidRPr="0035027D">
        <w:rPr>
          <w:rFonts w:cs="Times New Roman"/>
        </w:rPr>
        <w:t>č</w:t>
      </w:r>
      <w:r w:rsidRPr="0035027D">
        <w:t>nená preva</w:t>
      </w:r>
      <w:r w:rsidRPr="0035027D">
        <w:rPr>
          <w:rFonts w:cs="Times New Roman"/>
        </w:rPr>
        <w:t>ž</w:t>
      </w:r>
      <w:r w:rsidRPr="0035027D">
        <w:t>ne na základe porovnania dekompozície HDP medzi S</w:t>
      </w:r>
      <w:r w:rsidR="004D594E" w:rsidRPr="0035027D">
        <w:t>lovenskom a priemerom krajín EÚ</w:t>
      </w:r>
      <w:r w:rsidRPr="0035027D">
        <w:t xml:space="preserve">15. Na druhej strane však existuje mnoho </w:t>
      </w:r>
      <w:r w:rsidRPr="0035027D">
        <w:rPr>
          <w:rFonts w:cs="Times New Roman"/>
        </w:rPr>
        <w:t>ď</w:t>
      </w:r>
      <w:r w:rsidRPr="0035027D">
        <w:t xml:space="preserve">alších aspektov </w:t>
      </w:r>
      <w:r w:rsidRPr="0035027D">
        <w:rPr>
          <w:rFonts w:cs="Times New Roman"/>
        </w:rPr>
        <w:t>ž</w:t>
      </w:r>
      <w:r w:rsidRPr="0035027D">
        <w:t xml:space="preserve">ivota, ktoré </w:t>
      </w:r>
      <w:r w:rsidR="00311D0C" w:rsidRPr="0035027D">
        <w:t>sú pre blahobyt na Slovensku dôle</w:t>
      </w:r>
      <w:r w:rsidR="00311D0C" w:rsidRPr="0035027D">
        <w:rPr>
          <w:rFonts w:cs="Times New Roman"/>
        </w:rPr>
        <w:t>ž</w:t>
      </w:r>
      <w:r w:rsidR="00311D0C" w:rsidRPr="0035027D">
        <w:t>ité</w:t>
      </w:r>
      <w:r w:rsidRPr="0035027D">
        <w:t xml:space="preserve"> a </w:t>
      </w:r>
      <w:r w:rsidR="0075006C" w:rsidRPr="0035027D">
        <w:t>je mo</w:t>
      </w:r>
      <w:r w:rsidR="0075006C" w:rsidRPr="0035027D">
        <w:rPr>
          <w:rFonts w:cs="Times New Roman"/>
        </w:rPr>
        <w:t>ž</w:t>
      </w:r>
      <w:r w:rsidR="0075006C" w:rsidRPr="0035027D">
        <w:t>né ich</w:t>
      </w:r>
      <w:r w:rsidR="00311D0C" w:rsidRPr="0035027D">
        <w:t xml:space="preserve"> </w:t>
      </w:r>
      <w:r w:rsidRPr="0035027D">
        <w:t>verejnou politikou</w:t>
      </w:r>
      <w:r w:rsidR="00311D0C" w:rsidRPr="0035027D">
        <w:t xml:space="preserve"> ovplyvni</w:t>
      </w:r>
      <w:r w:rsidR="00311D0C" w:rsidRPr="0035027D">
        <w:rPr>
          <w:rFonts w:cs="Times New Roman"/>
        </w:rPr>
        <w:t>ť</w:t>
      </w:r>
      <w:r w:rsidRPr="0035027D">
        <w:t>. Priority teda zoh</w:t>
      </w:r>
      <w:r w:rsidRPr="0035027D">
        <w:rPr>
          <w:rFonts w:cs="Times New Roman"/>
        </w:rPr>
        <w:t>ľ</w:t>
      </w:r>
      <w:r w:rsidRPr="0035027D">
        <w:t>ad</w:t>
      </w:r>
      <w:r w:rsidRPr="0035027D">
        <w:rPr>
          <w:rFonts w:cs="Times New Roman"/>
        </w:rPr>
        <w:t>ň</w:t>
      </w:r>
      <w:r w:rsidRPr="0035027D">
        <w:t xml:space="preserve">ujú aj </w:t>
      </w:r>
      <w:r w:rsidRPr="0035027D">
        <w:rPr>
          <w:rFonts w:cs="Times New Roman"/>
        </w:rPr>
        <w:t>ď</w:t>
      </w:r>
      <w:r w:rsidRPr="0035027D">
        <w:t>alšie faktory, ktoré nemusia nevyhnutne zvyšova</w:t>
      </w:r>
      <w:r w:rsidRPr="0035027D">
        <w:rPr>
          <w:rFonts w:cs="Times New Roman"/>
        </w:rPr>
        <w:t>ť</w:t>
      </w:r>
      <w:r w:rsidRPr="0035027D">
        <w:t xml:space="preserve"> HDP, ale prispievajú k vyššej kvalite </w:t>
      </w:r>
      <w:r w:rsidRPr="0035027D">
        <w:rPr>
          <w:rFonts w:cs="Times New Roman"/>
        </w:rPr>
        <w:t>ž</w:t>
      </w:r>
      <w:r w:rsidRPr="0035027D">
        <w:t xml:space="preserve">ivota. </w:t>
      </w:r>
    </w:p>
    <w:p w:rsidR="007B14B3" w:rsidRPr="0035027D" w:rsidRDefault="007B14B3" w:rsidP="00A95647">
      <w:pPr>
        <w:spacing w:after="0"/>
      </w:pPr>
    </w:p>
    <w:p w:rsidR="00A95647" w:rsidRPr="0035027D" w:rsidRDefault="00A95647" w:rsidP="00A95647">
      <w:pPr>
        <w:spacing w:after="0"/>
      </w:pPr>
      <w:r w:rsidRPr="0035027D">
        <w:t>Ur</w:t>
      </w:r>
      <w:r w:rsidRPr="0035027D">
        <w:rPr>
          <w:rFonts w:cs="Times New Roman"/>
        </w:rPr>
        <w:t>č</w:t>
      </w:r>
      <w:r w:rsidRPr="0035027D">
        <w:t>enie problémových oblastí tvorby HDP nie je mo</w:t>
      </w:r>
      <w:r w:rsidRPr="0035027D">
        <w:rPr>
          <w:rFonts w:cs="Times New Roman"/>
        </w:rPr>
        <w:t>ž</w:t>
      </w:r>
      <w:r w:rsidRPr="0035027D">
        <w:t xml:space="preserve">né bez vykonania dekompozície produkcie SR. V tomto </w:t>
      </w:r>
      <w:r w:rsidR="00F61680" w:rsidRPr="0035027D">
        <w:t xml:space="preserve">úsilí </w:t>
      </w:r>
      <w:r w:rsidRPr="0035027D">
        <w:t>vychádzame z databázy EK, ktorá rozde</w:t>
      </w:r>
      <w:r w:rsidRPr="0035027D">
        <w:rPr>
          <w:rFonts w:cs="Times New Roman"/>
        </w:rPr>
        <w:t>ľ</w:t>
      </w:r>
      <w:r w:rsidRPr="0035027D">
        <w:t>uje HDP na obyvate</w:t>
      </w:r>
      <w:r w:rsidRPr="0035027D">
        <w:rPr>
          <w:rFonts w:cs="Times New Roman"/>
        </w:rPr>
        <w:t>ľ</w:t>
      </w:r>
      <w:r w:rsidRPr="0035027D">
        <w:t>a na jeho tri základné zlo</w:t>
      </w:r>
      <w:r w:rsidRPr="0035027D">
        <w:rPr>
          <w:rFonts w:cs="Times New Roman"/>
        </w:rPr>
        <w:t>ž</w:t>
      </w:r>
      <w:r w:rsidRPr="0035027D">
        <w:t xml:space="preserve">ky: (1) produktivitu práce, (2) trh práce a (3) demografiu. Trh práce sa </w:t>
      </w:r>
      <w:r w:rsidRPr="0035027D">
        <w:rPr>
          <w:rFonts w:cs="Times New Roman"/>
        </w:rPr>
        <w:t>č</w:t>
      </w:r>
      <w:r w:rsidRPr="0035027D">
        <w:t xml:space="preserve">lení aj na </w:t>
      </w:r>
      <w:r w:rsidRPr="0035027D">
        <w:rPr>
          <w:rFonts w:cs="Times New Roman"/>
        </w:rPr>
        <w:t>ď</w:t>
      </w:r>
      <w:r w:rsidRPr="0035027D">
        <w:t xml:space="preserve">alšie </w:t>
      </w:r>
      <w:r w:rsidR="00F61680" w:rsidRPr="0035027D">
        <w:t>faktory</w:t>
      </w:r>
      <w:r w:rsidRPr="0035027D">
        <w:t>. Celkovo tak mô</w:t>
      </w:r>
      <w:r w:rsidRPr="0035027D">
        <w:rPr>
          <w:rFonts w:cs="Times New Roman"/>
        </w:rPr>
        <w:t>ž</w:t>
      </w:r>
      <w:r w:rsidRPr="0035027D">
        <w:t>eme identifikova</w:t>
      </w:r>
      <w:r w:rsidRPr="0035027D">
        <w:rPr>
          <w:rFonts w:cs="Times New Roman"/>
        </w:rPr>
        <w:t>ť</w:t>
      </w:r>
      <w:r w:rsidRPr="0035027D">
        <w:t xml:space="preserve"> 8 komponentov HDP. Na základe ich porovnania s vyspelými krajinami EÚ </w:t>
      </w:r>
      <w:r w:rsidR="00822214" w:rsidRPr="0035027D">
        <w:t>identifikujeme</w:t>
      </w:r>
      <w:r w:rsidRPr="0035027D">
        <w:t>, v ktorých faktoroch produkcie ekonomika najviac zaostáva a ktoré preto predstavujú najvä</w:t>
      </w:r>
      <w:r w:rsidRPr="0035027D">
        <w:rPr>
          <w:rFonts w:cs="Times New Roman"/>
        </w:rPr>
        <w:t>č</w:t>
      </w:r>
      <w:r w:rsidRPr="0035027D">
        <w:t>ší potenciál pre budúci rast HDP na Slovensku.</w:t>
      </w:r>
    </w:p>
    <w:p w:rsidR="00A95647" w:rsidRPr="0035027D" w:rsidRDefault="00A95647" w:rsidP="00A95647">
      <w:pPr>
        <w:spacing w:after="0"/>
      </w:pPr>
    </w:p>
    <w:p w:rsidR="00A95647" w:rsidRPr="0035027D" w:rsidRDefault="00A95647" w:rsidP="00A95647">
      <w:pPr>
        <w:spacing w:after="0"/>
      </w:pPr>
      <w:r w:rsidRPr="0035027D">
        <w:t>Nízke HDP na obyvate</w:t>
      </w:r>
      <w:r w:rsidRPr="0035027D">
        <w:rPr>
          <w:rFonts w:cs="Times New Roman"/>
        </w:rPr>
        <w:t>ľ</w:t>
      </w:r>
      <w:r w:rsidRPr="0035027D">
        <w:t>a oproti EÚ15 je do ve</w:t>
      </w:r>
      <w:r w:rsidRPr="0035027D">
        <w:rPr>
          <w:rFonts w:cs="Times New Roman"/>
        </w:rPr>
        <w:t>ľ</w:t>
      </w:r>
      <w:r w:rsidRPr="0035027D">
        <w:t>kej miery zaprí</w:t>
      </w:r>
      <w:r w:rsidRPr="0035027D">
        <w:rPr>
          <w:rFonts w:cs="Times New Roman"/>
        </w:rPr>
        <w:t>č</w:t>
      </w:r>
      <w:r w:rsidRPr="0035027D">
        <w:t>inené ni</w:t>
      </w:r>
      <w:r w:rsidRPr="0035027D">
        <w:rPr>
          <w:rFonts w:cs="Times New Roman"/>
        </w:rPr>
        <w:t>ž</w:t>
      </w:r>
      <w:r w:rsidRPr="0035027D">
        <w:t>šou produktiv</w:t>
      </w:r>
      <w:r w:rsidR="004D594E" w:rsidRPr="0035027D">
        <w:t>itou práce v SR</w:t>
      </w:r>
      <w:r w:rsidRPr="0035027D">
        <w:t xml:space="preserve">. Podobne ako v ostatných nových </w:t>
      </w:r>
      <w:r w:rsidRPr="0035027D">
        <w:rPr>
          <w:rFonts w:cs="Times New Roman"/>
        </w:rPr>
        <w:t>č</w:t>
      </w:r>
      <w:r w:rsidRPr="0035027D">
        <w:t>lenských štátoch rozdiel v produktivite práce reflektuje ni</w:t>
      </w:r>
      <w:r w:rsidRPr="0035027D">
        <w:rPr>
          <w:rFonts w:cs="Times New Roman"/>
        </w:rPr>
        <w:t>ž</w:t>
      </w:r>
      <w:r w:rsidRPr="0035027D">
        <w:t>šiu zásobu kapitálu na pracovníka a ni</w:t>
      </w:r>
      <w:r w:rsidRPr="0035027D">
        <w:rPr>
          <w:rFonts w:cs="Times New Roman"/>
        </w:rPr>
        <w:t>ž</w:t>
      </w:r>
      <w:r w:rsidRPr="0035027D">
        <w:t>šiu úrove</w:t>
      </w:r>
      <w:r w:rsidRPr="0035027D">
        <w:rPr>
          <w:rFonts w:cs="Times New Roman"/>
        </w:rPr>
        <w:t>ň</w:t>
      </w:r>
      <w:r w:rsidRPr="0035027D">
        <w:t xml:space="preserve"> celkovej produktivity výrobných faktorov. Druhý negatívny príspevok k HDP na hlavu tvorí</w:t>
      </w:r>
      <w:r w:rsidR="00F61680" w:rsidRPr="0035027D">
        <w:t xml:space="preserve"> ú</w:t>
      </w:r>
      <w:r w:rsidR="00F61680" w:rsidRPr="0035027D">
        <w:rPr>
          <w:rFonts w:cs="Times New Roman"/>
        </w:rPr>
        <w:t>č</w:t>
      </w:r>
      <w:r w:rsidR="00F61680" w:rsidRPr="0035027D">
        <w:t>as</w:t>
      </w:r>
      <w:r w:rsidR="00F61680" w:rsidRPr="0035027D">
        <w:rPr>
          <w:rFonts w:cs="Times New Roman"/>
        </w:rPr>
        <w:t>ť</w:t>
      </w:r>
      <w:r w:rsidR="00F61680" w:rsidRPr="0035027D">
        <w:t xml:space="preserve"> na</w:t>
      </w:r>
      <w:r w:rsidRPr="0035027D">
        <w:t xml:space="preserve"> trh</w:t>
      </w:r>
      <w:r w:rsidR="00F61680" w:rsidRPr="0035027D">
        <w:t>u</w:t>
      </w:r>
      <w:r w:rsidRPr="0035027D">
        <w:t xml:space="preserve"> práce, aj ke</w:t>
      </w:r>
      <w:r w:rsidRPr="0035027D">
        <w:rPr>
          <w:rFonts w:cs="Times New Roman"/>
        </w:rPr>
        <w:t>ď</w:t>
      </w:r>
      <w:r w:rsidRPr="0035027D">
        <w:t xml:space="preserve"> v menšej miere ako pro</w:t>
      </w:r>
      <w:r w:rsidR="004D594E" w:rsidRPr="0035027D">
        <w:t>duktivita práce</w:t>
      </w:r>
      <w:r w:rsidRPr="0035027D">
        <w:t>. Demografická zlo</w:t>
      </w:r>
      <w:r w:rsidRPr="0035027D">
        <w:rPr>
          <w:rFonts w:cs="Times New Roman"/>
        </w:rPr>
        <w:t>ž</w:t>
      </w:r>
      <w:r w:rsidRPr="0035027D">
        <w:t>ka prispieva k celkovému HDP na obyvate</w:t>
      </w:r>
      <w:r w:rsidRPr="0035027D">
        <w:rPr>
          <w:rFonts w:cs="Times New Roman"/>
        </w:rPr>
        <w:t>ľ</w:t>
      </w:r>
      <w:r w:rsidRPr="0035027D">
        <w:t xml:space="preserve">a </w:t>
      </w:r>
      <w:r w:rsidR="00822214" w:rsidRPr="0035027D">
        <w:t xml:space="preserve">v porovnaní s EÚ </w:t>
      </w:r>
      <w:r w:rsidR="004D594E" w:rsidRPr="0035027D">
        <w:t>pozitívne</w:t>
      </w:r>
      <w:r w:rsidR="00822214" w:rsidRPr="0035027D">
        <w:t xml:space="preserve">. </w:t>
      </w:r>
    </w:p>
    <w:p w:rsidR="00916BFC" w:rsidRPr="0035027D" w:rsidRDefault="00916BFC" w:rsidP="00A95647">
      <w:pPr>
        <w:spacing w:after="0"/>
      </w:pPr>
    </w:p>
    <w:tbl>
      <w:tblPr>
        <w:tblW w:w="9010" w:type="dxa"/>
        <w:jc w:val="center"/>
        <w:tblCellMar>
          <w:left w:w="70" w:type="dxa"/>
          <w:right w:w="70" w:type="dxa"/>
        </w:tblCellMar>
        <w:tblLook w:val="0000" w:firstRow="0" w:lastRow="0" w:firstColumn="0" w:lastColumn="0" w:noHBand="0" w:noVBand="0"/>
      </w:tblPr>
      <w:tblGrid>
        <w:gridCol w:w="9010"/>
      </w:tblGrid>
      <w:tr w:rsidR="00A95647" w:rsidRPr="0035027D" w:rsidTr="00A95647">
        <w:trPr>
          <w:trHeight w:val="275"/>
          <w:jc w:val="center"/>
        </w:trPr>
        <w:tc>
          <w:tcPr>
            <w:tcW w:w="9010" w:type="dxa"/>
            <w:tcBorders>
              <w:top w:val="nil"/>
              <w:left w:val="nil"/>
              <w:bottom w:val="nil"/>
              <w:right w:val="nil"/>
            </w:tcBorders>
            <w:shd w:val="clear" w:color="auto" w:fill="000000"/>
            <w:vAlign w:val="center"/>
          </w:tcPr>
          <w:p w:rsidR="00A95647" w:rsidRPr="0035027D" w:rsidRDefault="002B30B7" w:rsidP="00A95647">
            <w:pPr>
              <w:spacing w:after="0"/>
              <w:jc w:val="left"/>
              <w:rPr>
                <w:b/>
                <w:bCs/>
                <w:color w:val="FFFFFF"/>
                <w:sz w:val="20"/>
                <w:szCs w:val="20"/>
              </w:rPr>
            </w:pPr>
            <w:r w:rsidRPr="0035027D">
              <w:rPr>
                <w:b/>
                <w:bCs/>
                <w:color w:val="FFFFFF"/>
                <w:sz w:val="20"/>
                <w:szCs w:val="20"/>
              </w:rPr>
              <w:t xml:space="preserve">Graf 1: </w:t>
            </w:r>
            <w:r w:rsidR="00A95647" w:rsidRPr="0035027D">
              <w:rPr>
                <w:b/>
                <w:bCs/>
                <w:color w:val="FFFFFF"/>
                <w:sz w:val="20"/>
                <w:szCs w:val="20"/>
              </w:rPr>
              <w:t>Rozkl</w:t>
            </w:r>
            <w:r w:rsidR="004D594E" w:rsidRPr="0035027D">
              <w:rPr>
                <w:b/>
                <w:bCs/>
                <w:color w:val="FFFFFF"/>
                <w:sz w:val="20"/>
                <w:szCs w:val="20"/>
              </w:rPr>
              <w:t>ad HDP na obyvateľa (SR voči EÚ</w:t>
            </w:r>
            <w:r w:rsidR="00A95647" w:rsidRPr="0035027D">
              <w:rPr>
                <w:b/>
                <w:bCs/>
                <w:color w:val="FFFFFF"/>
                <w:sz w:val="20"/>
                <w:szCs w:val="20"/>
              </w:rPr>
              <w:t xml:space="preserve">15, </w:t>
            </w:r>
            <w:r w:rsidR="003A2A4B" w:rsidRPr="0035027D">
              <w:rPr>
                <w:b/>
                <w:bCs/>
                <w:color w:val="FFFFFF"/>
                <w:sz w:val="20"/>
                <w:szCs w:val="20"/>
              </w:rPr>
              <w:t>2012</w:t>
            </w:r>
            <w:r w:rsidR="00A95647" w:rsidRPr="0035027D">
              <w:rPr>
                <w:b/>
                <w:bCs/>
                <w:color w:val="FFFFFF"/>
                <w:sz w:val="20"/>
                <w:szCs w:val="20"/>
              </w:rPr>
              <w:t>)</w:t>
            </w:r>
          </w:p>
        </w:tc>
      </w:tr>
      <w:tr w:rsidR="00A95647" w:rsidRPr="0035027D" w:rsidTr="00A95647">
        <w:trPr>
          <w:trHeight w:val="3155"/>
          <w:jc w:val="center"/>
        </w:trPr>
        <w:tc>
          <w:tcPr>
            <w:tcW w:w="9010" w:type="dxa"/>
            <w:tcBorders>
              <w:top w:val="nil"/>
              <w:left w:val="nil"/>
              <w:bottom w:val="single" w:sz="8" w:space="0" w:color="auto"/>
              <w:right w:val="nil"/>
            </w:tcBorders>
          </w:tcPr>
          <w:p w:rsidR="00A95647" w:rsidRPr="0035027D" w:rsidRDefault="00A95647" w:rsidP="00A95647">
            <w:pPr>
              <w:jc w:val="right"/>
              <w:rPr>
                <w:rFonts w:cs="Garamond"/>
                <w:b/>
                <w:bCs/>
                <w:sz w:val="16"/>
                <w:szCs w:val="16"/>
              </w:rPr>
            </w:pPr>
            <w:r w:rsidRPr="0035027D">
              <w:rPr>
                <w:noProof/>
              </w:rPr>
              <mc:AlternateContent>
                <mc:Choice Requires="wpg">
                  <w:drawing>
                    <wp:anchor distT="0" distB="0" distL="114300" distR="114300" simplePos="0" relativeHeight="251677696" behindDoc="0" locked="0" layoutInCell="1" allowOverlap="1" wp14:anchorId="59F7F4BD" wp14:editId="1874DFDD">
                      <wp:simplePos x="0" y="0"/>
                      <wp:positionH relativeFrom="column">
                        <wp:posOffset>-68580</wp:posOffset>
                      </wp:positionH>
                      <wp:positionV relativeFrom="paragraph">
                        <wp:posOffset>691515</wp:posOffset>
                      </wp:positionV>
                      <wp:extent cx="1581150" cy="1799590"/>
                      <wp:effectExtent l="0" t="9525" r="9525" b="10160"/>
                      <wp:wrapNone/>
                      <wp:docPr id="56" name="Skupina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0" cy="1799590"/>
                                <a:chOff x="1410" y="8940"/>
                                <a:chExt cx="2490" cy="2834"/>
                              </a:xfrm>
                            </wpg:grpSpPr>
                            <wps:wsp>
                              <wps:cNvPr id="57" name="Text Box 19"/>
                              <wps:cNvSpPr txBox="1">
                                <a:spLocks noChangeArrowheads="1"/>
                              </wps:cNvSpPr>
                              <wps:spPr bwMode="auto">
                                <a:xfrm>
                                  <a:off x="1410" y="10710"/>
                                  <a:ext cx="1350"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5AF" w:rsidRDefault="00B225AF" w:rsidP="00A95647">
                                    <w:pPr>
                                      <w:jc w:val="right"/>
                                    </w:pPr>
                                    <w:r>
                                      <w:t>Trh práce</w:t>
                                    </w:r>
                                  </w:p>
                                </w:txbxContent>
                              </wps:txbx>
                              <wps:bodyPr rot="0" vert="horz" wrap="square" lIns="91440" tIns="45720" rIns="91440" bIns="45720" anchor="t" anchorCtr="0" upright="1">
                                <a:noAutofit/>
                              </wps:bodyPr>
                            </wps:wsp>
                            <wps:wsp>
                              <wps:cNvPr id="58" name="AutoShape 20"/>
                              <wps:cNvSpPr>
                                <a:spLocks/>
                              </wps:cNvSpPr>
                              <wps:spPr bwMode="auto">
                                <a:xfrm>
                                  <a:off x="3660" y="8940"/>
                                  <a:ext cx="240" cy="735"/>
                                </a:xfrm>
                                <a:prstGeom prst="leftBrace">
                                  <a:avLst>
                                    <a:gd name="adj1" fmla="val 255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AutoShape 21"/>
                              <wps:cNvSpPr>
                                <a:spLocks/>
                              </wps:cNvSpPr>
                              <wps:spPr bwMode="auto">
                                <a:xfrm>
                                  <a:off x="2835" y="10005"/>
                                  <a:ext cx="315" cy="1769"/>
                                </a:xfrm>
                                <a:prstGeom prst="leftBrace">
                                  <a:avLst>
                                    <a:gd name="adj1" fmla="val 4679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Text Box 22"/>
                              <wps:cNvSpPr txBox="1">
                                <a:spLocks noChangeArrowheads="1"/>
                              </wps:cNvSpPr>
                              <wps:spPr bwMode="auto">
                                <a:xfrm>
                                  <a:off x="1410" y="9075"/>
                                  <a:ext cx="2070" cy="5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5AF" w:rsidRDefault="00B225AF" w:rsidP="00A95647">
                                    <w:pPr>
                                      <w:jc w:val="right"/>
                                    </w:pPr>
                                    <w:r>
                                      <w:t>HDP na obyvateľa</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Skupina 56" o:spid="_x0000_s1026" style="position:absolute;left:0;text-align:left;margin-left:-5.4pt;margin-top:54.45pt;width:124.5pt;height:141.7pt;z-index:251677696" coordorigin="1410,8940" coordsize="2490,2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">
                      <v:shapetype id="_x0000_t202" coordsize="21600,21600" o:spt="202" path="m,l,21600r21600,l21600,xe">
                        <v:stroke joinstyle="miter"/>
                        <v:path gradientshapeok="t" o:connecttype="rect"/>
                      </v:shapetype>
                      <v:shape id="Text Box 19" o:spid="_x0000_s1027" type="#_x0000_t202" style="position:absolute;left:1410;top:10710;width:135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ycQA&#10;AADbAAAADwAAAGRycy9kb3ducmV2LnhtbESPzWrDMBCE74G+g9hCL6GRU+K4dS2bNJDia9I8wMZa&#10;/1BrZSw1dt4+KhR6HGbmGyYrZtOLK42us6xgvYpAEFdWd9woOH8dnl9BOI+ssbdMCm7koMgfFhmm&#10;2k58pOvJNyJA2KWooPV+SKV0VUsG3coOxMGr7WjQBzk2Uo84Bbjp5UsUbaXBjsNCiwPtW6q+Tz9G&#10;QV1Oy/htunz6c3LcbD+wSy72ptTT47x7B+Fp9v/hv3apFcQJ/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2snEAAAA2wAAAA8AAAAAAAAAAAAAAAAAmAIAAGRycy9k&#10;b3ducmV2LnhtbFBLBQYAAAAABAAEAPUAAACJAwAAAAA=&#10;" stroked="f">
                        <v:textbox>
                          <w:txbxContent>
                            <w:p w:rsidR="00B225AF" w:rsidRDefault="00B225AF" w:rsidP="00A95647">
                              <w:pPr>
                                <w:jc w:val="right"/>
                              </w:pPr>
                              <w:r>
                                <w:t>Trh práce</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0" o:spid="_x0000_s1028" type="#_x0000_t87" style="position:absolute;left:3660;top:8940;width:240;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jTcIA&#10;AADbAAAADwAAAGRycy9kb3ducmV2LnhtbERPTWvCQBC9F/wPywheim4iKCW6SikE0hwqavU8ZKdJ&#10;MDubZrcm9de7B8Hj432vt4NpxJU6V1tWEM8iEMSF1TWXCr6P6fQNhPPIGhvLpOCfHGw3o5c1Jtr2&#10;vKfrwZcihLBLUEHlfZtI6YqKDLqZbYkD92M7gz7ArpS6wz6Em0bOo2gpDdYcGips6aOi4nL4Mwr8&#10;Kf4qhpv9xfTzHGXxa77fXXKlJuPhfQXC0+Cf4oc70woWYWz4En6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P+NNwgAAANsAAAAPAAAAAAAAAAAAAAAAAJgCAABkcnMvZG93&#10;bnJldi54bWxQSwUGAAAAAAQABAD1AAAAhwMAAAAA&#10;"/>
                      <v:shape id="AutoShape 21" o:spid="_x0000_s1029" type="#_x0000_t87" style="position:absolute;left:2835;top:10005;width:315;height:1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G1sQA&#10;AADbAAAADwAAAGRycy9kb3ducmV2LnhtbESPT4vCMBTE7wt+h/AEL4umFRStRpEFwfWg+Pf8aJ5t&#10;sXnpNlmtfvrNguBxmJnfMNN5Y0pxo9oVlhXEvQgEcWp1wZmC42HZHYFwHlljaZkUPMjBfNb6mGKi&#10;7Z13dNv7TAQIuwQV5N5XiZQuzcmg69mKOHgXWxv0QdaZ1DXeA9yUsh9FQ2mw4LCQY0VfOaXX/a9R&#10;4E/xJm2e9geX3+doFX+ud9vrWqlOu1lMQHhq/Dv8aq+0gsEY/r+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zRtbEAAAA2wAAAA8AAAAAAAAAAAAAAAAAmAIAAGRycy9k&#10;b3ducmV2LnhtbFBLBQYAAAAABAAEAPUAAACJAwAAAAA=&#10;"/>
                      <v:shape id="Text Box 22" o:spid="_x0000_s1030" type="#_x0000_t202" style="position:absolute;left:1410;top:9075;width:2070;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6Uq8AA&#10;AADbAAAADwAAAGRycy9kb3ducmV2LnhtbERPTWvCQBC9F/wPywje6saCoURXKQWhiAe1HjwO2Wk2&#10;TXY2ZleN/945FHp8vO/levCtulEf68AGZtMMFHEZbM2VgdP35vUdVEzIFtvAZOBBEdar0csSCxvu&#10;fKDbMVVKQjgWaMCl1BVax9KRxzgNHbFwP6H3mAT2lbY93iXct/oty3LtsWZpcNjRp6OyOV69lOxi&#10;eT2Ey+9s1+iza3Kc793WmMl4+FiASjSkf/Gf+8sayGW9fJEfo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h6Uq8AAAADbAAAADwAAAAAAAAAAAAAAAACYAgAAZHJzL2Rvd25y&#10;ZXYueG1sUEsFBgAAAAAEAAQA9QAAAIUDAAAAAA==&#10;" stroked="f">
                        <v:textbox style="mso-fit-shape-to-text:t">
                          <w:txbxContent>
                            <w:p w:rsidR="00B225AF" w:rsidRDefault="00B225AF" w:rsidP="00A95647">
                              <w:pPr>
                                <w:jc w:val="right"/>
                              </w:pPr>
                              <w:r>
                                <w:t>HDP na obyvateľa</w:t>
                              </w:r>
                            </w:p>
                          </w:txbxContent>
                        </v:textbox>
                      </v:shape>
                    </v:group>
                  </w:pict>
                </mc:Fallback>
              </mc:AlternateContent>
            </w:r>
            <w:r w:rsidRPr="0035027D">
              <w:rPr>
                <w:noProof/>
              </w:rPr>
              <w:t xml:space="preserve"> </w:t>
            </w:r>
            <w:r w:rsidR="003A2A4B" w:rsidRPr="0035027D">
              <w:rPr>
                <w:noProof/>
              </w:rPr>
              <w:drawing>
                <wp:inline distT="0" distB="0" distL="0" distR="0" wp14:anchorId="56BCD5A9" wp14:editId="255D8CF6">
                  <wp:extent cx="5076824" cy="2581275"/>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A95647" w:rsidRPr="0035027D" w:rsidTr="00A95647">
        <w:trPr>
          <w:trHeight w:val="432"/>
          <w:jc w:val="center"/>
        </w:trPr>
        <w:tc>
          <w:tcPr>
            <w:tcW w:w="9010" w:type="dxa"/>
            <w:tcBorders>
              <w:top w:val="nil"/>
              <w:left w:val="nil"/>
              <w:bottom w:val="nil"/>
              <w:right w:val="nil"/>
            </w:tcBorders>
          </w:tcPr>
          <w:p w:rsidR="00A95647" w:rsidRPr="0035027D" w:rsidRDefault="00A95647" w:rsidP="003A2A4B">
            <w:pPr>
              <w:jc w:val="right"/>
              <w:rPr>
                <w:i/>
                <w:iCs/>
                <w:sz w:val="16"/>
                <w:szCs w:val="16"/>
              </w:rPr>
            </w:pPr>
            <w:r w:rsidRPr="0035027D">
              <w:rPr>
                <w:i/>
                <w:iCs/>
                <w:sz w:val="16"/>
                <w:szCs w:val="16"/>
              </w:rPr>
              <w:t>Zdroj:</w:t>
            </w:r>
            <w:r w:rsidR="003A2A4B" w:rsidRPr="0035027D">
              <w:rPr>
                <w:i/>
                <w:iCs/>
                <w:sz w:val="16"/>
                <w:szCs w:val="16"/>
              </w:rPr>
              <w:t xml:space="preserve"> LAF databáza </w:t>
            </w:r>
            <w:r w:rsidRPr="0035027D">
              <w:rPr>
                <w:i/>
                <w:iCs/>
                <w:sz w:val="16"/>
                <w:szCs w:val="16"/>
              </w:rPr>
              <w:t>EK, MF SR</w:t>
            </w:r>
          </w:p>
        </w:tc>
      </w:tr>
    </w:tbl>
    <w:p w:rsidR="00A95647" w:rsidRPr="0035027D" w:rsidRDefault="00A95647" w:rsidP="00A95647">
      <w:pPr>
        <w:spacing w:after="0"/>
      </w:pPr>
    </w:p>
    <w:p w:rsidR="00A95647" w:rsidRPr="0035027D" w:rsidRDefault="00A95647" w:rsidP="00A95647">
      <w:pPr>
        <w:spacing w:after="0"/>
      </w:pPr>
      <w:r w:rsidRPr="0035027D">
        <w:t xml:space="preserve">Na základe uvedenej dekompozície sme identifikovali </w:t>
      </w:r>
      <w:r w:rsidR="008B7F7F" w:rsidRPr="0035027D">
        <w:t>5 zlo</w:t>
      </w:r>
      <w:r w:rsidR="008B7F7F" w:rsidRPr="0035027D">
        <w:rPr>
          <w:rFonts w:cs="Times New Roman"/>
        </w:rPr>
        <w:t>ž</w:t>
      </w:r>
      <w:r w:rsidR="008B7F7F" w:rsidRPr="0035027D">
        <w:t>iek</w:t>
      </w:r>
      <w:r w:rsidRPr="0035027D">
        <w:t>, ktoré predstavujú najvä</w:t>
      </w:r>
      <w:r w:rsidRPr="0035027D">
        <w:rPr>
          <w:rFonts w:cs="Times New Roman"/>
        </w:rPr>
        <w:t>č</w:t>
      </w:r>
      <w:r w:rsidRPr="0035027D">
        <w:t>ší potenciál pre rast HDP na obyvate</w:t>
      </w:r>
      <w:r w:rsidRPr="0035027D">
        <w:rPr>
          <w:rFonts w:cs="Times New Roman"/>
        </w:rPr>
        <w:t>ľ</w:t>
      </w:r>
      <w:r w:rsidRPr="0035027D">
        <w:t>a na Slovensku:</w:t>
      </w:r>
    </w:p>
    <w:p w:rsidR="00F61680" w:rsidRPr="0035027D" w:rsidRDefault="00F61680" w:rsidP="00A95647">
      <w:pPr>
        <w:spacing w:after="0"/>
      </w:pPr>
    </w:p>
    <w:p w:rsidR="00A95647" w:rsidRPr="0035027D" w:rsidRDefault="000F2413" w:rsidP="00A95647">
      <w:pPr>
        <w:numPr>
          <w:ilvl w:val="0"/>
          <w:numId w:val="12"/>
        </w:numPr>
        <w:spacing w:after="0"/>
      </w:pPr>
      <w:r>
        <w:t>Produktivita práce</w:t>
      </w:r>
      <w:r w:rsidR="00A95647" w:rsidRPr="0035027D">
        <w:t xml:space="preserve"> od roku 2001 najviac prispela k hospodárskemu rastu na Slovensku. Napriek tomu je stále jednozna</w:t>
      </w:r>
      <w:r w:rsidR="00A95647" w:rsidRPr="0035027D">
        <w:rPr>
          <w:rFonts w:cs="Times New Roman"/>
        </w:rPr>
        <w:t>č</w:t>
      </w:r>
      <w:r w:rsidR="00A95647" w:rsidRPr="0035027D">
        <w:t>ne najvýznamnejším faktorom vplývajúcim na nízku úrove</w:t>
      </w:r>
      <w:r w:rsidR="00A95647" w:rsidRPr="0035027D">
        <w:rPr>
          <w:rFonts w:cs="Times New Roman"/>
        </w:rPr>
        <w:t>ň</w:t>
      </w:r>
      <w:r w:rsidR="00A95647" w:rsidRPr="0035027D">
        <w:t xml:space="preserve"> HDP na obyvate</w:t>
      </w:r>
      <w:r w:rsidR="00A95647" w:rsidRPr="0035027D">
        <w:rPr>
          <w:rFonts w:cs="Times New Roman"/>
        </w:rPr>
        <w:t>ľ</w:t>
      </w:r>
      <w:r w:rsidR="00A95647" w:rsidRPr="0035027D">
        <w:t>a v SR.</w:t>
      </w:r>
      <w:r w:rsidR="00092541" w:rsidRPr="0035027D">
        <w:t xml:space="preserve"> K rastu produktivity najviac prispieva </w:t>
      </w:r>
      <w:r w:rsidR="00092541" w:rsidRPr="0035027D">
        <w:rPr>
          <w:i/>
          <w:iCs/>
        </w:rPr>
        <w:t xml:space="preserve">tvorba kapitálu </w:t>
      </w:r>
      <w:r w:rsidR="00092541" w:rsidRPr="0035027D">
        <w:rPr>
          <w:iCs/>
        </w:rPr>
        <w:t>a </w:t>
      </w:r>
      <w:r w:rsidR="00092541" w:rsidRPr="0035027D">
        <w:rPr>
          <w:i/>
          <w:iCs/>
        </w:rPr>
        <w:t>zvyšovanie produktivity kapitálu</w:t>
      </w:r>
      <w:r w:rsidR="00092541" w:rsidRPr="0035027D">
        <w:rPr>
          <w:iCs/>
        </w:rPr>
        <w:t>.</w:t>
      </w:r>
    </w:p>
    <w:p w:rsidR="00A95647" w:rsidRPr="0035027D" w:rsidRDefault="00A95647" w:rsidP="00A95647">
      <w:pPr>
        <w:numPr>
          <w:ilvl w:val="0"/>
          <w:numId w:val="12"/>
        </w:numPr>
        <w:spacing w:after="0"/>
      </w:pPr>
      <w:r w:rsidRPr="0035027D">
        <w:t>V rámci trhu práce si vy</w:t>
      </w:r>
      <w:r w:rsidRPr="0035027D">
        <w:rPr>
          <w:rFonts w:cs="Times New Roman"/>
        </w:rPr>
        <w:t>ž</w:t>
      </w:r>
      <w:r w:rsidRPr="0035027D">
        <w:t>adujú pozornos</w:t>
      </w:r>
      <w:r w:rsidRPr="0035027D">
        <w:rPr>
          <w:rFonts w:cs="Times New Roman"/>
        </w:rPr>
        <w:t>ť</w:t>
      </w:r>
      <w:r w:rsidRPr="0035027D">
        <w:t xml:space="preserve"> </w:t>
      </w:r>
      <w:r w:rsidR="008F0F9A" w:rsidRPr="0035027D">
        <w:t>tri</w:t>
      </w:r>
      <w:r w:rsidRPr="0035027D">
        <w:t xml:space="preserve"> zlo</w:t>
      </w:r>
      <w:r w:rsidRPr="0035027D">
        <w:rPr>
          <w:rFonts w:cs="Times New Roman"/>
        </w:rPr>
        <w:t>ž</w:t>
      </w:r>
      <w:r w:rsidRPr="0035027D">
        <w:t xml:space="preserve">ky. Prvou je </w:t>
      </w:r>
      <w:r w:rsidRPr="0035027D">
        <w:rPr>
          <w:i/>
          <w:iCs/>
        </w:rPr>
        <w:t>miera zamestnanosti mladých</w:t>
      </w:r>
      <w:r w:rsidRPr="0035027D">
        <w:t>,</w:t>
      </w:r>
      <w:r w:rsidR="00757527" w:rsidRPr="0035027D">
        <w:t xml:space="preserve"> ktorá sa medzi rokmi 2001 a 20</w:t>
      </w:r>
      <w:r w:rsidRPr="0035027D">
        <w:t>11 výrazne zní</w:t>
      </w:r>
      <w:r w:rsidRPr="0035027D">
        <w:rPr>
          <w:rFonts w:cs="Times New Roman"/>
        </w:rPr>
        <w:t>ž</w:t>
      </w:r>
      <w:r w:rsidRPr="0035027D">
        <w:t>ila a ešt</w:t>
      </w:r>
      <w:r w:rsidR="004D594E" w:rsidRPr="0035027D">
        <w:t>e viac sa vzdialila priemeru EÚ</w:t>
      </w:r>
      <w:r w:rsidRPr="0035027D">
        <w:t xml:space="preserve">15. Je však viac ako kompenzovaná rastom participácie na vysokoškolskom vzdelaní, </w:t>
      </w:r>
      <w:r w:rsidRPr="0035027D">
        <w:rPr>
          <w:rFonts w:cs="Times New Roman"/>
        </w:rPr>
        <w:t>č</w:t>
      </w:r>
      <w:r w:rsidRPr="0035027D">
        <w:t>o bude ma</w:t>
      </w:r>
      <w:r w:rsidRPr="0035027D">
        <w:rPr>
          <w:rFonts w:cs="Times New Roman"/>
        </w:rPr>
        <w:t>ť</w:t>
      </w:r>
      <w:r w:rsidRPr="0035027D">
        <w:t xml:space="preserve"> v budúcnosti pozitívny vplyv na produktivitu práce. Druhou dôle</w:t>
      </w:r>
      <w:r w:rsidRPr="0035027D">
        <w:rPr>
          <w:rFonts w:cs="Times New Roman"/>
        </w:rPr>
        <w:t>ž</w:t>
      </w:r>
      <w:r w:rsidRPr="0035027D">
        <w:t>itou zlo</w:t>
      </w:r>
      <w:r w:rsidRPr="0035027D">
        <w:rPr>
          <w:rFonts w:cs="Times New Roman"/>
        </w:rPr>
        <w:t>ž</w:t>
      </w:r>
      <w:r w:rsidRPr="0035027D">
        <w:t xml:space="preserve">kou je </w:t>
      </w:r>
      <w:r w:rsidRPr="0035027D">
        <w:rPr>
          <w:i/>
          <w:iCs/>
        </w:rPr>
        <w:t>miera zamestnanosti starších</w:t>
      </w:r>
      <w:r w:rsidRPr="0035027D">
        <w:t xml:space="preserve">, ktorá sa v dôsledku zvýšenia veku </w:t>
      </w:r>
      <w:r w:rsidRPr="0035027D">
        <w:lastRenderedPageBreak/>
        <w:t>odchodu do dôchodku zvýšila, ale stále v</w:t>
      </w:r>
      <w:r w:rsidR="004D594E" w:rsidRPr="0035027D">
        <w:t>ýrazne zaostáva za priemerom EÚ</w:t>
      </w:r>
      <w:r w:rsidRPr="0035027D">
        <w:t>15. Tre</w:t>
      </w:r>
      <w:r w:rsidRPr="0035027D">
        <w:rPr>
          <w:rFonts w:cs="Times New Roman"/>
        </w:rPr>
        <w:t>ť</w:t>
      </w:r>
      <w:r w:rsidRPr="0035027D">
        <w:t>ou zlo</w:t>
      </w:r>
      <w:r w:rsidRPr="0035027D">
        <w:rPr>
          <w:rFonts w:cs="Times New Roman"/>
        </w:rPr>
        <w:t>ž</w:t>
      </w:r>
      <w:r w:rsidRPr="0035027D">
        <w:t xml:space="preserve">kou je </w:t>
      </w:r>
      <w:r w:rsidRPr="0035027D">
        <w:rPr>
          <w:i/>
          <w:iCs/>
        </w:rPr>
        <w:t>miera nezamestnanosti</w:t>
      </w:r>
      <w:r w:rsidRPr="0035027D">
        <w:t>, ktorá je napriek výraznému zní</w:t>
      </w:r>
      <w:r w:rsidRPr="0035027D">
        <w:rPr>
          <w:rFonts w:cs="Times New Roman"/>
        </w:rPr>
        <w:t>ž</w:t>
      </w:r>
      <w:r w:rsidRPr="0035027D">
        <w:t>eniu v posledných rokoch stále relatívne vysoká.</w:t>
      </w:r>
    </w:p>
    <w:p w:rsidR="00A95647" w:rsidRPr="0035027D" w:rsidRDefault="00A95647" w:rsidP="00A95647">
      <w:pPr>
        <w:numPr>
          <w:ilvl w:val="0"/>
          <w:numId w:val="12"/>
        </w:numPr>
        <w:spacing w:after="0"/>
      </w:pPr>
      <w:r w:rsidRPr="0035027D">
        <w:t>Význam demografickej zlo</w:t>
      </w:r>
      <w:r w:rsidRPr="0035027D">
        <w:rPr>
          <w:rFonts w:cs="Times New Roman"/>
        </w:rPr>
        <w:t>ž</w:t>
      </w:r>
      <w:r w:rsidRPr="0035027D">
        <w:t>ky je významný v dlhodobom horizonte, ke</w:t>
      </w:r>
      <w:r w:rsidRPr="0035027D">
        <w:rPr>
          <w:rFonts w:cs="Times New Roman"/>
        </w:rPr>
        <w:t>ď</w:t>
      </w:r>
      <w:r w:rsidRPr="0035027D">
        <w:t xml:space="preserve"> za</w:t>
      </w:r>
      <w:r w:rsidRPr="0035027D">
        <w:rPr>
          <w:rFonts w:cs="Times New Roman"/>
        </w:rPr>
        <w:t>č</w:t>
      </w:r>
      <w:r w:rsidRPr="0035027D">
        <w:t>ne klesa</w:t>
      </w:r>
      <w:r w:rsidRPr="0035027D">
        <w:rPr>
          <w:rFonts w:cs="Times New Roman"/>
        </w:rPr>
        <w:t>ť</w:t>
      </w:r>
      <w:r w:rsidRPr="0035027D">
        <w:t xml:space="preserve"> podiel populácie v produktívnom veku, </w:t>
      </w:r>
      <w:r w:rsidRPr="0035027D">
        <w:rPr>
          <w:rFonts w:cs="Times New Roman"/>
        </w:rPr>
        <w:t>č</w:t>
      </w:r>
      <w:r w:rsidRPr="0035027D">
        <w:t>o bude ma</w:t>
      </w:r>
      <w:r w:rsidRPr="0035027D">
        <w:rPr>
          <w:rFonts w:cs="Times New Roman"/>
        </w:rPr>
        <w:t>ť</w:t>
      </w:r>
      <w:r w:rsidRPr="0035027D">
        <w:t xml:space="preserve"> negatívny vplyv na celkový ekonomický rast. Preto je nevyhnutné zoh</w:t>
      </w:r>
      <w:r w:rsidRPr="0035027D">
        <w:rPr>
          <w:rFonts w:cs="Times New Roman"/>
        </w:rPr>
        <w:t>ľ</w:t>
      </w:r>
      <w:r w:rsidRPr="0035027D">
        <w:t>ad</w:t>
      </w:r>
      <w:r w:rsidRPr="0035027D">
        <w:rPr>
          <w:rFonts w:cs="Times New Roman"/>
        </w:rPr>
        <w:t>ň</w:t>
      </w:r>
      <w:r w:rsidRPr="0035027D">
        <w:t>ova</w:t>
      </w:r>
      <w:r w:rsidRPr="0035027D">
        <w:rPr>
          <w:rFonts w:cs="Times New Roman"/>
        </w:rPr>
        <w:t>ť</w:t>
      </w:r>
      <w:r w:rsidRPr="0035027D">
        <w:t xml:space="preserve"> problémy súvisiace napríklad s fiškálnou udr</w:t>
      </w:r>
      <w:r w:rsidRPr="0035027D">
        <w:rPr>
          <w:rFonts w:cs="Times New Roman"/>
        </w:rPr>
        <w:t>ž</w:t>
      </w:r>
      <w:r w:rsidRPr="0035027D">
        <w:t>ate</w:t>
      </w:r>
      <w:r w:rsidRPr="0035027D">
        <w:rPr>
          <w:rFonts w:cs="Times New Roman"/>
        </w:rPr>
        <w:t>ľ</w:t>
      </w:r>
      <w:r w:rsidRPr="0035027D">
        <w:t>nos</w:t>
      </w:r>
      <w:r w:rsidRPr="0035027D">
        <w:rPr>
          <w:rFonts w:cs="Times New Roman"/>
        </w:rPr>
        <w:t>ť</w:t>
      </w:r>
      <w:r w:rsidRPr="0035027D">
        <w:t>ou systému dôchodkového zabezpe</w:t>
      </w:r>
      <w:r w:rsidRPr="0035027D">
        <w:rPr>
          <w:rFonts w:cs="Times New Roman"/>
        </w:rPr>
        <w:t>č</w:t>
      </w:r>
      <w:r w:rsidRPr="0035027D">
        <w:t>enia</w:t>
      </w:r>
      <w:r w:rsidR="00ED7F6D" w:rsidRPr="0035027D">
        <w:t xml:space="preserve"> alebo zdravotnej starostlivosti</w:t>
      </w:r>
      <w:r w:rsidRPr="0035027D">
        <w:t>. V sú</w:t>
      </w:r>
      <w:r w:rsidRPr="0035027D">
        <w:rPr>
          <w:rFonts w:cs="Times New Roman"/>
        </w:rPr>
        <w:t>č</w:t>
      </w:r>
      <w:r w:rsidRPr="0035027D">
        <w:t>asnosti je podiel populácie v produk</w:t>
      </w:r>
      <w:r w:rsidR="004D594E" w:rsidRPr="0035027D">
        <w:t>tívnom veku v SR vä</w:t>
      </w:r>
      <w:r w:rsidR="004D594E" w:rsidRPr="0035027D">
        <w:rPr>
          <w:rFonts w:cs="Times New Roman"/>
        </w:rPr>
        <w:t>č</w:t>
      </w:r>
      <w:r w:rsidR="004D594E" w:rsidRPr="0035027D">
        <w:t>ší ako v EÚ</w:t>
      </w:r>
      <w:r w:rsidRPr="0035027D">
        <w:t xml:space="preserve">15, </w:t>
      </w:r>
      <w:r w:rsidRPr="0035027D">
        <w:rPr>
          <w:rFonts w:cs="Times New Roman"/>
        </w:rPr>
        <w:t>č</w:t>
      </w:r>
      <w:r w:rsidRPr="0035027D">
        <w:t xml:space="preserve">o znamená, </w:t>
      </w:r>
      <w:r w:rsidRPr="0035027D">
        <w:rPr>
          <w:rFonts w:cs="Times New Roman"/>
        </w:rPr>
        <w:t>ž</w:t>
      </w:r>
      <w:r w:rsidRPr="0035027D">
        <w:t>e demografická zlo</w:t>
      </w:r>
      <w:r w:rsidRPr="0035027D">
        <w:rPr>
          <w:rFonts w:cs="Times New Roman"/>
        </w:rPr>
        <w:t>ž</w:t>
      </w:r>
      <w:r w:rsidRPr="0035027D">
        <w:t xml:space="preserve">ka </w:t>
      </w:r>
      <w:r w:rsidR="00740F53">
        <w:t>prispieva pozitívne k porovnaniu</w:t>
      </w:r>
      <w:r w:rsidRPr="0035027D">
        <w:t xml:space="preserve"> HDP na obyvate</w:t>
      </w:r>
      <w:r w:rsidRPr="0035027D">
        <w:rPr>
          <w:rFonts w:cs="Times New Roman"/>
        </w:rPr>
        <w:t>ľ</w:t>
      </w:r>
      <w:r w:rsidRPr="0035027D">
        <w:t>a SR</w:t>
      </w:r>
      <w:r w:rsidR="00740F53" w:rsidRPr="00740F53">
        <w:t xml:space="preserve"> </w:t>
      </w:r>
      <w:r w:rsidR="00740F53">
        <w:t>s  priemerom starých členov EÚ</w:t>
      </w:r>
      <w:r w:rsidRPr="0035027D">
        <w:t xml:space="preserve">. </w:t>
      </w:r>
    </w:p>
    <w:p w:rsidR="00A95647" w:rsidRPr="0035027D" w:rsidRDefault="00A95647" w:rsidP="00A95647">
      <w:pPr>
        <w:spacing w:after="0"/>
      </w:pPr>
    </w:p>
    <w:tbl>
      <w:tblPr>
        <w:tblW w:w="0" w:type="auto"/>
        <w:jc w:val="center"/>
        <w:tblCellMar>
          <w:left w:w="70" w:type="dxa"/>
          <w:right w:w="70" w:type="dxa"/>
        </w:tblCellMar>
        <w:tblLook w:val="0000" w:firstRow="0" w:lastRow="0" w:firstColumn="0" w:lastColumn="0" w:noHBand="0" w:noVBand="0"/>
      </w:tblPr>
      <w:tblGrid>
        <w:gridCol w:w="8992"/>
      </w:tblGrid>
      <w:tr w:rsidR="00A95647" w:rsidRPr="0035027D" w:rsidTr="00A95647">
        <w:trPr>
          <w:trHeight w:val="275"/>
          <w:jc w:val="center"/>
        </w:trPr>
        <w:tc>
          <w:tcPr>
            <w:tcW w:w="8992" w:type="dxa"/>
            <w:tcBorders>
              <w:top w:val="nil"/>
              <w:left w:val="nil"/>
              <w:bottom w:val="nil"/>
              <w:right w:val="nil"/>
            </w:tcBorders>
            <w:shd w:val="clear" w:color="auto" w:fill="000000"/>
            <w:vAlign w:val="center"/>
          </w:tcPr>
          <w:p w:rsidR="00A95647" w:rsidRPr="0035027D" w:rsidRDefault="002B30B7" w:rsidP="00A95647">
            <w:pPr>
              <w:spacing w:after="0"/>
              <w:jc w:val="left"/>
              <w:rPr>
                <w:b/>
                <w:bCs/>
                <w:color w:val="FFFFFF"/>
                <w:sz w:val="20"/>
                <w:szCs w:val="20"/>
              </w:rPr>
            </w:pPr>
            <w:r w:rsidRPr="0035027D">
              <w:rPr>
                <w:b/>
                <w:bCs/>
                <w:color w:val="FFFFFF"/>
                <w:sz w:val="20"/>
                <w:szCs w:val="20"/>
              </w:rPr>
              <w:t xml:space="preserve">Graf 2: </w:t>
            </w:r>
            <w:r w:rsidR="00A95647" w:rsidRPr="0035027D">
              <w:rPr>
                <w:b/>
                <w:bCs/>
                <w:color w:val="FFFFFF"/>
                <w:sz w:val="20"/>
                <w:szCs w:val="20"/>
              </w:rPr>
              <w:t>Prístup k zvýšeniu kvality života v SR</w:t>
            </w:r>
          </w:p>
        </w:tc>
      </w:tr>
      <w:tr w:rsidR="00A95647" w:rsidRPr="0035027D" w:rsidTr="00A95647">
        <w:trPr>
          <w:trHeight w:val="3155"/>
          <w:jc w:val="center"/>
        </w:trPr>
        <w:tc>
          <w:tcPr>
            <w:tcW w:w="8992" w:type="dxa"/>
            <w:tcBorders>
              <w:top w:val="nil"/>
              <w:left w:val="nil"/>
              <w:bottom w:val="single" w:sz="8" w:space="0" w:color="auto"/>
              <w:right w:val="nil"/>
            </w:tcBorders>
          </w:tcPr>
          <w:p w:rsidR="00A95647" w:rsidRPr="0035027D" w:rsidRDefault="001A450F" w:rsidP="00A95647">
            <w:pPr>
              <w:spacing w:after="0"/>
              <w:jc w:val="center"/>
              <w:rPr>
                <w:rFonts w:cs="Garamond"/>
                <w:b/>
                <w:bCs/>
                <w:sz w:val="16"/>
                <w:szCs w:val="16"/>
              </w:rPr>
            </w:pPr>
            <w:r w:rsidRPr="0035027D">
              <w:rPr>
                <w:rFonts w:cs="Garamond"/>
                <w:b/>
                <w:bCs/>
                <w:noProof/>
                <w:sz w:val="16"/>
                <w:szCs w:val="16"/>
              </w:rPr>
              <mc:AlternateContent>
                <mc:Choice Requires="wps">
                  <w:drawing>
                    <wp:anchor distT="0" distB="0" distL="114300" distR="114300" simplePos="0" relativeHeight="251683840" behindDoc="0" locked="0" layoutInCell="1" allowOverlap="1" wp14:anchorId="10F587AC" wp14:editId="36627DD8">
                      <wp:simplePos x="0" y="0"/>
                      <wp:positionH relativeFrom="column">
                        <wp:posOffset>4573905</wp:posOffset>
                      </wp:positionH>
                      <wp:positionV relativeFrom="paragraph">
                        <wp:posOffset>1010920</wp:posOffset>
                      </wp:positionV>
                      <wp:extent cx="838200" cy="504825"/>
                      <wp:effectExtent l="0" t="0" r="0" b="9525"/>
                      <wp:wrapNone/>
                      <wp:docPr id="293"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504825"/>
                              </a:xfrm>
                              <a:prstGeom prst="rect">
                                <a:avLst/>
                              </a:prstGeom>
                              <a:noFill/>
                              <a:ln w="9525">
                                <a:noFill/>
                                <a:miter lim="800000"/>
                                <a:headEnd/>
                                <a:tailEnd/>
                              </a:ln>
                            </wps:spPr>
                            <wps:txbx>
                              <w:txbxContent>
                                <w:p w:rsidR="00B225AF" w:rsidRPr="001A450F" w:rsidRDefault="00B225AF" w:rsidP="00A95647">
                                  <w:pPr>
                                    <w:jc w:val="center"/>
                                    <w:rPr>
                                      <w:b/>
                                      <w:sz w:val="18"/>
                                      <w:szCs w:val="20"/>
                                    </w:rPr>
                                  </w:pPr>
                                  <w:r w:rsidRPr="001A450F">
                                    <w:rPr>
                                      <w:b/>
                                      <w:sz w:val="18"/>
                                      <w:szCs w:val="20"/>
                                    </w:rPr>
                                    <w:t>Zdravie</w:t>
                                  </w:r>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Blok textu 2" o:spid="_x0000_s1031" type="#_x0000_t202" style="position:absolute;left:0;text-align:left;margin-left:360.15pt;margin-top:79.6pt;width:66pt;height:3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" filled="f" stroked="f">
                      <v:textbox inset="1mm,0,0,0">
                        <w:txbxContent>
                          <w:p w:rsidR="00B225AF" w:rsidRPr="001A450F" w:rsidRDefault="00B225AF" w:rsidP="00A95647">
                            <w:pPr>
                              <w:jc w:val="center"/>
                              <w:rPr>
                                <w:b/>
                                <w:sz w:val="18"/>
                                <w:szCs w:val="20"/>
                              </w:rPr>
                            </w:pPr>
                            <w:r w:rsidRPr="001A450F">
                              <w:rPr>
                                <w:b/>
                                <w:sz w:val="18"/>
                                <w:szCs w:val="20"/>
                              </w:rPr>
                              <w:t>Zdravie</w:t>
                            </w:r>
                          </w:p>
                        </w:txbxContent>
                      </v:textbox>
                    </v:shape>
                  </w:pict>
                </mc:Fallback>
              </mc:AlternateContent>
            </w:r>
            <w:r w:rsidRPr="0035027D">
              <w:rPr>
                <w:rFonts w:cs="Garamond"/>
                <w:b/>
                <w:bCs/>
                <w:noProof/>
                <w:sz w:val="16"/>
                <w:szCs w:val="16"/>
              </w:rPr>
              <mc:AlternateContent>
                <mc:Choice Requires="wps">
                  <w:drawing>
                    <wp:anchor distT="0" distB="0" distL="114300" distR="114300" simplePos="0" relativeHeight="251678720" behindDoc="0" locked="0" layoutInCell="1" allowOverlap="1" wp14:anchorId="7B828F52" wp14:editId="5AC14468">
                      <wp:simplePos x="0" y="0"/>
                      <wp:positionH relativeFrom="column">
                        <wp:posOffset>201930</wp:posOffset>
                      </wp:positionH>
                      <wp:positionV relativeFrom="paragraph">
                        <wp:posOffset>1024890</wp:posOffset>
                      </wp:positionV>
                      <wp:extent cx="781050" cy="504825"/>
                      <wp:effectExtent l="0" t="0" r="0" b="9525"/>
                      <wp:wrapNone/>
                      <wp:docPr id="307"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504825"/>
                              </a:xfrm>
                              <a:prstGeom prst="rect">
                                <a:avLst/>
                              </a:prstGeom>
                              <a:noFill/>
                              <a:ln w="9525">
                                <a:noFill/>
                                <a:miter lim="800000"/>
                                <a:headEnd/>
                                <a:tailEnd/>
                              </a:ln>
                            </wps:spPr>
                            <wps:txbx>
                              <w:txbxContent>
                                <w:p w:rsidR="00B225AF" w:rsidRPr="000D6113" w:rsidRDefault="00B225AF" w:rsidP="00A95647">
                                  <w:pPr>
                                    <w:jc w:val="center"/>
                                    <w:rPr>
                                      <w:b/>
                                      <w:sz w:val="18"/>
                                      <w:szCs w:val="18"/>
                                    </w:rPr>
                                  </w:pPr>
                                  <w:r w:rsidRPr="000D6113">
                                    <w:rPr>
                                      <w:b/>
                                      <w:sz w:val="18"/>
                                      <w:szCs w:val="18"/>
                                    </w:rPr>
                                    <w:t xml:space="preserve">Vzdelávanie, </w:t>
                                  </w:r>
                                  <w:proofErr w:type="spellStart"/>
                                  <w:r w:rsidRPr="000D6113">
                                    <w:rPr>
                                      <w:b/>
                                      <w:sz w:val="18"/>
                                      <w:szCs w:val="18"/>
                                    </w:rPr>
                                    <w:t>VaV</w:t>
                                  </w:r>
                                  <w:proofErr w:type="spellEnd"/>
                                  <w:r w:rsidRPr="000D6113">
                                    <w:rPr>
                                      <w:b/>
                                      <w:sz w:val="18"/>
                                      <w:szCs w:val="18"/>
                                    </w:rPr>
                                    <w:t xml:space="preserve"> a inovácie</w:t>
                                  </w:r>
                                </w:p>
                              </w:txbxContent>
                            </wps:txbx>
                            <wps:bodyPr rot="0" vert="horz" wrap="square" lIns="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9pt;margin-top:80.7pt;width:61.5pt;height:3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" filled="f" stroked="f">
                      <v:textbox inset="0,0,1mm,0">
                        <w:txbxContent>
                          <w:p w:rsidR="00B225AF" w:rsidRPr="000D6113" w:rsidRDefault="00B225AF" w:rsidP="00A95647">
                            <w:pPr>
                              <w:jc w:val="center"/>
                              <w:rPr>
                                <w:b/>
                                <w:sz w:val="18"/>
                                <w:szCs w:val="18"/>
                              </w:rPr>
                            </w:pPr>
                            <w:r w:rsidRPr="000D6113">
                              <w:rPr>
                                <w:b/>
                                <w:sz w:val="18"/>
                                <w:szCs w:val="18"/>
                              </w:rPr>
                              <w:t xml:space="preserve">Vzdelávanie, </w:t>
                            </w:r>
                            <w:proofErr w:type="spellStart"/>
                            <w:r w:rsidRPr="000D6113">
                              <w:rPr>
                                <w:b/>
                                <w:sz w:val="18"/>
                                <w:szCs w:val="18"/>
                              </w:rPr>
                              <w:t>VaV</w:t>
                            </w:r>
                            <w:proofErr w:type="spellEnd"/>
                            <w:r w:rsidRPr="000D6113">
                              <w:rPr>
                                <w:b/>
                                <w:sz w:val="18"/>
                                <w:szCs w:val="18"/>
                              </w:rPr>
                              <w:t xml:space="preserve"> a inovácie</w:t>
                            </w:r>
                          </w:p>
                        </w:txbxContent>
                      </v:textbox>
                    </v:shape>
                  </w:pict>
                </mc:Fallback>
              </mc:AlternateContent>
            </w:r>
            <w:r w:rsidRPr="0035027D">
              <w:rPr>
                <w:rFonts w:cs="Garamond"/>
                <w:b/>
                <w:bCs/>
                <w:noProof/>
                <w:sz w:val="16"/>
                <w:szCs w:val="16"/>
              </w:rPr>
              <mc:AlternateContent>
                <mc:Choice Requires="wps">
                  <w:drawing>
                    <wp:anchor distT="0" distB="0" distL="114300" distR="114300" simplePos="0" relativeHeight="251679744" behindDoc="0" locked="0" layoutInCell="1" allowOverlap="1" wp14:anchorId="436A4124" wp14:editId="5E51E97A">
                      <wp:simplePos x="0" y="0"/>
                      <wp:positionH relativeFrom="column">
                        <wp:posOffset>935355</wp:posOffset>
                      </wp:positionH>
                      <wp:positionV relativeFrom="paragraph">
                        <wp:posOffset>1034415</wp:posOffset>
                      </wp:positionV>
                      <wp:extent cx="733425" cy="514350"/>
                      <wp:effectExtent l="0" t="0" r="9525" b="0"/>
                      <wp:wrapNone/>
                      <wp:docPr id="288"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14350"/>
                              </a:xfrm>
                              <a:prstGeom prst="rect">
                                <a:avLst/>
                              </a:prstGeom>
                              <a:noFill/>
                              <a:ln w="9525">
                                <a:noFill/>
                                <a:miter lim="800000"/>
                                <a:headEnd/>
                                <a:tailEnd/>
                              </a:ln>
                            </wps:spPr>
                            <wps:txbx>
                              <w:txbxContent>
                                <w:p w:rsidR="00B225AF" w:rsidRPr="000D6113" w:rsidRDefault="00B225AF" w:rsidP="00A95647">
                                  <w:pPr>
                                    <w:jc w:val="center"/>
                                    <w:rPr>
                                      <w:b/>
                                      <w:sz w:val="18"/>
                                      <w:szCs w:val="20"/>
                                    </w:rPr>
                                  </w:pPr>
                                  <w:r w:rsidRPr="000D6113">
                                    <w:rPr>
                                      <w:b/>
                                      <w:sz w:val="18"/>
                                      <w:szCs w:val="20"/>
                                    </w:rPr>
                                    <w:t>Zamestnanosť a sociálna inklúzia</w:t>
                                  </w:r>
                                </w:p>
                              </w:txbxContent>
                            </wps:txbx>
                            <wps:bodyPr rot="0" vert="horz" wrap="square" lIns="432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73.65pt;margin-top:81.45pt;width:57.75pt;height: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" filled="f" stroked="f">
                      <v:textbox inset="1.2mm,0,0,0">
                        <w:txbxContent>
                          <w:p w:rsidR="00B225AF" w:rsidRPr="000D6113" w:rsidRDefault="00B225AF" w:rsidP="00A95647">
                            <w:pPr>
                              <w:jc w:val="center"/>
                              <w:rPr>
                                <w:b/>
                                <w:sz w:val="18"/>
                                <w:szCs w:val="20"/>
                              </w:rPr>
                            </w:pPr>
                            <w:r w:rsidRPr="000D6113">
                              <w:rPr>
                                <w:b/>
                                <w:sz w:val="18"/>
                                <w:szCs w:val="20"/>
                              </w:rPr>
                              <w:t>Zamestnanosť a sociálna inklúzia</w:t>
                            </w:r>
                          </w:p>
                        </w:txbxContent>
                      </v:textbox>
                    </v:shape>
                  </w:pict>
                </mc:Fallback>
              </mc:AlternateContent>
            </w:r>
            <w:r w:rsidRPr="0035027D">
              <w:rPr>
                <w:rFonts w:cs="Garamond"/>
                <w:b/>
                <w:bCs/>
                <w:noProof/>
                <w:sz w:val="16"/>
                <w:szCs w:val="16"/>
              </w:rPr>
              <mc:AlternateContent>
                <mc:Choice Requires="wps">
                  <w:drawing>
                    <wp:anchor distT="0" distB="0" distL="114300" distR="114300" simplePos="0" relativeHeight="251680768" behindDoc="0" locked="0" layoutInCell="1" allowOverlap="1" wp14:anchorId="0776E0A4" wp14:editId="76949598">
                      <wp:simplePos x="0" y="0"/>
                      <wp:positionH relativeFrom="column">
                        <wp:posOffset>1668780</wp:posOffset>
                      </wp:positionH>
                      <wp:positionV relativeFrom="paragraph">
                        <wp:posOffset>1062990</wp:posOffset>
                      </wp:positionV>
                      <wp:extent cx="790575" cy="504825"/>
                      <wp:effectExtent l="0" t="0" r="9525" b="9525"/>
                      <wp:wrapNone/>
                      <wp:docPr id="290"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504825"/>
                              </a:xfrm>
                              <a:prstGeom prst="rect">
                                <a:avLst/>
                              </a:prstGeom>
                              <a:noFill/>
                              <a:ln w="9525">
                                <a:noFill/>
                                <a:miter lim="800000"/>
                                <a:headEnd/>
                                <a:tailEnd/>
                              </a:ln>
                            </wps:spPr>
                            <wps:txbx>
                              <w:txbxContent>
                                <w:p w:rsidR="00B225AF" w:rsidRPr="000D6113" w:rsidRDefault="00B225AF" w:rsidP="00A95647">
                                  <w:pPr>
                                    <w:jc w:val="center"/>
                                    <w:rPr>
                                      <w:b/>
                                      <w:sz w:val="18"/>
                                      <w:szCs w:val="20"/>
                                    </w:rPr>
                                  </w:pPr>
                                  <w:r w:rsidRPr="000D6113">
                                    <w:rPr>
                                      <w:b/>
                                      <w:sz w:val="18"/>
                                      <w:szCs w:val="20"/>
                                    </w:rPr>
                                    <w:t>Podnikateľské prostredie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31.4pt;margin-top:83.7pt;width:62.25pt;height:3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" filled="f" stroked="f">
                      <v:textbox inset="0,0,0,0">
                        <w:txbxContent>
                          <w:p w:rsidR="00B225AF" w:rsidRPr="000D6113" w:rsidRDefault="00B225AF" w:rsidP="00A95647">
                            <w:pPr>
                              <w:jc w:val="center"/>
                              <w:rPr>
                                <w:b/>
                                <w:sz w:val="18"/>
                                <w:szCs w:val="20"/>
                              </w:rPr>
                            </w:pPr>
                            <w:r w:rsidRPr="000D6113">
                              <w:rPr>
                                <w:b/>
                                <w:sz w:val="18"/>
                                <w:szCs w:val="20"/>
                              </w:rPr>
                              <w:t>Podnikateľské prostredie</w:t>
                            </w:r>
                          </w:p>
                        </w:txbxContent>
                      </v:textbox>
                    </v:shape>
                  </w:pict>
                </mc:Fallback>
              </mc:AlternateContent>
            </w:r>
            <w:r w:rsidRPr="0035027D">
              <w:rPr>
                <w:rFonts w:cs="Garamond"/>
                <w:b/>
                <w:bCs/>
                <w:noProof/>
                <w:sz w:val="16"/>
                <w:szCs w:val="16"/>
              </w:rPr>
              <mc:AlternateContent>
                <mc:Choice Requires="wps">
                  <w:drawing>
                    <wp:anchor distT="0" distB="0" distL="114300" distR="114300" simplePos="0" relativeHeight="251681792" behindDoc="0" locked="0" layoutInCell="1" allowOverlap="1" wp14:anchorId="3D3BD3E4" wp14:editId="3B3CAC6B">
                      <wp:simplePos x="0" y="0"/>
                      <wp:positionH relativeFrom="column">
                        <wp:posOffset>2364105</wp:posOffset>
                      </wp:positionH>
                      <wp:positionV relativeFrom="paragraph">
                        <wp:posOffset>1020445</wp:posOffset>
                      </wp:positionV>
                      <wp:extent cx="838200" cy="504825"/>
                      <wp:effectExtent l="0" t="0" r="0" b="9525"/>
                      <wp:wrapNone/>
                      <wp:docPr id="291"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504825"/>
                              </a:xfrm>
                              <a:prstGeom prst="rect">
                                <a:avLst/>
                              </a:prstGeom>
                              <a:noFill/>
                              <a:ln w="9525">
                                <a:noFill/>
                                <a:miter lim="800000"/>
                                <a:headEnd/>
                                <a:tailEnd/>
                              </a:ln>
                            </wps:spPr>
                            <wps:txbx>
                              <w:txbxContent>
                                <w:p w:rsidR="00B225AF" w:rsidRPr="001A450F" w:rsidRDefault="00B225AF" w:rsidP="00A95647">
                                  <w:pPr>
                                    <w:jc w:val="center"/>
                                    <w:rPr>
                                      <w:b/>
                                      <w:sz w:val="18"/>
                                      <w:szCs w:val="20"/>
                                    </w:rPr>
                                  </w:pPr>
                                  <w:r w:rsidRPr="001A450F">
                                    <w:rPr>
                                      <w:b/>
                                      <w:sz w:val="18"/>
                                      <w:szCs w:val="20"/>
                                    </w:rPr>
                                    <w:t>D</w:t>
                                  </w:r>
                                  <w:r>
                                    <w:rPr>
                                      <w:b/>
                                      <w:sz w:val="18"/>
                                      <w:szCs w:val="20"/>
                                    </w:rPr>
                                    <w:t>opravná i</w:t>
                                  </w:r>
                                  <w:r w:rsidRPr="001A450F">
                                    <w:rPr>
                                      <w:b/>
                                      <w:sz w:val="18"/>
                                      <w:szCs w:val="20"/>
                                    </w:rPr>
                                    <w:t>nfraštruktúra</w:t>
                                  </w:r>
                                  <w:r>
                                    <w:rPr>
                                      <w:b/>
                                      <w:sz w:val="18"/>
                                      <w:szCs w:val="20"/>
                                    </w:rPr>
                                    <w:t xml:space="preserve"> a </w:t>
                                  </w:r>
                                  <w:proofErr w:type="spellStart"/>
                                  <w:r>
                                    <w:rPr>
                                      <w:b/>
                                      <w:sz w:val="18"/>
                                      <w:szCs w:val="20"/>
                                    </w:rPr>
                                    <w:t>telekomu-nikácie</w:t>
                                  </w:r>
                                  <w:proofErr w:type="spellEnd"/>
                                </w:p>
                              </w:txbxContent>
                            </wps:txbx>
                            <wps:bodyPr rot="0" vert="horz"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86.15pt;margin-top:80.35pt;width:66pt;height:3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" filled="f" stroked="f">
                      <v:textbox inset="1mm,0,0,0">
                        <w:txbxContent>
                          <w:p w:rsidR="00B225AF" w:rsidRPr="001A450F" w:rsidRDefault="00B225AF" w:rsidP="00A95647">
                            <w:pPr>
                              <w:jc w:val="center"/>
                              <w:rPr>
                                <w:b/>
                                <w:sz w:val="18"/>
                                <w:szCs w:val="20"/>
                              </w:rPr>
                            </w:pPr>
                            <w:r w:rsidRPr="001A450F">
                              <w:rPr>
                                <w:b/>
                                <w:sz w:val="18"/>
                                <w:szCs w:val="20"/>
                              </w:rPr>
                              <w:t>D</w:t>
                            </w:r>
                            <w:r>
                              <w:rPr>
                                <w:b/>
                                <w:sz w:val="18"/>
                                <w:szCs w:val="20"/>
                              </w:rPr>
                              <w:t>opravná i</w:t>
                            </w:r>
                            <w:r w:rsidRPr="001A450F">
                              <w:rPr>
                                <w:b/>
                                <w:sz w:val="18"/>
                                <w:szCs w:val="20"/>
                              </w:rPr>
                              <w:t>nfraštruktúra</w:t>
                            </w:r>
                            <w:r>
                              <w:rPr>
                                <w:b/>
                                <w:sz w:val="18"/>
                                <w:szCs w:val="20"/>
                              </w:rPr>
                              <w:t xml:space="preserve"> a </w:t>
                            </w:r>
                            <w:proofErr w:type="spellStart"/>
                            <w:r>
                              <w:rPr>
                                <w:b/>
                                <w:sz w:val="18"/>
                                <w:szCs w:val="20"/>
                              </w:rPr>
                              <w:t>telekomu-nikácie</w:t>
                            </w:r>
                            <w:proofErr w:type="spellEnd"/>
                          </w:p>
                        </w:txbxContent>
                      </v:textbox>
                    </v:shape>
                  </w:pict>
                </mc:Fallback>
              </mc:AlternateContent>
            </w:r>
            <w:r w:rsidRPr="0035027D">
              <w:rPr>
                <w:rFonts w:cs="Garamond"/>
                <w:b/>
                <w:bCs/>
                <w:noProof/>
                <w:sz w:val="16"/>
                <w:szCs w:val="16"/>
              </w:rPr>
              <mc:AlternateContent>
                <mc:Choice Requires="wps">
                  <w:drawing>
                    <wp:anchor distT="0" distB="0" distL="114300" distR="114300" simplePos="0" relativeHeight="251682816" behindDoc="0" locked="0" layoutInCell="1" allowOverlap="1" wp14:anchorId="21AF4F80" wp14:editId="5D89B80A">
                      <wp:simplePos x="0" y="0"/>
                      <wp:positionH relativeFrom="column">
                        <wp:posOffset>3202305</wp:posOffset>
                      </wp:positionH>
                      <wp:positionV relativeFrom="paragraph">
                        <wp:posOffset>1024890</wp:posOffset>
                      </wp:positionV>
                      <wp:extent cx="762000" cy="552450"/>
                      <wp:effectExtent l="0" t="0" r="0" b="0"/>
                      <wp:wrapNone/>
                      <wp:docPr id="29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52450"/>
                              </a:xfrm>
                              <a:prstGeom prst="rect">
                                <a:avLst/>
                              </a:prstGeom>
                              <a:noFill/>
                              <a:ln w="9525">
                                <a:noFill/>
                                <a:miter lim="800000"/>
                                <a:headEnd/>
                                <a:tailEnd/>
                              </a:ln>
                            </wps:spPr>
                            <wps:txbx>
                              <w:txbxContent>
                                <w:p w:rsidR="00B225AF" w:rsidRPr="001A450F" w:rsidRDefault="00B225AF" w:rsidP="00A95647">
                                  <w:pPr>
                                    <w:jc w:val="center"/>
                                    <w:rPr>
                                      <w:b/>
                                      <w:sz w:val="18"/>
                                      <w:szCs w:val="20"/>
                                    </w:rPr>
                                  </w:pPr>
                                  <w:r w:rsidRPr="001A450F">
                                    <w:rPr>
                                      <w:b/>
                                      <w:sz w:val="18"/>
                                      <w:szCs w:val="20"/>
                                    </w:rPr>
                                    <w:t>Moderná verejná správa</w:t>
                                  </w:r>
                                </w:p>
                              </w:txbxContent>
                            </wps:txbx>
                            <wps:bodyPr rot="0" vert="horz" wrap="square" lIns="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52.15pt;margin-top:80.7pt;width:60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" filled="f" stroked="f">
                      <v:textbox inset="0,0,1mm,0">
                        <w:txbxContent>
                          <w:p w:rsidR="00B225AF" w:rsidRPr="001A450F" w:rsidRDefault="00B225AF" w:rsidP="00A95647">
                            <w:pPr>
                              <w:jc w:val="center"/>
                              <w:rPr>
                                <w:b/>
                                <w:sz w:val="18"/>
                                <w:szCs w:val="20"/>
                              </w:rPr>
                            </w:pPr>
                            <w:r w:rsidRPr="001A450F">
                              <w:rPr>
                                <w:b/>
                                <w:sz w:val="18"/>
                                <w:szCs w:val="20"/>
                              </w:rPr>
                              <w:t>Moderná verejná správa</w:t>
                            </w:r>
                          </w:p>
                        </w:txbxContent>
                      </v:textbox>
                    </v:shape>
                  </w:pict>
                </mc:Fallback>
              </mc:AlternateContent>
            </w:r>
            <w:r w:rsidRPr="0035027D">
              <w:rPr>
                <w:rFonts w:cs="Garamond"/>
                <w:b/>
                <w:bCs/>
                <w:noProof/>
                <w:sz w:val="16"/>
                <w:szCs w:val="16"/>
              </w:rPr>
              <mc:AlternateContent>
                <mc:Choice Requires="wps">
                  <w:drawing>
                    <wp:anchor distT="0" distB="0" distL="114300" distR="114300" simplePos="0" relativeHeight="251687936" behindDoc="0" locked="0" layoutInCell="1" allowOverlap="1" wp14:anchorId="07664FF9" wp14:editId="7B16ABFD">
                      <wp:simplePos x="0" y="0"/>
                      <wp:positionH relativeFrom="column">
                        <wp:posOffset>3916680</wp:posOffset>
                      </wp:positionH>
                      <wp:positionV relativeFrom="paragraph">
                        <wp:posOffset>1015365</wp:posOffset>
                      </wp:positionV>
                      <wp:extent cx="762000" cy="552450"/>
                      <wp:effectExtent l="0" t="0" r="0" b="0"/>
                      <wp:wrapNone/>
                      <wp:docPr id="19"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52450"/>
                              </a:xfrm>
                              <a:prstGeom prst="rect">
                                <a:avLst/>
                              </a:prstGeom>
                              <a:noFill/>
                              <a:ln w="9525">
                                <a:noFill/>
                                <a:miter lim="800000"/>
                                <a:headEnd/>
                                <a:tailEnd/>
                              </a:ln>
                            </wps:spPr>
                            <wps:txbx>
                              <w:txbxContent>
                                <w:p w:rsidR="00B225AF" w:rsidRDefault="00B225AF" w:rsidP="001A450F">
                                  <w:pPr>
                                    <w:spacing w:after="0"/>
                                    <w:jc w:val="center"/>
                                    <w:rPr>
                                      <w:b/>
                                      <w:sz w:val="18"/>
                                      <w:szCs w:val="20"/>
                                    </w:rPr>
                                  </w:pPr>
                                  <w:r>
                                    <w:rPr>
                                      <w:b/>
                                      <w:sz w:val="18"/>
                                      <w:szCs w:val="20"/>
                                    </w:rPr>
                                    <w:t>Transparent. prostredie a</w:t>
                                  </w:r>
                                </w:p>
                                <w:p w:rsidR="00B225AF" w:rsidRPr="001A450F" w:rsidRDefault="00B225AF" w:rsidP="001A450F">
                                  <w:pPr>
                                    <w:spacing w:after="0"/>
                                    <w:jc w:val="center"/>
                                    <w:rPr>
                                      <w:b/>
                                      <w:sz w:val="18"/>
                                      <w:szCs w:val="20"/>
                                    </w:rPr>
                                  </w:pPr>
                                  <w:r>
                                    <w:rPr>
                                      <w:b/>
                                      <w:sz w:val="18"/>
                                      <w:szCs w:val="20"/>
                                    </w:rPr>
                                    <w:t>vymožiteľnosť práva</w:t>
                                  </w:r>
                                </w:p>
                              </w:txbxContent>
                            </wps:txbx>
                            <wps:bodyPr rot="0" vert="horz" wrap="square" lIns="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08.4pt;margin-top:79.95pt;width:60pt;height: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" filled="f" stroked="f">
                      <v:textbox inset="0,0,1mm,0">
                        <w:txbxContent>
                          <w:p w:rsidR="00B225AF" w:rsidRDefault="00B225AF" w:rsidP="001A450F">
                            <w:pPr>
                              <w:spacing w:after="0"/>
                              <w:jc w:val="center"/>
                              <w:rPr>
                                <w:b/>
                                <w:sz w:val="18"/>
                                <w:szCs w:val="20"/>
                              </w:rPr>
                            </w:pPr>
                            <w:r>
                              <w:rPr>
                                <w:b/>
                                <w:sz w:val="18"/>
                                <w:szCs w:val="20"/>
                              </w:rPr>
                              <w:t>Transparent. prostredie a</w:t>
                            </w:r>
                          </w:p>
                          <w:p w:rsidR="00B225AF" w:rsidRPr="001A450F" w:rsidRDefault="00B225AF" w:rsidP="001A450F">
                            <w:pPr>
                              <w:spacing w:after="0"/>
                              <w:jc w:val="center"/>
                              <w:rPr>
                                <w:b/>
                                <w:sz w:val="18"/>
                                <w:szCs w:val="20"/>
                              </w:rPr>
                            </w:pPr>
                            <w:r>
                              <w:rPr>
                                <w:b/>
                                <w:sz w:val="18"/>
                                <w:szCs w:val="20"/>
                              </w:rPr>
                              <w:t>vymožiteľnosť práva</w:t>
                            </w:r>
                          </w:p>
                        </w:txbxContent>
                      </v:textbox>
                    </v:shape>
                  </w:pict>
                </mc:Fallback>
              </mc:AlternateContent>
            </w:r>
            <w:r w:rsidR="00A95647" w:rsidRPr="0035027D">
              <w:rPr>
                <w:rFonts w:cs="Garamond"/>
                <w:b/>
                <w:bCs/>
                <w:noProof/>
                <w:sz w:val="16"/>
                <w:szCs w:val="16"/>
              </w:rPr>
              <w:drawing>
                <wp:inline distT="0" distB="0" distL="0" distR="0" wp14:anchorId="2FD11361" wp14:editId="02E13D7E">
                  <wp:extent cx="5619750" cy="2562224"/>
                  <wp:effectExtent l="0" t="0" r="0" b="0"/>
                  <wp:docPr id="62" name="Obrázo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valita zivota.jpg"/>
                          <pic:cNvPicPr/>
                        </pic:nvPicPr>
                        <pic:blipFill>
                          <a:blip r:embed="rId17">
                            <a:extLst>
                              <a:ext uri="{28A0092B-C50C-407E-A947-70E740481C1C}">
                                <a14:useLocalDpi xmlns:a14="http://schemas.microsoft.com/office/drawing/2010/main" val="0"/>
                              </a:ext>
                            </a:extLst>
                          </a:blip>
                          <a:stretch>
                            <a:fillRect/>
                          </a:stretch>
                        </pic:blipFill>
                        <pic:spPr>
                          <a:xfrm>
                            <a:off x="0" y="0"/>
                            <a:ext cx="5619750" cy="2562224"/>
                          </a:xfrm>
                          <a:prstGeom prst="rect">
                            <a:avLst/>
                          </a:prstGeom>
                        </pic:spPr>
                      </pic:pic>
                    </a:graphicData>
                  </a:graphic>
                </wp:inline>
              </w:drawing>
            </w:r>
          </w:p>
        </w:tc>
      </w:tr>
    </w:tbl>
    <w:p w:rsidR="00A95647" w:rsidRPr="0035027D" w:rsidRDefault="00A95647" w:rsidP="00A95647">
      <w:pPr>
        <w:spacing w:after="0"/>
      </w:pPr>
    </w:p>
    <w:p w:rsidR="0057630E" w:rsidRPr="0035027D" w:rsidRDefault="00793FC4" w:rsidP="00ED7F6D">
      <w:pPr>
        <w:spacing w:after="0"/>
      </w:pPr>
      <w:r w:rsidRPr="0035027D">
        <w:t>Z</w:t>
      </w:r>
      <w:r w:rsidR="00092541" w:rsidRPr="0035027D">
        <w:t>ásobu a produktivitu kapitálu</w:t>
      </w:r>
      <w:r w:rsidR="00A95647" w:rsidRPr="0035027D">
        <w:t xml:space="preserve"> doteraz najviac zvyšovali priame zahrani</w:t>
      </w:r>
      <w:r w:rsidR="00A95647" w:rsidRPr="0035027D">
        <w:rPr>
          <w:rFonts w:cs="Times New Roman"/>
        </w:rPr>
        <w:t>č</w:t>
      </w:r>
      <w:r w:rsidR="00A95647" w:rsidRPr="0035027D">
        <w:t xml:space="preserve">né investície a s tým spojený import technológií. Ich priama podpora ale deformuje </w:t>
      </w:r>
      <w:r w:rsidR="00F61680" w:rsidRPr="0035027D">
        <w:t xml:space="preserve">ekonomiku </w:t>
      </w:r>
      <w:r w:rsidR="00A95647" w:rsidRPr="0035027D">
        <w:t>a vytvára zá</w:t>
      </w:r>
      <w:r w:rsidR="00A95647" w:rsidRPr="0035027D">
        <w:rPr>
          <w:rFonts w:cs="Times New Roman"/>
        </w:rPr>
        <w:t>ť</w:t>
      </w:r>
      <w:r w:rsidR="00A95647" w:rsidRPr="0035027D">
        <w:t>a</w:t>
      </w:r>
      <w:r w:rsidR="00A95647" w:rsidRPr="0035027D">
        <w:rPr>
          <w:rFonts w:cs="Times New Roman"/>
        </w:rPr>
        <w:t>ž</w:t>
      </w:r>
      <w:r w:rsidR="00A95647" w:rsidRPr="0035027D">
        <w:t xml:space="preserve"> na štátny rozpo</w:t>
      </w:r>
      <w:r w:rsidR="00A95647" w:rsidRPr="0035027D">
        <w:rPr>
          <w:rFonts w:cs="Times New Roman"/>
        </w:rPr>
        <w:t>č</w:t>
      </w:r>
      <w:r w:rsidR="00A95647" w:rsidRPr="0035027D">
        <w:t>et. Nárast výdavkov štátu spojený s podporou súkromných investícií okrem toho zvyšuje dlh štátu. Ten má ve</w:t>
      </w:r>
      <w:r w:rsidR="00A95647" w:rsidRPr="0035027D">
        <w:rPr>
          <w:rFonts w:cs="Times New Roman"/>
        </w:rPr>
        <w:t>ľ</w:t>
      </w:r>
      <w:r w:rsidR="00A95647" w:rsidRPr="0035027D">
        <w:t>mi prísny strop, ktorý okrem trhov ur</w:t>
      </w:r>
      <w:r w:rsidR="00A95647" w:rsidRPr="0035027D">
        <w:rPr>
          <w:rFonts w:cs="Times New Roman"/>
        </w:rPr>
        <w:t>č</w:t>
      </w:r>
      <w:r w:rsidR="00A95647" w:rsidRPr="0035027D">
        <w:t>uje EÚ a zákon o rozpo</w:t>
      </w:r>
      <w:r w:rsidR="00A95647" w:rsidRPr="0035027D">
        <w:rPr>
          <w:rFonts w:cs="Times New Roman"/>
        </w:rPr>
        <w:t>č</w:t>
      </w:r>
      <w:r w:rsidR="00A95647" w:rsidRPr="0035027D">
        <w:t xml:space="preserve">tovej zodpovednosti. Nárast dlhu sa v </w:t>
      </w:r>
      <w:proofErr w:type="spellStart"/>
      <w:r w:rsidR="00A95647" w:rsidRPr="0035027D">
        <w:t>stredno</w:t>
      </w:r>
      <w:proofErr w:type="spellEnd"/>
      <w:r w:rsidR="00A95647" w:rsidRPr="0035027D">
        <w:t>- a</w:t>
      </w:r>
      <w:r w:rsidR="00A95647" w:rsidRPr="0035027D">
        <w:rPr>
          <w:rFonts w:cs="Times New Roman"/>
        </w:rPr>
        <w:t>ž</w:t>
      </w:r>
      <w:r w:rsidR="00A95647" w:rsidRPr="0035027D">
        <w:t xml:space="preserve"> dlhodobom horizonte prejaví bu</w:t>
      </w:r>
      <w:r w:rsidR="00A95647" w:rsidRPr="0035027D">
        <w:rPr>
          <w:rFonts w:cs="Times New Roman"/>
        </w:rPr>
        <w:t>ď</w:t>
      </w:r>
      <w:r w:rsidR="00A95647" w:rsidRPr="0035027D">
        <w:t xml:space="preserve"> na ni</w:t>
      </w:r>
      <w:r w:rsidR="00A95647" w:rsidRPr="0035027D">
        <w:rPr>
          <w:rFonts w:cs="Times New Roman"/>
        </w:rPr>
        <w:t>ž</w:t>
      </w:r>
      <w:r w:rsidR="00A95647" w:rsidRPr="0035027D">
        <w:t>ších výdavkoch štát</w:t>
      </w:r>
      <w:r w:rsidR="00167D24" w:rsidRPr="0035027D">
        <w:t>u alebo vyššom da</w:t>
      </w:r>
      <w:r w:rsidR="00167D24" w:rsidRPr="0035027D">
        <w:rPr>
          <w:rFonts w:cs="Times New Roman"/>
        </w:rPr>
        <w:t>ň</w:t>
      </w:r>
      <w:r w:rsidR="00167D24" w:rsidRPr="0035027D">
        <w:t>ovom za</w:t>
      </w:r>
      <w:r w:rsidR="00167D24" w:rsidRPr="0035027D">
        <w:rPr>
          <w:rFonts w:cs="Times New Roman"/>
        </w:rPr>
        <w:t>ť</w:t>
      </w:r>
      <w:r w:rsidR="00167D24" w:rsidRPr="0035027D">
        <w:t>a</w:t>
      </w:r>
      <w:r w:rsidR="00167D24" w:rsidRPr="0035027D">
        <w:rPr>
          <w:rFonts w:cs="Times New Roman"/>
        </w:rPr>
        <w:t>ž</w:t>
      </w:r>
      <w:r w:rsidR="00167D24" w:rsidRPr="0035027D">
        <w:t>ení</w:t>
      </w:r>
      <w:r w:rsidR="001550F7" w:rsidRPr="0035027D">
        <w:t>.</w:t>
      </w:r>
      <w:r w:rsidR="00A95647" w:rsidRPr="0035027D">
        <w:t xml:space="preserve"> </w:t>
      </w:r>
    </w:p>
    <w:p w:rsidR="00ED7F6D" w:rsidRPr="0035027D" w:rsidRDefault="00ED7F6D" w:rsidP="00ED7F6D">
      <w:pPr>
        <w:spacing w:after="0"/>
      </w:pPr>
    </w:p>
    <w:p w:rsidR="00F60FA3" w:rsidRPr="0035027D" w:rsidRDefault="00F60FA3" w:rsidP="00ED7F6D">
      <w:pPr>
        <w:spacing w:after="0"/>
      </w:pPr>
      <w:r w:rsidRPr="0035027D">
        <w:t>Dlhodobý a udr</w:t>
      </w:r>
      <w:r w:rsidRPr="0035027D">
        <w:rPr>
          <w:rFonts w:cs="Times New Roman"/>
        </w:rPr>
        <w:t>ž</w:t>
      </w:r>
      <w:r w:rsidRPr="0035027D">
        <w:t>ate</w:t>
      </w:r>
      <w:r w:rsidRPr="0035027D">
        <w:rPr>
          <w:rFonts w:cs="Times New Roman"/>
        </w:rPr>
        <w:t>ľ</w:t>
      </w:r>
      <w:r w:rsidRPr="0035027D">
        <w:t>ný ekonomický rast je mo</w:t>
      </w:r>
      <w:r w:rsidRPr="0035027D">
        <w:rPr>
          <w:rFonts w:cs="Times New Roman"/>
        </w:rPr>
        <w:t>ž</w:t>
      </w:r>
      <w:r w:rsidRPr="0035027D">
        <w:t>né dosiahnu</w:t>
      </w:r>
      <w:r w:rsidRPr="0035027D">
        <w:rPr>
          <w:rFonts w:cs="Times New Roman"/>
        </w:rPr>
        <w:t>ť</w:t>
      </w:r>
      <w:r w:rsidRPr="0035027D">
        <w:t xml:space="preserve"> systematickými štrukturálnymi zmenami v ekonomike, ktoré sa prejavia najmä v </w:t>
      </w:r>
      <w:proofErr w:type="spellStart"/>
      <w:r w:rsidRPr="0035027D">
        <w:t>stredno</w:t>
      </w:r>
      <w:proofErr w:type="spellEnd"/>
      <w:r w:rsidRPr="0035027D">
        <w:t>- a dlhodobom horizonte. Pri snahe zvýši</w:t>
      </w:r>
      <w:r w:rsidRPr="0035027D">
        <w:rPr>
          <w:rFonts w:cs="Times New Roman"/>
        </w:rPr>
        <w:t>ť</w:t>
      </w:r>
      <w:r w:rsidRPr="0035027D">
        <w:t xml:space="preserve"> úrove</w:t>
      </w:r>
      <w:r w:rsidRPr="0035027D">
        <w:rPr>
          <w:rFonts w:cs="Times New Roman"/>
        </w:rPr>
        <w:t>ň</w:t>
      </w:r>
      <w:r w:rsidRPr="0035027D">
        <w:t xml:space="preserve"> HDP sa preto vláda zameriava najmä na produk</w:t>
      </w:r>
      <w:r w:rsidRPr="0035027D">
        <w:rPr>
          <w:rFonts w:cs="Times New Roman"/>
        </w:rPr>
        <w:t>č</w:t>
      </w:r>
      <w:r w:rsidRPr="0035027D">
        <w:t xml:space="preserve">nú stránku ekonomiky. </w:t>
      </w:r>
      <w:r w:rsidR="00F61680" w:rsidRPr="0035027D">
        <w:t>B</w:t>
      </w:r>
      <w:r w:rsidRPr="0035027D">
        <w:t xml:space="preserve">ude </w:t>
      </w:r>
      <w:r w:rsidR="00F61680" w:rsidRPr="0035027D">
        <w:t>tie</w:t>
      </w:r>
      <w:r w:rsidR="00F61680" w:rsidRPr="0035027D">
        <w:rPr>
          <w:rFonts w:cs="Times New Roman"/>
        </w:rPr>
        <w:t>ž</w:t>
      </w:r>
      <w:r w:rsidR="00F61680" w:rsidRPr="0035027D">
        <w:t xml:space="preserve"> </w:t>
      </w:r>
      <w:r w:rsidRPr="0035027D">
        <w:t>h</w:t>
      </w:r>
      <w:r w:rsidRPr="0035027D">
        <w:rPr>
          <w:rFonts w:cs="Times New Roman"/>
        </w:rPr>
        <w:t>ľ</w:t>
      </w:r>
      <w:r w:rsidRPr="0035027D">
        <w:t>ada</w:t>
      </w:r>
      <w:r w:rsidRPr="0035027D">
        <w:rPr>
          <w:rFonts w:cs="Times New Roman"/>
        </w:rPr>
        <w:t>ť</w:t>
      </w:r>
      <w:r w:rsidRPr="0035027D">
        <w:t xml:space="preserve"> aj spôsoby, ako zvýši</w:t>
      </w:r>
      <w:r w:rsidRPr="0035027D">
        <w:rPr>
          <w:rFonts w:cs="Times New Roman"/>
        </w:rPr>
        <w:t>ť</w:t>
      </w:r>
      <w:r w:rsidRPr="0035027D">
        <w:t xml:space="preserve"> rast v krátkodobom horizonte stimuláciou domáceho dopytu</w:t>
      </w:r>
      <w:r w:rsidR="003A2A4B" w:rsidRPr="0035027D">
        <w:t>.</w:t>
      </w:r>
      <w:r w:rsidRPr="0035027D">
        <w:t xml:space="preserve"> </w:t>
      </w:r>
      <w:r w:rsidR="003A2A4B" w:rsidRPr="0035027D">
        <w:t>Mo</w:t>
      </w:r>
      <w:r w:rsidR="003A2A4B" w:rsidRPr="0035027D">
        <w:rPr>
          <w:rFonts w:cs="Times New Roman"/>
        </w:rPr>
        <w:t>ž</w:t>
      </w:r>
      <w:r w:rsidR="003A2A4B" w:rsidRPr="0035027D">
        <w:t>nos</w:t>
      </w:r>
      <w:r w:rsidR="003A2A4B" w:rsidRPr="0035027D">
        <w:rPr>
          <w:rFonts w:cs="Times New Roman"/>
        </w:rPr>
        <w:t>ť</w:t>
      </w:r>
      <w:r w:rsidR="003A2A4B" w:rsidRPr="0035027D">
        <w:t xml:space="preserve"> podpory hospodárskeho rastu </w:t>
      </w:r>
      <w:r w:rsidR="00ED7F6D" w:rsidRPr="0035027D">
        <w:t>SR</w:t>
      </w:r>
      <w:r w:rsidR="003A2A4B" w:rsidRPr="0035027D">
        <w:t xml:space="preserve"> prostredníctvom zvýšenia dynamiky domáceho dopytu je však limitovaná prebiehajúc</w:t>
      </w:r>
      <w:r w:rsidR="00F61680" w:rsidRPr="0035027D">
        <w:t>ou</w:t>
      </w:r>
      <w:r w:rsidR="003A2A4B" w:rsidRPr="0035027D">
        <w:t xml:space="preserve"> konsolidáci</w:t>
      </w:r>
      <w:r w:rsidR="00F61680" w:rsidRPr="0035027D">
        <w:t>o</w:t>
      </w:r>
      <w:r w:rsidR="00B225AF">
        <w:t>u</w:t>
      </w:r>
      <w:r w:rsidR="003A2A4B" w:rsidRPr="0035027D">
        <w:t xml:space="preserve"> verejných financií. Obmedzujúcim</w:t>
      </w:r>
      <w:r w:rsidRPr="0035027D">
        <w:t xml:space="preserve"> faktorom takýchto opatrení je</w:t>
      </w:r>
      <w:r w:rsidR="003A2A4B" w:rsidRPr="0035027D">
        <w:t xml:space="preserve"> aj</w:t>
      </w:r>
      <w:r w:rsidRPr="0035027D">
        <w:t xml:space="preserve"> fakt, </w:t>
      </w:r>
      <w:r w:rsidRPr="0035027D">
        <w:rPr>
          <w:rFonts w:cs="Times New Roman"/>
        </w:rPr>
        <w:t>ž</w:t>
      </w:r>
      <w:r w:rsidRPr="0035027D">
        <w:t>e Slovensko je malá otvorená ekonomika, rast HDP preto krátkodobo najviac závisí od zahrani</w:t>
      </w:r>
      <w:r w:rsidRPr="0035027D">
        <w:rPr>
          <w:rFonts w:cs="Times New Roman"/>
        </w:rPr>
        <w:t>č</w:t>
      </w:r>
      <w:r w:rsidRPr="0035027D">
        <w:t xml:space="preserve">ného dopytu. </w:t>
      </w:r>
      <w:r w:rsidR="003A2A4B" w:rsidRPr="0035027D">
        <w:t>Ten je v sú</w:t>
      </w:r>
      <w:r w:rsidR="003A2A4B" w:rsidRPr="0035027D">
        <w:rPr>
          <w:rFonts w:cs="Times New Roman"/>
        </w:rPr>
        <w:t>č</w:t>
      </w:r>
      <w:r w:rsidR="003A2A4B" w:rsidRPr="0035027D">
        <w:t>asnosti tla</w:t>
      </w:r>
      <w:r w:rsidR="003A2A4B" w:rsidRPr="0035027D">
        <w:rPr>
          <w:rFonts w:cs="Times New Roman"/>
        </w:rPr>
        <w:t>č</w:t>
      </w:r>
      <w:r w:rsidR="003A2A4B" w:rsidRPr="0035027D">
        <w:t>ený nadol pomalým alebo negatívnym rastom ekonomiky vo ve</w:t>
      </w:r>
      <w:r w:rsidR="003A2A4B" w:rsidRPr="0035027D">
        <w:rPr>
          <w:rFonts w:cs="Times New Roman"/>
        </w:rPr>
        <w:t>ľ</w:t>
      </w:r>
      <w:r w:rsidR="003A2A4B" w:rsidRPr="0035027D">
        <w:t xml:space="preserve">kej </w:t>
      </w:r>
      <w:r w:rsidR="003A2A4B" w:rsidRPr="0035027D">
        <w:rPr>
          <w:rFonts w:cs="Times New Roman"/>
        </w:rPr>
        <w:t>č</w:t>
      </w:r>
      <w:r w:rsidR="003A2A4B" w:rsidRPr="0035027D">
        <w:t>as</w:t>
      </w:r>
      <w:r w:rsidR="00ED7F6D" w:rsidRPr="0035027D">
        <w:t>t</w:t>
      </w:r>
      <w:r w:rsidR="003A2A4B" w:rsidRPr="0035027D">
        <w:t xml:space="preserve">i našich </w:t>
      </w:r>
      <w:proofErr w:type="spellStart"/>
      <w:r w:rsidR="003A2A4B" w:rsidRPr="0035027D">
        <w:t>obchchodných</w:t>
      </w:r>
      <w:proofErr w:type="spellEnd"/>
      <w:r w:rsidR="003A2A4B" w:rsidRPr="0035027D">
        <w:t xml:space="preserve"> partnerov.</w:t>
      </w:r>
    </w:p>
    <w:p w:rsidR="00ED7F6D" w:rsidRPr="0035027D" w:rsidRDefault="00ED7F6D" w:rsidP="00ED7F6D">
      <w:pPr>
        <w:spacing w:after="0"/>
      </w:pPr>
    </w:p>
    <w:p w:rsidR="003C35CD" w:rsidRPr="0035027D" w:rsidRDefault="00C91767" w:rsidP="003C35CD">
      <w:pPr>
        <w:spacing w:after="0"/>
      </w:pPr>
      <w:r w:rsidRPr="0035027D">
        <w:t>K</w:t>
      </w:r>
      <w:r w:rsidRPr="0035027D">
        <w:rPr>
          <w:rFonts w:cs="Times New Roman"/>
        </w:rPr>
        <w:t>ľ</w:t>
      </w:r>
      <w:r w:rsidRPr="0035027D">
        <w:t>ú</w:t>
      </w:r>
      <w:r w:rsidRPr="0035027D">
        <w:rPr>
          <w:rFonts w:cs="Times New Roman"/>
        </w:rPr>
        <w:t>č</w:t>
      </w:r>
      <w:r w:rsidRPr="0035027D">
        <w:t>ovou prioritou pre budúcnos</w:t>
      </w:r>
      <w:r w:rsidRPr="0035027D">
        <w:rPr>
          <w:rFonts w:cs="Times New Roman"/>
        </w:rPr>
        <w:t>ť</w:t>
      </w:r>
      <w:r w:rsidRPr="0035027D">
        <w:t xml:space="preserve"> ekonomiky je </w:t>
      </w:r>
      <w:r w:rsidRPr="0035027D">
        <w:rPr>
          <w:b/>
        </w:rPr>
        <w:t>udržateľnosť a kvalita verejných financií</w:t>
      </w:r>
      <w:r w:rsidRPr="0035027D">
        <w:t xml:space="preserve">. </w:t>
      </w:r>
      <w:r w:rsidR="00BF4AA4" w:rsidRPr="0035027D">
        <w:t xml:space="preserve"> </w:t>
      </w:r>
      <w:r w:rsidR="003C35CD" w:rsidRPr="0035027D">
        <w:t>Dlhodobá fiškálna stabilita je dôle</w:t>
      </w:r>
      <w:r w:rsidR="003C35CD" w:rsidRPr="0035027D">
        <w:rPr>
          <w:rFonts w:cs="Times New Roman"/>
        </w:rPr>
        <w:t>ž</w:t>
      </w:r>
      <w:r w:rsidR="003C35CD" w:rsidRPr="0035027D">
        <w:t>itým predpokladom pre makroekonomickú stabilitu a zabezpe</w:t>
      </w:r>
      <w:r w:rsidR="003C35CD" w:rsidRPr="0035027D">
        <w:rPr>
          <w:rFonts w:cs="Times New Roman"/>
        </w:rPr>
        <w:t>č</w:t>
      </w:r>
      <w:r w:rsidR="003C35CD" w:rsidRPr="0035027D">
        <w:t>enie dôvery finan</w:t>
      </w:r>
      <w:r w:rsidR="003C35CD" w:rsidRPr="0035027D">
        <w:rPr>
          <w:rFonts w:cs="Times New Roman"/>
        </w:rPr>
        <w:t>č</w:t>
      </w:r>
      <w:r w:rsidR="003C35CD" w:rsidRPr="0035027D">
        <w:t>ných trhov. Aby bolo mo</w:t>
      </w:r>
      <w:r w:rsidR="003C35CD" w:rsidRPr="0035027D">
        <w:rPr>
          <w:rFonts w:cs="Times New Roman"/>
        </w:rPr>
        <w:t>ž</w:t>
      </w:r>
      <w:r w:rsidR="003C35CD" w:rsidRPr="0035027D">
        <w:t>né zabezpe</w:t>
      </w:r>
      <w:r w:rsidR="003C35CD" w:rsidRPr="0035027D">
        <w:rPr>
          <w:rFonts w:cs="Times New Roman"/>
        </w:rPr>
        <w:t>č</w:t>
      </w:r>
      <w:r w:rsidR="003C35CD" w:rsidRPr="0035027D">
        <w:t>i</w:t>
      </w:r>
      <w:r w:rsidR="003C35CD" w:rsidRPr="0035027D">
        <w:rPr>
          <w:rFonts w:cs="Times New Roman"/>
        </w:rPr>
        <w:t>ť</w:t>
      </w:r>
      <w:r w:rsidR="003C35CD" w:rsidRPr="0035027D">
        <w:t xml:space="preserve"> slu</w:t>
      </w:r>
      <w:r w:rsidR="003C35CD" w:rsidRPr="0035027D">
        <w:rPr>
          <w:rFonts w:cs="Times New Roman"/>
        </w:rPr>
        <w:t>ž</w:t>
      </w:r>
      <w:r w:rsidR="003C35CD" w:rsidRPr="0035027D">
        <w:t>by štátu na dostato</w:t>
      </w:r>
      <w:r w:rsidR="003C35CD" w:rsidRPr="0035027D">
        <w:rPr>
          <w:rFonts w:cs="Times New Roman"/>
        </w:rPr>
        <w:t>č</w:t>
      </w:r>
      <w:r w:rsidR="003C35CD" w:rsidRPr="0035027D">
        <w:t>nej úrovni bez nutnosti zvyšova</w:t>
      </w:r>
      <w:r w:rsidR="003C35CD" w:rsidRPr="0035027D">
        <w:rPr>
          <w:rFonts w:cs="Times New Roman"/>
        </w:rPr>
        <w:t>ť</w:t>
      </w:r>
      <w:r w:rsidR="003C35CD" w:rsidRPr="0035027D">
        <w:t xml:space="preserve"> da</w:t>
      </w:r>
      <w:r w:rsidR="003C35CD" w:rsidRPr="0035027D">
        <w:rPr>
          <w:rFonts w:cs="Times New Roman"/>
        </w:rPr>
        <w:t>ň</w:t>
      </w:r>
      <w:r w:rsidR="003C35CD" w:rsidRPr="0035027D">
        <w:t>ovo-odvodové za</w:t>
      </w:r>
      <w:r w:rsidR="003C35CD" w:rsidRPr="0035027D">
        <w:rPr>
          <w:rFonts w:cs="Times New Roman"/>
        </w:rPr>
        <w:t>ť</w:t>
      </w:r>
      <w:r w:rsidR="003C35CD" w:rsidRPr="0035027D">
        <w:t>a</w:t>
      </w:r>
      <w:r w:rsidR="003C35CD" w:rsidRPr="0035027D">
        <w:rPr>
          <w:rFonts w:cs="Times New Roman"/>
        </w:rPr>
        <w:t>ž</w:t>
      </w:r>
      <w:r w:rsidR="003C35CD" w:rsidRPr="0035027D">
        <w:t>enie a popri prebiehajúcej fiškálnej konsolidácii, je nevyhnutné zvyšova</w:t>
      </w:r>
      <w:r w:rsidR="003C35CD" w:rsidRPr="0035027D">
        <w:rPr>
          <w:rFonts w:cs="Times New Roman"/>
        </w:rPr>
        <w:t>ť</w:t>
      </w:r>
      <w:r w:rsidR="003C35CD" w:rsidRPr="0035027D">
        <w:t xml:space="preserve"> kvalitu verejných financií najmä prostredníctvom nárastu efektívnosti alokácie verejných výdavkov a zlepšenia výberu daní a odvodov. </w:t>
      </w:r>
      <w:r w:rsidR="00290DAF" w:rsidRPr="00290DAF">
        <w:t>Dôraz bude potrebné klásť aj na lepšie využitie a efektívne zveľaďovanie štátnych aktív. Tieto predstavujú významný rozvojový potenciál tak pre konsolidáciu a udržateľnosť verejných financií, ako aj pre podporu hospodárskeho rastu.</w:t>
      </w:r>
      <w:r w:rsidR="00290DAF">
        <w:rPr>
          <w:rFonts w:cs="Times New Roman"/>
        </w:rPr>
        <w:t xml:space="preserve"> </w:t>
      </w:r>
      <w:r w:rsidR="003C35CD" w:rsidRPr="0035027D">
        <w:t>Vzh</w:t>
      </w:r>
      <w:r w:rsidR="003C35CD" w:rsidRPr="0035027D">
        <w:rPr>
          <w:rFonts w:cs="Times New Roman"/>
        </w:rPr>
        <w:t>ľ</w:t>
      </w:r>
      <w:r w:rsidR="003C35CD" w:rsidRPr="0035027D">
        <w:t>adom na budúci demografický vývoj je potrebné venova</w:t>
      </w:r>
      <w:r w:rsidR="003C35CD" w:rsidRPr="0035027D">
        <w:rPr>
          <w:rFonts w:cs="Times New Roman"/>
        </w:rPr>
        <w:t>ť</w:t>
      </w:r>
      <w:r w:rsidR="003C35CD" w:rsidRPr="0035027D">
        <w:t xml:space="preserve"> pozornos</w:t>
      </w:r>
      <w:r w:rsidR="003C35CD" w:rsidRPr="0035027D">
        <w:rPr>
          <w:rFonts w:cs="Times New Roman"/>
        </w:rPr>
        <w:t>ť</w:t>
      </w:r>
      <w:r w:rsidR="003C35CD" w:rsidRPr="0035027D">
        <w:t xml:space="preserve"> aj oblastiam citlivým na starnutie obyvate</w:t>
      </w:r>
      <w:r w:rsidR="003C35CD" w:rsidRPr="0035027D">
        <w:rPr>
          <w:rFonts w:cs="Times New Roman"/>
        </w:rPr>
        <w:t>ľ</w:t>
      </w:r>
      <w:r w:rsidR="003C35CD" w:rsidRPr="0035027D">
        <w:t xml:space="preserve">stva, najmä dôchodkovému systému a zdravotníctvu. </w:t>
      </w:r>
    </w:p>
    <w:p w:rsidR="00C91767" w:rsidRPr="0035027D" w:rsidRDefault="00C91767" w:rsidP="00C91767">
      <w:pPr>
        <w:spacing w:after="0"/>
      </w:pPr>
    </w:p>
    <w:p w:rsidR="00A95647" w:rsidRPr="0035027D" w:rsidRDefault="00A95647" w:rsidP="00ED7F6D">
      <w:pPr>
        <w:spacing w:after="0"/>
      </w:pPr>
      <w:r w:rsidRPr="0035027D">
        <w:lastRenderedPageBreak/>
        <w:t>Zo strednodobého a dlhodobého h</w:t>
      </w:r>
      <w:r w:rsidRPr="0035027D">
        <w:rPr>
          <w:rFonts w:cs="Times New Roman"/>
        </w:rPr>
        <w:t>ľ</w:t>
      </w:r>
      <w:r w:rsidRPr="0035027D">
        <w:t xml:space="preserve">adiska sú pre rast produktivity práce a zásoby kapitálu </w:t>
      </w:r>
      <w:r w:rsidR="00E01207" w:rsidRPr="0035027D">
        <w:t>naj</w:t>
      </w:r>
      <w:r w:rsidRPr="0035027D">
        <w:t>dôle</w:t>
      </w:r>
      <w:r w:rsidRPr="0035027D">
        <w:rPr>
          <w:rFonts w:cs="Times New Roman"/>
        </w:rPr>
        <w:t>ž</w:t>
      </w:r>
      <w:r w:rsidRPr="0035027D">
        <w:t xml:space="preserve">itejšie štrukturálne opatrenia, ktoré zlepšujú </w:t>
      </w:r>
      <w:r w:rsidRPr="0035027D">
        <w:rPr>
          <w:b/>
        </w:rPr>
        <w:t>podnikateľské prostredie</w:t>
      </w:r>
      <w:r w:rsidRPr="0035027D">
        <w:t xml:space="preserve"> a tým aj </w:t>
      </w:r>
      <w:r w:rsidR="00E01207" w:rsidRPr="0035027D">
        <w:t>produktivitu a výnosnos</w:t>
      </w:r>
      <w:r w:rsidR="00E01207" w:rsidRPr="0035027D">
        <w:rPr>
          <w:rFonts w:cs="Times New Roman"/>
        </w:rPr>
        <w:t>ť</w:t>
      </w:r>
      <w:r w:rsidR="00E01207" w:rsidRPr="0035027D">
        <w:t xml:space="preserve"> </w:t>
      </w:r>
      <w:r w:rsidRPr="0035027D">
        <w:t xml:space="preserve">všetkých </w:t>
      </w:r>
      <w:r w:rsidR="00E01207" w:rsidRPr="0035027D">
        <w:t>ekonomických aktivít</w:t>
      </w:r>
      <w:r w:rsidRPr="0035027D">
        <w:t xml:space="preserve">. </w:t>
      </w:r>
      <w:r w:rsidRPr="0035027D">
        <w:rPr>
          <w:rFonts w:cs="Times New Roman"/>
        </w:rPr>
        <w:t>Ď</w:t>
      </w:r>
      <w:r w:rsidRPr="0035027D">
        <w:t xml:space="preserve">alším príspevkom k rastu HDP je </w:t>
      </w:r>
      <w:r w:rsidRPr="0035027D">
        <w:rPr>
          <w:b/>
        </w:rPr>
        <w:t>dopravná a telekomunikačná infraštruktúra</w:t>
      </w:r>
      <w:r w:rsidRPr="0035027D">
        <w:t>, ktorá zvyšuje produktivitu investovaného kapitálu. Rovnakým spôsobom ovplyv</w:t>
      </w:r>
      <w:r w:rsidRPr="0035027D">
        <w:rPr>
          <w:rFonts w:cs="Times New Roman"/>
        </w:rPr>
        <w:t>ň</w:t>
      </w:r>
      <w:r w:rsidRPr="0035027D">
        <w:t xml:space="preserve">uje produktivitu aj </w:t>
      </w:r>
      <w:r w:rsidRPr="0035027D">
        <w:rPr>
          <w:b/>
        </w:rPr>
        <w:t>kvalita verejných inštitúcií</w:t>
      </w:r>
      <w:r w:rsidRPr="0035027D">
        <w:t>, napríklad schopnos</w:t>
      </w:r>
      <w:r w:rsidRPr="0035027D">
        <w:rPr>
          <w:rFonts w:cs="Times New Roman"/>
        </w:rPr>
        <w:t>ť</w:t>
      </w:r>
      <w:r w:rsidRPr="0035027D">
        <w:t xml:space="preserve"> elektronickej komunikácie, náklady a d</w:t>
      </w:r>
      <w:r w:rsidRPr="0035027D">
        <w:rPr>
          <w:rFonts w:cs="Times New Roman"/>
        </w:rPr>
        <w:t>ĺž</w:t>
      </w:r>
      <w:r w:rsidRPr="0035027D">
        <w:t>ka obchodných súdnych sporov a</w:t>
      </w:r>
      <w:r w:rsidR="00E01207" w:rsidRPr="0035027D">
        <w:t> predpovedate</w:t>
      </w:r>
      <w:r w:rsidR="00E01207" w:rsidRPr="0035027D">
        <w:rPr>
          <w:rFonts w:cs="Times New Roman"/>
        </w:rPr>
        <w:t>ľ</w:t>
      </w:r>
      <w:r w:rsidR="00E01207" w:rsidRPr="0035027D">
        <w:t>nos</w:t>
      </w:r>
      <w:r w:rsidR="00E01207" w:rsidRPr="0035027D">
        <w:rPr>
          <w:rFonts w:cs="Times New Roman"/>
        </w:rPr>
        <w:t>ť</w:t>
      </w:r>
      <w:r w:rsidR="00E01207" w:rsidRPr="0035027D">
        <w:t xml:space="preserve"> a </w:t>
      </w:r>
      <w:r w:rsidRPr="0035027D">
        <w:t>transparentnos</w:t>
      </w:r>
      <w:r w:rsidRPr="0035027D">
        <w:rPr>
          <w:rFonts w:cs="Times New Roman"/>
        </w:rPr>
        <w:t>ť</w:t>
      </w:r>
      <w:r w:rsidRPr="0035027D">
        <w:t xml:space="preserve"> rozhodovania štátnych úradov. </w:t>
      </w:r>
    </w:p>
    <w:p w:rsidR="00ED7F6D" w:rsidRPr="0035027D" w:rsidRDefault="00ED7F6D" w:rsidP="00ED7F6D">
      <w:pPr>
        <w:spacing w:after="0"/>
      </w:pPr>
    </w:p>
    <w:p w:rsidR="001A11DE" w:rsidRPr="0035027D" w:rsidRDefault="00A95647" w:rsidP="00ED7F6D">
      <w:pPr>
        <w:spacing w:after="0"/>
      </w:pPr>
      <w:r w:rsidRPr="0035027D">
        <w:t>V dlhodobom horizonte sú zdroje rastu produktivity prá</w:t>
      </w:r>
      <w:r w:rsidR="00182D7F" w:rsidRPr="0035027D">
        <w:t>ce odlišné. Vzh</w:t>
      </w:r>
      <w:r w:rsidR="00182D7F" w:rsidRPr="0035027D">
        <w:rPr>
          <w:rFonts w:cs="Times New Roman"/>
        </w:rPr>
        <w:t>ľ</w:t>
      </w:r>
      <w:r w:rsidR="00182D7F" w:rsidRPr="0035027D">
        <w:t>adom na výh</w:t>
      </w:r>
      <w:r w:rsidR="00182D7F" w:rsidRPr="0035027D">
        <w:rPr>
          <w:rFonts w:cs="Times New Roman"/>
        </w:rPr>
        <w:t>ľ</w:t>
      </w:r>
      <w:r w:rsidR="00182D7F" w:rsidRPr="0035027D">
        <w:t>ad S</w:t>
      </w:r>
      <w:r w:rsidRPr="0035027D">
        <w:t>tratégie Európa 2020 sú však rovnako dôle</w:t>
      </w:r>
      <w:r w:rsidRPr="0035027D">
        <w:rPr>
          <w:rFonts w:cs="Times New Roman"/>
        </w:rPr>
        <w:t>ž</w:t>
      </w:r>
      <w:r w:rsidRPr="0035027D">
        <w:t xml:space="preserve">ité. </w:t>
      </w:r>
      <w:r w:rsidR="003A2A4B" w:rsidRPr="0035027D">
        <w:t xml:space="preserve">Technologický pokrok je spojený s inováciami v podnikoch a aplikáciou výsledkov vedy, výskumu a vývoja. </w:t>
      </w:r>
      <w:r w:rsidR="003A2A4B" w:rsidRPr="0035027D">
        <w:rPr>
          <w:rFonts w:cs="Times New Roman"/>
        </w:rPr>
        <w:t>Ľ</w:t>
      </w:r>
      <w:r w:rsidR="003A2A4B" w:rsidRPr="0035027D">
        <w:t>udský kapitál ovplyv</w:t>
      </w:r>
      <w:r w:rsidR="003A2A4B" w:rsidRPr="0035027D">
        <w:rPr>
          <w:rFonts w:cs="Times New Roman"/>
        </w:rPr>
        <w:t>ň</w:t>
      </w:r>
      <w:r w:rsidR="003A2A4B" w:rsidRPr="0035027D">
        <w:t>uje najmä vzdelanie. Pre rast je preto ve</w:t>
      </w:r>
      <w:r w:rsidR="003A2A4B" w:rsidRPr="0035027D">
        <w:rPr>
          <w:rFonts w:cs="Times New Roman"/>
        </w:rPr>
        <w:t>ľ</w:t>
      </w:r>
      <w:r w:rsidR="003A2A4B" w:rsidRPr="0035027D">
        <w:t>mi dôle</w:t>
      </w:r>
      <w:r w:rsidR="003A2A4B" w:rsidRPr="0035027D">
        <w:rPr>
          <w:rFonts w:cs="Times New Roman"/>
        </w:rPr>
        <w:t>ž</w:t>
      </w:r>
      <w:r w:rsidR="003A2A4B" w:rsidRPr="0035027D">
        <w:t>ité vytvára</w:t>
      </w:r>
      <w:r w:rsidR="003A2A4B" w:rsidRPr="0035027D">
        <w:rPr>
          <w:rFonts w:cs="Times New Roman"/>
        </w:rPr>
        <w:t>ť</w:t>
      </w:r>
      <w:r w:rsidR="003A2A4B" w:rsidRPr="0035027D">
        <w:t xml:space="preserve"> motiva</w:t>
      </w:r>
      <w:r w:rsidR="003A2A4B" w:rsidRPr="0035027D">
        <w:rPr>
          <w:rFonts w:cs="Times New Roman"/>
        </w:rPr>
        <w:t>č</w:t>
      </w:r>
      <w:r w:rsidR="003A2A4B" w:rsidRPr="0035027D">
        <w:t xml:space="preserve">né prostredie pre súkromné investície do inovácií, zefektívnenie výskumu a vývoja a zlepšenie prenosu teoretických poznatkov do praxe. </w:t>
      </w:r>
      <w:r w:rsidRPr="0035027D">
        <w:t xml:space="preserve">Prioritou vlády je preto predovšetkým </w:t>
      </w:r>
      <w:r w:rsidRPr="0035027D">
        <w:rPr>
          <w:b/>
        </w:rPr>
        <w:t>skvalitnenie vzdelávania, vedy, výskumu a inovácií</w:t>
      </w:r>
      <w:r w:rsidRPr="0035027D">
        <w:t xml:space="preserve">. </w:t>
      </w:r>
    </w:p>
    <w:p w:rsidR="001A11DE" w:rsidRPr="0035027D" w:rsidRDefault="001A11DE" w:rsidP="00A95647">
      <w:pPr>
        <w:spacing w:after="0"/>
      </w:pPr>
    </w:p>
    <w:p w:rsidR="00A95647" w:rsidRPr="0035027D" w:rsidRDefault="00A95647" w:rsidP="00A95647">
      <w:pPr>
        <w:spacing w:after="0"/>
      </w:pPr>
      <w:r w:rsidRPr="0035027D">
        <w:t>Vzdelanie a produktivita obyvate</w:t>
      </w:r>
      <w:r w:rsidRPr="0035027D">
        <w:rPr>
          <w:rFonts w:cs="Times New Roman"/>
        </w:rPr>
        <w:t>ľ</w:t>
      </w:r>
      <w:r w:rsidRPr="0035027D">
        <w:t>stva nepriamo vplýva aj na zamestnanos</w:t>
      </w:r>
      <w:r w:rsidRPr="0035027D">
        <w:rPr>
          <w:rFonts w:cs="Times New Roman"/>
        </w:rPr>
        <w:t>ť</w:t>
      </w:r>
      <w:r w:rsidRPr="0035027D">
        <w:t>. Ponuku pracovnej sily je však mo</w:t>
      </w:r>
      <w:r w:rsidRPr="0035027D">
        <w:rPr>
          <w:rFonts w:cs="Times New Roman"/>
        </w:rPr>
        <w:t>ž</w:t>
      </w:r>
      <w:r w:rsidRPr="0035027D">
        <w:t>né zlepši</w:t>
      </w:r>
      <w:r w:rsidRPr="0035027D">
        <w:rPr>
          <w:rFonts w:cs="Times New Roman"/>
        </w:rPr>
        <w:t>ť</w:t>
      </w:r>
      <w:r w:rsidRPr="0035027D">
        <w:t xml:space="preserve"> aj zásahom slu</w:t>
      </w:r>
      <w:r w:rsidRPr="0035027D">
        <w:rPr>
          <w:rFonts w:cs="Times New Roman"/>
        </w:rPr>
        <w:t>ž</w:t>
      </w:r>
      <w:r w:rsidRPr="0035027D">
        <w:t>ieb zamestnanosti, napríklad cez poradenstvo, vzdelávanie alebo absolventskú prax. Štát mô</w:t>
      </w:r>
      <w:r w:rsidRPr="0035027D">
        <w:rPr>
          <w:rFonts w:cs="Times New Roman"/>
        </w:rPr>
        <w:t>ž</w:t>
      </w:r>
      <w:r w:rsidRPr="0035027D">
        <w:t xml:space="preserve">e </w:t>
      </w:r>
      <w:r w:rsidRPr="0035027D">
        <w:rPr>
          <w:rFonts w:cs="Times New Roman"/>
        </w:rPr>
        <w:t>ď</w:t>
      </w:r>
      <w:r w:rsidRPr="0035027D">
        <w:t>alej zasahova</w:t>
      </w:r>
      <w:r w:rsidRPr="0035027D">
        <w:rPr>
          <w:rFonts w:cs="Times New Roman"/>
        </w:rPr>
        <w:t>ť</w:t>
      </w:r>
      <w:r w:rsidRPr="0035027D">
        <w:t xml:space="preserve"> do fungovania trhu práce cez zákonník práce, tvorbu miezd </w:t>
      </w:r>
      <w:r w:rsidRPr="0035027D">
        <w:rPr>
          <w:rFonts w:cs="Times New Roman"/>
        </w:rPr>
        <w:t>č</w:t>
      </w:r>
      <w:r w:rsidRPr="0035027D">
        <w:t>i cielené motivácie na podporu znevýhodnených skupín. Tieto opatrenia zara</w:t>
      </w:r>
      <w:r w:rsidRPr="0035027D">
        <w:rPr>
          <w:rFonts w:cs="Times New Roman"/>
        </w:rPr>
        <w:t>ď</w:t>
      </w:r>
      <w:r w:rsidRPr="0035027D">
        <w:t xml:space="preserve">ujeme pod jednotnú prioritu </w:t>
      </w:r>
      <w:r w:rsidRPr="0035027D">
        <w:rPr>
          <w:b/>
        </w:rPr>
        <w:t>zamestnanosti</w:t>
      </w:r>
      <w:r w:rsidRPr="0035027D">
        <w:t xml:space="preserve">. </w:t>
      </w:r>
    </w:p>
    <w:p w:rsidR="00A95647" w:rsidRPr="0035027D" w:rsidRDefault="00A95647" w:rsidP="00A95647">
      <w:pPr>
        <w:spacing w:after="0"/>
      </w:pPr>
    </w:p>
    <w:p w:rsidR="00C91767" w:rsidRPr="0035027D" w:rsidRDefault="00C91767" w:rsidP="00C91767">
      <w:pPr>
        <w:spacing w:after="0"/>
      </w:pPr>
      <w:r w:rsidRPr="0035027D">
        <w:t>Sociálna udr</w:t>
      </w:r>
      <w:r w:rsidRPr="0035027D">
        <w:rPr>
          <w:rFonts w:cs="Times New Roman"/>
        </w:rPr>
        <w:t>ž</w:t>
      </w:r>
      <w:r w:rsidRPr="0035027D">
        <w:t>ate</w:t>
      </w:r>
      <w:r w:rsidRPr="0035027D">
        <w:rPr>
          <w:rFonts w:cs="Times New Roman"/>
        </w:rPr>
        <w:t>ľ</w:t>
      </w:r>
      <w:r w:rsidRPr="0035027D">
        <w:t>nos</w:t>
      </w:r>
      <w:r w:rsidRPr="0035027D">
        <w:rPr>
          <w:rFonts w:cs="Times New Roman"/>
        </w:rPr>
        <w:t>ť</w:t>
      </w:r>
      <w:r w:rsidRPr="0035027D">
        <w:t xml:space="preserve"> súvisí najmä s príjmovými nerovnos</w:t>
      </w:r>
      <w:r w:rsidRPr="0035027D">
        <w:rPr>
          <w:rFonts w:cs="Times New Roman"/>
        </w:rPr>
        <w:t>ť</w:t>
      </w:r>
      <w:r w:rsidRPr="0035027D">
        <w:t>ami, kde sa Slovensko spolu s </w:t>
      </w:r>
      <w:r w:rsidRPr="0035027D">
        <w:rPr>
          <w:rFonts w:cs="Times New Roman"/>
        </w:rPr>
        <w:t>Č</w:t>
      </w:r>
      <w:r w:rsidRPr="0035027D">
        <w:t>eskom a Slovinskom radí medzi najrovnostárskejšie štáty Európskej únie. Preto je potrebné zamera</w:t>
      </w:r>
      <w:r w:rsidRPr="0035027D">
        <w:rPr>
          <w:rFonts w:cs="Times New Roman"/>
        </w:rPr>
        <w:t>ť</w:t>
      </w:r>
      <w:r w:rsidRPr="0035027D">
        <w:t xml:space="preserve"> sa skôr na efektívnos</w:t>
      </w:r>
      <w:r w:rsidRPr="0035027D">
        <w:rPr>
          <w:rFonts w:cs="Times New Roman"/>
        </w:rPr>
        <w:t>ť</w:t>
      </w:r>
      <w:r w:rsidRPr="0035027D">
        <w:t xml:space="preserve"> a ú</w:t>
      </w:r>
      <w:r w:rsidRPr="0035027D">
        <w:rPr>
          <w:rFonts w:cs="Times New Roman"/>
        </w:rPr>
        <w:t>č</w:t>
      </w:r>
      <w:r w:rsidRPr="0035027D">
        <w:t>innos</w:t>
      </w:r>
      <w:r w:rsidRPr="0035027D">
        <w:rPr>
          <w:rFonts w:cs="Times New Roman"/>
        </w:rPr>
        <w:t>ť</w:t>
      </w:r>
      <w:r w:rsidRPr="0035027D">
        <w:t xml:space="preserve"> redistribu</w:t>
      </w:r>
      <w:r w:rsidRPr="0035027D">
        <w:rPr>
          <w:rFonts w:cs="Times New Roman"/>
        </w:rPr>
        <w:t>č</w:t>
      </w:r>
      <w:r w:rsidRPr="0035027D">
        <w:t xml:space="preserve">ných politík najmä </w:t>
      </w:r>
      <w:r w:rsidRPr="0035027D">
        <w:rPr>
          <w:bCs/>
          <w:kern w:val="36"/>
        </w:rPr>
        <w:t>pri riešení problémov marginalizovaných sociálnych skupín. Najú</w:t>
      </w:r>
      <w:r w:rsidRPr="0035027D">
        <w:rPr>
          <w:rFonts w:cs="Times New Roman"/>
          <w:bCs/>
          <w:kern w:val="36"/>
        </w:rPr>
        <w:t>č</w:t>
      </w:r>
      <w:r w:rsidRPr="0035027D">
        <w:rPr>
          <w:bCs/>
          <w:kern w:val="36"/>
        </w:rPr>
        <w:t>innejším prostriedkom na zabezpe</w:t>
      </w:r>
      <w:r w:rsidRPr="0035027D">
        <w:rPr>
          <w:rFonts w:cs="Times New Roman"/>
          <w:bCs/>
          <w:kern w:val="36"/>
        </w:rPr>
        <w:t>č</w:t>
      </w:r>
      <w:r w:rsidRPr="0035027D">
        <w:rPr>
          <w:bCs/>
          <w:kern w:val="36"/>
        </w:rPr>
        <w:t>enie rastu príjmov obyvate</w:t>
      </w:r>
      <w:r w:rsidRPr="0035027D">
        <w:rPr>
          <w:rFonts w:cs="Times New Roman"/>
          <w:bCs/>
          <w:kern w:val="36"/>
        </w:rPr>
        <w:t>ľ</w:t>
      </w:r>
      <w:r w:rsidRPr="0035027D">
        <w:rPr>
          <w:bCs/>
          <w:kern w:val="36"/>
        </w:rPr>
        <w:t>stva je zvyšovanie zamestnanosti, preto je oblas</w:t>
      </w:r>
      <w:r w:rsidRPr="0035027D">
        <w:rPr>
          <w:rFonts w:cs="Times New Roman"/>
          <w:bCs/>
          <w:kern w:val="36"/>
        </w:rPr>
        <w:t>ť</w:t>
      </w:r>
      <w:r w:rsidRPr="0035027D">
        <w:rPr>
          <w:bCs/>
          <w:kern w:val="36"/>
        </w:rPr>
        <w:t xml:space="preserve"> sociálnej inklúzie a zni</w:t>
      </w:r>
      <w:r w:rsidRPr="0035027D">
        <w:rPr>
          <w:rFonts w:cs="Times New Roman"/>
          <w:bCs/>
          <w:kern w:val="36"/>
        </w:rPr>
        <w:t>ž</w:t>
      </w:r>
      <w:r w:rsidRPr="0035027D">
        <w:rPr>
          <w:bCs/>
          <w:kern w:val="36"/>
        </w:rPr>
        <w:t>ovania chudoby za</w:t>
      </w:r>
      <w:r w:rsidRPr="0035027D">
        <w:rPr>
          <w:rFonts w:cs="Times New Roman"/>
          <w:bCs/>
          <w:kern w:val="36"/>
        </w:rPr>
        <w:t>č</w:t>
      </w:r>
      <w:r w:rsidRPr="0035027D">
        <w:rPr>
          <w:bCs/>
          <w:kern w:val="36"/>
        </w:rPr>
        <w:t xml:space="preserve">lenená do priority </w:t>
      </w:r>
      <w:r w:rsidRPr="0035027D">
        <w:rPr>
          <w:b/>
          <w:bCs/>
          <w:kern w:val="36"/>
        </w:rPr>
        <w:t>zamestnanosť a sociálna inklúzia</w:t>
      </w:r>
      <w:r w:rsidRPr="0035027D">
        <w:rPr>
          <w:bCs/>
          <w:kern w:val="36"/>
        </w:rPr>
        <w:t>.</w:t>
      </w:r>
    </w:p>
    <w:p w:rsidR="00C91767" w:rsidRPr="0035027D" w:rsidRDefault="00C91767" w:rsidP="00A95647">
      <w:pPr>
        <w:spacing w:after="0"/>
      </w:pPr>
    </w:p>
    <w:p w:rsidR="00A95647" w:rsidRPr="0035027D" w:rsidRDefault="00DA0110" w:rsidP="00A95647">
      <w:pPr>
        <w:spacing w:after="0"/>
      </w:pPr>
      <w:proofErr w:type="spellStart"/>
      <w:r>
        <w:t>Zlepšenie</w:t>
      </w:r>
      <w:r w:rsidR="00A95647" w:rsidRPr="0035027D">
        <w:t>kvality</w:t>
      </w:r>
      <w:proofErr w:type="spellEnd"/>
      <w:r w:rsidR="00A95647" w:rsidRPr="0035027D">
        <w:t xml:space="preserve"> </w:t>
      </w:r>
      <w:r w:rsidR="00A95647" w:rsidRPr="0035027D">
        <w:rPr>
          <w:rFonts w:cs="Times New Roman"/>
        </w:rPr>
        <w:t>ž</w:t>
      </w:r>
      <w:r w:rsidR="00A95647" w:rsidRPr="0035027D">
        <w:t>ivota</w:t>
      </w:r>
      <w:r>
        <w:t xml:space="preserve"> úzko súvisí s rastom HDP.</w:t>
      </w:r>
      <w:r w:rsidR="00A95647" w:rsidRPr="0035027D">
        <w:t xml:space="preserve"> </w:t>
      </w:r>
      <w:r>
        <w:rPr>
          <w:rFonts w:cs="Times New Roman"/>
        </w:rPr>
        <w:t>Ď</w:t>
      </w:r>
      <w:r w:rsidR="00A95647" w:rsidRPr="0035027D">
        <w:t>alšie ve</w:t>
      </w:r>
      <w:r w:rsidR="00A95647" w:rsidRPr="0035027D">
        <w:rPr>
          <w:rFonts w:cs="Times New Roman"/>
        </w:rPr>
        <w:t>ľ</w:t>
      </w:r>
      <w:r w:rsidR="00A95647" w:rsidRPr="0035027D">
        <w:t>mi dôle</w:t>
      </w:r>
      <w:r w:rsidR="00A95647" w:rsidRPr="0035027D">
        <w:rPr>
          <w:rFonts w:cs="Times New Roman"/>
        </w:rPr>
        <w:t>ž</w:t>
      </w:r>
      <w:r w:rsidR="00A95647" w:rsidRPr="0035027D">
        <w:t>ité faktory</w:t>
      </w:r>
      <w:r>
        <w:t xml:space="preserve"> kvality života preto prirodzene patria k už spomínaným prioritám zlepšovania podnikateľského prostredia a zlepšovania verejných inštitúcií.</w:t>
      </w:r>
      <w:r w:rsidR="00A95647" w:rsidRPr="0035027D">
        <w:t xml:space="preserve"> </w:t>
      </w:r>
      <w:r w:rsidR="00F133C1">
        <w:t xml:space="preserve">Napríklad </w:t>
      </w:r>
      <w:r w:rsidR="00A95647" w:rsidRPr="0035027D">
        <w:t>dôver</w:t>
      </w:r>
      <w:r w:rsidR="00DF11FB">
        <w:t>a</w:t>
      </w:r>
      <w:r w:rsidR="00A95647" w:rsidRPr="0035027D">
        <w:t xml:space="preserve"> </w:t>
      </w:r>
      <w:r w:rsidR="00F133C1">
        <w:t>medzi obyvateľmi</w:t>
      </w:r>
      <w:r w:rsidR="00A95647" w:rsidRPr="0035027D">
        <w:t>, vymo</w:t>
      </w:r>
      <w:r w:rsidR="00A95647" w:rsidRPr="0035027D">
        <w:rPr>
          <w:rFonts w:cs="Times New Roman"/>
        </w:rPr>
        <w:t>ž</w:t>
      </w:r>
      <w:r w:rsidR="00A95647" w:rsidRPr="0035027D">
        <w:t>ite</w:t>
      </w:r>
      <w:r w:rsidR="00A95647" w:rsidRPr="0035027D">
        <w:rPr>
          <w:rFonts w:cs="Times New Roman"/>
        </w:rPr>
        <w:t>ľ</w:t>
      </w:r>
      <w:r w:rsidR="00A95647" w:rsidRPr="0035027D">
        <w:t>nos</w:t>
      </w:r>
      <w:r w:rsidR="00DF11FB">
        <w:rPr>
          <w:rFonts w:cs="Times New Roman"/>
        </w:rPr>
        <w:t>ť</w:t>
      </w:r>
      <w:r w:rsidR="00A95647" w:rsidRPr="0035027D">
        <w:t xml:space="preserve"> súdnej ochrany práva a zni</w:t>
      </w:r>
      <w:r w:rsidR="00A95647" w:rsidRPr="0035027D">
        <w:rPr>
          <w:rFonts w:cs="Times New Roman"/>
        </w:rPr>
        <w:t>ž</w:t>
      </w:r>
      <w:r w:rsidR="00A95647" w:rsidRPr="0035027D">
        <w:t>ova</w:t>
      </w:r>
      <w:r>
        <w:rPr>
          <w:rFonts w:cs="Times New Roman"/>
        </w:rPr>
        <w:t>nie</w:t>
      </w:r>
      <w:r w:rsidR="00A95647" w:rsidRPr="0035027D">
        <w:t xml:space="preserve"> korupci</w:t>
      </w:r>
      <w:r>
        <w:t>e prispieva</w:t>
      </w:r>
      <w:r w:rsidR="003E52F8">
        <w:t>jú</w:t>
      </w:r>
      <w:r>
        <w:t xml:space="preserve"> k súkromnému</w:t>
      </w:r>
      <w:r w:rsidR="00A95647" w:rsidRPr="0035027D">
        <w:t xml:space="preserve"> blahobytu</w:t>
      </w:r>
      <w:r>
        <w:t xml:space="preserve"> podobne</w:t>
      </w:r>
      <w:r w:rsidR="003E52F8">
        <w:t xml:space="preserve"> významne</w:t>
      </w:r>
      <w:r>
        <w:t xml:space="preserve"> ako k rastu hospodárstva</w:t>
      </w:r>
      <w:r w:rsidR="00A95647" w:rsidRPr="0035027D">
        <w:t xml:space="preserve">. Kvalita </w:t>
      </w:r>
      <w:r w:rsidR="00A95647" w:rsidRPr="0035027D">
        <w:rPr>
          <w:rFonts w:cs="Times New Roman"/>
        </w:rPr>
        <w:t>ž</w:t>
      </w:r>
      <w:r w:rsidR="00A95647" w:rsidRPr="0035027D">
        <w:t>ivota je</w:t>
      </w:r>
      <w:r w:rsidR="00661EE3">
        <w:t xml:space="preserve"> však</w:t>
      </w:r>
      <w:r w:rsidR="00A95647" w:rsidRPr="0035027D">
        <w:t xml:space="preserve"> spojená</w:t>
      </w:r>
      <w:r w:rsidR="00661EE3">
        <w:t xml:space="preserve"> aj</w:t>
      </w:r>
      <w:r w:rsidR="00A95647" w:rsidRPr="0035027D">
        <w:t xml:space="preserve"> so </w:t>
      </w:r>
      <w:r w:rsidR="00A95647" w:rsidRPr="0035027D">
        <w:rPr>
          <w:b/>
        </w:rPr>
        <w:t>zdravím</w:t>
      </w:r>
      <w:r w:rsidR="003E52F8">
        <w:rPr>
          <w:b/>
        </w:rPr>
        <w:t xml:space="preserve"> </w:t>
      </w:r>
      <w:r w:rsidR="003E52F8" w:rsidRPr="003E52F8">
        <w:t>jednotlivca</w:t>
      </w:r>
      <w:r w:rsidR="00661EE3" w:rsidRPr="003E52F8">
        <w:t xml:space="preserve">. </w:t>
      </w:r>
      <w:r w:rsidR="003E52F8">
        <w:t>Ú</w:t>
      </w:r>
      <w:r w:rsidR="00661EE3">
        <w:t>loh</w:t>
      </w:r>
      <w:r w:rsidR="003E52F8">
        <w:t>o</w:t>
      </w:r>
      <w:r w:rsidR="00661EE3">
        <w:t>u</w:t>
      </w:r>
      <w:r w:rsidR="003E52F8">
        <w:t xml:space="preserve"> štátu je preto predovšetkým organizovať systém</w:t>
      </w:r>
      <w:r w:rsidR="00661EE3">
        <w:t xml:space="preserve"> </w:t>
      </w:r>
      <w:r w:rsidR="003E52F8">
        <w:t>verejného</w:t>
      </w:r>
      <w:r w:rsidR="00661EE3">
        <w:t xml:space="preserve"> poistenia a</w:t>
      </w:r>
      <w:r w:rsidR="003E52F8">
        <w:t> </w:t>
      </w:r>
      <w:r w:rsidR="00661EE3">
        <w:t>zabezpeč</w:t>
      </w:r>
      <w:r w:rsidR="003E52F8">
        <w:t>iť dostupnosť kvalitnej zdravotnej starostlivosti.</w:t>
      </w:r>
      <w:r w:rsidR="00661EE3">
        <w:t xml:space="preserve"> </w:t>
      </w:r>
    </w:p>
    <w:p w:rsidR="00A95647" w:rsidRPr="0035027D" w:rsidRDefault="00A95647" w:rsidP="00A95647">
      <w:pPr>
        <w:spacing w:after="0"/>
      </w:pPr>
    </w:p>
    <w:p w:rsidR="00A95647" w:rsidRPr="0035027D" w:rsidRDefault="00A95647" w:rsidP="00A95647">
      <w:pPr>
        <w:spacing w:after="0"/>
      </w:pPr>
      <w:r w:rsidRPr="0035027D">
        <w:t xml:space="preserve">Pri štrukturálnych politikách sa </w:t>
      </w:r>
      <w:r w:rsidRPr="0035027D">
        <w:rPr>
          <w:rFonts w:cs="Times New Roman"/>
        </w:rPr>
        <w:t>č</w:t>
      </w:r>
      <w:r w:rsidRPr="0035027D">
        <w:t>asto zabúda na</w:t>
      </w:r>
      <w:r w:rsidR="00E01207" w:rsidRPr="0035027D">
        <w:t xml:space="preserve"> niektoré </w:t>
      </w:r>
      <w:r w:rsidRPr="0035027D">
        <w:t>ohrani</w:t>
      </w:r>
      <w:r w:rsidRPr="0035027D">
        <w:rPr>
          <w:rFonts w:cs="Times New Roman"/>
        </w:rPr>
        <w:t>č</w:t>
      </w:r>
      <w:r w:rsidRPr="0035027D">
        <w:t>enia</w:t>
      </w:r>
      <w:r w:rsidR="00E01207" w:rsidRPr="0035027D">
        <w:t xml:space="preserve">, ktoré musí </w:t>
      </w:r>
      <w:r w:rsidRPr="0035027D">
        <w:t>verejn</w:t>
      </w:r>
      <w:r w:rsidR="00E01207" w:rsidRPr="0035027D">
        <w:t>á</w:t>
      </w:r>
      <w:r w:rsidRPr="0035027D">
        <w:t xml:space="preserve"> politik</w:t>
      </w:r>
      <w:r w:rsidR="00E01207" w:rsidRPr="0035027D">
        <w:t>a rešpektova</w:t>
      </w:r>
      <w:r w:rsidR="00E01207" w:rsidRPr="0035027D">
        <w:rPr>
          <w:rFonts w:cs="Times New Roman"/>
        </w:rPr>
        <w:t>ť</w:t>
      </w:r>
      <w:r w:rsidRPr="0035027D">
        <w:t>. Preto je potrebné poukáza</w:t>
      </w:r>
      <w:r w:rsidRPr="0035027D">
        <w:rPr>
          <w:rFonts w:cs="Times New Roman"/>
        </w:rPr>
        <w:t>ť</w:t>
      </w:r>
      <w:r w:rsidRPr="0035027D">
        <w:t xml:space="preserve"> na nutnos</w:t>
      </w:r>
      <w:r w:rsidRPr="0035027D">
        <w:rPr>
          <w:rFonts w:cs="Times New Roman"/>
        </w:rPr>
        <w:t>ť</w:t>
      </w:r>
      <w:r w:rsidRPr="0035027D">
        <w:t xml:space="preserve"> bra</w:t>
      </w:r>
      <w:r w:rsidRPr="0035027D">
        <w:rPr>
          <w:rFonts w:cs="Times New Roman"/>
        </w:rPr>
        <w:t>ť</w:t>
      </w:r>
      <w:r w:rsidRPr="0035027D">
        <w:t xml:space="preserve"> pri snahách o zvyšovanie kvality </w:t>
      </w:r>
      <w:r w:rsidRPr="0035027D">
        <w:rPr>
          <w:rFonts w:cs="Times New Roman"/>
        </w:rPr>
        <w:t>ž</w:t>
      </w:r>
      <w:r w:rsidRPr="0035027D">
        <w:t xml:space="preserve">ivota do úvahy </w:t>
      </w:r>
      <w:r w:rsidR="00C91767" w:rsidRPr="0035027D">
        <w:t xml:space="preserve">aj </w:t>
      </w:r>
      <w:r w:rsidR="00C91767" w:rsidRPr="0035027D">
        <w:rPr>
          <w:b/>
        </w:rPr>
        <w:t xml:space="preserve">environmentálnu </w:t>
      </w:r>
      <w:r w:rsidRPr="0035027D">
        <w:rPr>
          <w:b/>
        </w:rPr>
        <w:t>dlhodobú udržateľnosť</w:t>
      </w:r>
      <w:r w:rsidRPr="0035027D">
        <w:t xml:space="preserve">. </w:t>
      </w:r>
      <w:r w:rsidR="00C91767" w:rsidRPr="0035027D">
        <w:t>N</w:t>
      </w:r>
      <w:r w:rsidRPr="0035027D">
        <w:t>aj</w:t>
      </w:r>
      <w:r w:rsidRPr="0035027D">
        <w:rPr>
          <w:rFonts w:cs="Times New Roman"/>
        </w:rPr>
        <w:t>č</w:t>
      </w:r>
      <w:r w:rsidRPr="0035027D">
        <w:t xml:space="preserve">astejšie </w:t>
      </w:r>
      <w:r w:rsidR="00C91767" w:rsidRPr="0035027D">
        <w:t xml:space="preserve">sa spája </w:t>
      </w:r>
      <w:r w:rsidRPr="0035027D">
        <w:t xml:space="preserve">s </w:t>
      </w:r>
      <w:r w:rsidR="008D7D86">
        <w:t>klimatickými zmenami</w:t>
      </w:r>
      <w:r w:rsidRPr="0035027D">
        <w:t xml:space="preserve"> a zní</w:t>
      </w:r>
      <w:r w:rsidRPr="0035027D">
        <w:rPr>
          <w:rFonts w:cs="Times New Roman"/>
        </w:rPr>
        <w:t>ž</w:t>
      </w:r>
      <w:r w:rsidRPr="0035027D">
        <w:t>ením energetickej náro</w:t>
      </w:r>
      <w:r w:rsidRPr="0035027D">
        <w:rPr>
          <w:rFonts w:cs="Times New Roman"/>
        </w:rPr>
        <w:t>č</w:t>
      </w:r>
      <w:r w:rsidRPr="0035027D">
        <w:t xml:space="preserve">nosti hospodárstva. </w:t>
      </w:r>
    </w:p>
    <w:p w:rsidR="00C91767" w:rsidRPr="0035027D" w:rsidRDefault="00C91767" w:rsidP="00A95647">
      <w:pPr>
        <w:spacing w:after="0"/>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E13258" w:rsidRPr="0035027D" w:rsidTr="00E13258">
        <w:tc>
          <w:tcPr>
            <w:tcW w:w="9210" w:type="dxa"/>
          </w:tcPr>
          <w:tbl>
            <w:tblPr>
              <w:tblW w:w="8535" w:type="dxa"/>
              <w:jc w:val="center"/>
              <w:tblInd w:w="394" w:type="dxa"/>
              <w:tblCellMar>
                <w:left w:w="70" w:type="dxa"/>
                <w:right w:w="70" w:type="dxa"/>
              </w:tblCellMar>
              <w:tblLook w:val="04A0" w:firstRow="1" w:lastRow="0" w:firstColumn="1" w:lastColumn="0" w:noHBand="0" w:noVBand="1"/>
            </w:tblPr>
            <w:tblGrid>
              <w:gridCol w:w="8535"/>
            </w:tblGrid>
            <w:tr w:rsidR="00E13258" w:rsidRPr="0035027D" w:rsidTr="00E13258">
              <w:trPr>
                <w:trHeight w:val="206"/>
                <w:jc w:val="center"/>
              </w:trPr>
              <w:tc>
                <w:tcPr>
                  <w:tcW w:w="8535"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rsidR="00E13258" w:rsidRPr="0035027D" w:rsidRDefault="00E13258" w:rsidP="007B1F06">
                  <w:pPr>
                    <w:spacing w:after="0"/>
                    <w:jc w:val="center"/>
                    <w:rPr>
                      <w:rFonts w:cs="Times New Roman"/>
                      <w:b/>
                      <w:bCs/>
                      <w:color w:val="FFFFFF"/>
                      <w:sz w:val="20"/>
                      <w:szCs w:val="20"/>
                    </w:rPr>
                  </w:pPr>
                  <w:r w:rsidRPr="0035027D">
                    <w:rPr>
                      <w:rFonts w:cs="Times New Roman"/>
                      <w:b/>
                      <w:bCs/>
                      <w:color w:val="FFFFFF"/>
                      <w:sz w:val="20"/>
                      <w:szCs w:val="20"/>
                    </w:rPr>
                    <w:t xml:space="preserve">Tab. 1: </w:t>
                  </w:r>
                  <w:proofErr w:type="spellStart"/>
                  <w:r w:rsidRPr="0035027D">
                    <w:rPr>
                      <w:rFonts w:cs="Times New Roman"/>
                      <w:b/>
                      <w:bCs/>
                      <w:color w:val="FFFFFF"/>
                      <w:sz w:val="20"/>
                      <w:szCs w:val="20"/>
                    </w:rPr>
                    <w:t>Gestorstvo</w:t>
                  </w:r>
                  <w:proofErr w:type="spellEnd"/>
                  <w:r w:rsidRPr="0035027D">
                    <w:rPr>
                      <w:rFonts w:cs="Times New Roman"/>
                      <w:b/>
                      <w:bCs/>
                      <w:color w:val="FFFFFF"/>
                      <w:sz w:val="20"/>
                      <w:szCs w:val="20"/>
                    </w:rPr>
                    <w:t xml:space="preserve"> výsledkových ukazovateľov Stratégie Európa 2020</w:t>
                  </w:r>
                </w:p>
              </w:tc>
            </w:tr>
          </w:tbl>
          <w:p w:rsidR="00E13258" w:rsidRPr="0035027D" w:rsidRDefault="00E13258" w:rsidP="00E13258">
            <w:pPr>
              <w:spacing w:after="0"/>
              <w:jc w:val="center"/>
              <w:rPr>
                <w:rFonts w:cs="Times New Roman"/>
                <w:b/>
                <w:bCs/>
                <w:color w:val="FFFFFF"/>
                <w:sz w:val="20"/>
                <w:szCs w:val="20"/>
              </w:rPr>
            </w:pPr>
          </w:p>
        </w:tc>
      </w:tr>
      <w:tr w:rsidR="00E13258" w:rsidRPr="0035027D" w:rsidTr="00E13258">
        <w:tc>
          <w:tcPr>
            <w:tcW w:w="9210" w:type="dxa"/>
          </w:tcPr>
          <w:tbl>
            <w:tblPr>
              <w:tblW w:w="8542" w:type="dxa"/>
              <w:jc w:val="center"/>
              <w:tblInd w:w="430" w:type="dxa"/>
              <w:tblCellMar>
                <w:left w:w="70" w:type="dxa"/>
                <w:right w:w="70" w:type="dxa"/>
              </w:tblCellMar>
              <w:tblLook w:val="04A0" w:firstRow="1" w:lastRow="0" w:firstColumn="1" w:lastColumn="0" w:noHBand="0" w:noVBand="1"/>
            </w:tblPr>
            <w:tblGrid>
              <w:gridCol w:w="521"/>
              <w:gridCol w:w="323"/>
              <w:gridCol w:w="3554"/>
              <w:gridCol w:w="4144"/>
            </w:tblGrid>
            <w:tr w:rsidR="00E13258" w:rsidRPr="0035027D" w:rsidTr="00E13258">
              <w:trPr>
                <w:trHeight w:val="300"/>
                <w:jc w:val="center"/>
              </w:trPr>
              <w:tc>
                <w:tcPr>
                  <w:tcW w:w="4398" w:type="dxa"/>
                  <w:gridSpan w:val="3"/>
                  <w:tcBorders>
                    <w:top w:val="single" w:sz="8" w:space="0" w:color="auto"/>
                    <w:left w:val="single" w:sz="8" w:space="0" w:color="auto"/>
                    <w:bottom w:val="single" w:sz="8" w:space="0" w:color="auto"/>
                    <w:right w:val="nil"/>
                  </w:tcBorders>
                  <w:shd w:val="clear" w:color="000000" w:fill="000000"/>
                  <w:noWrap/>
                  <w:vAlign w:val="bottom"/>
                  <w:hideMark/>
                </w:tcPr>
                <w:p w:rsidR="00E13258" w:rsidRPr="0035027D" w:rsidRDefault="00E13258" w:rsidP="007B1F06">
                  <w:pPr>
                    <w:spacing w:after="0"/>
                    <w:jc w:val="center"/>
                    <w:rPr>
                      <w:rFonts w:cs="Times New Roman"/>
                      <w:b/>
                      <w:bCs/>
                      <w:color w:val="FFFFFF"/>
                      <w:sz w:val="20"/>
                      <w:szCs w:val="20"/>
                    </w:rPr>
                  </w:pPr>
                  <w:r w:rsidRPr="0035027D">
                    <w:rPr>
                      <w:rFonts w:cs="Times New Roman"/>
                      <w:b/>
                      <w:bCs/>
                      <w:color w:val="FFFFFF"/>
                      <w:sz w:val="20"/>
                      <w:szCs w:val="20"/>
                    </w:rPr>
                    <w:t>Výsledkové ukaz</w:t>
                  </w:r>
                  <w:r w:rsidR="00757527" w:rsidRPr="0035027D">
                    <w:rPr>
                      <w:rFonts w:cs="Times New Roman"/>
                      <w:b/>
                      <w:bCs/>
                      <w:color w:val="FFFFFF"/>
                      <w:sz w:val="20"/>
                      <w:szCs w:val="20"/>
                    </w:rPr>
                    <w:t>ov</w:t>
                  </w:r>
                  <w:r w:rsidRPr="0035027D">
                    <w:rPr>
                      <w:rFonts w:cs="Times New Roman"/>
                      <w:b/>
                      <w:bCs/>
                      <w:color w:val="FFFFFF"/>
                      <w:sz w:val="20"/>
                      <w:szCs w:val="20"/>
                    </w:rPr>
                    <w:t>atele</w:t>
                  </w:r>
                </w:p>
              </w:tc>
              <w:tc>
                <w:tcPr>
                  <w:tcW w:w="4144" w:type="dxa"/>
                  <w:tcBorders>
                    <w:top w:val="single" w:sz="8" w:space="0" w:color="auto"/>
                    <w:left w:val="nil"/>
                    <w:bottom w:val="nil"/>
                    <w:right w:val="single" w:sz="8" w:space="0" w:color="auto"/>
                  </w:tcBorders>
                  <w:shd w:val="clear" w:color="000000" w:fill="000000"/>
                  <w:noWrap/>
                  <w:vAlign w:val="bottom"/>
                  <w:hideMark/>
                </w:tcPr>
                <w:p w:rsidR="00E13258" w:rsidRPr="0035027D" w:rsidRDefault="00E13258" w:rsidP="007B1F06">
                  <w:pPr>
                    <w:spacing w:after="0"/>
                    <w:jc w:val="center"/>
                    <w:rPr>
                      <w:rFonts w:cs="Times New Roman"/>
                      <w:b/>
                      <w:bCs/>
                      <w:color w:val="FFFFFF"/>
                      <w:sz w:val="20"/>
                      <w:szCs w:val="20"/>
                    </w:rPr>
                  </w:pPr>
                  <w:r w:rsidRPr="0035027D">
                    <w:rPr>
                      <w:rFonts w:cs="Times New Roman"/>
                      <w:b/>
                      <w:bCs/>
                      <w:color w:val="FFFFFF"/>
                      <w:sz w:val="20"/>
                      <w:szCs w:val="20"/>
                    </w:rPr>
                    <w:t>Gestor</w:t>
                  </w:r>
                </w:p>
              </w:tc>
            </w:tr>
            <w:tr w:rsidR="00E13258" w:rsidRPr="0035027D" w:rsidTr="00E13258">
              <w:trPr>
                <w:trHeight w:val="300"/>
                <w:jc w:val="center"/>
              </w:trPr>
              <w:tc>
                <w:tcPr>
                  <w:tcW w:w="8542" w:type="dxa"/>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E13258" w:rsidRPr="0035027D" w:rsidRDefault="00E13258" w:rsidP="007B1F06">
                  <w:pPr>
                    <w:spacing w:after="0"/>
                    <w:jc w:val="left"/>
                    <w:rPr>
                      <w:rFonts w:cs="Times New Roman"/>
                      <w:b/>
                      <w:bCs/>
                      <w:color w:val="000000"/>
                      <w:sz w:val="20"/>
                      <w:szCs w:val="20"/>
                    </w:rPr>
                  </w:pPr>
                  <w:r w:rsidRPr="0035027D">
                    <w:rPr>
                      <w:rFonts w:cs="Times New Roman"/>
                      <w:b/>
                      <w:bCs/>
                      <w:color w:val="000000"/>
                      <w:sz w:val="20"/>
                      <w:szCs w:val="20"/>
                    </w:rPr>
                    <w:t>Fiškálna politika a verejné financie</w:t>
                  </w:r>
                </w:p>
              </w:tc>
            </w:tr>
            <w:tr w:rsidR="00E13258" w:rsidRPr="0035027D" w:rsidTr="00E13258">
              <w:trPr>
                <w:trHeight w:val="300"/>
                <w:jc w:val="center"/>
              </w:trPr>
              <w:tc>
                <w:tcPr>
                  <w:tcW w:w="521" w:type="dxa"/>
                  <w:tcBorders>
                    <w:top w:val="nil"/>
                    <w:left w:val="single" w:sz="8" w:space="0" w:color="auto"/>
                    <w:bottom w:val="nil"/>
                    <w:right w:val="nil"/>
                  </w:tcBorders>
                  <w:shd w:val="clear" w:color="auto" w:fill="auto"/>
                  <w:textDirection w:val="btLr"/>
                  <w:vAlign w:val="center"/>
                  <w:hideMark/>
                </w:tcPr>
                <w:p w:rsidR="00E13258" w:rsidRPr="0035027D" w:rsidRDefault="00E13258" w:rsidP="007B1F06">
                  <w:pPr>
                    <w:spacing w:after="0"/>
                    <w:jc w:val="center"/>
                    <w:rPr>
                      <w:rFonts w:cs="Times New Roman"/>
                      <w:b/>
                      <w:bCs/>
                      <w:color w:val="000000"/>
                      <w:sz w:val="20"/>
                      <w:szCs w:val="20"/>
                    </w:rPr>
                  </w:pPr>
                  <w:r w:rsidRPr="0035027D">
                    <w:rPr>
                      <w:rFonts w:cs="Times New Roman"/>
                      <w:b/>
                      <w:bCs/>
                      <w:color w:val="000000"/>
                      <w:sz w:val="20"/>
                      <w:szCs w:val="20"/>
                    </w:rPr>
                    <w:t> </w:t>
                  </w:r>
                </w:p>
              </w:tc>
              <w:tc>
                <w:tcPr>
                  <w:tcW w:w="323" w:type="dxa"/>
                  <w:tcBorders>
                    <w:top w:val="nil"/>
                    <w:left w:val="nil"/>
                    <w:bottom w:val="nil"/>
                    <w:right w:val="nil"/>
                  </w:tcBorders>
                  <w:shd w:val="clear" w:color="auto" w:fill="auto"/>
                  <w:noWrap/>
                  <w:vAlign w:val="center"/>
                  <w:hideMark/>
                </w:tcPr>
                <w:p w:rsidR="00E13258" w:rsidRPr="0035027D" w:rsidRDefault="00E13258" w:rsidP="007B1F06">
                  <w:pPr>
                    <w:spacing w:after="0"/>
                    <w:jc w:val="center"/>
                    <w:rPr>
                      <w:rFonts w:cs="Times New Roman"/>
                      <w:b/>
                      <w:bCs/>
                      <w:color w:val="000000"/>
                      <w:sz w:val="20"/>
                      <w:szCs w:val="20"/>
                    </w:rPr>
                  </w:pPr>
                  <w:r w:rsidRPr="0035027D">
                    <w:rPr>
                      <w:rFonts w:cs="Times New Roman"/>
                      <w:b/>
                      <w:bCs/>
                      <w:color w:val="000000"/>
                      <w:sz w:val="20"/>
                      <w:szCs w:val="20"/>
                    </w:rPr>
                    <w:t>1</w:t>
                  </w:r>
                </w:p>
              </w:tc>
              <w:tc>
                <w:tcPr>
                  <w:tcW w:w="3554" w:type="dxa"/>
                  <w:tcBorders>
                    <w:top w:val="nil"/>
                    <w:left w:val="nil"/>
                    <w:bottom w:val="nil"/>
                    <w:right w:val="nil"/>
                  </w:tcBorders>
                  <w:shd w:val="clear" w:color="auto" w:fill="auto"/>
                  <w:noWrap/>
                  <w:vAlign w:val="center"/>
                  <w:hideMark/>
                </w:tcPr>
                <w:p w:rsidR="00E13258" w:rsidRPr="0035027D" w:rsidRDefault="00E13258" w:rsidP="007B1F06">
                  <w:pPr>
                    <w:spacing w:after="0"/>
                    <w:jc w:val="left"/>
                    <w:rPr>
                      <w:rFonts w:cs="Times New Roman"/>
                      <w:b/>
                      <w:bCs/>
                      <w:color w:val="000000"/>
                      <w:sz w:val="20"/>
                      <w:szCs w:val="20"/>
                    </w:rPr>
                  </w:pPr>
                  <w:r w:rsidRPr="0035027D">
                    <w:rPr>
                      <w:rFonts w:cs="Times New Roman"/>
                      <w:b/>
                      <w:bCs/>
                      <w:color w:val="000000"/>
                      <w:sz w:val="20"/>
                      <w:szCs w:val="20"/>
                    </w:rPr>
                    <w:t>Ukazovateľ dlhodobej udržateľnosti (GAP)</w:t>
                  </w:r>
                </w:p>
              </w:tc>
              <w:tc>
                <w:tcPr>
                  <w:tcW w:w="4144" w:type="dxa"/>
                  <w:tcBorders>
                    <w:top w:val="nil"/>
                    <w:left w:val="single" w:sz="8" w:space="0" w:color="auto"/>
                    <w:bottom w:val="nil"/>
                    <w:right w:val="single" w:sz="8" w:space="0" w:color="auto"/>
                  </w:tcBorders>
                  <w:shd w:val="clear" w:color="auto" w:fill="auto"/>
                  <w:vAlign w:val="center"/>
                  <w:hideMark/>
                </w:tcPr>
                <w:p w:rsidR="00E13258" w:rsidRPr="0035027D" w:rsidRDefault="00E13258" w:rsidP="007B1F06">
                  <w:pPr>
                    <w:spacing w:after="0"/>
                    <w:jc w:val="center"/>
                    <w:rPr>
                      <w:rFonts w:cs="Times New Roman"/>
                      <w:color w:val="000000"/>
                      <w:sz w:val="20"/>
                      <w:szCs w:val="20"/>
                    </w:rPr>
                  </w:pPr>
                  <w:r w:rsidRPr="0035027D">
                    <w:rPr>
                      <w:rFonts w:cs="Times New Roman"/>
                      <w:color w:val="000000"/>
                      <w:sz w:val="20"/>
                      <w:szCs w:val="20"/>
                    </w:rPr>
                    <w:t>MF SR</w:t>
                  </w:r>
                </w:p>
              </w:tc>
            </w:tr>
            <w:tr w:rsidR="00E13258" w:rsidRPr="0035027D" w:rsidTr="00E13258">
              <w:trPr>
                <w:trHeight w:val="300"/>
                <w:jc w:val="center"/>
              </w:trPr>
              <w:tc>
                <w:tcPr>
                  <w:tcW w:w="521" w:type="dxa"/>
                  <w:tcBorders>
                    <w:top w:val="nil"/>
                    <w:left w:val="single" w:sz="8" w:space="0" w:color="auto"/>
                    <w:bottom w:val="nil"/>
                    <w:right w:val="nil"/>
                  </w:tcBorders>
                  <w:shd w:val="clear" w:color="auto" w:fill="auto"/>
                  <w:textDirection w:val="btLr"/>
                  <w:vAlign w:val="center"/>
                  <w:hideMark/>
                </w:tcPr>
                <w:p w:rsidR="00E13258" w:rsidRPr="0035027D" w:rsidRDefault="00E13258" w:rsidP="007B1F06">
                  <w:pPr>
                    <w:spacing w:after="0"/>
                    <w:jc w:val="center"/>
                    <w:rPr>
                      <w:rFonts w:cs="Times New Roman"/>
                      <w:b/>
                      <w:bCs/>
                      <w:color w:val="000000"/>
                      <w:sz w:val="20"/>
                      <w:szCs w:val="20"/>
                    </w:rPr>
                  </w:pPr>
                  <w:r w:rsidRPr="0035027D">
                    <w:rPr>
                      <w:rFonts w:cs="Times New Roman"/>
                      <w:b/>
                      <w:bCs/>
                      <w:color w:val="000000"/>
                      <w:sz w:val="20"/>
                      <w:szCs w:val="20"/>
                    </w:rPr>
                    <w:t> </w:t>
                  </w:r>
                </w:p>
              </w:tc>
              <w:tc>
                <w:tcPr>
                  <w:tcW w:w="323" w:type="dxa"/>
                  <w:tcBorders>
                    <w:top w:val="nil"/>
                    <w:left w:val="nil"/>
                    <w:bottom w:val="nil"/>
                    <w:right w:val="nil"/>
                  </w:tcBorders>
                  <w:shd w:val="clear" w:color="auto" w:fill="auto"/>
                  <w:noWrap/>
                  <w:vAlign w:val="center"/>
                  <w:hideMark/>
                </w:tcPr>
                <w:p w:rsidR="00E13258" w:rsidRPr="0035027D" w:rsidRDefault="00E13258" w:rsidP="007B1F06">
                  <w:pPr>
                    <w:spacing w:after="0"/>
                    <w:jc w:val="center"/>
                    <w:rPr>
                      <w:rFonts w:cs="Times New Roman"/>
                      <w:b/>
                      <w:bCs/>
                      <w:color w:val="000000"/>
                      <w:sz w:val="20"/>
                      <w:szCs w:val="20"/>
                    </w:rPr>
                  </w:pPr>
                  <w:r w:rsidRPr="0035027D">
                    <w:rPr>
                      <w:rFonts w:cs="Times New Roman"/>
                      <w:b/>
                      <w:bCs/>
                      <w:color w:val="000000"/>
                      <w:sz w:val="20"/>
                      <w:szCs w:val="20"/>
                    </w:rPr>
                    <w:t>2</w:t>
                  </w:r>
                </w:p>
              </w:tc>
              <w:tc>
                <w:tcPr>
                  <w:tcW w:w="3554" w:type="dxa"/>
                  <w:tcBorders>
                    <w:top w:val="nil"/>
                    <w:left w:val="nil"/>
                    <w:bottom w:val="nil"/>
                    <w:right w:val="nil"/>
                  </w:tcBorders>
                  <w:shd w:val="clear" w:color="auto" w:fill="auto"/>
                  <w:noWrap/>
                  <w:vAlign w:val="center"/>
                  <w:hideMark/>
                </w:tcPr>
                <w:p w:rsidR="00E13258" w:rsidRPr="0035027D" w:rsidRDefault="00E13258" w:rsidP="007B1F06">
                  <w:pPr>
                    <w:spacing w:after="0"/>
                    <w:jc w:val="left"/>
                    <w:rPr>
                      <w:rFonts w:cs="Times New Roman"/>
                      <w:b/>
                      <w:bCs/>
                      <w:color w:val="000000"/>
                      <w:sz w:val="20"/>
                      <w:szCs w:val="20"/>
                    </w:rPr>
                  </w:pPr>
                  <w:r w:rsidRPr="0035027D">
                    <w:rPr>
                      <w:rFonts w:cs="Times New Roman"/>
                      <w:b/>
                      <w:bCs/>
                      <w:color w:val="000000"/>
                      <w:sz w:val="20"/>
                      <w:szCs w:val="20"/>
                    </w:rPr>
                    <w:t>Efektívnosť výberu DPH</w:t>
                  </w:r>
                </w:p>
              </w:tc>
              <w:tc>
                <w:tcPr>
                  <w:tcW w:w="4144" w:type="dxa"/>
                  <w:tcBorders>
                    <w:top w:val="nil"/>
                    <w:left w:val="single" w:sz="8" w:space="0" w:color="auto"/>
                    <w:bottom w:val="single" w:sz="8" w:space="0" w:color="auto"/>
                    <w:right w:val="single" w:sz="8" w:space="0" w:color="auto"/>
                  </w:tcBorders>
                  <w:shd w:val="clear" w:color="auto" w:fill="auto"/>
                  <w:vAlign w:val="center"/>
                  <w:hideMark/>
                </w:tcPr>
                <w:p w:rsidR="00E13258" w:rsidRPr="0035027D" w:rsidRDefault="00E13258" w:rsidP="007B1F06">
                  <w:pPr>
                    <w:spacing w:after="0"/>
                    <w:jc w:val="center"/>
                    <w:rPr>
                      <w:rFonts w:cs="Times New Roman"/>
                      <w:color w:val="000000"/>
                      <w:sz w:val="20"/>
                      <w:szCs w:val="20"/>
                    </w:rPr>
                  </w:pPr>
                  <w:r w:rsidRPr="0035027D">
                    <w:rPr>
                      <w:rFonts w:cs="Times New Roman"/>
                      <w:color w:val="000000"/>
                      <w:sz w:val="20"/>
                      <w:szCs w:val="20"/>
                    </w:rPr>
                    <w:t>MF SR</w:t>
                  </w:r>
                </w:p>
              </w:tc>
            </w:tr>
            <w:tr w:rsidR="00E13258" w:rsidRPr="0035027D" w:rsidTr="00E13258">
              <w:trPr>
                <w:trHeight w:val="300"/>
                <w:jc w:val="center"/>
              </w:trPr>
              <w:tc>
                <w:tcPr>
                  <w:tcW w:w="8542" w:type="dxa"/>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E13258" w:rsidRPr="0035027D" w:rsidRDefault="00E13258" w:rsidP="007B1F06">
                  <w:pPr>
                    <w:spacing w:after="0"/>
                    <w:jc w:val="left"/>
                    <w:rPr>
                      <w:rFonts w:cs="Times New Roman"/>
                      <w:b/>
                      <w:bCs/>
                      <w:color w:val="000000"/>
                      <w:sz w:val="20"/>
                      <w:szCs w:val="20"/>
                    </w:rPr>
                  </w:pPr>
                  <w:r w:rsidRPr="0035027D">
                    <w:rPr>
                      <w:rFonts w:cs="Times New Roman"/>
                      <w:b/>
                      <w:bCs/>
                      <w:color w:val="000000"/>
                      <w:sz w:val="20"/>
                      <w:szCs w:val="20"/>
                    </w:rPr>
                    <w:t>Vzdelávanie, veda a inovácie</w:t>
                  </w:r>
                </w:p>
              </w:tc>
            </w:tr>
            <w:tr w:rsidR="00E13258" w:rsidRPr="0035027D" w:rsidTr="00E13258">
              <w:trPr>
                <w:trHeight w:val="300"/>
                <w:jc w:val="center"/>
              </w:trPr>
              <w:tc>
                <w:tcPr>
                  <w:tcW w:w="521" w:type="dxa"/>
                  <w:tcBorders>
                    <w:top w:val="nil"/>
                    <w:left w:val="single" w:sz="8" w:space="0" w:color="auto"/>
                    <w:bottom w:val="nil"/>
                    <w:right w:val="nil"/>
                  </w:tcBorders>
                  <w:shd w:val="clear" w:color="auto" w:fill="auto"/>
                  <w:noWrap/>
                  <w:vAlign w:val="bottom"/>
                  <w:hideMark/>
                </w:tcPr>
                <w:p w:rsidR="00E13258" w:rsidRPr="0035027D" w:rsidRDefault="00E13258" w:rsidP="007B1F06">
                  <w:pPr>
                    <w:spacing w:after="0"/>
                    <w:jc w:val="left"/>
                    <w:rPr>
                      <w:rFonts w:cs="Times New Roman"/>
                      <w:b/>
                      <w:bCs/>
                      <w:color w:val="000000"/>
                      <w:sz w:val="20"/>
                      <w:szCs w:val="20"/>
                    </w:rPr>
                  </w:pPr>
                  <w:r w:rsidRPr="0035027D">
                    <w:rPr>
                      <w:rFonts w:cs="Times New Roman"/>
                      <w:b/>
                      <w:bCs/>
                      <w:color w:val="000000"/>
                      <w:sz w:val="20"/>
                      <w:szCs w:val="20"/>
                    </w:rPr>
                    <w:t> </w:t>
                  </w:r>
                </w:p>
              </w:tc>
              <w:tc>
                <w:tcPr>
                  <w:tcW w:w="323" w:type="dxa"/>
                  <w:tcBorders>
                    <w:top w:val="nil"/>
                    <w:left w:val="nil"/>
                    <w:bottom w:val="nil"/>
                    <w:right w:val="nil"/>
                  </w:tcBorders>
                  <w:shd w:val="clear" w:color="auto" w:fill="auto"/>
                  <w:noWrap/>
                  <w:vAlign w:val="center"/>
                  <w:hideMark/>
                </w:tcPr>
                <w:p w:rsidR="00E13258" w:rsidRPr="0035027D" w:rsidRDefault="00E13258" w:rsidP="007B1F06">
                  <w:pPr>
                    <w:spacing w:after="0"/>
                    <w:jc w:val="center"/>
                    <w:rPr>
                      <w:rFonts w:cs="Times New Roman"/>
                      <w:b/>
                      <w:bCs/>
                      <w:color w:val="000000"/>
                      <w:sz w:val="20"/>
                      <w:szCs w:val="20"/>
                    </w:rPr>
                  </w:pPr>
                  <w:r w:rsidRPr="0035027D">
                    <w:rPr>
                      <w:rFonts w:cs="Times New Roman"/>
                      <w:b/>
                      <w:bCs/>
                      <w:color w:val="000000"/>
                      <w:sz w:val="20"/>
                      <w:szCs w:val="20"/>
                    </w:rPr>
                    <w:t>3</w:t>
                  </w:r>
                </w:p>
              </w:tc>
              <w:tc>
                <w:tcPr>
                  <w:tcW w:w="3554" w:type="dxa"/>
                  <w:tcBorders>
                    <w:top w:val="nil"/>
                    <w:left w:val="nil"/>
                    <w:bottom w:val="nil"/>
                    <w:right w:val="nil"/>
                  </w:tcBorders>
                  <w:shd w:val="clear" w:color="auto" w:fill="auto"/>
                  <w:noWrap/>
                  <w:vAlign w:val="center"/>
                  <w:hideMark/>
                </w:tcPr>
                <w:p w:rsidR="00E13258" w:rsidRPr="0035027D" w:rsidRDefault="00E13258" w:rsidP="007B1F06">
                  <w:pPr>
                    <w:spacing w:after="0"/>
                    <w:rPr>
                      <w:rFonts w:cs="Times New Roman"/>
                      <w:b/>
                      <w:bCs/>
                      <w:color w:val="000000"/>
                      <w:sz w:val="20"/>
                      <w:szCs w:val="20"/>
                    </w:rPr>
                  </w:pPr>
                  <w:r w:rsidRPr="0035027D">
                    <w:rPr>
                      <w:rFonts w:cs="Times New Roman"/>
                      <w:b/>
                      <w:bCs/>
                      <w:color w:val="000000"/>
                      <w:sz w:val="20"/>
                      <w:szCs w:val="20"/>
                    </w:rPr>
                    <w:t>PISA</w:t>
                  </w:r>
                </w:p>
              </w:tc>
              <w:tc>
                <w:tcPr>
                  <w:tcW w:w="4144" w:type="dxa"/>
                  <w:tcBorders>
                    <w:top w:val="nil"/>
                    <w:left w:val="single" w:sz="8" w:space="0" w:color="auto"/>
                    <w:bottom w:val="nil"/>
                    <w:right w:val="single" w:sz="8" w:space="0" w:color="auto"/>
                  </w:tcBorders>
                  <w:shd w:val="clear" w:color="auto" w:fill="auto"/>
                  <w:vAlign w:val="center"/>
                  <w:hideMark/>
                </w:tcPr>
                <w:p w:rsidR="00E13258" w:rsidRPr="0035027D" w:rsidRDefault="00E13258" w:rsidP="007B1F06">
                  <w:pPr>
                    <w:spacing w:after="0"/>
                    <w:jc w:val="center"/>
                    <w:rPr>
                      <w:rFonts w:cs="Times New Roman"/>
                      <w:color w:val="000000"/>
                      <w:sz w:val="20"/>
                      <w:szCs w:val="20"/>
                    </w:rPr>
                  </w:pPr>
                  <w:r w:rsidRPr="0035027D">
                    <w:rPr>
                      <w:rFonts w:cs="Times New Roman"/>
                      <w:color w:val="000000"/>
                      <w:sz w:val="20"/>
                      <w:szCs w:val="20"/>
                    </w:rPr>
                    <w:t>MŠVVaŠ SR</w:t>
                  </w:r>
                </w:p>
              </w:tc>
            </w:tr>
            <w:tr w:rsidR="00E13258" w:rsidRPr="0035027D" w:rsidTr="00E13258">
              <w:trPr>
                <w:trHeight w:val="300"/>
                <w:jc w:val="center"/>
              </w:trPr>
              <w:tc>
                <w:tcPr>
                  <w:tcW w:w="521" w:type="dxa"/>
                  <w:tcBorders>
                    <w:top w:val="nil"/>
                    <w:left w:val="single" w:sz="8" w:space="0" w:color="auto"/>
                    <w:bottom w:val="nil"/>
                    <w:right w:val="nil"/>
                  </w:tcBorders>
                  <w:shd w:val="clear" w:color="auto" w:fill="auto"/>
                  <w:textDirection w:val="btLr"/>
                  <w:vAlign w:val="center"/>
                  <w:hideMark/>
                </w:tcPr>
                <w:p w:rsidR="00E13258" w:rsidRPr="0035027D" w:rsidRDefault="00E13258" w:rsidP="007B1F06">
                  <w:pPr>
                    <w:spacing w:after="0"/>
                    <w:jc w:val="center"/>
                    <w:rPr>
                      <w:rFonts w:cs="Times New Roman"/>
                      <w:b/>
                      <w:bCs/>
                      <w:color w:val="000000"/>
                      <w:sz w:val="20"/>
                      <w:szCs w:val="20"/>
                    </w:rPr>
                  </w:pPr>
                  <w:r w:rsidRPr="0035027D">
                    <w:rPr>
                      <w:rFonts w:cs="Times New Roman"/>
                      <w:b/>
                      <w:bCs/>
                      <w:color w:val="000000"/>
                      <w:sz w:val="20"/>
                      <w:szCs w:val="20"/>
                    </w:rPr>
                    <w:t>EÚ</w:t>
                  </w:r>
                </w:p>
              </w:tc>
              <w:tc>
                <w:tcPr>
                  <w:tcW w:w="323" w:type="dxa"/>
                  <w:tcBorders>
                    <w:top w:val="nil"/>
                    <w:left w:val="nil"/>
                    <w:bottom w:val="nil"/>
                    <w:right w:val="nil"/>
                  </w:tcBorders>
                  <w:shd w:val="clear" w:color="auto" w:fill="auto"/>
                  <w:noWrap/>
                  <w:vAlign w:val="center"/>
                  <w:hideMark/>
                </w:tcPr>
                <w:p w:rsidR="00E13258" w:rsidRPr="0035027D" w:rsidRDefault="00E13258" w:rsidP="007B1F06">
                  <w:pPr>
                    <w:spacing w:after="0"/>
                    <w:jc w:val="center"/>
                    <w:rPr>
                      <w:rFonts w:cs="Times New Roman"/>
                      <w:b/>
                      <w:bCs/>
                      <w:color w:val="000000"/>
                      <w:sz w:val="20"/>
                      <w:szCs w:val="20"/>
                    </w:rPr>
                  </w:pPr>
                  <w:r w:rsidRPr="0035027D">
                    <w:rPr>
                      <w:rFonts w:cs="Times New Roman"/>
                      <w:b/>
                      <w:bCs/>
                      <w:color w:val="000000"/>
                      <w:sz w:val="20"/>
                      <w:szCs w:val="20"/>
                    </w:rPr>
                    <w:t>4</w:t>
                  </w:r>
                </w:p>
              </w:tc>
              <w:tc>
                <w:tcPr>
                  <w:tcW w:w="3554" w:type="dxa"/>
                  <w:tcBorders>
                    <w:top w:val="nil"/>
                    <w:left w:val="nil"/>
                    <w:bottom w:val="nil"/>
                    <w:right w:val="nil"/>
                  </w:tcBorders>
                  <w:shd w:val="clear" w:color="auto" w:fill="auto"/>
                  <w:noWrap/>
                  <w:vAlign w:val="center"/>
                  <w:hideMark/>
                </w:tcPr>
                <w:p w:rsidR="00E13258" w:rsidRPr="0035027D" w:rsidRDefault="00E13258" w:rsidP="007B1F06">
                  <w:pPr>
                    <w:spacing w:after="0"/>
                    <w:jc w:val="left"/>
                    <w:rPr>
                      <w:rFonts w:cs="Times New Roman"/>
                      <w:b/>
                      <w:bCs/>
                      <w:color w:val="000000"/>
                      <w:sz w:val="20"/>
                      <w:szCs w:val="20"/>
                    </w:rPr>
                  </w:pPr>
                  <w:r w:rsidRPr="0035027D">
                    <w:rPr>
                      <w:rFonts w:cs="Times New Roman"/>
                      <w:b/>
                      <w:bCs/>
                      <w:color w:val="000000"/>
                      <w:sz w:val="20"/>
                      <w:szCs w:val="20"/>
                    </w:rPr>
                    <w:t>Predčasné ukončenie školskej dochádzky</w:t>
                  </w:r>
                </w:p>
              </w:tc>
              <w:tc>
                <w:tcPr>
                  <w:tcW w:w="4144" w:type="dxa"/>
                  <w:tcBorders>
                    <w:top w:val="nil"/>
                    <w:left w:val="single" w:sz="8" w:space="0" w:color="auto"/>
                    <w:bottom w:val="nil"/>
                    <w:right w:val="single" w:sz="8" w:space="0" w:color="auto"/>
                  </w:tcBorders>
                  <w:shd w:val="clear" w:color="auto" w:fill="auto"/>
                  <w:vAlign w:val="center"/>
                  <w:hideMark/>
                </w:tcPr>
                <w:p w:rsidR="00E13258" w:rsidRPr="0035027D" w:rsidRDefault="00E13258" w:rsidP="007B1F06">
                  <w:pPr>
                    <w:spacing w:after="0"/>
                    <w:jc w:val="center"/>
                    <w:rPr>
                      <w:rFonts w:cs="Times New Roman"/>
                      <w:color w:val="000000"/>
                      <w:sz w:val="20"/>
                      <w:szCs w:val="20"/>
                    </w:rPr>
                  </w:pPr>
                  <w:r w:rsidRPr="0035027D">
                    <w:rPr>
                      <w:rFonts w:cs="Times New Roman"/>
                      <w:color w:val="000000"/>
                      <w:sz w:val="20"/>
                      <w:szCs w:val="20"/>
                    </w:rPr>
                    <w:t>MŠVVaŠ SR</w:t>
                  </w:r>
                </w:p>
              </w:tc>
            </w:tr>
            <w:tr w:rsidR="00E13258" w:rsidRPr="0035027D" w:rsidTr="00E13258">
              <w:trPr>
                <w:trHeight w:val="300"/>
                <w:jc w:val="center"/>
              </w:trPr>
              <w:tc>
                <w:tcPr>
                  <w:tcW w:w="521" w:type="dxa"/>
                  <w:tcBorders>
                    <w:top w:val="nil"/>
                    <w:left w:val="single" w:sz="8" w:space="0" w:color="auto"/>
                    <w:bottom w:val="nil"/>
                    <w:right w:val="nil"/>
                  </w:tcBorders>
                  <w:shd w:val="clear" w:color="auto" w:fill="auto"/>
                  <w:textDirection w:val="btLr"/>
                  <w:vAlign w:val="center"/>
                  <w:hideMark/>
                </w:tcPr>
                <w:p w:rsidR="00E13258" w:rsidRPr="0035027D" w:rsidRDefault="00E13258" w:rsidP="007B1F06">
                  <w:pPr>
                    <w:spacing w:after="0"/>
                    <w:jc w:val="center"/>
                    <w:rPr>
                      <w:rFonts w:cs="Times New Roman"/>
                      <w:b/>
                      <w:bCs/>
                      <w:color w:val="000000"/>
                      <w:sz w:val="20"/>
                      <w:szCs w:val="20"/>
                    </w:rPr>
                  </w:pPr>
                  <w:r w:rsidRPr="0035027D">
                    <w:rPr>
                      <w:rFonts w:cs="Times New Roman"/>
                      <w:b/>
                      <w:bCs/>
                      <w:color w:val="000000"/>
                      <w:sz w:val="20"/>
                      <w:szCs w:val="20"/>
                    </w:rPr>
                    <w:t> </w:t>
                  </w:r>
                </w:p>
              </w:tc>
              <w:tc>
                <w:tcPr>
                  <w:tcW w:w="323" w:type="dxa"/>
                  <w:tcBorders>
                    <w:top w:val="nil"/>
                    <w:left w:val="nil"/>
                    <w:bottom w:val="nil"/>
                    <w:right w:val="nil"/>
                  </w:tcBorders>
                  <w:shd w:val="clear" w:color="auto" w:fill="auto"/>
                  <w:noWrap/>
                  <w:vAlign w:val="center"/>
                  <w:hideMark/>
                </w:tcPr>
                <w:p w:rsidR="00E13258" w:rsidRPr="0035027D" w:rsidRDefault="00E13258" w:rsidP="007B1F06">
                  <w:pPr>
                    <w:spacing w:after="0"/>
                    <w:jc w:val="center"/>
                    <w:rPr>
                      <w:rFonts w:cs="Times New Roman"/>
                      <w:b/>
                      <w:bCs/>
                      <w:color w:val="000000"/>
                      <w:sz w:val="20"/>
                      <w:szCs w:val="20"/>
                    </w:rPr>
                  </w:pPr>
                  <w:r w:rsidRPr="0035027D">
                    <w:rPr>
                      <w:rFonts w:cs="Times New Roman"/>
                      <w:b/>
                      <w:bCs/>
                      <w:color w:val="000000"/>
                      <w:sz w:val="20"/>
                      <w:szCs w:val="20"/>
                    </w:rPr>
                    <w:t>5</w:t>
                  </w:r>
                </w:p>
              </w:tc>
              <w:tc>
                <w:tcPr>
                  <w:tcW w:w="3554" w:type="dxa"/>
                  <w:tcBorders>
                    <w:top w:val="nil"/>
                    <w:left w:val="nil"/>
                    <w:bottom w:val="nil"/>
                    <w:right w:val="nil"/>
                  </w:tcBorders>
                  <w:shd w:val="clear" w:color="auto" w:fill="auto"/>
                  <w:noWrap/>
                  <w:vAlign w:val="center"/>
                  <w:hideMark/>
                </w:tcPr>
                <w:p w:rsidR="00E13258" w:rsidRPr="0035027D" w:rsidRDefault="00E13258" w:rsidP="007B1F06">
                  <w:pPr>
                    <w:spacing w:after="0"/>
                    <w:jc w:val="left"/>
                    <w:rPr>
                      <w:rFonts w:cs="Times New Roman"/>
                      <w:b/>
                      <w:bCs/>
                      <w:color w:val="000000"/>
                      <w:sz w:val="20"/>
                      <w:szCs w:val="20"/>
                    </w:rPr>
                  </w:pPr>
                  <w:r w:rsidRPr="0035027D">
                    <w:rPr>
                      <w:rFonts w:cs="Times New Roman"/>
                      <w:b/>
                      <w:bCs/>
                      <w:color w:val="000000"/>
                      <w:sz w:val="20"/>
                      <w:szCs w:val="20"/>
                    </w:rPr>
                    <w:t>Citácie</w:t>
                  </w:r>
                </w:p>
              </w:tc>
              <w:tc>
                <w:tcPr>
                  <w:tcW w:w="4144" w:type="dxa"/>
                  <w:tcBorders>
                    <w:top w:val="nil"/>
                    <w:left w:val="single" w:sz="8" w:space="0" w:color="auto"/>
                    <w:bottom w:val="nil"/>
                    <w:right w:val="single" w:sz="8" w:space="0" w:color="auto"/>
                  </w:tcBorders>
                  <w:shd w:val="clear" w:color="auto" w:fill="auto"/>
                  <w:vAlign w:val="center"/>
                  <w:hideMark/>
                </w:tcPr>
                <w:p w:rsidR="00E13258" w:rsidRPr="0035027D" w:rsidRDefault="00E13258" w:rsidP="007B1F06">
                  <w:pPr>
                    <w:spacing w:after="0"/>
                    <w:jc w:val="center"/>
                    <w:rPr>
                      <w:rFonts w:cs="Times New Roman"/>
                      <w:color w:val="000000"/>
                      <w:sz w:val="20"/>
                      <w:szCs w:val="20"/>
                    </w:rPr>
                  </w:pPr>
                  <w:r w:rsidRPr="0035027D">
                    <w:rPr>
                      <w:rFonts w:cs="Times New Roman"/>
                      <w:color w:val="000000"/>
                      <w:sz w:val="20"/>
                      <w:szCs w:val="20"/>
                    </w:rPr>
                    <w:t>MŠVVaŠ SR</w:t>
                  </w:r>
                </w:p>
              </w:tc>
            </w:tr>
            <w:tr w:rsidR="00E13258" w:rsidRPr="0035027D" w:rsidTr="00E13258">
              <w:trPr>
                <w:trHeight w:val="300"/>
                <w:jc w:val="center"/>
              </w:trPr>
              <w:tc>
                <w:tcPr>
                  <w:tcW w:w="521" w:type="dxa"/>
                  <w:tcBorders>
                    <w:top w:val="nil"/>
                    <w:left w:val="single" w:sz="8" w:space="0" w:color="auto"/>
                    <w:bottom w:val="nil"/>
                    <w:right w:val="nil"/>
                  </w:tcBorders>
                  <w:shd w:val="clear" w:color="auto" w:fill="auto"/>
                  <w:textDirection w:val="btLr"/>
                  <w:vAlign w:val="center"/>
                  <w:hideMark/>
                </w:tcPr>
                <w:p w:rsidR="00E13258" w:rsidRPr="0035027D" w:rsidRDefault="00E13258" w:rsidP="007B1F06">
                  <w:pPr>
                    <w:spacing w:after="0"/>
                    <w:jc w:val="center"/>
                    <w:rPr>
                      <w:rFonts w:cs="Times New Roman"/>
                      <w:b/>
                      <w:bCs/>
                      <w:color w:val="000000"/>
                      <w:sz w:val="20"/>
                      <w:szCs w:val="20"/>
                    </w:rPr>
                  </w:pPr>
                  <w:r w:rsidRPr="0035027D">
                    <w:rPr>
                      <w:rFonts w:cs="Times New Roman"/>
                      <w:b/>
                      <w:bCs/>
                      <w:color w:val="000000"/>
                      <w:sz w:val="20"/>
                      <w:szCs w:val="20"/>
                    </w:rPr>
                    <w:t>EÚ</w:t>
                  </w:r>
                </w:p>
              </w:tc>
              <w:tc>
                <w:tcPr>
                  <w:tcW w:w="323" w:type="dxa"/>
                  <w:tcBorders>
                    <w:top w:val="nil"/>
                    <w:left w:val="nil"/>
                    <w:bottom w:val="nil"/>
                    <w:right w:val="nil"/>
                  </w:tcBorders>
                  <w:shd w:val="clear" w:color="auto" w:fill="auto"/>
                  <w:noWrap/>
                  <w:vAlign w:val="center"/>
                  <w:hideMark/>
                </w:tcPr>
                <w:p w:rsidR="00E13258" w:rsidRPr="0035027D" w:rsidRDefault="00E13258" w:rsidP="007B1F06">
                  <w:pPr>
                    <w:spacing w:after="0"/>
                    <w:jc w:val="center"/>
                    <w:rPr>
                      <w:rFonts w:cs="Times New Roman"/>
                      <w:b/>
                      <w:bCs/>
                      <w:color w:val="000000"/>
                      <w:sz w:val="20"/>
                      <w:szCs w:val="20"/>
                    </w:rPr>
                  </w:pPr>
                  <w:r w:rsidRPr="0035027D">
                    <w:rPr>
                      <w:rFonts w:cs="Times New Roman"/>
                      <w:b/>
                      <w:bCs/>
                      <w:color w:val="000000"/>
                      <w:sz w:val="20"/>
                      <w:szCs w:val="20"/>
                    </w:rPr>
                    <w:t>6</w:t>
                  </w:r>
                </w:p>
              </w:tc>
              <w:tc>
                <w:tcPr>
                  <w:tcW w:w="3554" w:type="dxa"/>
                  <w:tcBorders>
                    <w:top w:val="nil"/>
                    <w:left w:val="nil"/>
                    <w:bottom w:val="nil"/>
                    <w:right w:val="nil"/>
                  </w:tcBorders>
                  <w:shd w:val="clear" w:color="auto" w:fill="auto"/>
                  <w:noWrap/>
                  <w:vAlign w:val="center"/>
                  <w:hideMark/>
                </w:tcPr>
                <w:p w:rsidR="00E13258" w:rsidRPr="0035027D" w:rsidRDefault="00E13258" w:rsidP="007B1F06">
                  <w:pPr>
                    <w:spacing w:after="0"/>
                    <w:jc w:val="left"/>
                    <w:rPr>
                      <w:rFonts w:cs="Times New Roman"/>
                      <w:b/>
                      <w:bCs/>
                      <w:color w:val="000000"/>
                      <w:sz w:val="20"/>
                      <w:szCs w:val="20"/>
                    </w:rPr>
                  </w:pPr>
                  <w:r w:rsidRPr="0035027D">
                    <w:rPr>
                      <w:rFonts w:cs="Times New Roman"/>
                      <w:b/>
                      <w:bCs/>
                      <w:color w:val="000000"/>
                      <w:sz w:val="20"/>
                      <w:szCs w:val="20"/>
                    </w:rPr>
                    <w:t>Miera vysokoškolsky vzdelanej populácie</w:t>
                  </w:r>
                </w:p>
              </w:tc>
              <w:tc>
                <w:tcPr>
                  <w:tcW w:w="4144" w:type="dxa"/>
                  <w:tcBorders>
                    <w:top w:val="nil"/>
                    <w:left w:val="single" w:sz="8" w:space="0" w:color="auto"/>
                    <w:bottom w:val="nil"/>
                    <w:right w:val="single" w:sz="8" w:space="0" w:color="auto"/>
                  </w:tcBorders>
                  <w:shd w:val="clear" w:color="auto" w:fill="auto"/>
                  <w:vAlign w:val="center"/>
                  <w:hideMark/>
                </w:tcPr>
                <w:p w:rsidR="00E13258" w:rsidRPr="0035027D" w:rsidRDefault="00E13258" w:rsidP="007B1F06">
                  <w:pPr>
                    <w:spacing w:after="0"/>
                    <w:jc w:val="center"/>
                    <w:rPr>
                      <w:rFonts w:cs="Times New Roman"/>
                      <w:color w:val="000000"/>
                      <w:sz w:val="20"/>
                      <w:szCs w:val="20"/>
                    </w:rPr>
                  </w:pPr>
                  <w:r w:rsidRPr="0035027D">
                    <w:rPr>
                      <w:rFonts w:cs="Times New Roman"/>
                      <w:color w:val="000000"/>
                      <w:sz w:val="20"/>
                      <w:szCs w:val="20"/>
                    </w:rPr>
                    <w:t>MŠVVaŠ SR</w:t>
                  </w:r>
                </w:p>
              </w:tc>
            </w:tr>
            <w:tr w:rsidR="00E13258" w:rsidRPr="0035027D" w:rsidTr="003A5957">
              <w:trPr>
                <w:trHeight w:val="300"/>
                <w:jc w:val="center"/>
              </w:trPr>
              <w:tc>
                <w:tcPr>
                  <w:tcW w:w="521" w:type="dxa"/>
                  <w:tcBorders>
                    <w:top w:val="nil"/>
                    <w:left w:val="single" w:sz="8" w:space="0" w:color="auto"/>
                    <w:right w:val="nil"/>
                  </w:tcBorders>
                  <w:shd w:val="clear" w:color="auto" w:fill="auto"/>
                  <w:textDirection w:val="btLr"/>
                  <w:vAlign w:val="center"/>
                  <w:hideMark/>
                </w:tcPr>
                <w:p w:rsidR="00E13258" w:rsidRPr="0035027D" w:rsidRDefault="00E13258" w:rsidP="007B1F06">
                  <w:pPr>
                    <w:spacing w:after="0"/>
                    <w:jc w:val="center"/>
                    <w:rPr>
                      <w:rFonts w:cs="Times New Roman"/>
                      <w:b/>
                      <w:bCs/>
                      <w:color w:val="000000"/>
                      <w:sz w:val="20"/>
                      <w:szCs w:val="20"/>
                    </w:rPr>
                  </w:pPr>
                  <w:r w:rsidRPr="0035027D">
                    <w:rPr>
                      <w:rFonts w:cs="Times New Roman"/>
                      <w:b/>
                      <w:bCs/>
                      <w:color w:val="000000"/>
                      <w:sz w:val="20"/>
                      <w:szCs w:val="20"/>
                    </w:rPr>
                    <w:t>EÚ</w:t>
                  </w:r>
                </w:p>
              </w:tc>
              <w:tc>
                <w:tcPr>
                  <w:tcW w:w="323" w:type="dxa"/>
                  <w:tcBorders>
                    <w:top w:val="nil"/>
                    <w:left w:val="nil"/>
                    <w:right w:val="nil"/>
                  </w:tcBorders>
                  <w:shd w:val="clear" w:color="auto" w:fill="auto"/>
                  <w:noWrap/>
                  <w:vAlign w:val="center"/>
                  <w:hideMark/>
                </w:tcPr>
                <w:p w:rsidR="00E13258" w:rsidRPr="0035027D" w:rsidRDefault="00E13258" w:rsidP="007B1F06">
                  <w:pPr>
                    <w:spacing w:after="0"/>
                    <w:jc w:val="center"/>
                    <w:rPr>
                      <w:rFonts w:cs="Times New Roman"/>
                      <w:b/>
                      <w:bCs/>
                      <w:color w:val="000000"/>
                      <w:sz w:val="20"/>
                      <w:szCs w:val="20"/>
                    </w:rPr>
                  </w:pPr>
                  <w:r w:rsidRPr="0035027D">
                    <w:rPr>
                      <w:rFonts w:cs="Times New Roman"/>
                      <w:b/>
                      <w:bCs/>
                      <w:color w:val="000000"/>
                      <w:sz w:val="20"/>
                      <w:szCs w:val="20"/>
                    </w:rPr>
                    <w:t>7</w:t>
                  </w:r>
                </w:p>
              </w:tc>
              <w:tc>
                <w:tcPr>
                  <w:tcW w:w="3554" w:type="dxa"/>
                  <w:tcBorders>
                    <w:top w:val="nil"/>
                    <w:left w:val="nil"/>
                    <w:right w:val="nil"/>
                  </w:tcBorders>
                  <w:shd w:val="clear" w:color="auto" w:fill="auto"/>
                  <w:noWrap/>
                  <w:vAlign w:val="center"/>
                  <w:hideMark/>
                </w:tcPr>
                <w:p w:rsidR="00E13258" w:rsidRPr="0035027D" w:rsidRDefault="00E13258" w:rsidP="007B1F06">
                  <w:pPr>
                    <w:spacing w:after="0"/>
                    <w:jc w:val="left"/>
                    <w:rPr>
                      <w:rFonts w:cs="Times New Roman"/>
                      <w:b/>
                      <w:bCs/>
                      <w:color w:val="000000"/>
                      <w:sz w:val="20"/>
                      <w:szCs w:val="20"/>
                    </w:rPr>
                  </w:pPr>
                  <w:r w:rsidRPr="0035027D">
                    <w:rPr>
                      <w:rFonts w:cs="Times New Roman"/>
                      <w:b/>
                      <w:bCs/>
                      <w:color w:val="000000"/>
                      <w:sz w:val="20"/>
                      <w:szCs w:val="20"/>
                    </w:rPr>
                    <w:t>Výdavky na vedu a výskum</w:t>
                  </w:r>
                </w:p>
              </w:tc>
              <w:tc>
                <w:tcPr>
                  <w:tcW w:w="4144" w:type="dxa"/>
                  <w:tcBorders>
                    <w:top w:val="nil"/>
                    <w:left w:val="single" w:sz="8" w:space="0" w:color="auto"/>
                    <w:right w:val="single" w:sz="8" w:space="0" w:color="auto"/>
                  </w:tcBorders>
                  <w:shd w:val="clear" w:color="auto" w:fill="auto"/>
                  <w:vAlign w:val="center"/>
                  <w:hideMark/>
                </w:tcPr>
                <w:p w:rsidR="00E13258" w:rsidRPr="0035027D" w:rsidRDefault="00E13258" w:rsidP="007B1F06">
                  <w:pPr>
                    <w:spacing w:after="0"/>
                    <w:jc w:val="center"/>
                    <w:rPr>
                      <w:rFonts w:cs="Times New Roman"/>
                      <w:color w:val="000000"/>
                      <w:sz w:val="20"/>
                      <w:szCs w:val="20"/>
                    </w:rPr>
                  </w:pPr>
                  <w:r w:rsidRPr="0035027D">
                    <w:rPr>
                      <w:rFonts w:cs="Times New Roman"/>
                      <w:color w:val="000000"/>
                      <w:sz w:val="20"/>
                      <w:szCs w:val="20"/>
                    </w:rPr>
                    <w:t>MŠVVaŠ SR, MH SR</w:t>
                  </w:r>
                </w:p>
              </w:tc>
            </w:tr>
            <w:tr w:rsidR="00E13258" w:rsidRPr="0035027D" w:rsidTr="003A5957">
              <w:trPr>
                <w:trHeight w:val="300"/>
                <w:jc w:val="center"/>
              </w:trPr>
              <w:tc>
                <w:tcPr>
                  <w:tcW w:w="521" w:type="dxa"/>
                  <w:tcBorders>
                    <w:top w:val="nil"/>
                    <w:left w:val="single" w:sz="8" w:space="0" w:color="auto"/>
                    <w:bottom w:val="single" w:sz="4" w:space="0" w:color="auto"/>
                    <w:right w:val="nil"/>
                  </w:tcBorders>
                  <w:shd w:val="clear" w:color="auto" w:fill="auto"/>
                  <w:textDirection w:val="btLr"/>
                  <w:vAlign w:val="center"/>
                  <w:hideMark/>
                </w:tcPr>
                <w:p w:rsidR="00E13258" w:rsidRPr="0035027D" w:rsidRDefault="00E13258" w:rsidP="007B1F06">
                  <w:pPr>
                    <w:spacing w:after="0"/>
                    <w:jc w:val="center"/>
                    <w:rPr>
                      <w:rFonts w:cs="Times New Roman"/>
                      <w:b/>
                      <w:bCs/>
                      <w:color w:val="000000"/>
                      <w:sz w:val="20"/>
                      <w:szCs w:val="20"/>
                    </w:rPr>
                  </w:pPr>
                  <w:r w:rsidRPr="0035027D">
                    <w:rPr>
                      <w:rFonts w:cs="Times New Roman"/>
                      <w:b/>
                      <w:bCs/>
                      <w:color w:val="000000"/>
                      <w:sz w:val="20"/>
                      <w:szCs w:val="20"/>
                    </w:rPr>
                    <w:t> </w:t>
                  </w:r>
                </w:p>
              </w:tc>
              <w:tc>
                <w:tcPr>
                  <w:tcW w:w="323" w:type="dxa"/>
                  <w:tcBorders>
                    <w:top w:val="nil"/>
                    <w:left w:val="nil"/>
                    <w:bottom w:val="single" w:sz="4" w:space="0" w:color="auto"/>
                    <w:right w:val="nil"/>
                  </w:tcBorders>
                  <w:shd w:val="clear" w:color="auto" w:fill="auto"/>
                  <w:noWrap/>
                  <w:vAlign w:val="center"/>
                  <w:hideMark/>
                </w:tcPr>
                <w:p w:rsidR="00E13258" w:rsidRPr="0035027D" w:rsidRDefault="00E13258" w:rsidP="007B1F06">
                  <w:pPr>
                    <w:spacing w:after="0"/>
                    <w:jc w:val="center"/>
                    <w:rPr>
                      <w:rFonts w:cs="Times New Roman"/>
                      <w:b/>
                      <w:bCs/>
                      <w:color w:val="000000"/>
                      <w:sz w:val="20"/>
                      <w:szCs w:val="20"/>
                    </w:rPr>
                  </w:pPr>
                  <w:r w:rsidRPr="0035027D">
                    <w:rPr>
                      <w:rFonts w:cs="Times New Roman"/>
                      <w:b/>
                      <w:bCs/>
                      <w:color w:val="000000"/>
                      <w:sz w:val="20"/>
                      <w:szCs w:val="20"/>
                    </w:rPr>
                    <w:t>8</w:t>
                  </w:r>
                </w:p>
              </w:tc>
              <w:tc>
                <w:tcPr>
                  <w:tcW w:w="3554" w:type="dxa"/>
                  <w:tcBorders>
                    <w:top w:val="nil"/>
                    <w:left w:val="nil"/>
                    <w:bottom w:val="single" w:sz="4" w:space="0" w:color="auto"/>
                    <w:right w:val="nil"/>
                  </w:tcBorders>
                  <w:shd w:val="clear" w:color="auto" w:fill="auto"/>
                  <w:noWrap/>
                  <w:vAlign w:val="center"/>
                  <w:hideMark/>
                </w:tcPr>
                <w:p w:rsidR="00E13258" w:rsidRPr="0035027D" w:rsidRDefault="00E13258" w:rsidP="007B1F06">
                  <w:pPr>
                    <w:spacing w:after="0"/>
                    <w:jc w:val="left"/>
                    <w:rPr>
                      <w:rFonts w:cs="Times New Roman"/>
                      <w:b/>
                      <w:bCs/>
                      <w:color w:val="000000"/>
                      <w:sz w:val="20"/>
                      <w:szCs w:val="20"/>
                    </w:rPr>
                  </w:pPr>
                  <w:r w:rsidRPr="0035027D">
                    <w:rPr>
                      <w:rFonts w:cs="Times New Roman"/>
                      <w:b/>
                      <w:bCs/>
                      <w:color w:val="000000"/>
                      <w:sz w:val="20"/>
                      <w:szCs w:val="20"/>
                    </w:rPr>
                    <w:t>High-tech export</w:t>
                  </w:r>
                </w:p>
              </w:tc>
              <w:tc>
                <w:tcPr>
                  <w:tcW w:w="4144" w:type="dxa"/>
                  <w:tcBorders>
                    <w:top w:val="nil"/>
                    <w:left w:val="single" w:sz="8" w:space="0" w:color="auto"/>
                    <w:bottom w:val="single" w:sz="4" w:space="0" w:color="auto"/>
                    <w:right w:val="single" w:sz="8" w:space="0" w:color="auto"/>
                  </w:tcBorders>
                  <w:shd w:val="clear" w:color="auto" w:fill="auto"/>
                  <w:vAlign w:val="center"/>
                  <w:hideMark/>
                </w:tcPr>
                <w:p w:rsidR="00E13258" w:rsidRPr="0035027D" w:rsidRDefault="00E13258" w:rsidP="007B1F06">
                  <w:pPr>
                    <w:spacing w:after="0"/>
                    <w:jc w:val="center"/>
                    <w:rPr>
                      <w:rFonts w:cs="Times New Roman"/>
                      <w:color w:val="000000"/>
                      <w:sz w:val="20"/>
                      <w:szCs w:val="20"/>
                    </w:rPr>
                  </w:pPr>
                  <w:r w:rsidRPr="0035027D">
                    <w:rPr>
                      <w:rFonts w:cs="Times New Roman"/>
                      <w:color w:val="000000"/>
                      <w:sz w:val="20"/>
                      <w:szCs w:val="20"/>
                    </w:rPr>
                    <w:t>MH SR</w:t>
                  </w:r>
                </w:p>
              </w:tc>
            </w:tr>
            <w:tr w:rsidR="00E13258" w:rsidRPr="0035027D" w:rsidTr="003A5957">
              <w:trPr>
                <w:trHeight w:val="300"/>
                <w:jc w:val="center"/>
              </w:trPr>
              <w:tc>
                <w:tcPr>
                  <w:tcW w:w="8542" w:type="dxa"/>
                  <w:gridSpan w:val="4"/>
                  <w:tcBorders>
                    <w:top w:val="single" w:sz="4" w:space="0" w:color="auto"/>
                    <w:left w:val="single" w:sz="8" w:space="0" w:color="auto"/>
                    <w:bottom w:val="single" w:sz="8" w:space="0" w:color="auto"/>
                    <w:right w:val="single" w:sz="8" w:space="0" w:color="000000"/>
                  </w:tcBorders>
                  <w:shd w:val="clear" w:color="000000" w:fill="D9D9D9"/>
                  <w:noWrap/>
                  <w:vAlign w:val="center"/>
                  <w:hideMark/>
                </w:tcPr>
                <w:p w:rsidR="00E13258" w:rsidRPr="0035027D" w:rsidRDefault="00E13258" w:rsidP="007B1F06">
                  <w:pPr>
                    <w:spacing w:after="0"/>
                    <w:jc w:val="left"/>
                    <w:rPr>
                      <w:rFonts w:cs="Times New Roman"/>
                      <w:b/>
                      <w:bCs/>
                      <w:color w:val="000000"/>
                      <w:sz w:val="20"/>
                      <w:szCs w:val="20"/>
                    </w:rPr>
                  </w:pPr>
                  <w:r w:rsidRPr="0035027D">
                    <w:rPr>
                      <w:rFonts w:cs="Times New Roman"/>
                      <w:b/>
                      <w:bCs/>
                      <w:color w:val="000000"/>
                      <w:sz w:val="20"/>
                      <w:szCs w:val="20"/>
                    </w:rPr>
                    <w:t>Zamestnanosť a sociálna inklúzia</w:t>
                  </w:r>
                </w:p>
              </w:tc>
            </w:tr>
            <w:tr w:rsidR="00E13258" w:rsidRPr="0035027D" w:rsidTr="00E13258">
              <w:trPr>
                <w:trHeight w:val="300"/>
                <w:jc w:val="center"/>
              </w:trPr>
              <w:tc>
                <w:tcPr>
                  <w:tcW w:w="521" w:type="dxa"/>
                  <w:tcBorders>
                    <w:top w:val="nil"/>
                    <w:left w:val="single" w:sz="8" w:space="0" w:color="auto"/>
                    <w:bottom w:val="nil"/>
                    <w:right w:val="nil"/>
                  </w:tcBorders>
                  <w:shd w:val="clear" w:color="auto" w:fill="auto"/>
                  <w:textDirection w:val="btLr"/>
                  <w:vAlign w:val="center"/>
                  <w:hideMark/>
                </w:tcPr>
                <w:p w:rsidR="00E13258" w:rsidRPr="0035027D" w:rsidRDefault="00E13258" w:rsidP="007B1F06">
                  <w:pPr>
                    <w:spacing w:after="0"/>
                    <w:jc w:val="center"/>
                    <w:rPr>
                      <w:rFonts w:cs="Times New Roman"/>
                      <w:b/>
                      <w:bCs/>
                      <w:color w:val="000000"/>
                      <w:sz w:val="20"/>
                      <w:szCs w:val="20"/>
                    </w:rPr>
                  </w:pPr>
                  <w:r w:rsidRPr="0035027D">
                    <w:rPr>
                      <w:rFonts w:cs="Times New Roman"/>
                      <w:b/>
                      <w:bCs/>
                      <w:color w:val="000000"/>
                      <w:sz w:val="20"/>
                      <w:szCs w:val="20"/>
                    </w:rPr>
                    <w:t> </w:t>
                  </w:r>
                </w:p>
              </w:tc>
              <w:tc>
                <w:tcPr>
                  <w:tcW w:w="323" w:type="dxa"/>
                  <w:tcBorders>
                    <w:top w:val="nil"/>
                    <w:left w:val="nil"/>
                    <w:bottom w:val="nil"/>
                    <w:right w:val="nil"/>
                  </w:tcBorders>
                  <w:shd w:val="clear" w:color="auto" w:fill="auto"/>
                  <w:noWrap/>
                  <w:vAlign w:val="center"/>
                  <w:hideMark/>
                </w:tcPr>
                <w:p w:rsidR="00E13258" w:rsidRPr="0035027D" w:rsidRDefault="00E13258" w:rsidP="007B1F06">
                  <w:pPr>
                    <w:spacing w:after="0"/>
                    <w:jc w:val="center"/>
                    <w:rPr>
                      <w:rFonts w:cs="Times New Roman"/>
                      <w:b/>
                      <w:bCs/>
                      <w:color w:val="000000"/>
                      <w:sz w:val="20"/>
                      <w:szCs w:val="20"/>
                    </w:rPr>
                  </w:pPr>
                  <w:r w:rsidRPr="0035027D">
                    <w:rPr>
                      <w:rFonts w:cs="Times New Roman"/>
                      <w:b/>
                      <w:bCs/>
                      <w:color w:val="000000"/>
                      <w:sz w:val="20"/>
                      <w:szCs w:val="20"/>
                    </w:rPr>
                    <w:t>9</w:t>
                  </w:r>
                </w:p>
              </w:tc>
              <w:tc>
                <w:tcPr>
                  <w:tcW w:w="3554" w:type="dxa"/>
                  <w:tcBorders>
                    <w:top w:val="nil"/>
                    <w:left w:val="nil"/>
                    <w:bottom w:val="nil"/>
                    <w:right w:val="nil"/>
                  </w:tcBorders>
                  <w:shd w:val="clear" w:color="auto" w:fill="auto"/>
                  <w:noWrap/>
                  <w:vAlign w:val="center"/>
                  <w:hideMark/>
                </w:tcPr>
                <w:p w:rsidR="00E13258" w:rsidRPr="0035027D" w:rsidRDefault="00E13258" w:rsidP="007B1F06">
                  <w:pPr>
                    <w:spacing w:after="0"/>
                    <w:jc w:val="left"/>
                    <w:rPr>
                      <w:rFonts w:cs="Times New Roman"/>
                      <w:b/>
                      <w:bCs/>
                      <w:color w:val="000000"/>
                      <w:sz w:val="20"/>
                      <w:szCs w:val="20"/>
                    </w:rPr>
                  </w:pPr>
                  <w:r w:rsidRPr="0035027D">
                    <w:rPr>
                      <w:rFonts w:cs="Times New Roman"/>
                      <w:b/>
                      <w:bCs/>
                      <w:color w:val="000000"/>
                      <w:sz w:val="20"/>
                      <w:szCs w:val="20"/>
                    </w:rPr>
                    <w:t>Miera dlhodobej nezamestnanosti</w:t>
                  </w:r>
                </w:p>
              </w:tc>
              <w:tc>
                <w:tcPr>
                  <w:tcW w:w="4144" w:type="dxa"/>
                  <w:tcBorders>
                    <w:top w:val="nil"/>
                    <w:left w:val="single" w:sz="8" w:space="0" w:color="auto"/>
                    <w:bottom w:val="nil"/>
                    <w:right w:val="single" w:sz="8" w:space="0" w:color="auto"/>
                  </w:tcBorders>
                  <w:shd w:val="clear" w:color="auto" w:fill="auto"/>
                  <w:vAlign w:val="center"/>
                  <w:hideMark/>
                </w:tcPr>
                <w:p w:rsidR="00E13258" w:rsidRPr="0035027D" w:rsidRDefault="00E13258" w:rsidP="007B1F06">
                  <w:pPr>
                    <w:spacing w:after="0"/>
                    <w:jc w:val="center"/>
                    <w:rPr>
                      <w:rFonts w:cs="Times New Roman"/>
                      <w:color w:val="000000"/>
                      <w:sz w:val="20"/>
                      <w:szCs w:val="20"/>
                    </w:rPr>
                  </w:pPr>
                  <w:r w:rsidRPr="0035027D">
                    <w:rPr>
                      <w:rFonts w:cs="Times New Roman"/>
                      <w:color w:val="000000"/>
                      <w:sz w:val="20"/>
                      <w:szCs w:val="20"/>
                    </w:rPr>
                    <w:t>MPSVR SR</w:t>
                  </w:r>
                </w:p>
              </w:tc>
            </w:tr>
            <w:tr w:rsidR="00E13258" w:rsidRPr="0035027D" w:rsidTr="00E13258">
              <w:trPr>
                <w:trHeight w:val="300"/>
                <w:jc w:val="center"/>
              </w:trPr>
              <w:tc>
                <w:tcPr>
                  <w:tcW w:w="521" w:type="dxa"/>
                  <w:tcBorders>
                    <w:top w:val="nil"/>
                    <w:left w:val="single" w:sz="8" w:space="0" w:color="auto"/>
                    <w:bottom w:val="nil"/>
                    <w:right w:val="nil"/>
                  </w:tcBorders>
                  <w:shd w:val="clear" w:color="auto" w:fill="auto"/>
                  <w:textDirection w:val="btLr"/>
                  <w:vAlign w:val="center"/>
                  <w:hideMark/>
                </w:tcPr>
                <w:p w:rsidR="00E13258" w:rsidRPr="0035027D" w:rsidRDefault="00E13258" w:rsidP="007B1F06">
                  <w:pPr>
                    <w:spacing w:after="0"/>
                    <w:jc w:val="center"/>
                    <w:rPr>
                      <w:rFonts w:cs="Times New Roman"/>
                      <w:b/>
                      <w:bCs/>
                      <w:color w:val="000000"/>
                      <w:sz w:val="20"/>
                      <w:szCs w:val="20"/>
                    </w:rPr>
                  </w:pPr>
                  <w:r w:rsidRPr="0035027D">
                    <w:rPr>
                      <w:rFonts w:cs="Times New Roman"/>
                      <w:b/>
                      <w:bCs/>
                      <w:color w:val="000000"/>
                      <w:sz w:val="20"/>
                      <w:szCs w:val="20"/>
                    </w:rPr>
                    <w:lastRenderedPageBreak/>
                    <w:t>EÚ</w:t>
                  </w:r>
                </w:p>
              </w:tc>
              <w:tc>
                <w:tcPr>
                  <w:tcW w:w="323" w:type="dxa"/>
                  <w:tcBorders>
                    <w:top w:val="nil"/>
                    <w:left w:val="nil"/>
                    <w:bottom w:val="nil"/>
                    <w:right w:val="nil"/>
                  </w:tcBorders>
                  <w:shd w:val="clear" w:color="auto" w:fill="auto"/>
                  <w:noWrap/>
                  <w:vAlign w:val="center"/>
                  <w:hideMark/>
                </w:tcPr>
                <w:p w:rsidR="00E13258" w:rsidRPr="0035027D" w:rsidRDefault="00E13258" w:rsidP="007B1F06">
                  <w:pPr>
                    <w:spacing w:after="0"/>
                    <w:jc w:val="center"/>
                    <w:rPr>
                      <w:rFonts w:cs="Times New Roman"/>
                      <w:b/>
                      <w:bCs/>
                      <w:color w:val="000000"/>
                      <w:sz w:val="20"/>
                      <w:szCs w:val="20"/>
                    </w:rPr>
                  </w:pPr>
                  <w:r w:rsidRPr="0035027D">
                    <w:rPr>
                      <w:rFonts w:cs="Times New Roman"/>
                      <w:b/>
                      <w:bCs/>
                      <w:color w:val="000000"/>
                      <w:sz w:val="20"/>
                      <w:szCs w:val="20"/>
                    </w:rPr>
                    <w:t>10</w:t>
                  </w:r>
                </w:p>
              </w:tc>
              <w:tc>
                <w:tcPr>
                  <w:tcW w:w="3554" w:type="dxa"/>
                  <w:tcBorders>
                    <w:top w:val="nil"/>
                    <w:left w:val="nil"/>
                    <w:bottom w:val="nil"/>
                    <w:right w:val="nil"/>
                  </w:tcBorders>
                  <w:shd w:val="clear" w:color="auto" w:fill="auto"/>
                  <w:noWrap/>
                  <w:vAlign w:val="center"/>
                  <w:hideMark/>
                </w:tcPr>
                <w:p w:rsidR="00E13258" w:rsidRPr="0035027D" w:rsidRDefault="00E13258" w:rsidP="007B1F06">
                  <w:pPr>
                    <w:spacing w:after="0"/>
                    <w:jc w:val="left"/>
                    <w:rPr>
                      <w:rFonts w:cs="Times New Roman"/>
                      <w:b/>
                      <w:bCs/>
                      <w:color w:val="000000"/>
                      <w:sz w:val="20"/>
                      <w:szCs w:val="20"/>
                    </w:rPr>
                  </w:pPr>
                  <w:r w:rsidRPr="0035027D">
                    <w:rPr>
                      <w:rFonts w:cs="Times New Roman"/>
                      <w:b/>
                      <w:bCs/>
                      <w:color w:val="000000"/>
                      <w:sz w:val="20"/>
                      <w:szCs w:val="20"/>
                    </w:rPr>
                    <w:t>Miera zamestnanosti</w:t>
                  </w:r>
                </w:p>
              </w:tc>
              <w:tc>
                <w:tcPr>
                  <w:tcW w:w="4144" w:type="dxa"/>
                  <w:tcBorders>
                    <w:top w:val="nil"/>
                    <w:left w:val="single" w:sz="8" w:space="0" w:color="auto"/>
                    <w:bottom w:val="nil"/>
                    <w:right w:val="single" w:sz="8" w:space="0" w:color="auto"/>
                  </w:tcBorders>
                  <w:shd w:val="clear" w:color="auto" w:fill="auto"/>
                  <w:vAlign w:val="center"/>
                  <w:hideMark/>
                </w:tcPr>
                <w:p w:rsidR="00E13258" w:rsidRPr="0035027D" w:rsidRDefault="00E13258" w:rsidP="007B1F06">
                  <w:pPr>
                    <w:spacing w:after="0"/>
                    <w:jc w:val="center"/>
                    <w:rPr>
                      <w:rFonts w:cs="Times New Roman"/>
                      <w:color w:val="000000"/>
                      <w:sz w:val="20"/>
                      <w:szCs w:val="20"/>
                    </w:rPr>
                  </w:pPr>
                  <w:r w:rsidRPr="0035027D">
                    <w:rPr>
                      <w:rFonts w:cs="Times New Roman"/>
                      <w:color w:val="000000"/>
                      <w:sz w:val="20"/>
                      <w:szCs w:val="20"/>
                    </w:rPr>
                    <w:t>MPSVR SR</w:t>
                  </w:r>
                </w:p>
              </w:tc>
            </w:tr>
            <w:tr w:rsidR="00E13258" w:rsidRPr="0035027D" w:rsidTr="00E13258">
              <w:trPr>
                <w:trHeight w:val="300"/>
                <w:jc w:val="center"/>
              </w:trPr>
              <w:tc>
                <w:tcPr>
                  <w:tcW w:w="521" w:type="dxa"/>
                  <w:tcBorders>
                    <w:top w:val="nil"/>
                    <w:left w:val="single" w:sz="8" w:space="0" w:color="auto"/>
                    <w:bottom w:val="nil"/>
                    <w:right w:val="nil"/>
                  </w:tcBorders>
                  <w:shd w:val="clear" w:color="auto" w:fill="auto"/>
                  <w:textDirection w:val="btLr"/>
                  <w:vAlign w:val="center"/>
                  <w:hideMark/>
                </w:tcPr>
                <w:p w:rsidR="00E13258" w:rsidRPr="0035027D" w:rsidRDefault="00E13258" w:rsidP="007B1F06">
                  <w:pPr>
                    <w:spacing w:after="0"/>
                    <w:jc w:val="center"/>
                    <w:rPr>
                      <w:rFonts w:cs="Times New Roman"/>
                      <w:b/>
                      <w:bCs/>
                      <w:color w:val="000000"/>
                      <w:sz w:val="20"/>
                      <w:szCs w:val="20"/>
                    </w:rPr>
                  </w:pPr>
                  <w:r w:rsidRPr="0035027D">
                    <w:rPr>
                      <w:rFonts w:cs="Times New Roman"/>
                      <w:b/>
                      <w:bCs/>
                      <w:color w:val="000000"/>
                      <w:sz w:val="20"/>
                      <w:szCs w:val="20"/>
                    </w:rPr>
                    <w:t>EÚ</w:t>
                  </w:r>
                </w:p>
              </w:tc>
              <w:tc>
                <w:tcPr>
                  <w:tcW w:w="323" w:type="dxa"/>
                  <w:tcBorders>
                    <w:top w:val="nil"/>
                    <w:left w:val="nil"/>
                    <w:bottom w:val="nil"/>
                    <w:right w:val="nil"/>
                  </w:tcBorders>
                  <w:shd w:val="clear" w:color="auto" w:fill="auto"/>
                  <w:noWrap/>
                  <w:vAlign w:val="center"/>
                  <w:hideMark/>
                </w:tcPr>
                <w:p w:rsidR="00E13258" w:rsidRPr="0035027D" w:rsidRDefault="00E13258" w:rsidP="007B1F06">
                  <w:pPr>
                    <w:spacing w:after="0"/>
                    <w:jc w:val="center"/>
                    <w:rPr>
                      <w:rFonts w:cs="Times New Roman"/>
                      <w:b/>
                      <w:bCs/>
                      <w:color w:val="000000"/>
                      <w:sz w:val="20"/>
                      <w:szCs w:val="20"/>
                    </w:rPr>
                  </w:pPr>
                  <w:r w:rsidRPr="0035027D">
                    <w:rPr>
                      <w:rFonts w:cs="Times New Roman"/>
                      <w:b/>
                      <w:bCs/>
                      <w:color w:val="000000"/>
                      <w:sz w:val="20"/>
                      <w:szCs w:val="20"/>
                    </w:rPr>
                    <w:t>11</w:t>
                  </w:r>
                </w:p>
              </w:tc>
              <w:tc>
                <w:tcPr>
                  <w:tcW w:w="3554" w:type="dxa"/>
                  <w:tcBorders>
                    <w:top w:val="nil"/>
                    <w:left w:val="nil"/>
                    <w:bottom w:val="nil"/>
                    <w:right w:val="nil"/>
                  </w:tcBorders>
                  <w:shd w:val="clear" w:color="auto" w:fill="auto"/>
                  <w:noWrap/>
                  <w:vAlign w:val="center"/>
                  <w:hideMark/>
                </w:tcPr>
                <w:p w:rsidR="00E13258" w:rsidRPr="0035027D" w:rsidRDefault="00E13258" w:rsidP="007B1F06">
                  <w:pPr>
                    <w:spacing w:after="0"/>
                    <w:jc w:val="left"/>
                    <w:rPr>
                      <w:rFonts w:cs="Times New Roman"/>
                      <w:b/>
                      <w:bCs/>
                      <w:color w:val="000000"/>
                      <w:sz w:val="20"/>
                      <w:szCs w:val="20"/>
                    </w:rPr>
                  </w:pPr>
                  <w:r w:rsidRPr="0035027D">
                    <w:rPr>
                      <w:rFonts w:cs="Times New Roman"/>
                      <w:b/>
                      <w:bCs/>
                      <w:color w:val="000000"/>
                      <w:sz w:val="20"/>
                      <w:szCs w:val="20"/>
                    </w:rPr>
                    <w:t>Populácia ohrozená chudobou a vylúčením</w:t>
                  </w:r>
                </w:p>
              </w:tc>
              <w:tc>
                <w:tcPr>
                  <w:tcW w:w="4144" w:type="dxa"/>
                  <w:tcBorders>
                    <w:top w:val="nil"/>
                    <w:left w:val="single" w:sz="8" w:space="0" w:color="auto"/>
                    <w:bottom w:val="single" w:sz="8" w:space="0" w:color="auto"/>
                    <w:right w:val="single" w:sz="8" w:space="0" w:color="auto"/>
                  </w:tcBorders>
                  <w:shd w:val="clear" w:color="auto" w:fill="auto"/>
                  <w:vAlign w:val="center"/>
                  <w:hideMark/>
                </w:tcPr>
                <w:p w:rsidR="00E13258" w:rsidRPr="0035027D" w:rsidRDefault="00E13258" w:rsidP="007B1F06">
                  <w:pPr>
                    <w:spacing w:after="0"/>
                    <w:jc w:val="center"/>
                    <w:rPr>
                      <w:rFonts w:cs="Times New Roman"/>
                      <w:color w:val="000000"/>
                      <w:sz w:val="20"/>
                      <w:szCs w:val="20"/>
                    </w:rPr>
                  </w:pPr>
                  <w:r w:rsidRPr="0035027D">
                    <w:rPr>
                      <w:rFonts w:cs="Times New Roman"/>
                      <w:color w:val="000000"/>
                      <w:sz w:val="20"/>
                      <w:szCs w:val="20"/>
                    </w:rPr>
                    <w:t>MPSVR SR, MV SR, Úrad vlády SR, MDVRR SR</w:t>
                  </w:r>
                </w:p>
              </w:tc>
            </w:tr>
            <w:tr w:rsidR="00E13258" w:rsidRPr="0035027D" w:rsidTr="00E13258">
              <w:trPr>
                <w:trHeight w:val="300"/>
                <w:jc w:val="center"/>
              </w:trPr>
              <w:tc>
                <w:tcPr>
                  <w:tcW w:w="8542" w:type="dxa"/>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E13258" w:rsidRPr="0035027D" w:rsidRDefault="00E13258" w:rsidP="007B1F06">
                  <w:pPr>
                    <w:spacing w:after="0"/>
                    <w:jc w:val="left"/>
                    <w:rPr>
                      <w:rFonts w:cs="Times New Roman"/>
                      <w:b/>
                      <w:bCs/>
                      <w:color w:val="000000"/>
                      <w:sz w:val="20"/>
                      <w:szCs w:val="20"/>
                    </w:rPr>
                  </w:pPr>
                  <w:r w:rsidRPr="0035027D">
                    <w:rPr>
                      <w:rFonts w:cs="Times New Roman"/>
                      <w:b/>
                      <w:bCs/>
                      <w:color w:val="000000"/>
                      <w:sz w:val="20"/>
                      <w:szCs w:val="20"/>
                    </w:rPr>
                    <w:t>Podnikateľské prostredie</w:t>
                  </w:r>
                </w:p>
              </w:tc>
            </w:tr>
            <w:tr w:rsidR="00E13258" w:rsidRPr="0035027D" w:rsidTr="00E13258">
              <w:trPr>
                <w:trHeight w:val="300"/>
                <w:jc w:val="center"/>
              </w:trPr>
              <w:tc>
                <w:tcPr>
                  <w:tcW w:w="521" w:type="dxa"/>
                  <w:tcBorders>
                    <w:top w:val="nil"/>
                    <w:left w:val="single" w:sz="8" w:space="0" w:color="auto"/>
                    <w:bottom w:val="nil"/>
                    <w:right w:val="nil"/>
                  </w:tcBorders>
                  <w:shd w:val="clear" w:color="auto" w:fill="auto"/>
                  <w:textDirection w:val="btLr"/>
                  <w:vAlign w:val="center"/>
                  <w:hideMark/>
                </w:tcPr>
                <w:p w:rsidR="00E13258" w:rsidRPr="0035027D" w:rsidRDefault="00E13258" w:rsidP="007B1F06">
                  <w:pPr>
                    <w:spacing w:after="0"/>
                    <w:jc w:val="center"/>
                    <w:rPr>
                      <w:rFonts w:cs="Times New Roman"/>
                      <w:b/>
                      <w:bCs/>
                      <w:color w:val="000000"/>
                      <w:sz w:val="20"/>
                      <w:szCs w:val="20"/>
                    </w:rPr>
                  </w:pPr>
                  <w:r w:rsidRPr="0035027D">
                    <w:rPr>
                      <w:rFonts w:cs="Times New Roman"/>
                      <w:b/>
                      <w:bCs/>
                      <w:color w:val="000000"/>
                      <w:sz w:val="20"/>
                      <w:szCs w:val="20"/>
                    </w:rPr>
                    <w:t> </w:t>
                  </w:r>
                </w:p>
              </w:tc>
              <w:tc>
                <w:tcPr>
                  <w:tcW w:w="323" w:type="dxa"/>
                  <w:tcBorders>
                    <w:top w:val="nil"/>
                    <w:left w:val="nil"/>
                    <w:bottom w:val="nil"/>
                    <w:right w:val="nil"/>
                  </w:tcBorders>
                  <w:shd w:val="clear" w:color="auto" w:fill="auto"/>
                  <w:noWrap/>
                  <w:vAlign w:val="center"/>
                  <w:hideMark/>
                </w:tcPr>
                <w:p w:rsidR="00E13258" w:rsidRPr="0035027D" w:rsidRDefault="00E13258" w:rsidP="007B1F06">
                  <w:pPr>
                    <w:spacing w:after="0"/>
                    <w:jc w:val="center"/>
                    <w:rPr>
                      <w:rFonts w:cs="Times New Roman"/>
                      <w:b/>
                      <w:bCs/>
                      <w:color w:val="000000"/>
                      <w:sz w:val="20"/>
                      <w:szCs w:val="20"/>
                    </w:rPr>
                  </w:pPr>
                  <w:r w:rsidRPr="0035027D">
                    <w:rPr>
                      <w:rFonts w:cs="Times New Roman"/>
                      <w:b/>
                      <w:bCs/>
                      <w:color w:val="000000"/>
                      <w:sz w:val="20"/>
                      <w:szCs w:val="20"/>
                    </w:rPr>
                    <w:t>12</w:t>
                  </w:r>
                </w:p>
              </w:tc>
              <w:tc>
                <w:tcPr>
                  <w:tcW w:w="3554" w:type="dxa"/>
                  <w:tcBorders>
                    <w:top w:val="nil"/>
                    <w:left w:val="nil"/>
                    <w:bottom w:val="nil"/>
                    <w:right w:val="nil"/>
                  </w:tcBorders>
                  <w:shd w:val="clear" w:color="auto" w:fill="auto"/>
                  <w:noWrap/>
                  <w:vAlign w:val="center"/>
                  <w:hideMark/>
                </w:tcPr>
                <w:p w:rsidR="00E13258" w:rsidRPr="0035027D" w:rsidRDefault="00E13258" w:rsidP="007B1F06">
                  <w:pPr>
                    <w:spacing w:after="0"/>
                    <w:jc w:val="left"/>
                    <w:rPr>
                      <w:rFonts w:cs="Times New Roman"/>
                      <w:b/>
                      <w:bCs/>
                      <w:color w:val="000000"/>
                      <w:sz w:val="20"/>
                      <w:szCs w:val="20"/>
                    </w:rPr>
                  </w:pPr>
                  <w:proofErr w:type="spellStart"/>
                  <w:r w:rsidRPr="0035027D">
                    <w:rPr>
                      <w:rFonts w:cs="Times New Roman"/>
                      <w:b/>
                      <w:bCs/>
                      <w:color w:val="000000"/>
                      <w:sz w:val="20"/>
                      <w:szCs w:val="20"/>
                    </w:rPr>
                    <w:t>Doing</w:t>
                  </w:r>
                  <w:proofErr w:type="spellEnd"/>
                  <w:r w:rsidRPr="0035027D">
                    <w:rPr>
                      <w:rFonts w:cs="Times New Roman"/>
                      <w:b/>
                      <w:bCs/>
                      <w:color w:val="000000"/>
                      <w:sz w:val="20"/>
                      <w:szCs w:val="20"/>
                    </w:rPr>
                    <w:t xml:space="preserve"> </w:t>
                  </w:r>
                  <w:proofErr w:type="spellStart"/>
                  <w:r w:rsidRPr="0035027D">
                    <w:rPr>
                      <w:rFonts w:cs="Times New Roman"/>
                      <w:b/>
                      <w:bCs/>
                      <w:color w:val="000000"/>
                      <w:sz w:val="20"/>
                      <w:szCs w:val="20"/>
                    </w:rPr>
                    <w:t>Business</w:t>
                  </w:r>
                  <w:proofErr w:type="spellEnd"/>
                </w:p>
              </w:tc>
              <w:tc>
                <w:tcPr>
                  <w:tcW w:w="4144" w:type="dxa"/>
                  <w:tcBorders>
                    <w:top w:val="nil"/>
                    <w:left w:val="single" w:sz="8" w:space="0" w:color="auto"/>
                    <w:bottom w:val="nil"/>
                    <w:right w:val="single" w:sz="8" w:space="0" w:color="auto"/>
                  </w:tcBorders>
                  <w:shd w:val="clear" w:color="auto" w:fill="auto"/>
                  <w:vAlign w:val="center"/>
                  <w:hideMark/>
                </w:tcPr>
                <w:p w:rsidR="00E13258" w:rsidRPr="0035027D" w:rsidRDefault="00E13258" w:rsidP="007B1F06">
                  <w:pPr>
                    <w:spacing w:after="0"/>
                    <w:jc w:val="center"/>
                    <w:rPr>
                      <w:rFonts w:cs="Times New Roman"/>
                      <w:color w:val="000000"/>
                      <w:sz w:val="20"/>
                      <w:szCs w:val="20"/>
                    </w:rPr>
                  </w:pPr>
                  <w:r w:rsidRPr="0035027D">
                    <w:rPr>
                      <w:rFonts w:cs="Times New Roman"/>
                      <w:color w:val="000000"/>
                      <w:sz w:val="20"/>
                      <w:szCs w:val="20"/>
                    </w:rPr>
                    <w:t>MH SR, MS SR, MF SR</w:t>
                  </w:r>
                </w:p>
              </w:tc>
            </w:tr>
            <w:tr w:rsidR="00E13258" w:rsidRPr="0035027D" w:rsidTr="00E13258">
              <w:trPr>
                <w:trHeight w:val="300"/>
                <w:jc w:val="center"/>
              </w:trPr>
              <w:tc>
                <w:tcPr>
                  <w:tcW w:w="521" w:type="dxa"/>
                  <w:tcBorders>
                    <w:top w:val="nil"/>
                    <w:left w:val="single" w:sz="8" w:space="0" w:color="auto"/>
                    <w:bottom w:val="nil"/>
                    <w:right w:val="nil"/>
                  </w:tcBorders>
                  <w:shd w:val="clear" w:color="auto" w:fill="auto"/>
                  <w:textDirection w:val="btLr"/>
                  <w:vAlign w:val="center"/>
                  <w:hideMark/>
                </w:tcPr>
                <w:p w:rsidR="00E13258" w:rsidRPr="0035027D" w:rsidRDefault="00E13258" w:rsidP="007B1F06">
                  <w:pPr>
                    <w:spacing w:after="0"/>
                    <w:jc w:val="center"/>
                    <w:rPr>
                      <w:rFonts w:cs="Times New Roman"/>
                      <w:b/>
                      <w:bCs/>
                      <w:color w:val="000000"/>
                      <w:sz w:val="20"/>
                      <w:szCs w:val="20"/>
                    </w:rPr>
                  </w:pPr>
                  <w:r w:rsidRPr="0035027D">
                    <w:rPr>
                      <w:rFonts w:cs="Times New Roman"/>
                      <w:b/>
                      <w:bCs/>
                      <w:color w:val="000000"/>
                      <w:sz w:val="20"/>
                      <w:szCs w:val="20"/>
                    </w:rPr>
                    <w:t> </w:t>
                  </w:r>
                </w:p>
              </w:tc>
              <w:tc>
                <w:tcPr>
                  <w:tcW w:w="323" w:type="dxa"/>
                  <w:tcBorders>
                    <w:top w:val="nil"/>
                    <w:left w:val="nil"/>
                    <w:bottom w:val="nil"/>
                    <w:right w:val="nil"/>
                  </w:tcBorders>
                  <w:shd w:val="clear" w:color="auto" w:fill="auto"/>
                  <w:noWrap/>
                  <w:vAlign w:val="center"/>
                  <w:hideMark/>
                </w:tcPr>
                <w:p w:rsidR="00E13258" w:rsidRPr="0035027D" w:rsidRDefault="00E13258" w:rsidP="007B1F06">
                  <w:pPr>
                    <w:spacing w:after="0"/>
                    <w:jc w:val="center"/>
                    <w:rPr>
                      <w:rFonts w:cs="Times New Roman"/>
                      <w:b/>
                      <w:bCs/>
                      <w:color w:val="000000"/>
                      <w:sz w:val="20"/>
                      <w:szCs w:val="20"/>
                    </w:rPr>
                  </w:pPr>
                  <w:r w:rsidRPr="0035027D">
                    <w:rPr>
                      <w:rFonts w:cs="Times New Roman"/>
                      <w:b/>
                      <w:bCs/>
                      <w:color w:val="000000"/>
                      <w:sz w:val="20"/>
                      <w:szCs w:val="20"/>
                    </w:rPr>
                    <w:t>13</w:t>
                  </w:r>
                </w:p>
              </w:tc>
              <w:tc>
                <w:tcPr>
                  <w:tcW w:w="3554" w:type="dxa"/>
                  <w:tcBorders>
                    <w:top w:val="nil"/>
                    <w:left w:val="nil"/>
                    <w:bottom w:val="nil"/>
                    <w:right w:val="nil"/>
                  </w:tcBorders>
                  <w:shd w:val="clear" w:color="auto" w:fill="auto"/>
                  <w:noWrap/>
                  <w:vAlign w:val="center"/>
                  <w:hideMark/>
                </w:tcPr>
                <w:p w:rsidR="00E13258" w:rsidRPr="0035027D" w:rsidRDefault="00E13258" w:rsidP="007B1F06">
                  <w:pPr>
                    <w:spacing w:after="0"/>
                    <w:jc w:val="left"/>
                    <w:rPr>
                      <w:rFonts w:cs="Times New Roman"/>
                      <w:b/>
                      <w:bCs/>
                      <w:color w:val="000000"/>
                      <w:sz w:val="20"/>
                      <w:szCs w:val="20"/>
                    </w:rPr>
                  </w:pPr>
                  <w:r w:rsidRPr="0035027D">
                    <w:rPr>
                      <w:rFonts w:cs="Times New Roman"/>
                      <w:b/>
                      <w:bCs/>
                      <w:color w:val="000000"/>
                      <w:sz w:val="20"/>
                      <w:szCs w:val="20"/>
                    </w:rPr>
                    <w:t>Index regulácie trhu produktov</w:t>
                  </w:r>
                </w:p>
              </w:tc>
              <w:tc>
                <w:tcPr>
                  <w:tcW w:w="4144" w:type="dxa"/>
                  <w:tcBorders>
                    <w:top w:val="nil"/>
                    <w:left w:val="single" w:sz="8" w:space="0" w:color="auto"/>
                    <w:bottom w:val="nil"/>
                    <w:right w:val="single" w:sz="8" w:space="0" w:color="auto"/>
                  </w:tcBorders>
                  <w:shd w:val="clear" w:color="auto" w:fill="auto"/>
                  <w:vAlign w:val="center"/>
                  <w:hideMark/>
                </w:tcPr>
                <w:p w:rsidR="00E13258" w:rsidRPr="0035027D" w:rsidRDefault="00E13258" w:rsidP="007B1F06">
                  <w:pPr>
                    <w:spacing w:after="0"/>
                    <w:jc w:val="center"/>
                    <w:rPr>
                      <w:rFonts w:cs="Times New Roman"/>
                      <w:color w:val="000000"/>
                      <w:sz w:val="20"/>
                      <w:szCs w:val="20"/>
                    </w:rPr>
                  </w:pPr>
                  <w:r w:rsidRPr="0035027D">
                    <w:rPr>
                      <w:rFonts w:cs="Times New Roman"/>
                      <w:color w:val="000000"/>
                      <w:sz w:val="20"/>
                      <w:szCs w:val="20"/>
                    </w:rPr>
                    <w:t>MH SR, MF SR, MZ SR, MDVRR SR</w:t>
                  </w:r>
                </w:p>
              </w:tc>
            </w:tr>
            <w:tr w:rsidR="00E13258" w:rsidRPr="0035027D" w:rsidTr="00E13258">
              <w:trPr>
                <w:trHeight w:val="300"/>
                <w:jc w:val="center"/>
              </w:trPr>
              <w:tc>
                <w:tcPr>
                  <w:tcW w:w="8542" w:type="dxa"/>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E13258" w:rsidRPr="0035027D" w:rsidRDefault="00E13258" w:rsidP="007B1F06">
                  <w:pPr>
                    <w:spacing w:after="0"/>
                    <w:jc w:val="left"/>
                    <w:rPr>
                      <w:rFonts w:cs="Times New Roman"/>
                      <w:b/>
                      <w:bCs/>
                      <w:color w:val="000000"/>
                      <w:sz w:val="20"/>
                      <w:szCs w:val="20"/>
                    </w:rPr>
                  </w:pPr>
                  <w:r w:rsidRPr="0035027D">
                    <w:rPr>
                      <w:rFonts w:cs="Times New Roman"/>
                      <w:b/>
                      <w:bCs/>
                      <w:color w:val="000000"/>
                      <w:sz w:val="20"/>
                      <w:szCs w:val="20"/>
                    </w:rPr>
                    <w:t>Modernizácia verejnej správy</w:t>
                  </w:r>
                </w:p>
              </w:tc>
            </w:tr>
            <w:tr w:rsidR="00E13258" w:rsidRPr="0035027D" w:rsidTr="00E13258">
              <w:trPr>
                <w:trHeight w:val="300"/>
                <w:jc w:val="center"/>
              </w:trPr>
              <w:tc>
                <w:tcPr>
                  <w:tcW w:w="521" w:type="dxa"/>
                  <w:tcBorders>
                    <w:top w:val="nil"/>
                    <w:left w:val="single" w:sz="8" w:space="0" w:color="auto"/>
                    <w:bottom w:val="nil"/>
                    <w:right w:val="nil"/>
                  </w:tcBorders>
                  <w:shd w:val="clear" w:color="auto" w:fill="auto"/>
                  <w:textDirection w:val="btLr"/>
                  <w:vAlign w:val="center"/>
                  <w:hideMark/>
                </w:tcPr>
                <w:p w:rsidR="00E13258" w:rsidRPr="0035027D" w:rsidRDefault="00E13258" w:rsidP="007B1F06">
                  <w:pPr>
                    <w:spacing w:after="0"/>
                    <w:jc w:val="center"/>
                    <w:rPr>
                      <w:rFonts w:cs="Times New Roman"/>
                      <w:b/>
                      <w:bCs/>
                      <w:color w:val="000000"/>
                      <w:sz w:val="20"/>
                      <w:szCs w:val="20"/>
                    </w:rPr>
                  </w:pPr>
                  <w:r w:rsidRPr="0035027D">
                    <w:rPr>
                      <w:rFonts w:cs="Times New Roman"/>
                      <w:b/>
                      <w:bCs/>
                      <w:color w:val="000000"/>
                      <w:sz w:val="20"/>
                      <w:szCs w:val="20"/>
                    </w:rPr>
                    <w:t> </w:t>
                  </w:r>
                </w:p>
              </w:tc>
              <w:tc>
                <w:tcPr>
                  <w:tcW w:w="323" w:type="dxa"/>
                  <w:tcBorders>
                    <w:top w:val="nil"/>
                    <w:left w:val="nil"/>
                    <w:bottom w:val="nil"/>
                    <w:right w:val="nil"/>
                  </w:tcBorders>
                  <w:shd w:val="clear" w:color="auto" w:fill="auto"/>
                  <w:noWrap/>
                  <w:vAlign w:val="center"/>
                  <w:hideMark/>
                </w:tcPr>
                <w:p w:rsidR="00E13258" w:rsidRPr="0035027D" w:rsidRDefault="00E13258" w:rsidP="007B1F06">
                  <w:pPr>
                    <w:spacing w:after="0"/>
                    <w:jc w:val="center"/>
                    <w:rPr>
                      <w:rFonts w:cs="Times New Roman"/>
                      <w:b/>
                      <w:bCs/>
                      <w:color w:val="000000"/>
                      <w:sz w:val="20"/>
                      <w:szCs w:val="20"/>
                    </w:rPr>
                  </w:pPr>
                  <w:r w:rsidRPr="0035027D">
                    <w:rPr>
                      <w:rFonts w:cs="Times New Roman"/>
                      <w:b/>
                      <w:bCs/>
                      <w:color w:val="000000"/>
                      <w:sz w:val="20"/>
                      <w:szCs w:val="20"/>
                    </w:rPr>
                    <w:t>14</w:t>
                  </w:r>
                </w:p>
              </w:tc>
              <w:tc>
                <w:tcPr>
                  <w:tcW w:w="3554" w:type="dxa"/>
                  <w:tcBorders>
                    <w:top w:val="nil"/>
                    <w:left w:val="nil"/>
                    <w:bottom w:val="nil"/>
                    <w:right w:val="nil"/>
                  </w:tcBorders>
                  <w:shd w:val="clear" w:color="auto" w:fill="auto"/>
                  <w:noWrap/>
                  <w:vAlign w:val="center"/>
                  <w:hideMark/>
                </w:tcPr>
                <w:p w:rsidR="00E13258" w:rsidRPr="0035027D" w:rsidRDefault="00E13258" w:rsidP="007B1F06">
                  <w:pPr>
                    <w:spacing w:after="0"/>
                    <w:jc w:val="left"/>
                    <w:rPr>
                      <w:rFonts w:cs="Times New Roman"/>
                      <w:b/>
                      <w:bCs/>
                      <w:color w:val="000000"/>
                      <w:sz w:val="20"/>
                      <w:szCs w:val="20"/>
                    </w:rPr>
                  </w:pPr>
                  <w:r w:rsidRPr="0035027D">
                    <w:rPr>
                      <w:rFonts w:cs="Times New Roman"/>
                      <w:b/>
                      <w:bCs/>
                      <w:color w:val="000000"/>
                      <w:sz w:val="20"/>
                      <w:szCs w:val="20"/>
                    </w:rPr>
                    <w:t>E-government index</w:t>
                  </w:r>
                </w:p>
              </w:tc>
              <w:tc>
                <w:tcPr>
                  <w:tcW w:w="4144" w:type="dxa"/>
                  <w:tcBorders>
                    <w:top w:val="nil"/>
                    <w:left w:val="single" w:sz="8" w:space="0" w:color="auto"/>
                    <w:bottom w:val="single" w:sz="8" w:space="0" w:color="auto"/>
                    <w:right w:val="single" w:sz="8" w:space="0" w:color="auto"/>
                  </w:tcBorders>
                  <w:shd w:val="clear" w:color="auto" w:fill="auto"/>
                  <w:vAlign w:val="center"/>
                  <w:hideMark/>
                </w:tcPr>
                <w:p w:rsidR="00E13258" w:rsidRPr="0035027D" w:rsidRDefault="00E13258" w:rsidP="007B1F06">
                  <w:pPr>
                    <w:spacing w:after="0"/>
                    <w:jc w:val="center"/>
                    <w:rPr>
                      <w:rFonts w:cs="Times New Roman"/>
                      <w:color w:val="000000"/>
                      <w:sz w:val="20"/>
                      <w:szCs w:val="20"/>
                    </w:rPr>
                  </w:pPr>
                  <w:r w:rsidRPr="0035027D">
                    <w:rPr>
                      <w:rFonts w:cs="Times New Roman"/>
                      <w:color w:val="000000"/>
                      <w:sz w:val="20"/>
                      <w:szCs w:val="20"/>
                    </w:rPr>
                    <w:t>MF SR, MV SR</w:t>
                  </w:r>
                </w:p>
              </w:tc>
            </w:tr>
            <w:tr w:rsidR="00E13258" w:rsidRPr="0035027D" w:rsidTr="00E13258">
              <w:trPr>
                <w:trHeight w:val="300"/>
                <w:jc w:val="center"/>
              </w:trPr>
              <w:tc>
                <w:tcPr>
                  <w:tcW w:w="8542" w:type="dxa"/>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E13258" w:rsidRPr="0035027D" w:rsidRDefault="00E13258" w:rsidP="007B1F06">
                  <w:pPr>
                    <w:spacing w:after="0"/>
                    <w:jc w:val="left"/>
                    <w:rPr>
                      <w:rFonts w:cs="Times New Roman"/>
                      <w:b/>
                      <w:bCs/>
                      <w:color w:val="000000"/>
                      <w:sz w:val="20"/>
                      <w:szCs w:val="20"/>
                    </w:rPr>
                  </w:pPr>
                  <w:r w:rsidRPr="0035027D">
                    <w:rPr>
                      <w:rFonts w:cs="Times New Roman"/>
                      <w:b/>
                      <w:bCs/>
                      <w:color w:val="000000"/>
                      <w:sz w:val="20"/>
                      <w:szCs w:val="20"/>
                    </w:rPr>
                    <w:t>Transparentné prostredie a vymožiteľnosť práva</w:t>
                  </w:r>
                </w:p>
              </w:tc>
            </w:tr>
            <w:tr w:rsidR="00E13258" w:rsidRPr="0035027D" w:rsidTr="00E13258">
              <w:trPr>
                <w:trHeight w:val="300"/>
                <w:jc w:val="center"/>
              </w:trPr>
              <w:tc>
                <w:tcPr>
                  <w:tcW w:w="521" w:type="dxa"/>
                  <w:tcBorders>
                    <w:top w:val="nil"/>
                    <w:left w:val="single" w:sz="8" w:space="0" w:color="auto"/>
                    <w:bottom w:val="nil"/>
                    <w:right w:val="nil"/>
                  </w:tcBorders>
                  <w:shd w:val="clear" w:color="auto" w:fill="auto"/>
                  <w:textDirection w:val="btLr"/>
                  <w:vAlign w:val="center"/>
                  <w:hideMark/>
                </w:tcPr>
                <w:p w:rsidR="00E13258" w:rsidRPr="0035027D" w:rsidRDefault="00E13258" w:rsidP="007B1F06">
                  <w:pPr>
                    <w:spacing w:after="0"/>
                    <w:jc w:val="center"/>
                    <w:rPr>
                      <w:rFonts w:cs="Times New Roman"/>
                      <w:b/>
                      <w:bCs/>
                      <w:color w:val="000000"/>
                      <w:sz w:val="20"/>
                      <w:szCs w:val="20"/>
                    </w:rPr>
                  </w:pPr>
                  <w:r w:rsidRPr="0035027D">
                    <w:rPr>
                      <w:rFonts w:cs="Times New Roman"/>
                      <w:b/>
                      <w:bCs/>
                      <w:color w:val="000000"/>
                      <w:sz w:val="20"/>
                      <w:szCs w:val="20"/>
                    </w:rPr>
                    <w:t> </w:t>
                  </w:r>
                </w:p>
              </w:tc>
              <w:tc>
                <w:tcPr>
                  <w:tcW w:w="323" w:type="dxa"/>
                  <w:tcBorders>
                    <w:top w:val="nil"/>
                    <w:left w:val="nil"/>
                    <w:bottom w:val="nil"/>
                    <w:right w:val="nil"/>
                  </w:tcBorders>
                  <w:shd w:val="clear" w:color="auto" w:fill="auto"/>
                  <w:noWrap/>
                  <w:vAlign w:val="center"/>
                  <w:hideMark/>
                </w:tcPr>
                <w:p w:rsidR="00E13258" w:rsidRPr="0035027D" w:rsidRDefault="00E13258" w:rsidP="007B1F06">
                  <w:pPr>
                    <w:spacing w:after="0"/>
                    <w:jc w:val="center"/>
                    <w:rPr>
                      <w:rFonts w:cs="Times New Roman"/>
                      <w:b/>
                      <w:bCs/>
                      <w:color w:val="000000"/>
                      <w:sz w:val="20"/>
                      <w:szCs w:val="20"/>
                    </w:rPr>
                  </w:pPr>
                  <w:r w:rsidRPr="0035027D">
                    <w:rPr>
                      <w:rFonts w:cs="Times New Roman"/>
                      <w:b/>
                      <w:bCs/>
                      <w:color w:val="000000"/>
                      <w:sz w:val="20"/>
                      <w:szCs w:val="20"/>
                    </w:rPr>
                    <w:t>15</w:t>
                  </w:r>
                </w:p>
              </w:tc>
              <w:tc>
                <w:tcPr>
                  <w:tcW w:w="3554" w:type="dxa"/>
                  <w:tcBorders>
                    <w:top w:val="nil"/>
                    <w:left w:val="nil"/>
                    <w:bottom w:val="nil"/>
                    <w:right w:val="nil"/>
                  </w:tcBorders>
                  <w:shd w:val="clear" w:color="auto" w:fill="auto"/>
                  <w:noWrap/>
                  <w:vAlign w:val="center"/>
                  <w:hideMark/>
                </w:tcPr>
                <w:p w:rsidR="00E13258" w:rsidRPr="0035027D" w:rsidRDefault="00E13258" w:rsidP="007B1F06">
                  <w:pPr>
                    <w:spacing w:after="0"/>
                    <w:jc w:val="left"/>
                    <w:rPr>
                      <w:rFonts w:cs="Times New Roman"/>
                      <w:b/>
                      <w:bCs/>
                      <w:color w:val="000000"/>
                      <w:sz w:val="20"/>
                      <w:szCs w:val="20"/>
                    </w:rPr>
                  </w:pPr>
                  <w:r w:rsidRPr="0035027D">
                    <w:rPr>
                      <w:rFonts w:cs="Times New Roman"/>
                      <w:b/>
                      <w:bCs/>
                      <w:color w:val="000000"/>
                      <w:sz w:val="20"/>
                      <w:szCs w:val="20"/>
                    </w:rPr>
                    <w:t>Korupcia</w:t>
                  </w:r>
                </w:p>
              </w:tc>
              <w:tc>
                <w:tcPr>
                  <w:tcW w:w="4144" w:type="dxa"/>
                  <w:tcBorders>
                    <w:top w:val="nil"/>
                    <w:left w:val="single" w:sz="8" w:space="0" w:color="auto"/>
                    <w:bottom w:val="single" w:sz="8" w:space="0" w:color="auto"/>
                    <w:right w:val="single" w:sz="8" w:space="0" w:color="auto"/>
                  </w:tcBorders>
                  <w:shd w:val="clear" w:color="auto" w:fill="auto"/>
                  <w:vAlign w:val="center"/>
                  <w:hideMark/>
                </w:tcPr>
                <w:p w:rsidR="00E13258" w:rsidRPr="0035027D" w:rsidRDefault="00E13258" w:rsidP="007B1F06">
                  <w:pPr>
                    <w:spacing w:after="0"/>
                    <w:jc w:val="center"/>
                    <w:rPr>
                      <w:rFonts w:cs="Times New Roman"/>
                      <w:color w:val="000000"/>
                      <w:sz w:val="20"/>
                      <w:szCs w:val="20"/>
                    </w:rPr>
                  </w:pPr>
                  <w:r w:rsidRPr="0035027D">
                    <w:rPr>
                      <w:rFonts w:cs="Times New Roman"/>
                      <w:color w:val="000000"/>
                      <w:sz w:val="20"/>
                      <w:szCs w:val="20"/>
                    </w:rPr>
                    <w:t>MS SR</w:t>
                  </w:r>
                </w:p>
              </w:tc>
            </w:tr>
            <w:tr w:rsidR="00E13258" w:rsidRPr="0035027D" w:rsidTr="00E13258">
              <w:trPr>
                <w:trHeight w:val="300"/>
                <w:jc w:val="center"/>
              </w:trPr>
              <w:tc>
                <w:tcPr>
                  <w:tcW w:w="8542" w:type="dxa"/>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E13258" w:rsidRPr="0035027D" w:rsidRDefault="00E13258" w:rsidP="007B1F06">
                  <w:pPr>
                    <w:spacing w:after="0"/>
                    <w:jc w:val="left"/>
                    <w:rPr>
                      <w:rFonts w:cs="Times New Roman"/>
                      <w:b/>
                      <w:bCs/>
                      <w:color w:val="000000"/>
                      <w:sz w:val="20"/>
                      <w:szCs w:val="20"/>
                    </w:rPr>
                  </w:pPr>
                  <w:r w:rsidRPr="0035027D">
                    <w:rPr>
                      <w:rFonts w:cs="Times New Roman"/>
                      <w:b/>
                      <w:bCs/>
                      <w:color w:val="000000"/>
                      <w:sz w:val="20"/>
                      <w:szCs w:val="20"/>
                    </w:rPr>
                    <w:t>Zdravie</w:t>
                  </w:r>
                </w:p>
              </w:tc>
            </w:tr>
            <w:tr w:rsidR="00E13258" w:rsidRPr="0035027D" w:rsidTr="00E13258">
              <w:trPr>
                <w:trHeight w:val="300"/>
                <w:jc w:val="center"/>
              </w:trPr>
              <w:tc>
                <w:tcPr>
                  <w:tcW w:w="521" w:type="dxa"/>
                  <w:tcBorders>
                    <w:top w:val="nil"/>
                    <w:left w:val="single" w:sz="8" w:space="0" w:color="auto"/>
                    <w:bottom w:val="nil"/>
                    <w:right w:val="nil"/>
                  </w:tcBorders>
                  <w:shd w:val="clear" w:color="auto" w:fill="auto"/>
                  <w:textDirection w:val="btLr"/>
                  <w:vAlign w:val="center"/>
                  <w:hideMark/>
                </w:tcPr>
                <w:p w:rsidR="00E13258" w:rsidRPr="0035027D" w:rsidRDefault="00E13258" w:rsidP="007B1F06">
                  <w:pPr>
                    <w:spacing w:after="0"/>
                    <w:jc w:val="center"/>
                    <w:rPr>
                      <w:rFonts w:cs="Times New Roman"/>
                      <w:b/>
                      <w:bCs/>
                      <w:color w:val="000000"/>
                      <w:sz w:val="20"/>
                      <w:szCs w:val="20"/>
                    </w:rPr>
                  </w:pPr>
                  <w:r w:rsidRPr="0035027D">
                    <w:rPr>
                      <w:rFonts w:cs="Times New Roman"/>
                      <w:b/>
                      <w:bCs/>
                      <w:color w:val="000000"/>
                      <w:sz w:val="20"/>
                      <w:szCs w:val="20"/>
                    </w:rPr>
                    <w:t> </w:t>
                  </w:r>
                </w:p>
              </w:tc>
              <w:tc>
                <w:tcPr>
                  <w:tcW w:w="323" w:type="dxa"/>
                  <w:tcBorders>
                    <w:top w:val="nil"/>
                    <w:left w:val="nil"/>
                    <w:bottom w:val="nil"/>
                    <w:right w:val="nil"/>
                  </w:tcBorders>
                  <w:shd w:val="clear" w:color="auto" w:fill="auto"/>
                  <w:noWrap/>
                  <w:vAlign w:val="center"/>
                  <w:hideMark/>
                </w:tcPr>
                <w:p w:rsidR="00E13258" w:rsidRPr="0035027D" w:rsidRDefault="00E13258" w:rsidP="007B1F06">
                  <w:pPr>
                    <w:spacing w:after="0"/>
                    <w:jc w:val="center"/>
                    <w:rPr>
                      <w:rFonts w:cs="Times New Roman"/>
                      <w:b/>
                      <w:bCs/>
                      <w:color w:val="000000"/>
                      <w:sz w:val="20"/>
                      <w:szCs w:val="20"/>
                    </w:rPr>
                  </w:pPr>
                  <w:r w:rsidRPr="0035027D">
                    <w:rPr>
                      <w:rFonts w:cs="Times New Roman"/>
                      <w:b/>
                      <w:bCs/>
                      <w:color w:val="000000"/>
                      <w:sz w:val="20"/>
                      <w:szCs w:val="20"/>
                    </w:rPr>
                    <w:t>16</w:t>
                  </w:r>
                </w:p>
              </w:tc>
              <w:tc>
                <w:tcPr>
                  <w:tcW w:w="3554" w:type="dxa"/>
                  <w:tcBorders>
                    <w:top w:val="nil"/>
                    <w:left w:val="nil"/>
                    <w:bottom w:val="nil"/>
                    <w:right w:val="nil"/>
                  </w:tcBorders>
                  <w:shd w:val="clear" w:color="auto" w:fill="auto"/>
                  <w:noWrap/>
                  <w:vAlign w:val="center"/>
                  <w:hideMark/>
                </w:tcPr>
                <w:p w:rsidR="00E13258" w:rsidRPr="0035027D" w:rsidRDefault="00E13258" w:rsidP="007B1F06">
                  <w:pPr>
                    <w:spacing w:after="0"/>
                    <w:jc w:val="left"/>
                    <w:rPr>
                      <w:rFonts w:cs="Times New Roman"/>
                      <w:b/>
                      <w:bCs/>
                      <w:color w:val="000000"/>
                      <w:sz w:val="20"/>
                      <w:szCs w:val="20"/>
                    </w:rPr>
                  </w:pPr>
                  <w:r w:rsidRPr="0035027D">
                    <w:rPr>
                      <w:rFonts w:cs="Times New Roman"/>
                      <w:b/>
                      <w:bCs/>
                      <w:color w:val="000000"/>
                      <w:sz w:val="20"/>
                      <w:szCs w:val="20"/>
                    </w:rPr>
                    <w:t>Roky zdravého života</w:t>
                  </w:r>
                </w:p>
              </w:tc>
              <w:tc>
                <w:tcPr>
                  <w:tcW w:w="4144" w:type="dxa"/>
                  <w:tcBorders>
                    <w:top w:val="nil"/>
                    <w:left w:val="single" w:sz="8" w:space="0" w:color="auto"/>
                    <w:bottom w:val="single" w:sz="8" w:space="0" w:color="auto"/>
                    <w:right w:val="single" w:sz="8" w:space="0" w:color="auto"/>
                  </w:tcBorders>
                  <w:shd w:val="clear" w:color="auto" w:fill="auto"/>
                  <w:vAlign w:val="center"/>
                  <w:hideMark/>
                </w:tcPr>
                <w:p w:rsidR="00E13258" w:rsidRPr="0035027D" w:rsidRDefault="00E13258" w:rsidP="007B1F06">
                  <w:pPr>
                    <w:spacing w:after="0"/>
                    <w:jc w:val="center"/>
                    <w:rPr>
                      <w:rFonts w:cs="Times New Roman"/>
                      <w:color w:val="000000"/>
                      <w:sz w:val="20"/>
                      <w:szCs w:val="20"/>
                    </w:rPr>
                  </w:pPr>
                  <w:r w:rsidRPr="0035027D">
                    <w:rPr>
                      <w:rFonts w:cs="Times New Roman"/>
                      <w:color w:val="000000"/>
                      <w:sz w:val="20"/>
                      <w:szCs w:val="20"/>
                    </w:rPr>
                    <w:t>MZ SR</w:t>
                  </w:r>
                </w:p>
              </w:tc>
            </w:tr>
            <w:tr w:rsidR="00E13258" w:rsidRPr="0035027D" w:rsidTr="00E13258">
              <w:trPr>
                <w:trHeight w:val="300"/>
                <w:jc w:val="center"/>
              </w:trPr>
              <w:tc>
                <w:tcPr>
                  <w:tcW w:w="8542" w:type="dxa"/>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E13258" w:rsidRPr="0035027D" w:rsidRDefault="00E13258" w:rsidP="007B1F06">
                  <w:pPr>
                    <w:spacing w:after="0"/>
                    <w:jc w:val="left"/>
                    <w:rPr>
                      <w:rFonts w:cs="Times New Roman"/>
                      <w:b/>
                      <w:bCs/>
                      <w:color w:val="000000"/>
                      <w:sz w:val="20"/>
                      <w:szCs w:val="20"/>
                    </w:rPr>
                  </w:pPr>
                  <w:r w:rsidRPr="0035027D">
                    <w:rPr>
                      <w:rFonts w:cs="Times New Roman"/>
                      <w:b/>
                      <w:bCs/>
                      <w:color w:val="000000"/>
                      <w:sz w:val="20"/>
                      <w:szCs w:val="20"/>
                    </w:rPr>
                    <w:t>Environmentálna udržateľnosť</w:t>
                  </w:r>
                </w:p>
              </w:tc>
            </w:tr>
            <w:tr w:rsidR="00E13258" w:rsidRPr="0035027D" w:rsidTr="00E13258">
              <w:trPr>
                <w:trHeight w:val="300"/>
                <w:jc w:val="center"/>
              </w:trPr>
              <w:tc>
                <w:tcPr>
                  <w:tcW w:w="521" w:type="dxa"/>
                  <w:tcBorders>
                    <w:top w:val="nil"/>
                    <w:left w:val="single" w:sz="8" w:space="0" w:color="auto"/>
                    <w:bottom w:val="nil"/>
                    <w:right w:val="nil"/>
                  </w:tcBorders>
                  <w:shd w:val="clear" w:color="auto" w:fill="auto"/>
                  <w:textDirection w:val="btLr"/>
                  <w:vAlign w:val="center"/>
                  <w:hideMark/>
                </w:tcPr>
                <w:p w:rsidR="00E13258" w:rsidRPr="0035027D" w:rsidRDefault="00E13258" w:rsidP="007B1F06">
                  <w:pPr>
                    <w:spacing w:after="0"/>
                    <w:jc w:val="center"/>
                    <w:rPr>
                      <w:rFonts w:cs="Times New Roman"/>
                      <w:b/>
                      <w:bCs/>
                      <w:color w:val="000000"/>
                      <w:sz w:val="20"/>
                      <w:szCs w:val="20"/>
                    </w:rPr>
                  </w:pPr>
                  <w:r w:rsidRPr="0035027D">
                    <w:rPr>
                      <w:rFonts w:cs="Times New Roman"/>
                      <w:b/>
                      <w:bCs/>
                      <w:color w:val="000000"/>
                      <w:sz w:val="20"/>
                      <w:szCs w:val="20"/>
                    </w:rPr>
                    <w:t>EÚ</w:t>
                  </w:r>
                </w:p>
              </w:tc>
              <w:tc>
                <w:tcPr>
                  <w:tcW w:w="323" w:type="dxa"/>
                  <w:tcBorders>
                    <w:top w:val="nil"/>
                    <w:left w:val="nil"/>
                    <w:bottom w:val="nil"/>
                    <w:right w:val="nil"/>
                  </w:tcBorders>
                  <w:shd w:val="clear" w:color="auto" w:fill="auto"/>
                  <w:noWrap/>
                  <w:vAlign w:val="center"/>
                  <w:hideMark/>
                </w:tcPr>
                <w:p w:rsidR="00E13258" w:rsidRPr="0035027D" w:rsidRDefault="00E13258" w:rsidP="007B1F06">
                  <w:pPr>
                    <w:spacing w:after="0"/>
                    <w:jc w:val="center"/>
                    <w:rPr>
                      <w:rFonts w:cs="Times New Roman"/>
                      <w:b/>
                      <w:bCs/>
                      <w:color w:val="000000"/>
                      <w:sz w:val="20"/>
                      <w:szCs w:val="20"/>
                    </w:rPr>
                  </w:pPr>
                  <w:r w:rsidRPr="0035027D">
                    <w:rPr>
                      <w:rFonts w:cs="Times New Roman"/>
                      <w:b/>
                      <w:bCs/>
                      <w:color w:val="000000"/>
                      <w:sz w:val="20"/>
                      <w:szCs w:val="20"/>
                    </w:rPr>
                    <w:t>17</w:t>
                  </w:r>
                </w:p>
              </w:tc>
              <w:tc>
                <w:tcPr>
                  <w:tcW w:w="3554" w:type="dxa"/>
                  <w:tcBorders>
                    <w:top w:val="nil"/>
                    <w:left w:val="nil"/>
                    <w:bottom w:val="nil"/>
                    <w:right w:val="nil"/>
                  </w:tcBorders>
                  <w:shd w:val="clear" w:color="auto" w:fill="auto"/>
                  <w:noWrap/>
                  <w:vAlign w:val="center"/>
                  <w:hideMark/>
                </w:tcPr>
                <w:p w:rsidR="00E13258" w:rsidRPr="0035027D" w:rsidRDefault="00E13258" w:rsidP="007B1F06">
                  <w:pPr>
                    <w:spacing w:after="0"/>
                    <w:jc w:val="left"/>
                    <w:rPr>
                      <w:rFonts w:cs="Times New Roman"/>
                      <w:b/>
                      <w:bCs/>
                      <w:color w:val="000000"/>
                      <w:sz w:val="20"/>
                      <w:szCs w:val="20"/>
                    </w:rPr>
                  </w:pPr>
                  <w:r w:rsidRPr="0035027D">
                    <w:rPr>
                      <w:rFonts w:cs="Times New Roman"/>
                      <w:b/>
                      <w:bCs/>
                      <w:color w:val="000000"/>
                      <w:sz w:val="20"/>
                      <w:szCs w:val="20"/>
                    </w:rPr>
                    <w:t>Emisie skleníkových plynov mimo ETS</w:t>
                  </w:r>
                </w:p>
              </w:tc>
              <w:tc>
                <w:tcPr>
                  <w:tcW w:w="4144" w:type="dxa"/>
                  <w:tcBorders>
                    <w:top w:val="nil"/>
                    <w:left w:val="single" w:sz="8" w:space="0" w:color="auto"/>
                    <w:bottom w:val="nil"/>
                    <w:right w:val="single" w:sz="8" w:space="0" w:color="auto"/>
                  </w:tcBorders>
                  <w:shd w:val="clear" w:color="auto" w:fill="auto"/>
                  <w:vAlign w:val="center"/>
                  <w:hideMark/>
                </w:tcPr>
                <w:p w:rsidR="00E13258" w:rsidRPr="0035027D" w:rsidRDefault="00E13258" w:rsidP="007B1F06">
                  <w:pPr>
                    <w:spacing w:after="0"/>
                    <w:jc w:val="center"/>
                    <w:rPr>
                      <w:rFonts w:cs="Times New Roman"/>
                      <w:color w:val="000000"/>
                      <w:sz w:val="20"/>
                      <w:szCs w:val="20"/>
                    </w:rPr>
                  </w:pPr>
                  <w:r w:rsidRPr="0035027D">
                    <w:rPr>
                      <w:rFonts w:cs="Times New Roman"/>
                      <w:color w:val="000000"/>
                      <w:sz w:val="20"/>
                      <w:szCs w:val="20"/>
                    </w:rPr>
                    <w:t>MŽP SR, MH SR, MDVRR SR, MPRV SR</w:t>
                  </w:r>
                </w:p>
              </w:tc>
            </w:tr>
            <w:tr w:rsidR="00E13258" w:rsidRPr="0035027D" w:rsidTr="00E13258">
              <w:trPr>
                <w:trHeight w:val="300"/>
                <w:jc w:val="center"/>
              </w:trPr>
              <w:tc>
                <w:tcPr>
                  <w:tcW w:w="521" w:type="dxa"/>
                  <w:tcBorders>
                    <w:top w:val="nil"/>
                    <w:left w:val="single" w:sz="8" w:space="0" w:color="auto"/>
                    <w:bottom w:val="nil"/>
                    <w:right w:val="nil"/>
                  </w:tcBorders>
                  <w:shd w:val="clear" w:color="auto" w:fill="auto"/>
                  <w:textDirection w:val="btLr"/>
                  <w:vAlign w:val="center"/>
                  <w:hideMark/>
                </w:tcPr>
                <w:p w:rsidR="00E13258" w:rsidRPr="0035027D" w:rsidRDefault="00E13258" w:rsidP="007B1F06">
                  <w:pPr>
                    <w:spacing w:after="0"/>
                    <w:jc w:val="center"/>
                    <w:rPr>
                      <w:rFonts w:cs="Times New Roman"/>
                      <w:b/>
                      <w:bCs/>
                      <w:color w:val="000000"/>
                      <w:sz w:val="20"/>
                      <w:szCs w:val="20"/>
                    </w:rPr>
                  </w:pPr>
                  <w:r w:rsidRPr="0035027D">
                    <w:rPr>
                      <w:rFonts w:cs="Times New Roman"/>
                      <w:b/>
                      <w:bCs/>
                      <w:color w:val="000000"/>
                      <w:sz w:val="20"/>
                      <w:szCs w:val="20"/>
                    </w:rPr>
                    <w:t>EÚ</w:t>
                  </w:r>
                </w:p>
              </w:tc>
              <w:tc>
                <w:tcPr>
                  <w:tcW w:w="323" w:type="dxa"/>
                  <w:tcBorders>
                    <w:top w:val="nil"/>
                    <w:left w:val="nil"/>
                    <w:bottom w:val="nil"/>
                    <w:right w:val="nil"/>
                  </w:tcBorders>
                  <w:shd w:val="clear" w:color="auto" w:fill="auto"/>
                  <w:noWrap/>
                  <w:vAlign w:val="center"/>
                  <w:hideMark/>
                </w:tcPr>
                <w:p w:rsidR="00E13258" w:rsidRPr="0035027D" w:rsidRDefault="00E13258" w:rsidP="007B1F06">
                  <w:pPr>
                    <w:spacing w:after="0"/>
                    <w:jc w:val="center"/>
                    <w:rPr>
                      <w:rFonts w:cs="Times New Roman"/>
                      <w:b/>
                      <w:bCs/>
                      <w:color w:val="000000"/>
                      <w:sz w:val="20"/>
                      <w:szCs w:val="20"/>
                    </w:rPr>
                  </w:pPr>
                  <w:r w:rsidRPr="0035027D">
                    <w:rPr>
                      <w:rFonts w:cs="Times New Roman"/>
                      <w:b/>
                      <w:bCs/>
                      <w:color w:val="000000"/>
                      <w:sz w:val="20"/>
                      <w:szCs w:val="20"/>
                    </w:rPr>
                    <w:t>18</w:t>
                  </w:r>
                </w:p>
              </w:tc>
              <w:tc>
                <w:tcPr>
                  <w:tcW w:w="3554" w:type="dxa"/>
                  <w:tcBorders>
                    <w:top w:val="nil"/>
                    <w:left w:val="nil"/>
                    <w:bottom w:val="nil"/>
                    <w:right w:val="nil"/>
                  </w:tcBorders>
                  <w:shd w:val="clear" w:color="auto" w:fill="auto"/>
                  <w:noWrap/>
                  <w:vAlign w:val="center"/>
                  <w:hideMark/>
                </w:tcPr>
                <w:p w:rsidR="00E13258" w:rsidRPr="0035027D" w:rsidRDefault="00E13258" w:rsidP="007B1F06">
                  <w:pPr>
                    <w:spacing w:after="0"/>
                    <w:jc w:val="left"/>
                    <w:rPr>
                      <w:rFonts w:cs="Times New Roman"/>
                      <w:b/>
                      <w:bCs/>
                      <w:color w:val="000000"/>
                      <w:sz w:val="20"/>
                      <w:szCs w:val="20"/>
                    </w:rPr>
                  </w:pPr>
                  <w:r w:rsidRPr="0035027D">
                    <w:rPr>
                      <w:rFonts w:cs="Times New Roman"/>
                      <w:b/>
                      <w:bCs/>
                      <w:color w:val="000000"/>
                      <w:sz w:val="20"/>
                      <w:szCs w:val="20"/>
                    </w:rPr>
                    <w:t>Podiel OZE na hrubej konečnej spotrebe</w:t>
                  </w:r>
                </w:p>
              </w:tc>
              <w:tc>
                <w:tcPr>
                  <w:tcW w:w="4144" w:type="dxa"/>
                  <w:tcBorders>
                    <w:top w:val="nil"/>
                    <w:left w:val="single" w:sz="8" w:space="0" w:color="auto"/>
                    <w:bottom w:val="nil"/>
                    <w:right w:val="single" w:sz="8" w:space="0" w:color="auto"/>
                  </w:tcBorders>
                  <w:shd w:val="clear" w:color="auto" w:fill="auto"/>
                  <w:vAlign w:val="center"/>
                  <w:hideMark/>
                </w:tcPr>
                <w:p w:rsidR="00E13258" w:rsidRPr="0035027D" w:rsidRDefault="00E13258" w:rsidP="007B1F06">
                  <w:pPr>
                    <w:spacing w:after="0"/>
                    <w:jc w:val="center"/>
                    <w:rPr>
                      <w:rFonts w:cs="Times New Roman"/>
                      <w:color w:val="000000"/>
                      <w:sz w:val="20"/>
                      <w:szCs w:val="20"/>
                    </w:rPr>
                  </w:pPr>
                  <w:r w:rsidRPr="0035027D">
                    <w:rPr>
                      <w:rFonts w:cs="Times New Roman"/>
                      <w:color w:val="000000"/>
                      <w:sz w:val="20"/>
                      <w:szCs w:val="20"/>
                    </w:rPr>
                    <w:t>MH SR, MŽP SR</w:t>
                  </w:r>
                </w:p>
              </w:tc>
            </w:tr>
            <w:tr w:rsidR="00E13258" w:rsidRPr="0035027D" w:rsidTr="00E13258">
              <w:trPr>
                <w:trHeight w:val="300"/>
                <w:jc w:val="center"/>
              </w:trPr>
              <w:tc>
                <w:tcPr>
                  <w:tcW w:w="521" w:type="dxa"/>
                  <w:tcBorders>
                    <w:top w:val="nil"/>
                    <w:left w:val="single" w:sz="8" w:space="0" w:color="auto"/>
                    <w:bottom w:val="nil"/>
                    <w:right w:val="nil"/>
                  </w:tcBorders>
                  <w:shd w:val="clear" w:color="auto" w:fill="auto"/>
                  <w:textDirection w:val="btLr"/>
                  <w:vAlign w:val="center"/>
                  <w:hideMark/>
                </w:tcPr>
                <w:p w:rsidR="00E13258" w:rsidRPr="0035027D" w:rsidRDefault="00E13258" w:rsidP="007B1F06">
                  <w:pPr>
                    <w:spacing w:after="0"/>
                    <w:jc w:val="center"/>
                    <w:rPr>
                      <w:rFonts w:cs="Times New Roman"/>
                      <w:b/>
                      <w:bCs/>
                      <w:color w:val="000000"/>
                      <w:sz w:val="20"/>
                      <w:szCs w:val="20"/>
                    </w:rPr>
                  </w:pPr>
                  <w:r w:rsidRPr="0035027D">
                    <w:rPr>
                      <w:rFonts w:cs="Times New Roman"/>
                      <w:b/>
                      <w:bCs/>
                      <w:color w:val="000000"/>
                      <w:sz w:val="20"/>
                      <w:szCs w:val="20"/>
                    </w:rPr>
                    <w:t>EÚ</w:t>
                  </w:r>
                </w:p>
              </w:tc>
              <w:tc>
                <w:tcPr>
                  <w:tcW w:w="323" w:type="dxa"/>
                  <w:tcBorders>
                    <w:top w:val="nil"/>
                    <w:left w:val="nil"/>
                    <w:bottom w:val="nil"/>
                    <w:right w:val="nil"/>
                  </w:tcBorders>
                  <w:shd w:val="clear" w:color="auto" w:fill="auto"/>
                  <w:noWrap/>
                  <w:vAlign w:val="center"/>
                  <w:hideMark/>
                </w:tcPr>
                <w:p w:rsidR="00E13258" w:rsidRPr="0035027D" w:rsidRDefault="00E13258" w:rsidP="007B1F06">
                  <w:pPr>
                    <w:spacing w:after="0"/>
                    <w:jc w:val="center"/>
                    <w:rPr>
                      <w:rFonts w:cs="Times New Roman"/>
                      <w:b/>
                      <w:bCs/>
                      <w:color w:val="000000"/>
                      <w:sz w:val="20"/>
                      <w:szCs w:val="20"/>
                    </w:rPr>
                  </w:pPr>
                  <w:r w:rsidRPr="0035027D">
                    <w:rPr>
                      <w:rFonts w:cs="Times New Roman"/>
                      <w:b/>
                      <w:bCs/>
                      <w:color w:val="000000"/>
                      <w:sz w:val="20"/>
                      <w:szCs w:val="20"/>
                    </w:rPr>
                    <w:t>19</w:t>
                  </w:r>
                </w:p>
              </w:tc>
              <w:tc>
                <w:tcPr>
                  <w:tcW w:w="3554" w:type="dxa"/>
                  <w:tcBorders>
                    <w:top w:val="nil"/>
                    <w:left w:val="nil"/>
                    <w:bottom w:val="nil"/>
                    <w:right w:val="nil"/>
                  </w:tcBorders>
                  <w:shd w:val="clear" w:color="auto" w:fill="auto"/>
                  <w:noWrap/>
                  <w:vAlign w:val="center"/>
                  <w:hideMark/>
                </w:tcPr>
                <w:p w:rsidR="00E13258" w:rsidRPr="0035027D" w:rsidRDefault="00E13258" w:rsidP="007B1F06">
                  <w:pPr>
                    <w:spacing w:after="0"/>
                    <w:jc w:val="left"/>
                    <w:rPr>
                      <w:rFonts w:cs="Times New Roman"/>
                      <w:b/>
                      <w:bCs/>
                      <w:color w:val="000000"/>
                      <w:sz w:val="20"/>
                      <w:szCs w:val="20"/>
                    </w:rPr>
                  </w:pPr>
                  <w:r w:rsidRPr="0035027D">
                    <w:rPr>
                      <w:rFonts w:cs="Times New Roman"/>
                      <w:b/>
                      <w:bCs/>
                      <w:color w:val="000000"/>
                      <w:sz w:val="20"/>
                      <w:szCs w:val="20"/>
                    </w:rPr>
                    <w:t>Konečná energetická spotreba</w:t>
                  </w:r>
                </w:p>
              </w:tc>
              <w:tc>
                <w:tcPr>
                  <w:tcW w:w="4144" w:type="dxa"/>
                  <w:tcBorders>
                    <w:top w:val="nil"/>
                    <w:left w:val="single" w:sz="8" w:space="0" w:color="auto"/>
                    <w:bottom w:val="nil"/>
                    <w:right w:val="single" w:sz="8" w:space="0" w:color="auto"/>
                  </w:tcBorders>
                  <w:shd w:val="clear" w:color="auto" w:fill="auto"/>
                  <w:vAlign w:val="center"/>
                  <w:hideMark/>
                </w:tcPr>
                <w:p w:rsidR="00E13258" w:rsidRPr="0035027D" w:rsidRDefault="00E13258" w:rsidP="007B1F06">
                  <w:pPr>
                    <w:spacing w:after="0"/>
                    <w:jc w:val="center"/>
                    <w:rPr>
                      <w:rFonts w:cs="Times New Roman"/>
                      <w:color w:val="000000"/>
                      <w:sz w:val="20"/>
                      <w:szCs w:val="20"/>
                    </w:rPr>
                  </w:pPr>
                  <w:r w:rsidRPr="0035027D">
                    <w:rPr>
                      <w:rFonts w:cs="Times New Roman"/>
                      <w:color w:val="000000"/>
                      <w:sz w:val="20"/>
                      <w:szCs w:val="20"/>
                    </w:rPr>
                    <w:t>MH SR, MDVRR SR, MPRV SR</w:t>
                  </w:r>
                </w:p>
              </w:tc>
            </w:tr>
            <w:tr w:rsidR="00E13258" w:rsidRPr="0035027D" w:rsidTr="00E13258">
              <w:trPr>
                <w:trHeight w:val="300"/>
                <w:jc w:val="center"/>
              </w:trPr>
              <w:tc>
                <w:tcPr>
                  <w:tcW w:w="521" w:type="dxa"/>
                  <w:tcBorders>
                    <w:top w:val="nil"/>
                    <w:left w:val="single" w:sz="8" w:space="0" w:color="auto"/>
                    <w:bottom w:val="single" w:sz="8" w:space="0" w:color="auto"/>
                    <w:right w:val="nil"/>
                  </w:tcBorders>
                  <w:shd w:val="clear" w:color="auto" w:fill="auto"/>
                  <w:noWrap/>
                  <w:vAlign w:val="bottom"/>
                  <w:hideMark/>
                </w:tcPr>
                <w:p w:rsidR="00E13258" w:rsidRPr="0035027D" w:rsidRDefault="00E13258" w:rsidP="007B1F06">
                  <w:pPr>
                    <w:spacing w:after="0"/>
                    <w:jc w:val="left"/>
                    <w:rPr>
                      <w:rFonts w:cs="Times New Roman"/>
                      <w:color w:val="000000"/>
                    </w:rPr>
                  </w:pPr>
                  <w:r w:rsidRPr="0035027D">
                    <w:rPr>
                      <w:rFonts w:cs="Times New Roman"/>
                      <w:color w:val="000000"/>
                    </w:rPr>
                    <w:t> </w:t>
                  </w:r>
                </w:p>
              </w:tc>
              <w:tc>
                <w:tcPr>
                  <w:tcW w:w="323" w:type="dxa"/>
                  <w:tcBorders>
                    <w:top w:val="nil"/>
                    <w:left w:val="nil"/>
                    <w:bottom w:val="single" w:sz="8" w:space="0" w:color="auto"/>
                    <w:right w:val="nil"/>
                  </w:tcBorders>
                  <w:shd w:val="clear" w:color="auto" w:fill="auto"/>
                  <w:noWrap/>
                  <w:vAlign w:val="center"/>
                  <w:hideMark/>
                </w:tcPr>
                <w:p w:rsidR="00E13258" w:rsidRPr="0035027D" w:rsidRDefault="00E13258" w:rsidP="007B1F06">
                  <w:pPr>
                    <w:spacing w:after="0"/>
                    <w:jc w:val="center"/>
                    <w:rPr>
                      <w:rFonts w:cs="Times New Roman"/>
                      <w:b/>
                      <w:bCs/>
                      <w:color w:val="000000"/>
                      <w:sz w:val="20"/>
                      <w:szCs w:val="20"/>
                    </w:rPr>
                  </w:pPr>
                  <w:r w:rsidRPr="0035027D">
                    <w:rPr>
                      <w:rFonts w:cs="Times New Roman"/>
                      <w:b/>
                      <w:bCs/>
                      <w:color w:val="000000"/>
                      <w:sz w:val="20"/>
                      <w:szCs w:val="20"/>
                    </w:rPr>
                    <w:t>20</w:t>
                  </w:r>
                </w:p>
              </w:tc>
              <w:tc>
                <w:tcPr>
                  <w:tcW w:w="3554" w:type="dxa"/>
                  <w:tcBorders>
                    <w:top w:val="nil"/>
                    <w:left w:val="nil"/>
                    <w:bottom w:val="single" w:sz="8" w:space="0" w:color="auto"/>
                    <w:right w:val="nil"/>
                  </w:tcBorders>
                  <w:shd w:val="clear" w:color="auto" w:fill="auto"/>
                  <w:noWrap/>
                  <w:vAlign w:val="center"/>
                  <w:hideMark/>
                </w:tcPr>
                <w:p w:rsidR="00E13258" w:rsidRPr="0035027D" w:rsidRDefault="00E13258" w:rsidP="007B1F06">
                  <w:pPr>
                    <w:spacing w:after="0"/>
                    <w:jc w:val="left"/>
                    <w:rPr>
                      <w:rFonts w:cs="Times New Roman"/>
                      <w:b/>
                      <w:bCs/>
                      <w:color w:val="000000"/>
                      <w:sz w:val="20"/>
                      <w:szCs w:val="20"/>
                    </w:rPr>
                  </w:pPr>
                  <w:r w:rsidRPr="0035027D">
                    <w:rPr>
                      <w:rFonts w:cs="Times New Roman"/>
                      <w:b/>
                      <w:bCs/>
                      <w:color w:val="000000"/>
                      <w:sz w:val="20"/>
                      <w:szCs w:val="20"/>
                    </w:rPr>
                    <w:t>Trend EPI</w:t>
                  </w:r>
                </w:p>
              </w:tc>
              <w:tc>
                <w:tcPr>
                  <w:tcW w:w="4144" w:type="dxa"/>
                  <w:tcBorders>
                    <w:top w:val="nil"/>
                    <w:left w:val="single" w:sz="8" w:space="0" w:color="auto"/>
                    <w:bottom w:val="single" w:sz="8" w:space="0" w:color="auto"/>
                    <w:right w:val="single" w:sz="8" w:space="0" w:color="auto"/>
                  </w:tcBorders>
                  <w:shd w:val="clear" w:color="auto" w:fill="auto"/>
                  <w:vAlign w:val="center"/>
                  <w:hideMark/>
                </w:tcPr>
                <w:p w:rsidR="00E13258" w:rsidRPr="0035027D" w:rsidRDefault="00E13258" w:rsidP="007B1F06">
                  <w:pPr>
                    <w:spacing w:after="0"/>
                    <w:jc w:val="center"/>
                    <w:rPr>
                      <w:rFonts w:cs="Times New Roman"/>
                      <w:color w:val="000000"/>
                      <w:sz w:val="20"/>
                      <w:szCs w:val="20"/>
                    </w:rPr>
                  </w:pPr>
                  <w:r w:rsidRPr="0035027D">
                    <w:rPr>
                      <w:rFonts w:cs="Times New Roman"/>
                      <w:color w:val="000000"/>
                      <w:sz w:val="20"/>
                      <w:szCs w:val="20"/>
                    </w:rPr>
                    <w:t>MŽP SR</w:t>
                  </w:r>
                </w:p>
              </w:tc>
            </w:tr>
          </w:tbl>
          <w:p w:rsidR="00E13258" w:rsidRPr="0035027D" w:rsidRDefault="00E13258" w:rsidP="00A95647">
            <w:pPr>
              <w:spacing w:after="0"/>
            </w:pPr>
          </w:p>
        </w:tc>
      </w:tr>
    </w:tbl>
    <w:p w:rsidR="00E13258" w:rsidRPr="0035027D" w:rsidRDefault="00E13258" w:rsidP="00A95647">
      <w:pPr>
        <w:spacing w:after="0"/>
      </w:pPr>
    </w:p>
    <w:p w:rsidR="002E291C" w:rsidRPr="0035027D" w:rsidRDefault="002E291C" w:rsidP="002E291C">
      <w:pPr>
        <w:spacing w:after="0"/>
        <w:sectPr w:rsidR="002E291C" w:rsidRPr="0035027D" w:rsidSect="006D6AF5">
          <w:headerReference w:type="default" r:id="rId18"/>
          <w:pgSz w:w="11906" w:h="16838" w:code="9"/>
          <w:pgMar w:top="1701" w:right="1418" w:bottom="1418" w:left="1418" w:header="0" w:footer="709" w:gutter="0"/>
          <w:cols w:space="708"/>
          <w:docGrid w:linePitch="360"/>
        </w:sectPr>
      </w:pPr>
      <w:bookmarkStart w:id="20" w:name="_Toc240168571"/>
      <w:bookmarkStart w:id="21" w:name="_Toc241307755"/>
      <w:bookmarkStart w:id="22" w:name="_Toc96245660"/>
      <w:bookmarkEnd w:id="0"/>
      <w:bookmarkEnd w:id="16"/>
      <w:bookmarkEnd w:id="17"/>
      <w:bookmarkEnd w:id="18"/>
      <w:bookmarkEnd w:id="19"/>
    </w:p>
    <w:p w:rsidR="00515596" w:rsidRPr="0035027D" w:rsidRDefault="00416C56" w:rsidP="003C29D5">
      <w:pPr>
        <w:pStyle w:val="Nadpis1"/>
        <w:numPr>
          <w:ilvl w:val="0"/>
          <w:numId w:val="1"/>
        </w:numPr>
        <w:tabs>
          <w:tab w:val="left" w:pos="567"/>
        </w:tabs>
        <w:spacing w:after="0"/>
        <w:ind w:left="284" w:hanging="284"/>
        <w:rPr>
          <w:sz w:val="36"/>
          <w:szCs w:val="36"/>
        </w:rPr>
      </w:pPr>
      <w:bookmarkStart w:id="23" w:name="_Toc353563371"/>
      <w:bookmarkEnd w:id="20"/>
      <w:bookmarkEnd w:id="21"/>
      <w:bookmarkEnd w:id="22"/>
      <w:r w:rsidRPr="0035027D">
        <w:rPr>
          <w:sz w:val="36"/>
          <w:szCs w:val="36"/>
        </w:rPr>
        <w:lastRenderedPageBreak/>
        <w:t>Plnenie</w:t>
      </w:r>
      <w:r w:rsidR="00515596" w:rsidRPr="0035027D">
        <w:rPr>
          <w:sz w:val="36"/>
          <w:szCs w:val="36"/>
        </w:rPr>
        <w:t xml:space="preserve"> opatrení </w:t>
      </w:r>
      <w:r w:rsidR="00B815F9" w:rsidRPr="0035027D">
        <w:rPr>
          <w:sz w:val="36"/>
          <w:szCs w:val="36"/>
        </w:rPr>
        <w:t>Národného programu reforiem</w:t>
      </w:r>
      <w:r w:rsidR="00515596" w:rsidRPr="0035027D">
        <w:rPr>
          <w:sz w:val="36"/>
          <w:szCs w:val="36"/>
        </w:rPr>
        <w:t xml:space="preserve"> 2012</w:t>
      </w:r>
      <w:bookmarkEnd w:id="23"/>
    </w:p>
    <w:p w:rsidR="002D6023" w:rsidRPr="0035027D" w:rsidRDefault="002D6023" w:rsidP="002D6023">
      <w:pPr>
        <w:spacing w:after="0"/>
        <w:rPr>
          <w:lang w:eastAsia="en-US"/>
        </w:rPr>
      </w:pPr>
    </w:p>
    <w:p w:rsidR="00DA1952" w:rsidRPr="0035027D" w:rsidRDefault="00C012BA" w:rsidP="00774260">
      <w:pPr>
        <w:spacing w:after="0"/>
        <w:rPr>
          <w:bCs/>
        </w:rPr>
      </w:pPr>
      <w:r w:rsidRPr="0035027D">
        <w:rPr>
          <w:bCs/>
        </w:rPr>
        <w:t>Jednou z</w:t>
      </w:r>
      <w:r w:rsidR="00750529" w:rsidRPr="0035027D">
        <w:rPr>
          <w:bCs/>
        </w:rPr>
        <w:t> </w:t>
      </w:r>
      <w:r w:rsidRPr="0035027D">
        <w:rPr>
          <w:bCs/>
        </w:rPr>
        <w:t>k</w:t>
      </w:r>
      <w:r w:rsidRPr="0035027D">
        <w:rPr>
          <w:rFonts w:cs="Times New Roman"/>
          <w:bCs/>
        </w:rPr>
        <w:t>ľ</w:t>
      </w:r>
      <w:r w:rsidRPr="0035027D">
        <w:rPr>
          <w:bCs/>
        </w:rPr>
        <w:t>ú</w:t>
      </w:r>
      <w:r w:rsidRPr="0035027D">
        <w:rPr>
          <w:rFonts w:cs="Times New Roman"/>
          <w:bCs/>
        </w:rPr>
        <w:t>č</w:t>
      </w:r>
      <w:r w:rsidRPr="0035027D">
        <w:rPr>
          <w:bCs/>
        </w:rPr>
        <w:t>ových</w:t>
      </w:r>
      <w:r w:rsidR="00750529" w:rsidRPr="0035027D">
        <w:rPr>
          <w:bCs/>
        </w:rPr>
        <w:t xml:space="preserve"> </w:t>
      </w:r>
      <w:r w:rsidRPr="0035027D">
        <w:rPr>
          <w:bCs/>
        </w:rPr>
        <w:t>úloh</w:t>
      </w:r>
      <w:r w:rsidR="00955552" w:rsidRPr="0035027D">
        <w:rPr>
          <w:bCs/>
        </w:rPr>
        <w:t>, ktoré</w:t>
      </w:r>
      <w:r w:rsidRPr="0035027D">
        <w:rPr>
          <w:bCs/>
        </w:rPr>
        <w:t xml:space="preserve"> vlád</w:t>
      </w:r>
      <w:r w:rsidR="00324583" w:rsidRPr="0035027D">
        <w:rPr>
          <w:bCs/>
        </w:rPr>
        <w:t>a</w:t>
      </w:r>
      <w:r w:rsidRPr="0035027D">
        <w:rPr>
          <w:bCs/>
        </w:rPr>
        <w:t xml:space="preserve"> SR</w:t>
      </w:r>
      <w:r w:rsidR="0013134E" w:rsidRPr="0035027D">
        <w:rPr>
          <w:bCs/>
        </w:rPr>
        <w:t xml:space="preserve"> </w:t>
      </w:r>
      <w:r w:rsidR="00955552" w:rsidRPr="0035027D">
        <w:rPr>
          <w:bCs/>
        </w:rPr>
        <w:t>plnila</w:t>
      </w:r>
      <w:r w:rsidRPr="0035027D">
        <w:rPr>
          <w:bCs/>
        </w:rPr>
        <w:t xml:space="preserve"> </w:t>
      </w:r>
      <w:r w:rsidR="00750529" w:rsidRPr="0035027D">
        <w:rPr>
          <w:bCs/>
        </w:rPr>
        <w:t>v uplynulom roku</w:t>
      </w:r>
      <w:r w:rsidR="00955552" w:rsidRPr="0035027D">
        <w:rPr>
          <w:bCs/>
        </w:rPr>
        <w:t>,</w:t>
      </w:r>
      <w:r w:rsidR="00750529" w:rsidRPr="0035027D">
        <w:rPr>
          <w:bCs/>
        </w:rPr>
        <w:t xml:space="preserve"> bola konsolidácia verejných financií</w:t>
      </w:r>
      <w:r w:rsidRPr="0035027D">
        <w:rPr>
          <w:bCs/>
        </w:rPr>
        <w:t xml:space="preserve">. </w:t>
      </w:r>
      <w:r w:rsidR="006359CC" w:rsidRPr="0035027D">
        <w:t>Najmä v</w:t>
      </w:r>
      <w:r w:rsidR="00750529" w:rsidRPr="0035027D">
        <w:t>zh</w:t>
      </w:r>
      <w:r w:rsidR="00750529" w:rsidRPr="0035027D">
        <w:rPr>
          <w:rFonts w:cs="Times New Roman"/>
        </w:rPr>
        <w:t>ľ</w:t>
      </w:r>
      <w:r w:rsidR="00750529" w:rsidRPr="0035027D">
        <w:t>adom na nepriaznivý vývoj</w:t>
      </w:r>
      <w:r w:rsidRPr="0035027D">
        <w:t xml:space="preserve"> da</w:t>
      </w:r>
      <w:r w:rsidRPr="0035027D">
        <w:rPr>
          <w:rFonts w:cs="Times New Roman"/>
        </w:rPr>
        <w:t>ň</w:t>
      </w:r>
      <w:r w:rsidRPr="0035027D">
        <w:t xml:space="preserve">ových príjmov </w:t>
      </w:r>
      <w:r w:rsidR="00750529" w:rsidRPr="0035027D">
        <w:t>bolo</w:t>
      </w:r>
      <w:r w:rsidRPr="0035027D">
        <w:t xml:space="preserve"> </w:t>
      </w:r>
      <w:r w:rsidR="006359CC" w:rsidRPr="0035027D">
        <w:t xml:space="preserve">v priebehu roka </w:t>
      </w:r>
      <w:r w:rsidR="0050113D" w:rsidRPr="0035027D">
        <w:t xml:space="preserve">nevyhnutné </w:t>
      </w:r>
      <w:r w:rsidRPr="0035027D">
        <w:t>prija</w:t>
      </w:r>
      <w:r w:rsidRPr="0035027D">
        <w:rPr>
          <w:rFonts w:cs="Times New Roman"/>
        </w:rPr>
        <w:t>ť</w:t>
      </w:r>
      <w:r w:rsidRPr="0035027D">
        <w:t xml:space="preserve"> dodato</w:t>
      </w:r>
      <w:r w:rsidR="00750529" w:rsidRPr="0035027D">
        <w:rPr>
          <w:rFonts w:cs="Times New Roman"/>
        </w:rPr>
        <w:t>č</w:t>
      </w:r>
      <w:r w:rsidR="00750529" w:rsidRPr="0035027D">
        <w:t>né opatrenia</w:t>
      </w:r>
      <w:r w:rsidR="009251D8">
        <w:t xml:space="preserve"> na rok 2012</w:t>
      </w:r>
      <w:r w:rsidR="00955552" w:rsidRPr="0035027D">
        <w:t xml:space="preserve"> </w:t>
      </w:r>
      <w:r w:rsidR="00CA6E08" w:rsidRPr="0035027D">
        <w:t xml:space="preserve">v objeme </w:t>
      </w:r>
      <w:r w:rsidR="006359CC" w:rsidRPr="0035027D">
        <w:t>1 % HDP</w:t>
      </w:r>
      <w:r w:rsidRPr="0035027D">
        <w:t>. Rozpo</w:t>
      </w:r>
      <w:r w:rsidRPr="0035027D">
        <w:rPr>
          <w:rFonts w:cs="Times New Roman"/>
        </w:rPr>
        <w:t>č</w:t>
      </w:r>
      <w:r w:rsidRPr="0035027D">
        <w:t>et verejnej správy po</w:t>
      </w:r>
      <w:r w:rsidRPr="0035027D">
        <w:rPr>
          <w:rFonts w:cs="Times New Roman"/>
        </w:rPr>
        <w:t>č</w:t>
      </w:r>
      <w:r w:rsidRPr="0035027D">
        <w:t xml:space="preserve">íta v roku </w:t>
      </w:r>
      <w:r w:rsidRPr="0035027D">
        <w:rPr>
          <w:bCs/>
        </w:rPr>
        <w:t>2013 s</w:t>
      </w:r>
      <w:r w:rsidR="009A2D3D">
        <w:rPr>
          <w:bCs/>
        </w:rPr>
        <w:t> konsolidáciou v objeme 2,5 mld. eur a</w:t>
      </w:r>
      <w:r w:rsidRPr="0035027D">
        <w:rPr>
          <w:bCs/>
        </w:rPr>
        <w:t> deficitom 2,9</w:t>
      </w:r>
      <w:r w:rsidR="005E1922" w:rsidRPr="0035027D">
        <w:rPr>
          <w:bCs/>
        </w:rPr>
        <w:t> %</w:t>
      </w:r>
      <w:r w:rsidRPr="0035027D">
        <w:rPr>
          <w:bCs/>
        </w:rPr>
        <w:t xml:space="preserve"> HDP</w:t>
      </w:r>
      <w:r w:rsidR="00750529" w:rsidRPr="0035027D">
        <w:rPr>
          <w:bCs/>
        </w:rPr>
        <w:t xml:space="preserve">, </w:t>
      </w:r>
      <w:r w:rsidR="00750529" w:rsidRPr="0035027D">
        <w:rPr>
          <w:rFonts w:cs="Times New Roman"/>
          <w:bCs/>
        </w:rPr>
        <w:t>č</w:t>
      </w:r>
      <w:r w:rsidR="00750529" w:rsidRPr="0035027D">
        <w:rPr>
          <w:bCs/>
        </w:rPr>
        <w:t xml:space="preserve">o </w:t>
      </w:r>
      <w:r w:rsidR="006359CC" w:rsidRPr="0035027D">
        <w:rPr>
          <w:bCs/>
        </w:rPr>
        <w:t>vytvára predpoklady na ukon</w:t>
      </w:r>
      <w:r w:rsidR="006359CC" w:rsidRPr="0035027D">
        <w:rPr>
          <w:rFonts w:cs="Times New Roman"/>
          <w:bCs/>
        </w:rPr>
        <w:t>č</w:t>
      </w:r>
      <w:r w:rsidR="006359CC" w:rsidRPr="0035027D">
        <w:rPr>
          <w:bCs/>
        </w:rPr>
        <w:t>enie procedúry nadmerného deficitu</w:t>
      </w:r>
      <w:r w:rsidR="00750529" w:rsidRPr="0035027D">
        <w:rPr>
          <w:bCs/>
        </w:rPr>
        <w:t>.</w:t>
      </w:r>
    </w:p>
    <w:p w:rsidR="00DA1952" w:rsidRPr="0035027D" w:rsidRDefault="00DA1952" w:rsidP="00774260">
      <w:pPr>
        <w:spacing w:after="0"/>
        <w:rPr>
          <w:bCs/>
        </w:rPr>
      </w:pPr>
    </w:p>
    <w:p w:rsidR="00DA1952" w:rsidRPr="0035027D" w:rsidRDefault="0061158A" w:rsidP="00774260">
      <w:pPr>
        <w:spacing w:after="0"/>
        <w:rPr>
          <w:lang w:eastAsia="en-US"/>
        </w:rPr>
      </w:pPr>
      <w:r w:rsidRPr="0035027D">
        <w:rPr>
          <w:bCs/>
        </w:rPr>
        <w:t>Vláda rozbehla</w:t>
      </w:r>
      <w:r w:rsidR="004A02CC" w:rsidRPr="0035027D">
        <w:rPr>
          <w:bCs/>
        </w:rPr>
        <w:t xml:space="preserve"> úsilie na </w:t>
      </w:r>
      <w:r w:rsidR="004A02CC" w:rsidRPr="0035027D">
        <w:rPr>
          <w:lang w:eastAsia="en-US"/>
        </w:rPr>
        <w:t>boj proti da</w:t>
      </w:r>
      <w:r w:rsidR="004A02CC" w:rsidRPr="0035027D">
        <w:rPr>
          <w:rFonts w:cs="Times New Roman"/>
          <w:lang w:eastAsia="en-US"/>
        </w:rPr>
        <w:t>ň</w:t>
      </w:r>
      <w:r w:rsidR="004A02CC" w:rsidRPr="0035027D">
        <w:rPr>
          <w:lang w:eastAsia="en-US"/>
        </w:rPr>
        <w:t xml:space="preserve">ovým únikom, </w:t>
      </w:r>
      <w:r w:rsidR="00DA1952" w:rsidRPr="0035027D">
        <w:rPr>
          <w:lang w:eastAsia="en-US"/>
        </w:rPr>
        <w:t>ktoré podporí prebiehajúcu konsolidáciu</w:t>
      </w:r>
      <w:r w:rsidR="006359CC" w:rsidRPr="0035027D">
        <w:rPr>
          <w:lang w:eastAsia="en-US"/>
        </w:rPr>
        <w:t xml:space="preserve"> a uvo</w:t>
      </w:r>
      <w:r w:rsidR="006359CC" w:rsidRPr="0035027D">
        <w:rPr>
          <w:rFonts w:cs="Times New Roman"/>
          <w:lang w:eastAsia="en-US"/>
        </w:rPr>
        <w:t>ľ</w:t>
      </w:r>
      <w:r w:rsidR="006359CC" w:rsidRPr="0035027D">
        <w:rPr>
          <w:lang w:eastAsia="en-US"/>
        </w:rPr>
        <w:t xml:space="preserve">ní zdroje na podporu rastu a kvality </w:t>
      </w:r>
      <w:r w:rsidR="006359CC" w:rsidRPr="0035027D">
        <w:rPr>
          <w:rFonts w:cs="Times New Roman"/>
          <w:lang w:eastAsia="en-US"/>
        </w:rPr>
        <w:t>ž</w:t>
      </w:r>
      <w:r w:rsidR="006359CC" w:rsidRPr="0035027D">
        <w:rPr>
          <w:lang w:eastAsia="en-US"/>
        </w:rPr>
        <w:t>ivota</w:t>
      </w:r>
      <w:r w:rsidR="00DA1952" w:rsidRPr="0035027D">
        <w:rPr>
          <w:lang w:eastAsia="en-US"/>
        </w:rPr>
        <w:t>. Implementácia konkrétnych opatrení u</w:t>
      </w:r>
      <w:r w:rsidR="00DA1952" w:rsidRPr="0035027D">
        <w:rPr>
          <w:rFonts w:cs="Times New Roman"/>
          <w:lang w:eastAsia="en-US"/>
        </w:rPr>
        <w:t>ž</w:t>
      </w:r>
      <w:r w:rsidR="004A02CC" w:rsidRPr="0035027D">
        <w:rPr>
          <w:lang w:eastAsia="en-US"/>
        </w:rPr>
        <w:t xml:space="preserve"> prebieha. </w:t>
      </w:r>
      <w:r w:rsidR="00CA6E08" w:rsidRPr="0035027D">
        <w:rPr>
          <w:lang w:eastAsia="en-US"/>
        </w:rPr>
        <w:t>S cie</w:t>
      </w:r>
      <w:r w:rsidR="00CA6E08" w:rsidRPr="0035027D">
        <w:rPr>
          <w:rFonts w:cs="Times New Roman"/>
          <w:lang w:eastAsia="en-US"/>
        </w:rPr>
        <w:t>ľ</w:t>
      </w:r>
      <w:r w:rsidR="00CA6E08" w:rsidRPr="0035027D">
        <w:rPr>
          <w:lang w:eastAsia="en-US"/>
        </w:rPr>
        <w:t xml:space="preserve">om </w:t>
      </w:r>
      <w:r w:rsidR="00B279E6" w:rsidRPr="0035027D">
        <w:rPr>
          <w:lang w:eastAsia="en-US"/>
        </w:rPr>
        <w:t>zvýši</w:t>
      </w:r>
      <w:r w:rsidR="00B279E6" w:rsidRPr="0035027D">
        <w:rPr>
          <w:rFonts w:cs="Times New Roman"/>
          <w:lang w:eastAsia="en-US"/>
        </w:rPr>
        <w:t>ť</w:t>
      </w:r>
      <w:r w:rsidR="00B279E6" w:rsidRPr="0035027D">
        <w:rPr>
          <w:lang w:eastAsia="en-US"/>
        </w:rPr>
        <w:t xml:space="preserve"> spravodlivos</w:t>
      </w:r>
      <w:r w:rsidR="00B279E6" w:rsidRPr="0035027D">
        <w:rPr>
          <w:rFonts w:cs="Times New Roman"/>
          <w:lang w:eastAsia="en-US"/>
        </w:rPr>
        <w:t>ť</w:t>
      </w:r>
      <w:r w:rsidR="00B279E6" w:rsidRPr="0035027D">
        <w:rPr>
          <w:lang w:eastAsia="en-US"/>
        </w:rPr>
        <w:t xml:space="preserve"> da</w:t>
      </w:r>
      <w:r w:rsidR="00B279E6" w:rsidRPr="0035027D">
        <w:rPr>
          <w:rFonts w:cs="Times New Roman"/>
          <w:lang w:eastAsia="en-US"/>
        </w:rPr>
        <w:t>ň</w:t>
      </w:r>
      <w:r w:rsidR="00B279E6" w:rsidRPr="0035027D">
        <w:rPr>
          <w:lang w:eastAsia="en-US"/>
        </w:rPr>
        <w:t xml:space="preserve">ovo-odvodového systému a </w:t>
      </w:r>
      <w:r w:rsidR="00CA6E08" w:rsidRPr="0035027D">
        <w:rPr>
          <w:lang w:eastAsia="en-US"/>
        </w:rPr>
        <w:t>zamedzi</w:t>
      </w:r>
      <w:r w:rsidR="00CA6E08" w:rsidRPr="0035027D">
        <w:rPr>
          <w:rFonts w:cs="Times New Roman"/>
          <w:lang w:eastAsia="en-US"/>
        </w:rPr>
        <w:t>ť</w:t>
      </w:r>
      <w:r w:rsidR="00CA6E08" w:rsidRPr="0035027D">
        <w:rPr>
          <w:lang w:eastAsia="en-US"/>
        </w:rPr>
        <w:t xml:space="preserve"> stratám </w:t>
      </w:r>
      <w:r w:rsidR="00B279E6" w:rsidRPr="0035027D">
        <w:rPr>
          <w:lang w:eastAsia="en-US"/>
        </w:rPr>
        <w:t xml:space="preserve">odvodových </w:t>
      </w:r>
      <w:r w:rsidR="00CA6E08" w:rsidRPr="0035027D">
        <w:rPr>
          <w:lang w:eastAsia="en-US"/>
        </w:rPr>
        <w:t xml:space="preserve">príjmov </w:t>
      </w:r>
      <w:r w:rsidR="00DA1952" w:rsidRPr="0035027D">
        <w:rPr>
          <w:lang w:eastAsia="en-US"/>
        </w:rPr>
        <w:t>prijala vláda z</w:t>
      </w:r>
      <w:r w:rsidR="00750529" w:rsidRPr="0035027D">
        <w:rPr>
          <w:lang w:eastAsia="en-US"/>
        </w:rPr>
        <w:t>meny v zákonoch</w:t>
      </w:r>
      <w:r w:rsidR="00C012BA" w:rsidRPr="0035027D">
        <w:rPr>
          <w:lang w:eastAsia="en-US"/>
        </w:rPr>
        <w:t xml:space="preserve"> o sociálnom a zdravotnom poistení</w:t>
      </w:r>
      <w:r w:rsidR="00DA1952" w:rsidRPr="0035027D">
        <w:rPr>
          <w:lang w:eastAsia="en-US"/>
        </w:rPr>
        <w:t>, ktoré</w:t>
      </w:r>
      <w:r w:rsidR="00C012BA" w:rsidRPr="0035027D">
        <w:rPr>
          <w:lang w:eastAsia="en-US"/>
        </w:rPr>
        <w:t xml:space="preserve"> zrovnopráv</w:t>
      </w:r>
      <w:r w:rsidR="00C012BA" w:rsidRPr="0035027D">
        <w:rPr>
          <w:rFonts w:cs="Times New Roman"/>
          <w:lang w:eastAsia="en-US"/>
        </w:rPr>
        <w:t>ň</w:t>
      </w:r>
      <w:r w:rsidR="00C012BA" w:rsidRPr="0035027D">
        <w:rPr>
          <w:lang w:eastAsia="en-US"/>
        </w:rPr>
        <w:t>ujú odvodové za</w:t>
      </w:r>
      <w:r w:rsidR="00C012BA" w:rsidRPr="0035027D">
        <w:rPr>
          <w:rFonts w:cs="Times New Roman"/>
          <w:lang w:eastAsia="en-US"/>
        </w:rPr>
        <w:t>ť</w:t>
      </w:r>
      <w:r w:rsidR="00C012BA" w:rsidRPr="0035027D">
        <w:rPr>
          <w:lang w:eastAsia="en-US"/>
        </w:rPr>
        <w:t>a</w:t>
      </w:r>
      <w:r w:rsidR="00C012BA" w:rsidRPr="0035027D">
        <w:rPr>
          <w:rFonts w:cs="Times New Roman"/>
          <w:lang w:eastAsia="en-US"/>
        </w:rPr>
        <w:t>ž</w:t>
      </w:r>
      <w:r w:rsidR="00C012BA" w:rsidRPr="0035027D">
        <w:rPr>
          <w:lang w:eastAsia="en-US"/>
        </w:rPr>
        <w:t>enie p</w:t>
      </w:r>
      <w:r w:rsidR="00324583" w:rsidRPr="0035027D">
        <w:rPr>
          <w:lang w:eastAsia="en-US"/>
        </w:rPr>
        <w:t>ríjmov z dohôd a príjmov SZ</w:t>
      </w:r>
      <w:r w:rsidR="00324583" w:rsidRPr="0035027D">
        <w:rPr>
          <w:rFonts w:cs="Times New Roman"/>
          <w:lang w:eastAsia="en-US"/>
        </w:rPr>
        <w:t>Č</w:t>
      </w:r>
      <w:r w:rsidR="00324583" w:rsidRPr="0035027D">
        <w:rPr>
          <w:lang w:eastAsia="en-US"/>
        </w:rPr>
        <w:t>O s </w:t>
      </w:r>
      <w:r w:rsidR="00C012BA" w:rsidRPr="0035027D">
        <w:rPr>
          <w:lang w:eastAsia="en-US"/>
        </w:rPr>
        <w:t>príjmami zo zamestnania.</w:t>
      </w:r>
      <w:r w:rsidR="00774260" w:rsidRPr="0035027D">
        <w:rPr>
          <w:lang w:eastAsia="en-US"/>
        </w:rPr>
        <w:t xml:space="preserve"> </w:t>
      </w:r>
    </w:p>
    <w:p w:rsidR="00DA1952" w:rsidRPr="0035027D" w:rsidRDefault="00DA1952" w:rsidP="00774260">
      <w:pPr>
        <w:spacing w:after="0"/>
        <w:rPr>
          <w:lang w:eastAsia="en-US"/>
        </w:rPr>
      </w:pPr>
    </w:p>
    <w:p w:rsidR="004E0608" w:rsidRPr="0035027D" w:rsidRDefault="00435B84" w:rsidP="00774260">
      <w:pPr>
        <w:spacing w:after="0"/>
        <w:rPr>
          <w:lang w:eastAsia="en-US"/>
        </w:rPr>
      </w:pPr>
      <w:r w:rsidRPr="0035027D">
        <w:rPr>
          <w:szCs w:val="36"/>
          <w:lang w:eastAsia="en-US"/>
        </w:rPr>
        <w:t>Vytvorili sa predpoklady na zvýšenie</w:t>
      </w:r>
      <w:r w:rsidR="004E0608" w:rsidRPr="0035027D">
        <w:rPr>
          <w:szCs w:val="36"/>
          <w:lang w:eastAsia="en-US"/>
        </w:rPr>
        <w:t xml:space="preserve"> </w:t>
      </w:r>
      <w:r w:rsidRPr="0035027D">
        <w:rPr>
          <w:szCs w:val="36"/>
          <w:lang w:eastAsia="en-US"/>
        </w:rPr>
        <w:t>dlhodobej udr</w:t>
      </w:r>
      <w:r w:rsidRPr="0035027D">
        <w:rPr>
          <w:rFonts w:cs="Times New Roman"/>
          <w:szCs w:val="36"/>
          <w:lang w:eastAsia="en-US"/>
        </w:rPr>
        <w:t>ž</w:t>
      </w:r>
      <w:r w:rsidRPr="0035027D">
        <w:rPr>
          <w:szCs w:val="36"/>
          <w:lang w:eastAsia="en-US"/>
        </w:rPr>
        <w:t>ate</w:t>
      </w:r>
      <w:r w:rsidRPr="0035027D">
        <w:rPr>
          <w:rFonts w:cs="Times New Roman"/>
          <w:szCs w:val="36"/>
          <w:lang w:eastAsia="en-US"/>
        </w:rPr>
        <w:t>ľ</w:t>
      </w:r>
      <w:r w:rsidRPr="0035027D">
        <w:rPr>
          <w:szCs w:val="36"/>
          <w:lang w:eastAsia="en-US"/>
        </w:rPr>
        <w:t>nosti</w:t>
      </w:r>
      <w:r w:rsidR="004E0608" w:rsidRPr="0035027D">
        <w:rPr>
          <w:szCs w:val="36"/>
          <w:lang w:eastAsia="en-US"/>
        </w:rPr>
        <w:t xml:space="preserve"> dôchodkového zabezpe</w:t>
      </w:r>
      <w:r w:rsidR="004E0608" w:rsidRPr="0035027D">
        <w:rPr>
          <w:rFonts w:cs="Times New Roman"/>
          <w:szCs w:val="36"/>
          <w:lang w:eastAsia="en-US"/>
        </w:rPr>
        <w:t>č</w:t>
      </w:r>
      <w:r w:rsidR="004E0608" w:rsidRPr="0035027D">
        <w:rPr>
          <w:szCs w:val="36"/>
          <w:lang w:eastAsia="en-US"/>
        </w:rPr>
        <w:t>enia. Prijaté zmeny v dôchodkovom systéme naviazali vek odchodu do dôchodku na strednú d</w:t>
      </w:r>
      <w:r w:rsidR="004E0608" w:rsidRPr="0035027D">
        <w:rPr>
          <w:rFonts w:cs="Times New Roman"/>
          <w:szCs w:val="36"/>
          <w:lang w:eastAsia="en-US"/>
        </w:rPr>
        <w:t>ĺž</w:t>
      </w:r>
      <w:r w:rsidR="004E0608" w:rsidRPr="0035027D">
        <w:rPr>
          <w:szCs w:val="36"/>
          <w:lang w:eastAsia="en-US"/>
        </w:rPr>
        <w:t xml:space="preserve">ku </w:t>
      </w:r>
      <w:r w:rsidR="004E0608" w:rsidRPr="0035027D">
        <w:rPr>
          <w:rFonts w:cs="Times New Roman"/>
          <w:szCs w:val="36"/>
          <w:lang w:eastAsia="en-US"/>
        </w:rPr>
        <w:t>ž</w:t>
      </w:r>
      <w:r w:rsidR="004E0608" w:rsidRPr="0035027D">
        <w:rPr>
          <w:szCs w:val="36"/>
          <w:lang w:eastAsia="en-US"/>
        </w:rPr>
        <w:t>ivota, zvýšili solidaritu a prispôsobili valorizáciu dôchodkových dávok spotrebnému košu dôchodcov. V priebe</w:t>
      </w:r>
      <w:r w:rsidR="004E0608" w:rsidRPr="0035027D">
        <w:rPr>
          <w:rFonts w:cs="Times New Roman"/>
          <w:szCs w:val="36"/>
          <w:lang w:eastAsia="en-US"/>
        </w:rPr>
        <w:t>ž</w:t>
      </w:r>
      <w:r w:rsidR="004E0608" w:rsidRPr="0035027D">
        <w:rPr>
          <w:szCs w:val="36"/>
          <w:lang w:eastAsia="en-US"/>
        </w:rPr>
        <w:t xml:space="preserve">nom dôchodkovom pilieri sa </w:t>
      </w:r>
      <w:r w:rsidR="00416C56" w:rsidRPr="0035027D">
        <w:rPr>
          <w:szCs w:val="36"/>
          <w:lang w:eastAsia="en-US"/>
        </w:rPr>
        <w:t>v</w:t>
      </w:r>
      <w:r w:rsidR="00416C56" w:rsidRPr="0035027D">
        <w:rPr>
          <w:rFonts w:cs="Times New Roman"/>
          <w:szCs w:val="36"/>
          <w:lang w:eastAsia="en-US"/>
        </w:rPr>
        <w:t>ď</w:t>
      </w:r>
      <w:r w:rsidR="00416C56" w:rsidRPr="0035027D">
        <w:rPr>
          <w:szCs w:val="36"/>
          <w:lang w:eastAsia="en-US"/>
        </w:rPr>
        <w:t>aka prijatým</w:t>
      </w:r>
      <w:r w:rsidR="004E0608" w:rsidRPr="0035027D">
        <w:rPr>
          <w:szCs w:val="36"/>
          <w:lang w:eastAsia="en-US"/>
        </w:rPr>
        <w:t xml:space="preserve"> opatren</w:t>
      </w:r>
      <w:r w:rsidR="00416C56" w:rsidRPr="0035027D">
        <w:rPr>
          <w:szCs w:val="36"/>
          <w:lang w:eastAsia="en-US"/>
        </w:rPr>
        <w:t>iam</w:t>
      </w:r>
      <w:r w:rsidR="004E0608" w:rsidRPr="0035027D">
        <w:rPr>
          <w:szCs w:val="36"/>
          <w:lang w:eastAsia="en-US"/>
        </w:rPr>
        <w:t xml:space="preserve"> budú postupne zni</w:t>
      </w:r>
      <w:r w:rsidR="004E0608" w:rsidRPr="0035027D">
        <w:rPr>
          <w:rFonts w:cs="Times New Roman"/>
          <w:szCs w:val="36"/>
          <w:lang w:eastAsia="en-US"/>
        </w:rPr>
        <w:t>ž</w:t>
      </w:r>
      <w:r w:rsidR="004E0608" w:rsidRPr="0035027D">
        <w:rPr>
          <w:szCs w:val="36"/>
          <w:lang w:eastAsia="en-US"/>
        </w:rPr>
        <w:t>ova</w:t>
      </w:r>
      <w:r w:rsidR="004E0608" w:rsidRPr="0035027D">
        <w:rPr>
          <w:rFonts w:cs="Times New Roman"/>
          <w:szCs w:val="36"/>
          <w:lang w:eastAsia="en-US"/>
        </w:rPr>
        <w:t>ť</w:t>
      </w:r>
      <w:r w:rsidR="004E0608" w:rsidRPr="0035027D">
        <w:rPr>
          <w:szCs w:val="36"/>
          <w:lang w:eastAsia="en-US"/>
        </w:rPr>
        <w:t xml:space="preserve"> budúce náklady na vyplácanie dôchodkov. </w:t>
      </w:r>
      <w:r w:rsidR="004E0608" w:rsidRPr="0035027D">
        <w:rPr>
          <w:lang w:eastAsia="en-US"/>
        </w:rPr>
        <w:t>Rada pre rozpo</w:t>
      </w:r>
      <w:r w:rsidR="004E0608" w:rsidRPr="0035027D">
        <w:rPr>
          <w:rFonts w:cs="Times New Roman"/>
          <w:lang w:eastAsia="en-US"/>
        </w:rPr>
        <w:t>č</w:t>
      </w:r>
      <w:r w:rsidR="004E0608" w:rsidRPr="0035027D">
        <w:rPr>
          <w:lang w:eastAsia="en-US"/>
        </w:rPr>
        <w:t>tovú zodpovednos</w:t>
      </w:r>
      <w:r w:rsidR="004E0608" w:rsidRPr="0035027D">
        <w:rPr>
          <w:rFonts w:cs="Times New Roman"/>
          <w:lang w:eastAsia="en-US"/>
        </w:rPr>
        <w:t>ť</w:t>
      </w:r>
      <w:r w:rsidR="004E0608" w:rsidRPr="0035027D">
        <w:rPr>
          <w:lang w:eastAsia="en-US"/>
        </w:rPr>
        <w:t xml:space="preserve"> za</w:t>
      </w:r>
      <w:r w:rsidR="004E0608" w:rsidRPr="0035027D">
        <w:rPr>
          <w:rFonts w:cs="Times New Roman"/>
          <w:lang w:eastAsia="en-US"/>
        </w:rPr>
        <w:t>č</w:t>
      </w:r>
      <w:r w:rsidR="004E0608" w:rsidRPr="0035027D">
        <w:rPr>
          <w:lang w:eastAsia="en-US"/>
        </w:rPr>
        <w:t>ala svoje pôsobenie</w:t>
      </w:r>
      <w:r w:rsidR="006359CC" w:rsidRPr="0035027D">
        <w:rPr>
          <w:lang w:eastAsia="en-US"/>
        </w:rPr>
        <w:t xml:space="preserve"> zvolením jej </w:t>
      </w:r>
      <w:r w:rsidR="006359CC" w:rsidRPr="0035027D">
        <w:rPr>
          <w:rFonts w:cs="Times New Roman"/>
          <w:lang w:eastAsia="en-US"/>
        </w:rPr>
        <w:t>č</w:t>
      </w:r>
      <w:r w:rsidR="006359CC" w:rsidRPr="0035027D">
        <w:rPr>
          <w:lang w:eastAsia="en-US"/>
        </w:rPr>
        <w:t>lenov</w:t>
      </w:r>
      <w:r w:rsidR="004E0608" w:rsidRPr="0035027D">
        <w:rPr>
          <w:lang w:eastAsia="en-US"/>
        </w:rPr>
        <w:t xml:space="preserve">. </w:t>
      </w:r>
    </w:p>
    <w:p w:rsidR="00324583" w:rsidRPr="0035027D" w:rsidRDefault="00324583" w:rsidP="00774260">
      <w:pPr>
        <w:spacing w:after="0"/>
        <w:rPr>
          <w:szCs w:val="36"/>
          <w:lang w:eastAsia="en-US"/>
        </w:rPr>
      </w:pPr>
    </w:p>
    <w:p w:rsidR="00774260" w:rsidRPr="0035027D" w:rsidRDefault="00C012BA" w:rsidP="00774260">
      <w:pPr>
        <w:spacing w:after="0"/>
        <w:rPr>
          <w:lang w:eastAsia="en-US"/>
        </w:rPr>
      </w:pPr>
      <w:r w:rsidRPr="0035027D">
        <w:rPr>
          <w:lang w:eastAsia="en-US"/>
        </w:rPr>
        <w:t xml:space="preserve">Zmeny v </w:t>
      </w:r>
      <w:r w:rsidR="006D630A" w:rsidRPr="0035027D">
        <w:rPr>
          <w:lang w:eastAsia="en-US"/>
        </w:rPr>
        <w:t>aktívnych politikách trhu práce zameraných</w:t>
      </w:r>
      <w:r w:rsidR="00BC5B9C" w:rsidRPr="0035027D">
        <w:rPr>
          <w:lang w:eastAsia="en-US"/>
        </w:rPr>
        <w:t xml:space="preserve"> na zlepšenie </w:t>
      </w:r>
      <w:r w:rsidR="006D630A" w:rsidRPr="0035027D">
        <w:rPr>
          <w:lang w:eastAsia="en-US"/>
        </w:rPr>
        <w:t>ich</w:t>
      </w:r>
      <w:r w:rsidR="00BC5B9C" w:rsidRPr="0035027D">
        <w:rPr>
          <w:lang w:eastAsia="en-US"/>
        </w:rPr>
        <w:t xml:space="preserve"> </w:t>
      </w:r>
      <w:r w:rsidR="004A02CC" w:rsidRPr="0035027D">
        <w:rPr>
          <w:lang w:eastAsia="en-US"/>
        </w:rPr>
        <w:t>efektívnosti</w:t>
      </w:r>
      <w:r w:rsidR="004A02CC" w:rsidRPr="0035027D">
        <w:rPr>
          <w:szCs w:val="36"/>
          <w:lang w:eastAsia="en-US"/>
        </w:rPr>
        <w:t xml:space="preserve"> a ú</w:t>
      </w:r>
      <w:r w:rsidR="004A02CC" w:rsidRPr="0035027D">
        <w:rPr>
          <w:rFonts w:cs="Times New Roman"/>
          <w:szCs w:val="36"/>
          <w:lang w:eastAsia="en-US"/>
        </w:rPr>
        <w:t>č</w:t>
      </w:r>
      <w:r w:rsidR="004A02CC" w:rsidRPr="0035027D">
        <w:rPr>
          <w:szCs w:val="36"/>
          <w:lang w:eastAsia="en-US"/>
        </w:rPr>
        <w:t>innosti</w:t>
      </w:r>
      <w:r w:rsidRPr="0035027D">
        <w:rPr>
          <w:szCs w:val="36"/>
          <w:lang w:eastAsia="en-US"/>
        </w:rPr>
        <w:t xml:space="preserve"> </w:t>
      </w:r>
      <w:r w:rsidR="00750529" w:rsidRPr="0035027D">
        <w:rPr>
          <w:szCs w:val="36"/>
          <w:lang w:eastAsia="en-US"/>
        </w:rPr>
        <w:t>zabezpe</w:t>
      </w:r>
      <w:r w:rsidR="00750529" w:rsidRPr="0035027D">
        <w:rPr>
          <w:rFonts w:cs="Times New Roman"/>
          <w:szCs w:val="36"/>
          <w:lang w:eastAsia="en-US"/>
        </w:rPr>
        <w:t>č</w:t>
      </w:r>
      <w:r w:rsidR="00750529" w:rsidRPr="0035027D">
        <w:rPr>
          <w:szCs w:val="36"/>
          <w:lang w:eastAsia="en-US"/>
        </w:rPr>
        <w:t xml:space="preserve">ia lepšie </w:t>
      </w:r>
      <w:r w:rsidRPr="0035027D">
        <w:rPr>
          <w:szCs w:val="36"/>
          <w:lang w:eastAsia="en-US"/>
        </w:rPr>
        <w:t>za</w:t>
      </w:r>
      <w:r w:rsidRPr="0035027D">
        <w:rPr>
          <w:rFonts w:cs="Times New Roman"/>
          <w:szCs w:val="36"/>
          <w:lang w:eastAsia="en-US"/>
        </w:rPr>
        <w:t>č</w:t>
      </w:r>
      <w:r w:rsidRPr="0035027D">
        <w:rPr>
          <w:szCs w:val="36"/>
          <w:lang w:eastAsia="en-US"/>
        </w:rPr>
        <w:t>le</w:t>
      </w:r>
      <w:r w:rsidRPr="0035027D">
        <w:rPr>
          <w:rFonts w:cs="Times New Roman"/>
          <w:szCs w:val="36"/>
          <w:lang w:eastAsia="en-US"/>
        </w:rPr>
        <w:t>ň</w:t>
      </w:r>
      <w:r w:rsidRPr="0035027D">
        <w:rPr>
          <w:szCs w:val="36"/>
          <w:lang w:eastAsia="en-US"/>
        </w:rPr>
        <w:t>o</w:t>
      </w:r>
      <w:r w:rsidR="00750529" w:rsidRPr="0035027D">
        <w:rPr>
          <w:szCs w:val="36"/>
          <w:lang w:eastAsia="en-US"/>
        </w:rPr>
        <w:t>vanie znevýhodnených uchádza</w:t>
      </w:r>
      <w:r w:rsidR="00750529" w:rsidRPr="0035027D">
        <w:rPr>
          <w:rFonts w:cs="Times New Roman"/>
          <w:szCs w:val="36"/>
          <w:lang w:eastAsia="en-US"/>
        </w:rPr>
        <w:t>č</w:t>
      </w:r>
      <w:r w:rsidR="00750529" w:rsidRPr="0035027D">
        <w:rPr>
          <w:szCs w:val="36"/>
          <w:lang w:eastAsia="en-US"/>
        </w:rPr>
        <w:t>ov</w:t>
      </w:r>
      <w:r w:rsidRPr="0035027D">
        <w:rPr>
          <w:lang w:eastAsia="en-US"/>
        </w:rPr>
        <w:t xml:space="preserve"> na trh práce s efektívnejším vyu</w:t>
      </w:r>
      <w:r w:rsidRPr="0035027D">
        <w:rPr>
          <w:rFonts w:cs="Times New Roman"/>
          <w:lang w:eastAsia="en-US"/>
        </w:rPr>
        <w:t>ž</w:t>
      </w:r>
      <w:r w:rsidR="00934765" w:rsidRPr="0035027D">
        <w:rPr>
          <w:lang w:eastAsia="en-US"/>
        </w:rPr>
        <w:t xml:space="preserve">itím existujúcich prostriedkov a </w:t>
      </w:r>
      <w:r w:rsidR="00750529" w:rsidRPr="0035027D">
        <w:rPr>
          <w:lang w:eastAsia="en-US"/>
        </w:rPr>
        <w:t>vytvárajú dobré podmienky na podporu zamestnania dlhodobo nezamestnaných cez</w:t>
      </w:r>
      <w:r w:rsidR="00934765" w:rsidRPr="0035027D">
        <w:rPr>
          <w:lang w:eastAsia="en-US"/>
        </w:rPr>
        <w:t xml:space="preserve"> </w:t>
      </w:r>
      <w:r w:rsidR="00BC5B9C" w:rsidRPr="0035027D">
        <w:rPr>
          <w:lang w:eastAsia="en-US"/>
        </w:rPr>
        <w:t xml:space="preserve">vzdelávanie a prípravu pre trh práce </w:t>
      </w:r>
      <w:r w:rsidR="00934765" w:rsidRPr="0035027D">
        <w:rPr>
          <w:lang w:eastAsia="en-US"/>
        </w:rPr>
        <w:t xml:space="preserve">a poradenstvo. </w:t>
      </w:r>
      <w:r w:rsidRPr="0035027D">
        <w:rPr>
          <w:lang w:eastAsia="en-US"/>
        </w:rPr>
        <w:t>Finan</w:t>
      </w:r>
      <w:r w:rsidRPr="0035027D">
        <w:rPr>
          <w:rFonts w:cs="Times New Roman"/>
          <w:lang w:eastAsia="en-US"/>
        </w:rPr>
        <w:t>č</w:t>
      </w:r>
      <w:r w:rsidRPr="0035027D">
        <w:rPr>
          <w:lang w:eastAsia="en-US"/>
        </w:rPr>
        <w:t>ne najvä</w:t>
      </w:r>
      <w:r w:rsidRPr="0035027D">
        <w:rPr>
          <w:rFonts w:cs="Times New Roman"/>
          <w:lang w:eastAsia="en-US"/>
        </w:rPr>
        <w:t>č</w:t>
      </w:r>
      <w:r w:rsidRPr="0035027D">
        <w:rPr>
          <w:lang w:eastAsia="en-US"/>
        </w:rPr>
        <w:t>ším opatrením na podporu zamestnanosti mladých je projekt poskytovania finan</w:t>
      </w:r>
      <w:r w:rsidRPr="0035027D">
        <w:rPr>
          <w:rFonts w:cs="Times New Roman"/>
          <w:lang w:eastAsia="en-US"/>
        </w:rPr>
        <w:t>č</w:t>
      </w:r>
      <w:r w:rsidRPr="0035027D">
        <w:rPr>
          <w:lang w:eastAsia="en-US"/>
        </w:rPr>
        <w:t>ného príspevku na novovytvorené pracovné miesta pre mladých.</w:t>
      </w:r>
      <w:r w:rsidR="00934765" w:rsidRPr="0035027D">
        <w:rPr>
          <w:lang w:eastAsia="en-US"/>
        </w:rPr>
        <w:t xml:space="preserve"> </w:t>
      </w:r>
      <w:r w:rsidR="00416C56" w:rsidRPr="0035027D">
        <w:rPr>
          <w:lang w:eastAsia="en-US"/>
        </w:rPr>
        <w:t>Bol prijatý aj ak</w:t>
      </w:r>
      <w:r w:rsidR="00416C56" w:rsidRPr="0035027D">
        <w:rPr>
          <w:rFonts w:cs="Times New Roman"/>
          <w:lang w:eastAsia="en-US"/>
        </w:rPr>
        <w:t>č</w:t>
      </w:r>
      <w:r w:rsidR="00416C56" w:rsidRPr="0035027D">
        <w:rPr>
          <w:lang w:eastAsia="en-US"/>
        </w:rPr>
        <w:t>ný plán pre mláde</w:t>
      </w:r>
      <w:r w:rsidR="00416C56" w:rsidRPr="0035027D">
        <w:rPr>
          <w:rFonts w:cs="Times New Roman"/>
          <w:lang w:eastAsia="en-US"/>
        </w:rPr>
        <w:t>ž</w:t>
      </w:r>
      <w:r w:rsidR="00416C56" w:rsidRPr="0035027D">
        <w:rPr>
          <w:lang w:eastAsia="en-US"/>
        </w:rPr>
        <w:t>.</w:t>
      </w:r>
    </w:p>
    <w:p w:rsidR="00774260" w:rsidRPr="0035027D" w:rsidRDefault="00774260" w:rsidP="00774260">
      <w:pPr>
        <w:spacing w:after="0"/>
        <w:rPr>
          <w:lang w:eastAsia="en-US"/>
        </w:rPr>
      </w:pPr>
    </w:p>
    <w:p w:rsidR="000A772A" w:rsidRPr="0035027D" w:rsidRDefault="00934765" w:rsidP="000A772A">
      <w:pPr>
        <w:spacing w:after="0"/>
        <w:rPr>
          <w:szCs w:val="24"/>
        </w:rPr>
      </w:pPr>
      <w:r w:rsidRPr="0035027D">
        <w:rPr>
          <w:lang w:eastAsia="en-US"/>
        </w:rPr>
        <w:t>V</w:t>
      </w:r>
      <w:r w:rsidR="003B731E" w:rsidRPr="0035027D">
        <w:rPr>
          <w:lang w:eastAsia="en-US"/>
        </w:rPr>
        <w:t xml:space="preserve"> systéme </w:t>
      </w:r>
      <w:r w:rsidRPr="0035027D">
        <w:rPr>
          <w:lang w:eastAsia="en-US"/>
        </w:rPr>
        <w:t xml:space="preserve">sociálnych </w:t>
      </w:r>
      <w:r w:rsidR="003B731E" w:rsidRPr="0035027D">
        <w:rPr>
          <w:lang w:eastAsia="en-US"/>
        </w:rPr>
        <w:t>dávok</w:t>
      </w:r>
      <w:r w:rsidRPr="0035027D">
        <w:rPr>
          <w:lang w:eastAsia="en-US"/>
        </w:rPr>
        <w:t xml:space="preserve"> boli prijaté zmeny v dávke v hmotnej núdzi</w:t>
      </w:r>
      <w:r w:rsidR="003B731E" w:rsidRPr="0035027D">
        <w:rPr>
          <w:lang w:eastAsia="en-US"/>
        </w:rPr>
        <w:t xml:space="preserve"> z</w:t>
      </w:r>
      <w:r w:rsidR="003B731E" w:rsidRPr="0035027D">
        <w:t>ni</w:t>
      </w:r>
      <w:r w:rsidR="003B731E" w:rsidRPr="0035027D">
        <w:rPr>
          <w:rFonts w:cs="Times New Roman"/>
        </w:rPr>
        <w:t>ž</w:t>
      </w:r>
      <w:r w:rsidR="003B731E" w:rsidRPr="0035027D">
        <w:t>ujúce administratívnu náro</w:t>
      </w:r>
      <w:r w:rsidR="003B731E" w:rsidRPr="0035027D">
        <w:rPr>
          <w:rFonts w:cs="Times New Roman"/>
        </w:rPr>
        <w:t>č</w:t>
      </w:r>
      <w:r w:rsidR="003B731E" w:rsidRPr="0035027D">
        <w:t>nos</w:t>
      </w:r>
      <w:r w:rsidR="003B731E" w:rsidRPr="0035027D">
        <w:rPr>
          <w:rFonts w:cs="Times New Roman"/>
        </w:rPr>
        <w:t>ť</w:t>
      </w:r>
      <w:r w:rsidR="003B731E" w:rsidRPr="0035027D">
        <w:t xml:space="preserve"> a obmedzujúce zneu</w:t>
      </w:r>
      <w:r w:rsidR="003B731E" w:rsidRPr="0035027D">
        <w:rPr>
          <w:rFonts w:cs="Times New Roman"/>
        </w:rPr>
        <w:t>ž</w:t>
      </w:r>
      <w:r w:rsidR="003B731E" w:rsidRPr="0035027D">
        <w:t xml:space="preserve">ívanie pomoci v hmotnej núdzi. </w:t>
      </w:r>
      <w:r w:rsidR="002521A7" w:rsidRPr="0035027D">
        <w:t xml:space="preserve">Bola prijatá </w:t>
      </w:r>
      <w:r w:rsidR="00776986" w:rsidRPr="0035027D">
        <w:t>S</w:t>
      </w:r>
      <w:r w:rsidR="000A772A" w:rsidRPr="0035027D">
        <w:rPr>
          <w:lang w:eastAsia="en-US"/>
        </w:rPr>
        <w:t xml:space="preserve">tratégia </w:t>
      </w:r>
      <w:r w:rsidR="000A772A" w:rsidRPr="0035027D">
        <w:rPr>
          <w:bCs/>
          <w:szCs w:val="24"/>
        </w:rPr>
        <w:t xml:space="preserve">pre integráciu Rómov do roku 2020, ktorá je </w:t>
      </w:r>
      <w:r w:rsidR="000A772A" w:rsidRPr="0035027D">
        <w:rPr>
          <w:szCs w:val="24"/>
        </w:rPr>
        <w:t>zalo</w:t>
      </w:r>
      <w:r w:rsidR="000A772A" w:rsidRPr="0035027D">
        <w:rPr>
          <w:rFonts w:cs="Times New Roman"/>
          <w:szCs w:val="24"/>
        </w:rPr>
        <w:t>ž</w:t>
      </w:r>
      <w:r w:rsidR="000A772A" w:rsidRPr="0035027D">
        <w:rPr>
          <w:szCs w:val="24"/>
        </w:rPr>
        <w:t xml:space="preserve">ená na potrebe prechodu od pasívnej starostlivosti štátnych a samosprávnych orgánov smerom k aktivizujúcej pomoci. </w:t>
      </w:r>
    </w:p>
    <w:p w:rsidR="00416C56" w:rsidRPr="0035027D" w:rsidRDefault="00416C56" w:rsidP="000A772A">
      <w:pPr>
        <w:spacing w:after="0"/>
        <w:rPr>
          <w:szCs w:val="24"/>
        </w:rPr>
      </w:pPr>
    </w:p>
    <w:p w:rsidR="0050113D" w:rsidRPr="0035027D" w:rsidRDefault="003B731E" w:rsidP="00774260">
      <w:pPr>
        <w:spacing w:after="0"/>
        <w:rPr>
          <w:color w:val="000000"/>
        </w:rPr>
      </w:pPr>
      <w:r w:rsidRPr="0035027D">
        <w:rPr>
          <w:lang w:eastAsia="en-US"/>
        </w:rPr>
        <w:t xml:space="preserve">Novela zákona o </w:t>
      </w:r>
      <w:r w:rsidR="00C012BA" w:rsidRPr="0035027D">
        <w:rPr>
          <w:lang w:eastAsia="en-US"/>
        </w:rPr>
        <w:t>vysokých školách</w:t>
      </w:r>
      <w:r w:rsidRPr="0035027D">
        <w:rPr>
          <w:lang w:eastAsia="en-US"/>
        </w:rPr>
        <w:t xml:space="preserve"> zlepšuje</w:t>
      </w:r>
      <w:r w:rsidR="00C012BA" w:rsidRPr="0035027D">
        <w:rPr>
          <w:lang w:eastAsia="en-US"/>
        </w:rPr>
        <w:t xml:space="preserve"> </w:t>
      </w:r>
      <w:r w:rsidRPr="0035027D">
        <w:rPr>
          <w:color w:val="000000"/>
        </w:rPr>
        <w:t>vnútorný systém na zabezpe</w:t>
      </w:r>
      <w:r w:rsidRPr="0035027D">
        <w:rPr>
          <w:rFonts w:cs="Times New Roman"/>
          <w:color w:val="000000"/>
        </w:rPr>
        <w:t>č</w:t>
      </w:r>
      <w:r w:rsidR="00324583" w:rsidRPr="0035027D">
        <w:rPr>
          <w:color w:val="000000"/>
        </w:rPr>
        <w:t>e</w:t>
      </w:r>
      <w:r w:rsidRPr="0035027D">
        <w:rPr>
          <w:color w:val="000000"/>
        </w:rPr>
        <w:t xml:space="preserve">nie kvality vzdelávania, </w:t>
      </w:r>
      <w:r w:rsidR="00774260" w:rsidRPr="0035027D">
        <w:rPr>
          <w:color w:val="000000"/>
        </w:rPr>
        <w:t>zavádza zmeny v externom štúdiu</w:t>
      </w:r>
      <w:r w:rsidRPr="0035027D">
        <w:rPr>
          <w:color w:val="000000"/>
        </w:rPr>
        <w:t xml:space="preserve">, </w:t>
      </w:r>
      <w:r w:rsidR="00793FC4" w:rsidRPr="0035027D">
        <w:rPr>
          <w:color w:val="000000"/>
        </w:rPr>
        <w:t>sprís</w:t>
      </w:r>
      <w:r w:rsidR="00793FC4" w:rsidRPr="0035027D">
        <w:rPr>
          <w:rFonts w:cs="Times New Roman"/>
          <w:color w:val="000000"/>
        </w:rPr>
        <w:t>ň</w:t>
      </w:r>
      <w:r w:rsidR="00793FC4" w:rsidRPr="0035027D">
        <w:rPr>
          <w:color w:val="000000"/>
        </w:rPr>
        <w:t xml:space="preserve">uje pravidlá pre získavanie </w:t>
      </w:r>
      <w:r w:rsidR="000F43A7" w:rsidRPr="0035027D">
        <w:rPr>
          <w:color w:val="000000"/>
        </w:rPr>
        <w:t>docentských a profesorských titulov</w:t>
      </w:r>
      <w:r w:rsidRPr="0035027D">
        <w:rPr>
          <w:color w:val="000000"/>
        </w:rPr>
        <w:t xml:space="preserve"> </w:t>
      </w:r>
      <w:r w:rsidR="00774260" w:rsidRPr="0035027D">
        <w:rPr>
          <w:color w:val="000000"/>
        </w:rPr>
        <w:t>a posil</w:t>
      </w:r>
      <w:r w:rsidR="00774260" w:rsidRPr="0035027D">
        <w:rPr>
          <w:rFonts w:cs="Times New Roman"/>
          <w:color w:val="000000"/>
        </w:rPr>
        <w:t>ň</w:t>
      </w:r>
      <w:r w:rsidR="00774260" w:rsidRPr="0035027D">
        <w:rPr>
          <w:color w:val="000000"/>
        </w:rPr>
        <w:t>uje</w:t>
      </w:r>
      <w:r w:rsidRPr="0035027D">
        <w:rPr>
          <w:color w:val="000000"/>
        </w:rPr>
        <w:t xml:space="preserve"> motivácie vysokých škôl spolupracova</w:t>
      </w:r>
      <w:r w:rsidRPr="0035027D">
        <w:rPr>
          <w:rFonts w:cs="Times New Roman"/>
          <w:color w:val="000000"/>
        </w:rPr>
        <w:t>ť</w:t>
      </w:r>
      <w:r w:rsidRPr="0035027D">
        <w:rPr>
          <w:color w:val="000000"/>
        </w:rPr>
        <w:t xml:space="preserve"> s kvalitnými vysokými školami v zahrani</w:t>
      </w:r>
      <w:r w:rsidRPr="0035027D">
        <w:rPr>
          <w:rFonts w:cs="Times New Roman"/>
          <w:color w:val="000000"/>
        </w:rPr>
        <w:t>č</w:t>
      </w:r>
      <w:r w:rsidRPr="0035027D">
        <w:rPr>
          <w:color w:val="000000"/>
        </w:rPr>
        <w:t>í.</w:t>
      </w:r>
      <w:r w:rsidR="0050113D" w:rsidRPr="0035027D">
        <w:rPr>
          <w:color w:val="000000"/>
        </w:rPr>
        <w:t xml:space="preserve"> </w:t>
      </w:r>
      <w:r w:rsidRPr="0035027D">
        <w:rPr>
          <w:lang w:eastAsia="en-US"/>
        </w:rPr>
        <w:t>Zmeny v odbornom vzdelávaní</w:t>
      </w:r>
      <w:r w:rsidRPr="0035027D">
        <w:rPr>
          <w:color w:val="000000"/>
        </w:rPr>
        <w:t xml:space="preserve"> posil</w:t>
      </w:r>
      <w:r w:rsidRPr="0035027D">
        <w:rPr>
          <w:rFonts w:cs="Times New Roman"/>
          <w:color w:val="000000"/>
        </w:rPr>
        <w:t>ň</w:t>
      </w:r>
      <w:r w:rsidRPr="0035027D">
        <w:rPr>
          <w:color w:val="000000"/>
        </w:rPr>
        <w:t>ujú nástroje koordinácie odborného vzdelávania a prípravy s cie</w:t>
      </w:r>
      <w:r w:rsidRPr="0035027D">
        <w:rPr>
          <w:rFonts w:cs="Times New Roman"/>
          <w:color w:val="000000"/>
        </w:rPr>
        <w:t>ľ</w:t>
      </w:r>
      <w:r w:rsidRPr="0035027D">
        <w:rPr>
          <w:color w:val="000000"/>
        </w:rPr>
        <w:t>om prispôsobi</w:t>
      </w:r>
      <w:r w:rsidRPr="0035027D">
        <w:rPr>
          <w:rFonts w:cs="Times New Roman"/>
          <w:color w:val="000000"/>
        </w:rPr>
        <w:t>ť</w:t>
      </w:r>
      <w:r w:rsidRPr="0035027D">
        <w:rPr>
          <w:color w:val="000000"/>
        </w:rPr>
        <w:t xml:space="preserve"> odborné vzdelávanie a prípravu po</w:t>
      </w:r>
      <w:r w:rsidRPr="0035027D">
        <w:rPr>
          <w:rFonts w:cs="Times New Roman"/>
          <w:color w:val="000000"/>
        </w:rPr>
        <w:t>ž</w:t>
      </w:r>
      <w:r w:rsidRPr="0035027D">
        <w:rPr>
          <w:color w:val="000000"/>
        </w:rPr>
        <w:t>iadavkám trhu práce.</w:t>
      </w:r>
    </w:p>
    <w:p w:rsidR="00774260" w:rsidRPr="0035027D" w:rsidRDefault="00774260" w:rsidP="00774260">
      <w:pPr>
        <w:spacing w:after="0"/>
        <w:rPr>
          <w:color w:val="000000"/>
        </w:rPr>
      </w:pPr>
    </w:p>
    <w:p w:rsidR="0050113D" w:rsidRPr="0035027D" w:rsidRDefault="003B731E" w:rsidP="00774260">
      <w:pPr>
        <w:spacing w:after="0"/>
      </w:pPr>
      <w:r w:rsidRPr="0035027D">
        <w:rPr>
          <w:lang w:eastAsia="en-US"/>
        </w:rPr>
        <w:t>Verejná správa prejde významnou reformou</w:t>
      </w:r>
      <w:r w:rsidR="003B265A" w:rsidRPr="0035027D">
        <w:rPr>
          <w:lang w:eastAsia="en-US"/>
        </w:rPr>
        <w:t xml:space="preserve"> zameranou</w:t>
      </w:r>
      <w:r w:rsidR="00774260" w:rsidRPr="0035027D">
        <w:rPr>
          <w:lang w:eastAsia="en-US"/>
        </w:rPr>
        <w:t xml:space="preserve"> na zlepšenie slu</w:t>
      </w:r>
      <w:r w:rsidR="00774260" w:rsidRPr="0035027D">
        <w:rPr>
          <w:rFonts w:cs="Times New Roman"/>
          <w:lang w:eastAsia="en-US"/>
        </w:rPr>
        <w:t>ž</w:t>
      </w:r>
      <w:r w:rsidR="00774260" w:rsidRPr="0035027D">
        <w:rPr>
          <w:lang w:eastAsia="en-US"/>
        </w:rPr>
        <w:t>ieb ob</w:t>
      </w:r>
      <w:r w:rsidR="00774260" w:rsidRPr="0035027D">
        <w:rPr>
          <w:rFonts w:cs="Times New Roman"/>
          <w:lang w:eastAsia="en-US"/>
        </w:rPr>
        <w:t>č</w:t>
      </w:r>
      <w:r w:rsidR="00774260" w:rsidRPr="0035027D">
        <w:rPr>
          <w:lang w:eastAsia="en-US"/>
        </w:rPr>
        <w:t>anom</w:t>
      </w:r>
      <w:r w:rsidR="0050113D" w:rsidRPr="0035027D">
        <w:rPr>
          <w:lang w:eastAsia="en-US"/>
        </w:rPr>
        <w:t xml:space="preserve"> </w:t>
      </w:r>
      <w:r w:rsidR="00774260" w:rsidRPr="0035027D">
        <w:rPr>
          <w:lang w:eastAsia="en-US"/>
        </w:rPr>
        <w:t>a zefektívnenie jej fungovania. Jej</w:t>
      </w:r>
      <w:r w:rsidR="0050113D" w:rsidRPr="0035027D">
        <w:rPr>
          <w:lang w:eastAsia="en-US"/>
        </w:rPr>
        <w:t xml:space="preserve"> prvá fáza</w:t>
      </w:r>
      <w:r w:rsidR="00774260" w:rsidRPr="0035027D">
        <w:t xml:space="preserve"> prehodnotila sú</w:t>
      </w:r>
      <w:r w:rsidR="00774260" w:rsidRPr="0035027D">
        <w:rPr>
          <w:rFonts w:cs="Times New Roman"/>
        </w:rPr>
        <w:t>č</w:t>
      </w:r>
      <w:r w:rsidR="00774260" w:rsidRPr="0035027D">
        <w:t>asnú štruktúru</w:t>
      </w:r>
      <w:r w:rsidR="0050113D" w:rsidRPr="0035027D">
        <w:t xml:space="preserve"> orgánov štátnej správy. V rámci integrácie pôsobnosti špecializovanej štátnej správy do jednotného štátneho úradu došlo k zrušeniu 64 špecializovaných krajských úradov. Na niektorých ministerstvách vznikli nové analytické útvary</w:t>
      </w:r>
      <w:r w:rsidR="00416C56" w:rsidRPr="0035027D">
        <w:t xml:space="preserve">, ktorých úlohou je </w:t>
      </w:r>
      <w:r w:rsidR="006359CC" w:rsidRPr="0035027D">
        <w:t>kvalitnejšia a informovanejšia tvorba verejnej politiky</w:t>
      </w:r>
      <w:r w:rsidR="0050113D" w:rsidRPr="0035027D">
        <w:t>.</w:t>
      </w:r>
    </w:p>
    <w:p w:rsidR="000A772A" w:rsidRPr="0035027D" w:rsidRDefault="000A772A" w:rsidP="00774260">
      <w:pPr>
        <w:spacing w:after="0"/>
      </w:pPr>
    </w:p>
    <w:p w:rsidR="00C012BA" w:rsidRPr="0035027D" w:rsidRDefault="00C012BA" w:rsidP="00774260">
      <w:pPr>
        <w:spacing w:after="0"/>
      </w:pPr>
    </w:p>
    <w:p w:rsidR="00515596" w:rsidRPr="0035027D" w:rsidRDefault="00515596" w:rsidP="00EC7DAA">
      <w:pPr>
        <w:pStyle w:val="Nadpis3"/>
        <w:ind w:left="0" w:firstLine="0"/>
      </w:pPr>
      <w:r w:rsidRPr="0035027D">
        <w:t xml:space="preserve"> </w:t>
      </w:r>
      <w:bookmarkStart w:id="24" w:name="_Toc353563372"/>
      <w:r w:rsidRPr="0035027D">
        <w:t>Hodnotenie plnenia opatrení podľa jednotlivých špecifických odporúčaní</w:t>
      </w:r>
      <w:bookmarkEnd w:id="24"/>
    </w:p>
    <w:p w:rsidR="00515596" w:rsidRPr="0035027D" w:rsidRDefault="00515596" w:rsidP="00D5248D">
      <w:pPr>
        <w:pStyle w:val="Odsekzoznamu"/>
        <w:spacing w:after="0" w:line="240" w:lineRule="auto"/>
        <w:ind w:left="360"/>
        <w:jc w:val="both"/>
        <w:rPr>
          <w:rFonts w:ascii="Arial Narrow" w:hAnsi="Arial Narrow"/>
          <w:b/>
        </w:rPr>
      </w:pPr>
    </w:p>
    <w:p w:rsidR="00515596" w:rsidRPr="0035027D" w:rsidRDefault="00515596" w:rsidP="003C29D5">
      <w:pPr>
        <w:pStyle w:val="Odsekzoznamu"/>
        <w:numPr>
          <w:ilvl w:val="0"/>
          <w:numId w:val="3"/>
        </w:numPr>
        <w:spacing w:after="0" w:line="240" w:lineRule="auto"/>
        <w:ind w:left="284" w:hanging="284"/>
        <w:jc w:val="both"/>
        <w:rPr>
          <w:rFonts w:ascii="Arial Narrow" w:hAnsi="Arial Narrow"/>
          <w:b/>
        </w:rPr>
      </w:pPr>
      <w:bookmarkStart w:id="25" w:name="_Ref350348182"/>
      <w:r w:rsidRPr="0035027D">
        <w:rPr>
          <w:rFonts w:ascii="Arial Narrow" w:hAnsi="Arial Narrow"/>
          <w:b/>
        </w:rPr>
        <w:t>Konsolidácia verejných financií</w:t>
      </w:r>
      <w:bookmarkEnd w:id="25"/>
    </w:p>
    <w:p w:rsidR="00515596" w:rsidRPr="0035027D" w:rsidRDefault="00515596" w:rsidP="009204DB">
      <w:pPr>
        <w:spacing w:after="0"/>
        <w:rPr>
          <w:b/>
        </w:rPr>
      </w:pPr>
    </w:p>
    <w:p w:rsidR="00515596" w:rsidRPr="0035027D" w:rsidRDefault="00EC78A4" w:rsidP="00AC015D">
      <w:pPr>
        <w:spacing w:after="0"/>
        <w:contextualSpacing/>
        <w:rPr>
          <w:b/>
          <w:i/>
          <w:szCs w:val="36"/>
          <w:lang w:eastAsia="en-US"/>
        </w:rPr>
      </w:pPr>
      <w:r w:rsidRPr="0035027D">
        <w:rPr>
          <w:b/>
          <w:i/>
          <w:szCs w:val="36"/>
          <w:lang w:eastAsia="en-US"/>
        </w:rPr>
        <w:t xml:space="preserve">(CSR1) </w:t>
      </w:r>
      <w:r w:rsidR="00515596" w:rsidRPr="0035027D">
        <w:rPr>
          <w:b/>
          <w:i/>
          <w:szCs w:val="36"/>
          <w:lang w:eastAsia="en-US"/>
        </w:rPr>
        <w:t xml:space="preserve">Prijať dodatočné opatrenia v roku 2012 a špecifikovať potrebné opatrenia v roku 2013 na nápravu nadmerného deficitu udržateľným spôsobom a zabezpečiť úsilie o štrukturálnu úpravu podľa odporúčaní Rady v rámci postupu pri nadmernom deficite. Realizovať cielené zníženie výdavkov pri zabezpečení výdavkov podporujúcich rast a zintenzívniť úsilie na zlepšenie efektívnosti verejných výdavkov. Ďalej zabezpečiť primerané úsilie o štrukturálnu úpravu na dosiahnutie dostatočného pokroku smerom k </w:t>
      </w:r>
      <w:r w:rsidR="00515596" w:rsidRPr="0035027D">
        <w:rPr>
          <w:b/>
          <w:i/>
          <w:szCs w:val="36"/>
          <w:lang w:eastAsia="en-US"/>
        </w:rPr>
        <w:lastRenderedPageBreak/>
        <w:t>strednodobému cieľu vrátane splnenia referenčnej hodnoty pre rast výdavkov. Urýchliť vytvorenie fiškálnej rady a prijať pravidlá pre výdavkové stropy.</w:t>
      </w:r>
    </w:p>
    <w:p w:rsidR="00515596" w:rsidRPr="0035027D" w:rsidRDefault="00515596" w:rsidP="00AC015D">
      <w:pPr>
        <w:spacing w:after="0"/>
        <w:rPr>
          <w:b/>
        </w:rPr>
      </w:pPr>
    </w:p>
    <w:p w:rsidR="00515596" w:rsidRPr="0035027D" w:rsidRDefault="00515596" w:rsidP="00AC015D">
      <w:pPr>
        <w:spacing w:after="0"/>
      </w:pPr>
      <w:r w:rsidRPr="0035027D">
        <w:t>Hlavný fiškálny cie</w:t>
      </w:r>
      <w:r w:rsidRPr="0035027D">
        <w:rPr>
          <w:rFonts w:cs="Times New Roman"/>
        </w:rPr>
        <w:t>ľ</w:t>
      </w:r>
      <w:r w:rsidRPr="0035027D">
        <w:t xml:space="preserve"> vlády </w:t>
      </w:r>
      <w:r w:rsidRPr="0035027D">
        <w:rPr>
          <w:b/>
        </w:rPr>
        <w:t>na rok 2012</w:t>
      </w:r>
      <w:r w:rsidRPr="0035027D">
        <w:t xml:space="preserve"> bol stanovený v rámci rozpo</w:t>
      </w:r>
      <w:r w:rsidRPr="0035027D">
        <w:rPr>
          <w:rFonts w:cs="Times New Roman"/>
        </w:rPr>
        <w:t>č</w:t>
      </w:r>
      <w:r w:rsidRPr="0035027D">
        <w:t>tu verejnej správy na roky 2012 a</w:t>
      </w:r>
      <w:r w:rsidRPr="0035027D">
        <w:rPr>
          <w:rFonts w:cs="Times New Roman"/>
        </w:rPr>
        <w:t>ž</w:t>
      </w:r>
      <w:r w:rsidRPr="0035027D">
        <w:t xml:space="preserve"> 2014 v podobe deficitu verejnej správy vo výške 4,64</w:t>
      </w:r>
      <w:r w:rsidR="005E1922" w:rsidRPr="0035027D">
        <w:t> %</w:t>
      </w:r>
      <w:r w:rsidRPr="0035027D">
        <w:t xml:space="preserve"> HDP.</w:t>
      </w:r>
      <w:r w:rsidR="002715CA" w:rsidRPr="0035027D">
        <w:t xml:space="preserve"> </w:t>
      </w:r>
      <w:r w:rsidRPr="0035027D">
        <w:t>Vzh</w:t>
      </w:r>
      <w:r w:rsidRPr="0035027D">
        <w:rPr>
          <w:rFonts w:cs="Times New Roman"/>
        </w:rPr>
        <w:t>ľ</w:t>
      </w:r>
      <w:r w:rsidRPr="0035027D">
        <w:t>adom na nepriaznivý vývoj v oblasti da</w:t>
      </w:r>
      <w:r w:rsidRPr="0035027D">
        <w:rPr>
          <w:rFonts w:cs="Times New Roman"/>
        </w:rPr>
        <w:t>ň</w:t>
      </w:r>
      <w:r w:rsidRPr="0035027D">
        <w:t>ových príjmov musela vláda SR na dosiahnutie rozpo</w:t>
      </w:r>
      <w:r w:rsidRPr="0035027D">
        <w:rPr>
          <w:rFonts w:cs="Times New Roman"/>
        </w:rPr>
        <w:t>č</w:t>
      </w:r>
      <w:r w:rsidRPr="0035027D">
        <w:t>tovaného cie</w:t>
      </w:r>
      <w:r w:rsidRPr="0035027D">
        <w:rPr>
          <w:rFonts w:cs="Times New Roman"/>
        </w:rPr>
        <w:t>ľ</w:t>
      </w:r>
      <w:r w:rsidRPr="0035027D">
        <w:t>a v roku 2012 prija</w:t>
      </w:r>
      <w:r w:rsidRPr="0035027D">
        <w:rPr>
          <w:rFonts w:cs="Times New Roman"/>
        </w:rPr>
        <w:t>ť</w:t>
      </w:r>
      <w:r w:rsidRPr="0035027D">
        <w:t xml:space="preserve"> dodato</w:t>
      </w:r>
      <w:r w:rsidRPr="0035027D">
        <w:rPr>
          <w:rFonts w:cs="Times New Roman"/>
        </w:rPr>
        <w:t>č</w:t>
      </w:r>
      <w:r w:rsidRPr="0035027D">
        <w:t>né opatrenia, ktoré pozostávajú z reštriktívnych opatrení v štátnom rozpo</w:t>
      </w:r>
      <w:r w:rsidRPr="0035027D">
        <w:rPr>
          <w:rFonts w:cs="Times New Roman"/>
        </w:rPr>
        <w:t>č</w:t>
      </w:r>
      <w:r w:rsidRPr="0035027D">
        <w:t xml:space="preserve">te a prehodnotení niektorých výdavkových titulov. Okrem toho sa v roku 2012 </w:t>
      </w:r>
      <w:r w:rsidR="006359CC" w:rsidRPr="0035027D">
        <w:rPr>
          <w:rFonts w:cs="Times New Roman"/>
        </w:rPr>
        <w:t>č</w:t>
      </w:r>
      <w:r w:rsidR="006359CC" w:rsidRPr="0035027D">
        <w:t>iasto</w:t>
      </w:r>
      <w:r w:rsidR="006359CC" w:rsidRPr="0035027D">
        <w:rPr>
          <w:rFonts w:cs="Times New Roman"/>
        </w:rPr>
        <w:t>č</w:t>
      </w:r>
      <w:r w:rsidR="006359CC" w:rsidRPr="0035027D">
        <w:t xml:space="preserve">ne </w:t>
      </w:r>
      <w:r w:rsidRPr="0035027D">
        <w:t xml:space="preserve">prejavila aj schválená legislatíva </w:t>
      </w:r>
      <w:r w:rsidR="006359CC" w:rsidRPr="0035027D">
        <w:t>v rámci konsolida</w:t>
      </w:r>
      <w:r w:rsidR="006359CC" w:rsidRPr="0035027D">
        <w:rPr>
          <w:rFonts w:cs="Times New Roman"/>
        </w:rPr>
        <w:t>č</w:t>
      </w:r>
      <w:r w:rsidR="006359CC" w:rsidRPr="0035027D">
        <w:t xml:space="preserve">ného balíka na rok 2013 </w:t>
      </w:r>
      <w:r w:rsidRPr="0035027D">
        <w:t>(najmä novela zákona o sociálnom poistení, zákon o osobitnom odvode vybraných finan</w:t>
      </w:r>
      <w:r w:rsidRPr="0035027D">
        <w:rPr>
          <w:rFonts w:cs="Times New Roman"/>
        </w:rPr>
        <w:t>č</w:t>
      </w:r>
      <w:r w:rsidRPr="0035027D">
        <w:t>ných inštitúcii, zákon o osobitnom odvode z podnikania v regulovaných odvetviach, zákon o správnych poplatkoch). Do úsilia vlády udr</w:t>
      </w:r>
      <w:r w:rsidRPr="0035027D">
        <w:rPr>
          <w:rFonts w:cs="Times New Roman"/>
        </w:rPr>
        <w:t>ž</w:t>
      </w:r>
      <w:r w:rsidRPr="0035027D">
        <w:t>a</w:t>
      </w:r>
      <w:r w:rsidRPr="0035027D">
        <w:rPr>
          <w:rFonts w:cs="Times New Roman"/>
        </w:rPr>
        <w:t>ť</w:t>
      </w:r>
      <w:r w:rsidRPr="0035027D">
        <w:t xml:space="preserve"> deficit verejnej správy pod </w:t>
      </w:r>
      <w:r w:rsidR="00B279E6" w:rsidRPr="0035027D">
        <w:t>stanoveným cie</w:t>
      </w:r>
      <w:r w:rsidR="00B279E6" w:rsidRPr="0035027D">
        <w:rPr>
          <w:rFonts w:cs="Times New Roman"/>
        </w:rPr>
        <w:t>ľ</w:t>
      </w:r>
      <w:r w:rsidR="00B279E6" w:rsidRPr="0035027D">
        <w:t xml:space="preserve">om </w:t>
      </w:r>
      <w:r w:rsidRPr="0035027D">
        <w:t>do ve</w:t>
      </w:r>
      <w:r w:rsidRPr="0035027D">
        <w:rPr>
          <w:rFonts w:cs="Times New Roman"/>
        </w:rPr>
        <w:t>ľ</w:t>
      </w:r>
      <w:r w:rsidRPr="0035027D">
        <w:t>kej miery vstúpil aj neo</w:t>
      </w:r>
      <w:r w:rsidRPr="0035027D">
        <w:rPr>
          <w:rFonts w:cs="Times New Roman"/>
        </w:rPr>
        <w:t>č</w:t>
      </w:r>
      <w:r w:rsidRPr="0035027D">
        <w:t xml:space="preserve">akávane nepriaznivý makroekonomický vývoj. </w:t>
      </w:r>
      <w:r w:rsidR="00B279E6" w:rsidRPr="0035027D">
        <w:t>Vláda svoj fiškálny cie</w:t>
      </w:r>
      <w:r w:rsidR="00B279E6" w:rsidRPr="0035027D">
        <w:rPr>
          <w:rFonts w:cs="Times New Roman"/>
        </w:rPr>
        <w:t>ľ</w:t>
      </w:r>
      <w:r w:rsidR="00B279E6" w:rsidRPr="0035027D">
        <w:t xml:space="preserve"> na rok 2012 </w:t>
      </w:r>
      <w:r w:rsidR="006359CC" w:rsidRPr="0035027D">
        <w:t>prekonala (deficit bol o 0,3 % HDP lepší, dosiahol 4,35%)</w:t>
      </w:r>
      <w:r w:rsidR="00B279E6" w:rsidRPr="0035027D">
        <w:t xml:space="preserve">, na </w:t>
      </w:r>
      <w:r w:rsidR="00B279E6" w:rsidRPr="0035027D">
        <w:rPr>
          <w:rFonts w:cs="Times New Roman"/>
        </w:rPr>
        <w:t>č</w:t>
      </w:r>
      <w:r w:rsidR="00B279E6" w:rsidRPr="0035027D">
        <w:t>o musela prija</w:t>
      </w:r>
      <w:r w:rsidR="00B279E6" w:rsidRPr="0035027D">
        <w:rPr>
          <w:rFonts w:cs="Times New Roman"/>
        </w:rPr>
        <w:t>ť</w:t>
      </w:r>
      <w:r w:rsidR="00B279E6" w:rsidRPr="0035027D">
        <w:t xml:space="preserve"> dodato</w:t>
      </w:r>
      <w:r w:rsidR="00B279E6" w:rsidRPr="0035027D">
        <w:rPr>
          <w:rFonts w:cs="Times New Roman"/>
        </w:rPr>
        <w:t>č</w:t>
      </w:r>
      <w:r w:rsidR="00560030" w:rsidRPr="0035027D">
        <w:t>né konsolida</w:t>
      </w:r>
      <w:r w:rsidR="00560030" w:rsidRPr="0035027D">
        <w:rPr>
          <w:rFonts w:cs="Times New Roman"/>
        </w:rPr>
        <w:t>č</w:t>
      </w:r>
      <w:r w:rsidR="00560030" w:rsidRPr="0035027D">
        <w:t>né opatrenia vo výš</w:t>
      </w:r>
      <w:r w:rsidR="00B279E6" w:rsidRPr="0035027D">
        <w:t>ke viac ne</w:t>
      </w:r>
      <w:r w:rsidR="00B279E6" w:rsidRPr="0035027D">
        <w:rPr>
          <w:rFonts w:cs="Times New Roman"/>
        </w:rPr>
        <w:t>ž</w:t>
      </w:r>
      <w:r w:rsidR="00B279E6" w:rsidRPr="0035027D">
        <w:t xml:space="preserve"> 1</w:t>
      </w:r>
      <w:r w:rsidR="005E1922" w:rsidRPr="0035027D">
        <w:t> %</w:t>
      </w:r>
      <w:r w:rsidR="00B279E6" w:rsidRPr="0035027D">
        <w:t xml:space="preserve"> HDP.</w:t>
      </w:r>
    </w:p>
    <w:p w:rsidR="00515596" w:rsidRPr="0035027D" w:rsidRDefault="00515596" w:rsidP="00AC015D">
      <w:pPr>
        <w:spacing w:after="0"/>
        <w:rPr>
          <w:bCs/>
        </w:rPr>
      </w:pPr>
    </w:p>
    <w:p w:rsidR="00515596" w:rsidRPr="0035027D" w:rsidRDefault="00515596" w:rsidP="00AC015D">
      <w:pPr>
        <w:spacing w:after="0"/>
        <w:rPr>
          <w:bCs/>
        </w:rPr>
      </w:pPr>
      <w:r w:rsidRPr="0035027D">
        <w:rPr>
          <w:bCs/>
        </w:rPr>
        <w:t>Jednou z k</w:t>
      </w:r>
      <w:r w:rsidRPr="0035027D">
        <w:rPr>
          <w:rFonts w:cs="Times New Roman"/>
          <w:bCs/>
        </w:rPr>
        <w:t>ľ</w:t>
      </w:r>
      <w:r w:rsidRPr="0035027D">
        <w:rPr>
          <w:bCs/>
        </w:rPr>
        <w:t>ú</w:t>
      </w:r>
      <w:r w:rsidRPr="0035027D">
        <w:rPr>
          <w:rFonts w:cs="Times New Roman"/>
          <w:bCs/>
        </w:rPr>
        <w:t>č</w:t>
      </w:r>
      <w:r w:rsidRPr="0035027D">
        <w:rPr>
          <w:bCs/>
        </w:rPr>
        <w:t>ových úloh vlády SR je konsolidova</w:t>
      </w:r>
      <w:r w:rsidRPr="0035027D">
        <w:rPr>
          <w:rFonts w:cs="Times New Roman"/>
          <w:bCs/>
        </w:rPr>
        <w:t>ť</w:t>
      </w:r>
      <w:r w:rsidRPr="0035027D">
        <w:rPr>
          <w:bCs/>
        </w:rPr>
        <w:t xml:space="preserve"> verejné financie tak, aby deficit verejných financií </w:t>
      </w:r>
      <w:r w:rsidRPr="0035027D">
        <w:rPr>
          <w:b/>
          <w:bCs/>
        </w:rPr>
        <w:t>bol v roku 2013 pod tromi percentami HDP (cieľová hodnota deficitu bola stanovená vo výške 2,9</w:t>
      </w:r>
      <w:r w:rsidR="005E1922" w:rsidRPr="0035027D">
        <w:rPr>
          <w:b/>
          <w:bCs/>
        </w:rPr>
        <w:t> %</w:t>
      </w:r>
      <w:r w:rsidRPr="0035027D">
        <w:rPr>
          <w:b/>
          <w:bCs/>
        </w:rPr>
        <w:t xml:space="preserve"> HDP)</w:t>
      </w:r>
      <w:r w:rsidRPr="0035027D">
        <w:rPr>
          <w:bCs/>
        </w:rPr>
        <w:t>. Splnenie tejto úlohy v oblasti konsolidácie verejných financií je základným predpokladom pre udr</w:t>
      </w:r>
      <w:r w:rsidRPr="0035027D">
        <w:rPr>
          <w:rFonts w:cs="Times New Roman"/>
          <w:bCs/>
        </w:rPr>
        <w:t>ž</w:t>
      </w:r>
      <w:r w:rsidRPr="0035027D">
        <w:rPr>
          <w:bCs/>
        </w:rPr>
        <w:t>ate</w:t>
      </w:r>
      <w:r w:rsidRPr="0035027D">
        <w:rPr>
          <w:rFonts w:cs="Times New Roman"/>
          <w:bCs/>
        </w:rPr>
        <w:t>ľ</w:t>
      </w:r>
      <w:r w:rsidRPr="0035027D">
        <w:rPr>
          <w:bCs/>
        </w:rPr>
        <w:t>ný rozvoj Slovenska.</w:t>
      </w:r>
      <w:r w:rsidR="009251D8">
        <w:rPr>
          <w:bCs/>
        </w:rPr>
        <w:t xml:space="preserve"> Boli preto prijaté opatrenia s účinnosťou v roku 2013, ktoré by mali znížiť deficit verejných financií o 3,</w:t>
      </w:r>
      <w:r w:rsidR="002F5AFA">
        <w:rPr>
          <w:bCs/>
        </w:rPr>
        <w:t>3</w:t>
      </w:r>
      <w:r w:rsidR="009251D8">
        <w:rPr>
          <w:bCs/>
        </w:rPr>
        <w:t xml:space="preserve"> % HDP (2,5 mld. eur v porovnaní so scenárom nezmenených politík). </w:t>
      </w:r>
      <w:r w:rsidRPr="0035027D">
        <w:rPr>
          <w:bCs/>
        </w:rPr>
        <w:t xml:space="preserve"> </w:t>
      </w:r>
      <w:r w:rsidR="009251D8">
        <w:rPr>
          <w:bCs/>
        </w:rPr>
        <w:t xml:space="preserve">Pri výbere </w:t>
      </w:r>
      <w:r w:rsidRPr="0035027D">
        <w:rPr>
          <w:bCs/>
        </w:rPr>
        <w:t>opatren</w:t>
      </w:r>
      <w:r w:rsidR="009251D8">
        <w:rPr>
          <w:bCs/>
        </w:rPr>
        <w:t>í v</w:t>
      </w:r>
      <w:r w:rsidR="009251D8" w:rsidRPr="0035027D">
        <w:rPr>
          <w:bCs/>
        </w:rPr>
        <w:t>láda SR</w:t>
      </w:r>
      <w:r w:rsidR="009251D8" w:rsidRPr="0035027D" w:rsidDel="009251D8">
        <w:rPr>
          <w:bCs/>
        </w:rPr>
        <w:t xml:space="preserve"> </w:t>
      </w:r>
      <w:r w:rsidR="009251D8">
        <w:rPr>
          <w:bCs/>
        </w:rPr>
        <w:t>dbala na to, aby</w:t>
      </w:r>
      <w:r w:rsidRPr="0035027D">
        <w:rPr>
          <w:bCs/>
        </w:rPr>
        <w:t xml:space="preserve"> snah</w:t>
      </w:r>
      <w:r w:rsidR="009251D8">
        <w:rPr>
          <w:bCs/>
        </w:rPr>
        <w:t>a</w:t>
      </w:r>
      <w:r w:rsidRPr="0035027D">
        <w:rPr>
          <w:bCs/>
        </w:rPr>
        <w:t xml:space="preserve"> o zní</w:t>
      </w:r>
      <w:r w:rsidRPr="0035027D">
        <w:rPr>
          <w:rFonts w:cs="Times New Roman"/>
          <w:bCs/>
        </w:rPr>
        <w:t>ž</w:t>
      </w:r>
      <w:r w:rsidRPr="0035027D">
        <w:rPr>
          <w:bCs/>
        </w:rPr>
        <w:t xml:space="preserve">enie deficitu verejných financií </w:t>
      </w:r>
      <w:r w:rsidRPr="0035027D">
        <w:rPr>
          <w:rFonts w:cs="Times New Roman"/>
          <w:bCs/>
        </w:rPr>
        <w:t>č</w:t>
      </w:r>
      <w:r w:rsidRPr="0035027D">
        <w:rPr>
          <w:bCs/>
        </w:rPr>
        <w:t>o najmenej pôsobi</w:t>
      </w:r>
      <w:r w:rsidR="009251D8">
        <w:rPr>
          <w:rFonts w:cs="Times New Roman"/>
          <w:bCs/>
        </w:rPr>
        <w:t>la</w:t>
      </w:r>
      <w:r w:rsidRPr="0035027D">
        <w:rPr>
          <w:bCs/>
        </w:rPr>
        <w:t xml:space="preserve"> na spomalenie ekonomickej aktivity a hospodárskeho rastu Slovenska a </w:t>
      </w:r>
      <w:r w:rsidR="009251D8">
        <w:rPr>
          <w:bCs/>
        </w:rPr>
        <w:t>ne</w:t>
      </w:r>
      <w:r w:rsidRPr="0035027D">
        <w:rPr>
          <w:bCs/>
        </w:rPr>
        <w:t>predstavova</w:t>
      </w:r>
      <w:r w:rsidR="009251D8">
        <w:rPr>
          <w:rFonts w:cs="Times New Roman"/>
          <w:bCs/>
        </w:rPr>
        <w:t>la</w:t>
      </w:r>
      <w:r w:rsidRPr="0035027D">
        <w:rPr>
          <w:bCs/>
        </w:rPr>
        <w:t xml:space="preserve"> neúmerne ve</w:t>
      </w:r>
      <w:r w:rsidRPr="0035027D">
        <w:rPr>
          <w:rFonts w:cs="Times New Roman"/>
          <w:bCs/>
        </w:rPr>
        <w:t>ľ</w:t>
      </w:r>
      <w:r w:rsidRPr="0035027D">
        <w:rPr>
          <w:bCs/>
        </w:rPr>
        <w:t>ký dopad na najzranite</w:t>
      </w:r>
      <w:r w:rsidRPr="0035027D">
        <w:rPr>
          <w:rFonts w:cs="Times New Roman"/>
          <w:bCs/>
        </w:rPr>
        <w:t>ľ</w:t>
      </w:r>
      <w:r w:rsidRPr="0035027D">
        <w:rPr>
          <w:bCs/>
        </w:rPr>
        <w:t>nejšie vrstvy spolo</w:t>
      </w:r>
      <w:r w:rsidRPr="0035027D">
        <w:rPr>
          <w:rFonts w:cs="Times New Roman"/>
          <w:bCs/>
        </w:rPr>
        <w:t>č</w:t>
      </w:r>
      <w:r w:rsidRPr="0035027D">
        <w:rPr>
          <w:bCs/>
        </w:rPr>
        <w:t xml:space="preserve">nosti. </w:t>
      </w:r>
    </w:p>
    <w:p w:rsidR="00C012BA" w:rsidRPr="0035027D" w:rsidRDefault="00C012BA" w:rsidP="00AC015D">
      <w:pPr>
        <w:spacing w:after="0"/>
      </w:pPr>
    </w:p>
    <w:p w:rsidR="004F28AB" w:rsidRPr="0035027D" w:rsidRDefault="004F28AB" w:rsidP="00AC015D">
      <w:pPr>
        <w:spacing w:after="0"/>
      </w:pPr>
      <w:r w:rsidRPr="0035027D">
        <w:t>Snahu zní</w:t>
      </w:r>
      <w:r w:rsidRPr="0035027D">
        <w:rPr>
          <w:rFonts w:cs="Times New Roman"/>
        </w:rPr>
        <w:t>ž</w:t>
      </w:r>
      <w:r w:rsidRPr="0035027D">
        <w:t>i</w:t>
      </w:r>
      <w:r w:rsidRPr="0035027D">
        <w:rPr>
          <w:rFonts w:cs="Times New Roman"/>
        </w:rPr>
        <w:t>ť</w:t>
      </w:r>
      <w:r w:rsidRPr="0035027D">
        <w:t xml:space="preserve"> dopady konsolidácie odrá</w:t>
      </w:r>
      <w:r w:rsidRPr="0035027D">
        <w:rPr>
          <w:rFonts w:cs="Times New Roman"/>
        </w:rPr>
        <w:t>ž</w:t>
      </w:r>
      <w:r w:rsidRPr="0035027D">
        <w:t xml:space="preserve">a aj </w:t>
      </w:r>
      <w:r w:rsidRPr="0035027D">
        <w:rPr>
          <w:b/>
        </w:rPr>
        <w:t>prioritizácia produktívnych výdavkov</w:t>
      </w:r>
      <w:r w:rsidRPr="0035027D">
        <w:t xml:space="preserve"> v štátnom rozpo</w:t>
      </w:r>
      <w:r w:rsidRPr="0035027D">
        <w:rPr>
          <w:rFonts w:cs="Times New Roman"/>
        </w:rPr>
        <w:t>č</w:t>
      </w:r>
      <w:r w:rsidRPr="0035027D">
        <w:t xml:space="preserve">te. V roku 2013 je na </w:t>
      </w:r>
      <w:r w:rsidRPr="0035027D">
        <w:rPr>
          <w:b/>
        </w:rPr>
        <w:t>rozvoj infraštruktúry</w:t>
      </w:r>
      <w:r w:rsidRPr="0035027D">
        <w:t xml:space="preserve"> alokovaná najvyššia suma v histórii, a to najmä v</w:t>
      </w:r>
      <w:r w:rsidRPr="0035027D">
        <w:rPr>
          <w:rFonts w:cs="Times New Roman"/>
        </w:rPr>
        <w:t>ď</w:t>
      </w:r>
      <w:r w:rsidRPr="0035027D">
        <w:t>aka ve</w:t>
      </w:r>
      <w:r w:rsidRPr="0035027D">
        <w:rPr>
          <w:rFonts w:cs="Times New Roman"/>
        </w:rPr>
        <w:t>ľ</w:t>
      </w:r>
      <w:r w:rsidRPr="0035027D">
        <w:t>kému balíku zdrojov z EÚ. Zdroje na výstavbu dia</w:t>
      </w:r>
      <w:r w:rsidRPr="0035027D">
        <w:rPr>
          <w:rFonts w:cs="Times New Roman"/>
        </w:rPr>
        <w:t>ľ</w:t>
      </w:r>
      <w:r w:rsidRPr="0035027D">
        <w:t>nic a rýchlostných ciest medzi rokmi 2012 a 2013 rastú o viac ako 30</w:t>
      </w:r>
      <w:r w:rsidR="005E1922" w:rsidRPr="0035027D">
        <w:t>0 %</w:t>
      </w:r>
      <w:r w:rsidRPr="0035027D">
        <w:t xml:space="preserve"> a zdroje na výstavbu a obnovu cestnej siete rastú o 7</w:t>
      </w:r>
      <w:r w:rsidR="005E1922" w:rsidRPr="0035027D">
        <w:t>5 %</w:t>
      </w:r>
      <w:r w:rsidRPr="0035027D">
        <w:t xml:space="preserve">. </w:t>
      </w:r>
      <w:r w:rsidR="00797E38" w:rsidRPr="0035027D">
        <w:t xml:space="preserve">Porastú aj výdavky na </w:t>
      </w:r>
      <w:r w:rsidR="00797E38" w:rsidRPr="0035027D">
        <w:rPr>
          <w:b/>
        </w:rPr>
        <w:t>vzdelávanie</w:t>
      </w:r>
      <w:r w:rsidR="00797E38" w:rsidRPr="0035027D">
        <w:t>. Platy u</w:t>
      </w:r>
      <w:r w:rsidR="00797E38" w:rsidRPr="0035027D">
        <w:rPr>
          <w:rFonts w:cs="Times New Roman"/>
        </w:rPr>
        <w:t>č</w:t>
      </w:r>
      <w:r w:rsidR="00797E38" w:rsidRPr="0035027D">
        <w:t>ite</w:t>
      </w:r>
      <w:r w:rsidR="00797E38" w:rsidRPr="0035027D">
        <w:rPr>
          <w:rFonts w:cs="Times New Roman"/>
        </w:rPr>
        <w:t>ľ</w:t>
      </w:r>
      <w:r w:rsidR="00797E38" w:rsidRPr="0035027D">
        <w:t>ov základných a stredných škôl narastú o 5 percent</w:t>
      </w:r>
      <w:r w:rsidR="00471B50" w:rsidRPr="0035027D">
        <w:t>.</w:t>
      </w:r>
      <w:r w:rsidR="00797E38" w:rsidRPr="0035027D">
        <w:t xml:space="preserve"> Vo vysokom školstve predstavuje medziro</w:t>
      </w:r>
      <w:r w:rsidR="00797E38" w:rsidRPr="0035027D">
        <w:rPr>
          <w:rFonts w:cs="Times New Roman"/>
        </w:rPr>
        <w:t>č</w:t>
      </w:r>
      <w:r w:rsidR="00797E38" w:rsidRPr="0035027D">
        <w:t xml:space="preserve">ný nárast výdavkov na </w:t>
      </w:r>
      <w:r w:rsidR="00C44D77" w:rsidRPr="0035027D">
        <w:t>študenta</w:t>
      </w:r>
      <w:r w:rsidR="00797E38" w:rsidRPr="0035027D">
        <w:t xml:space="preserve"> 2,6</w:t>
      </w:r>
      <w:r w:rsidR="005E1922" w:rsidRPr="0035027D">
        <w:t> %</w:t>
      </w:r>
      <w:r w:rsidR="00797E38" w:rsidRPr="0035027D">
        <w:t xml:space="preserve">. Výdavky ministerstva školstva na </w:t>
      </w:r>
      <w:r w:rsidR="00797E38" w:rsidRPr="0035027D">
        <w:rPr>
          <w:b/>
        </w:rPr>
        <w:t>vedu a techniku</w:t>
      </w:r>
      <w:r w:rsidR="00797E38" w:rsidRPr="0035027D">
        <w:t xml:space="preserve"> vzrástli o takmer štvrtinu. </w:t>
      </w:r>
      <w:r w:rsidR="000A30A6" w:rsidRPr="0035027D">
        <w:t>Rast bol spôsobený presunom výdavkov rozpísaných na doktorandsk</w:t>
      </w:r>
      <w:r w:rsidR="00416C56" w:rsidRPr="0035027D">
        <w:t>é</w:t>
      </w:r>
      <w:r w:rsidR="000A30A6" w:rsidRPr="0035027D">
        <w:t xml:space="preserve"> štipendi</w:t>
      </w:r>
      <w:r w:rsidR="00416C56" w:rsidRPr="0035027D">
        <w:t>á</w:t>
      </w:r>
      <w:r w:rsidR="000A30A6" w:rsidRPr="0035027D">
        <w:t xml:space="preserve"> do podpory vysokoškolskej vedy. P</w:t>
      </w:r>
      <w:r w:rsidR="00797E38" w:rsidRPr="0035027D">
        <w:t xml:space="preserve">rejavil </w:t>
      </w:r>
      <w:r w:rsidR="000A30A6" w:rsidRPr="0035027D">
        <w:t xml:space="preserve">sa </w:t>
      </w:r>
      <w:r w:rsidR="00797E38" w:rsidRPr="0035027D">
        <w:t xml:space="preserve">najmä vo zvýšení mzdových výdavkov na pedagogických zamestnancov VŠ, ktorých pracovnou </w:t>
      </w:r>
      <w:r w:rsidR="00471B50" w:rsidRPr="0035027D">
        <w:t>nápl</w:t>
      </w:r>
      <w:r w:rsidR="00471B50" w:rsidRPr="0035027D">
        <w:rPr>
          <w:rFonts w:cs="Times New Roman"/>
        </w:rPr>
        <w:t>ň</w:t>
      </w:r>
      <w:r w:rsidR="00471B50" w:rsidRPr="0035027D">
        <w:t xml:space="preserve">ou je aj vedecká </w:t>
      </w:r>
      <w:r w:rsidR="00471B50" w:rsidRPr="0035027D">
        <w:rPr>
          <w:rFonts w:cs="Times New Roman"/>
        </w:rPr>
        <w:t>č</w:t>
      </w:r>
      <w:r w:rsidR="00471B50" w:rsidRPr="0035027D">
        <w:t>innos</w:t>
      </w:r>
      <w:r w:rsidR="00471B50" w:rsidRPr="0035027D">
        <w:rPr>
          <w:rFonts w:cs="Times New Roman"/>
        </w:rPr>
        <w:t>ť</w:t>
      </w:r>
      <w:r w:rsidR="00471B50" w:rsidRPr="0035027D">
        <w:t>.</w:t>
      </w:r>
    </w:p>
    <w:p w:rsidR="00D01E6D" w:rsidRPr="0035027D" w:rsidRDefault="00D01E6D" w:rsidP="00AC015D">
      <w:pPr>
        <w:spacing w:after="0"/>
      </w:pPr>
    </w:p>
    <w:p w:rsidR="00515596" w:rsidRPr="0035027D" w:rsidRDefault="00515596" w:rsidP="00AC015D">
      <w:pPr>
        <w:spacing w:after="0"/>
      </w:pPr>
      <w:r w:rsidRPr="0035027D">
        <w:rPr>
          <w:b/>
        </w:rPr>
        <w:t>Rada pre rozpočtovú zodpovednosť</w:t>
      </w:r>
      <w:r w:rsidRPr="0035027D">
        <w:t xml:space="preserve"> (RRZ) vznikla v roku 2012 ako nezávislý orgán monitorovania a hodnotenia vývoja hospodárenia SR najmä z h</w:t>
      </w:r>
      <w:r w:rsidRPr="0035027D">
        <w:rPr>
          <w:rFonts w:cs="Times New Roman"/>
        </w:rPr>
        <w:t>ľ</w:t>
      </w:r>
      <w:r w:rsidRPr="0035027D">
        <w:t>adiska dlhodobej udr</w:t>
      </w:r>
      <w:r w:rsidRPr="0035027D">
        <w:rPr>
          <w:rFonts w:cs="Times New Roman"/>
        </w:rPr>
        <w:t>ž</w:t>
      </w:r>
      <w:r w:rsidRPr="0035027D">
        <w:t>ate</w:t>
      </w:r>
      <w:r w:rsidRPr="0035027D">
        <w:rPr>
          <w:rFonts w:cs="Times New Roman"/>
        </w:rPr>
        <w:t>ľ</w:t>
      </w:r>
      <w:r w:rsidRPr="0035027D">
        <w:t>nosti a hodnotenia plnenia pravidiel rozpo</w:t>
      </w:r>
      <w:r w:rsidRPr="0035027D">
        <w:rPr>
          <w:rFonts w:cs="Times New Roman"/>
        </w:rPr>
        <w:t>č</w:t>
      </w:r>
      <w:r w:rsidRPr="0035027D">
        <w:t xml:space="preserve">tovej zodpovednosti. Prostredníctvom profesionálnej práce a na základe moderných analytických nástrojov by </w:t>
      </w:r>
      <w:r w:rsidR="006359CC" w:rsidRPr="0035027D">
        <w:t xml:space="preserve">mala </w:t>
      </w:r>
      <w:r w:rsidRPr="0035027D">
        <w:t>rada nastavova</w:t>
      </w:r>
      <w:r w:rsidRPr="0035027D">
        <w:rPr>
          <w:rFonts w:cs="Times New Roman"/>
        </w:rPr>
        <w:t>ť</w:t>
      </w:r>
      <w:r w:rsidRPr="0035027D">
        <w:t xml:space="preserve"> zrkadlo vláde, zlepši</w:t>
      </w:r>
      <w:r w:rsidRPr="0035027D">
        <w:rPr>
          <w:rFonts w:cs="Times New Roman"/>
        </w:rPr>
        <w:t>ť</w:t>
      </w:r>
      <w:r w:rsidRPr="0035027D">
        <w:t xml:space="preserve"> informovanos</w:t>
      </w:r>
      <w:r w:rsidRPr="0035027D">
        <w:rPr>
          <w:rFonts w:cs="Times New Roman"/>
        </w:rPr>
        <w:t>ť</w:t>
      </w:r>
      <w:r w:rsidRPr="0035027D">
        <w:t xml:space="preserve"> verejnosti v oblasti verejných financií a umo</w:t>
      </w:r>
      <w:r w:rsidRPr="0035027D">
        <w:rPr>
          <w:rFonts w:cs="Times New Roman"/>
        </w:rPr>
        <w:t>ž</w:t>
      </w:r>
      <w:r w:rsidRPr="0035027D">
        <w:t>ni</w:t>
      </w:r>
      <w:r w:rsidRPr="0035027D">
        <w:rPr>
          <w:rFonts w:cs="Times New Roman"/>
        </w:rPr>
        <w:t>ť</w:t>
      </w:r>
      <w:r w:rsidRPr="0035027D">
        <w:t xml:space="preserve"> kvalitnejšie rozhodovanie pre Národnú radu SR. Ako jeden zo svojich prvých výstupov pripravila RRZ hodnotiacu správu k Návrhu rozpo</w:t>
      </w:r>
      <w:r w:rsidRPr="0035027D">
        <w:rPr>
          <w:rFonts w:cs="Times New Roman"/>
        </w:rPr>
        <w:t>č</w:t>
      </w:r>
      <w:r w:rsidRPr="0035027D">
        <w:t>tu verejnej správy na roky 2013 a</w:t>
      </w:r>
      <w:r w:rsidRPr="0035027D">
        <w:rPr>
          <w:rFonts w:cs="Times New Roman"/>
        </w:rPr>
        <w:t>ž</w:t>
      </w:r>
      <w:r w:rsidRPr="0035027D">
        <w:t xml:space="preserve"> 2015, ktorý bol predlo</w:t>
      </w:r>
      <w:r w:rsidRPr="0035027D">
        <w:rPr>
          <w:rFonts w:cs="Times New Roman"/>
        </w:rPr>
        <w:t>ž</w:t>
      </w:r>
      <w:r w:rsidRPr="0035027D">
        <w:t>ený vládou na rokovanie Národnej rady SR.</w:t>
      </w:r>
    </w:p>
    <w:p w:rsidR="00515596" w:rsidRPr="0035027D" w:rsidRDefault="00515596" w:rsidP="00AC015D">
      <w:pPr>
        <w:pStyle w:val="Odsekzoznamu"/>
        <w:spacing w:after="0" w:line="240" w:lineRule="auto"/>
        <w:ind w:left="360"/>
        <w:jc w:val="both"/>
        <w:rPr>
          <w:rFonts w:ascii="Arial Narrow" w:hAnsi="Arial Narrow"/>
          <w:b/>
        </w:rPr>
      </w:pPr>
    </w:p>
    <w:p w:rsidR="0092093C" w:rsidRPr="0035027D" w:rsidRDefault="0092093C" w:rsidP="0092093C">
      <w:pPr>
        <w:spacing w:after="0"/>
        <w:rPr>
          <w:i/>
          <w:lang w:eastAsia="en-US"/>
        </w:rPr>
      </w:pPr>
      <w:r w:rsidRPr="0035027D">
        <w:rPr>
          <w:i/>
        </w:rPr>
        <w:t>K plneniu odporúčania prispejú aj ďalšie opatrenia detailnejšie opísané v</w:t>
      </w:r>
      <w:r w:rsidR="00214A67" w:rsidRPr="0035027D">
        <w:rPr>
          <w:i/>
        </w:rPr>
        <w:t xml:space="preserve"> kapitole </w:t>
      </w:r>
      <w:r w:rsidR="002E49B3" w:rsidRPr="0035027D">
        <w:rPr>
          <w:i/>
        </w:rPr>
        <w:t>4</w:t>
      </w:r>
      <w:r w:rsidR="00214A67" w:rsidRPr="0035027D">
        <w:rPr>
          <w:i/>
        </w:rPr>
        <w:t>.1</w:t>
      </w:r>
      <w:r w:rsidRPr="0035027D">
        <w:rPr>
          <w:i/>
        </w:rPr>
        <w:t xml:space="preserve"> a akčnom pláne.</w:t>
      </w:r>
    </w:p>
    <w:p w:rsidR="00AC015D" w:rsidRPr="0035027D" w:rsidRDefault="00AC015D" w:rsidP="00AC015D">
      <w:pPr>
        <w:spacing w:after="0"/>
        <w:jc w:val="left"/>
        <w:rPr>
          <w:rFonts w:cs="Times New Roman"/>
          <w:b/>
          <w:lang w:eastAsia="en-US"/>
        </w:rPr>
      </w:pPr>
    </w:p>
    <w:p w:rsidR="009204DB" w:rsidRPr="0035027D" w:rsidRDefault="009204DB" w:rsidP="00AC015D">
      <w:pPr>
        <w:spacing w:after="0"/>
        <w:jc w:val="left"/>
        <w:rPr>
          <w:rFonts w:cs="Times New Roman"/>
          <w:b/>
          <w:lang w:eastAsia="en-US"/>
        </w:rPr>
      </w:pPr>
    </w:p>
    <w:p w:rsidR="00515596" w:rsidRPr="0035027D" w:rsidRDefault="00515596" w:rsidP="003C29D5">
      <w:pPr>
        <w:pStyle w:val="Odsekzoznamu"/>
        <w:numPr>
          <w:ilvl w:val="0"/>
          <w:numId w:val="3"/>
        </w:numPr>
        <w:spacing w:after="0" w:line="240" w:lineRule="auto"/>
        <w:jc w:val="both"/>
        <w:rPr>
          <w:rFonts w:ascii="Arial Narrow" w:hAnsi="Arial Narrow"/>
          <w:b/>
        </w:rPr>
      </w:pPr>
      <w:r w:rsidRPr="0035027D">
        <w:rPr>
          <w:rFonts w:ascii="Arial Narrow" w:hAnsi="Arial Narrow"/>
          <w:b/>
        </w:rPr>
        <w:t>Zvýšenie daňovej disciplíny a daňová politika</w:t>
      </w:r>
    </w:p>
    <w:p w:rsidR="00515596" w:rsidRPr="0035027D" w:rsidRDefault="00515596" w:rsidP="00AC015D">
      <w:pPr>
        <w:spacing w:after="0"/>
        <w:rPr>
          <w:color w:val="000000"/>
        </w:rPr>
      </w:pPr>
    </w:p>
    <w:p w:rsidR="00515596" w:rsidRPr="0035027D" w:rsidRDefault="00EC78A4" w:rsidP="00AC015D">
      <w:pPr>
        <w:spacing w:after="0"/>
        <w:contextualSpacing/>
        <w:rPr>
          <w:b/>
          <w:i/>
          <w:szCs w:val="36"/>
          <w:lang w:eastAsia="en-US"/>
        </w:rPr>
      </w:pPr>
      <w:r w:rsidRPr="0035027D">
        <w:rPr>
          <w:b/>
          <w:i/>
          <w:szCs w:val="36"/>
          <w:lang w:eastAsia="en-US"/>
        </w:rPr>
        <w:t xml:space="preserve">(CSR2) </w:t>
      </w:r>
      <w:r w:rsidR="00515596" w:rsidRPr="0035027D">
        <w:rPr>
          <w:b/>
          <w:i/>
          <w:szCs w:val="36"/>
          <w:lang w:eastAsia="en-US"/>
        </w:rPr>
        <w:t>Zvýšiť daňovú disciplínu, a to predovšetkým zlepšením efektívnosti výberu DPH; znížiť nezrovnalost</w:t>
      </w:r>
      <w:r w:rsidR="006359CC" w:rsidRPr="0035027D">
        <w:rPr>
          <w:b/>
          <w:i/>
          <w:szCs w:val="36"/>
          <w:lang w:eastAsia="en-US"/>
        </w:rPr>
        <w:t>i</w:t>
      </w:r>
      <w:r w:rsidR="00515596" w:rsidRPr="0035027D">
        <w:rPr>
          <w:b/>
          <w:i/>
          <w:szCs w:val="36"/>
          <w:lang w:eastAsia="en-US"/>
        </w:rPr>
        <w:t xml:space="preserve"> v zdaňovaní práce v rámci odlišných typov zamestnania, a to aj obmedzením daňových odpočtov; prepojiť zdaňovanie nehnuteľností s trhovou hodnotou majetku; viacej využívať environmentálne dane.</w:t>
      </w:r>
    </w:p>
    <w:p w:rsidR="00515596" w:rsidRPr="0035027D" w:rsidRDefault="00515596" w:rsidP="00AC015D">
      <w:pPr>
        <w:spacing w:after="0"/>
        <w:rPr>
          <w:color w:val="000000"/>
        </w:rPr>
      </w:pPr>
    </w:p>
    <w:p w:rsidR="00B95EAC" w:rsidRPr="0035027D" w:rsidRDefault="00B95EAC" w:rsidP="00D249DB">
      <w:pPr>
        <w:spacing w:after="0"/>
        <w:rPr>
          <w:rFonts w:eastAsiaTheme="minorHAnsi" w:cstheme="minorBidi"/>
          <w:szCs w:val="36"/>
          <w:lang w:eastAsia="en-US"/>
        </w:rPr>
      </w:pPr>
      <w:r w:rsidRPr="0035027D">
        <w:rPr>
          <w:rFonts w:eastAsiaTheme="minorHAnsi" w:cstheme="minorBidi"/>
          <w:szCs w:val="36"/>
          <w:lang w:eastAsia="en-US"/>
        </w:rPr>
        <w:t xml:space="preserve">Vláda SR v máji 2012 prijala </w:t>
      </w:r>
      <w:r w:rsidRPr="0035027D">
        <w:rPr>
          <w:rFonts w:eastAsiaTheme="minorHAnsi" w:cstheme="minorBidi"/>
          <w:b/>
          <w:szCs w:val="36"/>
          <w:lang w:eastAsia="en-US"/>
        </w:rPr>
        <w:t>Akčný plán boja proti daňovým podvodom</w:t>
      </w:r>
      <w:r w:rsidRPr="0035027D">
        <w:rPr>
          <w:rFonts w:eastAsiaTheme="minorHAnsi" w:cstheme="minorBidi"/>
          <w:szCs w:val="36"/>
          <w:lang w:eastAsia="en-US"/>
        </w:rPr>
        <w:t>, ktorý obsahuje 50 konkrétnych opatrení zameraných hlavne na zvýšenie výberu dane z pridanej hodnoty a schválila nieko</w:t>
      </w:r>
      <w:r w:rsidRPr="0035027D">
        <w:rPr>
          <w:rFonts w:eastAsiaTheme="minorHAnsi" w:cs="Times New Roman"/>
          <w:szCs w:val="36"/>
          <w:lang w:eastAsia="en-US"/>
        </w:rPr>
        <w:t>ľ</w:t>
      </w:r>
      <w:r w:rsidRPr="0035027D">
        <w:rPr>
          <w:rFonts w:eastAsiaTheme="minorHAnsi" w:cstheme="minorBidi"/>
          <w:szCs w:val="36"/>
          <w:lang w:eastAsia="en-US"/>
        </w:rPr>
        <w:t>ko novelizácií súvisiacich zákonov. Ak</w:t>
      </w:r>
      <w:r w:rsidRPr="0035027D">
        <w:rPr>
          <w:rFonts w:eastAsiaTheme="minorHAnsi" w:cs="Times New Roman"/>
          <w:szCs w:val="36"/>
          <w:lang w:eastAsia="en-US"/>
        </w:rPr>
        <w:t>č</w:t>
      </w:r>
      <w:r w:rsidRPr="0035027D">
        <w:rPr>
          <w:rFonts w:eastAsiaTheme="minorHAnsi" w:cstheme="minorBidi"/>
          <w:szCs w:val="36"/>
          <w:lang w:eastAsia="en-US"/>
        </w:rPr>
        <w:t>ný plán je rozvrhnutý do troch fáz realizácie. V rámci prvej fázy ak</w:t>
      </w:r>
      <w:r w:rsidRPr="0035027D">
        <w:rPr>
          <w:rFonts w:eastAsiaTheme="minorHAnsi" w:cs="Times New Roman"/>
          <w:szCs w:val="36"/>
          <w:lang w:eastAsia="en-US"/>
        </w:rPr>
        <w:t>č</w:t>
      </w:r>
      <w:r w:rsidRPr="0035027D">
        <w:rPr>
          <w:rFonts w:eastAsiaTheme="minorHAnsi" w:cstheme="minorBidi"/>
          <w:szCs w:val="36"/>
          <w:lang w:eastAsia="en-US"/>
        </w:rPr>
        <w:t>ného plánu boli zrušené registrácie nekomunikujúcich a nekontaktných osôb v registri platite</w:t>
      </w:r>
      <w:r w:rsidRPr="0035027D">
        <w:rPr>
          <w:rFonts w:eastAsiaTheme="minorHAnsi" w:cs="Times New Roman"/>
          <w:szCs w:val="36"/>
          <w:lang w:eastAsia="en-US"/>
        </w:rPr>
        <w:t>ľ</w:t>
      </w:r>
      <w:r w:rsidRPr="0035027D">
        <w:rPr>
          <w:rFonts w:eastAsiaTheme="minorHAnsi" w:cstheme="minorBidi"/>
          <w:szCs w:val="36"/>
          <w:lang w:eastAsia="en-US"/>
        </w:rPr>
        <w:t>ov a spolo</w:t>
      </w:r>
      <w:r w:rsidRPr="0035027D">
        <w:rPr>
          <w:rFonts w:eastAsiaTheme="minorHAnsi" w:cs="Times New Roman"/>
          <w:szCs w:val="36"/>
          <w:lang w:eastAsia="en-US"/>
        </w:rPr>
        <w:t>č</w:t>
      </w:r>
      <w:r w:rsidRPr="0035027D">
        <w:rPr>
          <w:rFonts w:eastAsiaTheme="minorHAnsi" w:cstheme="minorBidi"/>
          <w:szCs w:val="36"/>
          <w:lang w:eastAsia="en-US"/>
        </w:rPr>
        <w:t>né</w:t>
      </w:r>
      <w:r w:rsidR="00977BD9" w:rsidRPr="0035027D">
        <w:rPr>
          <w:rFonts w:eastAsiaTheme="minorHAnsi" w:cstheme="minorBidi"/>
          <w:szCs w:val="36"/>
          <w:lang w:eastAsia="en-US"/>
        </w:rPr>
        <w:t xml:space="preserve"> </w:t>
      </w:r>
      <w:r w:rsidRPr="0035027D">
        <w:rPr>
          <w:rFonts w:eastAsiaTheme="minorHAnsi" w:cstheme="minorBidi"/>
          <w:szCs w:val="36"/>
          <w:lang w:eastAsia="en-US"/>
        </w:rPr>
        <w:t>a nerozdielne ru</w:t>
      </w:r>
      <w:r w:rsidRPr="0035027D">
        <w:rPr>
          <w:rFonts w:eastAsiaTheme="minorHAnsi" w:cs="Times New Roman"/>
          <w:szCs w:val="36"/>
          <w:lang w:eastAsia="en-US"/>
        </w:rPr>
        <w:t>č</w:t>
      </w:r>
      <w:r w:rsidRPr="0035027D">
        <w:rPr>
          <w:rFonts w:eastAsiaTheme="minorHAnsi" w:cstheme="minorBidi"/>
          <w:szCs w:val="36"/>
          <w:lang w:eastAsia="en-US"/>
        </w:rPr>
        <w:t xml:space="preserve">enie </w:t>
      </w:r>
      <w:r w:rsidRPr="0035027D">
        <w:rPr>
          <w:rFonts w:eastAsiaTheme="minorHAnsi" w:cstheme="minorBidi"/>
          <w:szCs w:val="36"/>
          <w:lang w:eastAsia="en-US"/>
        </w:rPr>
        <w:lastRenderedPageBreak/>
        <w:t>za da</w:t>
      </w:r>
      <w:r w:rsidRPr="0035027D">
        <w:rPr>
          <w:rFonts w:eastAsiaTheme="minorHAnsi" w:cs="Times New Roman"/>
          <w:szCs w:val="36"/>
          <w:lang w:eastAsia="en-US"/>
        </w:rPr>
        <w:t>ň</w:t>
      </w:r>
      <w:r w:rsidRPr="0035027D">
        <w:rPr>
          <w:rFonts w:eastAsiaTheme="minorHAnsi" w:cstheme="minorBidi"/>
          <w:szCs w:val="36"/>
          <w:lang w:eastAsia="en-US"/>
        </w:rPr>
        <w:t>. Novelou zákona bola zavedená povinnos</w:t>
      </w:r>
      <w:r w:rsidRPr="0035027D">
        <w:rPr>
          <w:rFonts w:eastAsiaTheme="minorHAnsi" w:cs="Times New Roman"/>
          <w:szCs w:val="36"/>
          <w:lang w:eastAsia="en-US"/>
        </w:rPr>
        <w:t>ť</w:t>
      </w:r>
      <w:r w:rsidRPr="0035027D">
        <w:rPr>
          <w:rFonts w:eastAsiaTheme="minorHAnsi" w:cstheme="minorBidi"/>
          <w:szCs w:val="36"/>
          <w:lang w:eastAsia="en-US"/>
        </w:rPr>
        <w:t xml:space="preserve"> sklada</w:t>
      </w:r>
      <w:r w:rsidRPr="0035027D">
        <w:rPr>
          <w:rFonts w:eastAsiaTheme="minorHAnsi" w:cs="Times New Roman"/>
          <w:szCs w:val="36"/>
          <w:lang w:eastAsia="en-US"/>
        </w:rPr>
        <w:t>ť</w:t>
      </w:r>
      <w:r w:rsidRPr="0035027D">
        <w:rPr>
          <w:rFonts w:eastAsiaTheme="minorHAnsi" w:cstheme="minorBidi"/>
          <w:szCs w:val="36"/>
          <w:lang w:eastAsia="en-US"/>
        </w:rPr>
        <w:t xml:space="preserve"> finan</w:t>
      </w:r>
      <w:r w:rsidRPr="0035027D">
        <w:rPr>
          <w:rFonts w:eastAsiaTheme="minorHAnsi" w:cs="Times New Roman"/>
          <w:szCs w:val="36"/>
          <w:lang w:eastAsia="en-US"/>
        </w:rPr>
        <w:t>č</w:t>
      </w:r>
      <w:r w:rsidRPr="0035027D">
        <w:rPr>
          <w:rFonts w:eastAsiaTheme="minorHAnsi" w:cstheme="minorBidi"/>
          <w:szCs w:val="36"/>
          <w:lang w:eastAsia="en-US"/>
        </w:rPr>
        <w:t>nú zábezpeku rizikovými osobami pri registrácii DPH a rušenie registrácie DPH osobám, ktoré sú nekontaktné, nekomunikujú so správcom dane, alebo si neplnia zákonné povinnosti.</w:t>
      </w:r>
      <w:r w:rsidR="00977BD9" w:rsidRPr="0035027D">
        <w:rPr>
          <w:rFonts w:eastAsiaTheme="minorHAnsi" w:cstheme="minorBidi"/>
          <w:szCs w:val="36"/>
          <w:lang w:eastAsia="en-US"/>
        </w:rPr>
        <w:t xml:space="preserve"> </w:t>
      </w:r>
      <w:r w:rsidRPr="0035027D">
        <w:rPr>
          <w:rFonts w:eastAsiaTheme="minorHAnsi" w:cstheme="minorBidi"/>
          <w:szCs w:val="36"/>
          <w:lang w:eastAsia="en-US"/>
        </w:rPr>
        <w:t>Zaviedla sa podmienka zakladania nových spolo</w:t>
      </w:r>
      <w:r w:rsidRPr="0035027D">
        <w:rPr>
          <w:rFonts w:eastAsiaTheme="minorHAnsi" w:cs="Times New Roman"/>
          <w:szCs w:val="36"/>
          <w:lang w:eastAsia="en-US"/>
        </w:rPr>
        <w:t>č</w:t>
      </w:r>
      <w:r w:rsidRPr="0035027D">
        <w:rPr>
          <w:rFonts w:eastAsiaTheme="minorHAnsi" w:cstheme="minorBidi"/>
          <w:szCs w:val="36"/>
          <w:lang w:eastAsia="en-US"/>
        </w:rPr>
        <w:t>ností a prevodu vä</w:t>
      </w:r>
      <w:r w:rsidRPr="0035027D">
        <w:rPr>
          <w:rFonts w:eastAsiaTheme="minorHAnsi" w:cs="Times New Roman"/>
          <w:szCs w:val="36"/>
          <w:lang w:eastAsia="en-US"/>
        </w:rPr>
        <w:t>č</w:t>
      </w:r>
      <w:r w:rsidRPr="0035027D">
        <w:rPr>
          <w:rFonts w:eastAsiaTheme="minorHAnsi" w:cstheme="minorBidi"/>
          <w:szCs w:val="36"/>
          <w:lang w:eastAsia="en-US"/>
        </w:rPr>
        <w:t>šinového obchodného podielu v spolo</w:t>
      </w:r>
      <w:r w:rsidRPr="0035027D">
        <w:rPr>
          <w:rFonts w:eastAsiaTheme="minorHAnsi" w:cs="Times New Roman"/>
          <w:szCs w:val="36"/>
          <w:lang w:eastAsia="en-US"/>
        </w:rPr>
        <w:t>č</w:t>
      </w:r>
      <w:r w:rsidRPr="0035027D">
        <w:rPr>
          <w:rFonts w:eastAsiaTheme="minorHAnsi" w:cstheme="minorBidi"/>
          <w:szCs w:val="36"/>
          <w:lang w:eastAsia="en-US"/>
        </w:rPr>
        <w:t>nosti z poh</w:t>
      </w:r>
      <w:r w:rsidRPr="0035027D">
        <w:rPr>
          <w:rFonts w:eastAsiaTheme="minorHAnsi" w:cs="Times New Roman"/>
          <w:szCs w:val="36"/>
          <w:lang w:eastAsia="en-US"/>
        </w:rPr>
        <w:t>ľ</w:t>
      </w:r>
      <w:r w:rsidRPr="0035027D">
        <w:rPr>
          <w:rFonts w:eastAsiaTheme="minorHAnsi" w:cstheme="minorBidi"/>
          <w:szCs w:val="36"/>
          <w:lang w:eastAsia="en-US"/>
        </w:rPr>
        <w:t>adu da</w:t>
      </w:r>
      <w:r w:rsidRPr="0035027D">
        <w:rPr>
          <w:rFonts w:eastAsiaTheme="minorHAnsi" w:cs="Times New Roman"/>
          <w:szCs w:val="36"/>
          <w:lang w:eastAsia="en-US"/>
        </w:rPr>
        <w:t>ň</w:t>
      </w:r>
      <w:r w:rsidRPr="0035027D">
        <w:rPr>
          <w:rFonts w:eastAsiaTheme="minorHAnsi" w:cstheme="minorBidi"/>
          <w:szCs w:val="36"/>
          <w:lang w:eastAsia="en-US"/>
        </w:rPr>
        <w:t>ovej spo</w:t>
      </w:r>
      <w:r w:rsidRPr="0035027D">
        <w:rPr>
          <w:rFonts w:eastAsiaTheme="minorHAnsi" w:cs="Times New Roman"/>
          <w:szCs w:val="36"/>
          <w:lang w:eastAsia="en-US"/>
        </w:rPr>
        <w:t>ľ</w:t>
      </w:r>
      <w:r w:rsidRPr="0035027D">
        <w:rPr>
          <w:rFonts w:eastAsiaTheme="minorHAnsi" w:cstheme="minorBidi"/>
          <w:szCs w:val="36"/>
          <w:lang w:eastAsia="en-US"/>
        </w:rPr>
        <w:t xml:space="preserve">ahlivosti a na základe potvrdenia správcu dane. Boli definované nové trestné </w:t>
      </w:r>
      <w:r w:rsidRPr="0035027D">
        <w:rPr>
          <w:rFonts w:eastAsiaTheme="minorHAnsi" w:cs="Times New Roman"/>
          <w:szCs w:val="36"/>
          <w:lang w:eastAsia="en-US"/>
        </w:rPr>
        <w:t>č</w:t>
      </w:r>
      <w:r w:rsidRPr="0035027D">
        <w:rPr>
          <w:rFonts w:eastAsiaTheme="minorHAnsi" w:cstheme="minorBidi"/>
          <w:szCs w:val="36"/>
          <w:lang w:eastAsia="en-US"/>
        </w:rPr>
        <w:t>iny da</w:t>
      </w:r>
      <w:r w:rsidRPr="0035027D">
        <w:rPr>
          <w:rFonts w:eastAsiaTheme="minorHAnsi" w:cs="Times New Roman"/>
          <w:szCs w:val="36"/>
          <w:lang w:eastAsia="en-US"/>
        </w:rPr>
        <w:t>ň</w:t>
      </w:r>
      <w:r w:rsidRPr="0035027D">
        <w:rPr>
          <w:rFonts w:eastAsiaTheme="minorHAnsi" w:cstheme="minorBidi"/>
          <w:szCs w:val="36"/>
          <w:lang w:eastAsia="en-US"/>
        </w:rPr>
        <w:t>ového podvodu a marenia výkonu správy daní.</w:t>
      </w:r>
    </w:p>
    <w:p w:rsidR="00D249DB" w:rsidRPr="0035027D" w:rsidRDefault="00D249DB" w:rsidP="00D249DB">
      <w:pPr>
        <w:spacing w:after="0"/>
        <w:rPr>
          <w:rFonts w:eastAsiaTheme="minorHAnsi" w:cstheme="minorBidi"/>
          <w:szCs w:val="36"/>
          <w:lang w:eastAsia="en-US"/>
        </w:rPr>
      </w:pPr>
    </w:p>
    <w:p w:rsidR="00515596" w:rsidRPr="0035027D" w:rsidRDefault="00B95EAC" w:rsidP="00AC015D">
      <w:pPr>
        <w:spacing w:after="0"/>
        <w:rPr>
          <w:rFonts w:eastAsiaTheme="minorHAnsi" w:cstheme="minorBidi"/>
          <w:szCs w:val="36"/>
          <w:lang w:eastAsia="en-US"/>
        </w:rPr>
      </w:pPr>
      <w:r w:rsidRPr="0035027D">
        <w:rPr>
          <w:rFonts w:eastAsiaTheme="minorHAnsi" w:cstheme="minorBidi"/>
          <w:szCs w:val="36"/>
          <w:lang w:eastAsia="en-US"/>
        </w:rPr>
        <w:t xml:space="preserve">Medzi </w:t>
      </w:r>
      <w:r w:rsidRPr="0035027D">
        <w:rPr>
          <w:rFonts w:eastAsiaTheme="minorHAnsi" w:cs="Times New Roman"/>
          <w:szCs w:val="36"/>
          <w:lang w:eastAsia="en-US"/>
        </w:rPr>
        <w:t>ď</w:t>
      </w:r>
      <w:r w:rsidRPr="0035027D">
        <w:rPr>
          <w:rFonts w:eastAsiaTheme="minorHAnsi" w:cstheme="minorBidi"/>
          <w:szCs w:val="36"/>
          <w:lang w:eastAsia="en-US"/>
        </w:rPr>
        <w:t>alšie hlavné opatrenia, ktoré boli zrealizované v rámci ak</w:t>
      </w:r>
      <w:r w:rsidRPr="0035027D">
        <w:rPr>
          <w:rFonts w:eastAsiaTheme="minorHAnsi" w:cs="Times New Roman"/>
          <w:szCs w:val="36"/>
          <w:lang w:eastAsia="en-US"/>
        </w:rPr>
        <w:t>č</w:t>
      </w:r>
      <w:r w:rsidRPr="0035027D">
        <w:rPr>
          <w:rFonts w:eastAsiaTheme="minorHAnsi" w:cstheme="minorBidi"/>
          <w:szCs w:val="36"/>
          <w:lang w:eastAsia="en-US"/>
        </w:rPr>
        <w:t>ného plánu patria zavedenie povinnosti bezhotovostnej platby v obchodnom styku nad ur</w:t>
      </w:r>
      <w:r w:rsidRPr="0035027D">
        <w:rPr>
          <w:rFonts w:eastAsiaTheme="minorHAnsi" w:cs="Times New Roman"/>
          <w:szCs w:val="36"/>
          <w:lang w:eastAsia="en-US"/>
        </w:rPr>
        <w:t>č</w:t>
      </w:r>
      <w:r w:rsidRPr="0035027D">
        <w:rPr>
          <w:rFonts w:eastAsiaTheme="minorHAnsi" w:cstheme="minorBidi"/>
          <w:szCs w:val="36"/>
          <w:lang w:eastAsia="en-US"/>
        </w:rPr>
        <w:t>itý limit so zámerom zabráni</w:t>
      </w:r>
      <w:r w:rsidRPr="0035027D">
        <w:rPr>
          <w:rFonts w:eastAsiaTheme="minorHAnsi" w:cs="Times New Roman"/>
          <w:szCs w:val="36"/>
          <w:lang w:eastAsia="en-US"/>
        </w:rPr>
        <w:t>ť</w:t>
      </w:r>
      <w:r w:rsidRPr="0035027D">
        <w:rPr>
          <w:rFonts w:eastAsiaTheme="minorHAnsi" w:cstheme="minorBidi"/>
          <w:szCs w:val="36"/>
          <w:lang w:eastAsia="en-US"/>
        </w:rPr>
        <w:t xml:space="preserve"> fiktívnemu vystavovaniu príjmových a výdavkových pokladni</w:t>
      </w:r>
      <w:r w:rsidRPr="0035027D">
        <w:rPr>
          <w:rFonts w:eastAsiaTheme="minorHAnsi" w:cs="Times New Roman"/>
          <w:szCs w:val="36"/>
          <w:lang w:eastAsia="en-US"/>
        </w:rPr>
        <w:t>č</w:t>
      </w:r>
      <w:r w:rsidRPr="0035027D">
        <w:rPr>
          <w:rFonts w:eastAsiaTheme="minorHAnsi" w:cstheme="minorBidi"/>
          <w:szCs w:val="36"/>
          <w:lang w:eastAsia="en-US"/>
        </w:rPr>
        <w:t>ných dokladov bez reálneho toku finan</w:t>
      </w:r>
      <w:r w:rsidRPr="0035027D">
        <w:rPr>
          <w:rFonts w:eastAsiaTheme="minorHAnsi" w:cs="Times New Roman"/>
          <w:szCs w:val="36"/>
          <w:lang w:eastAsia="en-US"/>
        </w:rPr>
        <w:t>č</w:t>
      </w:r>
      <w:r w:rsidRPr="0035027D">
        <w:rPr>
          <w:rFonts w:eastAsiaTheme="minorHAnsi" w:cstheme="minorBidi"/>
          <w:szCs w:val="36"/>
          <w:lang w:eastAsia="en-US"/>
        </w:rPr>
        <w:t>ných prostriedkov. Zvýšila sa špecializácia súdov v oblasti da</w:t>
      </w:r>
      <w:r w:rsidRPr="0035027D">
        <w:rPr>
          <w:rFonts w:eastAsiaTheme="minorHAnsi" w:cs="Times New Roman"/>
          <w:szCs w:val="36"/>
          <w:lang w:eastAsia="en-US"/>
        </w:rPr>
        <w:t>ň</w:t>
      </w:r>
      <w:r w:rsidRPr="0035027D">
        <w:rPr>
          <w:rFonts w:eastAsiaTheme="minorHAnsi" w:cstheme="minorBidi"/>
          <w:szCs w:val="36"/>
          <w:lang w:eastAsia="en-US"/>
        </w:rPr>
        <w:t xml:space="preserve">ovej trestnej </w:t>
      </w:r>
      <w:r w:rsidRPr="0035027D">
        <w:rPr>
          <w:rFonts w:eastAsiaTheme="minorHAnsi" w:cs="Times New Roman"/>
          <w:szCs w:val="36"/>
          <w:lang w:eastAsia="en-US"/>
        </w:rPr>
        <w:t>č</w:t>
      </w:r>
      <w:r w:rsidRPr="0035027D">
        <w:rPr>
          <w:rFonts w:eastAsiaTheme="minorHAnsi" w:cstheme="minorBidi"/>
          <w:szCs w:val="36"/>
          <w:lang w:eastAsia="en-US"/>
        </w:rPr>
        <w:t>innosti a Finan</w:t>
      </w:r>
      <w:r w:rsidRPr="0035027D">
        <w:rPr>
          <w:rFonts w:eastAsiaTheme="minorHAnsi" w:cs="Times New Roman"/>
          <w:szCs w:val="36"/>
          <w:lang w:eastAsia="en-US"/>
        </w:rPr>
        <w:t>č</w:t>
      </w:r>
      <w:r w:rsidRPr="0035027D">
        <w:rPr>
          <w:rFonts w:eastAsiaTheme="minorHAnsi" w:cstheme="minorBidi"/>
          <w:szCs w:val="36"/>
          <w:lang w:eastAsia="en-US"/>
        </w:rPr>
        <w:t>né riadite</w:t>
      </w:r>
      <w:r w:rsidRPr="0035027D">
        <w:rPr>
          <w:rFonts w:eastAsiaTheme="minorHAnsi" w:cs="Times New Roman"/>
          <w:szCs w:val="36"/>
          <w:lang w:eastAsia="en-US"/>
        </w:rPr>
        <w:t>ľ</w:t>
      </w:r>
      <w:r w:rsidRPr="0035027D">
        <w:rPr>
          <w:rFonts w:eastAsiaTheme="minorHAnsi" w:cstheme="minorBidi"/>
          <w:szCs w:val="36"/>
          <w:lang w:eastAsia="en-US"/>
        </w:rPr>
        <w:t>stvo spustilo program boja proti korupcii vo finan</w:t>
      </w:r>
      <w:r w:rsidRPr="0035027D">
        <w:rPr>
          <w:rFonts w:eastAsiaTheme="minorHAnsi" w:cs="Times New Roman"/>
          <w:szCs w:val="36"/>
          <w:lang w:eastAsia="en-US"/>
        </w:rPr>
        <w:t>č</w:t>
      </w:r>
      <w:r w:rsidRPr="0035027D">
        <w:rPr>
          <w:rFonts w:eastAsiaTheme="minorHAnsi" w:cstheme="minorBidi"/>
          <w:szCs w:val="36"/>
          <w:lang w:eastAsia="en-US"/>
        </w:rPr>
        <w:t>nej správe s cie</w:t>
      </w:r>
      <w:r w:rsidRPr="0035027D">
        <w:rPr>
          <w:rFonts w:eastAsiaTheme="minorHAnsi" w:cs="Times New Roman"/>
          <w:szCs w:val="36"/>
          <w:lang w:eastAsia="en-US"/>
        </w:rPr>
        <w:t>ľ</w:t>
      </w:r>
      <w:r w:rsidRPr="0035027D">
        <w:rPr>
          <w:rFonts w:eastAsiaTheme="minorHAnsi" w:cstheme="minorBidi"/>
          <w:szCs w:val="36"/>
          <w:lang w:eastAsia="en-US"/>
        </w:rPr>
        <w:t>om</w:t>
      </w:r>
      <w:r w:rsidR="00977BD9" w:rsidRPr="0035027D">
        <w:rPr>
          <w:rFonts w:eastAsiaTheme="minorHAnsi" w:cstheme="minorBidi"/>
          <w:szCs w:val="36"/>
          <w:lang w:eastAsia="en-US"/>
        </w:rPr>
        <w:t xml:space="preserve"> </w:t>
      </w:r>
      <w:r w:rsidRPr="0035027D">
        <w:rPr>
          <w:rFonts w:eastAsiaTheme="minorHAnsi" w:cstheme="minorBidi"/>
          <w:szCs w:val="36"/>
          <w:lang w:eastAsia="en-US"/>
        </w:rPr>
        <w:t>eliminova</w:t>
      </w:r>
      <w:r w:rsidRPr="0035027D">
        <w:rPr>
          <w:rFonts w:eastAsiaTheme="minorHAnsi" w:cs="Times New Roman"/>
          <w:szCs w:val="36"/>
          <w:lang w:eastAsia="en-US"/>
        </w:rPr>
        <w:t>ť</w:t>
      </w:r>
      <w:r w:rsidRPr="0035027D">
        <w:rPr>
          <w:rFonts w:eastAsiaTheme="minorHAnsi" w:cstheme="minorBidi"/>
          <w:szCs w:val="36"/>
          <w:lang w:eastAsia="en-US"/>
        </w:rPr>
        <w:t xml:space="preserve"> korup</w:t>
      </w:r>
      <w:r w:rsidRPr="0035027D">
        <w:rPr>
          <w:rFonts w:eastAsiaTheme="minorHAnsi" w:cs="Times New Roman"/>
          <w:szCs w:val="36"/>
          <w:lang w:eastAsia="en-US"/>
        </w:rPr>
        <w:t>č</w:t>
      </w:r>
      <w:r w:rsidRPr="0035027D">
        <w:rPr>
          <w:rFonts w:eastAsiaTheme="minorHAnsi" w:cstheme="minorBidi"/>
          <w:szCs w:val="36"/>
          <w:lang w:eastAsia="en-US"/>
        </w:rPr>
        <w:t>né správanie vo vnútri finan</w:t>
      </w:r>
      <w:r w:rsidRPr="0035027D">
        <w:rPr>
          <w:rFonts w:eastAsiaTheme="minorHAnsi" w:cs="Times New Roman"/>
          <w:szCs w:val="36"/>
          <w:lang w:eastAsia="en-US"/>
        </w:rPr>
        <w:t>č</w:t>
      </w:r>
      <w:r w:rsidRPr="0035027D">
        <w:rPr>
          <w:rFonts w:eastAsiaTheme="minorHAnsi" w:cstheme="minorBidi"/>
          <w:szCs w:val="36"/>
          <w:lang w:eastAsia="en-US"/>
        </w:rPr>
        <w:t>nej správy.</w:t>
      </w:r>
      <w:r w:rsidR="00977BD9" w:rsidRPr="0035027D">
        <w:rPr>
          <w:rFonts w:eastAsiaTheme="minorHAnsi" w:cstheme="minorBidi"/>
          <w:szCs w:val="36"/>
          <w:lang w:eastAsia="en-US"/>
        </w:rPr>
        <w:t xml:space="preserve"> </w:t>
      </w:r>
      <w:r w:rsidRPr="0035027D">
        <w:rPr>
          <w:rFonts w:eastAsiaTheme="minorHAnsi" w:cstheme="minorBidi"/>
          <w:szCs w:val="36"/>
          <w:lang w:eastAsia="en-US"/>
        </w:rPr>
        <w:t>Bola zriadená Da</w:t>
      </w:r>
      <w:r w:rsidRPr="0035027D">
        <w:rPr>
          <w:rFonts w:eastAsiaTheme="minorHAnsi" w:cs="Times New Roman"/>
          <w:szCs w:val="36"/>
          <w:lang w:eastAsia="en-US"/>
        </w:rPr>
        <w:t>ň</w:t>
      </w:r>
      <w:r w:rsidRPr="0035027D">
        <w:rPr>
          <w:rFonts w:eastAsiaTheme="minorHAnsi" w:cstheme="minorBidi"/>
          <w:szCs w:val="36"/>
          <w:lang w:eastAsia="en-US"/>
        </w:rPr>
        <w:t>ová kobra, špeciálna jednotka na riešenie záva</w:t>
      </w:r>
      <w:r w:rsidRPr="0035027D">
        <w:rPr>
          <w:rFonts w:eastAsiaTheme="minorHAnsi" w:cs="Times New Roman"/>
          <w:szCs w:val="36"/>
          <w:lang w:eastAsia="en-US"/>
        </w:rPr>
        <w:t>ž</w:t>
      </w:r>
      <w:r w:rsidRPr="0035027D">
        <w:rPr>
          <w:rFonts w:eastAsiaTheme="minorHAnsi" w:cstheme="minorBidi"/>
          <w:szCs w:val="36"/>
          <w:lang w:eastAsia="en-US"/>
        </w:rPr>
        <w:t>nej da</w:t>
      </w:r>
      <w:r w:rsidRPr="0035027D">
        <w:rPr>
          <w:rFonts w:eastAsiaTheme="minorHAnsi" w:cs="Times New Roman"/>
          <w:szCs w:val="36"/>
          <w:lang w:eastAsia="en-US"/>
        </w:rPr>
        <w:t>ň</w:t>
      </w:r>
      <w:r w:rsidRPr="0035027D">
        <w:rPr>
          <w:rFonts w:eastAsiaTheme="minorHAnsi" w:cstheme="minorBidi"/>
          <w:szCs w:val="36"/>
          <w:lang w:eastAsia="en-US"/>
        </w:rPr>
        <w:t xml:space="preserve">ovej trestnej </w:t>
      </w:r>
      <w:r w:rsidRPr="0035027D">
        <w:rPr>
          <w:rFonts w:eastAsiaTheme="minorHAnsi" w:cs="Times New Roman"/>
          <w:szCs w:val="36"/>
          <w:lang w:eastAsia="en-US"/>
        </w:rPr>
        <w:t>č</w:t>
      </w:r>
      <w:r w:rsidRPr="0035027D">
        <w:rPr>
          <w:rFonts w:eastAsiaTheme="minorHAnsi" w:cstheme="minorBidi"/>
          <w:szCs w:val="36"/>
          <w:lang w:eastAsia="en-US"/>
        </w:rPr>
        <w:t>innosti a zmenila sa organiza</w:t>
      </w:r>
      <w:r w:rsidRPr="0035027D">
        <w:rPr>
          <w:rFonts w:eastAsiaTheme="minorHAnsi" w:cs="Times New Roman"/>
          <w:szCs w:val="36"/>
          <w:lang w:eastAsia="en-US"/>
        </w:rPr>
        <w:t>č</w:t>
      </w:r>
      <w:r w:rsidRPr="0035027D">
        <w:rPr>
          <w:rFonts w:eastAsiaTheme="minorHAnsi" w:cstheme="minorBidi"/>
          <w:szCs w:val="36"/>
          <w:lang w:eastAsia="en-US"/>
        </w:rPr>
        <w:t>ná štruktúra policajného zboru s cie</w:t>
      </w:r>
      <w:r w:rsidRPr="0035027D">
        <w:rPr>
          <w:rFonts w:eastAsiaTheme="minorHAnsi" w:cs="Times New Roman"/>
          <w:szCs w:val="36"/>
          <w:lang w:eastAsia="en-US"/>
        </w:rPr>
        <w:t>ľ</w:t>
      </w:r>
      <w:r w:rsidRPr="0035027D">
        <w:rPr>
          <w:rFonts w:eastAsiaTheme="minorHAnsi" w:cstheme="minorBidi"/>
          <w:szCs w:val="36"/>
          <w:lang w:eastAsia="en-US"/>
        </w:rPr>
        <w:t>om vytvorenia špecializovaných pracovísk pre boj so záva</w:t>
      </w:r>
      <w:r w:rsidRPr="0035027D">
        <w:rPr>
          <w:rFonts w:eastAsiaTheme="minorHAnsi" w:cs="Times New Roman"/>
          <w:szCs w:val="36"/>
          <w:lang w:eastAsia="en-US"/>
        </w:rPr>
        <w:t>ž</w:t>
      </w:r>
      <w:r w:rsidRPr="0035027D">
        <w:rPr>
          <w:rFonts w:eastAsiaTheme="minorHAnsi" w:cstheme="minorBidi"/>
          <w:szCs w:val="36"/>
          <w:lang w:eastAsia="en-US"/>
        </w:rPr>
        <w:t xml:space="preserve">nou hospodárskou trestnou </w:t>
      </w:r>
      <w:r w:rsidRPr="0035027D">
        <w:rPr>
          <w:rFonts w:eastAsiaTheme="minorHAnsi" w:cs="Times New Roman"/>
          <w:szCs w:val="36"/>
          <w:lang w:eastAsia="en-US"/>
        </w:rPr>
        <w:t>č</w:t>
      </w:r>
      <w:r w:rsidRPr="0035027D">
        <w:rPr>
          <w:rFonts w:eastAsiaTheme="minorHAnsi" w:cstheme="minorBidi"/>
          <w:szCs w:val="36"/>
          <w:lang w:eastAsia="en-US"/>
        </w:rPr>
        <w:t>innos</w:t>
      </w:r>
      <w:r w:rsidRPr="0035027D">
        <w:rPr>
          <w:rFonts w:eastAsiaTheme="minorHAnsi" w:cs="Times New Roman"/>
          <w:szCs w:val="36"/>
          <w:lang w:eastAsia="en-US"/>
        </w:rPr>
        <w:t>ť</w:t>
      </w:r>
      <w:r w:rsidRPr="0035027D">
        <w:rPr>
          <w:rFonts w:eastAsiaTheme="minorHAnsi" w:cstheme="minorBidi"/>
          <w:szCs w:val="36"/>
          <w:lang w:eastAsia="en-US"/>
        </w:rPr>
        <w:t xml:space="preserve">ou. </w:t>
      </w:r>
    </w:p>
    <w:p w:rsidR="00794D1F" w:rsidRPr="0035027D" w:rsidRDefault="00794D1F" w:rsidP="00AC015D">
      <w:pPr>
        <w:spacing w:after="0"/>
        <w:rPr>
          <w:color w:val="000000"/>
        </w:rPr>
      </w:pPr>
    </w:p>
    <w:p w:rsidR="00515596" w:rsidRPr="0035027D" w:rsidRDefault="00416C56" w:rsidP="00AC015D">
      <w:pPr>
        <w:spacing w:after="0"/>
        <w:rPr>
          <w:color w:val="000000"/>
        </w:rPr>
      </w:pPr>
      <w:r w:rsidRPr="0035027D">
        <w:rPr>
          <w:color w:val="000000"/>
        </w:rPr>
        <w:t>N</w:t>
      </w:r>
      <w:r w:rsidR="00515596" w:rsidRPr="0035027D">
        <w:rPr>
          <w:color w:val="000000"/>
        </w:rPr>
        <w:t xml:space="preserve">ovely zákonov o sociálnom a zdravotnom poistení </w:t>
      </w:r>
      <w:r w:rsidR="006359CC" w:rsidRPr="0035027D">
        <w:rPr>
          <w:color w:val="000000"/>
        </w:rPr>
        <w:t>do ve</w:t>
      </w:r>
      <w:r w:rsidR="006359CC" w:rsidRPr="0035027D">
        <w:rPr>
          <w:rFonts w:cs="Times New Roman"/>
          <w:color w:val="000000"/>
        </w:rPr>
        <w:t>ľ</w:t>
      </w:r>
      <w:r w:rsidR="006359CC" w:rsidRPr="0035027D">
        <w:rPr>
          <w:color w:val="000000"/>
        </w:rPr>
        <w:t xml:space="preserve">kej miery </w:t>
      </w:r>
      <w:r w:rsidR="00515596" w:rsidRPr="0035027D">
        <w:rPr>
          <w:b/>
          <w:color w:val="000000"/>
        </w:rPr>
        <w:t>zrovnoprávňujú odvodové zaťaženie príjmov</w:t>
      </w:r>
      <w:r w:rsidR="00515596" w:rsidRPr="0035027D">
        <w:rPr>
          <w:color w:val="000000"/>
        </w:rPr>
        <w:t xml:space="preserve"> z dohôd a príjmov SZ</w:t>
      </w:r>
      <w:r w:rsidR="00515596" w:rsidRPr="0035027D">
        <w:rPr>
          <w:rFonts w:cs="Times New Roman"/>
          <w:color w:val="000000"/>
        </w:rPr>
        <w:t>Č</w:t>
      </w:r>
      <w:r w:rsidR="00515596" w:rsidRPr="0035027D">
        <w:rPr>
          <w:color w:val="000000"/>
        </w:rPr>
        <w:t xml:space="preserve">O s príjmami zo zamestnania. </w:t>
      </w:r>
      <w:r w:rsidR="00BC5B9C" w:rsidRPr="0035027D">
        <w:rPr>
          <w:color w:val="000000"/>
        </w:rPr>
        <w:t>Výnimkou v odvodovom za</w:t>
      </w:r>
      <w:r w:rsidR="00BC5B9C" w:rsidRPr="0035027D">
        <w:rPr>
          <w:rFonts w:cs="Times New Roman"/>
          <w:color w:val="000000"/>
        </w:rPr>
        <w:t>ť</w:t>
      </w:r>
      <w:r w:rsidR="00BC5B9C" w:rsidRPr="0035027D">
        <w:rPr>
          <w:color w:val="000000"/>
        </w:rPr>
        <w:t>a</w:t>
      </w:r>
      <w:r w:rsidR="00BC5B9C" w:rsidRPr="0035027D">
        <w:rPr>
          <w:rFonts w:cs="Times New Roman"/>
          <w:color w:val="000000"/>
        </w:rPr>
        <w:t>ž</w:t>
      </w:r>
      <w:r w:rsidR="00BC5B9C" w:rsidRPr="0035027D">
        <w:rPr>
          <w:color w:val="000000"/>
        </w:rPr>
        <w:t xml:space="preserve">ení príjmov z dohôd budú </w:t>
      </w:r>
      <w:r w:rsidRPr="0035027D">
        <w:rPr>
          <w:color w:val="000000"/>
        </w:rPr>
        <w:t>ma</w:t>
      </w:r>
      <w:r w:rsidRPr="0035027D">
        <w:rPr>
          <w:rFonts w:cs="Times New Roman"/>
          <w:color w:val="000000"/>
        </w:rPr>
        <w:t>ť</w:t>
      </w:r>
      <w:r w:rsidRPr="0035027D">
        <w:rPr>
          <w:color w:val="000000"/>
        </w:rPr>
        <w:t xml:space="preserve"> </w:t>
      </w:r>
      <w:r w:rsidR="00BC5B9C" w:rsidRPr="0035027D">
        <w:rPr>
          <w:color w:val="000000"/>
        </w:rPr>
        <w:t>aj na</w:t>
      </w:r>
      <w:r w:rsidR="00BC5B9C" w:rsidRPr="0035027D">
        <w:rPr>
          <w:rFonts w:cs="Times New Roman"/>
          <w:color w:val="000000"/>
        </w:rPr>
        <w:t>ď</w:t>
      </w:r>
      <w:r w:rsidR="00BC5B9C" w:rsidRPr="0035027D">
        <w:rPr>
          <w:color w:val="000000"/>
        </w:rPr>
        <w:t xml:space="preserve">alej </w:t>
      </w:r>
      <w:r w:rsidRPr="0035027D">
        <w:rPr>
          <w:color w:val="000000"/>
        </w:rPr>
        <w:t>študenti</w:t>
      </w:r>
      <w:r w:rsidR="00BC5B9C" w:rsidRPr="0035027D">
        <w:rPr>
          <w:color w:val="000000"/>
        </w:rPr>
        <w:t xml:space="preserve"> stredných škôl a </w:t>
      </w:r>
      <w:r w:rsidRPr="0035027D">
        <w:rPr>
          <w:color w:val="000000"/>
        </w:rPr>
        <w:t>denného štúdia vysokých</w:t>
      </w:r>
      <w:r w:rsidR="00BC5B9C" w:rsidRPr="0035027D">
        <w:rPr>
          <w:color w:val="000000"/>
        </w:rPr>
        <w:t xml:space="preserve"> šk</w:t>
      </w:r>
      <w:r w:rsidRPr="0035027D">
        <w:rPr>
          <w:color w:val="000000"/>
        </w:rPr>
        <w:t>ô</w:t>
      </w:r>
      <w:r w:rsidR="00BC5B9C" w:rsidRPr="0035027D">
        <w:rPr>
          <w:color w:val="000000"/>
        </w:rPr>
        <w:t>l, ktorých príjem u jedného zamestnávate</w:t>
      </w:r>
      <w:r w:rsidR="00BC5B9C" w:rsidRPr="0035027D">
        <w:rPr>
          <w:rFonts w:cs="Times New Roman"/>
          <w:color w:val="000000"/>
        </w:rPr>
        <w:t>ľ</w:t>
      </w:r>
      <w:r w:rsidR="00BC5B9C" w:rsidRPr="0035027D">
        <w:rPr>
          <w:color w:val="000000"/>
        </w:rPr>
        <w:t xml:space="preserve">a za mesiac nepresiahne 66 eur (do konca kalendárneho mesiaca, v ktorom </w:t>
      </w:r>
      <w:r w:rsidR="00BC5B9C" w:rsidRPr="0035027D">
        <w:rPr>
          <w:rFonts w:cs="Times New Roman"/>
          <w:color w:val="000000"/>
        </w:rPr>
        <w:t>ž</w:t>
      </w:r>
      <w:r w:rsidR="00BC5B9C" w:rsidRPr="0035027D">
        <w:rPr>
          <w:color w:val="000000"/>
        </w:rPr>
        <w:t>iak dov</w:t>
      </w:r>
      <w:r w:rsidR="00BC5B9C" w:rsidRPr="0035027D">
        <w:rPr>
          <w:rFonts w:cs="Times New Roman"/>
          <w:color w:val="000000"/>
        </w:rPr>
        <w:t>ŕ</w:t>
      </w:r>
      <w:r w:rsidR="00BC5B9C" w:rsidRPr="0035027D">
        <w:rPr>
          <w:color w:val="000000"/>
        </w:rPr>
        <w:t>ši 18 rokov veku), resp. 155 eur (do konca kalendárneho roka, v ktorom študent dov</w:t>
      </w:r>
      <w:r w:rsidR="00BC5B9C" w:rsidRPr="0035027D">
        <w:rPr>
          <w:rFonts w:cs="Times New Roman"/>
          <w:color w:val="000000"/>
        </w:rPr>
        <w:t>ŕ</w:t>
      </w:r>
      <w:r w:rsidR="00BC5B9C" w:rsidRPr="0035027D">
        <w:rPr>
          <w:color w:val="000000"/>
        </w:rPr>
        <w:t xml:space="preserve">ši 26 rokov veku). </w:t>
      </w:r>
      <w:r w:rsidR="00BC5B9C" w:rsidRPr="0035027D">
        <w:rPr>
          <w:rFonts w:cs="Times New Roman"/>
          <w:color w:val="000000"/>
        </w:rPr>
        <w:t>Č</w:t>
      </w:r>
      <w:r w:rsidR="00BC5B9C" w:rsidRPr="0035027D">
        <w:rPr>
          <w:color w:val="000000"/>
        </w:rPr>
        <w:t>iasto</w:t>
      </w:r>
      <w:r w:rsidR="00BC5B9C" w:rsidRPr="0035027D">
        <w:rPr>
          <w:rFonts w:cs="Times New Roman"/>
          <w:color w:val="000000"/>
        </w:rPr>
        <w:t>č</w:t>
      </w:r>
      <w:r w:rsidR="00BC5B9C" w:rsidRPr="0035027D">
        <w:rPr>
          <w:color w:val="000000"/>
        </w:rPr>
        <w:t>né výnimky v odvodovom za</w:t>
      </w:r>
      <w:r w:rsidR="00BC5B9C" w:rsidRPr="0035027D">
        <w:rPr>
          <w:rFonts w:cs="Times New Roman"/>
          <w:color w:val="000000"/>
        </w:rPr>
        <w:t>ť</w:t>
      </w:r>
      <w:r w:rsidR="00BC5B9C" w:rsidRPr="0035027D">
        <w:rPr>
          <w:color w:val="000000"/>
        </w:rPr>
        <w:t>a</w:t>
      </w:r>
      <w:r w:rsidR="00BC5B9C" w:rsidRPr="0035027D">
        <w:rPr>
          <w:rFonts w:cs="Times New Roman"/>
          <w:color w:val="000000"/>
        </w:rPr>
        <w:t>ž</w:t>
      </w:r>
      <w:r w:rsidR="00BC5B9C" w:rsidRPr="0035027D">
        <w:rPr>
          <w:color w:val="000000"/>
        </w:rPr>
        <w:t>ení príjmov z dohôd zostanú aj u poberate</w:t>
      </w:r>
      <w:r w:rsidR="00BC5B9C" w:rsidRPr="0035027D">
        <w:rPr>
          <w:rFonts w:cs="Times New Roman"/>
          <w:color w:val="000000"/>
        </w:rPr>
        <w:t>ľ</w:t>
      </w:r>
      <w:r w:rsidR="00BC5B9C" w:rsidRPr="0035027D">
        <w:rPr>
          <w:color w:val="000000"/>
        </w:rPr>
        <w:t xml:space="preserve">ov starobných a invalidných dôchodkov, ktorí budú okrem iného oslobodení aj od platenia zdravotných odvodov. </w:t>
      </w:r>
      <w:r w:rsidR="00515596" w:rsidRPr="0035027D">
        <w:rPr>
          <w:color w:val="000000"/>
        </w:rPr>
        <w:t>V prípade SZ</w:t>
      </w:r>
      <w:r w:rsidR="00515596" w:rsidRPr="0035027D">
        <w:rPr>
          <w:rFonts w:cs="Times New Roman"/>
          <w:color w:val="000000"/>
        </w:rPr>
        <w:t>Č</w:t>
      </w:r>
      <w:r w:rsidR="00515596" w:rsidRPr="0035027D">
        <w:rPr>
          <w:color w:val="000000"/>
        </w:rPr>
        <w:t xml:space="preserve">O sa </w:t>
      </w:r>
      <w:proofErr w:type="spellStart"/>
      <w:r w:rsidR="00515596" w:rsidRPr="0035027D">
        <w:rPr>
          <w:color w:val="000000"/>
        </w:rPr>
        <w:t>úprav</w:t>
      </w:r>
      <w:r w:rsidRPr="0035027D">
        <w:rPr>
          <w:color w:val="000000"/>
        </w:rPr>
        <w:t>il</w:t>
      </w:r>
      <w:proofErr w:type="spellEnd"/>
      <w:r w:rsidR="00515596" w:rsidRPr="0035027D">
        <w:rPr>
          <w:color w:val="000000"/>
        </w:rPr>
        <w:t xml:space="preserve"> výpo</w:t>
      </w:r>
      <w:r w:rsidR="00515596" w:rsidRPr="0035027D">
        <w:rPr>
          <w:rFonts w:cs="Times New Roman"/>
          <w:color w:val="000000"/>
        </w:rPr>
        <w:t>č</w:t>
      </w:r>
      <w:r w:rsidRPr="0035027D">
        <w:rPr>
          <w:color w:val="000000"/>
        </w:rPr>
        <w:t>e</w:t>
      </w:r>
      <w:r w:rsidR="00515596" w:rsidRPr="0035027D">
        <w:rPr>
          <w:color w:val="000000"/>
        </w:rPr>
        <w:t>t vymeriavacích základov pre platenie odvodov, ktoré rovnako prispejú k zrovnoprávneniu za</w:t>
      </w:r>
      <w:r w:rsidR="00515596" w:rsidRPr="0035027D">
        <w:rPr>
          <w:rFonts w:cs="Times New Roman"/>
          <w:color w:val="000000"/>
        </w:rPr>
        <w:t>ť</w:t>
      </w:r>
      <w:r w:rsidR="00515596" w:rsidRPr="0035027D">
        <w:rPr>
          <w:color w:val="000000"/>
        </w:rPr>
        <w:t>a</w:t>
      </w:r>
      <w:r w:rsidR="00515596" w:rsidRPr="0035027D">
        <w:rPr>
          <w:rFonts w:cs="Times New Roman"/>
          <w:color w:val="000000"/>
        </w:rPr>
        <w:t>ž</w:t>
      </w:r>
      <w:r w:rsidR="00515596" w:rsidRPr="0035027D">
        <w:rPr>
          <w:color w:val="000000"/>
        </w:rPr>
        <w:t xml:space="preserve">enia príjmov z práce. Uvedené zmeny spolu s úpravou minimálneho vymeriavacieho základu (týka sa </w:t>
      </w:r>
      <w:r w:rsidR="008767F2" w:rsidRPr="0035027D">
        <w:rPr>
          <w:color w:val="000000"/>
        </w:rPr>
        <w:t xml:space="preserve">asi </w:t>
      </w:r>
      <w:r w:rsidR="00515596" w:rsidRPr="0035027D">
        <w:rPr>
          <w:color w:val="000000"/>
        </w:rPr>
        <w:t>8</w:t>
      </w:r>
      <w:r w:rsidR="005E1922" w:rsidRPr="0035027D">
        <w:rPr>
          <w:color w:val="000000"/>
        </w:rPr>
        <w:t>7 %</w:t>
      </w:r>
      <w:r w:rsidR="00515596" w:rsidRPr="0035027D">
        <w:rPr>
          <w:color w:val="000000"/>
        </w:rPr>
        <w:t xml:space="preserve"> SZ</w:t>
      </w:r>
      <w:r w:rsidR="00515596" w:rsidRPr="0035027D">
        <w:rPr>
          <w:rFonts w:cs="Times New Roman"/>
          <w:color w:val="000000"/>
        </w:rPr>
        <w:t>Č</w:t>
      </w:r>
      <w:r w:rsidR="00515596" w:rsidRPr="0035027D">
        <w:rPr>
          <w:color w:val="000000"/>
        </w:rPr>
        <w:t>O) prispejú k </w:t>
      </w:r>
      <w:r w:rsidR="00602929" w:rsidRPr="0035027D">
        <w:rPr>
          <w:color w:val="000000"/>
        </w:rPr>
        <w:t>zvýšeniu ich budúcich dôchodkových nárokov</w:t>
      </w:r>
      <w:r w:rsidR="00515596" w:rsidRPr="0035027D">
        <w:rPr>
          <w:color w:val="000000"/>
        </w:rPr>
        <w:t xml:space="preserve">. </w:t>
      </w:r>
      <w:r w:rsidR="00B97DEC" w:rsidRPr="0035027D">
        <w:rPr>
          <w:color w:val="000000"/>
        </w:rPr>
        <w:t>Novelou</w:t>
      </w:r>
      <w:r w:rsidR="00515596" w:rsidRPr="0035027D">
        <w:rPr>
          <w:color w:val="000000"/>
        </w:rPr>
        <w:t xml:space="preserve"> zákona o dani z</w:t>
      </w:r>
      <w:r w:rsidR="00B97DEC" w:rsidRPr="0035027D">
        <w:rPr>
          <w:color w:val="000000"/>
        </w:rPr>
        <w:t> </w:t>
      </w:r>
      <w:r w:rsidR="00515596" w:rsidRPr="0035027D">
        <w:rPr>
          <w:color w:val="000000"/>
        </w:rPr>
        <w:t>príjmov</w:t>
      </w:r>
      <w:r w:rsidR="00B97DEC" w:rsidRPr="0035027D">
        <w:rPr>
          <w:color w:val="000000"/>
        </w:rPr>
        <w:t xml:space="preserve"> sa tie</w:t>
      </w:r>
      <w:r w:rsidR="00B97DEC" w:rsidRPr="0035027D">
        <w:rPr>
          <w:rFonts w:cs="Times New Roman"/>
          <w:color w:val="000000"/>
        </w:rPr>
        <w:t>ž</w:t>
      </w:r>
      <w:r w:rsidR="00B97DEC" w:rsidRPr="0035027D">
        <w:rPr>
          <w:color w:val="000000"/>
        </w:rPr>
        <w:t xml:space="preserve"> zaviedli </w:t>
      </w:r>
      <w:r w:rsidR="008767F2" w:rsidRPr="0035027D">
        <w:rPr>
          <w:color w:val="000000"/>
        </w:rPr>
        <w:t xml:space="preserve">nominálne </w:t>
      </w:r>
      <w:r w:rsidR="00B97DEC" w:rsidRPr="0035027D">
        <w:rPr>
          <w:color w:val="000000"/>
        </w:rPr>
        <w:t>stropy</w:t>
      </w:r>
      <w:r w:rsidR="00515596" w:rsidRPr="0035027D">
        <w:rPr>
          <w:color w:val="000000"/>
        </w:rPr>
        <w:t xml:space="preserve"> pre uplat</w:t>
      </w:r>
      <w:r w:rsidR="00515596" w:rsidRPr="0035027D">
        <w:rPr>
          <w:rFonts w:cs="Times New Roman"/>
          <w:color w:val="000000"/>
        </w:rPr>
        <w:t>ň</w:t>
      </w:r>
      <w:r w:rsidR="00515596" w:rsidRPr="0035027D">
        <w:rPr>
          <w:color w:val="000000"/>
        </w:rPr>
        <w:t>ovanie paušálnych výdavkov.</w:t>
      </w:r>
    </w:p>
    <w:p w:rsidR="00515596" w:rsidRPr="0035027D" w:rsidRDefault="00515596" w:rsidP="00AC015D">
      <w:pPr>
        <w:spacing w:after="0"/>
        <w:rPr>
          <w:color w:val="000000"/>
        </w:rPr>
      </w:pPr>
    </w:p>
    <w:p w:rsidR="00C340BD" w:rsidRPr="0035027D" w:rsidRDefault="004D7084" w:rsidP="00AC015D">
      <w:pPr>
        <w:spacing w:after="0"/>
        <w:rPr>
          <w:color w:val="000000"/>
        </w:rPr>
      </w:pPr>
      <w:r w:rsidRPr="0035027D">
        <w:rPr>
          <w:b/>
          <w:color w:val="000000"/>
        </w:rPr>
        <w:t>R</w:t>
      </w:r>
      <w:r w:rsidR="00C96412" w:rsidRPr="0035027D">
        <w:rPr>
          <w:b/>
          <w:color w:val="000000"/>
        </w:rPr>
        <w:t>egistračn</w:t>
      </w:r>
      <w:r w:rsidRPr="0035027D">
        <w:rPr>
          <w:b/>
          <w:color w:val="000000"/>
        </w:rPr>
        <w:t>á</w:t>
      </w:r>
      <w:r w:rsidR="00C96412" w:rsidRPr="0035027D">
        <w:rPr>
          <w:b/>
          <w:color w:val="000000"/>
        </w:rPr>
        <w:t xml:space="preserve"> da</w:t>
      </w:r>
      <w:r w:rsidRPr="0035027D">
        <w:rPr>
          <w:b/>
          <w:color w:val="000000"/>
        </w:rPr>
        <w:t>ň</w:t>
      </w:r>
      <w:r w:rsidR="00C96412" w:rsidRPr="0035027D">
        <w:rPr>
          <w:b/>
          <w:color w:val="000000"/>
        </w:rPr>
        <w:t xml:space="preserve"> </w:t>
      </w:r>
      <w:r w:rsidR="00934765" w:rsidRPr="0035027D">
        <w:rPr>
          <w:b/>
          <w:color w:val="000000"/>
        </w:rPr>
        <w:t>na</w:t>
      </w:r>
      <w:r w:rsidR="00C96412" w:rsidRPr="0035027D">
        <w:rPr>
          <w:b/>
          <w:color w:val="000000"/>
        </w:rPr>
        <w:t> automobil</w:t>
      </w:r>
      <w:r w:rsidR="00934765" w:rsidRPr="0035027D">
        <w:rPr>
          <w:b/>
          <w:color w:val="000000"/>
        </w:rPr>
        <w:t>y</w:t>
      </w:r>
      <w:r w:rsidR="00C96412" w:rsidRPr="0035027D">
        <w:rPr>
          <w:color w:val="000000"/>
        </w:rPr>
        <w:t xml:space="preserve"> zvýšil</w:t>
      </w:r>
      <w:r w:rsidRPr="0035027D">
        <w:rPr>
          <w:color w:val="000000"/>
        </w:rPr>
        <w:t>a</w:t>
      </w:r>
      <w:r w:rsidR="00C96412" w:rsidRPr="0035027D">
        <w:rPr>
          <w:color w:val="000000"/>
        </w:rPr>
        <w:t xml:space="preserve"> podiel majetkových daní</w:t>
      </w:r>
      <w:r w:rsidR="00B279E6" w:rsidRPr="0035027D">
        <w:rPr>
          <w:color w:val="000000"/>
        </w:rPr>
        <w:t xml:space="preserve"> na da</w:t>
      </w:r>
      <w:r w:rsidR="00B279E6" w:rsidRPr="0035027D">
        <w:rPr>
          <w:rFonts w:cs="Times New Roman"/>
          <w:color w:val="000000"/>
        </w:rPr>
        <w:t>ň</w:t>
      </w:r>
      <w:r w:rsidR="00B279E6" w:rsidRPr="0035027D">
        <w:rPr>
          <w:color w:val="000000"/>
        </w:rPr>
        <w:t>ovom mixe</w:t>
      </w:r>
      <w:r w:rsidR="00C96412" w:rsidRPr="0035027D">
        <w:rPr>
          <w:color w:val="000000"/>
        </w:rPr>
        <w:t>. Ke</w:t>
      </w:r>
      <w:r w:rsidR="00C96412" w:rsidRPr="0035027D">
        <w:rPr>
          <w:rFonts w:cs="Times New Roman"/>
          <w:color w:val="000000"/>
        </w:rPr>
        <w:t>ďž</w:t>
      </w:r>
      <w:r w:rsidR="00C96412" w:rsidRPr="0035027D">
        <w:rPr>
          <w:color w:val="000000"/>
        </w:rPr>
        <w:t>e výška poplatku je naviazaná na výkon automobilu</w:t>
      </w:r>
      <w:r w:rsidR="006073E5" w:rsidRPr="0035027D">
        <w:rPr>
          <w:color w:val="000000"/>
        </w:rPr>
        <w:t xml:space="preserve"> a teda vo vä</w:t>
      </w:r>
      <w:r w:rsidR="006073E5" w:rsidRPr="0035027D">
        <w:rPr>
          <w:rFonts w:cs="Times New Roman"/>
          <w:color w:val="000000"/>
        </w:rPr>
        <w:t>č</w:t>
      </w:r>
      <w:r w:rsidR="006073E5" w:rsidRPr="0035027D">
        <w:rPr>
          <w:color w:val="000000"/>
        </w:rPr>
        <w:t xml:space="preserve">šine prípadov </w:t>
      </w:r>
      <w:r w:rsidR="008767F2" w:rsidRPr="0035027D">
        <w:rPr>
          <w:color w:val="000000"/>
        </w:rPr>
        <w:t xml:space="preserve">aj </w:t>
      </w:r>
      <w:r w:rsidR="006073E5" w:rsidRPr="0035027D">
        <w:rPr>
          <w:color w:val="000000"/>
        </w:rPr>
        <w:t>na jeho emisie</w:t>
      </w:r>
      <w:r w:rsidR="00C96412" w:rsidRPr="0035027D">
        <w:rPr>
          <w:color w:val="000000"/>
        </w:rPr>
        <w:t>, da</w:t>
      </w:r>
      <w:r w:rsidR="00C96412" w:rsidRPr="0035027D">
        <w:rPr>
          <w:rFonts w:cs="Times New Roman"/>
          <w:color w:val="000000"/>
        </w:rPr>
        <w:t>ň</w:t>
      </w:r>
      <w:r w:rsidR="00C96412" w:rsidRPr="0035027D">
        <w:rPr>
          <w:color w:val="000000"/>
        </w:rPr>
        <w:t xml:space="preserve"> </w:t>
      </w:r>
      <w:r w:rsidR="006073E5" w:rsidRPr="0035027D">
        <w:rPr>
          <w:color w:val="000000"/>
        </w:rPr>
        <w:t xml:space="preserve">má </w:t>
      </w:r>
      <w:r w:rsidR="00C96412" w:rsidRPr="0035027D">
        <w:rPr>
          <w:rFonts w:cs="Times New Roman"/>
          <w:color w:val="000000"/>
        </w:rPr>
        <w:t>č</w:t>
      </w:r>
      <w:r w:rsidR="00C96412" w:rsidRPr="0035027D">
        <w:rPr>
          <w:color w:val="000000"/>
        </w:rPr>
        <w:t>iasto</w:t>
      </w:r>
      <w:r w:rsidR="00C96412" w:rsidRPr="0035027D">
        <w:rPr>
          <w:rFonts w:cs="Times New Roman"/>
          <w:color w:val="000000"/>
        </w:rPr>
        <w:t>č</w:t>
      </w:r>
      <w:r w:rsidR="00C96412" w:rsidRPr="0035027D">
        <w:rPr>
          <w:color w:val="000000"/>
        </w:rPr>
        <w:t xml:space="preserve">ne aj </w:t>
      </w:r>
      <w:r w:rsidR="006073E5" w:rsidRPr="0035027D">
        <w:rPr>
          <w:color w:val="000000"/>
        </w:rPr>
        <w:t>environmentálnu funkciu. V rámci Európskej schémy obchodovania s emisiami sa uskuto</w:t>
      </w:r>
      <w:r w:rsidR="006073E5" w:rsidRPr="0035027D">
        <w:rPr>
          <w:rFonts w:cs="Times New Roman"/>
          <w:color w:val="000000"/>
        </w:rPr>
        <w:t>č</w:t>
      </w:r>
      <w:r w:rsidR="006073E5" w:rsidRPr="0035027D">
        <w:rPr>
          <w:color w:val="000000"/>
        </w:rPr>
        <w:t>nil</w:t>
      </w:r>
      <w:r w:rsidR="00B66761" w:rsidRPr="0035027D">
        <w:rPr>
          <w:color w:val="000000"/>
        </w:rPr>
        <w:t>i prvé aukcie emisných kvót</w:t>
      </w:r>
      <w:r w:rsidR="006073E5" w:rsidRPr="0035027D">
        <w:rPr>
          <w:color w:val="000000"/>
        </w:rPr>
        <w:t xml:space="preserve"> pre zapojené inštalácie.</w:t>
      </w:r>
      <w:r w:rsidR="00B66761" w:rsidRPr="0035027D">
        <w:rPr>
          <w:color w:val="000000"/>
        </w:rPr>
        <w:t xml:space="preserve"> SR na rozdiel od niektorých nových </w:t>
      </w:r>
      <w:r w:rsidR="00B66761" w:rsidRPr="0035027D">
        <w:rPr>
          <w:rFonts w:cs="Times New Roman"/>
          <w:color w:val="000000"/>
        </w:rPr>
        <w:t>č</w:t>
      </w:r>
      <w:r w:rsidR="00B66761" w:rsidRPr="0035027D">
        <w:rPr>
          <w:color w:val="000000"/>
        </w:rPr>
        <w:t>lenských krajín nepristúpila k</w:t>
      </w:r>
      <w:r w:rsidR="00C340BD" w:rsidRPr="0035027D">
        <w:rPr>
          <w:color w:val="000000"/>
        </w:rPr>
        <w:t> mo</w:t>
      </w:r>
      <w:r w:rsidR="00C340BD" w:rsidRPr="0035027D">
        <w:rPr>
          <w:rFonts w:cs="Times New Roman"/>
          <w:color w:val="000000"/>
        </w:rPr>
        <w:t>ž</w:t>
      </w:r>
      <w:r w:rsidR="00C340BD" w:rsidRPr="0035027D">
        <w:rPr>
          <w:color w:val="000000"/>
        </w:rPr>
        <w:t xml:space="preserve">nosti </w:t>
      </w:r>
      <w:r w:rsidR="00C340BD" w:rsidRPr="0035027D">
        <w:rPr>
          <w:rFonts w:cs="Times New Roman"/>
          <w:color w:val="000000"/>
        </w:rPr>
        <w:t>ď</w:t>
      </w:r>
      <w:r w:rsidR="00C340BD" w:rsidRPr="0035027D">
        <w:rPr>
          <w:color w:val="000000"/>
        </w:rPr>
        <w:t>alej alokova</w:t>
      </w:r>
      <w:r w:rsidR="00C340BD" w:rsidRPr="0035027D">
        <w:rPr>
          <w:rFonts w:cs="Times New Roman"/>
          <w:color w:val="000000"/>
        </w:rPr>
        <w:t>ť</w:t>
      </w:r>
      <w:r w:rsidR="00C340BD" w:rsidRPr="0035027D">
        <w:rPr>
          <w:color w:val="000000"/>
        </w:rPr>
        <w:t xml:space="preserve"> ve</w:t>
      </w:r>
      <w:r w:rsidR="00C340BD" w:rsidRPr="0035027D">
        <w:rPr>
          <w:rFonts w:cs="Times New Roman"/>
          <w:color w:val="000000"/>
        </w:rPr>
        <w:t>ľ</w:t>
      </w:r>
      <w:r w:rsidR="00C340BD" w:rsidRPr="0035027D">
        <w:rPr>
          <w:color w:val="000000"/>
        </w:rPr>
        <w:t xml:space="preserve">kú </w:t>
      </w:r>
      <w:r w:rsidR="00C340BD" w:rsidRPr="0035027D">
        <w:rPr>
          <w:rFonts w:cs="Times New Roman"/>
          <w:color w:val="000000"/>
        </w:rPr>
        <w:t>č</w:t>
      </w:r>
      <w:r w:rsidR="00C340BD" w:rsidRPr="0035027D">
        <w:rPr>
          <w:color w:val="000000"/>
        </w:rPr>
        <w:t>as</w:t>
      </w:r>
      <w:r w:rsidR="00C340BD" w:rsidRPr="0035027D">
        <w:rPr>
          <w:rFonts w:cs="Times New Roman"/>
          <w:color w:val="000000"/>
        </w:rPr>
        <w:t>ť</w:t>
      </w:r>
      <w:r w:rsidR="00C340BD" w:rsidRPr="0035027D">
        <w:rPr>
          <w:color w:val="000000"/>
        </w:rPr>
        <w:t xml:space="preserve"> povoleniek pre energetický sektor zadarmo</w:t>
      </w:r>
      <w:r w:rsidR="00B66761" w:rsidRPr="0035027D">
        <w:rPr>
          <w:color w:val="000000"/>
        </w:rPr>
        <w:t>.</w:t>
      </w:r>
      <w:r w:rsidR="006073E5" w:rsidRPr="0035027D">
        <w:rPr>
          <w:color w:val="000000"/>
        </w:rPr>
        <w:t xml:space="preserve"> Od roku 2013</w:t>
      </w:r>
      <w:r w:rsidR="00C340BD" w:rsidRPr="0035027D">
        <w:rPr>
          <w:color w:val="000000"/>
        </w:rPr>
        <w:t xml:space="preserve"> tak</w:t>
      </w:r>
      <w:r w:rsidR="006073E5" w:rsidRPr="0035027D">
        <w:rPr>
          <w:color w:val="000000"/>
        </w:rPr>
        <w:t xml:space="preserve"> bude vä</w:t>
      </w:r>
      <w:r w:rsidR="006073E5" w:rsidRPr="0035027D">
        <w:rPr>
          <w:rFonts w:cs="Times New Roman"/>
          <w:color w:val="000000"/>
        </w:rPr>
        <w:t>č</w:t>
      </w:r>
      <w:r w:rsidR="006073E5" w:rsidRPr="0035027D">
        <w:rPr>
          <w:color w:val="000000"/>
        </w:rPr>
        <w:t xml:space="preserve">šina </w:t>
      </w:r>
      <w:r w:rsidR="00B66761" w:rsidRPr="0035027D">
        <w:rPr>
          <w:color w:val="000000"/>
        </w:rPr>
        <w:t xml:space="preserve">kvót </w:t>
      </w:r>
      <w:proofErr w:type="spellStart"/>
      <w:r w:rsidR="00B66761" w:rsidRPr="0035027D">
        <w:rPr>
          <w:color w:val="000000"/>
        </w:rPr>
        <w:t>aukciovaná</w:t>
      </w:r>
      <w:proofErr w:type="spellEnd"/>
      <w:r w:rsidR="00B66761" w:rsidRPr="0035027D">
        <w:rPr>
          <w:color w:val="000000"/>
        </w:rPr>
        <w:t xml:space="preserve">, </w:t>
      </w:r>
      <w:r w:rsidR="00B66761" w:rsidRPr="0035027D">
        <w:rPr>
          <w:rFonts w:cs="Times New Roman"/>
          <w:color w:val="000000"/>
        </w:rPr>
        <w:t>č</w:t>
      </w:r>
      <w:r w:rsidR="00B66761" w:rsidRPr="0035027D">
        <w:rPr>
          <w:color w:val="000000"/>
        </w:rPr>
        <w:t xml:space="preserve">ím sa </w:t>
      </w:r>
      <w:proofErr w:type="spellStart"/>
      <w:r w:rsidR="00B66761" w:rsidRPr="0035027D">
        <w:rPr>
          <w:color w:val="000000"/>
        </w:rPr>
        <w:t>de-facto</w:t>
      </w:r>
      <w:proofErr w:type="spellEnd"/>
      <w:r w:rsidR="00B66761" w:rsidRPr="0035027D">
        <w:rPr>
          <w:color w:val="000000"/>
        </w:rPr>
        <w:t xml:space="preserve"> spoplatnia emisie CO</w:t>
      </w:r>
      <w:r w:rsidR="00B66761" w:rsidRPr="0035027D">
        <w:rPr>
          <w:color w:val="000000"/>
          <w:vertAlign w:val="subscript"/>
        </w:rPr>
        <w:t>2</w:t>
      </w:r>
      <w:r w:rsidR="00B66761" w:rsidRPr="0035027D">
        <w:rPr>
          <w:color w:val="000000"/>
        </w:rPr>
        <w:t xml:space="preserve"> v ETS.</w:t>
      </w:r>
      <w:r w:rsidR="002715CA" w:rsidRPr="0035027D">
        <w:rPr>
          <w:color w:val="000000"/>
        </w:rPr>
        <w:t xml:space="preserve"> </w:t>
      </w:r>
    </w:p>
    <w:p w:rsidR="00515596" w:rsidRPr="0035027D" w:rsidRDefault="00515596" w:rsidP="00AC015D">
      <w:pPr>
        <w:spacing w:after="0"/>
        <w:rPr>
          <w:lang w:eastAsia="en-US"/>
        </w:rPr>
      </w:pPr>
    </w:p>
    <w:p w:rsidR="00AC015D" w:rsidRPr="0035027D" w:rsidRDefault="0092093C" w:rsidP="00AC015D">
      <w:pPr>
        <w:spacing w:after="0"/>
        <w:rPr>
          <w:lang w:eastAsia="en-US"/>
        </w:rPr>
      </w:pPr>
      <w:r w:rsidRPr="0035027D">
        <w:rPr>
          <w:i/>
        </w:rPr>
        <w:t>K plneniu odporúčania prispejú aj ďalšie opatrenia d</w:t>
      </w:r>
      <w:r w:rsidR="00214A67" w:rsidRPr="0035027D">
        <w:rPr>
          <w:i/>
        </w:rPr>
        <w:t xml:space="preserve">etailnejšie opísané v kapitole </w:t>
      </w:r>
      <w:r w:rsidR="002E49B3" w:rsidRPr="0035027D">
        <w:rPr>
          <w:i/>
        </w:rPr>
        <w:t>4</w:t>
      </w:r>
      <w:r w:rsidR="00214A67" w:rsidRPr="0035027D">
        <w:rPr>
          <w:i/>
        </w:rPr>
        <w:t>.1</w:t>
      </w:r>
      <w:r w:rsidRPr="0035027D">
        <w:rPr>
          <w:i/>
        </w:rPr>
        <w:t xml:space="preserve"> a akčnom pláne.</w:t>
      </w:r>
    </w:p>
    <w:p w:rsidR="00EA2C0E" w:rsidRPr="0035027D" w:rsidRDefault="00EA2C0E" w:rsidP="00AC015D">
      <w:pPr>
        <w:spacing w:after="0"/>
        <w:rPr>
          <w:lang w:eastAsia="en-US"/>
        </w:rPr>
      </w:pPr>
    </w:p>
    <w:p w:rsidR="009204DB" w:rsidRPr="0035027D" w:rsidRDefault="009204DB" w:rsidP="00AC015D">
      <w:pPr>
        <w:spacing w:after="0"/>
        <w:rPr>
          <w:lang w:eastAsia="en-US"/>
        </w:rPr>
      </w:pPr>
    </w:p>
    <w:p w:rsidR="00515596" w:rsidRPr="0035027D" w:rsidRDefault="00515596" w:rsidP="003C29D5">
      <w:pPr>
        <w:pStyle w:val="Odsekzoznamu"/>
        <w:numPr>
          <w:ilvl w:val="0"/>
          <w:numId w:val="3"/>
        </w:numPr>
        <w:spacing w:after="0" w:line="240" w:lineRule="auto"/>
        <w:ind w:left="284" w:hanging="284"/>
        <w:jc w:val="both"/>
        <w:rPr>
          <w:rFonts w:ascii="Arial Narrow" w:hAnsi="Arial Narrow"/>
          <w:b/>
        </w:rPr>
      </w:pPr>
      <w:r w:rsidRPr="0035027D">
        <w:rPr>
          <w:rFonts w:ascii="Arial Narrow" w:hAnsi="Arial Narrow"/>
          <w:b/>
        </w:rPr>
        <w:t>Dôchodkový systém</w:t>
      </w:r>
    </w:p>
    <w:p w:rsidR="00515596" w:rsidRPr="0035027D" w:rsidRDefault="00515596" w:rsidP="00AC015D">
      <w:pPr>
        <w:spacing w:after="0"/>
        <w:rPr>
          <w:color w:val="000000"/>
        </w:rPr>
      </w:pPr>
    </w:p>
    <w:p w:rsidR="00515596" w:rsidRPr="0035027D" w:rsidRDefault="00EC78A4" w:rsidP="00AC015D">
      <w:pPr>
        <w:spacing w:after="0"/>
        <w:contextualSpacing/>
        <w:rPr>
          <w:b/>
          <w:i/>
          <w:szCs w:val="36"/>
          <w:lang w:eastAsia="en-US"/>
        </w:rPr>
      </w:pPr>
      <w:r w:rsidRPr="0035027D">
        <w:rPr>
          <w:b/>
          <w:i/>
          <w:szCs w:val="36"/>
          <w:lang w:eastAsia="en-US"/>
        </w:rPr>
        <w:t xml:space="preserve">(CSR3) </w:t>
      </w:r>
      <w:r w:rsidR="00515596" w:rsidRPr="0035027D">
        <w:rPr>
          <w:b/>
          <w:i/>
          <w:szCs w:val="36"/>
          <w:lang w:eastAsia="en-US"/>
        </w:rPr>
        <w:t>Ďalej upraviť priebežne financovaný dôchodkový pilier, najmä zmenou mechanizmu indexácie, priamym prepojením zákonného veku odchodu do dôchodku so strednou dĺžkou života a zavedením faktora udržateľnosti do vzorca na výpočet dôchodku, v ktorom sa premietne demografická zmena. Zabezpečiť stabilitu a životaschopnosť plne kapitalizačného piliera.</w:t>
      </w:r>
    </w:p>
    <w:p w:rsidR="00515596" w:rsidRPr="0035027D" w:rsidRDefault="00515596" w:rsidP="00AC015D">
      <w:pPr>
        <w:spacing w:after="0"/>
        <w:contextualSpacing/>
        <w:rPr>
          <w:szCs w:val="36"/>
          <w:lang w:eastAsia="en-US"/>
        </w:rPr>
      </w:pPr>
    </w:p>
    <w:p w:rsidR="00515596" w:rsidRPr="0035027D" w:rsidRDefault="005709A1" w:rsidP="00AC015D">
      <w:pPr>
        <w:spacing w:after="0"/>
      </w:pPr>
      <w:r w:rsidRPr="0035027D">
        <w:t>Prijaté zmeny v</w:t>
      </w:r>
      <w:r w:rsidR="00515596" w:rsidRPr="0035027D">
        <w:t xml:space="preserve"> </w:t>
      </w:r>
      <w:r w:rsidR="00515596" w:rsidRPr="0035027D">
        <w:rPr>
          <w:b/>
        </w:rPr>
        <w:t>dôchodkovom systéme</w:t>
      </w:r>
      <w:r w:rsidR="00515596" w:rsidRPr="0035027D">
        <w:t xml:space="preserve"> zvýšili jeho dlhodobú udr</w:t>
      </w:r>
      <w:r w:rsidR="00515596" w:rsidRPr="0035027D">
        <w:rPr>
          <w:rFonts w:cs="Times New Roman"/>
        </w:rPr>
        <w:t>ž</w:t>
      </w:r>
      <w:r w:rsidR="00515596" w:rsidRPr="0035027D">
        <w:t>ate</w:t>
      </w:r>
      <w:r w:rsidR="00515596" w:rsidRPr="0035027D">
        <w:rPr>
          <w:rFonts w:cs="Times New Roman"/>
        </w:rPr>
        <w:t>ľ</w:t>
      </w:r>
      <w:r w:rsidR="00515596" w:rsidRPr="0035027D">
        <w:t>nos</w:t>
      </w:r>
      <w:r w:rsidR="00515596" w:rsidRPr="0035027D">
        <w:rPr>
          <w:rFonts w:cs="Times New Roman"/>
        </w:rPr>
        <w:t>ť</w:t>
      </w:r>
      <w:r w:rsidR="00515596" w:rsidRPr="0035027D">
        <w:t xml:space="preserve">. </w:t>
      </w:r>
      <w:r w:rsidR="006A4B5F" w:rsidRPr="0035027D">
        <w:t>V priebe</w:t>
      </w:r>
      <w:r w:rsidR="006A4B5F" w:rsidRPr="0035027D">
        <w:rPr>
          <w:rFonts w:cs="Times New Roman"/>
        </w:rPr>
        <w:t>ž</w:t>
      </w:r>
      <w:r w:rsidR="006A4B5F" w:rsidRPr="0035027D">
        <w:t>nom pilieri sa zaviedlo zvyšovanie dôchodkov o pevnú sumu s postupným prechodom opätovne na percentuálne zvyšovanie dôchodkov od roku 2018 v závislosti od</w:t>
      </w:r>
      <w:r w:rsidR="004D7084" w:rsidRPr="0035027D">
        <w:t xml:space="preserve"> dôchodcovskej</w:t>
      </w:r>
      <w:r w:rsidR="006A4B5F" w:rsidRPr="0035027D">
        <w:t xml:space="preserve"> inflácie. Od roku 2017 sa bude zárove</w:t>
      </w:r>
      <w:r w:rsidR="006A4B5F" w:rsidRPr="0035027D">
        <w:rPr>
          <w:rFonts w:cs="Times New Roman"/>
        </w:rPr>
        <w:t>ň</w:t>
      </w:r>
      <w:r w:rsidR="006A4B5F" w:rsidRPr="0035027D">
        <w:t xml:space="preserve"> dôchodkový vek automaticky upravova</w:t>
      </w:r>
      <w:r w:rsidR="006A4B5F" w:rsidRPr="0035027D">
        <w:rPr>
          <w:rFonts w:cs="Times New Roman"/>
        </w:rPr>
        <w:t>ť</w:t>
      </w:r>
      <w:r w:rsidR="006A4B5F" w:rsidRPr="0035027D">
        <w:t xml:space="preserve"> v závislosti od strednej d</w:t>
      </w:r>
      <w:r w:rsidR="006A4B5F" w:rsidRPr="0035027D">
        <w:rPr>
          <w:rFonts w:cs="Times New Roman"/>
        </w:rPr>
        <w:t>ĺž</w:t>
      </w:r>
      <w:r w:rsidR="006A4B5F" w:rsidRPr="0035027D">
        <w:t xml:space="preserve">ky </w:t>
      </w:r>
      <w:r w:rsidR="006A4B5F" w:rsidRPr="0035027D">
        <w:rPr>
          <w:rFonts w:cs="Times New Roman"/>
        </w:rPr>
        <w:t>ž</w:t>
      </w:r>
      <w:r w:rsidR="006A4B5F" w:rsidRPr="0035027D">
        <w:t xml:space="preserve">ivota. </w:t>
      </w:r>
      <w:r w:rsidR="00E555E9" w:rsidRPr="0035027D">
        <w:t>Mi</w:t>
      </w:r>
      <w:r w:rsidR="00DE7B0E" w:rsidRPr="0035027D">
        <w:t>e</w:t>
      </w:r>
      <w:r w:rsidR="00E555E9" w:rsidRPr="0035027D">
        <w:t xml:space="preserve">rne bola </w:t>
      </w:r>
      <w:r w:rsidR="00515596" w:rsidRPr="0035027D">
        <w:t>posilnená solidarita pri priznávaní dôchodkových dávok z priebe</w:t>
      </w:r>
      <w:r w:rsidR="00515596" w:rsidRPr="0035027D">
        <w:rPr>
          <w:rFonts w:cs="Times New Roman"/>
        </w:rPr>
        <w:t>ž</w:t>
      </w:r>
      <w:r w:rsidR="00515596" w:rsidRPr="0035027D">
        <w:t>ného piliera v</w:t>
      </w:r>
      <w:r w:rsidR="00515596" w:rsidRPr="0035027D">
        <w:rPr>
          <w:rFonts w:cs="Times New Roman"/>
        </w:rPr>
        <w:t>ď</w:t>
      </w:r>
      <w:r w:rsidR="00515596" w:rsidRPr="0035027D">
        <w:t>aka úprave koeficientov solidarity. Týmto opatrením sa nízke dôchodky mierne zvyšujú a vyššie dôchodky naopak mierne redukujú.</w:t>
      </w:r>
      <w:r w:rsidR="002715CA" w:rsidRPr="0035027D">
        <w:t xml:space="preserve"> </w:t>
      </w:r>
      <w:r w:rsidR="00515596" w:rsidRPr="0035027D">
        <w:t>Úprava vzorca</w:t>
      </w:r>
      <w:r w:rsidR="00602929" w:rsidRPr="0035027D">
        <w:t xml:space="preserve"> na</w:t>
      </w:r>
      <w:r w:rsidR="00515596" w:rsidRPr="0035027D">
        <w:t xml:space="preserve"> výpo</w:t>
      </w:r>
      <w:r w:rsidR="00515596" w:rsidRPr="0035027D">
        <w:rPr>
          <w:rFonts w:cs="Times New Roman"/>
        </w:rPr>
        <w:t>č</w:t>
      </w:r>
      <w:r w:rsidR="00602929" w:rsidRPr="0035027D">
        <w:t>et</w:t>
      </w:r>
      <w:r w:rsidR="00515596" w:rsidRPr="0035027D">
        <w:t xml:space="preserve"> </w:t>
      </w:r>
      <w:r w:rsidR="00602929" w:rsidRPr="0035027D">
        <w:t>novo</w:t>
      </w:r>
      <w:r w:rsidR="00515596" w:rsidRPr="0035027D">
        <w:t>priznaného dôchodku, v ktorom by sa priamo zoh</w:t>
      </w:r>
      <w:r w:rsidR="00515596" w:rsidRPr="0035027D">
        <w:rPr>
          <w:rFonts w:cs="Times New Roman"/>
        </w:rPr>
        <w:t>ľ</w:t>
      </w:r>
      <w:r w:rsidR="00515596" w:rsidRPr="0035027D">
        <w:t>adnil demografický vývoj</w:t>
      </w:r>
      <w:r w:rsidR="00F44C3E" w:rsidRPr="0035027D">
        <w:t>,</w:t>
      </w:r>
      <w:r w:rsidR="00515596" w:rsidRPr="0035027D">
        <w:t xml:space="preserve"> nebola prijatá, </w:t>
      </w:r>
      <w:r w:rsidR="00E555E9" w:rsidRPr="0035027D">
        <w:t>hoci mô</w:t>
      </w:r>
      <w:r w:rsidR="00E555E9" w:rsidRPr="0035027D">
        <w:rPr>
          <w:rFonts w:cs="Times New Roman"/>
        </w:rPr>
        <w:t>ž</w:t>
      </w:r>
      <w:r w:rsidR="00E555E9" w:rsidRPr="0035027D">
        <w:t>e by</w:t>
      </w:r>
      <w:r w:rsidR="00E555E9" w:rsidRPr="0035027D">
        <w:rPr>
          <w:rFonts w:cs="Times New Roman"/>
        </w:rPr>
        <w:t>ť</w:t>
      </w:r>
      <w:r w:rsidR="00E555E9" w:rsidRPr="0035027D">
        <w:t xml:space="preserve"> potrebná </w:t>
      </w:r>
      <w:r w:rsidR="00515596" w:rsidRPr="0035027D">
        <w:t>v</w:t>
      </w:r>
      <w:r w:rsidR="00E555E9" w:rsidRPr="0035027D">
        <w:t> budúcnosti.</w:t>
      </w:r>
      <w:r w:rsidR="00515596" w:rsidRPr="0035027D">
        <w:t>.</w:t>
      </w:r>
    </w:p>
    <w:p w:rsidR="003E17CC" w:rsidRPr="0035027D" w:rsidRDefault="003E17CC" w:rsidP="00AC015D">
      <w:pPr>
        <w:spacing w:after="0"/>
        <w:contextualSpacing/>
      </w:pPr>
    </w:p>
    <w:p w:rsidR="00515596" w:rsidRPr="0035027D" w:rsidRDefault="003E17CC" w:rsidP="003E17CC">
      <w:pPr>
        <w:spacing w:after="0"/>
        <w:contextualSpacing/>
        <w:rPr>
          <w:szCs w:val="36"/>
          <w:lang w:eastAsia="en-US"/>
        </w:rPr>
      </w:pPr>
      <w:r w:rsidRPr="0035027D">
        <w:t>Pod</w:t>
      </w:r>
      <w:r w:rsidRPr="0035027D">
        <w:rPr>
          <w:rFonts w:cs="Times New Roman"/>
        </w:rPr>
        <w:t>ľ</w:t>
      </w:r>
      <w:r w:rsidRPr="0035027D">
        <w:t>a nových pravidiel je sadzba povinných príspevkov do kapitaliza</w:t>
      </w:r>
      <w:r w:rsidRPr="0035027D">
        <w:rPr>
          <w:rFonts w:cs="Times New Roman"/>
        </w:rPr>
        <w:t>č</w:t>
      </w:r>
      <w:r w:rsidRPr="0035027D">
        <w:t>ného piliera 4 % z vymeriavacieho základu, pri</w:t>
      </w:r>
      <w:r w:rsidRPr="0035027D">
        <w:rPr>
          <w:rFonts w:cs="Times New Roman"/>
        </w:rPr>
        <w:t>č</w:t>
      </w:r>
      <w:r w:rsidRPr="0035027D">
        <w:t>om od roku 2017 do roku 2024 postupne vzrastie na kone</w:t>
      </w:r>
      <w:r w:rsidRPr="0035027D">
        <w:rPr>
          <w:rFonts w:cs="Times New Roman"/>
        </w:rPr>
        <w:t>č</w:t>
      </w:r>
      <w:r w:rsidRPr="0035027D">
        <w:t>ných 6 %. Sporitelia mô</w:t>
      </w:r>
      <w:r w:rsidRPr="0035027D">
        <w:rPr>
          <w:rFonts w:cs="Times New Roman"/>
        </w:rPr>
        <w:t>ž</w:t>
      </w:r>
      <w:r w:rsidRPr="0035027D">
        <w:t>u do schémy dobrovo</w:t>
      </w:r>
      <w:r w:rsidRPr="0035027D">
        <w:rPr>
          <w:rFonts w:cs="Times New Roman"/>
        </w:rPr>
        <w:t>ľ</w:t>
      </w:r>
      <w:r w:rsidRPr="0035027D">
        <w:t>ne prispieva</w:t>
      </w:r>
      <w:r w:rsidRPr="0035027D">
        <w:rPr>
          <w:rFonts w:cs="Times New Roman"/>
        </w:rPr>
        <w:t>ť</w:t>
      </w:r>
      <w:r w:rsidRPr="0035027D">
        <w:t xml:space="preserve"> v akejko</w:t>
      </w:r>
      <w:r w:rsidRPr="0035027D">
        <w:rPr>
          <w:rFonts w:cs="Times New Roman"/>
        </w:rPr>
        <w:t>ľ</w:t>
      </w:r>
      <w:r w:rsidRPr="0035027D">
        <w:t>vek výške, pri</w:t>
      </w:r>
      <w:r w:rsidRPr="0035027D">
        <w:rPr>
          <w:rFonts w:cs="Times New Roman"/>
        </w:rPr>
        <w:t>č</w:t>
      </w:r>
      <w:r w:rsidRPr="0035027D">
        <w:t>om štát poskytne na tieto príspevky obmedzené da</w:t>
      </w:r>
      <w:r w:rsidRPr="0035027D">
        <w:rPr>
          <w:rFonts w:cs="Times New Roman"/>
        </w:rPr>
        <w:t>ň</w:t>
      </w:r>
      <w:r w:rsidRPr="0035027D">
        <w:t xml:space="preserve">ové zvýhodnenie </w:t>
      </w:r>
      <w:r w:rsidRPr="0035027D">
        <w:lastRenderedPageBreak/>
        <w:t>maximálne do výšky 2% zo základu dane, a to do konca roka 2016. Vstup do kapitaliza</w:t>
      </w:r>
      <w:r w:rsidRPr="0035027D">
        <w:rPr>
          <w:rFonts w:cs="Times New Roman"/>
        </w:rPr>
        <w:t>č</w:t>
      </w:r>
      <w:r w:rsidRPr="0035027D">
        <w:t>ného piliera pre nových pracujúcich sa zárove</w:t>
      </w:r>
      <w:r w:rsidRPr="0035027D">
        <w:rPr>
          <w:rFonts w:cs="Times New Roman"/>
        </w:rPr>
        <w:t>ň</w:t>
      </w:r>
      <w:r w:rsidRPr="0035027D">
        <w:t xml:space="preserve"> stal dobrovo</w:t>
      </w:r>
      <w:r w:rsidRPr="0035027D">
        <w:rPr>
          <w:rFonts w:cs="Times New Roman"/>
        </w:rPr>
        <w:t>ľ</w:t>
      </w:r>
      <w:r w:rsidRPr="0035027D">
        <w:t>ným, pri</w:t>
      </w:r>
      <w:r w:rsidRPr="0035027D">
        <w:rPr>
          <w:rFonts w:cs="Times New Roman"/>
        </w:rPr>
        <w:t>č</w:t>
      </w:r>
      <w:r w:rsidRPr="0035027D">
        <w:t>om do veku 35 rokov má ka</w:t>
      </w:r>
      <w:r w:rsidRPr="0035027D">
        <w:rPr>
          <w:rFonts w:cs="Times New Roman"/>
        </w:rPr>
        <w:t>ž</w:t>
      </w:r>
      <w:r w:rsidRPr="0035027D">
        <w:t>dý mo</w:t>
      </w:r>
      <w:r w:rsidRPr="0035027D">
        <w:rPr>
          <w:rFonts w:cs="Times New Roman"/>
        </w:rPr>
        <w:t>ž</w:t>
      </w:r>
      <w:r w:rsidRPr="0035027D">
        <w:t>nos</w:t>
      </w:r>
      <w:r w:rsidRPr="0035027D">
        <w:rPr>
          <w:rFonts w:cs="Times New Roman"/>
        </w:rPr>
        <w:t>ť</w:t>
      </w:r>
      <w:r w:rsidRPr="0035027D">
        <w:t xml:space="preserve"> rozhodnú</w:t>
      </w:r>
      <w:r w:rsidRPr="0035027D">
        <w:rPr>
          <w:rFonts w:cs="Times New Roman"/>
        </w:rPr>
        <w:t>ť</w:t>
      </w:r>
      <w:r w:rsidRPr="0035027D">
        <w:t xml:space="preserve"> sa o vstupe. Zú</w:t>
      </w:r>
      <w:r w:rsidRPr="0035027D">
        <w:rPr>
          <w:rFonts w:cs="Times New Roman"/>
        </w:rPr>
        <w:t>ž</w:t>
      </w:r>
      <w:r w:rsidRPr="0035027D">
        <w:t>il sa po</w:t>
      </w:r>
      <w:r w:rsidRPr="0035027D">
        <w:rPr>
          <w:rFonts w:cs="Times New Roman"/>
        </w:rPr>
        <w:t>č</w:t>
      </w:r>
      <w:r w:rsidRPr="0035027D">
        <w:t>et povinne spravovaných dôchodkových fondov kapitaliza</w:t>
      </w:r>
      <w:r w:rsidRPr="0035027D">
        <w:rPr>
          <w:rFonts w:cs="Times New Roman"/>
        </w:rPr>
        <w:t>č</w:t>
      </w:r>
      <w:r w:rsidRPr="0035027D">
        <w:t>ného piliera na dva, a to na jeden garantovaný a jeden negarantovaný dôchodkový fond. Dôchodkové správcovské spolo</w:t>
      </w:r>
      <w:r w:rsidRPr="0035027D">
        <w:rPr>
          <w:rFonts w:cs="Times New Roman"/>
        </w:rPr>
        <w:t>č</w:t>
      </w:r>
      <w:r w:rsidRPr="0035027D">
        <w:t>nosti však získali mo</w:t>
      </w:r>
      <w:r w:rsidRPr="0035027D">
        <w:rPr>
          <w:rFonts w:cs="Times New Roman"/>
        </w:rPr>
        <w:t>ž</w:t>
      </w:r>
      <w:r w:rsidRPr="0035027D">
        <w:t>nos</w:t>
      </w:r>
      <w:r w:rsidRPr="0035027D">
        <w:rPr>
          <w:rFonts w:cs="Times New Roman"/>
        </w:rPr>
        <w:t>ť</w:t>
      </w:r>
      <w:r w:rsidRPr="0035027D">
        <w:t xml:space="preserve"> flexibilne vytvára</w:t>
      </w:r>
      <w:r w:rsidRPr="0035027D">
        <w:rPr>
          <w:rFonts w:cs="Times New Roman"/>
        </w:rPr>
        <w:t>ť</w:t>
      </w:r>
      <w:r w:rsidRPr="0035027D">
        <w:t xml:space="preserve"> a spravova</w:t>
      </w:r>
      <w:r w:rsidRPr="0035027D">
        <w:rPr>
          <w:rFonts w:cs="Times New Roman"/>
        </w:rPr>
        <w:t>ť</w:t>
      </w:r>
      <w:r w:rsidRPr="0035027D">
        <w:t xml:space="preserve"> akéko</w:t>
      </w:r>
      <w:r w:rsidRPr="0035027D">
        <w:rPr>
          <w:rFonts w:cs="Times New Roman"/>
        </w:rPr>
        <w:t>ľ</w:t>
      </w:r>
      <w:r w:rsidRPr="0035027D">
        <w:t xml:space="preserve">vek garantované a negarantované dôchodkové fondy. Vláda iniciovala diskusiu s politickou opozíciou o stabilizácii podstatných charakteristík </w:t>
      </w:r>
      <w:r w:rsidR="004E3128" w:rsidRPr="0035027D">
        <w:t xml:space="preserve">dôchodkového </w:t>
      </w:r>
      <w:r w:rsidRPr="0035027D">
        <w:t>systému vo forme ústavného zákona.</w:t>
      </w:r>
    </w:p>
    <w:p w:rsidR="00515596" w:rsidRPr="0035027D" w:rsidRDefault="00515596" w:rsidP="00AC015D">
      <w:pPr>
        <w:spacing w:after="0"/>
        <w:jc w:val="left"/>
        <w:rPr>
          <w:rFonts w:cs="Times New Roman"/>
          <w:b/>
          <w:lang w:eastAsia="en-US"/>
        </w:rPr>
      </w:pPr>
    </w:p>
    <w:p w:rsidR="0092093C" w:rsidRPr="0035027D" w:rsidRDefault="0092093C" w:rsidP="0092093C">
      <w:pPr>
        <w:spacing w:after="0"/>
        <w:rPr>
          <w:lang w:eastAsia="en-US"/>
        </w:rPr>
      </w:pPr>
      <w:r w:rsidRPr="0035027D">
        <w:rPr>
          <w:i/>
        </w:rPr>
        <w:t>K plneniu odporúčania prispejú aj ďalšie opatrenia detailnejšie opísané v</w:t>
      </w:r>
      <w:r w:rsidR="00916F03" w:rsidRPr="0035027D">
        <w:rPr>
          <w:i/>
        </w:rPr>
        <w:t xml:space="preserve"> kapitole </w:t>
      </w:r>
      <w:r w:rsidR="00214A67" w:rsidRPr="0035027D">
        <w:rPr>
          <w:i/>
        </w:rPr>
        <w:t>5.1</w:t>
      </w:r>
      <w:r w:rsidRPr="0035027D">
        <w:rPr>
          <w:i/>
        </w:rPr>
        <w:t xml:space="preserve"> a akčnom pláne.</w:t>
      </w:r>
    </w:p>
    <w:p w:rsidR="00515596" w:rsidRPr="0035027D" w:rsidRDefault="00515596" w:rsidP="00AC015D">
      <w:pPr>
        <w:spacing w:after="0"/>
        <w:jc w:val="left"/>
        <w:rPr>
          <w:rFonts w:cs="Times New Roman"/>
          <w:b/>
          <w:lang w:eastAsia="en-US"/>
        </w:rPr>
      </w:pPr>
    </w:p>
    <w:p w:rsidR="00D5248D" w:rsidRPr="0035027D" w:rsidRDefault="00D5248D" w:rsidP="00AC015D">
      <w:pPr>
        <w:spacing w:after="0"/>
        <w:jc w:val="left"/>
        <w:rPr>
          <w:rFonts w:cs="Times New Roman"/>
          <w:b/>
          <w:lang w:eastAsia="en-US"/>
        </w:rPr>
      </w:pPr>
    </w:p>
    <w:p w:rsidR="00515596" w:rsidRPr="0035027D" w:rsidRDefault="00515596" w:rsidP="003C29D5">
      <w:pPr>
        <w:pStyle w:val="Odsekzoznamu"/>
        <w:numPr>
          <w:ilvl w:val="0"/>
          <w:numId w:val="3"/>
        </w:numPr>
        <w:spacing w:after="0" w:line="240" w:lineRule="auto"/>
        <w:ind w:left="284" w:hanging="284"/>
        <w:jc w:val="both"/>
        <w:rPr>
          <w:rFonts w:ascii="Arial Narrow" w:hAnsi="Arial Narrow"/>
          <w:b/>
        </w:rPr>
      </w:pPr>
      <w:r w:rsidRPr="0035027D">
        <w:rPr>
          <w:rFonts w:ascii="Arial Narrow" w:hAnsi="Arial Narrow"/>
          <w:b/>
        </w:rPr>
        <w:t>Zamestnanosť a trh práce</w:t>
      </w:r>
    </w:p>
    <w:p w:rsidR="00515596" w:rsidRPr="0035027D" w:rsidRDefault="00515596" w:rsidP="00AC015D">
      <w:pPr>
        <w:spacing w:after="0"/>
        <w:rPr>
          <w:b/>
        </w:rPr>
      </w:pPr>
    </w:p>
    <w:p w:rsidR="00515596" w:rsidRPr="0035027D" w:rsidRDefault="00EC78A4" w:rsidP="00AC015D">
      <w:pPr>
        <w:spacing w:after="0"/>
        <w:contextualSpacing/>
        <w:rPr>
          <w:b/>
          <w:i/>
          <w:szCs w:val="36"/>
          <w:lang w:eastAsia="en-US"/>
        </w:rPr>
      </w:pPr>
      <w:r w:rsidRPr="0035027D">
        <w:rPr>
          <w:b/>
          <w:i/>
          <w:szCs w:val="36"/>
          <w:lang w:eastAsia="en-US"/>
        </w:rPr>
        <w:t xml:space="preserve">(CSR4) </w:t>
      </w:r>
      <w:r w:rsidR="00515596" w:rsidRPr="0035027D">
        <w:rPr>
          <w:b/>
          <w:i/>
          <w:szCs w:val="36"/>
          <w:lang w:eastAsia="en-US"/>
        </w:rPr>
        <w:t>Zvýšiť administratívnu kapacitu verejných služieb zamestnanosti s cieľom zlepšiť zameranie, navrhovanie a hodnotenie aktívnych politík trhu práce na zabezpečenie individualizovanejších služieb zamestnanosti pre mládež, dlhodobo nezamestnaných, starších pracovníkov a ženy. Zabezpečiť poskytovanie zariadení starostlivosti o deti. Znížiť daňovo-odvodové zaťaženie pre zamestnancov s nízkymi mzdami a upraviť systém dávok.</w:t>
      </w:r>
    </w:p>
    <w:p w:rsidR="00515596" w:rsidRPr="0035027D" w:rsidRDefault="00515596" w:rsidP="00AC015D">
      <w:pPr>
        <w:spacing w:after="0"/>
      </w:pPr>
    </w:p>
    <w:p w:rsidR="00515596" w:rsidRPr="0035027D" w:rsidRDefault="004D7084" w:rsidP="00165511">
      <w:pPr>
        <w:spacing w:after="0"/>
      </w:pPr>
      <w:r w:rsidRPr="0035027D">
        <w:t xml:space="preserve">Reforma </w:t>
      </w:r>
      <w:r w:rsidRPr="0035027D">
        <w:rPr>
          <w:b/>
        </w:rPr>
        <w:t>aktívnych politík trhu práce</w:t>
      </w:r>
      <w:r w:rsidRPr="0035027D">
        <w:t xml:space="preserve"> novelou </w:t>
      </w:r>
      <w:r w:rsidR="00F85A6D" w:rsidRPr="0035027D">
        <w:t>zákona o slu</w:t>
      </w:r>
      <w:r w:rsidR="00F85A6D" w:rsidRPr="0035027D">
        <w:rPr>
          <w:rFonts w:cs="Times New Roman"/>
        </w:rPr>
        <w:t>ž</w:t>
      </w:r>
      <w:r w:rsidR="00F85A6D" w:rsidRPr="0035027D">
        <w:t>bách zamestnanosti</w:t>
      </w:r>
      <w:r w:rsidRPr="0035027D">
        <w:t xml:space="preserve"> ruš</w:t>
      </w:r>
      <w:r w:rsidR="00E555E9" w:rsidRPr="0035027D">
        <w:t>í</w:t>
      </w:r>
      <w:r w:rsidRPr="0035027D">
        <w:t xml:space="preserve"> programy s </w:t>
      </w:r>
      <w:r w:rsidR="00E555E9" w:rsidRPr="0035027D">
        <w:t xml:space="preserve">malým alebo </w:t>
      </w:r>
      <w:r w:rsidRPr="0035027D">
        <w:t>negatívnym spolo</w:t>
      </w:r>
      <w:r w:rsidRPr="0035027D">
        <w:rPr>
          <w:rFonts w:cs="Times New Roman"/>
        </w:rPr>
        <w:t>č</w:t>
      </w:r>
      <w:r w:rsidRPr="0035027D">
        <w:t xml:space="preserve">enským prínosom. Zruší sa 11 z existujúcich programov </w:t>
      </w:r>
      <w:r w:rsidR="00F85A6D" w:rsidRPr="0035027D">
        <w:t xml:space="preserve">a </w:t>
      </w:r>
      <w:r w:rsidR="00F85A6D" w:rsidRPr="0035027D">
        <w:rPr>
          <w:rFonts w:cs="Times New Roman"/>
        </w:rPr>
        <w:t>ď</w:t>
      </w:r>
      <w:r w:rsidR="00F85A6D" w:rsidRPr="0035027D">
        <w:t>alších sedem stratí právnu nárokovate</w:t>
      </w:r>
      <w:r w:rsidR="00F85A6D" w:rsidRPr="0035027D">
        <w:rPr>
          <w:rFonts w:cs="Times New Roman"/>
        </w:rPr>
        <w:t>ľ</w:t>
      </w:r>
      <w:r w:rsidR="00F85A6D" w:rsidRPr="0035027D">
        <w:t>nos</w:t>
      </w:r>
      <w:r w:rsidR="00F85A6D" w:rsidRPr="0035027D">
        <w:rPr>
          <w:rFonts w:cs="Times New Roman"/>
        </w:rPr>
        <w:t>ť</w:t>
      </w:r>
      <w:r w:rsidR="00F85A6D" w:rsidRPr="0035027D">
        <w:t>. Uvo</w:t>
      </w:r>
      <w:r w:rsidR="00F85A6D" w:rsidRPr="0035027D">
        <w:rPr>
          <w:rFonts w:cs="Times New Roman"/>
        </w:rPr>
        <w:t>ľ</w:t>
      </w:r>
      <w:r w:rsidR="00F85A6D" w:rsidRPr="0035027D">
        <w:t>nená administratívna kapacita sa vyu</w:t>
      </w:r>
      <w:r w:rsidR="00F85A6D" w:rsidRPr="0035027D">
        <w:rPr>
          <w:rFonts w:cs="Times New Roman"/>
        </w:rPr>
        <w:t>ž</w:t>
      </w:r>
      <w:r w:rsidR="00F85A6D" w:rsidRPr="0035027D">
        <w:t>ije na individualizáciu odborných a poradenských slu</w:t>
      </w:r>
      <w:r w:rsidR="00F85A6D" w:rsidRPr="0035027D">
        <w:rPr>
          <w:rFonts w:cs="Times New Roman"/>
        </w:rPr>
        <w:t>ž</w:t>
      </w:r>
      <w:r w:rsidR="00F85A6D" w:rsidRPr="0035027D">
        <w:t>ieb pre znevýhodnených uchádza</w:t>
      </w:r>
      <w:r w:rsidR="00F85A6D" w:rsidRPr="0035027D">
        <w:rPr>
          <w:rFonts w:cs="Times New Roman"/>
        </w:rPr>
        <w:t>č</w:t>
      </w:r>
      <w:r w:rsidR="00F85A6D" w:rsidRPr="0035027D">
        <w:t xml:space="preserve">ov o zamestnanie (mladí </w:t>
      </w:r>
      <w:r w:rsidR="00F85A6D" w:rsidRPr="0035027D">
        <w:rPr>
          <w:rFonts w:cs="Times New Roman"/>
        </w:rPr>
        <w:t>ľ</w:t>
      </w:r>
      <w:r w:rsidR="00F85A6D" w:rsidRPr="0035027D">
        <w:t>udia, dlhodobo nezamestnaní, at</w:t>
      </w:r>
      <w:r w:rsidR="00F85A6D" w:rsidRPr="0035027D">
        <w:rPr>
          <w:rFonts w:cs="Times New Roman"/>
        </w:rPr>
        <w:t>ď</w:t>
      </w:r>
      <w:r w:rsidR="00F85A6D" w:rsidRPr="0035027D">
        <w:t xml:space="preserve">.) a </w:t>
      </w:r>
      <w:r w:rsidR="000A1C00" w:rsidRPr="0035027D">
        <w:t>skvalitnenie</w:t>
      </w:r>
      <w:r w:rsidR="00F85A6D" w:rsidRPr="0035027D">
        <w:t xml:space="preserve"> hodnotenia </w:t>
      </w:r>
      <w:r w:rsidRPr="0035027D">
        <w:t>aktívnych politík</w:t>
      </w:r>
      <w:r w:rsidR="00F85A6D" w:rsidRPr="0035027D">
        <w:t>, ktoré budú adresnejšie.</w:t>
      </w:r>
      <w:r w:rsidR="006330A0" w:rsidRPr="0035027D">
        <w:t xml:space="preserve"> </w:t>
      </w:r>
      <w:r w:rsidR="00F85A6D" w:rsidRPr="0035027D">
        <w:t>Vä</w:t>
      </w:r>
      <w:r w:rsidR="00F85A6D" w:rsidRPr="0035027D">
        <w:rPr>
          <w:rFonts w:cs="Times New Roman"/>
        </w:rPr>
        <w:t>č</w:t>
      </w:r>
      <w:r w:rsidR="00F85A6D" w:rsidRPr="0035027D">
        <w:t>ší dôraz sa bude klás</w:t>
      </w:r>
      <w:r w:rsidR="00F85A6D" w:rsidRPr="0035027D">
        <w:rPr>
          <w:rFonts w:cs="Times New Roman"/>
        </w:rPr>
        <w:t>ť</w:t>
      </w:r>
      <w:r w:rsidR="00F85A6D" w:rsidRPr="0035027D">
        <w:t xml:space="preserve"> na podporu </w:t>
      </w:r>
      <w:r w:rsidR="006330A0" w:rsidRPr="0035027D">
        <w:t>zamestnávania znevýhodnených uchádza</w:t>
      </w:r>
      <w:r w:rsidR="006330A0" w:rsidRPr="0035027D">
        <w:rPr>
          <w:rFonts w:cs="Times New Roman"/>
        </w:rPr>
        <w:t>č</w:t>
      </w:r>
      <w:r w:rsidR="006330A0" w:rsidRPr="0035027D">
        <w:t>ov o zamestnanie</w:t>
      </w:r>
      <w:r w:rsidR="00F85A6D" w:rsidRPr="0035027D">
        <w:t>.</w:t>
      </w:r>
    </w:p>
    <w:p w:rsidR="00515596" w:rsidRPr="0035027D" w:rsidRDefault="00515596" w:rsidP="00AC015D">
      <w:pPr>
        <w:spacing w:after="0"/>
      </w:pPr>
    </w:p>
    <w:p w:rsidR="00515596" w:rsidRPr="0035027D" w:rsidRDefault="00515596" w:rsidP="00AC015D">
      <w:pPr>
        <w:spacing w:after="0"/>
      </w:pPr>
      <w:r w:rsidRPr="0035027D">
        <w:t xml:space="preserve">V rámci prvej fázy </w:t>
      </w:r>
      <w:r w:rsidRPr="0035027D">
        <w:rPr>
          <w:b/>
        </w:rPr>
        <w:t>úpravy systému dávok</w:t>
      </w:r>
      <w:r w:rsidRPr="0035027D">
        <w:t xml:space="preserve"> je od januára 2013 v platnosti novela zákona o pomoci v hmotnej núdzi, ktorá odstra</w:t>
      </w:r>
      <w:r w:rsidRPr="0035027D">
        <w:rPr>
          <w:rFonts w:cs="Times New Roman"/>
        </w:rPr>
        <w:t>ň</w:t>
      </w:r>
      <w:r w:rsidRPr="0035027D">
        <w:t>uje aplika</w:t>
      </w:r>
      <w:r w:rsidRPr="0035027D">
        <w:rPr>
          <w:rFonts w:cs="Times New Roman"/>
        </w:rPr>
        <w:t>č</w:t>
      </w:r>
      <w:r w:rsidRPr="0035027D">
        <w:t>né nedostatky sú</w:t>
      </w:r>
      <w:r w:rsidRPr="0035027D">
        <w:rPr>
          <w:rFonts w:cs="Times New Roman"/>
        </w:rPr>
        <w:t>č</w:t>
      </w:r>
      <w:r w:rsidRPr="0035027D">
        <w:t>asnej legislatívy. Zárove</w:t>
      </w:r>
      <w:r w:rsidRPr="0035027D">
        <w:rPr>
          <w:rFonts w:cs="Times New Roman"/>
        </w:rPr>
        <w:t>ň</w:t>
      </w:r>
      <w:r w:rsidRPr="0035027D">
        <w:t xml:space="preserve"> zni</w:t>
      </w:r>
      <w:r w:rsidRPr="0035027D">
        <w:rPr>
          <w:rFonts w:cs="Times New Roman"/>
        </w:rPr>
        <w:t>ž</w:t>
      </w:r>
      <w:r w:rsidRPr="0035027D">
        <w:t>uje administratívnu náro</w:t>
      </w:r>
      <w:r w:rsidRPr="0035027D">
        <w:rPr>
          <w:rFonts w:cs="Times New Roman"/>
        </w:rPr>
        <w:t>č</w:t>
      </w:r>
      <w:r w:rsidRPr="0035027D">
        <w:t>nos</w:t>
      </w:r>
      <w:r w:rsidRPr="0035027D">
        <w:rPr>
          <w:rFonts w:cs="Times New Roman"/>
        </w:rPr>
        <w:t>ť</w:t>
      </w:r>
      <w:r w:rsidRPr="0035027D">
        <w:t xml:space="preserve"> a obmedzuje zneu</w:t>
      </w:r>
      <w:r w:rsidRPr="0035027D">
        <w:rPr>
          <w:rFonts w:cs="Times New Roman"/>
        </w:rPr>
        <w:t>ž</w:t>
      </w:r>
      <w:r w:rsidRPr="0035027D">
        <w:t xml:space="preserve">ívanie pomoci v hmotnej núdzi. </w:t>
      </w:r>
    </w:p>
    <w:p w:rsidR="00E726FE" w:rsidRPr="0035027D" w:rsidRDefault="00E726FE" w:rsidP="00AC015D">
      <w:pPr>
        <w:spacing w:after="0"/>
      </w:pPr>
    </w:p>
    <w:p w:rsidR="0092093C" w:rsidRPr="0035027D" w:rsidRDefault="0092093C" w:rsidP="0092093C">
      <w:pPr>
        <w:spacing w:after="0"/>
        <w:rPr>
          <w:i/>
        </w:rPr>
      </w:pPr>
      <w:r w:rsidRPr="0035027D">
        <w:rPr>
          <w:i/>
        </w:rPr>
        <w:t xml:space="preserve">K plneniu odporúčania prispejú aj ďalšie opatrenia detailnejšie opísané v kapitole </w:t>
      </w:r>
      <w:r w:rsidR="002E49B3" w:rsidRPr="0035027D">
        <w:rPr>
          <w:i/>
        </w:rPr>
        <w:t>4</w:t>
      </w:r>
      <w:r w:rsidRPr="0035027D">
        <w:rPr>
          <w:i/>
        </w:rPr>
        <w:t>.</w:t>
      </w:r>
      <w:r w:rsidR="00214A67" w:rsidRPr="0035027D">
        <w:rPr>
          <w:i/>
        </w:rPr>
        <w:t>3</w:t>
      </w:r>
      <w:r w:rsidR="009C02FF" w:rsidRPr="0035027D">
        <w:rPr>
          <w:i/>
        </w:rPr>
        <w:t xml:space="preserve"> </w:t>
      </w:r>
      <w:r w:rsidRPr="0035027D">
        <w:rPr>
          <w:i/>
        </w:rPr>
        <w:t>a akčnom pláne.</w:t>
      </w:r>
    </w:p>
    <w:p w:rsidR="00D5248D" w:rsidRPr="0035027D" w:rsidRDefault="00D5248D" w:rsidP="00D5248D">
      <w:pPr>
        <w:spacing w:after="0"/>
        <w:rPr>
          <w:b/>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4A0" w:firstRow="1" w:lastRow="0" w:firstColumn="1" w:lastColumn="0" w:noHBand="0" w:noVBand="1"/>
      </w:tblPr>
      <w:tblGrid>
        <w:gridCol w:w="9322"/>
      </w:tblGrid>
      <w:tr w:rsidR="00D5248D" w:rsidRPr="0035027D" w:rsidTr="00E13258">
        <w:tc>
          <w:tcPr>
            <w:tcW w:w="9322" w:type="dxa"/>
            <w:shd w:val="clear" w:color="auto" w:fill="D9D9D9" w:themeFill="background1" w:themeFillShade="D9"/>
          </w:tcPr>
          <w:p w:rsidR="00F125F8" w:rsidRPr="0035027D" w:rsidRDefault="00F23D05" w:rsidP="00F125F8">
            <w:pPr>
              <w:spacing w:before="240"/>
              <w:rPr>
                <w:b/>
                <w:sz w:val="20"/>
                <w:szCs w:val="20"/>
              </w:rPr>
            </w:pPr>
            <w:r w:rsidRPr="0035027D">
              <w:rPr>
                <w:b/>
                <w:sz w:val="20"/>
                <w:szCs w:val="20"/>
              </w:rPr>
              <w:t>Box 2:</w:t>
            </w:r>
            <w:r w:rsidR="00F125F8" w:rsidRPr="0035027D">
              <w:rPr>
                <w:b/>
                <w:sz w:val="20"/>
                <w:szCs w:val="20"/>
              </w:rPr>
              <w:t xml:space="preserve"> Reforma aktívnych politík trhu práce (APTP)</w:t>
            </w:r>
          </w:p>
          <w:p w:rsidR="00F125F8" w:rsidRPr="0035027D" w:rsidRDefault="00F125F8" w:rsidP="00F125F8">
            <w:pPr>
              <w:spacing w:after="0"/>
              <w:rPr>
                <w:noProof/>
                <w:sz w:val="20"/>
                <w:szCs w:val="20"/>
              </w:rPr>
            </w:pPr>
            <w:r w:rsidRPr="0035027D">
              <w:rPr>
                <w:noProof/>
                <w:sz w:val="20"/>
                <w:szCs w:val="20"/>
              </w:rPr>
              <w:t>Novela zákona o slu</w:t>
            </w:r>
            <w:r w:rsidRPr="0035027D">
              <w:rPr>
                <w:rFonts w:cs="Times New Roman"/>
                <w:noProof/>
                <w:sz w:val="20"/>
                <w:szCs w:val="20"/>
              </w:rPr>
              <w:t>ž</w:t>
            </w:r>
            <w:r w:rsidRPr="0035027D">
              <w:rPr>
                <w:noProof/>
                <w:sz w:val="20"/>
                <w:szCs w:val="20"/>
              </w:rPr>
              <w:t>bých zamestnanosti (</w:t>
            </w:r>
            <w:r w:rsidRPr="0035027D">
              <w:rPr>
                <w:rFonts w:cs="Times New Roman"/>
                <w:noProof/>
                <w:sz w:val="20"/>
                <w:szCs w:val="20"/>
              </w:rPr>
              <w:t>č</w:t>
            </w:r>
            <w:r w:rsidRPr="0035027D">
              <w:rPr>
                <w:noProof/>
                <w:sz w:val="20"/>
                <w:szCs w:val="20"/>
              </w:rPr>
              <w:t>. 5/2004 Z.z.) zlepšuje efektívnos</w:t>
            </w:r>
            <w:r w:rsidRPr="0035027D">
              <w:rPr>
                <w:rFonts w:cs="Times New Roman"/>
                <w:noProof/>
                <w:sz w:val="20"/>
                <w:szCs w:val="20"/>
              </w:rPr>
              <w:t>ť</w:t>
            </w:r>
            <w:r w:rsidRPr="0035027D">
              <w:rPr>
                <w:noProof/>
                <w:sz w:val="20"/>
                <w:szCs w:val="20"/>
              </w:rPr>
              <w:t xml:space="preserve"> a ú</w:t>
            </w:r>
            <w:r w:rsidRPr="0035027D">
              <w:rPr>
                <w:rFonts w:cs="Times New Roman"/>
                <w:noProof/>
                <w:sz w:val="20"/>
                <w:szCs w:val="20"/>
              </w:rPr>
              <w:t>č</w:t>
            </w:r>
            <w:r w:rsidRPr="0035027D">
              <w:rPr>
                <w:noProof/>
                <w:sz w:val="20"/>
                <w:szCs w:val="20"/>
              </w:rPr>
              <w:t>innos</w:t>
            </w:r>
            <w:r w:rsidRPr="0035027D">
              <w:rPr>
                <w:rFonts w:cs="Times New Roman"/>
                <w:noProof/>
                <w:sz w:val="20"/>
                <w:szCs w:val="20"/>
              </w:rPr>
              <w:t>ť</w:t>
            </w:r>
            <w:r w:rsidRPr="0035027D">
              <w:rPr>
                <w:noProof/>
                <w:sz w:val="20"/>
                <w:szCs w:val="20"/>
              </w:rPr>
              <w:t xml:space="preserve"> APTP. Systém sa obmedzením po</w:t>
            </w:r>
            <w:r w:rsidRPr="0035027D">
              <w:rPr>
                <w:rFonts w:cs="Times New Roman"/>
                <w:noProof/>
                <w:sz w:val="20"/>
                <w:szCs w:val="20"/>
              </w:rPr>
              <w:t>č</w:t>
            </w:r>
            <w:r w:rsidRPr="0035027D">
              <w:rPr>
                <w:noProof/>
                <w:sz w:val="20"/>
                <w:szCs w:val="20"/>
              </w:rPr>
              <w:t>tu nástrojov zjednoduší (novelou sa ruší 11 zvä</w:t>
            </w:r>
            <w:r w:rsidRPr="0035027D">
              <w:rPr>
                <w:rFonts w:cs="Times New Roman"/>
                <w:noProof/>
                <w:sz w:val="20"/>
                <w:szCs w:val="20"/>
              </w:rPr>
              <w:t>č</w:t>
            </w:r>
            <w:r w:rsidRPr="0035027D">
              <w:rPr>
                <w:noProof/>
                <w:sz w:val="20"/>
                <w:szCs w:val="20"/>
              </w:rPr>
              <w:t>ša duplicitných nástrojov) a zní</w:t>
            </w:r>
            <w:r w:rsidRPr="0035027D">
              <w:rPr>
                <w:rFonts w:cs="Times New Roman"/>
                <w:noProof/>
                <w:sz w:val="20"/>
                <w:szCs w:val="20"/>
              </w:rPr>
              <w:t>ž</w:t>
            </w:r>
            <w:r w:rsidRPr="0035027D">
              <w:rPr>
                <w:noProof/>
                <w:sz w:val="20"/>
                <w:szCs w:val="20"/>
              </w:rPr>
              <w:t>i sa administratívna náro</w:t>
            </w:r>
            <w:r w:rsidRPr="0035027D">
              <w:rPr>
                <w:rFonts w:cs="Times New Roman"/>
                <w:noProof/>
                <w:sz w:val="20"/>
                <w:szCs w:val="20"/>
              </w:rPr>
              <w:t>č</w:t>
            </w:r>
            <w:r w:rsidRPr="0035027D">
              <w:rPr>
                <w:noProof/>
                <w:sz w:val="20"/>
                <w:szCs w:val="20"/>
              </w:rPr>
              <w:t>nos</w:t>
            </w:r>
            <w:r w:rsidRPr="0035027D">
              <w:rPr>
                <w:rFonts w:cs="Times New Roman"/>
                <w:noProof/>
                <w:sz w:val="20"/>
                <w:szCs w:val="20"/>
              </w:rPr>
              <w:t>ť</w:t>
            </w:r>
            <w:r w:rsidRPr="0035027D">
              <w:rPr>
                <w:noProof/>
                <w:sz w:val="20"/>
                <w:szCs w:val="20"/>
              </w:rPr>
              <w:t xml:space="preserve"> pri impementácii APTP. Zvyšuje sa dôraz na znevýhodnené skupiny uchádza</w:t>
            </w:r>
            <w:r w:rsidRPr="0035027D">
              <w:rPr>
                <w:rFonts w:cs="Times New Roman"/>
                <w:noProof/>
                <w:sz w:val="20"/>
                <w:szCs w:val="20"/>
              </w:rPr>
              <w:t>č</w:t>
            </w:r>
            <w:r w:rsidRPr="0035027D">
              <w:rPr>
                <w:noProof/>
                <w:sz w:val="20"/>
                <w:szCs w:val="20"/>
              </w:rPr>
              <w:t>ov o zamestnanie, s cie</w:t>
            </w:r>
            <w:r w:rsidRPr="0035027D">
              <w:rPr>
                <w:rFonts w:cs="Times New Roman"/>
                <w:noProof/>
                <w:sz w:val="20"/>
                <w:szCs w:val="20"/>
              </w:rPr>
              <w:t>ľ</w:t>
            </w:r>
            <w:r w:rsidRPr="0035027D">
              <w:rPr>
                <w:noProof/>
                <w:sz w:val="20"/>
                <w:szCs w:val="20"/>
              </w:rPr>
              <w:t>om zvýšit zamestnanos</w:t>
            </w:r>
            <w:r w:rsidRPr="0035027D">
              <w:rPr>
                <w:rFonts w:cs="Times New Roman"/>
                <w:noProof/>
                <w:sz w:val="20"/>
                <w:szCs w:val="20"/>
              </w:rPr>
              <w:t>ť</w:t>
            </w:r>
            <w:r w:rsidRPr="0035027D">
              <w:rPr>
                <w:noProof/>
                <w:sz w:val="20"/>
                <w:szCs w:val="20"/>
              </w:rPr>
              <w:t xml:space="preserve"> mladých uchádza</w:t>
            </w:r>
            <w:r w:rsidRPr="0035027D">
              <w:rPr>
                <w:rFonts w:cs="Times New Roman"/>
                <w:noProof/>
                <w:sz w:val="20"/>
                <w:szCs w:val="20"/>
              </w:rPr>
              <w:t>č</w:t>
            </w:r>
            <w:r w:rsidRPr="0035027D">
              <w:rPr>
                <w:noProof/>
                <w:sz w:val="20"/>
                <w:szCs w:val="20"/>
              </w:rPr>
              <w:t>ov o zamestnanie, nízko kvalifikovaných dlhodobo nezamestnaných, starších a zdravotne postihnutých. Zárove</w:t>
            </w:r>
            <w:r w:rsidRPr="0035027D">
              <w:rPr>
                <w:rFonts w:cs="Times New Roman"/>
                <w:noProof/>
                <w:sz w:val="20"/>
                <w:szCs w:val="20"/>
              </w:rPr>
              <w:t>ň</w:t>
            </w:r>
            <w:r w:rsidRPr="0035027D">
              <w:rPr>
                <w:noProof/>
                <w:sz w:val="20"/>
                <w:szCs w:val="20"/>
              </w:rPr>
              <w:t xml:space="preserve"> sa nahrádza </w:t>
            </w:r>
            <w:r w:rsidR="00F45982" w:rsidRPr="0035027D">
              <w:rPr>
                <w:noProof/>
                <w:sz w:val="20"/>
                <w:szCs w:val="20"/>
              </w:rPr>
              <w:t xml:space="preserve">sedem </w:t>
            </w:r>
            <w:r w:rsidRPr="0035027D">
              <w:rPr>
                <w:noProof/>
                <w:sz w:val="20"/>
                <w:szCs w:val="20"/>
              </w:rPr>
              <w:t>obligatórnych, právne nárokovate</w:t>
            </w:r>
            <w:r w:rsidRPr="0035027D">
              <w:rPr>
                <w:rFonts w:cs="Times New Roman"/>
                <w:noProof/>
                <w:sz w:val="20"/>
                <w:szCs w:val="20"/>
              </w:rPr>
              <w:t>ľ</w:t>
            </w:r>
            <w:r w:rsidRPr="0035027D">
              <w:rPr>
                <w:noProof/>
                <w:sz w:val="20"/>
                <w:szCs w:val="20"/>
              </w:rPr>
              <w:t>ných príspevkov APTP, fakultatívnymi, právne nenárokovate</w:t>
            </w:r>
            <w:r w:rsidRPr="0035027D">
              <w:rPr>
                <w:rFonts w:cs="Times New Roman"/>
                <w:noProof/>
                <w:sz w:val="20"/>
                <w:szCs w:val="20"/>
              </w:rPr>
              <w:t>ľ</w:t>
            </w:r>
            <w:r w:rsidRPr="0035027D">
              <w:rPr>
                <w:noProof/>
                <w:sz w:val="20"/>
                <w:szCs w:val="20"/>
              </w:rPr>
              <w:t>nými. Zámerom opatrenia je zlepšenie efektívnosti zalo</w:t>
            </w:r>
            <w:r w:rsidRPr="0035027D">
              <w:rPr>
                <w:rFonts w:cs="Times New Roman"/>
                <w:noProof/>
                <w:sz w:val="20"/>
                <w:szCs w:val="20"/>
              </w:rPr>
              <w:t>ž</w:t>
            </w:r>
            <w:r w:rsidRPr="0035027D">
              <w:rPr>
                <w:noProof/>
                <w:sz w:val="20"/>
                <w:szCs w:val="20"/>
              </w:rPr>
              <w:t>enej na reálnom vyu</w:t>
            </w:r>
            <w:r w:rsidRPr="0035027D">
              <w:rPr>
                <w:rFonts w:cs="Times New Roman"/>
                <w:noProof/>
                <w:sz w:val="20"/>
                <w:szCs w:val="20"/>
              </w:rPr>
              <w:t>ž</w:t>
            </w:r>
            <w:r w:rsidRPr="0035027D">
              <w:rPr>
                <w:noProof/>
                <w:sz w:val="20"/>
                <w:szCs w:val="20"/>
              </w:rPr>
              <w:t>ívaní a zabránenie zneu</w:t>
            </w:r>
            <w:r w:rsidRPr="0035027D">
              <w:rPr>
                <w:rFonts w:cs="Times New Roman"/>
                <w:noProof/>
                <w:sz w:val="20"/>
                <w:szCs w:val="20"/>
              </w:rPr>
              <w:t>ž</w:t>
            </w:r>
            <w:r w:rsidRPr="0035027D">
              <w:rPr>
                <w:noProof/>
                <w:sz w:val="20"/>
                <w:szCs w:val="20"/>
              </w:rPr>
              <w:t>ívaniu týchto nástrojov.</w:t>
            </w:r>
          </w:p>
          <w:p w:rsidR="00F125F8" w:rsidRPr="0035027D" w:rsidRDefault="00F125F8" w:rsidP="00F125F8">
            <w:pPr>
              <w:spacing w:after="0"/>
              <w:rPr>
                <w:noProof/>
                <w:sz w:val="20"/>
                <w:szCs w:val="20"/>
              </w:rPr>
            </w:pPr>
          </w:p>
          <w:p w:rsidR="00F125F8" w:rsidRPr="0035027D" w:rsidRDefault="00F125F8" w:rsidP="00F125F8">
            <w:pPr>
              <w:spacing w:after="0"/>
              <w:rPr>
                <w:noProof/>
                <w:sz w:val="20"/>
                <w:szCs w:val="20"/>
              </w:rPr>
            </w:pPr>
            <w:r w:rsidRPr="0035027D">
              <w:rPr>
                <w:noProof/>
                <w:sz w:val="20"/>
                <w:szCs w:val="20"/>
              </w:rPr>
              <w:t>Nástroje APTP sa na Slovensku zameriavajú na tieto okruhy:</w:t>
            </w:r>
          </w:p>
          <w:p w:rsidR="00F125F8" w:rsidRPr="0035027D" w:rsidRDefault="00F125F8" w:rsidP="00F125F8">
            <w:pPr>
              <w:pStyle w:val="Odsekzoznamu"/>
              <w:numPr>
                <w:ilvl w:val="0"/>
                <w:numId w:val="9"/>
              </w:numPr>
              <w:spacing w:after="0" w:line="240" w:lineRule="auto"/>
              <w:rPr>
                <w:rFonts w:ascii="Arial Narrow" w:hAnsi="Arial Narrow"/>
                <w:noProof/>
                <w:sz w:val="20"/>
                <w:szCs w:val="20"/>
              </w:rPr>
            </w:pPr>
            <w:r w:rsidRPr="0035027D">
              <w:rPr>
                <w:rFonts w:ascii="Arial Narrow" w:hAnsi="Arial Narrow"/>
                <w:noProof/>
                <w:sz w:val="20"/>
                <w:szCs w:val="20"/>
              </w:rPr>
              <w:t>Podpora na samostatnú zárobkovú činnosť (stimuly k štartu, integrácia postihnutých)</w:t>
            </w:r>
          </w:p>
          <w:p w:rsidR="00F125F8" w:rsidRPr="0035027D" w:rsidRDefault="00F125F8" w:rsidP="00F125F8">
            <w:pPr>
              <w:pStyle w:val="Odsekzoznamu"/>
              <w:numPr>
                <w:ilvl w:val="0"/>
                <w:numId w:val="9"/>
              </w:numPr>
              <w:spacing w:after="0" w:line="240" w:lineRule="auto"/>
              <w:rPr>
                <w:rFonts w:ascii="Arial Narrow" w:hAnsi="Arial Narrow"/>
                <w:noProof/>
                <w:sz w:val="20"/>
                <w:szCs w:val="20"/>
              </w:rPr>
            </w:pPr>
            <w:r w:rsidRPr="0035027D">
              <w:rPr>
                <w:rFonts w:ascii="Arial Narrow" w:hAnsi="Arial Narrow"/>
                <w:noProof/>
                <w:sz w:val="20"/>
                <w:szCs w:val="20"/>
              </w:rPr>
              <w:t>Podpora zamestnávania znevýhodnených uchádzačov o zamestnanie (podnety k zamestnaniu, integrácia postihnutých)</w:t>
            </w:r>
          </w:p>
          <w:p w:rsidR="00F125F8" w:rsidRPr="0035027D" w:rsidRDefault="00F125F8" w:rsidP="00F125F8">
            <w:pPr>
              <w:pStyle w:val="Odsekzoznamu"/>
              <w:numPr>
                <w:ilvl w:val="0"/>
                <w:numId w:val="9"/>
              </w:numPr>
              <w:spacing w:after="0" w:line="240" w:lineRule="auto"/>
              <w:rPr>
                <w:rFonts w:ascii="Arial Narrow" w:hAnsi="Arial Narrow"/>
                <w:noProof/>
                <w:sz w:val="20"/>
                <w:szCs w:val="20"/>
              </w:rPr>
            </w:pPr>
            <w:r w:rsidRPr="0035027D">
              <w:rPr>
                <w:rFonts w:ascii="Arial Narrow" w:hAnsi="Arial Narrow"/>
                <w:noProof/>
                <w:sz w:val="20"/>
                <w:szCs w:val="20"/>
              </w:rPr>
              <w:t>Podpora udržania pracovných miest (podnety k zamestnaniu)</w:t>
            </w:r>
          </w:p>
          <w:p w:rsidR="00F125F8" w:rsidRPr="0035027D" w:rsidRDefault="00F125F8" w:rsidP="00F125F8">
            <w:pPr>
              <w:pStyle w:val="Odsekzoznamu"/>
              <w:numPr>
                <w:ilvl w:val="0"/>
                <w:numId w:val="9"/>
              </w:numPr>
              <w:spacing w:after="0" w:line="240" w:lineRule="auto"/>
              <w:rPr>
                <w:rFonts w:ascii="Arial Narrow" w:hAnsi="Arial Narrow"/>
                <w:noProof/>
                <w:sz w:val="20"/>
                <w:szCs w:val="20"/>
              </w:rPr>
            </w:pPr>
            <w:r w:rsidRPr="0035027D">
              <w:rPr>
                <w:rFonts w:ascii="Arial Narrow" w:hAnsi="Arial Narrow"/>
                <w:noProof/>
                <w:sz w:val="20"/>
                <w:szCs w:val="20"/>
              </w:rPr>
              <w:t>Podpora územnej mobility (podnety k zamestnaniu)</w:t>
            </w:r>
          </w:p>
          <w:p w:rsidR="00F125F8" w:rsidRPr="0035027D" w:rsidRDefault="00F125F8" w:rsidP="00F125F8">
            <w:pPr>
              <w:pStyle w:val="Odsekzoznamu"/>
              <w:numPr>
                <w:ilvl w:val="0"/>
                <w:numId w:val="9"/>
              </w:numPr>
              <w:spacing w:after="0" w:line="240" w:lineRule="auto"/>
              <w:rPr>
                <w:rFonts w:ascii="Arial Narrow" w:hAnsi="Arial Narrow"/>
                <w:noProof/>
                <w:sz w:val="20"/>
                <w:szCs w:val="20"/>
              </w:rPr>
            </w:pPr>
            <w:r w:rsidRPr="0035027D">
              <w:rPr>
                <w:rFonts w:ascii="Arial Narrow" w:hAnsi="Arial Narrow"/>
                <w:noProof/>
                <w:sz w:val="20"/>
                <w:szCs w:val="20"/>
              </w:rPr>
              <w:t>Absolventská prax (podnety k zamestnaniu)</w:t>
            </w:r>
          </w:p>
          <w:p w:rsidR="00F125F8" w:rsidRPr="0035027D" w:rsidRDefault="00F125F8" w:rsidP="00F125F8">
            <w:pPr>
              <w:pStyle w:val="Odsekzoznamu"/>
              <w:numPr>
                <w:ilvl w:val="0"/>
                <w:numId w:val="9"/>
              </w:numPr>
              <w:spacing w:after="0" w:line="240" w:lineRule="auto"/>
              <w:rPr>
                <w:rFonts w:ascii="Arial Narrow" w:hAnsi="Arial Narrow"/>
                <w:noProof/>
                <w:sz w:val="20"/>
                <w:szCs w:val="20"/>
              </w:rPr>
            </w:pPr>
            <w:r w:rsidRPr="0035027D">
              <w:rPr>
                <w:rFonts w:ascii="Arial Narrow" w:hAnsi="Arial Narrow"/>
                <w:noProof/>
                <w:sz w:val="20"/>
                <w:szCs w:val="20"/>
              </w:rPr>
              <w:t xml:space="preserve">Informačné a poradenské služby, odborné poradenské služby </w:t>
            </w:r>
          </w:p>
          <w:p w:rsidR="00F125F8" w:rsidRPr="0035027D" w:rsidRDefault="00F125F8" w:rsidP="00F125F8">
            <w:pPr>
              <w:pStyle w:val="Odsekzoznamu"/>
              <w:numPr>
                <w:ilvl w:val="0"/>
                <w:numId w:val="9"/>
              </w:numPr>
              <w:spacing w:after="0" w:line="240" w:lineRule="auto"/>
              <w:rPr>
                <w:rFonts w:ascii="Arial Narrow" w:hAnsi="Arial Narrow"/>
                <w:noProof/>
                <w:color w:val="000000" w:themeColor="text1"/>
                <w:sz w:val="20"/>
                <w:szCs w:val="20"/>
              </w:rPr>
            </w:pPr>
            <w:r w:rsidRPr="0035027D">
              <w:rPr>
                <w:rFonts w:ascii="Arial Narrow" w:hAnsi="Arial Narrow"/>
                <w:noProof/>
                <w:color w:val="000000" w:themeColor="text1"/>
                <w:sz w:val="20"/>
                <w:szCs w:val="20"/>
              </w:rPr>
              <w:t>Vzdelávanie a príprava pre trh práce (vzdelávanie)</w:t>
            </w:r>
          </w:p>
          <w:p w:rsidR="00F125F8" w:rsidRPr="0035027D" w:rsidRDefault="00F125F8" w:rsidP="00F125F8">
            <w:pPr>
              <w:pStyle w:val="Odsekzoznamu"/>
              <w:numPr>
                <w:ilvl w:val="0"/>
                <w:numId w:val="9"/>
              </w:numPr>
              <w:spacing w:after="0" w:line="240" w:lineRule="auto"/>
              <w:rPr>
                <w:rFonts w:ascii="Arial Narrow" w:hAnsi="Arial Narrow"/>
                <w:noProof/>
                <w:color w:val="000000" w:themeColor="text1"/>
                <w:sz w:val="20"/>
                <w:szCs w:val="20"/>
              </w:rPr>
            </w:pPr>
            <w:r w:rsidRPr="0035027D">
              <w:rPr>
                <w:rFonts w:ascii="Arial Narrow" w:hAnsi="Arial Narrow"/>
                <w:noProof/>
                <w:color w:val="000000" w:themeColor="text1"/>
                <w:sz w:val="20"/>
                <w:szCs w:val="20"/>
              </w:rPr>
              <w:t>Projekty a programy (podnety k zamestnaniu)</w:t>
            </w:r>
          </w:p>
          <w:p w:rsidR="00F125F8" w:rsidRPr="0035027D" w:rsidRDefault="00F125F8" w:rsidP="00F125F8">
            <w:pPr>
              <w:pStyle w:val="Odsekzoznamu"/>
              <w:spacing w:after="0" w:line="240" w:lineRule="auto"/>
              <w:rPr>
                <w:rFonts w:ascii="Arial Narrow" w:hAnsi="Arial Narrow"/>
                <w:noProof/>
                <w:sz w:val="20"/>
                <w:szCs w:val="20"/>
              </w:rPr>
            </w:pPr>
          </w:p>
          <w:p w:rsidR="00F125F8" w:rsidRPr="0035027D" w:rsidRDefault="00F125F8" w:rsidP="00F125F8">
            <w:pPr>
              <w:spacing w:after="0"/>
              <w:rPr>
                <w:noProof/>
                <w:sz w:val="20"/>
                <w:szCs w:val="20"/>
              </w:rPr>
            </w:pPr>
            <w:r w:rsidRPr="0035027D">
              <w:rPr>
                <w:noProof/>
                <w:sz w:val="20"/>
                <w:szCs w:val="20"/>
              </w:rPr>
              <w:t>Na financovanie APTP sa o</w:t>
            </w:r>
            <w:r w:rsidRPr="0035027D">
              <w:rPr>
                <w:rFonts w:cs="Times New Roman"/>
                <w:noProof/>
                <w:sz w:val="20"/>
                <w:szCs w:val="20"/>
              </w:rPr>
              <w:t>č</w:t>
            </w:r>
            <w:r w:rsidRPr="0035027D">
              <w:rPr>
                <w:noProof/>
                <w:sz w:val="20"/>
                <w:szCs w:val="20"/>
              </w:rPr>
              <w:t>akáva vyššie vyu</w:t>
            </w:r>
            <w:r w:rsidRPr="0035027D">
              <w:rPr>
                <w:rFonts w:cs="Times New Roman"/>
                <w:noProof/>
                <w:sz w:val="20"/>
                <w:szCs w:val="20"/>
              </w:rPr>
              <w:t>ž</w:t>
            </w:r>
            <w:r w:rsidRPr="0035027D">
              <w:rPr>
                <w:noProof/>
                <w:sz w:val="20"/>
                <w:szCs w:val="20"/>
              </w:rPr>
              <w:t>itie fondov EÚ. Plánovaný rozpo</w:t>
            </w:r>
            <w:r w:rsidRPr="0035027D">
              <w:rPr>
                <w:rFonts w:cs="Times New Roman"/>
                <w:noProof/>
                <w:sz w:val="20"/>
                <w:szCs w:val="20"/>
              </w:rPr>
              <w:t>č</w:t>
            </w:r>
            <w:r w:rsidRPr="0035027D">
              <w:rPr>
                <w:noProof/>
                <w:sz w:val="20"/>
                <w:szCs w:val="20"/>
              </w:rPr>
              <w:t>et na programy APTP, zah</w:t>
            </w:r>
            <w:r w:rsidRPr="0035027D">
              <w:rPr>
                <w:rFonts w:cs="Times New Roman"/>
                <w:noProof/>
                <w:sz w:val="20"/>
                <w:szCs w:val="20"/>
              </w:rPr>
              <w:t>ŕň</w:t>
            </w:r>
            <w:r w:rsidRPr="0035027D">
              <w:rPr>
                <w:noProof/>
                <w:sz w:val="20"/>
                <w:szCs w:val="20"/>
              </w:rPr>
              <w:t>ajúci zdroje štátneho rozpo</w:t>
            </w:r>
            <w:r w:rsidRPr="0035027D">
              <w:rPr>
                <w:rFonts w:cs="Times New Roman"/>
                <w:noProof/>
                <w:sz w:val="20"/>
                <w:szCs w:val="20"/>
              </w:rPr>
              <w:t>č</w:t>
            </w:r>
            <w:r w:rsidRPr="0035027D">
              <w:rPr>
                <w:noProof/>
                <w:sz w:val="20"/>
                <w:szCs w:val="20"/>
              </w:rPr>
              <w:t>tu a ESF na rok 2013, predstavuje pod</w:t>
            </w:r>
            <w:r w:rsidRPr="0035027D">
              <w:rPr>
                <w:rFonts w:cs="Times New Roman"/>
                <w:noProof/>
                <w:sz w:val="20"/>
                <w:szCs w:val="20"/>
              </w:rPr>
              <w:t>ľ</w:t>
            </w:r>
            <w:r w:rsidRPr="0035027D">
              <w:rPr>
                <w:noProof/>
                <w:sz w:val="20"/>
                <w:szCs w:val="20"/>
              </w:rPr>
              <w:t>a novely zákona o slu</w:t>
            </w:r>
            <w:r w:rsidRPr="0035027D">
              <w:rPr>
                <w:rFonts w:cs="Times New Roman"/>
                <w:noProof/>
                <w:sz w:val="20"/>
                <w:szCs w:val="20"/>
              </w:rPr>
              <w:t>ž</w:t>
            </w:r>
            <w:r w:rsidRPr="0035027D">
              <w:rPr>
                <w:noProof/>
                <w:sz w:val="20"/>
                <w:szCs w:val="20"/>
              </w:rPr>
              <w:t>bách zamestnanosti pribli</w:t>
            </w:r>
            <w:r w:rsidRPr="0035027D">
              <w:rPr>
                <w:rFonts w:cs="Times New Roman"/>
                <w:noProof/>
                <w:sz w:val="20"/>
                <w:szCs w:val="20"/>
              </w:rPr>
              <w:t>ž</w:t>
            </w:r>
            <w:r w:rsidRPr="0035027D">
              <w:rPr>
                <w:noProof/>
                <w:sz w:val="20"/>
                <w:szCs w:val="20"/>
              </w:rPr>
              <w:t>ne 166 miliónov eur. Novela takisto predpokladá zlepšenie plánovania a vykazovania o</w:t>
            </w:r>
            <w:r w:rsidRPr="0035027D">
              <w:rPr>
                <w:rFonts w:cs="Times New Roman"/>
                <w:noProof/>
                <w:sz w:val="20"/>
                <w:szCs w:val="20"/>
              </w:rPr>
              <w:t>č</w:t>
            </w:r>
            <w:r w:rsidRPr="0035027D">
              <w:rPr>
                <w:noProof/>
                <w:sz w:val="20"/>
                <w:szCs w:val="20"/>
              </w:rPr>
              <w:t xml:space="preserve">akávaných výdavkov na jednotlivé programy v </w:t>
            </w:r>
            <w:r w:rsidRPr="0035027D">
              <w:rPr>
                <w:rFonts w:cs="Times New Roman"/>
                <w:noProof/>
                <w:sz w:val="20"/>
                <w:szCs w:val="20"/>
              </w:rPr>
              <w:t>č</w:t>
            </w:r>
            <w:r w:rsidRPr="0035027D">
              <w:rPr>
                <w:noProof/>
                <w:sz w:val="20"/>
                <w:szCs w:val="20"/>
              </w:rPr>
              <w:t xml:space="preserve">lenení na </w:t>
            </w:r>
            <w:r w:rsidRPr="0035027D">
              <w:rPr>
                <w:noProof/>
                <w:sz w:val="20"/>
                <w:szCs w:val="20"/>
              </w:rPr>
              <w:lastRenderedPageBreak/>
              <w:t xml:space="preserve">zdroje z fondov EÚ a ŠR. </w:t>
            </w:r>
          </w:p>
          <w:p w:rsidR="00F125F8" w:rsidRPr="0035027D" w:rsidRDefault="00F125F8" w:rsidP="00F125F8">
            <w:pPr>
              <w:spacing w:after="0"/>
              <w:rPr>
                <w:noProof/>
                <w:sz w:val="20"/>
                <w:szCs w:val="20"/>
              </w:rPr>
            </w:pPr>
          </w:p>
          <w:tbl>
            <w:tblPr>
              <w:tblW w:w="9280" w:type="dxa"/>
              <w:tblLayout w:type="fixed"/>
              <w:tblCellMar>
                <w:left w:w="70" w:type="dxa"/>
                <w:right w:w="70" w:type="dxa"/>
              </w:tblCellMar>
              <w:tblLook w:val="0000" w:firstRow="0" w:lastRow="0" w:firstColumn="0" w:lastColumn="0" w:noHBand="0" w:noVBand="0"/>
            </w:tblPr>
            <w:tblGrid>
              <w:gridCol w:w="4501"/>
              <w:gridCol w:w="160"/>
              <w:gridCol w:w="4619"/>
            </w:tblGrid>
            <w:tr w:rsidR="00F125F8" w:rsidRPr="0035027D" w:rsidTr="007B1F06">
              <w:trPr>
                <w:trHeight w:val="275"/>
              </w:trPr>
              <w:tc>
                <w:tcPr>
                  <w:tcW w:w="4501" w:type="dxa"/>
                  <w:tcBorders>
                    <w:top w:val="nil"/>
                    <w:left w:val="nil"/>
                    <w:bottom w:val="nil"/>
                    <w:right w:val="nil"/>
                  </w:tcBorders>
                  <w:shd w:val="clear" w:color="auto" w:fill="000000"/>
                  <w:vAlign w:val="center"/>
                </w:tcPr>
                <w:p w:rsidR="00F125F8" w:rsidRPr="0035027D" w:rsidRDefault="004469FB" w:rsidP="007B1F06">
                  <w:pPr>
                    <w:spacing w:after="0"/>
                    <w:rPr>
                      <w:b/>
                      <w:bCs/>
                      <w:color w:val="FFFFFF"/>
                      <w:sz w:val="18"/>
                      <w:szCs w:val="20"/>
                    </w:rPr>
                  </w:pPr>
                  <w:r w:rsidRPr="0035027D">
                    <w:rPr>
                      <w:b/>
                      <w:bCs/>
                      <w:color w:val="FFFFFF"/>
                      <w:sz w:val="18"/>
                      <w:szCs w:val="20"/>
                    </w:rPr>
                    <w:t xml:space="preserve">Graf 3: </w:t>
                  </w:r>
                  <w:r w:rsidR="00F125F8" w:rsidRPr="0035027D">
                    <w:rPr>
                      <w:b/>
                      <w:bCs/>
                      <w:color w:val="FFFFFF"/>
                      <w:sz w:val="18"/>
                      <w:szCs w:val="20"/>
                    </w:rPr>
                    <w:t>Výdavky na APTP v mil. eur</w:t>
                  </w:r>
                </w:p>
              </w:tc>
              <w:tc>
                <w:tcPr>
                  <w:tcW w:w="160" w:type="dxa"/>
                  <w:tcBorders>
                    <w:top w:val="nil"/>
                    <w:left w:val="nil"/>
                    <w:bottom w:val="nil"/>
                    <w:right w:val="nil"/>
                  </w:tcBorders>
                  <w:vAlign w:val="center"/>
                </w:tcPr>
                <w:p w:rsidR="00F125F8" w:rsidRPr="0035027D" w:rsidRDefault="00F125F8" w:rsidP="007B1F06">
                  <w:pPr>
                    <w:spacing w:after="0"/>
                    <w:rPr>
                      <w:b/>
                      <w:bCs/>
                      <w:color w:val="FFFFFF"/>
                      <w:sz w:val="18"/>
                      <w:szCs w:val="20"/>
                    </w:rPr>
                  </w:pPr>
                </w:p>
              </w:tc>
              <w:tc>
                <w:tcPr>
                  <w:tcW w:w="4619" w:type="dxa"/>
                  <w:tcBorders>
                    <w:top w:val="nil"/>
                    <w:left w:val="nil"/>
                    <w:bottom w:val="nil"/>
                    <w:right w:val="nil"/>
                  </w:tcBorders>
                  <w:shd w:val="clear" w:color="auto" w:fill="000000"/>
                  <w:vAlign w:val="center"/>
                </w:tcPr>
                <w:p w:rsidR="00F125F8" w:rsidRPr="0035027D" w:rsidRDefault="004469FB" w:rsidP="007B1F06">
                  <w:pPr>
                    <w:spacing w:after="0"/>
                    <w:rPr>
                      <w:b/>
                      <w:bCs/>
                      <w:sz w:val="18"/>
                      <w:szCs w:val="20"/>
                    </w:rPr>
                  </w:pPr>
                  <w:r w:rsidRPr="0035027D">
                    <w:rPr>
                      <w:b/>
                      <w:bCs/>
                      <w:color w:val="FFFFFF"/>
                      <w:sz w:val="18"/>
                      <w:szCs w:val="20"/>
                    </w:rPr>
                    <w:t xml:space="preserve">Graf 4: </w:t>
                  </w:r>
                  <w:r w:rsidR="00F125F8" w:rsidRPr="0035027D">
                    <w:rPr>
                      <w:b/>
                      <w:bCs/>
                      <w:color w:val="FFFFFF"/>
                      <w:sz w:val="18"/>
                      <w:szCs w:val="20"/>
                    </w:rPr>
                    <w:t>Štruktúra výdavkov APTP, % z celkových výdavkov</w:t>
                  </w:r>
                </w:p>
              </w:tc>
            </w:tr>
            <w:tr w:rsidR="00F125F8" w:rsidRPr="0035027D" w:rsidTr="007B1F06">
              <w:trPr>
                <w:trHeight w:val="2471"/>
              </w:trPr>
              <w:tc>
                <w:tcPr>
                  <w:tcW w:w="4501" w:type="dxa"/>
                  <w:tcBorders>
                    <w:top w:val="nil"/>
                    <w:left w:val="nil"/>
                    <w:bottom w:val="single" w:sz="8" w:space="0" w:color="auto"/>
                    <w:right w:val="nil"/>
                  </w:tcBorders>
                </w:tcPr>
                <w:p w:rsidR="00F125F8" w:rsidRPr="0035027D" w:rsidRDefault="00F125F8" w:rsidP="007B1F06">
                  <w:pPr>
                    <w:spacing w:after="0"/>
                    <w:rPr>
                      <w:rFonts w:cs="Garamond"/>
                      <w:b/>
                      <w:bCs/>
                      <w:sz w:val="20"/>
                      <w:szCs w:val="20"/>
                    </w:rPr>
                  </w:pPr>
                  <w:r w:rsidRPr="0035027D">
                    <w:rPr>
                      <w:rFonts w:cs="Garamond"/>
                      <w:b/>
                      <w:bCs/>
                      <w:noProof/>
                      <w:sz w:val="20"/>
                      <w:szCs w:val="20"/>
                    </w:rPr>
                    <w:drawing>
                      <wp:inline distT="0" distB="0" distL="0" distR="0" wp14:anchorId="1600C8AB" wp14:editId="371EFCF3">
                        <wp:extent cx="2780030" cy="2182495"/>
                        <wp:effectExtent l="0" t="0" r="1270" b="825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80030" cy="2182495"/>
                                </a:xfrm>
                                <a:prstGeom prst="rect">
                                  <a:avLst/>
                                </a:prstGeom>
                                <a:noFill/>
                              </pic:spPr>
                            </pic:pic>
                          </a:graphicData>
                        </a:graphic>
                      </wp:inline>
                    </w:drawing>
                  </w:r>
                </w:p>
              </w:tc>
              <w:tc>
                <w:tcPr>
                  <w:tcW w:w="160" w:type="dxa"/>
                  <w:tcBorders>
                    <w:top w:val="nil"/>
                    <w:left w:val="nil"/>
                    <w:bottom w:val="nil"/>
                    <w:right w:val="nil"/>
                  </w:tcBorders>
                </w:tcPr>
                <w:p w:rsidR="00F125F8" w:rsidRPr="0035027D" w:rsidRDefault="00F125F8" w:rsidP="007B1F06">
                  <w:pPr>
                    <w:spacing w:after="0"/>
                    <w:rPr>
                      <w:rFonts w:cs="Garamond"/>
                      <w:b/>
                      <w:bCs/>
                      <w:sz w:val="20"/>
                      <w:szCs w:val="20"/>
                    </w:rPr>
                  </w:pPr>
                </w:p>
              </w:tc>
              <w:tc>
                <w:tcPr>
                  <w:tcW w:w="4619" w:type="dxa"/>
                  <w:tcBorders>
                    <w:top w:val="nil"/>
                    <w:left w:val="nil"/>
                    <w:bottom w:val="single" w:sz="8" w:space="0" w:color="auto"/>
                    <w:right w:val="nil"/>
                  </w:tcBorders>
                </w:tcPr>
                <w:p w:rsidR="00F125F8" w:rsidRPr="0035027D" w:rsidRDefault="00F125F8" w:rsidP="007B1F06">
                  <w:pPr>
                    <w:spacing w:after="0"/>
                    <w:rPr>
                      <w:rFonts w:cs="Garamond"/>
                      <w:b/>
                      <w:bCs/>
                      <w:sz w:val="20"/>
                      <w:szCs w:val="20"/>
                    </w:rPr>
                  </w:pPr>
                  <w:r w:rsidRPr="0035027D">
                    <w:rPr>
                      <w:rFonts w:cs="Garamond"/>
                      <w:b/>
                      <w:bCs/>
                      <w:noProof/>
                      <w:sz w:val="20"/>
                      <w:szCs w:val="20"/>
                    </w:rPr>
                    <w:drawing>
                      <wp:inline distT="0" distB="0" distL="0" distR="0" wp14:anchorId="3ADAC2EE" wp14:editId="7574F754">
                        <wp:extent cx="2837837" cy="2182483"/>
                        <wp:effectExtent l="0" t="0" r="635"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0990" cy="2184908"/>
                                </a:xfrm>
                                <a:prstGeom prst="rect">
                                  <a:avLst/>
                                </a:prstGeom>
                                <a:noFill/>
                              </pic:spPr>
                            </pic:pic>
                          </a:graphicData>
                        </a:graphic>
                      </wp:inline>
                    </w:drawing>
                  </w:r>
                </w:p>
              </w:tc>
            </w:tr>
            <w:tr w:rsidR="00F125F8" w:rsidRPr="0035027D" w:rsidTr="007B1F06">
              <w:trPr>
                <w:trHeight w:val="432"/>
              </w:trPr>
              <w:tc>
                <w:tcPr>
                  <w:tcW w:w="4501" w:type="dxa"/>
                  <w:tcBorders>
                    <w:top w:val="nil"/>
                    <w:left w:val="nil"/>
                    <w:bottom w:val="nil"/>
                    <w:right w:val="nil"/>
                  </w:tcBorders>
                </w:tcPr>
                <w:p w:rsidR="00F125F8" w:rsidRPr="0035027D" w:rsidRDefault="00F125F8" w:rsidP="009F71F3">
                  <w:pPr>
                    <w:spacing w:after="0"/>
                    <w:jc w:val="right"/>
                    <w:rPr>
                      <w:i/>
                      <w:iCs/>
                      <w:sz w:val="16"/>
                      <w:szCs w:val="16"/>
                    </w:rPr>
                  </w:pPr>
                  <w:r w:rsidRPr="0035027D">
                    <w:rPr>
                      <w:i/>
                      <w:iCs/>
                      <w:sz w:val="16"/>
                      <w:szCs w:val="16"/>
                    </w:rPr>
                    <w:t xml:space="preserve">Zdroj: ÚPSVR, MPSVR </w:t>
                  </w:r>
                </w:p>
              </w:tc>
              <w:tc>
                <w:tcPr>
                  <w:tcW w:w="160" w:type="dxa"/>
                  <w:tcBorders>
                    <w:top w:val="nil"/>
                    <w:left w:val="nil"/>
                    <w:bottom w:val="nil"/>
                    <w:right w:val="nil"/>
                  </w:tcBorders>
                </w:tcPr>
                <w:p w:rsidR="00F125F8" w:rsidRPr="0035027D" w:rsidRDefault="00F125F8" w:rsidP="007B1F06">
                  <w:pPr>
                    <w:spacing w:after="0"/>
                    <w:rPr>
                      <w:i/>
                      <w:iCs/>
                      <w:sz w:val="16"/>
                      <w:szCs w:val="16"/>
                    </w:rPr>
                  </w:pPr>
                </w:p>
              </w:tc>
              <w:tc>
                <w:tcPr>
                  <w:tcW w:w="4619" w:type="dxa"/>
                  <w:tcBorders>
                    <w:top w:val="nil"/>
                    <w:left w:val="nil"/>
                    <w:bottom w:val="nil"/>
                    <w:right w:val="nil"/>
                  </w:tcBorders>
                </w:tcPr>
                <w:p w:rsidR="00F125F8" w:rsidRPr="0035027D" w:rsidRDefault="009F71F3" w:rsidP="009F71F3">
                  <w:pPr>
                    <w:spacing w:after="0"/>
                    <w:jc w:val="right"/>
                    <w:rPr>
                      <w:i/>
                      <w:iCs/>
                      <w:sz w:val="16"/>
                      <w:szCs w:val="16"/>
                    </w:rPr>
                  </w:pPr>
                  <w:r w:rsidRPr="0035027D">
                    <w:rPr>
                      <w:i/>
                      <w:iCs/>
                      <w:sz w:val="16"/>
                      <w:szCs w:val="16"/>
                    </w:rPr>
                    <w:t>Zdroj: ÚPSVR, MPSVR</w:t>
                  </w:r>
                  <w:r w:rsidR="00F125F8" w:rsidRPr="0035027D">
                    <w:rPr>
                      <w:i/>
                      <w:iCs/>
                      <w:sz w:val="16"/>
                      <w:szCs w:val="16"/>
                    </w:rPr>
                    <w:t xml:space="preserve">, Eurostat (bez Veľkej Británie) </w:t>
                  </w:r>
                </w:p>
              </w:tc>
            </w:tr>
          </w:tbl>
          <w:p w:rsidR="00D5248D" w:rsidRPr="0035027D" w:rsidRDefault="00F125F8" w:rsidP="00AE2C17">
            <w:pPr>
              <w:spacing w:after="240"/>
              <w:rPr>
                <w:noProof/>
                <w:sz w:val="20"/>
                <w:szCs w:val="20"/>
              </w:rPr>
            </w:pPr>
            <w:r w:rsidRPr="0035027D">
              <w:rPr>
                <w:sz w:val="20"/>
                <w:szCs w:val="20"/>
              </w:rPr>
              <w:t>Slovensko vynakladá na APTP zhruba 0,23 % HDP, pri</w:t>
            </w:r>
            <w:r w:rsidRPr="0035027D">
              <w:rPr>
                <w:rFonts w:cs="Times New Roman"/>
                <w:sz w:val="20"/>
                <w:szCs w:val="20"/>
              </w:rPr>
              <w:t>č</w:t>
            </w:r>
            <w:r w:rsidRPr="0035027D">
              <w:rPr>
                <w:sz w:val="20"/>
                <w:szCs w:val="20"/>
              </w:rPr>
              <w:t>om priemerné výdavky EÚ na túto oblas</w:t>
            </w:r>
            <w:r w:rsidRPr="0035027D">
              <w:rPr>
                <w:rFonts w:cs="Times New Roman"/>
                <w:sz w:val="20"/>
                <w:szCs w:val="20"/>
              </w:rPr>
              <w:t>ť</w:t>
            </w:r>
            <w:r w:rsidRPr="0035027D">
              <w:rPr>
                <w:sz w:val="20"/>
                <w:szCs w:val="20"/>
              </w:rPr>
              <w:t xml:space="preserve"> tvorili v roku 2010 pribli</w:t>
            </w:r>
            <w:r w:rsidRPr="0035027D">
              <w:rPr>
                <w:rFonts w:cs="Times New Roman"/>
                <w:sz w:val="20"/>
                <w:szCs w:val="20"/>
              </w:rPr>
              <w:t>ž</w:t>
            </w:r>
            <w:r w:rsidRPr="0035027D">
              <w:rPr>
                <w:sz w:val="20"/>
                <w:szCs w:val="20"/>
              </w:rPr>
              <w:t>ne 0,7 % HDP. K najviac financovaným nástrojom APTP v EÚ a OECD (v priemere viac ako tretina výdavkov v krajinách EÚ) patria vzdelávacie programy a aktivity, a zárove</w:t>
            </w:r>
            <w:r w:rsidRPr="0035027D">
              <w:rPr>
                <w:rFonts w:cs="Times New Roman"/>
                <w:sz w:val="20"/>
                <w:szCs w:val="20"/>
              </w:rPr>
              <w:t>ň</w:t>
            </w:r>
            <w:r w:rsidRPr="0035027D">
              <w:rPr>
                <w:sz w:val="20"/>
                <w:szCs w:val="20"/>
              </w:rPr>
              <w:t xml:space="preserve"> výrazne prispievajú k návratu nezamestnaných do pracovného procesu. Slovensko vynakladá na tento okruh nástrojov menej ako 10 % z celkových výdavkov na nástroje APTP. V strednodobom horizonte sa preto odporú</w:t>
            </w:r>
            <w:r w:rsidRPr="0035027D">
              <w:rPr>
                <w:rFonts w:cs="Times New Roman"/>
                <w:sz w:val="20"/>
                <w:szCs w:val="20"/>
              </w:rPr>
              <w:t>č</w:t>
            </w:r>
            <w:r w:rsidRPr="0035027D">
              <w:rPr>
                <w:sz w:val="20"/>
                <w:szCs w:val="20"/>
              </w:rPr>
              <w:t>a zvýši</w:t>
            </w:r>
            <w:r w:rsidRPr="0035027D">
              <w:rPr>
                <w:rFonts w:cs="Times New Roman"/>
                <w:sz w:val="20"/>
                <w:szCs w:val="20"/>
              </w:rPr>
              <w:t>ť</w:t>
            </w:r>
            <w:r w:rsidRPr="0035027D">
              <w:rPr>
                <w:sz w:val="20"/>
                <w:szCs w:val="20"/>
              </w:rPr>
              <w:t xml:space="preserve"> podiel vzdelávacích programov a zabezpe</w:t>
            </w:r>
            <w:r w:rsidRPr="0035027D">
              <w:rPr>
                <w:rFonts w:cs="Times New Roman"/>
                <w:sz w:val="20"/>
                <w:szCs w:val="20"/>
              </w:rPr>
              <w:t>č</w:t>
            </w:r>
            <w:r w:rsidRPr="0035027D">
              <w:rPr>
                <w:sz w:val="20"/>
                <w:szCs w:val="20"/>
              </w:rPr>
              <w:t>i</w:t>
            </w:r>
            <w:r w:rsidRPr="0035027D">
              <w:rPr>
                <w:rFonts w:cs="Times New Roman"/>
                <w:sz w:val="20"/>
                <w:szCs w:val="20"/>
              </w:rPr>
              <w:t>ť</w:t>
            </w:r>
            <w:r w:rsidRPr="0035027D">
              <w:rPr>
                <w:sz w:val="20"/>
                <w:szCs w:val="20"/>
              </w:rPr>
              <w:t xml:space="preserve"> ich ú</w:t>
            </w:r>
            <w:r w:rsidRPr="0035027D">
              <w:rPr>
                <w:rFonts w:cs="Times New Roman"/>
                <w:sz w:val="20"/>
                <w:szCs w:val="20"/>
              </w:rPr>
              <w:t>č</w:t>
            </w:r>
            <w:r w:rsidRPr="0035027D">
              <w:rPr>
                <w:sz w:val="20"/>
                <w:szCs w:val="20"/>
              </w:rPr>
              <w:t>innos</w:t>
            </w:r>
            <w:r w:rsidRPr="0035027D">
              <w:rPr>
                <w:rFonts w:cs="Times New Roman"/>
                <w:sz w:val="20"/>
                <w:szCs w:val="20"/>
              </w:rPr>
              <w:t>ť</w:t>
            </w:r>
            <w:r w:rsidRPr="0035027D">
              <w:rPr>
                <w:sz w:val="20"/>
                <w:szCs w:val="20"/>
              </w:rPr>
              <w:t xml:space="preserve"> v súlade s odporú</w:t>
            </w:r>
            <w:r w:rsidRPr="0035027D">
              <w:rPr>
                <w:rFonts w:cs="Times New Roman"/>
                <w:sz w:val="20"/>
                <w:szCs w:val="20"/>
              </w:rPr>
              <w:t>č</w:t>
            </w:r>
            <w:r w:rsidRPr="0035027D">
              <w:rPr>
                <w:sz w:val="20"/>
                <w:szCs w:val="20"/>
              </w:rPr>
              <w:t>aniami OECD. K dosiahnutiu vyššej efektivity je zárove</w:t>
            </w:r>
            <w:r w:rsidRPr="0035027D">
              <w:rPr>
                <w:rFonts w:cs="Times New Roman"/>
                <w:sz w:val="20"/>
                <w:szCs w:val="20"/>
              </w:rPr>
              <w:t>ň</w:t>
            </w:r>
            <w:r w:rsidRPr="0035027D">
              <w:rPr>
                <w:sz w:val="20"/>
                <w:szCs w:val="20"/>
              </w:rPr>
              <w:t xml:space="preserve"> potrebné zlepši</w:t>
            </w:r>
            <w:r w:rsidRPr="0035027D">
              <w:rPr>
                <w:rFonts w:cs="Times New Roman"/>
                <w:sz w:val="20"/>
                <w:szCs w:val="20"/>
              </w:rPr>
              <w:t>ť</w:t>
            </w:r>
            <w:r w:rsidRPr="0035027D">
              <w:rPr>
                <w:sz w:val="20"/>
                <w:szCs w:val="20"/>
              </w:rPr>
              <w:t xml:space="preserve"> prepojenie vzdelávania s potrebami miestnych zamestnávate</w:t>
            </w:r>
            <w:r w:rsidRPr="0035027D">
              <w:rPr>
                <w:rFonts w:cs="Times New Roman"/>
                <w:sz w:val="20"/>
                <w:szCs w:val="20"/>
              </w:rPr>
              <w:t>ľ</w:t>
            </w:r>
            <w:r w:rsidRPr="0035027D">
              <w:rPr>
                <w:sz w:val="20"/>
                <w:szCs w:val="20"/>
              </w:rPr>
              <w:t xml:space="preserve">ov, </w:t>
            </w:r>
            <w:r w:rsidR="00AE2C17" w:rsidRPr="0035027D">
              <w:rPr>
                <w:sz w:val="20"/>
                <w:szCs w:val="20"/>
              </w:rPr>
              <w:t xml:space="preserve">a </w:t>
            </w:r>
            <w:r w:rsidRPr="0035027D">
              <w:rPr>
                <w:sz w:val="20"/>
                <w:szCs w:val="20"/>
              </w:rPr>
              <w:t>monitorova</w:t>
            </w:r>
            <w:r w:rsidRPr="0035027D">
              <w:rPr>
                <w:rFonts w:cs="Times New Roman"/>
                <w:sz w:val="20"/>
                <w:szCs w:val="20"/>
              </w:rPr>
              <w:t>ť</w:t>
            </w:r>
            <w:r w:rsidRPr="0035027D">
              <w:rPr>
                <w:sz w:val="20"/>
                <w:szCs w:val="20"/>
              </w:rPr>
              <w:t xml:space="preserve"> a prognózova</w:t>
            </w:r>
            <w:r w:rsidRPr="0035027D">
              <w:rPr>
                <w:rFonts w:cs="Times New Roman"/>
                <w:sz w:val="20"/>
                <w:szCs w:val="20"/>
              </w:rPr>
              <w:t>ť</w:t>
            </w:r>
            <w:r w:rsidRPr="0035027D">
              <w:rPr>
                <w:sz w:val="20"/>
                <w:szCs w:val="20"/>
              </w:rPr>
              <w:t xml:space="preserve"> miestny dopyt po vzdelaní.</w:t>
            </w:r>
          </w:p>
        </w:tc>
      </w:tr>
    </w:tbl>
    <w:p w:rsidR="00D5248D" w:rsidRPr="0035027D" w:rsidRDefault="00D5248D" w:rsidP="00AC015D">
      <w:pPr>
        <w:spacing w:after="0"/>
      </w:pPr>
    </w:p>
    <w:p w:rsidR="00515596" w:rsidRPr="0035027D" w:rsidRDefault="00515596" w:rsidP="00AC015D">
      <w:pPr>
        <w:spacing w:after="0"/>
        <w:jc w:val="left"/>
        <w:rPr>
          <w:rFonts w:cs="Times New Roman"/>
          <w:b/>
          <w:lang w:eastAsia="en-US"/>
        </w:rPr>
      </w:pPr>
    </w:p>
    <w:p w:rsidR="00515596" w:rsidRPr="0035027D" w:rsidRDefault="00515596" w:rsidP="003C29D5">
      <w:pPr>
        <w:pStyle w:val="Odsekzoznamu"/>
        <w:numPr>
          <w:ilvl w:val="0"/>
          <w:numId w:val="3"/>
        </w:numPr>
        <w:spacing w:after="0" w:line="240" w:lineRule="auto"/>
        <w:ind w:left="284" w:hanging="284"/>
        <w:jc w:val="both"/>
        <w:rPr>
          <w:rFonts w:ascii="Arial Narrow" w:hAnsi="Arial Narrow"/>
          <w:b/>
        </w:rPr>
      </w:pPr>
      <w:r w:rsidRPr="0035027D">
        <w:rPr>
          <w:rFonts w:ascii="Arial Narrow" w:hAnsi="Arial Narrow"/>
          <w:b/>
        </w:rPr>
        <w:t>Kvalitné vzdelanie a uplatnenie na trhu práce pre mladých</w:t>
      </w:r>
    </w:p>
    <w:p w:rsidR="00515596" w:rsidRPr="0035027D" w:rsidRDefault="00515596" w:rsidP="00AC015D">
      <w:pPr>
        <w:tabs>
          <w:tab w:val="left" w:pos="1125"/>
        </w:tabs>
        <w:spacing w:after="0"/>
        <w:contextualSpacing/>
        <w:rPr>
          <w:b/>
          <w:i/>
          <w:szCs w:val="36"/>
          <w:lang w:eastAsia="en-US"/>
        </w:rPr>
      </w:pPr>
      <w:r w:rsidRPr="0035027D">
        <w:rPr>
          <w:b/>
          <w:i/>
          <w:szCs w:val="36"/>
          <w:lang w:eastAsia="en-US"/>
        </w:rPr>
        <w:tab/>
      </w:r>
    </w:p>
    <w:p w:rsidR="00515596" w:rsidRPr="0035027D" w:rsidRDefault="00EC78A4" w:rsidP="00AC015D">
      <w:pPr>
        <w:spacing w:after="0"/>
        <w:contextualSpacing/>
        <w:rPr>
          <w:b/>
          <w:i/>
          <w:szCs w:val="36"/>
          <w:lang w:eastAsia="en-US"/>
        </w:rPr>
      </w:pPr>
      <w:r w:rsidRPr="0035027D">
        <w:rPr>
          <w:b/>
          <w:i/>
          <w:szCs w:val="36"/>
          <w:lang w:eastAsia="en-US"/>
        </w:rPr>
        <w:t xml:space="preserve">(CSR5) </w:t>
      </w:r>
      <w:r w:rsidR="00515596" w:rsidRPr="0035027D">
        <w:rPr>
          <w:b/>
          <w:i/>
          <w:szCs w:val="36"/>
          <w:lang w:eastAsia="en-US"/>
        </w:rPr>
        <w:t>Prijať a vykonať akčný plán pre mládež, najmä pokiaľ ide o kvalitu a význam vzdelávania a odborného vzdelávania pre trh práce, a to aj prostredníctvom zavedenia systému učňovského vzdelávania. Zlepšiť kvalitu vyššieho vzdelávania posilnením zabezpečenia kvality a orientácie na výsledky.</w:t>
      </w:r>
    </w:p>
    <w:p w:rsidR="00515596" w:rsidRPr="0035027D" w:rsidRDefault="00515596" w:rsidP="00AC015D">
      <w:pPr>
        <w:pStyle w:val="Odsekzoznamu"/>
        <w:spacing w:after="0" w:line="240" w:lineRule="auto"/>
        <w:ind w:left="0"/>
        <w:jc w:val="both"/>
        <w:rPr>
          <w:rFonts w:ascii="Arial Narrow" w:hAnsi="Arial Narrow"/>
          <w:color w:val="000000"/>
        </w:rPr>
      </w:pPr>
    </w:p>
    <w:p w:rsidR="00515596" w:rsidRPr="0035027D" w:rsidRDefault="00515596" w:rsidP="00AC015D">
      <w:pPr>
        <w:pStyle w:val="Odsekzoznamu"/>
        <w:spacing w:after="0" w:line="240" w:lineRule="auto"/>
        <w:ind w:left="0"/>
        <w:jc w:val="both"/>
        <w:rPr>
          <w:rFonts w:ascii="Arial Narrow" w:hAnsi="Arial Narrow"/>
          <w:color w:val="000000"/>
        </w:rPr>
      </w:pPr>
      <w:r w:rsidRPr="0035027D">
        <w:rPr>
          <w:rFonts w:ascii="Arial Narrow" w:hAnsi="Arial Narrow"/>
          <w:color w:val="000000"/>
        </w:rPr>
        <w:t xml:space="preserve">V novembri 2012 Ústredie práce, sociálnych vecí a rodiny zverejnilo prvú výzvu na predkladanie žiadostí o poskytnutie </w:t>
      </w:r>
      <w:r w:rsidRPr="0035027D">
        <w:rPr>
          <w:rFonts w:ascii="Arial Narrow" w:hAnsi="Arial Narrow"/>
          <w:b/>
          <w:color w:val="000000"/>
        </w:rPr>
        <w:t>finančného príspevku na podporu vytvárania pracovných miest</w:t>
      </w:r>
      <w:r w:rsidRPr="0035027D">
        <w:rPr>
          <w:rFonts w:ascii="Arial Narrow" w:hAnsi="Arial Narrow"/>
          <w:color w:val="000000"/>
        </w:rPr>
        <w:t>. Pracovné miesta pre uchádzačov o zamestnanie do 29 rokov budú musieť byť preukázateľne nové. Dôraz bude kladený na podporu pracovných miest v regiónoch s najvyššou nezamestnanosťou. Projekt je financovaný zo štrukturálnych fondov EÚ.</w:t>
      </w:r>
    </w:p>
    <w:p w:rsidR="00515596" w:rsidRPr="0035027D" w:rsidRDefault="00515596" w:rsidP="00AC015D">
      <w:pPr>
        <w:pStyle w:val="Odsekzoznamu"/>
        <w:spacing w:after="0" w:line="240" w:lineRule="auto"/>
        <w:ind w:left="0"/>
        <w:jc w:val="both"/>
        <w:rPr>
          <w:rFonts w:ascii="Arial Narrow" w:hAnsi="Arial Narrow"/>
          <w:color w:val="000000"/>
        </w:rPr>
      </w:pPr>
    </w:p>
    <w:p w:rsidR="00515596" w:rsidRPr="0035027D" w:rsidRDefault="009F71F3" w:rsidP="00AC015D">
      <w:pPr>
        <w:pStyle w:val="Odsekzoznamu"/>
        <w:spacing w:after="0" w:line="240" w:lineRule="auto"/>
        <w:ind w:left="0"/>
        <w:jc w:val="both"/>
        <w:rPr>
          <w:rFonts w:ascii="Arial Narrow" w:hAnsi="Arial Narrow"/>
          <w:color w:val="000000"/>
        </w:rPr>
      </w:pPr>
      <w:r w:rsidRPr="0035027D">
        <w:rPr>
          <w:rFonts w:ascii="Arial Narrow" w:hAnsi="Arial Narrow"/>
          <w:color w:val="000000"/>
        </w:rPr>
        <w:t>Bol prijatý</w:t>
      </w:r>
      <w:r w:rsidRPr="0035027D">
        <w:rPr>
          <w:rFonts w:ascii="Arial Narrow" w:hAnsi="Arial Narrow"/>
          <w:b/>
          <w:color w:val="000000"/>
        </w:rPr>
        <w:t xml:space="preserve"> </w:t>
      </w:r>
      <w:r w:rsidR="00515596" w:rsidRPr="0035027D">
        <w:rPr>
          <w:rFonts w:ascii="Arial Narrow" w:hAnsi="Arial Narrow"/>
          <w:b/>
          <w:color w:val="000000"/>
        </w:rPr>
        <w:t>Akčný plán pre mládež (APM).</w:t>
      </w:r>
      <w:r w:rsidR="00515596" w:rsidRPr="0035027D">
        <w:rPr>
          <w:rFonts w:ascii="Arial Narrow" w:hAnsi="Arial Narrow"/>
          <w:color w:val="000000"/>
        </w:rPr>
        <w:t xml:space="preserve"> Obsahuje 7 opatrení zameraných najmä na kvalitu a význam vzdelávania vrátane odborného vzdelávania a prípravy. Prioritnými aktivitami sú najmä odborné vzdelávanie a príprava v podnikoch, identifikácia sektorovej potreby zručností na trhu práce a transfer opisu zručností do obsahu od</w:t>
      </w:r>
      <w:r w:rsidR="007C7C35" w:rsidRPr="0035027D">
        <w:rPr>
          <w:rFonts w:ascii="Arial Narrow" w:hAnsi="Arial Narrow"/>
          <w:color w:val="000000"/>
        </w:rPr>
        <w:t>borného vzdelávania a prípravy.</w:t>
      </w:r>
    </w:p>
    <w:p w:rsidR="00515596" w:rsidRPr="0035027D" w:rsidRDefault="00515596" w:rsidP="00AC015D">
      <w:pPr>
        <w:pStyle w:val="Odsekzoznamu"/>
        <w:spacing w:after="0" w:line="240" w:lineRule="auto"/>
        <w:ind w:left="0"/>
        <w:jc w:val="both"/>
        <w:rPr>
          <w:rFonts w:ascii="Arial Narrow" w:hAnsi="Arial Narrow"/>
          <w:color w:val="000000"/>
        </w:rPr>
      </w:pPr>
    </w:p>
    <w:p w:rsidR="00515596" w:rsidRPr="0035027D" w:rsidRDefault="003B731E" w:rsidP="00AC015D">
      <w:pPr>
        <w:pStyle w:val="Odsekzoznamu"/>
        <w:spacing w:after="0" w:line="240" w:lineRule="auto"/>
        <w:ind w:left="0"/>
        <w:jc w:val="both"/>
        <w:rPr>
          <w:rFonts w:ascii="Arial Narrow" w:hAnsi="Arial Narrow"/>
          <w:b/>
          <w:u w:val="single"/>
        </w:rPr>
      </w:pPr>
      <w:r w:rsidRPr="0035027D">
        <w:rPr>
          <w:rFonts w:ascii="Arial Narrow" w:hAnsi="Arial Narrow"/>
          <w:color w:val="000000"/>
        </w:rPr>
        <w:t>V rámci reformy APTP bude</w:t>
      </w:r>
      <w:r w:rsidR="00515596" w:rsidRPr="0035027D">
        <w:rPr>
          <w:rFonts w:ascii="Arial Narrow" w:hAnsi="Arial Narrow"/>
          <w:color w:val="000000"/>
        </w:rPr>
        <w:t xml:space="preserve"> modifik</w:t>
      </w:r>
      <w:r w:rsidRPr="0035027D">
        <w:rPr>
          <w:rFonts w:ascii="Arial Narrow" w:hAnsi="Arial Narrow"/>
          <w:color w:val="000000"/>
        </w:rPr>
        <w:t>ovaná</w:t>
      </w:r>
      <w:r w:rsidR="00515596" w:rsidRPr="0035027D">
        <w:rPr>
          <w:rFonts w:ascii="Arial Narrow" w:hAnsi="Arial Narrow"/>
          <w:color w:val="000000"/>
        </w:rPr>
        <w:t xml:space="preserve"> aj </w:t>
      </w:r>
      <w:r w:rsidRPr="0035027D">
        <w:rPr>
          <w:rFonts w:ascii="Arial Narrow" w:hAnsi="Arial Narrow"/>
          <w:b/>
          <w:color w:val="000000"/>
        </w:rPr>
        <w:t>absolventská</w:t>
      </w:r>
      <w:r w:rsidR="00515596" w:rsidRPr="0035027D">
        <w:rPr>
          <w:rFonts w:ascii="Arial Narrow" w:hAnsi="Arial Narrow"/>
          <w:b/>
          <w:color w:val="000000"/>
        </w:rPr>
        <w:t xml:space="preserve"> prax</w:t>
      </w:r>
      <w:r w:rsidR="00515596" w:rsidRPr="0035027D">
        <w:rPr>
          <w:rFonts w:ascii="Arial Narrow" w:hAnsi="Arial Narrow"/>
          <w:color w:val="000000"/>
        </w:rPr>
        <w:t xml:space="preserve">. Prax by mala nadväzovať na povolania, pre ktoré sa absolventi vo vzdelávacom systéme pripravovali. Zavedením tohto princípu sa odhaduje zvýšenie účinnosti tohto nástroja aj posilnenie prvkov odbornej prípravy. Uchádzačom bude umožnené individuálne sa vzdelávať a pripravovať pre trh práce v oblastiach, ktoré ÚPSVR nemôže zabezpečiť. Náklady (maximálne 600 eur) na individuálne vzdelávanie a prípravu pre trh práce, ktoré si uchádzač o zamestnanie zabezpečil z vlastnej iniciatívy, môžu byť uhradené, ak na jej základe získal pracovné miesto. Novela obsahuje vytvorenie legislatívneho rámca na zriaďovanie sektorových rád za účasti profesijných a odborných združení, vzdelávacích inštitúcií, orgánov štátnej správy, samosprávy a sociálnych partnerov. Ich cieľom </w:t>
      </w:r>
      <w:r w:rsidR="00080C7C" w:rsidRPr="0035027D">
        <w:rPr>
          <w:rFonts w:ascii="Arial Narrow" w:hAnsi="Arial Narrow"/>
          <w:color w:val="000000"/>
        </w:rPr>
        <w:t>je identifikácia</w:t>
      </w:r>
      <w:r w:rsidR="00515596" w:rsidRPr="0035027D">
        <w:rPr>
          <w:rFonts w:ascii="Arial Narrow" w:hAnsi="Arial Narrow"/>
          <w:color w:val="000000"/>
        </w:rPr>
        <w:t xml:space="preserve"> sektorovej potreby zručností a dopytu po kvalifikovanej pracovnej sile.</w:t>
      </w:r>
    </w:p>
    <w:p w:rsidR="00515596" w:rsidRPr="0035027D" w:rsidRDefault="00515596" w:rsidP="00AC015D">
      <w:pPr>
        <w:spacing w:after="0"/>
        <w:rPr>
          <w:color w:val="000000"/>
        </w:rPr>
      </w:pPr>
    </w:p>
    <w:p w:rsidR="00515596" w:rsidRPr="0035027D" w:rsidRDefault="00515596" w:rsidP="00AC015D">
      <w:pPr>
        <w:spacing w:after="0"/>
        <w:rPr>
          <w:color w:val="000000"/>
        </w:rPr>
      </w:pPr>
      <w:r w:rsidRPr="0035027D">
        <w:rPr>
          <w:color w:val="000000"/>
        </w:rPr>
        <w:t xml:space="preserve">V septembri 2012 bola v NR SR schválená </w:t>
      </w:r>
      <w:r w:rsidRPr="0035027D">
        <w:rPr>
          <w:b/>
          <w:color w:val="000000"/>
        </w:rPr>
        <w:t>novela zákona o odborných školách</w:t>
      </w:r>
      <w:r w:rsidRPr="0035027D">
        <w:rPr>
          <w:color w:val="000000"/>
        </w:rPr>
        <w:t>, ktorej cie</w:t>
      </w:r>
      <w:r w:rsidRPr="0035027D">
        <w:rPr>
          <w:rFonts w:cs="Times New Roman"/>
          <w:color w:val="000000"/>
        </w:rPr>
        <w:t>ľ</w:t>
      </w:r>
      <w:r w:rsidRPr="0035027D">
        <w:rPr>
          <w:color w:val="000000"/>
        </w:rPr>
        <w:t>om je posilnenie nástrojov koordinácie odborného vzdelávania a prípravy s cie</w:t>
      </w:r>
      <w:r w:rsidRPr="0035027D">
        <w:rPr>
          <w:rFonts w:cs="Times New Roman"/>
          <w:color w:val="000000"/>
        </w:rPr>
        <w:t>ľ</w:t>
      </w:r>
      <w:r w:rsidRPr="0035027D">
        <w:rPr>
          <w:color w:val="000000"/>
        </w:rPr>
        <w:t>om prispôsobi</w:t>
      </w:r>
      <w:r w:rsidRPr="0035027D">
        <w:rPr>
          <w:rFonts w:cs="Times New Roman"/>
          <w:color w:val="000000"/>
        </w:rPr>
        <w:t>ť</w:t>
      </w:r>
      <w:r w:rsidRPr="0035027D">
        <w:rPr>
          <w:color w:val="000000"/>
        </w:rPr>
        <w:t xml:space="preserve"> odborné vzdelávanie a prípravu po</w:t>
      </w:r>
      <w:r w:rsidRPr="0035027D">
        <w:rPr>
          <w:rFonts w:cs="Times New Roman"/>
          <w:color w:val="000000"/>
        </w:rPr>
        <w:t>ž</w:t>
      </w:r>
      <w:r w:rsidRPr="0035027D">
        <w:rPr>
          <w:color w:val="000000"/>
        </w:rPr>
        <w:t>iadavkám trhu práce. Novela zavádza nový mechanizmus ur</w:t>
      </w:r>
      <w:r w:rsidRPr="0035027D">
        <w:rPr>
          <w:rFonts w:cs="Times New Roman"/>
          <w:color w:val="000000"/>
        </w:rPr>
        <w:t>č</w:t>
      </w:r>
      <w:r w:rsidRPr="0035027D">
        <w:rPr>
          <w:color w:val="000000"/>
        </w:rPr>
        <w:t>ovania po</w:t>
      </w:r>
      <w:r w:rsidRPr="0035027D">
        <w:rPr>
          <w:rFonts w:cs="Times New Roman"/>
          <w:color w:val="000000"/>
        </w:rPr>
        <w:t>č</w:t>
      </w:r>
      <w:r w:rsidRPr="0035027D">
        <w:rPr>
          <w:color w:val="000000"/>
        </w:rPr>
        <w:t>tu tried prvých ro</w:t>
      </w:r>
      <w:r w:rsidRPr="0035027D">
        <w:rPr>
          <w:rFonts w:cs="Times New Roman"/>
          <w:color w:val="000000"/>
        </w:rPr>
        <w:t>č</w:t>
      </w:r>
      <w:r w:rsidRPr="0035027D">
        <w:rPr>
          <w:color w:val="000000"/>
        </w:rPr>
        <w:t>níkov stredných škôl, ktoré bude ur</w:t>
      </w:r>
      <w:r w:rsidRPr="0035027D">
        <w:rPr>
          <w:rFonts w:cs="Times New Roman"/>
          <w:color w:val="000000"/>
        </w:rPr>
        <w:t>č</w:t>
      </w:r>
      <w:r w:rsidRPr="0035027D">
        <w:rPr>
          <w:color w:val="000000"/>
        </w:rPr>
        <w:t>ova</w:t>
      </w:r>
      <w:r w:rsidRPr="0035027D">
        <w:rPr>
          <w:rFonts w:cs="Times New Roman"/>
          <w:color w:val="000000"/>
        </w:rPr>
        <w:t>ť</w:t>
      </w:r>
      <w:r w:rsidRPr="0035027D">
        <w:rPr>
          <w:color w:val="000000"/>
        </w:rPr>
        <w:t xml:space="preserve"> primárne samosprávny kraj. S ú</w:t>
      </w:r>
      <w:r w:rsidRPr="0035027D">
        <w:rPr>
          <w:rFonts w:cs="Times New Roman"/>
          <w:color w:val="000000"/>
        </w:rPr>
        <w:t>č</w:t>
      </w:r>
      <w:r w:rsidRPr="0035027D">
        <w:rPr>
          <w:color w:val="000000"/>
        </w:rPr>
        <w:t>innos</w:t>
      </w:r>
      <w:r w:rsidRPr="0035027D">
        <w:rPr>
          <w:rFonts w:cs="Times New Roman"/>
          <w:color w:val="000000"/>
        </w:rPr>
        <w:t>ť</w:t>
      </w:r>
      <w:r w:rsidRPr="0035027D">
        <w:rPr>
          <w:color w:val="000000"/>
        </w:rPr>
        <w:t>ou od 1.9.2014 sa tie</w:t>
      </w:r>
      <w:r w:rsidRPr="0035027D">
        <w:rPr>
          <w:rFonts w:cs="Times New Roman"/>
          <w:color w:val="000000"/>
        </w:rPr>
        <w:t>ž</w:t>
      </w:r>
      <w:r w:rsidRPr="0035027D">
        <w:rPr>
          <w:color w:val="000000"/>
        </w:rPr>
        <w:t xml:space="preserve"> zavádzajú nové podmienky pre prijatie </w:t>
      </w:r>
      <w:r w:rsidRPr="0035027D">
        <w:rPr>
          <w:rFonts w:cs="Times New Roman"/>
          <w:color w:val="000000"/>
        </w:rPr>
        <w:t>ž</w:t>
      </w:r>
      <w:r w:rsidRPr="0035027D">
        <w:rPr>
          <w:color w:val="000000"/>
        </w:rPr>
        <w:t>iaka do prvého ro</w:t>
      </w:r>
      <w:r w:rsidRPr="0035027D">
        <w:rPr>
          <w:rFonts w:cs="Times New Roman"/>
          <w:color w:val="000000"/>
        </w:rPr>
        <w:t>č</w:t>
      </w:r>
      <w:r w:rsidRPr="0035027D">
        <w:rPr>
          <w:color w:val="000000"/>
        </w:rPr>
        <w:t>níka štvorro</w:t>
      </w:r>
      <w:r w:rsidRPr="0035027D">
        <w:rPr>
          <w:rFonts w:cs="Times New Roman"/>
          <w:color w:val="000000"/>
        </w:rPr>
        <w:t>č</w:t>
      </w:r>
      <w:r w:rsidRPr="0035027D">
        <w:rPr>
          <w:color w:val="000000"/>
        </w:rPr>
        <w:t>ného vzdelávacieho programu gymnázia, bilingválneho štúdia a úplného stredného odborného vzdelávania. Jednou z podmienok prijatia bude dosiahnutie ni</w:t>
      </w:r>
      <w:r w:rsidRPr="0035027D">
        <w:rPr>
          <w:rFonts w:cs="Times New Roman"/>
          <w:color w:val="000000"/>
        </w:rPr>
        <w:t>ž</w:t>
      </w:r>
      <w:r w:rsidRPr="0035027D">
        <w:rPr>
          <w:color w:val="000000"/>
        </w:rPr>
        <w:t>šieho priemeru známok v posledných dvoch ro</w:t>
      </w:r>
      <w:r w:rsidRPr="0035027D">
        <w:rPr>
          <w:rFonts w:cs="Times New Roman"/>
          <w:color w:val="000000"/>
        </w:rPr>
        <w:t>č</w:t>
      </w:r>
      <w:r w:rsidRPr="0035027D">
        <w:rPr>
          <w:color w:val="000000"/>
        </w:rPr>
        <w:t>níkoch základnej školy ne</w:t>
      </w:r>
      <w:r w:rsidRPr="0035027D">
        <w:rPr>
          <w:rFonts w:cs="Times New Roman"/>
          <w:color w:val="000000"/>
        </w:rPr>
        <w:t>ž</w:t>
      </w:r>
      <w:r w:rsidRPr="0035027D">
        <w:rPr>
          <w:color w:val="000000"/>
        </w:rPr>
        <w:t xml:space="preserve"> je stanovená hranica.</w:t>
      </w:r>
    </w:p>
    <w:p w:rsidR="00515596" w:rsidRPr="0035027D" w:rsidRDefault="00515596" w:rsidP="00AC015D">
      <w:pPr>
        <w:spacing w:after="0"/>
        <w:rPr>
          <w:b/>
          <w:color w:val="000000"/>
        </w:rPr>
      </w:pPr>
    </w:p>
    <w:p w:rsidR="00002A31" w:rsidRPr="0035027D" w:rsidRDefault="00002A31" w:rsidP="009F71F3">
      <w:pPr>
        <w:spacing w:after="0"/>
        <w:rPr>
          <w:color w:val="000000"/>
        </w:rPr>
      </w:pPr>
      <w:r w:rsidRPr="0035027D">
        <w:rPr>
          <w:color w:val="000000"/>
        </w:rPr>
        <w:t>Od 1. januára 2013 je v platnosti</w:t>
      </w:r>
      <w:r w:rsidRPr="0035027D">
        <w:rPr>
          <w:b/>
          <w:color w:val="000000"/>
        </w:rPr>
        <w:t xml:space="preserve"> novela zákona o</w:t>
      </w:r>
      <w:r w:rsidR="000A05B9" w:rsidRPr="0035027D">
        <w:rPr>
          <w:b/>
          <w:color w:val="000000"/>
        </w:rPr>
        <w:t> </w:t>
      </w:r>
      <w:r w:rsidRPr="0035027D">
        <w:rPr>
          <w:b/>
          <w:color w:val="000000"/>
        </w:rPr>
        <w:t>vysokých</w:t>
      </w:r>
      <w:r w:rsidR="000A05B9" w:rsidRPr="0035027D">
        <w:rPr>
          <w:b/>
          <w:color w:val="000000"/>
        </w:rPr>
        <w:t xml:space="preserve"> školách</w:t>
      </w:r>
      <w:r w:rsidRPr="0035027D">
        <w:rPr>
          <w:color w:val="000000"/>
        </w:rPr>
        <w:t>. Predmetom novely je najmä vytvorenie legislatívnych predpokladov na podporu riešenia aktuálnych problémov kvality vysokých škôl. Ide v prvom rade o vnútorný systém na zabezpe</w:t>
      </w:r>
      <w:r w:rsidRPr="0035027D">
        <w:rPr>
          <w:rFonts w:cs="Times New Roman"/>
          <w:color w:val="000000"/>
        </w:rPr>
        <w:t>č</w:t>
      </w:r>
      <w:r w:rsidRPr="0035027D">
        <w:rPr>
          <w:color w:val="000000"/>
        </w:rPr>
        <w:t>ovanie kvality vzdelávania, problematiku externého štúdia, zvýšenie kvality vysokoškolských u</w:t>
      </w:r>
      <w:r w:rsidRPr="0035027D">
        <w:rPr>
          <w:rFonts w:cs="Times New Roman"/>
          <w:color w:val="000000"/>
        </w:rPr>
        <w:t>č</w:t>
      </w:r>
      <w:r w:rsidRPr="0035027D">
        <w:rPr>
          <w:color w:val="000000"/>
        </w:rPr>
        <w:t>ite</w:t>
      </w:r>
      <w:r w:rsidRPr="0035027D">
        <w:rPr>
          <w:rFonts w:cs="Times New Roman"/>
          <w:color w:val="000000"/>
        </w:rPr>
        <w:t>ľ</w:t>
      </w:r>
      <w:r w:rsidRPr="0035027D">
        <w:rPr>
          <w:color w:val="000000"/>
        </w:rPr>
        <w:t>ov a posilnenie motivácie vysokých škôl spolupracova</w:t>
      </w:r>
      <w:r w:rsidRPr="0035027D">
        <w:rPr>
          <w:rFonts w:cs="Times New Roman"/>
          <w:color w:val="000000"/>
        </w:rPr>
        <w:t>ť</w:t>
      </w:r>
      <w:r w:rsidRPr="0035027D">
        <w:rPr>
          <w:color w:val="000000"/>
        </w:rPr>
        <w:t xml:space="preserve"> s kvalitnými vysokými školami v zahrani</w:t>
      </w:r>
      <w:r w:rsidRPr="0035027D">
        <w:rPr>
          <w:rFonts w:cs="Times New Roman"/>
          <w:color w:val="000000"/>
        </w:rPr>
        <w:t>č</w:t>
      </w:r>
      <w:r w:rsidRPr="0035027D">
        <w:rPr>
          <w:color w:val="000000"/>
        </w:rPr>
        <w:t>í.</w:t>
      </w:r>
    </w:p>
    <w:p w:rsidR="00002A31" w:rsidRPr="0035027D" w:rsidRDefault="00002A31" w:rsidP="00002A31">
      <w:pPr>
        <w:rPr>
          <w:color w:val="000000"/>
        </w:rPr>
      </w:pPr>
    </w:p>
    <w:tbl>
      <w:tblPr>
        <w:tblStyle w:val="Mriekatabuky"/>
        <w:tblW w:w="0" w:type="auto"/>
        <w:shd w:val="clear" w:color="auto" w:fill="D9D9D9" w:themeFill="background1" w:themeFillShade="D9"/>
        <w:tblLook w:val="04A0" w:firstRow="1" w:lastRow="0" w:firstColumn="1" w:lastColumn="0" w:noHBand="0" w:noVBand="1"/>
      </w:tblPr>
      <w:tblGrid>
        <w:gridCol w:w="9210"/>
      </w:tblGrid>
      <w:tr w:rsidR="00002A31" w:rsidRPr="0035027D" w:rsidTr="00E13258">
        <w:tc>
          <w:tcPr>
            <w:tcW w:w="9210" w:type="dxa"/>
            <w:shd w:val="clear" w:color="auto" w:fill="D9D9D9" w:themeFill="background1" w:themeFillShade="D9"/>
          </w:tcPr>
          <w:p w:rsidR="00002A31" w:rsidRPr="0035027D" w:rsidRDefault="00002A31" w:rsidP="00002A31">
            <w:pPr>
              <w:spacing w:after="0"/>
              <w:rPr>
                <w:b/>
                <w:color w:val="000000"/>
                <w:sz w:val="20"/>
                <w:szCs w:val="20"/>
                <w:lang w:eastAsia="en-US"/>
              </w:rPr>
            </w:pPr>
          </w:p>
          <w:p w:rsidR="00002A31" w:rsidRPr="0035027D" w:rsidRDefault="00002A31" w:rsidP="00002A31">
            <w:pPr>
              <w:spacing w:after="0"/>
              <w:rPr>
                <w:b/>
                <w:color w:val="000000"/>
                <w:sz w:val="20"/>
                <w:szCs w:val="20"/>
                <w:lang w:eastAsia="en-US"/>
              </w:rPr>
            </w:pPr>
            <w:r w:rsidRPr="0035027D">
              <w:rPr>
                <w:b/>
                <w:color w:val="000000"/>
                <w:sz w:val="20"/>
                <w:szCs w:val="20"/>
                <w:lang w:eastAsia="en-US"/>
              </w:rPr>
              <w:t xml:space="preserve">Box </w:t>
            </w:r>
            <w:r w:rsidR="00F23D05" w:rsidRPr="0035027D">
              <w:rPr>
                <w:b/>
                <w:color w:val="000000"/>
                <w:sz w:val="20"/>
                <w:szCs w:val="20"/>
                <w:lang w:eastAsia="en-US"/>
              </w:rPr>
              <w:t>3:</w:t>
            </w:r>
            <w:r w:rsidRPr="0035027D">
              <w:rPr>
                <w:b/>
                <w:color w:val="000000"/>
                <w:sz w:val="20"/>
                <w:szCs w:val="20"/>
                <w:lang w:eastAsia="en-US"/>
              </w:rPr>
              <w:t xml:space="preserve"> Novela zákona o vysokých školách</w:t>
            </w:r>
          </w:p>
          <w:p w:rsidR="00002A31" w:rsidRPr="0035027D" w:rsidRDefault="00002A31" w:rsidP="00002A31">
            <w:pPr>
              <w:spacing w:after="0"/>
              <w:rPr>
                <w:b/>
                <w:color w:val="000000"/>
                <w:sz w:val="20"/>
                <w:szCs w:val="20"/>
                <w:lang w:eastAsia="en-US"/>
              </w:rPr>
            </w:pPr>
          </w:p>
          <w:p w:rsidR="00002A31" w:rsidRPr="0035027D" w:rsidRDefault="00002A31" w:rsidP="00002A31">
            <w:pPr>
              <w:pStyle w:val="Point0number"/>
              <w:spacing w:before="0" w:after="0"/>
              <w:rPr>
                <w:rFonts w:ascii="Arial Narrow" w:hAnsi="Arial Narrow"/>
                <w:sz w:val="20"/>
                <w:szCs w:val="22"/>
                <w:lang w:val="sk-SK"/>
              </w:rPr>
            </w:pPr>
            <w:r w:rsidRPr="0035027D">
              <w:rPr>
                <w:rFonts w:ascii="Arial Narrow" w:hAnsi="Arial Narrow"/>
                <w:sz w:val="20"/>
                <w:szCs w:val="22"/>
                <w:lang w:val="sk-SK"/>
              </w:rPr>
              <w:t>Vysokým školám bola od roku 2013 uložená povinnosť vypracovať a implementovať vnútorný systém zabezpečovania kvality poskytovaného vysokoškolského vzdelávania. Tento systém kvality majú vyso</w:t>
            </w:r>
            <w:r w:rsidR="009D4966" w:rsidRPr="0035027D">
              <w:rPr>
                <w:rFonts w:ascii="Arial Narrow" w:hAnsi="Arial Narrow"/>
                <w:sz w:val="20"/>
                <w:szCs w:val="22"/>
                <w:lang w:val="sk-SK"/>
              </w:rPr>
              <w:t>ké školy vypracovať na základe n</w:t>
            </w:r>
            <w:r w:rsidRPr="0035027D">
              <w:rPr>
                <w:rFonts w:ascii="Arial Narrow" w:hAnsi="Arial Narrow"/>
                <w:sz w:val="20"/>
                <w:szCs w:val="22"/>
                <w:lang w:val="sk-SK"/>
              </w:rPr>
              <w:t>oriem a smerníc na zabezpečovanie kvality v Európskom priestore vysokoškolského vzdelávania. Cieľom je zdôraznenie úlohy samotnej vysokej školy pri zabezpečovaní kvality vzdelávani</w:t>
            </w:r>
            <w:r w:rsidR="009D4966" w:rsidRPr="0035027D">
              <w:rPr>
                <w:rFonts w:ascii="Arial Narrow" w:hAnsi="Arial Narrow"/>
                <w:sz w:val="20"/>
                <w:szCs w:val="22"/>
                <w:lang w:val="sk-SK"/>
              </w:rPr>
              <w:t>a</w:t>
            </w:r>
            <w:r w:rsidRPr="0035027D">
              <w:rPr>
                <w:rFonts w:ascii="Arial Narrow" w:hAnsi="Arial Narrow"/>
                <w:sz w:val="20"/>
                <w:szCs w:val="22"/>
                <w:lang w:val="sk-SK"/>
              </w:rPr>
              <w:t xml:space="preserve"> tak, aby bola zabezpečená v súlade s formalizovanými pravidlami a vopred určenými postupmi. Systémy kvality a ich implementáciu bude posudzovať Akreditačná komisia v rámci nadchádzajúcich komplexných akreditácií činností vysokých škôl.</w:t>
            </w:r>
          </w:p>
          <w:p w:rsidR="00002A31" w:rsidRPr="0035027D" w:rsidRDefault="00002A31" w:rsidP="00002A31">
            <w:pPr>
              <w:pStyle w:val="Point0number"/>
              <w:spacing w:before="0" w:after="0"/>
              <w:rPr>
                <w:rFonts w:ascii="Arial Narrow" w:hAnsi="Arial Narrow"/>
                <w:sz w:val="20"/>
                <w:szCs w:val="22"/>
                <w:lang w:val="sk-SK"/>
              </w:rPr>
            </w:pPr>
          </w:p>
          <w:p w:rsidR="00002A31" w:rsidRPr="0035027D" w:rsidRDefault="00002A31" w:rsidP="00002A31">
            <w:pPr>
              <w:pStyle w:val="Point0number"/>
              <w:spacing w:before="0" w:after="0"/>
              <w:rPr>
                <w:rFonts w:ascii="Arial Narrow" w:hAnsi="Arial Narrow"/>
                <w:color w:val="000000"/>
                <w:sz w:val="20"/>
                <w:szCs w:val="20"/>
                <w:lang w:val="sk-SK"/>
              </w:rPr>
            </w:pPr>
            <w:r w:rsidRPr="0035027D">
              <w:rPr>
                <w:rFonts w:ascii="Arial Narrow" w:hAnsi="Arial Narrow"/>
                <w:sz w:val="20"/>
                <w:szCs w:val="22"/>
                <w:lang w:val="sk-SK"/>
              </w:rPr>
              <w:t>S cieľom skvalitnenia externej formy vysokoškolského štúdia, novela zákona o vysokých školách zmenila pohľad na dennú a externú formu tak, aby lepšie zodpovedala bežne používaným označeniam v zahraničí – „</w:t>
            </w:r>
            <w:proofErr w:type="spellStart"/>
            <w:r w:rsidRPr="0035027D">
              <w:rPr>
                <w:rFonts w:ascii="Arial Narrow" w:hAnsi="Arial Narrow"/>
                <w:sz w:val="20"/>
                <w:szCs w:val="22"/>
                <w:lang w:val="sk-SK"/>
              </w:rPr>
              <w:t>full-time</w:t>
            </w:r>
            <w:proofErr w:type="spellEnd"/>
            <w:r w:rsidRPr="0035027D">
              <w:rPr>
                <w:rFonts w:ascii="Arial Narrow" w:hAnsi="Arial Narrow"/>
                <w:sz w:val="20"/>
                <w:szCs w:val="22"/>
                <w:lang w:val="sk-SK"/>
              </w:rPr>
              <w:t xml:space="preserve"> a </w:t>
            </w:r>
            <w:proofErr w:type="spellStart"/>
            <w:r w:rsidRPr="0035027D">
              <w:rPr>
                <w:rFonts w:ascii="Arial Narrow" w:hAnsi="Arial Narrow"/>
                <w:sz w:val="20"/>
                <w:szCs w:val="22"/>
                <w:lang w:val="sk-SK"/>
              </w:rPr>
              <w:t>part-time</w:t>
            </w:r>
            <w:proofErr w:type="spellEnd"/>
            <w:r w:rsidRPr="0035027D">
              <w:rPr>
                <w:rFonts w:ascii="Arial Narrow" w:hAnsi="Arial Narrow"/>
                <w:sz w:val="20"/>
                <w:szCs w:val="22"/>
                <w:lang w:val="sk-SK"/>
              </w:rPr>
              <w:t xml:space="preserve"> study“. Od 1.1.2013 tak môžu predkladať žiadosti o akreditáciu študijných programov v externej forme len v podobe zodpovedajúcej novému zloženiu kreditov, ktoré vyžaduje nižší ročný počet kreditov, a teda predlžuje štandardnú dĺžku štúdia. Študentovi majú vysoké školy poskytovať vzdelanie v externej forme v rovnakom rozsahu ako v prípade študentov v dennej forme s tým rozdielom, že rozloženie štúdia je urobené tak, aby z hľadiska časovej náročnosti umožnilo študentovi externého štúdiu aj prácu v štandardnom zamestnaní.</w:t>
            </w:r>
            <w:r w:rsidRPr="0035027D">
              <w:rPr>
                <w:rFonts w:ascii="Arial Narrow" w:hAnsi="Arial Narrow"/>
                <w:color w:val="000000"/>
                <w:sz w:val="20"/>
                <w:szCs w:val="20"/>
                <w:lang w:val="sk-SK"/>
              </w:rPr>
              <w:t xml:space="preserve"> </w:t>
            </w:r>
          </w:p>
          <w:p w:rsidR="00002A31" w:rsidRPr="0035027D" w:rsidRDefault="00002A31" w:rsidP="00002A31">
            <w:pPr>
              <w:pStyle w:val="Point0number"/>
              <w:spacing w:before="0" w:after="0"/>
              <w:rPr>
                <w:rFonts w:ascii="Arial Narrow" w:hAnsi="Arial Narrow"/>
                <w:color w:val="000000"/>
                <w:sz w:val="20"/>
                <w:szCs w:val="20"/>
                <w:lang w:val="sk-SK"/>
              </w:rPr>
            </w:pPr>
          </w:p>
          <w:p w:rsidR="00002A31" w:rsidRPr="0035027D" w:rsidRDefault="00002A31" w:rsidP="00002A31">
            <w:pPr>
              <w:pStyle w:val="Point0number"/>
              <w:spacing w:before="0" w:after="0"/>
              <w:rPr>
                <w:rFonts w:ascii="Arial Narrow" w:hAnsi="Arial Narrow"/>
                <w:color w:val="000000"/>
                <w:sz w:val="20"/>
                <w:szCs w:val="20"/>
                <w:lang w:val="sk-SK"/>
              </w:rPr>
            </w:pPr>
            <w:r w:rsidRPr="0035027D">
              <w:rPr>
                <w:rFonts w:ascii="Arial Narrow" w:hAnsi="Arial Narrow"/>
                <w:color w:val="000000"/>
                <w:sz w:val="20"/>
                <w:szCs w:val="20"/>
                <w:lang w:val="sk-SK"/>
              </w:rPr>
              <w:t>S otázkou kvality súvisí aj posilnenie medzinárodného rozmeru pôsobenia vysokých škôl. Okrem úprav ustanovení o spoločných študijných programoch sa prejavuje aj v zavedení možnosti verejných vysokých škôl požadovať školné za poskytovanie programov v inom ako štátnom jazyku. Očakáva sa, že vysoké školy v tomto smere využijú príležitosť a vykonajú potrebné kroky na svoju propagáciu smerom do zahraničia a na získanie tak vysokoškolských učiteľov zo zahraničia, ako aj študentov – cudzincov.</w:t>
            </w:r>
          </w:p>
        </w:tc>
      </w:tr>
    </w:tbl>
    <w:p w:rsidR="00002A31" w:rsidRPr="0035027D" w:rsidRDefault="00002A31" w:rsidP="00002A31">
      <w:pPr>
        <w:rPr>
          <w:b/>
          <w:color w:val="000000"/>
          <w:sz w:val="20"/>
          <w:szCs w:val="20"/>
          <w:lang w:eastAsia="en-US"/>
        </w:rPr>
      </w:pPr>
    </w:p>
    <w:p w:rsidR="0092093C" w:rsidRPr="0035027D" w:rsidRDefault="0092093C" w:rsidP="0092093C">
      <w:pPr>
        <w:spacing w:after="0"/>
        <w:rPr>
          <w:i/>
        </w:rPr>
      </w:pPr>
      <w:r w:rsidRPr="0035027D">
        <w:rPr>
          <w:i/>
        </w:rPr>
        <w:t xml:space="preserve">K plneniu odporúčania prispejú aj ďalšie opatrenia detailnejšie opísané v kapitolách </w:t>
      </w:r>
      <w:r w:rsidR="002E49B3" w:rsidRPr="0035027D">
        <w:rPr>
          <w:i/>
        </w:rPr>
        <w:t>4</w:t>
      </w:r>
      <w:r w:rsidRPr="0035027D">
        <w:rPr>
          <w:i/>
        </w:rPr>
        <w:t>.</w:t>
      </w:r>
      <w:r w:rsidR="00214A67" w:rsidRPr="0035027D">
        <w:rPr>
          <w:i/>
        </w:rPr>
        <w:t>2</w:t>
      </w:r>
      <w:r w:rsidR="002E49B3" w:rsidRPr="0035027D">
        <w:rPr>
          <w:i/>
        </w:rPr>
        <w:t>.1, 4</w:t>
      </w:r>
      <w:r w:rsidRPr="0035027D">
        <w:rPr>
          <w:i/>
        </w:rPr>
        <w:t>.</w:t>
      </w:r>
      <w:r w:rsidR="00214A67" w:rsidRPr="0035027D">
        <w:rPr>
          <w:i/>
        </w:rPr>
        <w:t>2</w:t>
      </w:r>
      <w:r w:rsidRPr="0035027D">
        <w:rPr>
          <w:i/>
        </w:rPr>
        <w:t>.2 a akčnom pláne.</w:t>
      </w:r>
    </w:p>
    <w:p w:rsidR="00515596" w:rsidRPr="0035027D" w:rsidRDefault="00515596" w:rsidP="00AC015D">
      <w:pPr>
        <w:pStyle w:val="Odsekzoznamu"/>
        <w:spacing w:after="0" w:line="240" w:lineRule="auto"/>
        <w:ind w:left="284"/>
        <w:jc w:val="both"/>
        <w:rPr>
          <w:rFonts w:ascii="Arial Narrow" w:hAnsi="Arial Narrow"/>
          <w:b/>
          <w:u w:val="single"/>
        </w:rPr>
      </w:pPr>
    </w:p>
    <w:p w:rsidR="004057D8" w:rsidRPr="0035027D" w:rsidRDefault="004057D8" w:rsidP="00AC015D">
      <w:pPr>
        <w:pStyle w:val="Odsekzoznamu"/>
        <w:spacing w:after="0" w:line="240" w:lineRule="auto"/>
        <w:ind w:left="284"/>
        <w:jc w:val="both"/>
        <w:rPr>
          <w:rFonts w:ascii="Arial Narrow" w:hAnsi="Arial Narrow"/>
          <w:b/>
          <w:u w:val="single"/>
        </w:rPr>
      </w:pPr>
    </w:p>
    <w:p w:rsidR="00515596" w:rsidRPr="0035027D" w:rsidRDefault="00515596" w:rsidP="003C29D5">
      <w:pPr>
        <w:pStyle w:val="Odsekzoznamu"/>
        <w:numPr>
          <w:ilvl w:val="0"/>
          <w:numId w:val="3"/>
        </w:numPr>
        <w:spacing w:after="0" w:line="240" w:lineRule="auto"/>
        <w:ind w:left="284" w:hanging="284"/>
        <w:jc w:val="both"/>
        <w:rPr>
          <w:rFonts w:ascii="Arial Narrow" w:hAnsi="Arial Narrow"/>
          <w:b/>
        </w:rPr>
      </w:pPr>
      <w:r w:rsidRPr="0035027D">
        <w:rPr>
          <w:rFonts w:ascii="Arial Narrow" w:hAnsi="Arial Narrow"/>
          <w:b/>
        </w:rPr>
        <w:t>Sociálna inklúzia a ďalšie vzdelávanie</w:t>
      </w:r>
    </w:p>
    <w:p w:rsidR="00515596" w:rsidRPr="0035027D" w:rsidRDefault="00515596" w:rsidP="00AC015D">
      <w:pPr>
        <w:spacing w:after="0"/>
        <w:contextualSpacing/>
        <w:rPr>
          <w:b/>
          <w:szCs w:val="36"/>
          <w:lang w:eastAsia="en-US"/>
        </w:rPr>
      </w:pPr>
    </w:p>
    <w:p w:rsidR="00515596" w:rsidRPr="0035027D" w:rsidRDefault="00EC78A4" w:rsidP="00AC015D">
      <w:pPr>
        <w:spacing w:after="0"/>
        <w:contextualSpacing/>
        <w:rPr>
          <w:b/>
          <w:i/>
          <w:szCs w:val="36"/>
          <w:lang w:eastAsia="en-US"/>
        </w:rPr>
      </w:pPr>
      <w:r w:rsidRPr="0035027D">
        <w:rPr>
          <w:b/>
          <w:i/>
          <w:szCs w:val="36"/>
          <w:lang w:eastAsia="en-US"/>
        </w:rPr>
        <w:t xml:space="preserve">(CSR6) </w:t>
      </w:r>
      <w:r w:rsidR="00515596" w:rsidRPr="0035027D">
        <w:rPr>
          <w:b/>
          <w:i/>
          <w:szCs w:val="36"/>
          <w:lang w:eastAsia="en-US"/>
        </w:rPr>
        <w:t>Prijať aktívne opatrenia, aby mali zraniteľné skupiny vrátane Rómov lepší prístup ku školskému a predškolskému vzdelávaniu lepšej kvality. Zabezpečiť opätovné začlenenie dospelých na trhu práce prostredníctvom aktivačných opatrení a cielených služieb zamestnanosti, druhej šance na vzdelávanie a krátkodobého odborného vzdelávania.</w:t>
      </w:r>
    </w:p>
    <w:p w:rsidR="00515596" w:rsidRPr="0035027D" w:rsidRDefault="00515596" w:rsidP="00AC015D">
      <w:pPr>
        <w:spacing w:after="0"/>
        <w:contextualSpacing/>
        <w:rPr>
          <w:szCs w:val="36"/>
          <w:lang w:eastAsia="en-US"/>
        </w:rPr>
      </w:pPr>
    </w:p>
    <w:p w:rsidR="00002A31" w:rsidRPr="0035027D" w:rsidRDefault="00002A31" w:rsidP="00002A31">
      <w:pPr>
        <w:spacing w:after="0"/>
        <w:rPr>
          <w:color w:val="000000"/>
        </w:rPr>
      </w:pPr>
      <w:r w:rsidRPr="0035027D">
        <w:rPr>
          <w:color w:val="000000"/>
        </w:rPr>
        <w:t>U</w:t>
      </w:r>
      <w:r w:rsidRPr="0035027D">
        <w:rPr>
          <w:rFonts w:cs="Times New Roman"/>
          <w:color w:val="000000"/>
        </w:rPr>
        <w:t>ľ</w:t>
      </w:r>
      <w:r w:rsidRPr="0035027D">
        <w:rPr>
          <w:color w:val="000000"/>
        </w:rPr>
        <w:t>ah</w:t>
      </w:r>
      <w:r w:rsidRPr="0035027D">
        <w:rPr>
          <w:rFonts w:cs="Times New Roman"/>
          <w:color w:val="000000"/>
        </w:rPr>
        <w:t>č</w:t>
      </w:r>
      <w:r w:rsidRPr="0035027D">
        <w:rPr>
          <w:color w:val="000000"/>
        </w:rPr>
        <w:t xml:space="preserve">enie prístupu dospelých k nadobudnutiu novej kvalifikácie na základe predošlej praxe alebo absolvovania vzdelávacích programov </w:t>
      </w:r>
      <w:r w:rsidRPr="0035027D">
        <w:rPr>
          <w:rFonts w:cs="Times New Roman"/>
          <w:color w:val="000000"/>
        </w:rPr>
        <w:t>ď</w:t>
      </w:r>
      <w:r w:rsidRPr="0035027D">
        <w:rPr>
          <w:color w:val="000000"/>
        </w:rPr>
        <w:t>alšieho vzdelávania by mala prinies</w:t>
      </w:r>
      <w:r w:rsidRPr="0035027D">
        <w:rPr>
          <w:rFonts w:cs="Times New Roman"/>
          <w:color w:val="000000"/>
        </w:rPr>
        <w:t>ť</w:t>
      </w:r>
      <w:r w:rsidRPr="0035027D">
        <w:rPr>
          <w:color w:val="000000"/>
        </w:rPr>
        <w:t xml:space="preserve"> </w:t>
      </w:r>
      <w:r w:rsidRPr="0035027D">
        <w:rPr>
          <w:b/>
          <w:color w:val="000000"/>
        </w:rPr>
        <w:t>novela zákona o celoživotnom vzdelávaní</w:t>
      </w:r>
      <w:r w:rsidRPr="0035027D">
        <w:rPr>
          <w:color w:val="000000"/>
        </w:rPr>
        <w:t xml:space="preserve">, ktorá bola schválená v NR SR v septembri 2012. Novela rozširuje </w:t>
      </w:r>
      <w:r w:rsidRPr="0035027D">
        <w:rPr>
          <w:rFonts w:cs="Times New Roman"/>
          <w:color w:val="000000"/>
        </w:rPr>
        <w:t>ď</w:t>
      </w:r>
      <w:r w:rsidRPr="0035027D">
        <w:rPr>
          <w:color w:val="000000"/>
        </w:rPr>
        <w:t>alšie vzdelávanie aj o mo</w:t>
      </w:r>
      <w:r w:rsidRPr="0035027D">
        <w:rPr>
          <w:rFonts w:cs="Times New Roman"/>
          <w:color w:val="000000"/>
        </w:rPr>
        <w:t>ž</w:t>
      </w:r>
      <w:r w:rsidRPr="0035027D">
        <w:rPr>
          <w:color w:val="000000"/>
        </w:rPr>
        <w:t>nos</w:t>
      </w:r>
      <w:r w:rsidRPr="0035027D">
        <w:rPr>
          <w:rFonts w:cs="Times New Roman"/>
          <w:color w:val="000000"/>
        </w:rPr>
        <w:t>ť</w:t>
      </w:r>
      <w:r w:rsidRPr="0035027D">
        <w:rPr>
          <w:color w:val="000000"/>
        </w:rPr>
        <w:t xml:space="preserve"> samostatného štúdia fyzickej osoby a aktivity zamestnávate</w:t>
      </w:r>
      <w:r w:rsidRPr="0035027D">
        <w:rPr>
          <w:rFonts w:cs="Times New Roman"/>
          <w:color w:val="000000"/>
        </w:rPr>
        <w:t>ľ</w:t>
      </w:r>
      <w:r w:rsidRPr="0035027D">
        <w:rPr>
          <w:color w:val="000000"/>
        </w:rPr>
        <w:t>ov, ako napr. zaško</w:t>
      </w:r>
      <w:r w:rsidRPr="0035027D">
        <w:rPr>
          <w:rFonts w:cs="Times New Roman"/>
          <w:color w:val="000000"/>
        </w:rPr>
        <w:t>ľ</w:t>
      </w:r>
      <w:r w:rsidRPr="0035027D">
        <w:rPr>
          <w:color w:val="000000"/>
        </w:rPr>
        <w:t>ovanie, ktorého sa zú</w:t>
      </w:r>
      <w:r w:rsidRPr="0035027D">
        <w:rPr>
          <w:rFonts w:cs="Times New Roman"/>
          <w:color w:val="000000"/>
        </w:rPr>
        <w:t>č</w:t>
      </w:r>
      <w:r w:rsidRPr="0035027D">
        <w:rPr>
          <w:color w:val="000000"/>
        </w:rPr>
        <w:t>ast</w:t>
      </w:r>
      <w:r w:rsidRPr="0035027D">
        <w:rPr>
          <w:rFonts w:cs="Times New Roman"/>
          <w:color w:val="000000"/>
        </w:rPr>
        <w:t>ň</w:t>
      </w:r>
      <w:r w:rsidRPr="0035027D">
        <w:rPr>
          <w:color w:val="000000"/>
        </w:rPr>
        <w:t>uje zamestnanec, a ktorého cie</w:t>
      </w:r>
      <w:r w:rsidRPr="0035027D">
        <w:rPr>
          <w:rFonts w:cs="Times New Roman"/>
          <w:color w:val="000000"/>
        </w:rPr>
        <w:t>ľ</w:t>
      </w:r>
      <w:r w:rsidRPr="0035027D">
        <w:rPr>
          <w:color w:val="000000"/>
        </w:rPr>
        <w:t xml:space="preserve">om je získanie odbornej spôsobilosti na výkon pracovnej </w:t>
      </w:r>
      <w:r w:rsidRPr="0035027D">
        <w:rPr>
          <w:rFonts w:cs="Times New Roman"/>
          <w:color w:val="000000"/>
        </w:rPr>
        <w:t>č</w:t>
      </w:r>
      <w:r w:rsidRPr="0035027D">
        <w:rPr>
          <w:color w:val="000000"/>
        </w:rPr>
        <w:t>innosti. S cie</w:t>
      </w:r>
      <w:r w:rsidRPr="0035027D">
        <w:rPr>
          <w:rFonts w:cs="Times New Roman"/>
          <w:color w:val="000000"/>
        </w:rPr>
        <w:t>ľ</w:t>
      </w:r>
      <w:r w:rsidRPr="0035027D">
        <w:rPr>
          <w:color w:val="000000"/>
        </w:rPr>
        <w:t>om zabezpe</w:t>
      </w:r>
      <w:r w:rsidRPr="0035027D">
        <w:rPr>
          <w:rFonts w:cs="Times New Roman"/>
          <w:color w:val="000000"/>
        </w:rPr>
        <w:t>č</w:t>
      </w:r>
      <w:r w:rsidRPr="0035027D">
        <w:rPr>
          <w:color w:val="000000"/>
        </w:rPr>
        <w:t>i</w:t>
      </w:r>
      <w:r w:rsidRPr="0035027D">
        <w:rPr>
          <w:rFonts w:cs="Times New Roman"/>
          <w:color w:val="000000"/>
        </w:rPr>
        <w:t>ť</w:t>
      </w:r>
      <w:r w:rsidRPr="0035027D">
        <w:rPr>
          <w:color w:val="000000"/>
        </w:rPr>
        <w:t xml:space="preserve"> vyššiu odbornos</w:t>
      </w:r>
      <w:r w:rsidRPr="0035027D">
        <w:rPr>
          <w:rFonts w:cs="Times New Roman"/>
          <w:color w:val="000000"/>
        </w:rPr>
        <w:t>ť</w:t>
      </w:r>
      <w:r w:rsidRPr="0035027D">
        <w:rPr>
          <w:color w:val="000000"/>
        </w:rPr>
        <w:t xml:space="preserve"> odborných garantov a lektorov boli upravené podmienky a proces ich výberu. </w:t>
      </w:r>
    </w:p>
    <w:p w:rsidR="00002A31" w:rsidRPr="0035027D" w:rsidRDefault="00002A31" w:rsidP="00002A31">
      <w:pPr>
        <w:spacing w:after="0"/>
        <w:rPr>
          <w:color w:val="000000"/>
        </w:rPr>
      </w:pPr>
    </w:p>
    <w:p w:rsidR="00002A31" w:rsidRPr="0035027D" w:rsidRDefault="00002A31" w:rsidP="00002A31">
      <w:pPr>
        <w:spacing w:after="0"/>
      </w:pPr>
      <w:r w:rsidRPr="0035027D">
        <w:rPr>
          <w:rFonts w:cs="Times New Roman"/>
        </w:rPr>
        <w:lastRenderedPageBreak/>
        <w:t>Ď</w:t>
      </w:r>
      <w:r w:rsidRPr="0035027D">
        <w:t>alším dôle</w:t>
      </w:r>
      <w:r w:rsidRPr="0035027D">
        <w:rPr>
          <w:rFonts w:cs="Times New Roman"/>
        </w:rPr>
        <w:t>ž</w:t>
      </w:r>
      <w:r w:rsidRPr="0035027D">
        <w:t>itým krokom bolo rozšírenie okruhu oprávnených inštitúcií o profesijné organizácie a stavovské organizácie, ktoré budú disponova</w:t>
      </w:r>
      <w:r w:rsidRPr="0035027D">
        <w:rPr>
          <w:rFonts w:cs="Times New Roman"/>
        </w:rPr>
        <w:t>ť</w:t>
      </w:r>
      <w:r w:rsidRPr="0035027D">
        <w:t xml:space="preserve"> oprávnením na vykonávanie skúšky na overenie odbornej spôsobilosti. Novela zákona taktie</w:t>
      </w:r>
      <w:r w:rsidRPr="0035027D">
        <w:rPr>
          <w:rFonts w:cs="Times New Roman"/>
        </w:rPr>
        <w:t>ž</w:t>
      </w:r>
      <w:r w:rsidRPr="0035027D">
        <w:t xml:space="preserve"> zavádza prepojenie medzi zákonom o celo</w:t>
      </w:r>
      <w:r w:rsidRPr="0035027D">
        <w:rPr>
          <w:rFonts w:cs="Times New Roman"/>
        </w:rPr>
        <w:t>ž</w:t>
      </w:r>
      <w:r w:rsidRPr="0035027D">
        <w:t>ivotnom vzdelávaní a zákonom o </w:t>
      </w:r>
      <w:r w:rsidRPr="0035027D">
        <w:rPr>
          <w:rFonts w:cs="Times New Roman"/>
        </w:rPr>
        <w:t>ž</w:t>
      </w:r>
      <w:r w:rsidRPr="0035027D">
        <w:t>ivnostenskom podnikaní prostredníctvom prechodného ustanovenia. Prostredníctvom tohto ustanovenia budú môc</w:t>
      </w:r>
      <w:r w:rsidRPr="0035027D">
        <w:rPr>
          <w:rFonts w:cs="Times New Roman"/>
        </w:rPr>
        <w:t>ť</w:t>
      </w:r>
      <w:r w:rsidRPr="0035027D">
        <w:t xml:space="preserve"> ob</w:t>
      </w:r>
      <w:r w:rsidRPr="0035027D">
        <w:rPr>
          <w:rFonts w:cs="Times New Roman"/>
        </w:rPr>
        <w:t>č</w:t>
      </w:r>
      <w:r w:rsidRPr="0035027D">
        <w:t>ania, ktorí získali osved</w:t>
      </w:r>
      <w:r w:rsidRPr="0035027D">
        <w:rPr>
          <w:rFonts w:cs="Times New Roman"/>
        </w:rPr>
        <w:t>č</w:t>
      </w:r>
      <w:r w:rsidRPr="0035027D">
        <w:t>enie o vykonaní kvalifika</w:t>
      </w:r>
      <w:r w:rsidRPr="0035027D">
        <w:rPr>
          <w:rFonts w:cs="Times New Roman"/>
        </w:rPr>
        <w:t>č</w:t>
      </w:r>
      <w:r w:rsidRPr="0035027D">
        <w:t>nej skúšky pod</w:t>
      </w:r>
      <w:r w:rsidRPr="0035027D">
        <w:rPr>
          <w:rFonts w:cs="Times New Roman"/>
        </w:rPr>
        <w:t>ľ</w:t>
      </w:r>
      <w:r w:rsidRPr="0035027D">
        <w:t xml:space="preserve">a </w:t>
      </w:r>
      <w:r w:rsidRPr="0035027D">
        <w:rPr>
          <w:rFonts w:cs="Times New Roman"/>
        </w:rPr>
        <w:t>ž</w:t>
      </w:r>
      <w:r w:rsidRPr="0035027D">
        <w:t>ivnostenského zákona, ale nestihli absolvova</w:t>
      </w:r>
      <w:r w:rsidRPr="0035027D">
        <w:rPr>
          <w:rFonts w:cs="Times New Roman"/>
        </w:rPr>
        <w:t>ť</w:t>
      </w:r>
      <w:r w:rsidRPr="0035027D">
        <w:t xml:space="preserve"> po</w:t>
      </w:r>
      <w:r w:rsidRPr="0035027D">
        <w:rPr>
          <w:rFonts w:cs="Times New Roman"/>
        </w:rPr>
        <w:t>ž</w:t>
      </w:r>
      <w:r w:rsidRPr="0035027D">
        <w:t>adovanú prax alebo iné povinné nále</w:t>
      </w:r>
      <w:r w:rsidRPr="0035027D">
        <w:rPr>
          <w:rFonts w:cs="Times New Roman"/>
        </w:rPr>
        <w:t>ž</w:t>
      </w:r>
      <w:r w:rsidRPr="0035027D">
        <w:t>itosti, po</w:t>
      </w:r>
      <w:r w:rsidRPr="0035027D">
        <w:rPr>
          <w:rFonts w:cs="Times New Roman"/>
        </w:rPr>
        <w:t>ž</w:t>
      </w:r>
      <w:r w:rsidRPr="0035027D">
        <w:t>iada</w:t>
      </w:r>
      <w:r w:rsidRPr="0035027D">
        <w:rPr>
          <w:rFonts w:cs="Times New Roman"/>
        </w:rPr>
        <w:t>ť</w:t>
      </w:r>
      <w:r w:rsidRPr="0035027D">
        <w:t xml:space="preserve"> o udelenie </w:t>
      </w:r>
      <w:r w:rsidRPr="0035027D">
        <w:rPr>
          <w:rFonts w:cs="Times New Roman"/>
        </w:rPr>
        <w:t>ž</w:t>
      </w:r>
      <w:r w:rsidRPr="0035027D">
        <w:t>ivnostenského oprávnenia, nako</w:t>
      </w:r>
      <w:r w:rsidRPr="0035027D">
        <w:rPr>
          <w:rFonts w:cs="Times New Roman"/>
        </w:rPr>
        <w:t>ľ</w:t>
      </w:r>
      <w:r w:rsidRPr="0035027D">
        <w:t>ko osved</w:t>
      </w:r>
      <w:r w:rsidRPr="0035027D">
        <w:rPr>
          <w:rFonts w:cs="Times New Roman"/>
        </w:rPr>
        <w:t>č</w:t>
      </w:r>
      <w:r w:rsidRPr="0035027D">
        <w:t>enia o vykonaní kvalifika</w:t>
      </w:r>
      <w:r w:rsidRPr="0035027D">
        <w:rPr>
          <w:rFonts w:cs="Times New Roman"/>
        </w:rPr>
        <w:t>č</w:t>
      </w:r>
      <w:r w:rsidRPr="0035027D">
        <w:t>nej skúšky sa budú pova</w:t>
      </w:r>
      <w:r w:rsidRPr="0035027D">
        <w:rPr>
          <w:rFonts w:cs="Times New Roman"/>
        </w:rPr>
        <w:t>ž</w:t>
      </w:r>
      <w:r w:rsidRPr="0035027D">
        <w:t>ova</w:t>
      </w:r>
      <w:r w:rsidRPr="0035027D">
        <w:rPr>
          <w:rFonts w:cs="Times New Roman"/>
        </w:rPr>
        <w:t>ť</w:t>
      </w:r>
      <w:r w:rsidRPr="0035027D">
        <w:t xml:space="preserve"> za osved</w:t>
      </w:r>
      <w:r w:rsidRPr="0035027D">
        <w:rPr>
          <w:rFonts w:cs="Times New Roman"/>
        </w:rPr>
        <w:t>č</w:t>
      </w:r>
      <w:r w:rsidRPr="0035027D">
        <w:t>enia o </w:t>
      </w:r>
      <w:r w:rsidRPr="0035027D">
        <w:rPr>
          <w:rFonts w:cs="Times New Roman"/>
        </w:rPr>
        <w:t>č</w:t>
      </w:r>
      <w:r w:rsidRPr="0035027D">
        <w:t>iasto</w:t>
      </w:r>
      <w:r w:rsidRPr="0035027D">
        <w:rPr>
          <w:rFonts w:cs="Times New Roman"/>
        </w:rPr>
        <w:t>č</w:t>
      </w:r>
      <w:r w:rsidRPr="0035027D">
        <w:t>nej kvalifikácii alebo osved</w:t>
      </w:r>
      <w:r w:rsidRPr="0035027D">
        <w:rPr>
          <w:rFonts w:cs="Times New Roman"/>
        </w:rPr>
        <w:t>č</w:t>
      </w:r>
      <w:r w:rsidRPr="0035027D">
        <w:t>enia o úplnej kvalifikácii pod</w:t>
      </w:r>
      <w:r w:rsidRPr="0035027D">
        <w:rPr>
          <w:rFonts w:cs="Times New Roman"/>
        </w:rPr>
        <w:t>ľ</w:t>
      </w:r>
      <w:r w:rsidRPr="0035027D">
        <w:t>a zákona o celo</w:t>
      </w:r>
      <w:r w:rsidRPr="0035027D">
        <w:rPr>
          <w:rFonts w:cs="Times New Roman"/>
        </w:rPr>
        <w:t>ž</w:t>
      </w:r>
      <w:r w:rsidRPr="0035027D">
        <w:t xml:space="preserve">ivotnom vzdelávaní. </w:t>
      </w:r>
    </w:p>
    <w:p w:rsidR="00515596" w:rsidRPr="0035027D" w:rsidRDefault="00515596" w:rsidP="00AC015D">
      <w:pPr>
        <w:spacing w:after="0"/>
        <w:rPr>
          <w:color w:val="000000"/>
        </w:rPr>
      </w:pPr>
    </w:p>
    <w:p w:rsidR="00E1253D" w:rsidRPr="0035027D" w:rsidRDefault="007C7C35" w:rsidP="00AC015D">
      <w:pPr>
        <w:spacing w:after="0"/>
        <w:rPr>
          <w:color w:val="000000"/>
        </w:rPr>
      </w:pPr>
      <w:r w:rsidRPr="0035027D">
        <w:rPr>
          <w:color w:val="000000"/>
        </w:rPr>
        <w:t xml:space="preserve">Vyššie spomenutá </w:t>
      </w:r>
      <w:r w:rsidRPr="0035027D">
        <w:rPr>
          <w:b/>
          <w:color w:val="000000"/>
        </w:rPr>
        <w:t>novela zákona o službách zamestnanosti</w:t>
      </w:r>
      <w:r w:rsidRPr="0035027D">
        <w:rPr>
          <w:color w:val="000000"/>
        </w:rPr>
        <w:t xml:space="preserve"> vytvára podmienky na efektívne krátkodobé odborné vzdelávanie. Zosúla</w:t>
      </w:r>
      <w:r w:rsidRPr="0035027D">
        <w:rPr>
          <w:rFonts w:cs="Times New Roman"/>
          <w:color w:val="000000"/>
        </w:rPr>
        <w:t>ď</w:t>
      </w:r>
      <w:r w:rsidRPr="0035027D">
        <w:rPr>
          <w:color w:val="000000"/>
        </w:rPr>
        <w:t>uje vzdelávanie a prípravu pre trh práce s </w:t>
      </w:r>
      <w:r w:rsidRPr="0035027D">
        <w:rPr>
          <w:rFonts w:cs="Times New Roman"/>
          <w:color w:val="000000"/>
        </w:rPr>
        <w:t>ď</w:t>
      </w:r>
      <w:r w:rsidRPr="0035027D">
        <w:rPr>
          <w:color w:val="000000"/>
        </w:rPr>
        <w:t>alším vzdelávaním pod</w:t>
      </w:r>
      <w:r w:rsidRPr="0035027D">
        <w:rPr>
          <w:rFonts w:cs="Times New Roman"/>
          <w:color w:val="000000"/>
        </w:rPr>
        <w:t>ľ</w:t>
      </w:r>
      <w:r w:rsidRPr="0035027D">
        <w:rPr>
          <w:color w:val="000000"/>
        </w:rPr>
        <w:t>a zákona o celo</w:t>
      </w:r>
      <w:r w:rsidRPr="0035027D">
        <w:rPr>
          <w:rFonts w:cs="Times New Roman"/>
          <w:color w:val="000000"/>
        </w:rPr>
        <w:t>ž</w:t>
      </w:r>
      <w:r w:rsidRPr="0035027D">
        <w:rPr>
          <w:color w:val="000000"/>
        </w:rPr>
        <w:t>ivotnom vzdelávaní. Okrem toho zvyšuje dôraz na poradenstvo.</w:t>
      </w:r>
    </w:p>
    <w:p w:rsidR="000A772A" w:rsidRPr="0035027D" w:rsidRDefault="000A772A" w:rsidP="00AC015D">
      <w:pPr>
        <w:spacing w:after="0"/>
        <w:rPr>
          <w:color w:val="000000"/>
        </w:rPr>
      </w:pPr>
    </w:p>
    <w:p w:rsidR="000A772A" w:rsidRPr="0035027D" w:rsidRDefault="000A772A" w:rsidP="000A772A">
      <w:pPr>
        <w:pStyle w:val="Default"/>
        <w:spacing w:after="0"/>
        <w:jc w:val="both"/>
        <w:rPr>
          <w:rFonts w:cs="Times New Roman"/>
          <w:sz w:val="22"/>
          <w:szCs w:val="22"/>
        </w:rPr>
      </w:pPr>
      <w:r w:rsidRPr="0035027D">
        <w:rPr>
          <w:rFonts w:cs="Times New Roman"/>
          <w:sz w:val="22"/>
          <w:szCs w:val="22"/>
        </w:rPr>
        <w:t xml:space="preserve">V rámci </w:t>
      </w:r>
      <w:r w:rsidRPr="0035027D">
        <w:rPr>
          <w:rFonts w:cs="Times New Roman"/>
          <w:b/>
          <w:sz w:val="22"/>
          <w:szCs w:val="22"/>
        </w:rPr>
        <w:t>integrácie marginalizovaných komunít</w:t>
      </w:r>
      <w:r w:rsidRPr="0035027D">
        <w:rPr>
          <w:rFonts w:cs="Times New Roman"/>
          <w:sz w:val="22"/>
          <w:szCs w:val="22"/>
        </w:rPr>
        <w:t xml:space="preserve"> fond sociálneho rozvoja implementuje národný projekt zameraný na terénnu sociálnu prácu v obciach, cieľom ktorého je podpora sociálnej inklúzie prostredníctvom zvyšovania dostupnosti, kvality a efektivity služieb starostlivosti pre osoby ohrozené sociálnym vylúčením alebo vylúčené osoby so zameraním na zvyšovanie ich zamestnateľnosti. </w:t>
      </w:r>
    </w:p>
    <w:p w:rsidR="000A772A" w:rsidRPr="0035027D" w:rsidRDefault="000A772A" w:rsidP="000A772A">
      <w:pPr>
        <w:pStyle w:val="Default"/>
        <w:spacing w:after="0"/>
        <w:jc w:val="both"/>
        <w:rPr>
          <w:rFonts w:cs="Times New Roman"/>
          <w:sz w:val="22"/>
          <w:szCs w:val="22"/>
        </w:rPr>
      </w:pPr>
    </w:p>
    <w:p w:rsidR="000A772A" w:rsidRPr="0035027D" w:rsidRDefault="000A772A" w:rsidP="000A772A">
      <w:pPr>
        <w:pStyle w:val="Zkladntext2"/>
        <w:spacing w:after="0" w:line="240" w:lineRule="auto"/>
        <w:rPr>
          <w:szCs w:val="24"/>
        </w:rPr>
      </w:pPr>
      <w:r w:rsidRPr="0035027D">
        <w:rPr>
          <w:bCs/>
          <w:szCs w:val="24"/>
        </w:rPr>
        <w:t xml:space="preserve">V januári 2012 bola vládou SR prijatá </w:t>
      </w:r>
      <w:r w:rsidRPr="0035027D">
        <w:rPr>
          <w:b/>
          <w:bCs/>
          <w:szCs w:val="24"/>
        </w:rPr>
        <w:t>Stratégia pre integráciu Rómov</w:t>
      </w:r>
      <w:r w:rsidRPr="0035027D">
        <w:rPr>
          <w:bCs/>
          <w:szCs w:val="24"/>
        </w:rPr>
        <w:t xml:space="preserve"> do roku 2020. </w:t>
      </w:r>
      <w:r w:rsidRPr="0035027D">
        <w:rPr>
          <w:szCs w:val="24"/>
        </w:rPr>
        <w:t>Predlo</w:t>
      </w:r>
      <w:r w:rsidRPr="0035027D">
        <w:rPr>
          <w:rFonts w:cs="Times New Roman"/>
          <w:szCs w:val="24"/>
        </w:rPr>
        <w:t>ž</w:t>
      </w:r>
      <w:r w:rsidRPr="0035027D">
        <w:rPr>
          <w:szCs w:val="24"/>
        </w:rPr>
        <w:t>ená stratégia je zalo</w:t>
      </w:r>
      <w:r w:rsidRPr="0035027D">
        <w:rPr>
          <w:rFonts w:cs="Times New Roman"/>
          <w:szCs w:val="24"/>
        </w:rPr>
        <w:t>ž</w:t>
      </w:r>
      <w:r w:rsidRPr="0035027D">
        <w:rPr>
          <w:szCs w:val="24"/>
        </w:rPr>
        <w:t>ená na potrebe prechodu od pasívnej starostlivosti štátnych a samosprávnych orgánov smerom k aktivizujúcej pomoci. Stratégia je zalo</w:t>
      </w:r>
      <w:r w:rsidRPr="0035027D">
        <w:rPr>
          <w:rFonts w:cs="Times New Roman"/>
          <w:szCs w:val="24"/>
        </w:rPr>
        <w:t>ž</w:t>
      </w:r>
      <w:r w:rsidRPr="0035027D">
        <w:rPr>
          <w:szCs w:val="24"/>
        </w:rPr>
        <w:t>ená na snahe minimalizova</w:t>
      </w:r>
      <w:r w:rsidRPr="0035027D">
        <w:rPr>
          <w:rFonts w:cs="Times New Roman"/>
          <w:szCs w:val="24"/>
        </w:rPr>
        <w:t>ť</w:t>
      </w:r>
      <w:r w:rsidRPr="0035027D">
        <w:rPr>
          <w:szCs w:val="24"/>
        </w:rPr>
        <w:t xml:space="preserve"> vplyv jednotlivých typov vylú</w:t>
      </w:r>
      <w:r w:rsidRPr="0035027D">
        <w:rPr>
          <w:rFonts w:cs="Times New Roman"/>
          <w:szCs w:val="24"/>
        </w:rPr>
        <w:t>č</w:t>
      </w:r>
      <w:r w:rsidRPr="0035027D">
        <w:rPr>
          <w:szCs w:val="24"/>
        </w:rPr>
        <w:t>enia vo vz</w:t>
      </w:r>
      <w:r w:rsidRPr="0035027D">
        <w:rPr>
          <w:rFonts w:cs="Times New Roman"/>
          <w:szCs w:val="24"/>
        </w:rPr>
        <w:t>ť</w:t>
      </w:r>
      <w:r w:rsidRPr="0035027D">
        <w:rPr>
          <w:szCs w:val="24"/>
        </w:rPr>
        <w:t>ahu k rómskym komunitám a rozvinú</w:t>
      </w:r>
      <w:r w:rsidRPr="0035027D">
        <w:rPr>
          <w:rFonts w:cs="Times New Roman"/>
          <w:szCs w:val="24"/>
        </w:rPr>
        <w:t>ť</w:t>
      </w:r>
      <w:r w:rsidRPr="0035027D">
        <w:rPr>
          <w:szCs w:val="24"/>
        </w:rPr>
        <w:t xml:space="preserve"> politiku integrácie. Vz</w:t>
      </w:r>
      <w:r w:rsidRPr="0035027D">
        <w:rPr>
          <w:rFonts w:cs="Times New Roman"/>
          <w:szCs w:val="24"/>
        </w:rPr>
        <w:t>ť</w:t>
      </w:r>
      <w:r w:rsidRPr="0035027D">
        <w:rPr>
          <w:szCs w:val="24"/>
        </w:rPr>
        <w:t>ahuje sa na oblasti vzdelávania, zamestnanosti, zdravotnej starostlivosti, bývania, prístupu k finan</w:t>
      </w:r>
      <w:r w:rsidRPr="0035027D">
        <w:rPr>
          <w:rFonts w:cs="Times New Roman"/>
          <w:szCs w:val="24"/>
        </w:rPr>
        <w:t>č</w:t>
      </w:r>
      <w:r w:rsidRPr="0035027D">
        <w:rPr>
          <w:szCs w:val="24"/>
        </w:rPr>
        <w:t>ným slu</w:t>
      </w:r>
      <w:r w:rsidRPr="0035027D">
        <w:rPr>
          <w:rFonts w:cs="Times New Roman"/>
          <w:szCs w:val="24"/>
        </w:rPr>
        <w:t>ž</w:t>
      </w:r>
      <w:r w:rsidRPr="0035027D">
        <w:rPr>
          <w:szCs w:val="24"/>
        </w:rPr>
        <w:t>bám, nediskriminácie a vnímania vä</w:t>
      </w:r>
      <w:r w:rsidRPr="0035027D">
        <w:rPr>
          <w:rFonts w:cs="Times New Roman"/>
          <w:szCs w:val="24"/>
        </w:rPr>
        <w:t>č</w:t>
      </w:r>
      <w:r w:rsidRPr="0035027D">
        <w:rPr>
          <w:szCs w:val="24"/>
        </w:rPr>
        <w:t>šinovou spolo</w:t>
      </w:r>
      <w:r w:rsidRPr="0035027D">
        <w:rPr>
          <w:rFonts w:cs="Times New Roman"/>
          <w:szCs w:val="24"/>
        </w:rPr>
        <w:t>č</w:t>
      </w:r>
      <w:r w:rsidRPr="0035027D">
        <w:rPr>
          <w:szCs w:val="24"/>
        </w:rPr>
        <w:t>nos</w:t>
      </w:r>
      <w:r w:rsidRPr="0035027D">
        <w:rPr>
          <w:rFonts w:cs="Times New Roman"/>
          <w:szCs w:val="24"/>
        </w:rPr>
        <w:t>ť</w:t>
      </w:r>
      <w:r w:rsidRPr="0035027D">
        <w:rPr>
          <w:szCs w:val="24"/>
        </w:rPr>
        <w:t>ou.</w:t>
      </w:r>
    </w:p>
    <w:p w:rsidR="000A772A" w:rsidRPr="0035027D" w:rsidRDefault="000A772A" w:rsidP="000A772A">
      <w:pPr>
        <w:pStyle w:val="Zkladntext2"/>
        <w:spacing w:after="0" w:line="240" w:lineRule="auto"/>
        <w:rPr>
          <w:szCs w:val="24"/>
        </w:rPr>
      </w:pPr>
    </w:p>
    <w:p w:rsidR="003B5942" w:rsidRPr="0035027D" w:rsidRDefault="003B5942" w:rsidP="003B5942">
      <w:pPr>
        <w:spacing w:after="0"/>
        <w:rPr>
          <w:color w:val="000000"/>
        </w:rPr>
      </w:pPr>
      <w:r w:rsidRPr="0035027D">
        <w:rPr>
          <w:color w:val="000000"/>
        </w:rPr>
        <w:t xml:space="preserve">Postupnými krokmi sa vytvára </w:t>
      </w:r>
      <w:r w:rsidRPr="0035027D">
        <w:rPr>
          <w:b/>
          <w:color w:val="000000"/>
        </w:rPr>
        <w:t>celodenný výchovný systém</w:t>
      </w:r>
      <w:r w:rsidRPr="0035027D">
        <w:rPr>
          <w:color w:val="000000"/>
        </w:rPr>
        <w:t>, ktorý by mal u</w:t>
      </w:r>
      <w:r w:rsidRPr="0035027D">
        <w:rPr>
          <w:rFonts w:cs="Times New Roman"/>
          <w:color w:val="000000"/>
        </w:rPr>
        <w:t>č</w:t>
      </w:r>
      <w:r w:rsidRPr="0035027D">
        <w:rPr>
          <w:color w:val="000000"/>
        </w:rPr>
        <w:t>i</w:t>
      </w:r>
      <w:r w:rsidRPr="0035027D">
        <w:rPr>
          <w:rFonts w:cs="Times New Roman"/>
          <w:color w:val="000000"/>
        </w:rPr>
        <w:t>ť</w:t>
      </w:r>
      <w:r w:rsidRPr="0035027D">
        <w:rPr>
          <w:color w:val="000000"/>
        </w:rPr>
        <w:t xml:space="preserve"> </w:t>
      </w:r>
      <w:r w:rsidRPr="0035027D">
        <w:rPr>
          <w:rFonts w:cs="Times New Roman"/>
          <w:color w:val="000000"/>
        </w:rPr>
        <w:t>ž</w:t>
      </w:r>
      <w:r w:rsidRPr="0035027D">
        <w:rPr>
          <w:color w:val="000000"/>
        </w:rPr>
        <w:t>iaka, ako strávi</w:t>
      </w:r>
      <w:r w:rsidRPr="0035027D">
        <w:rPr>
          <w:rFonts w:cs="Times New Roman"/>
          <w:color w:val="000000"/>
        </w:rPr>
        <w:t>ť</w:t>
      </w:r>
      <w:r w:rsidRPr="0035027D">
        <w:rPr>
          <w:color w:val="000000"/>
        </w:rPr>
        <w:t xml:space="preserve"> vo</w:t>
      </w:r>
      <w:r w:rsidRPr="0035027D">
        <w:rPr>
          <w:rFonts w:cs="Times New Roman"/>
          <w:color w:val="000000"/>
        </w:rPr>
        <w:t>ľ</w:t>
      </w:r>
      <w:r w:rsidRPr="0035027D">
        <w:rPr>
          <w:color w:val="000000"/>
        </w:rPr>
        <w:t xml:space="preserve">ný </w:t>
      </w:r>
      <w:r w:rsidRPr="0035027D">
        <w:rPr>
          <w:rFonts w:cs="Times New Roman"/>
          <w:color w:val="000000"/>
        </w:rPr>
        <w:t>č</w:t>
      </w:r>
      <w:r w:rsidRPr="0035027D">
        <w:rPr>
          <w:color w:val="000000"/>
        </w:rPr>
        <w:t>as. Od školského roku 2012/2013 sa celodenný výchovný systém overuje v 200 základných školách zapojených do projektu. Jeho cie</w:t>
      </w:r>
      <w:r w:rsidRPr="0035027D">
        <w:rPr>
          <w:rFonts w:cs="Times New Roman"/>
          <w:color w:val="000000"/>
        </w:rPr>
        <w:t>ľ</w:t>
      </w:r>
      <w:r w:rsidRPr="0035027D">
        <w:rPr>
          <w:color w:val="000000"/>
        </w:rPr>
        <w:t>om je odbremeni</w:t>
      </w:r>
      <w:r w:rsidRPr="0035027D">
        <w:rPr>
          <w:rFonts w:cs="Times New Roman"/>
          <w:color w:val="000000"/>
        </w:rPr>
        <w:t>ť</w:t>
      </w:r>
      <w:r w:rsidRPr="0035027D">
        <w:rPr>
          <w:color w:val="000000"/>
        </w:rPr>
        <w:t xml:space="preserve"> rodi</w:t>
      </w:r>
      <w:r w:rsidRPr="0035027D">
        <w:rPr>
          <w:rFonts w:cs="Times New Roman"/>
          <w:color w:val="000000"/>
        </w:rPr>
        <w:t>č</w:t>
      </w:r>
      <w:r w:rsidRPr="0035027D">
        <w:rPr>
          <w:color w:val="000000"/>
        </w:rPr>
        <w:t>ov od pomoci pri príprave die</w:t>
      </w:r>
      <w:r w:rsidRPr="0035027D">
        <w:rPr>
          <w:rFonts w:cs="Times New Roman"/>
          <w:color w:val="000000"/>
        </w:rPr>
        <w:t>ť</w:t>
      </w:r>
      <w:r w:rsidRPr="0035027D">
        <w:rPr>
          <w:color w:val="000000"/>
        </w:rPr>
        <w:t>a</w:t>
      </w:r>
      <w:r w:rsidRPr="0035027D">
        <w:rPr>
          <w:rFonts w:cs="Times New Roman"/>
          <w:color w:val="000000"/>
        </w:rPr>
        <w:t>ť</w:t>
      </w:r>
      <w:r w:rsidRPr="0035027D">
        <w:rPr>
          <w:color w:val="000000"/>
        </w:rPr>
        <w:t>a na vyu</w:t>
      </w:r>
      <w:r w:rsidRPr="0035027D">
        <w:rPr>
          <w:rFonts w:cs="Times New Roman"/>
          <w:color w:val="000000"/>
        </w:rPr>
        <w:t>č</w:t>
      </w:r>
      <w:r w:rsidRPr="0035027D">
        <w:rPr>
          <w:color w:val="000000"/>
        </w:rPr>
        <w:t>ovanie, intenzívne vzdelávanie detí zo sociálne znevýhodneného prostredia a v kone</w:t>
      </w:r>
      <w:r w:rsidRPr="0035027D">
        <w:rPr>
          <w:rFonts w:cs="Times New Roman"/>
          <w:color w:val="000000"/>
        </w:rPr>
        <w:t>č</w:t>
      </w:r>
      <w:r w:rsidRPr="0035027D">
        <w:rPr>
          <w:color w:val="000000"/>
        </w:rPr>
        <w:t>nom dôsledku aj ich</w:t>
      </w:r>
      <w:r w:rsidR="00047BA8" w:rsidRPr="0035027D">
        <w:rPr>
          <w:color w:val="000000"/>
        </w:rPr>
        <w:t xml:space="preserve"> prospech, správanie i dochádzka</w:t>
      </w:r>
      <w:r w:rsidRPr="0035027D">
        <w:rPr>
          <w:color w:val="000000"/>
        </w:rPr>
        <w:t>.</w:t>
      </w:r>
    </w:p>
    <w:p w:rsidR="003B5942" w:rsidRPr="0035027D" w:rsidRDefault="003B5942" w:rsidP="003B5942">
      <w:pPr>
        <w:spacing w:after="0"/>
        <w:rPr>
          <w:color w:val="000000"/>
        </w:rPr>
      </w:pPr>
    </w:p>
    <w:p w:rsidR="000A772A" w:rsidRPr="0035027D" w:rsidRDefault="003B5942" w:rsidP="0067463C">
      <w:pPr>
        <w:spacing w:after="0"/>
        <w:rPr>
          <w:bCs/>
          <w:szCs w:val="24"/>
          <w:u w:val="single"/>
        </w:rPr>
      </w:pPr>
      <w:r w:rsidRPr="0035027D">
        <w:rPr>
          <w:color w:val="000000"/>
        </w:rPr>
        <w:t xml:space="preserve">Pre podporu zamestnanosti </w:t>
      </w:r>
      <w:r w:rsidRPr="0035027D">
        <w:rPr>
          <w:rFonts w:cs="Times New Roman"/>
          <w:color w:val="000000"/>
        </w:rPr>
        <w:t>ž</w:t>
      </w:r>
      <w:r w:rsidRPr="0035027D">
        <w:rPr>
          <w:color w:val="000000"/>
        </w:rPr>
        <w:t>ien a inklúziu marginalizovaných komunít sa priebe</w:t>
      </w:r>
      <w:r w:rsidRPr="0035027D">
        <w:rPr>
          <w:rFonts w:cs="Times New Roman"/>
          <w:color w:val="000000"/>
        </w:rPr>
        <w:t>ž</w:t>
      </w:r>
      <w:r w:rsidRPr="0035027D">
        <w:rPr>
          <w:color w:val="000000"/>
        </w:rPr>
        <w:t>ne, v závislosti od finan</w:t>
      </w:r>
      <w:r w:rsidRPr="0035027D">
        <w:rPr>
          <w:rFonts w:cs="Times New Roman"/>
          <w:color w:val="000000"/>
        </w:rPr>
        <w:t>č</w:t>
      </w:r>
      <w:r w:rsidRPr="0035027D">
        <w:rPr>
          <w:color w:val="000000"/>
        </w:rPr>
        <w:t>ných mo</w:t>
      </w:r>
      <w:r w:rsidRPr="0035027D">
        <w:rPr>
          <w:rFonts w:cs="Times New Roman"/>
          <w:color w:val="000000"/>
        </w:rPr>
        <w:t>ž</w:t>
      </w:r>
      <w:r w:rsidRPr="0035027D">
        <w:rPr>
          <w:color w:val="000000"/>
        </w:rPr>
        <w:t>ností zria</w:t>
      </w:r>
      <w:r w:rsidRPr="0035027D">
        <w:rPr>
          <w:rFonts w:cs="Times New Roman"/>
          <w:color w:val="000000"/>
        </w:rPr>
        <w:t>ď</w:t>
      </w:r>
      <w:r w:rsidRPr="0035027D">
        <w:rPr>
          <w:color w:val="000000"/>
        </w:rPr>
        <w:t>ovate</w:t>
      </w:r>
      <w:r w:rsidRPr="0035027D">
        <w:rPr>
          <w:rFonts w:cs="Times New Roman"/>
          <w:color w:val="000000"/>
        </w:rPr>
        <w:t>ľ</w:t>
      </w:r>
      <w:r w:rsidRPr="0035027D">
        <w:rPr>
          <w:color w:val="000000"/>
        </w:rPr>
        <w:t xml:space="preserve">ov, rozšírili </w:t>
      </w:r>
      <w:r w:rsidRPr="0035027D">
        <w:rPr>
          <w:b/>
          <w:color w:val="000000"/>
        </w:rPr>
        <w:t>kapacity materských škôl</w:t>
      </w:r>
      <w:r w:rsidRPr="0035027D">
        <w:rPr>
          <w:color w:val="000000"/>
        </w:rPr>
        <w:t>, najmä pre deti jeden rok pred plnením povinnej školskej dochádzky. Oproti školskému roku 2011/2012 sa zvýšil po</w:t>
      </w:r>
      <w:r w:rsidRPr="0035027D">
        <w:rPr>
          <w:rFonts w:cs="Times New Roman"/>
          <w:color w:val="000000"/>
        </w:rPr>
        <w:t>č</w:t>
      </w:r>
      <w:r w:rsidRPr="0035027D">
        <w:rPr>
          <w:color w:val="000000"/>
        </w:rPr>
        <w:t>et tried v m</w:t>
      </w:r>
      <w:r w:rsidR="00347F36" w:rsidRPr="0035027D">
        <w:rPr>
          <w:color w:val="000000"/>
        </w:rPr>
        <w:t xml:space="preserve">aterských školách zo 7 277 na </w:t>
      </w:r>
      <w:r w:rsidR="00347F36" w:rsidRPr="0035027D">
        <w:t>7 </w:t>
      </w:r>
      <w:r w:rsidRPr="0035027D">
        <w:t>395</w:t>
      </w:r>
      <w:r w:rsidRPr="0035027D">
        <w:rPr>
          <w:color w:val="000000"/>
        </w:rPr>
        <w:t>. Po</w:t>
      </w:r>
      <w:r w:rsidRPr="0035027D">
        <w:rPr>
          <w:rFonts w:cs="Times New Roman"/>
          <w:color w:val="000000"/>
        </w:rPr>
        <w:t>č</w:t>
      </w:r>
      <w:r w:rsidRPr="0035027D">
        <w:rPr>
          <w:color w:val="000000"/>
        </w:rPr>
        <w:t>et tried v materských školách vzrástol o 118.</w:t>
      </w:r>
      <w:r w:rsidR="0067463C" w:rsidRPr="0035027D">
        <w:rPr>
          <w:color w:val="000000"/>
        </w:rPr>
        <w:t xml:space="preserve"> </w:t>
      </w:r>
      <w:r w:rsidRPr="0035027D">
        <w:rPr>
          <w:szCs w:val="24"/>
        </w:rPr>
        <w:t>Za ú</w:t>
      </w:r>
      <w:r w:rsidRPr="0035027D">
        <w:rPr>
          <w:rFonts w:cs="Times New Roman"/>
          <w:szCs w:val="24"/>
        </w:rPr>
        <w:t>č</w:t>
      </w:r>
      <w:r w:rsidRPr="0035027D">
        <w:rPr>
          <w:szCs w:val="24"/>
        </w:rPr>
        <w:t>elom vzdelávania marginalizovaných skupín sa tie</w:t>
      </w:r>
      <w:r w:rsidRPr="0035027D">
        <w:rPr>
          <w:rFonts w:cs="Times New Roman"/>
          <w:szCs w:val="24"/>
        </w:rPr>
        <w:t>ž</w:t>
      </w:r>
      <w:r w:rsidRPr="0035027D">
        <w:rPr>
          <w:szCs w:val="24"/>
        </w:rPr>
        <w:t xml:space="preserve"> p</w:t>
      </w:r>
      <w:r w:rsidR="000A772A" w:rsidRPr="0035027D">
        <w:rPr>
          <w:szCs w:val="24"/>
        </w:rPr>
        <w:t>riebe</w:t>
      </w:r>
      <w:r w:rsidR="000A772A" w:rsidRPr="0035027D">
        <w:rPr>
          <w:rFonts w:cs="Times New Roman"/>
          <w:szCs w:val="24"/>
        </w:rPr>
        <w:t>ž</w:t>
      </w:r>
      <w:r w:rsidR="000A772A" w:rsidRPr="0035027D">
        <w:rPr>
          <w:szCs w:val="24"/>
        </w:rPr>
        <w:t xml:space="preserve">ne realizujú opatrenia ako </w:t>
      </w:r>
      <w:r w:rsidRPr="0035027D">
        <w:rPr>
          <w:szCs w:val="24"/>
        </w:rPr>
        <w:t>vydávanie</w:t>
      </w:r>
      <w:r w:rsidR="000A772A" w:rsidRPr="0035027D">
        <w:rPr>
          <w:szCs w:val="24"/>
        </w:rPr>
        <w:t xml:space="preserve"> u</w:t>
      </w:r>
      <w:r w:rsidR="000A772A" w:rsidRPr="0035027D">
        <w:rPr>
          <w:rFonts w:cs="Times New Roman"/>
          <w:szCs w:val="24"/>
        </w:rPr>
        <w:t>č</w:t>
      </w:r>
      <w:r w:rsidR="000A772A" w:rsidRPr="0035027D">
        <w:rPr>
          <w:szCs w:val="24"/>
        </w:rPr>
        <w:t>ební</w:t>
      </w:r>
      <w:r w:rsidRPr="0035027D">
        <w:rPr>
          <w:szCs w:val="24"/>
        </w:rPr>
        <w:t>c v slovenskom a rómskom jazyku a</w:t>
      </w:r>
      <w:r w:rsidR="000A772A" w:rsidRPr="0035027D">
        <w:rPr>
          <w:szCs w:val="24"/>
        </w:rPr>
        <w:t xml:space="preserve"> vzdelávanie u</w:t>
      </w:r>
      <w:r w:rsidR="000A772A" w:rsidRPr="0035027D">
        <w:rPr>
          <w:rFonts w:cs="Times New Roman"/>
          <w:szCs w:val="24"/>
        </w:rPr>
        <w:t>č</w:t>
      </w:r>
      <w:r w:rsidR="000A772A" w:rsidRPr="0035027D">
        <w:rPr>
          <w:szCs w:val="24"/>
        </w:rPr>
        <w:t>ite</w:t>
      </w:r>
      <w:r w:rsidR="000A772A" w:rsidRPr="0035027D">
        <w:rPr>
          <w:rFonts w:cs="Times New Roman"/>
          <w:szCs w:val="24"/>
        </w:rPr>
        <w:t>ľ</w:t>
      </w:r>
      <w:r w:rsidR="000A772A" w:rsidRPr="0035027D">
        <w:rPr>
          <w:szCs w:val="24"/>
        </w:rPr>
        <w:t>ov pomocou akreditovaných programov za ú</w:t>
      </w:r>
      <w:r w:rsidR="000A772A" w:rsidRPr="0035027D">
        <w:rPr>
          <w:rFonts w:cs="Times New Roman"/>
          <w:szCs w:val="24"/>
        </w:rPr>
        <w:t>č</w:t>
      </w:r>
      <w:r w:rsidR="000A772A" w:rsidRPr="0035027D">
        <w:rPr>
          <w:szCs w:val="24"/>
        </w:rPr>
        <w:t>elom rozvíjania komunika</w:t>
      </w:r>
      <w:r w:rsidR="000A772A" w:rsidRPr="0035027D">
        <w:rPr>
          <w:rFonts w:cs="Times New Roman"/>
          <w:szCs w:val="24"/>
        </w:rPr>
        <w:t>č</w:t>
      </w:r>
      <w:r w:rsidR="000A772A" w:rsidRPr="0035027D">
        <w:rPr>
          <w:szCs w:val="24"/>
        </w:rPr>
        <w:t>ných a pedagogických schopností potrebných k inklúzií marginalizovaných komunít</w:t>
      </w:r>
      <w:r w:rsidRPr="0035027D">
        <w:rPr>
          <w:szCs w:val="24"/>
        </w:rPr>
        <w:t>.</w:t>
      </w:r>
    </w:p>
    <w:p w:rsidR="00515596" w:rsidRPr="0035027D" w:rsidRDefault="00515596" w:rsidP="00AC015D">
      <w:pPr>
        <w:spacing w:after="0"/>
        <w:jc w:val="left"/>
        <w:rPr>
          <w:rFonts w:cs="Times New Roman"/>
          <w:b/>
          <w:lang w:eastAsia="en-US"/>
        </w:rPr>
      </w:pPr>
    </w:p>
    <w:p w:rsidR="0092093C" w:rsidRPr="0035027D" w:rsidRDefault="0092093C" w:rsidP="0092093C">
      <w:pPr>
        <w:spacing w:after="0"/>
        <w:rPr>
          <w:i/>
        </w:rPr>
      </w:pPr>
      <w:r w:rsidRPr="0035027D">
        <w:rPr>
          <w:i/>
        </w:rPr>
        <w:t xml:space="preserve">K plneniu odporúčania prispejú aj ďalšie opatrenia detailnejšie opísané v kapitolách </w:t>
      </w:r>
      <w:r w:rsidR="002E49B3" w:rsidRPr="0035027D">
        <w:rPr>
          <w:i/>
        </w:rPr>
        <w:t>4</w:t>
      </w:r>
      <w:r w:rsidRPr="0035027D">
        <w:rPr>
          <w:i/>
        </w:rPr>
        <w:t>.</w:t>
      </w:r>
      <w:r w:rsidR="00214A67" w:rsidRPr="0035027D">
        <w:rPr>
          <w:i/>
        </w:rPr>
        <w:t>2</w:t>
      </w:r>
      <w:r w:rsidR="002E49B3" w:rsidRPr="0035027D">
        <w:rPr>
          <w:i/>
        </w:rPr>
        <w:t>.1, 4</w:t>
      </w:r>
      <w:r w:rsidRPr="0035027D">
        <w:rPr>
          <w:i/>
        </w:rPr>
        <w:t>.</w:t>
      </w:r>
      <w:r w:rsidR="00214A67" w:rsidRPr="0035027D">
        <w:rPr>
          <w:i/>
        </w:rPr>
        <w:t>2</w:t>
      </w:r>
      <w:r w:rsidR="002E49B3" w:rsidRPr="0035027D">
        <w:rPr>
          <w:i/>
        </w:rPr>
        <w:t>.3, 4</w:t>
      </w:r>
      <w:r w:rsidRPr="0035027D">
        <w:rPr>
          <w:i/>
        </w:rPr>
        <w:t>.</w:t>
      </w:r>
      <w:r w:rsidR="00214A67" w:rsidRPr="0035027D">
        <w:rPr>
          <w:i/>
        </w:rPr>
        <w:t>3</w:t>
      </w:r>
      <w:r w:rsidR="009C02FF" w:rsidRPr="0035027D">
        <w:rPr>
          <w:i/>
        </w:rPr>
        <w:t xml:space="preserve"> </w:t>
      </w:r>
      <w:r w:rsidRPr="0035027D">
        <w:rPr>
          <w:i/>
        </w:rPr>
        <w:t>a akčnom pláne.</w:t>
      </w:r>
    </w:p>
    <w:p w:rsidR="00E726FE" w:rsidRPr="0035027D" w:rsidRDefault="00E726FE" w:rsidP="00AC015D">
      <w:pPr>
        <w:spacing w:after="0"/>
        <w:jc w:val="left"/>
        <w:rPr>
          <w:rFonts w:cs="Times New Roman"/>
          <w:b/>
          <w:lang w:eastAsia="en-US"/>
        </w:rPr>
      </w:pPr>
    </w:p>
    <w:p w:rsidR="00E726FE" w:rsidRPr="0035027D" w:rsidRDefault="00E726FE" w:rsidP="00AC015D">
      <w:pPr>
        <w:spacing w:after="0"/>
        <w:jc w:val="left"/>
        <w:rPr>
          <w:rFonts w:cs="Times New Roman"/>
          <w:b/>
          <w:lang w:eastAsia="en-US"/>
        </w:rPr>
      </w:pPr>
    </w:p>
    <w:p w:rsidR="00515596" w:rsidRPr="0035027D" w:rsidRDefault="00515596" w:rsidP="003C29D5">
      <w:pPr>
        <w:pStyle w:val="Odsekzoznamu"/>
        <w:numPr>
          <w:ilvl w:val="0"/>
          <w:numId w:val="3"/>
        </w:numPr>
        <w:spacing w:after="0" w:line="240" w:lineRule="auto"/>
        <w:ind w:left="284" w:hanging="284"/>
        <w:jc w:val="both"/>
        <w:rPr>
          <w:rFonts w:ascii="Arial Narrow" w:hAnsi="Arial Narrow"/>
          <w:b/>
        </w:rPr>
      </w:pPr>
      <w:r w:rsidRPr="0035027D">
        <w:rPr>
          <w:rFonts w:ascii="Arial Narrow" w:hAnsi="Arial Narrow"/>
          <w:b/>
        </w:rPr>
        <w:t>Efektívna, spoľahlivá a otvorená verejná správa</w:t>
      </w:r>
    </w:p>
    <w:p w:rsidR="00515596" w:rsidRPr="0035027D" w:rsidRDefault="00515596" w:rsidP="00AC015D">
      <w:pPr>
        <w:spacing w:after="0"/>
        <w:contextualSpacing/>
        <w:rPr>
          <w:b/>
          <w:i/>
          <w:szCs w:val="36"/>
          <w:lang w:eastAsia="en-US"/>
        </w:rPr>
      </w:pPr>
    </w:p>
    <w:p w:rsidR="00413259" w:rsidRPr="0035027D" w:rsidRDefault="00EC78A4" w:rsidP="00413259">
      <w:pPr>
        <w:spacing w:after="0"/>
        <w:contextualSpacing/>
        <w:rPr>
          <w:b/>
          <w:i/>
          <w:szCs w:val="36"/>
          <w:lang w:eastAsia="en-US"/>
        </w:rPr>
      </w:pPr>
      <w:r w:rsidRPr="0035027D">
        <w:rPr>
          <w:b/>
          <w:i/>
          <w:szCs w:val="36"/>
          <w:lang w:eastAsia="en-US"/>
        </w:rPr>
        <w:t xml:space="preserve">(CSR7) </w:t>
      </w:r>
      <w:r w:rsidR="00413259" w:rsidRPr="0035027D">
        <w:rPr>
          <w:b/>
          <w:i/>
          <w:szCs w:val="36"/>
          <w:lang w:eastAsia="en-US"/>
        </w:rPr>
        <w:t xml:space="preserve">Posilniť kvalitu a efektívnosť verejnej služby, </w:t>
      </w:r>
      <w:r w:rsidR="000E6FF0" w:rsidRPr="0035027D">
        <w:rPr>
          <w:b/>
          <w:i/>
          <w:szCs w:val="36"/>
          <w:lang w:eastAsia="en-US"/>
        </w:rPr>
        <w:t>najmä</w:t>
      </w:r>
      <w:r w:rsidR="00413259" w:rsidRPr="0035027D">
        <w:rPr>
          <w:b/>
          <w:i/>
          <w:szCs w:val="36"/>
          <w:lang w:eastAsia="en-US"/>
        </w:rPr>
        <w:t xml:space="preserve"> zlepšením riadenia ľudských zdrojov</w:t>
      </w:r>
      <w:r w:rsidR="000E6FF0" w:rsidRPr="0035027D">
        <w:rPr>
          <w:b/>
          <w:i/>
          <w:szCs w:val="36"/>
          <w:lang w:eastAsia="en-US"/>
        </w:rPr>
        <w:t xml:space="preserve"> a posilnením analytických kapacít</w:t>
      </w:r>
      <w:r w:rsidR="00413259" w:rsidRPr="0035027D">
        <w:rPr>
          <w:b/>
          <w:i/>
          <w:szCs w:val="36"/>
          <w:lang w:eastAsia="en-US"/>
        </w:rPr>
        <w:t>. Ešte viac skrátiť dĺžku súdnych konaní a posilniť úlohu Úradu pre verejné obstarávanie ako nezávislého orgánu.</w:t>
      </w:r>
    </w:p>
    <w:p w:rsidR="00413259" w:rsidRPr="0035027D" w:rsidRDefault="00413259" w:rsidP="00413259">
      <w:pPr>
        <w:spacing w:after="0"/>
        <w:contextualSpacing/>
        <w:rPr>
          <w:b/>
          <w:i/>
          <w:szCs w:val="36"/>
          <w:lang w:eastAsia="en-US"/>
        </w:rPr>
      </w:pPr>
    </w:p>
    <w:p w:rsidR="00413259" w:rsidRPr="0035027D" w:rsidRDefault="00413259" w:rsidP="00413259">
      <w:pPr>
        <w:spacing w:after="0"/>
      </w:pPr>
      <w:r w:rsidRPr="0035027D">
        <w:rPr>
          <w:b/>
        </w:rPr>
        <w:t>Program ESO</w:t>
      </w:r>
      <w:r w:rsidRPr="0035027D">
        <w:t xml:space="preserve"> (efektívna, spo</w:t>
      </w:r>
      <w:r w:rsidRPr="0035027D">
        <w:rPr>
          <w:rFonts w:cs="Times New Roman"/>
        </w:rPr>
        <w:t>ľ</w:t>
      </w:r>
      <w:r w:rsidRPr="0035027D">
        <w:t>ahlivá a otvorená štátna správa) bol schválený vládou SR v apríli 2012. Realizáciou Programu ESO sa má pre fyzické a právnické osoby zjednoduši</w:t>
      </w:r>
      <w:r w:rsidRPr="0035027D">
        <w:rPr>
          <w:rFonts w:cs="Times New Roman"/>
        </w:rPr>
        <w:t>ť</w:t>
      </w:r>
      <w:r w:rsidRPr="0035027D">
        <w:t xml:space="preserve"> vybavovanie zále</w:t>
      </w:r>
      <w:r w:rsidRPr="0035027D">
        <w:rPr>
          <w:rFonts w:cs="Times New Roman"/>
        </w:rPr>
        <w:t>ž</w:t>
      </w:r>
      <w:r w:rsidRPr="0035027D">
        <w:t>itostí zabezpe</w:t>
      </w:r>
      <w:r w:rsidRPr="0035027D">
        <w:rPr>
          <w:rFonts w:cs="Times New Roman"/>
        </w:rPr>
        <w:t>č</w:t>
      </w:r>
      <w:r w:rsidRPr="0035027D">
        <w:t>ovaných štátom. Štátna správa má by</w:t>
      </w:r>
      <w:r w:rsidRPr="0035027D">
        <w:rPr>
          <w:rFonts w:cs="Times New Roman"/>
        </w:rPr>
        <w:t>ť</w:t>
      </w:r>
      <w:r w:rsidRPr="0035027D">
        <w:t xml:space="preserve"> z poh</w:t>
      </w:r>
      <w:r w:rsidRPr="0035027D">
        <w:rPr>
          <w:rFonts w:cs="Times New Roman"/>
        </w:rPr>
        <w:t>ľ</w:t>
      </w:r>
      <w:r w:rsidRPr="0035027D">
        <w:t>adu ob</w:t>
      </w:r>
      <w:r w:rsidRPr="0035027D">
        <w:rPr>
          <w:rFonts w:cs="Times New Roman"/>
        </w:rPr>
        <w:t>č</w:t>
      </w:r>
      <w:r w:rsidRPr="0035027D">
        <w:t>ana a podnikate</w:t>
      </w:r>
      <w:r w:rsidRPr="0035027D">
        <w:rPr>
          <w:rFonts w:cs="Times New Roman"/>
        </w:rPr>
        <w:t>ľ</w:t>
      </w:r>
      <w:r w:rsidRPr="0035027D">
        <w:t>ských subjektov jednoduchá, preh</w:t>
      </w:r>
      <w:r w:rsidRPr="0035027D">
        <w:rPr>
          <w:rFonts w:cs="Times New Roman"/>
        </w:rPr>
        <w:t>ľ</w:t>
      </w:r>
      <w:r w:rsidRPr="0035027D">
        <w:t>adná a dostupná, má fungova</w:t>
      </w:r>
      <w:r w:rsidRPr="0035027D">
        <w:rPr>
          <w:rFonts w:cs="Times New Roman"/>
        </w:rPr>
        <w:t>ť</w:t>
      </w:r>
      <w:r w:rsidRPr="0035027D">
        <w:t xml:space="preserve"> udr</w:t>
      </w:r>
      <w:r w:rsidRPr="0035027D">
        <w:rPr>
          <w:rFonts w:cs="Times New Roman"/>
        </w:rPr>
        <w:t>ž</w:t>
      </w:r>
      <w:r w:rsidRPr="0035027D">
        <w:t>ate</w:t>
      </w:r>
      <w:r w:rsidRPr="0035027D">
        <w:rPr>
          <w:rFonts w:cs="Times New Roman"/>
        </w:rPr>
        <w:t>ľ</w:t>
      </w:r>
      <w:r w:rsidRPr="0035027D">
        <w:t>ne, transparentne a s efektívne vynakladanými finan</w:t>
      </w:r>
      <w:r w:rsidRPr="0035027D">
        <w:rPr>
          <w:rFonts w:cs="Times New Roman"/>
        </w:rPr>
        <w:t>č</w:t>
      </w:r>
      <w:r w:rsidRPr="0035027D">
        <w:t>nými prostriedkami. Piliermi pre dosiahnutie tohto cie</w:t>
      </w:r>
      <w:r w:rsidRPr="0035027D">
        <w:rPr>
          <w:rFonts w:cs="Times New Roman"/>
        </w:rPr>
        <w:t>ľ</w:t>
      </w:r>
      <w:r w:rsidRPr="0035027D">
        <w:t>a sú:</w:t>
      </w:r>
    </w:p>
    <w:p w:rsidR="00413259" w:rsidRPr="0035027D" w:rsidRDefault="00413259" w:rsidP="00413259">
      <w:pPr>
        <w:pStyle w:val="Odsekzoznamu"/>
        <w:numPr>
          <w:ilvl w:val="0"/>
          <w:numId w:val="4"/>
        </w:numPr>
        <w:spacing w:after="0" w:line="240" w:lineRule="auto"/>
        <w:jc w:val="both"/>
        <w:rPr>
          <w:rFonts w:ascii="Arial Narrow" w:hAnsi="Arial Narrow"/>
        </w:rPr>
      </w:pPr>
      <w:r w:rsidRPr="0035027D">
        <w:rPr>
          <w:rFonts w:ascii="Arial Narrow" w:hAnsi="Arial Narrow"/>
        </w:rPr>
        <w:t>racionalizácia štruktúry a infraštruktúry štátnej správy,</w:t>
      </w:r>
    </w:p>
    <w:p w:rsidR="00413259" w:rsidRPr="0035027D" w:rsidRDefault="00413259" w:rsidP="00413259">
      <w:pPr>
        <w:pStyle w:val="Odsekzoznamu"/>
        <w:numPr>
          <w:ilvl w:val="0"/>
          <w:numId w:val="4"/>
        </w:numPr>
        <w:spacing w:after="0" w:line="240" w:lineRule="auto"/>
        <w:jc w:val="both"/>
        <w:rPr>
          <w:rFonts w:ascii="Arial Narrow" w:hAnsi="Arial Narrow"/>
        </w:rPr>
      </w:pPr>
      <w:r w:rsidRPr="0035027D">
        <w:rPr>
          <w:rFonts w:ascii="Arial Narrow" w:hAnsi="Arial Narrow"/>
        </w:rPr>
        <w:t>integrácia a optimalizácia procesov výkonu verejnej moci, ako aj fungovania subjektov štátnej správy,</w:t>
      </w:r>
    </w:p>
    <w:p w:rsidR="00D359EA" w:rsidRPr="0035027D" w:rsidRDefault="00413259" w:rsidP="00413259">
      <w:pPr>
        <w:pStyle w:val="Odsekzoznamu"/>
        <w:numPr>
          <w:ilvl w:val="0"/>
          <w:numId w:val="4"/>
        </w:numPr>
        <w:spacing w:after="0" w:line="240" w:lineRule="auto"/>
        <w:jc w:val="both"/>
        <w:rPr>
          <w:rFonts w:ascii="Arial Narrow" w:hAnsi="Arial Narrow"/>
        </w:rPr>
      </w:pPr>
      <w:r w:rsidRPr="0035027D">
        <w:rPr>
          <w:rFonts w:ascii="Arial Narrow" w:hAnsi="Arial Narrow"/>
        </w:rPr>
        <w:lastRenderedPageBreak/>
        <w:t>kontaktné administratívne miesta občanov</w:t>
      </w:r>
      <w:r w:rsidR="00D359EA" w:rsidRPr="0035027D">
        <w:rPr>
          <w:rFonts w:ascii="Arial Narrow" w:hAnsi="Arial Narrow"/>
        </w:rPr>
        <w:t>,</w:t>
      </w:r>
    </w:p>
    <w:p w:rsidR="00413259" w:rsidRPr="0035027D" w:rsidRDefault="00D359EA" w:rsidP="00413259">
      <w:pPr>
        <w:pStyle w:val="Odsekzoznamu"/>
        <w:numPr>
          <w:ilvl w:val="0"/>
          <w:numId w:val="4"/>
        </w:numPr>
        <w:spacing w:after="0" w:line="240" w:lineRule="auto"/>
        <w:jc w:val="both"/>
        <w:rPr>
          <w:rFonts w:ascii="Arial Narrow" w:hAnsi="Arial Narrow"/>
        </w:rPr>
      </w:pPr>
      <w:r w:rsidRPr="0035027D">
        <w:rPr>
          <w:rFonts w:ascii="Arial Narrow" w:hAnsi="Arial Narrow"/>
        </w:rPr>
        <w:t>nové metódy, postupy a nás</w:t>
      </w:r>
      <w:r w:rsidR="00F22023" w:rsidRPr="0035027D">
        <w:rPr>
          <w:rFonts w:ascii="Arial Narrow" w:hAnsi="Arial Narrow"/>
        </w:rPr>
        <w:t>troje monitorovania a hodnotenia</w:t>
      </w:r>
      <w:r w:rsidRPr="0035027D">
        <w:rPr>
          <w:rFonts w:ascii="Arial Narrow" w:hAnsi="Arial Narrow"/>
        </w:rPr>
        <w:t xml:space="preserve"> výkonnosti a kvality štátnej správy – systém riadenia kvality</w:t>
      </w:r>
      <w:r w:rsidR="009F71F3" w:rsidRPr="0035027D">
        <w:rPr>
          <w:rFonts w:ascii="Arial Narrow" w:hAnsi="Arial Narrow"/>
        </w:rPr>
        <w:t>.</w:t>
      </w:r>
    </w:p>
    <w:p w:rsidR="009F71F3" w:rsidRPr="0035027D" w:rsidRDefault="009F71F3" w:rsidP="009F71F3">
      <w:pPr>
        <w:pStyle w:val="Odsekzoznamu"/>
        <w:spacing w:after="0" w:line="240" w:lineRule="auto"/>
        <w:jc w:val="both"/>
        <w:rPr>
          <w:rFonts w:ascii="Arial Narrow" w:hAnsi="Arial Narrow"/>
        </w:rPr>
      </w:pPr>
    </w:p>
    <w:p w:rsidR="00413259" w:rsidRPr="0035027D" w:rsidRDefault="00413259" w:rsidP="00413259">
      <w:pPr>
        <w:spacing w:after="0"/>
      </w:pPr>
      <w:r w:rsidRPr="0035027D">
        <w:t>V rámci prvej etapy programu ESO sa prehodnotila sú</w:t>
      </w:r>
      <w:r w:rsidRPr="0035027D">
        <w:rPr>
          <w:rFonts w:cs="Times New Roman"/>
        </w:rPr>
        <w:t>č</w:t>
      </w:r>
      <w:r w:rsidRPr="0035027D">
        <w:t>asná štruktúra orgánov štátnej správy s cie</w:t>
      </w:r>
      <w:r w:rsidRPr="0035027D">
        <w:rPr>
          <w:rFonts w:cs="Times New Roman"/>
        </w:rPr>
        <w:t>ľ</w:t>
      </w:r>
      <w:r w:rsidRPr="0035027D">
        <w:t>om zefektívni</w:t>
      </w:r>
      <w:r w:rsidRPr="0035027D">
        <w:rPr>
          <w:rFonts w:cs="Times New Roman"/>
        </w:rPr>
        <w:t>ť</w:t>
      </w:r>
      <w:r w:rsidRPr="0035027D">
        <w:t xml:space="preserve"> ich </w:t>
      </w:r>
      <w:r w:rsidRPr="0035027D">
        <w:rPr>
          <w:rFonts w:cs="Times New Roman"/>
        </w:rPr>
        <w:t>č</w:t>
      </w:r>
      <w:r w:rsidRPr="0035027D">
        <w:t>innos</w:t>
      </w:r>
      <w:r w:rsidRPr="0035027D">
        <w:rPr>
          <w:rFonts w:cs="Times New Roman"/>
        </w:rPr>
        <w:t>ť</w:t>
      </w:r>
      <w:r w:rsidRPr="0035027D">
        <w:t xml:space="preserve"> a prispie</w:t>
      </w:r>
      <w:r w:rsidRPr="0035027D">
        <w:rPr>
          <w:rFonts w:cs="Times New Roman"/>
        </w:rPr>
        <w:t>ť</w:t>
      </w:r>
      <w:r w:rsidRPr="0035027D">
        <w:t xml:space="preserve"> k zni</w:t>
      </w:r>
      <w:r w:rsidRPr="0035027D">
        <w:rPr>
          <w:rFonts w:cs="Times New Roman"/>
        </w:rPr>
        <w:t>ž</w:t>
      </w:r>
      <w:r w:rsidRPr="0035027D">
        <w:t xml:space="preserve">ovaniu výdavkov vynakladaných na ich </w:t>
      </w:r>
      <w:r w:rsidRPr="0035027D">
        <w:rPr>
          <w:rFonts w:cs="Times New Roman"/>
        </w:rPr>
        <w:t>č</w:t>
      </w:r>
      <w:r w:rsidRPr="0035027D">
        <w:t>innos</w:t>
      </w:r>
      <w:r w:rsidRPr="0035027D">
        <w:rPr>
          <w:rFonts w:cs="Times New Roman"/>
        </w:rPr>
        <w:t>ť</w:t>
      </w:r>
      <w:r w:rsidRPr="0035027D">
        <w:t>.</w:t>
      </w:r>
      <w:r w:rsidR="002715CA" w:rsidRPr="0035027D">
        <w:t xml:space="preserve"> </w:t>
      </w:r>
      <w:r w:rsidRPr="0035027D">
        <w:t>V rámci integrácie pôsobnosti tzv. špecializovanej štátnej správy do jednotného štátneho úradu došlo k zrušeniu 64 úradov</w:t>
      </w:r>
      <w:r w:rsidR="00CC7C2D" w:rsidRPr="0035027D">
        <w:t>, a to krajských školských úradov, krajských stavebných úradov a územných vojenských správ</w:t>
      </w:r>
      <w:r w:rsidRPr="0035027D">
        <w:t>. Kompetencie týcht</w:t>
      </w:r>
      <w:r w:rsidR="00933FCA" w:rsidRPr="0035027D">
        <w:t>o úradov prešli od za</w:t>
      </w:r>
      <w:r w:rsidR="00933FCA" w:rsidRPr="0035027D">
        <w:rPr>
          <w:rFonts w:cs="Times New Roman"/>
        </w:rPr>
        <w:t>č</w:t>
      </w:r>
      <w:r w:rsidR="00933FCA" w:rsidRPr="0035027D">
        <w:t>iatku roku</w:t>
      </w:r>
      <w:r w:rsidRPr="0035027D">
        <w:t xml:space="preserve"> 2013 na existujúce obvodné úrady v sídle kraja v pôsobnosti MV SR.</w:t>
      </w:r>
      <w:r w:rsidR="002715CA" w:rsidRPr="0035027D">
        <w:t xml:space="preserve"> </w:t>
      </w:r>
      <w:r w:rsidRPr="0035027D">
        <w:t>Týmto spôsobom sa obmedzí po</w:t>
      </w:r>
      <w:r w:rsidRPr="0035027D">
        <w:rPr>
          <w:rFonts w:cs="Times New Roman"/>
        </w:rPr>
        <w:t>č</w:t>
      </w:r>
      <w:r w:rsidRPr="0035027D">
        <w:t>et subjektov, ktoré doteraz nakladajú s majetkom štátu, vykonávajú verejné obstarávanie a rozhodujú o personálnych otázkach. Toto opatrenie má antikorup</w:t>
      </w:r>
      <w:r w:rsidRPr="0035027D">
        <w:rPr>
          <w:rFonts w:cs="Times New Roman"/>
        </w:rPr>
        <w:t>č</w:t>
      </w:r>
      <w:r w:rsidRPr="0035027D">
        <w:t>ný charakter, stransparentní sa riadenie a kontrola verejných prostriedkov. Z</w:t>
      </w:r>
      <w:r w:rsidR="009C0BBB" w:rsidRPr="0035027D">
        <w:t>namená tie</w:t>
      </w:r>
      <w:r w:rsidR="009C0BBB" w:rsidRPr="0035027D">
        <w:rPr>
          <w:rFonts w:cs="Times New Roman"/>
        </w:rPr>
        <w:t>ž</w:t>
      </w:r>
      <w:r w:rsidR="009C0BBB" w:rsidRPr="0035027D">
        <w:t> zní</w:t>
      </w:r>
      <w:r w:rsidR="009C0BBB" w:rsidRPr="0035027D">
        <w:rPr>
          <w:rFonts w:cs="Times New Roman"/>
        </w:rPr>
        <w:t>ž</w:t>
      </w:r>
      <w:r w:rsidR="009C0BBB" w:rsidRPr="0035027D">
        <w:t xml:space="preserve">enie výdavkov - </w:t>
      </w:r>
      <w:r w:rsidRPr="0035027D">
        <w:t xml:space="preserve">centralizáciou podporných </w:t>
      </w:r>
      <w:r w:rsidRPr="0035027D">
        <w:rPr>
          <w:rFonts w:cs="Times New Roman"/>
        </w:rPr>
        <w:t>č</w:t>
      </w:r>
      <w:r w:rsidRPr="0035027D">
        <w:t>inností prierezového alebo obslu</w:t>
      </w:r>
      <w:r w:rsidRPr="0035027D">
        <w:rPr>
          <w:rFonts w:cs="Times New Roman"/>
        </w:rPr>
        <w:t>ž</w:t>
      </w:r>
      <w:r w:rsidRPr="0035027D">
        <w:t>ného charakteru</w:t>
      </w:r>
      <w:r w:rsidR="001D5E28" w:rsidRPr="0035027D">
        <w:t>.</w:t>
      </w:r>
    </w:p>
    <w:p w:rsidR="00413259" w:rsidRPr="0035027D" w:rsidRDefault="00413259" w:rsidP="00413259">
      <w:pPr>
        <w:spacing w:after="0"/>
      </w:pPr>
    </w:p>
    <w:p w:rsidR="00413259" w:rsidRPr="0035027D" w:rsidRDefault="00413259" w:rsidP="00413259">
      <w:pPr>
        <w:spacing w:after="0"/>
        <w:rPr>
          <w:rFonts w:cs="Times New Roman"/>
          <w:szCs w:val="36"/>
          <w:lang w:eastAsia="en-US"/>
        </w:rPr>
      </w:pPr>
      <w:r w:rsidRPr="0035027D">
        <w:rPr>
          <w:rFonts w:cs="Times New Roman"/>
          <w:szCs w:val="36"/>
          <w:lang w:eastAsia="en-US"/>
        </w:rPr>
        <w:t xml:space="preserve">S cieľom </w:t>
      </w:r>
      <w:r w:rsidRPr="0035027D">
        <w:rPr>
          <w:rFonts w:cs="Times New Roman"/>
          <w:b/>
          <w:szCs w:val="36"/>
          <w:lang w:eastAsia="en-US"/>
        </w:rPr>
        <w:t>posilniť analytické kapacity</w:t>
      </w:r>
      <w:r w:rsidRPr="0035027D">
        <w:rPr>
          <w:rFonts w:cs="Times New Roman"/>
          <w:szCs w:val="36"/>
          <w:lang w:eastAsia="en-US"/>
        </w:rPr>
        <w:t xml:space="preserve"> sa na kľúčových rezortoch</w:t>
      </w:r>
      <w:r w:rsidR="00643A59" w:rsidRPr="0035027D">
        <w:rPr>
          <w:rFonts w:cs="Times New Roman"/>
          <w:szCs w:val="36"/>
          <w:lang w:eastAsia="en-US"/>
        </w:rPr>
        <w:t xml:space="preserve"> začali vytvárať analytické útvary</w:t>
      </w:r>
      <w:r w:rsidRPr="0035027D">
        <w:rPr>
          <w:rFonts w:cs="Times New Roman"/>
          <w:szCs w:val="36"/>
          <w:lang w:eastAsia="en-US"/>
        </w:rPr>
        <w:t>.</w:t>
      </w:r>
      <w:r w:rsidRPr="0035027D">
        <w:rPr>
          <w:bCs/>
        </w:rPr>
        <w:t xml:space="preserve"> Okrem u</w:t>
      </w:r>
      <w:r w:rsidRPr="0035027D">
        <w:rPr>
          <w:rFonts w:cs="Times New Roman"/>
          <w:bCs/>
        </w:rPr>
        <w:t>ž</w:t>
      </w:r>
      <w:r w:rsidRPr="0035027D">
        <w:rPr>
          <w:bCs/>
        </w:rPr>
        <w:t xml:space="preserve"> existujúceho Inštitútu finan</w:t>
      </w:r>
      <w:r w:rsidRPr="0035027D">
        <w:rPr>
          <w:rFonts w:cs="Times New Roman"/>
          <w:bCs/>
        </w:rPr>
        <w:t>č</w:t>
      </w:r>
      <w:r w:rsidRPr="0035027D">
        <w:rPr>
          <w:bCs/>
        </w:rPr>
        <w:t xml:space="preserve">nej politiky na Ministerstve financií </w:t>
      </w:r>
      <w:r w:rsidR="001D5E28" w:rsidRPr="0035027D">
        <w:rPr>
          <w:bCs/>
        </w:rPr>
        <w:t>vznikli</w:t>
      </w:r>
      <w:r w:rsidRPr="0035027D">
        <w:rPr>
          <w:bCs/>
        </w:rPr>
        <w:t xml:space="preserve"> </w:t>
      </w:r>
      <w:r w:rsidR="00643A59" w:rsidRPr="0035027D">
        <w:rPr>
          <w:bCs/>
        </w:rPr>
        <w:t>jednotky</w:t>
      </w:r>
      <w:r w:rsidRPr="0035027D">
        <w:rPr>
          <w:bCs/>
        </w:rPr>
        <w:t xml:space="preserve"> </w:t>
      </w:r>
      <w:r w:rsidR="001D5E28" w:rsidRPr="0035027D">
        <w:rPr>
          <w:bCs/>
        </w:rPr>
        <w:t xml:space="preserve">aj </w:t>
      </w:r>
      <w:r w:rsidRPr="0035027D">
        <w:rPr>
          <w:bCs/>
        </w:rPr>
        <w:t xml:space="preserve">na Ministerstve </w:t>
      </w:r>
      <w:r w:rsidRPr="0035027D">
        <w:rPr>
          <w:rFonts w:cs="Times New Roman"/>
          <w:bCs/>
        </w:rPr>
        <w:t>ž</w:t>
      </w:r>
      <w:r w:rsidRPr="0035027D">
        <w:rPr>
          <w:bCs/>
        </w:rPr>
        <w:t>ivotného prostredia (Odbor ekonomických nástrojov a analýz), Ministerstve práce, sociálnych vecí a rodiny</w:t>
      </w:r>
      <w:r w:rsidRPr="0035027D" w:rsidDel="002E7454">
        <w:rPr>
          <w:bCs/>
        </w:rPr>
        <w:t xml:space="preserve"> </w:t>
      </w:r>
      <w:r w:rsidRPr="0035027D">
        <w:rPr>
          <w:bCs/>
        </w:rPr>
        <w:t>(analytické centrum), Ministerstve dopravy, výstavby a regionálneho rozvoja (Inštitút stratégie), Ministerstve zdravotníctva (</w:t>
      </w:r>
      <w:r w:rsidR="001D5E28" w:rsidRPr="0035027D">
        <w:rPr>
          <w:bCs/>
        </w:rPr>
        <w:t>Inštitút zdravotnej politiky</w:t>
      </w:r>
      <w:r w:rsidRPr="0035027D">
        <w:rPr>
          <w:bCs/>
        </w:rPr>
        <w:t>)</w:t>
      </w:r>
      <w:r w:rsidR="001D5E28" w:rsidRPr="0035027D">
        <w:rPr>
          <w:bCs/>
        </w:rPr>
        <w:t>, Ministerstve vnútra</w:t>
      </w:r>
      <w:r w:rsidRPr="0035027D">
        <w:rPr>
          <w:bCs/>
        </w:rPr>
        <w:t xml:space="preserve"> a</w:t>
      </w:r>
      <w:r w:rsidR="001D5E28" w:rsidRPr="0035027D">
        <w:rPr>
          <w:bCs/>
        </w:rPr>
        <w:t xml:space="preserve"> na </w:t>
      </w:r>
      <w:r w:rsidRPr="0035027D">
        <w:rPr>
          <w:bCs/>
        </w:rPr>
        <w:t>Ministerstve školstva, vedy, výskumu a športu (Inštitút vzdelávacej politiky).</w:t>
      </w:r>
      <w:r w:rsidRPr="0035027D">
        <w:rPr>
          <w:rFonts w:cs="Times New Roman"/>
          <w:szCs w:val="36"/>
          <w:lang w:eastAsia="en-US"/>
        </w:rPr>
        <w:t xml:space="preserve"> </w:t>
      </w:r>
    </w:p>
    <w:p w:rsidR="00413259" w:rsidRPr="0035027D" w:rsidRDefault="00413259" w:rsidP="00413259">
      <w:pPr>
        <w:spacing w:after="0"/>
      </w:pPr>
    </w:p>
    <w:p w:rsidR="00413259" w:rsidRPr="0035027D" w:rsidRDefault="00413259" w:rsidP="00413259">
      <w:pPr>
        <w:spacing w:after="0"/>
      </w:pPr>
      <w:r w:rsidRPr="0035027D">
        <w:t xml:space="preserve">MS SR </w:t>
      </w:r>
      <w:r w:rsidR="00643A59" w:rsidRPr="0035027D">
        <w:t xml:space="preserve">vytvorilo </w:t>
      </w:r>
      <w:r w:rsidRPr="0035027D">
        <w:t>Pracovnú skupinu pre Exeku</w:t>
      </w:r>
      <w:r w:rsidRPr="0035027D">
        <w:rPr>
          <w:rFonts w:cs="Times New Roman"/>
        </w:rPr>
        <w:t>č</w:t>
      </w:r>
      <w:r w:rsidRPr="0035027D">
        <w:t xml:space="preserve">ný poriadok, </w:t>
      </w:r>
      <w:r w:rsidR="00643A59" w:rsidRPr="0035027D">
        <w:t xml:space="preserve">ktorej úlohou je </w:t>
      </w:r>
      <w:r w:rsidR="00643A59" w:rsidRPr="0035027D">
        <w:rPr>
          <w:rFonts w:cs="Times New Roman"/>
        </w:rPr>
        <w:t>ď</w:t>
      </w:r>
      <w:r w:rsidR="00643A59" w:rsidRPr="0035027D">
        <w:t xml:space="preserve">alej </w:t>
      </w:r>
      <w:r w:rsidR="00643A59" w:rsidRPr="0035027D">
        <w:rPr>
          <w:b/>
        </w:rPr>
        <w:t>skrátiť dĺžku súdnych konaní.</w:t>
      </w:r>
      <w:r w:rsidR="00643A59" w:rsidRPr="0035027D">
        <w:t xml:space="preserve"> Pripraví</w:t>
      </w:r>
      <w:r w:rsidRPr="0035027D">
        <w:t xml:space="preserve"> novelu Exek</w:t>
      </w:r>
      <w:r w:rsidR="00D56E96" w:rsidRPr="0035027D">
        <w:t>u</w:t>
      </w:r>
      <w:r w:rsidR="00D56E96" w:rsidRPr="0035027D">
        <w:rPr>
          <w:rFonts w:cs="Times New Roman"/>
        </w:rPr>
        <w:t>č</w:t>
      </w:r>
      <w:r w:rsidR="00D56E96" w:rsidRPr="0035027D">
        <w:t>ného poriadku</w:t>
      </w:r>
      <w:r w:rsidRPr="0035027D">
        <w:t xml:space="preserve"> a</w:t>
      </w:r>
      <w:r w:rsidR="00D56E96" w:rsidRPr="0035027D">
        <w:t xml:space="preserve"> vytvorí </w:t>
      </w:r>
      <w:r w:rsidRPr="0035027D">
        <w:t>Rekodifika</w:t>
      </w:r>
      <w:r w:rsidRPr="0035027D">
        <w:rPr>
          <w:rFonts w:cs="Times New Roman"/>
        </w:rPr>
        <w:t>č</w:t>
      </w:r>
      <w:r w:rsidRPr="0035027D">
        <w:t>nú komisiu pre ob</w:t>
      </w:r>
      <w:r w:rsidRPr="0035027D">
        <w:rPr>
          <w:rFonts w:cs="Times New Roman"/>
        </w:rPr>
        <w:t>č</w:t>
      </w:r>
      <w:r w:rsidRPr="0035027D">
        <w:t>ianske právo procesné, ktorej úlohou je navrhnú</w:t>
      </w:r>
      <w:r w:rsidRPr="0035027D">
        <w:rPr>
          <w:rFonts w:cs="Times New Roman"/>
        </w:rPr>
        <w:t>ť</w:t>
      </w:r>
      <w:r w:rsidRPr="0035027D">
        <w:t xml:space="preserve"> rekodifikáciu Ob</w:t>
      </w:r>
      <w:r w:rsidRPr="0035027D">
        <w:rPr>
          <w:rFonts w:cs="Times New Roman"/>
        </w:rPr>
        <w:t>č</w:t>
      </w:r>
      <w:r w:rsidRPr="0035027D">
        <w:t>ianskeho súdneho poriadku. Do Plánu legislatívnych úloh na rok 2013 (aktuálne v MPK) bol zaradený legislatívny zámer nového Ob</w:t>
      </w:r>
      <w:r w:rsidRPr="0035027D">
        <w:rPr>
          <w:rFonts w:cs="Times New Roman"/>
        </w:rPr>
        <w:t>č</w:t>
      </w:r>
      <w:r w:rsidRPr="0035027D">
        <w:t>ianskeho súdneho poriadku (marec 2013).</w:t>
      </w:r>
    </w:p>
    <w:p w:rsidR="00413259" w:rsidRPr="0035027D" w:rsidRDefault="00413259" w:rsidP="00413259">
      <w:pPr>
        <w:spacing w:after="0"/>
      </w:pPr>
    </w:p>
    <w:p w:rsidR="0092093C" w:rsidRPr="0035027D" w:rsidRDefault="0092093C" w:rsidP="0092093C">
      <w:pPr>
        <w:spacing w:after="0"/>
        <w:rPr>
          <w:i/>
        </w:rPr>
      </w:pPr>
      <w:r w:rsidRPr="0035027D">
        <w:rPr>
          <w:i/>
        </w:rPr>
        <w:t xml:space="preserve">K plneniu odporúčania prispejú aj ďalšie opatrenia detailnejšie opísané v kapitolách </w:t>
      </w:r>
      <w:r w:rsidR="002E49B3" w:rsidRPr="0035027D">
        <w:rPr>
          <w:i/>
        </w:rPr>
        <w:t>4</w:t>
      </w:r>
      <w:r w:rsidRPr="0035027D">
        <w:rPr>
          <w:i/>
        </w:rPr>
        <w:t>.</w:t>
      </w:r>
      <w:r w:rsidR="00F63311" w:rsidRPr="0035027D">
        <w:rPr>
          <w:i/>
        </w:rPr>
        <w:t>6</w:t>
      </w:r>
      <w:r w:rsidR="002E49B3" w:rsidRPr="0035027D">
        <w:rPr>
          <w:i/>
        </w:rPr>
        <w:t>, 4</w:t>
      </w:r>
      <w:r w:rsidRPr="0035027D">
        <w:rPr>
          <w:i/>
        </w:rPr>
        <w:t>.</w:t>
      </w:r>
      <w:r w:rsidR="00F63311" w:rsidRPr="0035027D">
        <w:rPr>
          <w:i/>
        </w:rPr>
        <w:t>7</w:t>
      </w:r>
      <w:r w:rsidR="009C02FF" w:rsidRPr="0035027D">
        <w:rPr>
          <w:i/>
        </w:rPr>
        <w:t xml:space="preserve"> </w:t>
      </w:r>
      <w:r w:rsidRPr="0035027D">
        <w:rPr>
          <w:i/>
        </w:rPr>
        <w:t>a akčnom pláne.</w:t>
      </w:r>
    </w:p>
    <w:p w:rsidR="00947E0C" w:rsidRPr="0035027D" w:rsidRDefault="00947E0C" w:rsidP="00AC015D">
      <w:pPr>
        <w:spacing w:after="0"/>
      </w:pPr>
    </w:p>
    <w:p w:rsidR="0092093C" w:rsidRPr="0035027D" w:rsidRDefault="0092093C" w:rsidP="00AC015D">
      <w:pPr>
        <w:spacing w:after="0"/>
      </w:pPr>
    </w:p>
    <w:p w:rsidR="00515596" w:rsidRPr="0035027D" w:rsidRDefault="001977FA" w:rsidP="00EC7DAA">
      <w:pPr>
        <w:pStyle w:val="Nadpis3"/>
        <w:ind w:left="0" w:firstLine="0"/>
      </w:pPr>
      <w:bookmarkStart w:id="26" w:name="_Toc353563373"/>
      <w:r w:rsidRPr="0035027D">
        <w:t>Ďalšie realizované opatrenia</w:t>
      </w:r>
      <w:bookmarkEnd w:id="26"/>
    </w:p>
    <w:p w:rsidR="00515596" w:rsidRPr="0035027D" w:rsidRDefault="00515596" w:rsidP="00515596">
      <w:pPr>
        <w:pStyle w:val="Odsekzoznamu"/>
        <w:spacing w:after="0" w:line="240" w:lineRule="auto"/>
        <w:ind w:left="0"/>
        <w:jc w:val="both"/>
        <w:rPr>
          <w:rFonts w:ascii="Arial Narrow" w:hAnsi="Arial Narrow" w:cs="Calibri"/>
        </w:rPr>
      </w:pPr>
    </w:p>
    <w:p w:rsidR="00275D2B" w:rsidRPr="0035027D" w:rsidRDefault="00275D2B" w:rsidP="00275D2B">
      <w:pPr>
        <w:pStyle w:val="Odsekzoznamu"/>
        <w:spacing w:after="0" w:line="240" w:lineRule="auto"/>
        <w:ind w:left="0"/>
        <w:jc w:val="both"/>
        <w:rPr>
          <w:rFonts w:ascii="Arial Narrow" w:hAnsi="Arial Narrow" w:cs="Arial Narrow"/>
          <w:b/>
          <w:bCs/>
          <w:i/>
          <w:iCs/>
        </w:rPr>
      </w:pPr>
      <w:bookmarkStart w:id="27" w:name="_Toc311021168"/>
      <w:r w:rsidRPr="0035027D">
        <w:rPr>
          <w:rFonts w:ascii="Arial Narrow" w:hAnsi="Arial Narrow" w:cs="Arial Narrow"/>
          <w:b/>
          <w:bCs/>
          <w:i/>
          <w:iCs/>
        </w:rPr>
        <w:t>Podnikateľské prostredie</w:t>
      </w:r>
    </w:p>
    <w:p w:rsidR="00275D2B" w:rsidRPr="0035027D" w:rsidRDefault="00275D2B" w:rsidP="00275D2B">
      <w:pPr>
        <w:pStyle w:val="Odsekzoznamu"/>
        <w:spacing w:after="0" w:line="240" w:lineRule="auto"/>
        <w:ind w:left="0"/>
        <w:jc w:val="both"/>
        <w:rPr>
          <w:rFonts w:ascii="Arial Narrow" w:hAnsi="Arial Narrow" w:cs="Arial Narrow"/>
          <w:bCs/>
          <w:iCs/>
        </w:rPr>
      </w:pPr>
    </w:p>
    <w:p w:rsidR="00275D2B" w:rsidRPr="0035027D" w:rsidRDefault="00275D2B" w:rsidP="00275D2B">
      <w:pPr>
        <w:pStyle w:val="Odsekzoznamu"/>
        <w:spacing w:after="0" w:line="240" w:lineRule="auto"/>
        <w:ind w:left="0"/>
        <w:jc w:val="both"/>
        <w:rPr>
          <w:rFonts w:ascii="Arial Narrow" w:hAnsi="Arial Narrow" w:cs="Arial Narrow"/>
          <w:bCs/>
          <w:iCs/>
        </w:rPr>
      </w:pPr>
      <w:r w:rsidRPr="0035027D">
        <w:rPr>
          <w:rFonts w:ascii="Arial Narrow" w:hAnsi="Arial Narrow" w:cs="Arial Narrow"/>
          <w:bCs/>
          <w:iCs/>
        </w:rPr>
        <w:t xml:space="preserve">Opatrenia </w:t>
      </w:r>
      <w:r w:rsidR="00C63867" w:rsidRPr="0035027D">
        <w:rPr>
          <w:rFonts w:ascii="Arial Narrow" w:hAnsi="Arial Narrow" w:cs="Arial Narrow"/>
          <w:bCs/>
          <w:iCs/>
        </w:rPr>
        <w:t>na zlepšenie podnikate</w:t>
      </w:r>
      <w:r w:rsidR="00C63867" w:rsidRPr="0035027D">
        <w:rPr>
          <w:rFonts w:ascii="Arial Narrow" w:hAnsi="Arial Narrow"/>
          <w:bCs/>
          <w:iCs/>
        </w:rPr>
        <w:t>ľ</w:t>
      </w:r>
      <w:r w:rsidR="00C63867" w:rsidRPr="0035027D">
        <w:rPr>
          <w:rFonts w:ascii="Arial Narrow" w:hAnsi="Arial Narrow" w:cs="Arial Narrow"/>
          <w:bCs/>
          <w:iCs/>
        </w:rPr>
        <w:t xml:space="preserve">ského prostredia </w:t>
      </w:r>
      <w:r w:rsidRPr="0035027D">
        <w:rPr>
          <w:rFonts w:ascii="Arial Narrow" w:hAnsi="Arial Narrow" w:cs="Arial Narrow"/>
          <w:bCs/>
          <w:iCs/>
        </w:rPr>
        <w:t>boli zamerané</w:t>
      </w:r>
      <w:r w:rsidR="00C63867" w:rsidRPr="0035027D">
        <w:rPr>
          <w:rFonts w:ascii="Arial Narrow" w:hAnsi="Arial Narrow" w:cs="Arial Narrow"/>
          <w:bCs/>
          <w:iCs/>
        </w:rPr>
        <w:t xml:space="preserve"> </w:t>
      </w:r>
      <w:r w:rsidRPr="0035027D">
        <w:rPr>
          <w:rFonts w:ascii="Arial Narrow" w:hAnsi="Arial Narrow" w:cs="Arial Narrow"/>
          <w:bCs/>
          <w:iCs/>
        </w:rPr>
        <w:t>na minimalizáciu bariér pri vstupe do podnikania</w:t>
      </w:r>
      <w:r w:rsidR="00C63867" w:rsidRPr="0035027D">
        <w:rPr>
          <w:rFonts w:ascii="Arial Narrow" w:hAnsi="Arial Narrow" w:cs="Arial Narrow"/>
          <w:bCs/>
          <w:iCs/>
        </w:rPr>
        <w:t xml:space="preserve"> skrátením</w:t>
      </w:r>
      <w:r w:rsidRPr="0035027D">
        <w:rPr>
          <w:rFonts w:ascii="Arial Narrow" w:hAnsi="Arial Narrow" w:cs="Arial Narrow"/>
          <w:bCs/>
          <w:iCs/>
        </w:rPr>
        <w:t xml:space="preserve"> lehoty registrového súdu na zápis spolo</w:t>
      </w:r>
      <w:r w:rsidRPr="0035027D">
        <w:rPr>
          <w:rFonts w:ascii="Arial Narrow" w:hAnsi="Arial Narrow"/>
          <w:bCs/>
          <w:iCs/>
        </w:rPr>
        <w:t>č</w:t>
      </w:r>
      <w:r w:rsidR="00D56E96" w:rsidRPr="0035027D">
        <w:rPr>
          <w:rFonts w:ascii="Arial Narrow" w:hAnsi="Arial Narrow" w:cs="Arial Narrow"/>
          <w:bCs/>
          <w:iCs/>
        </w:rPr>
        <w:t>nosti do obchodného registra z piatich dní na dva</w:t>
      </w:r>
      <w:r w:rsidRPr="0035027D">
        <w:rPr>
          <w:rFonts w:ascii="Arial Narrow" w:hAnsi="Arial Narrow" w:cs="Arial Narrow"/>
          <w:bCs/>
          <w:iCs/>
        </w:rPr>
        <w:t xml:space="preserve"> dni </w:t>
      </w:r>
      <w:r w:rsidR="00D56E96" w:rsidRPr="0035027D">
        <w:rPr>
          <w:rFonts w:ascii="Arial Narrow" w:hAnsi="Arial Narrow" w:cs="Arial Narrow"/>
          <w:bCs/>
          <w:iCs/>
        </w:rPr>
        <w:t xml:space="preserve">a lehotu pri vydaní </w:t>
      </w:r>
      <w:r w:rsidR="00D56E96" w:rsidRPr="0035027D">
        <w:rPr>
          <w:rFonts w:ascii="Arial Narrow" w:hAnsi="Arial Narrow"/>
          <w:bCs/>
          <w:iCs/>
        </w:rPr>
        <w:t>ž</w:t>
      </w:r>
      <w:r w:rsidR="00D56E96" w:rsidRPr="0035027D">
        <w:rPr>
          <w:rFonts w:ascii="Arial Narrow" w:hAnsi="Arial Narrow" w:cs="Arial Narrow"/>
          <w:bCs/>
          <w:iCs/>
        </w:rPr>
        <w:t>ivnosti z piatich dní na tri</w:t>
      </w:r>
      <w:r w:rsidRPr="0035027D">
        <w:rPr>
          <w:rFonts w:ascii="Arial Narrow" w:hAnsi="Arial Narrow" w:cs="Arial Narrow"/>
          <w:bCs/>
          <w:iCs/>
        </w:rPr>
        <w:t xml:space="preserve"> dni. Z prijatýc</w:t>
      </w:r>
      <w:r w:rsidR="00933FCA" w:rsidRPr="0035027D">
        <w:rPr>
          <w:rFonts w:ascii="Arial Narrow" w:hAnsi="Arial Narrow" w:cs="Arial Narrow"/>
          <w:bCs/>
          <w:iCs/>
        </w:rPr>
        <w:t>h 94 opatrení bolo ku koncu roku</w:t>
      </w:r>
      <w:r w:rsidRPr="0035027D">
        <w:rPr>
          <w:rFonts w:ascii="Arial Narrow" w:hAnsi="Arial Narrow" w:cs="Arial Narrow"/>
          <w:bCs/>
          <w:iCs/>
        </w:rPr>
        <w:t xml:space="preserve"> 2012 splnených 53 a</w:t>
      </w:r>
      <w:r w:rsidR="00D56E96" w:rsidRPr="0035027D">
        <w:rPr>
          <w:rFonts w:ascii="Arial Narrow" w:hAnsi="Arial Narrow" w:cs="Arial Narrow"/>
          <w:bCs/>
          <w:iCs/>
        </w:rPr>
        <w:t xml:space="preserve"> </w:t>
      </w:r>
      <w:r w:rsidR="00D56E96" w:rsidRPr="0035027D">
        <w:rPr>
          <w:rFonts w:ascii="Arial Narrow" w:hAnsi="Arial Narrow"/>
          <w:bCs/>
          <w:iCs/>
        </w:rPr>
        <w:t>č</w:t>
      </w:r>
      <w:r w:rsidR="00D56E96" w:rsidRPr="0035027D">
        <w:rPr>
          <w:rFonts w:ascii="Arial Narrow" w:hAnsi="Arial Narrow" w:cs="Arial Narrow"/>
          <w:bCs/>
          <w:iCs/>
        </w:rPr>
        <w:t>iasto</w:t>
      </w:r>
      <w:r w:rsidR="00D56E96" w:rsidRPr="0035027D">
        <w:rPr>
          <w:rFonts w:ascii="Arial Narrow" w:hAnsi="Arial Narrow"/>
          <w:bCs/>
          <w:iCs/>
        </w:rPr>
        <w:t>č</w:t>
      </w:r>
      <w:r w:rsidR="00D56E96" w:rsidRPr="0035027D">
        <w:rPr>
          <w:rFonts w:ascii="Arial Narrow" w:hAnsi="Arial Narrow" w:cs="Arial Narrow"/>
          <w:bCs/>
          <w:iCs/>
        </w:rPr>
        <w:t>ne splnené boli tri</w:t>
      </w:r>
      <w:r w:rsidRPr="0035027D">
        <w:rPr>
          <w:rFonts w:ascii="Arial Narrow" w:hAnsi="Arial Narrow" w:cs="Arial Narrow"/>
          <w:bCs/>
          <w:iCs/>
        </w:rPr>
        <w:t xml:space="preserve"> opatrenia. Na základe realizácie navrhovaných opatrení sa podarilo odbúra</w:t>
      </w:r>
      <w:r w:rsidRPr="0035027D">
        <w:rPr>
          <w:rFonts w:ascii="Arial Narrow" w:hAnsi="Arial Narrow"/>
          <w:bCs/>
          <w:iCs/>
        </w:rPr>
        <w:t>ť</w:t>
      </w:r>
      <w:r w:rsidRPr="0035027D">
        <w:rPr>
          <w:rFonts w:ascii="Arial Narrow" w:hAnsi="Arial Narrow" w:cs="Arial Narrow"/>
          <w:bCs/>
          <w:iCs/>
        </w:rPr>
        <w:t xml:space="preserve"> administratívnu zá</w:t>
      </w:r>
      <w:r w:rsidRPr="0035027D">
        <w:rPr>
          <w:rFonts w:ascii="Arial Narrow" w:hAnsi="Arial Narrow"/>
          <w:bCs/>
          <w:iCs/>
        </w:rPr>
        <w:t>ť</w:t>
      </w:r>
      <w:r w:rsidRPr="0035027D">
        <w:rPr>
          <w:rFonts w:ascii="Arial Narrow" w:hAnsi="Arial Narrow" w:cs="Arial Narrow"/>
          <w:bCs/>
          <w:iCs/>
        </w:rPr>
        <w:t>a</w:t>
      </w:r>
      <w:r w:rsidRPr="0035027D">
        <w:rPr>
          <w:rFonts w:ascii="Arial Narrow" w:hAnsi="Arial Narrow"/>
          <w:bCs/>
          <w:iCs/>
        </w:rPr>
        <w:t>ž</w:t>
      </w:r>
      <w:r w:rsidRPr="0035027D">
        <w:rPr>
          <w:rFonts w:ascii="Arial Narrow" w:hAnsi="Arial Narrow" w:cs="Arial Narrow"/>
          <w:bCs/>
          <w:iCs/>
        </w:rPr>
        <w:t xml:space="preserve"> vo výške 64,5 mil. eur, </w:t>
      </w:r>
      <w:r w:rsidRPr="0035027D">
        <w:rPr>
          <w:rFonts w:ascii="Arial Narrow" w:hAnsi="Arial Narrow"/>
          <w:bCs/>
          <w:iCs/>
        </w:rPr>
        <w:t>č</w:t>
      </w:r>
      <w:r w:rsidRPr="0035027D">
        <w:rPr>
          <w:rFonts w:ascii="Arial Narrow" w:hAnsi="Arial Narrow" w:cs="Arial Narrow"/>
          <w:bCs/>
          <w:iCs/>
        </w:rPr>
        <w:t>o predstavuje pribli</w:t>
      </w:r>
      <w:r w:rsidRPr="0035027D">
        <w:rPr>
          <w:rFonts w:ascii="Arial Narrow" w:hAnsi="Arial Narrow"/>
          <w:bCs/>
          <w:iCs/>
        </w:rPr>
        <w:t>ž</w:t>
      </w:r>
      <w:r w:rsidRPr="0035027D">
        <w:rPr>
          <w:rFonts w:ascii="Arial Narrow" w:hAnsi="Arial Narrow" w:cs="Arial Narrow"/>
          <w:bCs/>
          <w:iCs/>
        </w:rPr>
        <w:t>ne 60</w:t>
      </w:r>
      <w:r w:rsidR="005E1922" w:rsidRPr="0035027D">
        <w:rPr>
          <w:rFonts w:ascii="Arial Narrow" w:hAnsi="Arial Narrow" w:cs="Arial Narrow"/>
          <w:bCs/>
          <w:iCs/>
        </w:rPr>
        <w:t> %</w:t>
      </w:r>
      <w:r w:rsidR="00EF5662" w:rsidRPr="0035027D">
        <w:rPr>
          <w:rFonts w:ascii="Arial Narrow" w:hAnsi="Arial Narrow" w:cs="Arial Narrow"/>
          <w:bCs/>
          <w:iCs/>
        </w:rPr>
        <w:t xml:space="preserve"> meranej</w:t>
      </w:r>
      <w:r w:rsidRPr="0035027D">
        <w:rPr>
          <w:rFonts w:ascii="Arial Narrow" w:hAnsi="Arial Narrow" w:cs="Arial Narrow"/>
          <w:bCs/>
          <w:iCs/>
        </w:rPr>
        <w:t xml:space="preserve"> zá</w:t>
      </w:r>
      <w:r w:rsidRPr="0035027D">
        <w:rPr>
          <w:rFonts w:ascii="Arial Narrow" w:hAnsi="Arial Narrow"/>
          <w:bCs/>
          <w:iCs/>
        </w:rPr>
        <w:t>ť</w:t>
      </w:r>
      <w:r w:rsidRPr="0035027D">
        <w:rPr>
          <w:rFonts w:ascii="Arial Narrow" w:hAnsi="Arial Narrow" w:cs="Arial Narrow"/>
          <w:bCs/>
          <w:iCs/>
        </w:rPr>
        <w:t>a</w:t>
      </w:r>
      <w:r w:rsidRPr="0035027D">
        <w:rPr>
          <w:rFonts w:ascii="Arial Narrow" w:hAnsi="Arial Narrow"/>
          <w:bCs/>
          <w:iCs/>
        </w:rPr>
        <w:t>ž</w:t>
      </w:r>
      <w:r w:rsidRPr="0035027D">
        <w:rPr>
          <w:rFonts w:ascii="Arial Narrow" w:hAnsi="Arial Narrow" w:cs="Arial Narrow"/>
          <w:bCs/>
          <w:iCs/>
        </w:rPr>
        <w:t>e v rokoch 2009-2011 (109 mil. eur).</w:t>
      </w:r>
    </w:p>
    <w:p w:rsidR="00275D2B" w:rsidRPr="0035027D" w:rsidRDefault="00275D2B" w:rsidP="00275D2B">
      <w:pPr>
        <w:pStyle w:val="Odsekzoznamu"/>
        <w:spacing w:after="0" w:line="240" w:lineRule="auto"/>
        <w:ind w:left="0"/>
        <w:jc w:val="both"/>
        <w:rPr>
          <w:rFonts w:ascii="Arial Narrow" w:hAnsi="Arial Narrow" w:cs="Arial Narrow"/>
          <w:b/>
          <w:bCs/>
          <w:i/>
          <w:iCs/>
        </w:rPr>
      </w:pPr>
    </w:p>
    <w:p w:rsidR="00275D2B" w:rsidRPr="0035027D" w:rsidRDefault="00275D2B" w:rsidP="00275D2B">
      <w:pPr>
        <w:pStyle w:val="Odsekzoznamu"/>
        <w:spacing w:after="0" w:line="240" w:lineRule="auto"/>
        <w:ind w:left="0"/>
        <w:jc w:val="both"/>
        <w:rPr>
          <w:rFonts w:ascii="Arial Narrow" w:hAnsi="Arial Narrow" w:cs="Arial Narrow"/>
          <w:b/>
          <w:bCs/>
          <w:i/>
          <w:iCs/>
        </w:rPr>
      </w:pPr>
      <w:r w:rsidRPr="0035027D">
        <w:rPr>
          <w:rFonts w:ascii="Arial Narrow" w:hAnsi="Arial Narrow" w:cs="Arial Narrow"/>
          <w:b/>
          <w:bCs/>
          <w:i/>
          <w:iCs/>
        </w:rPr>
        <w:t>Zdravie</w:t>
      </w:r>
    </w:p>
    <w:p w:rsidR="00275D2B" w:rsidRPr="0035027D" w:rsidRDefault="00275D2B" w:rsidP="00275D2B">
      <w:pPr>
        <w:pStyle w:val="Odsekzoznamu"/>
        <w:spacing w:after="0" w:line="240" w:lineRule="auto"/>
        <w:ind w:left="0"/>
        <w:jc w:val="both"/>
        <w:rPr>
          <w:rFonts w:ascii="Arial Narrow" w:hAnsi="Arial Narrow" w:cs="Arial Narrow"/>
          <w:b/>
          <w:bCs/>
          <w:iCs/>
        </w:rPr>
      </w:pPr>
    </w:p>
    <w:p w:rsidR="008442D4" w:rsidRPr="0035027D" w:rsidRDefault="00275D2B" w:rsidP="008442D4">
      <w:pPr>
        <w:spacing w:after="0"/>
        <w:rPr>
          <w:bCs/>
          <w:color w:val="000000"/>
        </w:rPr>
      </w:pPr>
      <w:r w:rsidRPr="0035027D">
        <w:rPr>
          <w:bCs/>
          <w:color w:val="000000"/>
        </w:rPr>
        <w:t>Doplnením parametra chorobnosti prostredníctvom zara</w:t>
      </w:r>
      <w:r w:rsidRPr="0035027D">
        <w:rPr>
          <w:rFonts w:cs="Times New Roman"/>
          <w:bCs/>
          <w:color w:val="000000"/>
        </w:rPr>
        <w:t>ď</w:t>
      </w:r>
      <w:r w:rsidRPr="0035027D">
        <w:rPr>
          <w:bCs/>
          <w:color w:val="000000"/>
        </w:rPr>
        <w:t xml:space="preserve">ovania poistencov do </w:t>
      </w:r>
      <w:r w:rsidRPr="0035027D">
        <w:rPr>
          <w:b/>
          <w:bCs/>
          <w:color w:val="000000"/>
        </w:rPr>
        <w:t>farmaceuticko-nákladových skupín</w:t>
      </w:r>
      <w:r w:rsidRPr="0035027D">
        <w:rPr>
          <w:bCs/>
          <w:color w:val="000000"/>
        </w:rPr>
        <w:t xml:space="preserve"> (PCG) bol rozšírený systém kompenzácie rizika vo verejnom zdravotnom poistení. Od druhej polovice roku 2012 tak príjmy pois</w:t>
      </w:r>
      <w:r w:rsidRPr="0035027D">
        <w:rPr>
          <w:rFonts w:cs="Times New Roman"/>
          <w:bCs/>
          <w:color w:val="000000"/>
        </w:rPr>
        <w:t>ť</w:t>
      </w:r>
      <w:r w:rsidRPr="0035027D">
        <w:rPr>
          <w:bCs/>
          <w:color w:val="000000"/>
        </w:rPr>
        <w:t>ovní spravodlivejšie nasledujú reálne náklady na lie</w:t>
      </w:r>
      <w:r w:rsidRPr="0035027D">
        <w:rPr>
          <w:rFonts w:cs="Times New Roman"/>
          <w:bCs/>
          <w:color w:val="000000"/>
        </w:rPr>
        <w:t>č</w:t>
      </w:r>
      <w:r w:rsidRPr="0035027D">
        <w:rPr>
          <w:bCs/>
          <w:color w:val="000000"/>
        </w:rPr>
        <w:t xml:space="preserve">bu ich poistencov. </w:t>
      </w:r>
    </w:p>
    <w:p w:rsidR="008442D4" w:rsidRPr="0035027D" w:rsidRDefault="008442D4" w:rsidP="008442D4">
      <w:pPr>
        <w:spacing w:after="0"/>
        <w:rPr>
          <w:bCs/>
          <w:color w:val="000000"/>
        </w:rPr>
      </w:pPr>
    </w:p>
    <w:p w:rsidR="008442D4" w:rsidRPr="0035027D" w:rsidRDefault="008442D4" w:rsidP="008442D4">
      <w:pPr>
        <w:spacing w:after="0"/>
        <w:rPr>
          <w:bCs/>
          <w:color w:val="000000"/>
        </w:rPr>
      </w:pPr>
      <w:r w:rsidRPr="0035027D">
        <w:rPr>
          <w:bCs/>
          <w:color w:val="000000"/>
        </w:rPr>
        <w:t>Pre finan</w:t>
      </w:r>
      <w:r w:rsidRPr="0035027D">
        <w:rPr>
          <w:rFonts w:cs="Times New Roman"/>
          <w:bCs/>
          <w:color w:val="000000"/>
        </w:rPr>
        <w:t>č</w:t>
      </w:r>
      <w:r w:rsidRPr="0035027D">
        <w:rPr>
          <w:bCs/>
          <w:color w:val="000000"/>
        </w:rPr>
        <w:t>ne náro</w:t>
      </w:r>
      <w:r w:rsidRPr="0035027D">
        <w:rPr>
          <w:rFonts w:cs="Times New Roman"/>
          <w:bCs/>
          <w:color w:val="000000"/>
        </w:rPr>
        <w:t>č</w:t>
      </w:r>
      <w:r w:rsidRPr="0035027D">
        <w:rPr>
          <w:bCs/>
          <w:color w:val="000000"/>
        </w:rPr>
        <w:t>né a inovatívne lieky sa uplat</w:t>
      </w:r>
      <w:r w:rsidRPr="0035027D">
        <w:rPr>
          <w:rFonts w:cs="Times New Roman"/>
          <w:bCs/>
          <w:color w:val="000000"/>
        </w:rPr>
        <w:t>ň</w:t>
      </w:r>
      <w:r w:rsidRPr="0035027D">
        <w:rPr>
          <w:bCs/>
          <w:color w:val="000000"/>
        </w:rPr>
        <w:t>uje do</w:t>
      </w:r>
      <w:r w:rsidRPr="0035027D">
        <w:rPr>
          <w:rFonts w:cs="Times New Roman"/>
          <w:bCs/>
          <w:color w:val="000000"/>
        </w:rPr>
        <w:t>č</w:t>
      </w:r>
      <w:r w:rsidRPr="0035027D">
        <w:rPr>
          <w:bCs/>
          <w:color w:val="000000"/>
        </w:rPr>
        <w:t xml:space="preserve">asná alebo podmienená kategorizácia. Originálne lieky, ktoré nie sú registrované v </w:t>
      </w:r>
      <w:r w:rsidRPr="0035027D">
        <w:rPr>
          <w:rFonts w:cs="Times New Roman"/>
          <w:bCs/>
          <w:color w:val="000000"/>
        </w:rPr>
        <w:t>ž</w:t>
      </w:r>
      <w:r w:rsidRPr="0035027D">
        <w:rPr>
          <w:bCs/>
          <w:color w:val="000000"/>
        </w:rPr>
        <w:t xml:space="preserve">iadnom </w:t>
      </w:r>
      <w:r w:rsidRPr="0035027D">
        <w:rPr>
          <w:rFonts w:cs="Times New Roman"/>
          <w:bCs/>
          <w:color w:val="000000"/>
        </w:rPr>
        <w:t>č</w:t>
      </w:r>
      <w:r w:rsidRPr="0035027D">
        <w:rPr>
          <w:bCs/>
          <w:color w:val="000000"/>
        </w:rPr>
        <w:t>lenskom štáte EÚ sa kategorizujú do</w:t>
      </w:r>
      <w:r w:rsidRPr="0035027D">
        <w:rPr>
          <w:rFonts w:cs="Times New Roman"/>
          <w:bCs/>
          <w:color w:val="000000"/>
        </w:rPr>
        <w:t>č</w:t>
      </w:r>
      <w:r w:rsidRPr="0035027D">
        <w:rPr>
          <w:bCs/>
          <w:color w:val="000000"/>
        </w:rPr>
        <w:t xml:space="preserve">asne na 24 mesiacov. </w:t>
      </w:r>
      <w:r w:rsidR="009F71F3" w:rsidRPr="0035027D">
        <w:rPr>
          <w:bCs/>
          <w:color w:val="000000"/>
        </w:rPr>
        <w:t>Posudzovanie</w:t>
      </w:r>
      <w:r w:rsidRPr="0035027D">
        <w:rPr>
          <w:bCs/>
          <w:color w:val="000000"/>
        </w:rPr>
        <w:t xml:space="preserve"> o ich zotrvaní na trhu prebieha na základe </w:t>
      </w:r>
      <w:proofErr w:type="spellStart"/>
      <w:r w:rsidRPr="0035027D">
        <w:rPr>
          <w:bCs/>
          <w:color w:val="000000"/>
        </w:rPr>
        <w:t>farmakoekonomického</w:t>
      </w:r>
      <w:proofErr w:type="spellEnd"/>
      <w:r w:rsidRPr="0035027D">
        <w:rPr>
          <w:bCs/>
          <w:color w:val="000000"/>
        </w:rPr>
        <w:t xml:space="preserve"> rozboru z dát predlo</w:t>
      </w:r>
      <w:r w:rsidRPr="0035027D">
        <w:rPr>
          <w:rFonts w:cs="Times New Roman"/>
          <w:bCs/>
          <w:color w:val="000000"/>
        </w:rPr>
        <w:t>ž</w:t>
      </w:r>
      <w:r w:rsidRPr="0035027D">
        <w:rPr>
          <w:bCs/>
          <w:color w:val="000000"/>
        </w:rPr>
        <w:t>ených po</w:t>
      </w:r>
      <w:r w:rsidRPr="0035027D">
        <w:rPr>
          <w:rFonts w:cs="Times New Roman"/>
          <w:bCs/>
          <w:color w:val="000000"/>
        </w:rPr>
        <w:t>č</w:t>
      </w:r>
      <w:r w:rsidRPr="0035027D">
        <w:rPr>
          <w:bCs/>
          <w:color w:val="000000"/>
        </w:rPr>
        <w:t>as obdobia do</w:t>
      </w:r>
      <w:r w:rsidRPr="0035027D">
        <w:rPr>
          <w:rFonts w:cs="Times New Roman"/>
          <w:bCs/>
          <w:color w:val="000000"/>
        </w:rPr>
        <w:t>č</w:t>
      </w:r>
      <w:r w:rsidRPr="0035027D">
        <w:rPr>
          <w:bCs/>
          <w:color w:val="000000"/>
        </w:rPr>
        <w:t>asnej kategorizácie.</w:t>
      </w:r>
    </w:p>
    <w:p w:rsidR="00275D2B" w:rsidRPr="0035027D" w:rsidRDefault="00275D2B" w:rsidP="00275D2B">
      <w:pPr>
        <w:pStyle w:val="Odsekzoznamu"/>
        <w:spacing w:after="0" w:line="240" w:lineRule="auto"/>
        <w:ind w:left="0"/>
        <w:jc w:val="both"/>
        <w:rPr>
          <w:rFonts w:ascii="Arial Narrow" w:hAnsi="Arial Narrow" w:cs="Arial Narrow"/>
          <w:b/>
          <w:bCs/>
          <w:iCs/>
        </w:rPr>
      </w:pPr>
    </w:p>
    <w:bookmarkEnd w:id="27"/>
    <w:p w:rsidR="00515596" w:rsidRPr="0035027D" w:rsidRDefault="00275D2B" w:rsidP="00515596">
      <w:pPr>
        <w:pStyle w:val="Odsekzoznamu"/>
        <w:spacing w:after="0" w:line="240" w:lineRule="auto"/>
        <w:ind w:left="0"/>
        <w:jc w:val="both"/>
        <w:rPr>
          <w:rFonts w:ascii="Arial Narrow" w:hAnsi="Arial Narrow" w:cs="Arial Narrow"/>
          <w:b/>
          <w:bCs/>
          <w:i/>
          <w:iCs/>
        </w:rPr>
      </w:pPr>
      <w:r w:rsidRPr="0035027D">
        <w:rPr>
          <w:rFonts w:ascii="Arial Narrow" w:hAnsi="Arial Narrow" w:cs="Arial Narrow"/>
          <w:b/>
          <w:bCs/>
          <w:i/>
          <w:iCs/>
        </w:rPr>
        <w:t>E</w:t>
      </w:r>
      <w:r w:rsidR="00515596" w:rsidRPr="0035027D">
        <w:rPr>
          <w:rFonts w:ascii="Arial Narrow" w:hAnsi="Arial Narrow" w:cs="Arial Narrow"/>
          <w:b/>
          <w:bCs/>
          <w:i/>
          <w:iCs/>
        </w:rPr>
        <w:t>nvironmentálna udržateľnosť</w:t>
      </w:r>
      <w:r w:rsidRPr="0035027D">
        <w:rPr>
          <w:rFonts w:ascii="Arial Narrow" w:hAnsi="Arial Narrow" w:cs="Arial Narrow"/>
          <w:b/>
          <w:bCs/>
          <w:i/>
          <w:iCs/>
        </w:rPr>
        <w:t xml:space="preserve"> a energetika</w:t>
      </w:r>
    </w:p>
    <w:p w:rsidR="00324583" w:rsidRPr="0035027D" w:rsidRDefault="00324583" w:rsidP="009F71F3">
      <w:pPr>
        <w:spacing w:after="0"/>
        <w:jc w:val="left"/>
      </w:pPr>
    </w:p>
    <w:p w:rsidR="009F71F3" w:rsidRPr="0035027D" w:rsidRDefault="003A2A4B" w:rsidP="00D43694">
      <w:pPr>
        <w:spacing w:after="0"/>
      </w:pPr>
      <w:r w:rsidRPr="0035027D">
        <w:rPr>
          <w:rFonts w:cs="Arial"/>
          <w:b/>
        </w:rPr>
        <w:lastRenderedPageBreak/>
        <w:t xml:space="preserve">Komisia pre koordináciu politiky zmeny klímy </w:t>
      </w:r>
      <w:r w:rsidRPr="0035027D">
        <w:rPr>
          <w:rFonts w:cs="Arial"/>
        </w:rPr>
        <w:t>(KPZK) na úrovni štátnych tajomníkov za</w:t>
      </w:r>
      <w:r w:rsidRPr="0035027D">
        <w:rPr>
          <w:rFonts w:cs="Times New Roman"/>
        </w:rPr>
        <w:t>č</w:t>
      </w:r>
      <w:r w:rsidRPr="0035027D">
        <w:rPr>
          <w:rFonts w:cs="Arial"/>
        </w:rPr>
        <w:t xml:space="preserve">ala svoju </w:t>
      </w:r>
      <w:r w:rsidRPr="0035027D">
        <w:rPr>
          <w:rFonts w:cs="Times New Roman"/>
        </w:rPr>
        <w:t>č</w:t>
      </w:r>
      <w:r w:rsidRPr="0035027D">
        <w:rPr>
          <w:rFonts w:cs="Arial"/>
        </w:rPr>
        <w:t>innos</w:t>
      </w:r>
      <w:r w:rsidRPr="0035027D">
        <w:rPr>
          <w:rFonts w:cs="Times New Roman"/>
        </w:rPr>
        <w:t>ť</w:t>
      </w:r>
      <w:r w:rsidRPr="0035027D">
        <w:rPr>
          <w:rFonts w:cs="Arial"/>
        </w:rPr>
        <w:t xml:space="preserve"> v máji 2012. Zaoberala sa predovšetkým monitorovaním plnenia prijatých medzinárodných záväzkov SR v oblasti politiky zmeny klímy, zefektívnením spolupráce ministerstiev pri inventarizácii emisií skleníkových plynov v jednotlivých sektoroch a zabezpe</w:t>
      </w:r>
      <w:r w:rsidRPr="0035027D">
        <w:rPr>
          <w:rFonts w:cs="Times New Roman"/>
        </w:rPr>
        <w:t>č</w:t>
      </w:r>
      <w:r w:rsidRPr="0035027D">
        <w:rPr>
          <w:rFonts w:cs="Arial"/>
        </w:rPr>
        <w:t xml:space="preserve">ením kvalitnejších vstupných údajov pre prípravu inventarizácia v sektore energetiky. </w:t>
      </w:r>
      <w:r w:rsidR="009E4CA4" w:rsidRPr="0035027D">
        <w:rPr>
          <w:rFonts w:cs="Arial"/>
        </w:rPr>
        <w:t>V rá</w:t>
      </w:r>
      <w:r w:rsidR="009E27B8" w:rsidRPr="0035027D">
        <w:rPr>
          <w:rFonts w:cs="Arial"/>
        </w:rPr>
        <w:t>mci KPZK bola vytvorená p</w:t>
      </w:r>
      <w:r w:rsidR="009E4CA4" w:rsidRPr="0035027D">
        <w:rPr>
          <w:rFonts w:cs="Arial"/>
        </w:rPr>
        <w:t>racovná skupina, ktorej cie</w:t>
      </w:r>
      <w:r w:rsidR="009E4CA4" w:rsidRPr="0035027D">
        <w:rPr>
          <w:rFonts w:cs="Times New Roman"/>
        </w:rPr>
        <w:t>ľ</w:t>
      </w:r>
      <w:r w:rsidR="009E4CA4" w:rsidRPr="0035027D">
        <w:rPr>
          <w:rFonts w:cs="Arial"/>
        </w:rPr>
        <w:t xml:space="preserve">om bude príprava a koordinácia Stratégie adaptácie SR na nepriaznivé dôsledky zmeny klímy a </w:t>
      </w:r>
      <w:r w:rsidR="009E4CA4" w:rsidRPr="0035027D">
        <w:t xml:space="preserve">Nízko-uhlíkovej stratégie rozvoja SR do roku 2030. </w:t>
      </w:r>
    </w:p>
    <w:p w:rsidR="009F71F3" w:rsidRPr="0035027D" w:rsidRDefault="009F71F3" w:rsidP="00D43694">
      <w:pPr>
        <w:spacing w:after="0"/>
      </w:pPr>
    </w:p>
    <w:p w:rsidR="00D43694" w:rsidRPr="0035027D" w:rsidRDefault="009E4CA4" w:rsidP="00D43694">
      <w:pPr>
        <w:spacing w:after="0"/>
      </w:pPr>
      <w:r w:rsidRPr="0035027D">
        <w:rPr>
          <w:rFonts w:cs="Arial"/>
        </w:rPr>
        <w:t xml:space="preserve">Vláda okrem toho prijala </w:t>
      </w:r>
      <w:r w:rsidRPr="0035027D">
        <w:rPr>
          <w:rFonts w:cs="Arial"/>
          <w:b/>
        </w:rPr>
        <w:t>Stratégiu redukcie PM10</w:t>
      </w:r>
      <w:r w:rsidRPr="0035027D">
        <w:rPr>
          <w:rFonts w:cs="Arial"/>
        </w:rPr>
        <w:t>, ktorá navrhla konkrétne opatrenia na monitorovanie a zni</w:t>
      </w:r>
      <w:r w:rsidRPr="0035027D">
        <w:rPr>
          <w:rFonts w:cs="Times New Roman"/>
        </w:rPr>
        <w:t>ž</w:t>
      </w:r>
      <w:r w:rsidRPr="0035027D">
        <w:rPr>
          <w:rFonts w:cs="Arial"/>
        </w:rPr>
        <w:t xml:space="preserve">ovanie koncentrácií prachových </w:t>
      </w:r>
      <w:r w:rsidRPr="0035027D">
        <w:rPr>
          <w:rFonts w:cs="Times New Roman"/>
        </w:rPr>
        <w:t>č</w:t>
      </w:r>
      <w:r w:rsidRPr="0035027D">
        <w:rPr>
          <w:rFonts w:cs="Arial"/>
        </w:rPr>
        <w:t>astíc v oblastiac</w:t>
      </w:r>
      <w:r w:rsidR="009A01D0" w:rsidRPr="0035027D">
        <w:rPr>
          <w:rFonts w:cs="Arial"/>
        </w:rPr>
        <w:t>h lokálneho vykurovania, dopravy a</w:t>
      </w:r>
      <w:r w:rsidRPr="0035027D">
        <w:rPr>
          <w:rFonts w:cs="Arial"/>
        </w:rPr>
        <w:t xml:space="preserve"> zaobchádzania s pôdou a krajinou. Stratégia zárove</w:t>
      </w:r>
      <w:r w:rsidRPr="0035027D">
        <w:rPr>
          <w:rFonts w:cs="Times New Roman"/>
        </w:rPr>
        <w:t>ň</w:t>
      </w:r>
      <w:r w:rsidRPr="0035027D">
        <w:rPr>
          <w:rFonts w:cs="Arial"/>
        </w:rPr>
        <w:t xml:space="preserve"> navrhuje opatrenia na zní</w:t>
      </w:r>
      <w:r w:rsidRPr="0035027D">
        <w:rPr>
          <w:rFonts w:cs="Times New Roman"/>
        </w:rPr>
        <w:t>ž</w:t>
      </w:r>
      <w:r w:rsidRPr="0035027D">
        <w:rPr>
          <w:rFonts w:cs="Arial"/>
        </w:rPr>
        <w:t>enie dopadov PM10 na zdravie obyvate</w:t>
      </w:r>
      <w:r w:rsidRPr="0035027D">
        <w:rPr>
          <w:rFonts w:cs="Times New Roman"/>
        </w:rPr>
        <w:t>ľ</w:t>
      </w:r>
      <w:r w:rsidRPr="0035027D">
        <w:rPr>
          <w:rFonts w:cs="Arial"/>
        </w:rPr>
        <w:t xml:space="preserve">stva. </w:t>
      </w:r>
      <w:r w:rsidRPr="0035027D">
        <w:t xml:space="preserve">Medzirezortná pracovná skupina vytvorila </w:t>
      </w:r>
      <w:r w:rsidRPr="0035027D">
        <w:rPr>
          <w:b/>
        </w:rPr>
        <w:t>sadu indikátorov zeleného rastu</w:t>
      </w:r>
      <w:r w:rsidRPr="0035027D">
        <w:t>. Ukazovatele umo</w:t>
      </w:r>
      <w:r w:rsidRPr="0035027D">
        <w:rPr>
          <w:rFonts w:cs="Times New Roman"/>
        </w:rPr>
        <w:t>ž</w:t>
      </w:r>
      <w:r w:rsidRPr="0035027D">
        <w:t>nia sledova</w:t>
      </w:r>
      <w:r w:rsidRPr="0035027D">
        <w:rPr>
          <w:rFonts w:cs="Times New Roman"/>
        </w:rPr>
        <w:t>ť</w:t>
      </w:r>
      <w:r w:rsidRPr="0035027D">
        <w:t xml:space="preserve"> pokrok smerom k zelenému rastu, predovšetkým politické opatrenia a ekonomické nástroje, ich vplyv na dosiahnutie environmentálnej a zdrojovej produktivity, na zachovanie prírodného kapitálu a sledovanie environmentálneho rozmeru kvality </w:t>
      </w:r>
      <w:r w:rsidRPr="0035027D">
        <w:rPr>
          <w:rFonts w:cs="Times New Roman"/>
        </w:rPr>
        <w:t>ž</w:t>
      </w:r>
      <w:r w:rsidRPr="0035027D">
        <w:t>ivota.</w:t>
      </w:r>
      <w:r w:rsidR="00D43694" w:rsidRPr="0035027D">
        <w:t xml:space="preserve"> </w:t>
      </w:r>
    </w:p>
    <w:p w:rsidR="00D43694" w:rsidRPr="0035027D" w:rsidRDefault="00D43694" w:rsidP="00515596">
      <w:pPr>
        <w:pStyle w:val="Odsekzoznamu"/>
        <w:spacing w:after="0" w:line="240" w:lineRule="auto"/>
        <w:ind w:left="0"/>
        <w:jc w:val="both"/>
        <w:rPr>
          <w:rFonts w:ascii="Arial Narrow" w:hAnsi="Arial Narrow" w:cs="Calibri"/>
        </w:rPr>
      </w:pPr>
    </w:p>
    <w:p w:rsidR="00275D2B" w:rsidRPr="0035027D" w:rsidRDefault="00C63867" w:rsidP="00275D2B">
      <w:r w:rsidRPr="0035027D">
        <w:t xml:space="preserve">Novely </w:t>
      </w:r>
      <w:r w:rsidR="00275D2B" w:rsidRPr="0035027D">
        <w:t>zákon</w:t>
      </w:r>
      <w:r w:rsidRPr="0035027D">
        <w:t>a</w:t>
      </w:r>
      <w:r w:rsidR="00275D2B" w:rsidRPr="0035027D">
        <w:t xml:space="preserve"> o energetike a zákon</w:t>
      </w:r>
      <w:r w:rsidRPr="0035027D">
        <w:t>a</w:t>
      </w:r>
      <w:r w:rsidR="00275D2B" w:rsidRPr="0035027D">
        <w:t xml:space="preserve"> o regulácii v sie</w:t>
      </w:r>
      <w:r w:rsidR="00275D2B" w:rsidRPr="0035027D">
        <w:rPr>
          <w:rFonts w:cs="Times New Roman"/>
        </w:rPr>
        <w:t>ť</w:t>
      </w:r>
      <w:r w:rsidR="00275D2B" w:rsidRPr="0035027D">
        <w:t>ových odvetviach zabezpe</w:t>
      </w:r>
      <w:r w:rsidR="00275D2B" w:rsidRPr="0035027D">
        <w:rPr>
          <w:rFonts w:cs="Times New Roman"/>
        </w:rPr>
        <w:t>č</w:t>
      </w:r>
      <w:r w:rsidR="00275D2B" w:rsidRPr="0035027D">
        <w:t>il</w:t>
      </w:r>
      <w:r w:rsidRPr="0035027D">
        <w:t>i</w:t>
      </w:r>
      <w:r w:rsidR="00275D2B" w:rsidRPr="0035027D">
        <w:t xml:space="preserve"> implementáci</w:t>
      </w:r>
      <w:r w:rsidRPr="0035027D">
        <w:t>u</w:t>
      </w:r>
      <w:r w:rsidR="001F2FE4" w:rsidRPr="0035027D">
        <w:t xml:space="preserve"> 3. </w:t>
      </w:r>
      <w:r w:rsidR="00275D2B" w:rsidRPr="0035027D">
        <w:t>energetického balí</w:t>
      </w:r>
      <w:r w:rsidR="00275D2B" w:rsidRPr="0035027D">
        <w:rPr>
          <w:rFonts w:cs="Times New Roman"/>
        </w:rPr>
        <w:t>č</w:t>
      </w:r>
      <w:r w:rsidR="00275D2B" w:rsidRPr="0035027D">
        <w:t>ka EÚ do národnej legislatívy. Medzi najdôle</w:t>
      </w:r>
      <w:r w:rsidR="00275D2B" w:rsidRPr="0035027D">
        <w:rPr>
          <w:rFonts w:cs="Times New Roman"/>
        </w:rPr>
        <w:t>ž</w:t>
      </w:r>
      <w:r w:rsidR="00275D2B" w:rsidRPr="0035027D">
        <w:t>itejšie opatrenia zákona o energetike patrí úplné oddelenie vlastníctva výroby a dodávky elektriny od prenosu elektriny a oddelenie výroby a dodávky plynu od prepravy plynu vyu</w:t>
      </w:r>
      <w:r w:rsidR="00275D2B" w:rsidRPr="0035027D">
        <w:rPr>
          <w:rFonts w:cs="Times New Roman"/>
        </w:rPr>
        <w:t>ž</w:t>
      </w:r>
      <w:r w:rsidR="00275D2B" w:rsidRPr="0035027D">
        <w:t>itím modelu nezávislého prevádzkovate</w:t>
      </w:r>
      <w:r w:rsidR="00275D2B" w:rsidRPr="0035027D">
        <w:rPr>
          <w:rFonts w:cs="Times New Roman"/>
        </w:rPr>
        <w:t>ľ</w:t>
      </w:r>
      <w:r w:rsidR="00275D2B" w:rsidRPr="0035027D">
        <w:t>a prepravnej siete. Taktie</w:t>
      </w:r>
      <w:r w:rsidR="00275D2B" w:rsidRPr="0035027D">
        <w:rPr>
          <w:rFonts w:cs="Times New Roman"/>
        </w:rPr>
        <w:t>ž</w:t>
      </w:r>
      <w:r w:rsidR="00275D2B" w:rsidRPr="0035027D">
        <w:t xml:space="preserve"> boli posilnené práva odberate</w:t>
      </w:r>
      <w:r w:rsidR="00275D2B" w:rsidRPr="0035027D">
        <w:rPr>
          <w:rFonts w:cs="Times New Roman"/>
        </w:rPr>
        <w:t>ľ</w:t>
      </w:r>
      <w:r w:rsidR="00275D2B" w:rsidRPr="0035027D">
        <w:t>a elektriny a odberate</w:t>
      </w:r>
      <w:r w:rsidR="00275D2B" w:rsidRPr="0035027D">
        <w:rPr>
          <w:rFonts w:cs="Times New Roman"/>
        </w:rPr>
        <w:t>ľ</w:t>
      </w:r>
      <w:r w:rsidR="00275D2B" w:rsidRPr="0035027D">
        <w:t>a plynu. Odberate</w:t>
      </w:r>
      <w:r w:rsidR="00275D2B" w:rsidRPr="0035027D">
        <w:rPr>
          <w:rFonts w:cs="Times New Roman"/>
        </w:rPr>
        <w:t>ľ</w:t>
      </w:r>
      <w:r w:rsidR="00275D2B" w:rsidRPr="0035027D">
        <w:t xml:space="preserve"> má mo</w:t>
      </w:r>
      <w:r w:rsidR="00275D2B" w:rsidRPr="0035027D">
        <w:rPr>
          <w:rFonts w:cs="Times New Roman"/>
        </w:rPr>
        <w:t>ž</w:t>
      </w:r>
      <w:r w:rsidR="00275D2B" w:rsidRPr="0035027D">
        <w:t>nos</w:t>
      </w:r>
      <w:r w:rsidR="00275D2B" w:rsidRPr="0035027D">
        <w:rPr>
          <w:rFonts w:cs="Times New Roman"/>
        </w:rPr>
        <w:t>ť</w:t>
      </w:r>
      <w:r w:rsidR="00275D2B" w:rsidRPr="0035027D">
        <w:t xml:space="preserve"> bezplatne zmeni</w:t>
      </w:r>
      <w:r w:rsidR="00275D2B" w:rsidRPr="0035027D">
        <w:rPr>
          <w:rFonts w:cs="Times New Roman"/>
        </w:rPr>
        <w:t>ť</w:t>
      </w:r>
      <w:r w:rsidR="00275D2B" w:rsidRPr="0035027D">
        <w:t xml:space="preserve"> dodávate</w:t>
      </w:r>
      <w:r w:rsidR="00275D2B" w:rsidRPr="0035027D">
        <w:rPr>
          <w:rFonts w:cs="Times New Roman"/>
        </w:rPr>
        <w:t>ľ</w:t>
      </w:r>
      <w:r w:rsidR="00275D2B" w:rsidRPr="0035027D">
        <w:t>a elektriny a plynu v priebehu troch tý</w:t>
      </w:r>
      <w:r w:rsidR="00275D2B" w:rsidRPr="0035027D">
        <w:rPr>
          <w:rFonts w:cs="Times New Roman"/>
        </w:rPr>
        <w:t>ž</w:t>
      </w:r>
      <w:r w:rsidR="00275D2B" w:rsidRPr="0035027D">
        <w:t>d</w:t>
      </w:r>
      <w:r w:rsidR="00275D2B" w:rsidRPr="0035027D">
        <w:rPr>
          <w:rFonts w:cs="Times New Roman"/>
        </w:rPr>
        <w:t>ň</w:t>
      </w:r>
      <w:r w:rsidR="00275D2B" w:rsidRPr="0035027D">
        <w:t>ov a tie</w:t>
      </w:r>
      <w:r w:rsidR="00275D2B" w:rsidRPr="0035027D">
        <w:rPr>
          <w:rFonts w:cs="Times New Roman"/>
        </w:rPr>
        <w:t>ž</w:t>
      </w:r>
      <w:r w:rsidR="00275D2B" w:rsidRPr="0035027D">
        <w:t xml:space="preserve"> právo na kone</w:t>
      </w:r>
      <w:r w:rsidR="00275D2B" w:rsidRPr="0035027D">
        <w:rPr>
          <w:rFonts w:cs="Times New Roman"/>
        </w:rPr>
        <w:t>č</w:t>
      </w:r>
      <w:r w:rsidR="00275D2B" w:rsidRPr="0035027D">
        <w:t>né vyú</w:t>
      </w:r>
      <w:r w:rsidR="00275D2B" w:rsidRPr="0035027D">
        <w:rPr>
          <w:rFonts w:cs="Times New Roman"/>
        </w:rPr>
        <w:t>č</w:t>
      </w:r>
      <w:r w:rsidR="00275D2B" w:rsidRPr="0035027D">
        <w:t>tovanie do štyroch tý</w:t>
      </w:r>
      <w:r w:rsidR="00275D2B" w:rsidRPr="0035027D">
        <w:rPr>
          <w:rFonts w:cs="Times New Roman"/>
        </w:rPr>
        <w:t>ž</w:t>
      </w:r>
      <w:r w:rsidR="00275D2B" w:rsidRPr="0035027D">
        <w:t>d</w:t>
      </w:r>
      <w:r w:rsidR="00275D2B" w:rsidRPr="0035027D">
        <w:rPr>
          <w:rFonts w:cs="Times New Roman"/>
        </w:rPr>
        <w:t>ň</w:t>
      </w:r>
      <w:r w:rsidR="00275D2B" w:rsidRPr="0035027D">
        <w:t>ov po zmene dodávate</w:t>
      </w:r>
      <w:r w:rsidR="00275D2B" w:rsidRPr="0035027D">
        <w:rPr>
          <w:rFonts w:cs="Times New Roman"/>
        </w:rPr>
        <w:t>ľ</w:t>
      </w:r>
      <w:r w:rsidR="00275D2B" w:rsidRPr="0035027D">
        <w:t xml:space="preserve">a ako aj na relevantné údaje o spotrebe elektriny a plynu. </w:t>
      </w:r>
      <w:r w:rsidR="00ED3E89" w:rsidRPr="0035027D">
        <w:t>Bol zjednodušený prístup spolo</w:t>
      </w:r>
      <w:r w:rsidR="00ED3E89" w:rsidRPr="0035027D">
        <w:rPr>
          <w:rFonts w:cs="Times New Roman"/>
        </w:rPr>
        <w:t>č</w:t>
      </w:r>
      <w:r w:rsidR="00ED3E89" w:rsidRPr="0035027D">
        <w:t xml:space="preserve">ností z iných štátov </w:t>
      </w:r>
      <w:r w:rsidR="009F71F3" w:rsidRPr="0035027D">
        <w:t xml:space="preserve">Európskeho hospodárskeho priestoru </w:t>
      </w:r>
      <w:r w:rsidR="00ED3E89" w:rsidRPr="0035027D">
        <w:t xml:space="preserve">na trh dodávky elektriny a plynu. </w:t>
      </w:r>
      <w:r w:rsidR="00275D2B" w:rsidRPr="0035027D">
        <w:t>Zákon o regulácii v sie</w:t>
      </w:r>
      <w:r w:rsidR="00275D2B" w:rsidRPr="0035027D">
        <w:rPr>
          <w:rFonts w:cs="Times New Roman"/>
        </w:rPr>
        <w:t>ť</w:t>
      </w:r>
      <w:r w:rsidR="00275D2B" w:rsidRPr="0035027D">
        <w:t xml:space="preserve">ových odvetviach </w:t>
      </w:r>
      <w:r w:rsidR="00ED3E89" w:rsidRPr="0035027D">
        <w:t xml:space="preserve">ustanovil viaceré povinnosti, ktoré musia </w:t>
      </w:r>
      <w:r w:rsidRPr="0035027D">
        <w:t>su</w:t>
      </w:r>
      <w:r w:rsidR="008E3327" w:rsidRPr="0035027D">
        <w:t>b</w:t>
      </w:r>
      <w:r w:rsidRPr="0035027D">
        <w:t>jekty</w:t>
      </w:r>
      <w:r w:rsidR="00ED3E89" w:rsidRPr="0035027D">
        <w:t xml:space="preserve"> na energetickom trhu sp</w:t>
      </w:r>
      <w:r w:rsidR="00ED3E89" w:rsidRPr="0035027D">
        <w:rPr>
          <w:rFonts w:cs="Times New Roman"/>
        </w:rPr>
        <w:t>ĺň</w:t>
      </w:r>
      <w:r w:rsidR="00ED3E89" w:rsidRPr="0035027D">
        <w:t>a</w:t>
      </w:r>
      <w:r w:rsidR="00ED3E89" w:rsidRPr="0035027D">
        <w:rPr>
          <w:rFonts w:cs="Times New Roman"/>
        </w:rPr>
        <w:t>ť</w:t>
      </w:r>
      <w:r w:rsidR="005E1192" w:rsidRPr="0035027D">
        <w:t>,</w:t>
      </w:r>
      <w:r w:rsidR="00ED3E89" w:rsidRPr="0035027D">
        <w:t xml:space="preserve"> a posiln</w:t>
      </w:r>
      <w:r w:rsidR="00275D2B" w:rsidRPr="0035027D">
        <w:t>i</w:t>
      </w:r>
      <w:r w:rsidR="00ED3E89" w:rsidRPr="0035027D">
        <w:t>l právomoci a nezávislos</w:t>
      </w:r>
      <w:r w:rsidR="00ED3E89" w:rsidRPr="0035027D">
        <w:rPr>
          <w:rFonts w:cs="Times New Roman"/>
        </w:rPr>
        <w:t>ť</w:t>
      </w:r>
      <w:r w:rsidR="00275D2B" w:rsidRPr="0035027D">
        <w:t xml:space="preserve"> regula</w:t>
      </w:r>
      <w:r w:rsidR="00275D2B" w:rsidRPr="0035027D">
        <w:rPr>
          <w:rFonts w:cs="Times New Roman"/>
        </w:rPr>
        <w:t>č</w:t>
      </w:r>
      <w:r w:rsidR="00275D2B" w:rsidRPr="0035027D">
        <w:t>ného úradu.</w:t>
      </w:r>
      <w:r w:rsidR="00335CC4" w:rsidRPr="0035027D">
        <w:t xml:space="preserve"> Zákon vytvoril podmienky pre spoluprácu ÚRSO s regula</w:t>
      </w:r>
      <w:r w:rsidR="00335CC4" w:rsidRPr="0035027D">
        <w:rPr>
          <w:rFonts w:cs="Times New Roman"/>
        </w:rPr>
        <w:t>č</w:t>
      </w:r>
      <w:r w:rsidR="00335CC4" w:rsidRPr="0035027D">
        <w:t xml:space="preserve">nými orgánmi </w:t>
      </w:r>
      <w:r w:rsidR="00335CC4" w:rsidRPr="0035027D">
        <w:rPr>
          <w:rFonts w:cs="Times New Roman"/>
        </w:rPr>
        <w:t>č</w:t>
      </w:r>
      <w:r w:rsidR="00335CC4" w:rsidRPr="0035027D">
        <w:t xml:space="preserve">lenských štátov prostredníctvom výmeny informácií </w:t>
      </w:r>
      <w:r w:rsidR="005E1192" w:rsidRPr="0035027D">
        <w:t>za</w:t>
      </w:r>
      <w:r w:rsidR="00335CC4" w:rsidRPr="0035027D">
        <w:t xml:space="preserve"> ú</w:t>
      </w:r>
      <w:r w:rsidR="00335CC4" w:rsidRPr="0035027D">
        <w:rPr>
          <w:rFonts w:cs="Times New Roman"/>
        </w:rPr>
        <w:t>č</w:t>
      </w:r>
      <w:r w:rsidR="00335CC4" w:rsidRPr="0035027D">
        <w:t>el</w:t>
      </w:r>
      <w:r w:rsidR="005E1192" w:rsidRPr="0035027D">
        <w:t>om</w:t>
      </w:r>
      <w:r w:rsidR="00335CC4" w:rsidRPr="0035027D">
        <w:t xml:space="preserve"> vä</w:t>
      </w:r>
      <w:r w:rsidR="00335CC4" w:rsidRPr="0035027D">
        <w:rPr>
          <w:rFonts w:cs="Times New Roman"/>
        </w:rPr>
        <w:t>č</w:t>
      </w:r>
      <w:r w:rsidR="00335CC4" w:rsidRPr="0035027D">
        <w:t>šej integrácie energetických systémov.</w:t>
      </w:r>
    </w:p>
    <w:p w:rsidR="007848E4" w:rsidRPr="0035027D" w:rsidRDefault="007848E4" w:rsidP="00275D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7848E4" w:rsidRPr="0035027D" w:rsidTr="00F61680">
        <w:tc>
          <w:tcPr>
            <w:tcW w:w="9212" w:type="dxa"/>
            <w:shd w:val="clear" w:color="auto" w:fill="D9D9D9"/>
          </w:tcPr>
          <w:p w:rsidR="007848E4" w:rsidRPr="0035027D" w:rsidRDefault="007848E4" w:rsidP="00F61680">
            <w:pPr>
              <w:spacing w:after="0"/>
            </w:pPr>
            <w:r w:rsidRPr="0035027D">
              <w:t xml:space="preserve">  </w:t>
            </w:r>
          </w:p>
          <w:p w:rsidR="007848E4" w:rsidRPr="0035027D" w:rsidRDefault="007848E4" w:rsidP="00F61680">
            <w:pPr>
              <w:spacing w:after="0"/>
              <w:rPr>
                <w:b/>
                <w:sz w:val="20"/>
              </w:rPr>
            </w:pPr>
            <w:r w:rsidRPr="0035027D">
              <w:rPr>
                <w:b/>
                <w:sz w:val="20"/>
              </w:rPr>
              <w:t>Box: Metodika výpočtu národného indikatívneho cieľa podľa 2012/27/EU</w:t>
            </w:r>
          </w:p>
          <w:p w:rsidR="007848E4" w:rsidRPr="0035027D" w:rsidRDefault="007848E4" w:rsidP="00F61680">
            <w:pPr>
              <w:spacing w:after="0"/>
              <w:rPr>
                <w:b/>
                <w:i/>
                <w:sz w:val="20"/>
              </w:rPr>
            </w:pPr>
          </w:p>
          <w:p w:rsidR="007848E4" w:rsidRPr="0035027D" w:rsidRDefault="007848E4" w:rsidP="00F61680">
            <w:pPr>
              <w:spacing w:after="0"/>
              <w:rPr>
                <w:sz w:val="20"/>
              </w:rPr>
            </w:pPr>
            <w:r w:rsidRPr="0035027D">
              <w:rPr>
                <w:sz w:val="20"/>
              </w:rPr>
              <w:t>Pod</w:t>
            </w:r>
            <w:r w:rsidRPr="0035027D">
              <w:rPr>
                <w:rFonts w:cs="Times New Roman"/>
                <w:sz w:val="20"/>
              </w:rPr>
              <w:t>ľ</w:t>
            </w:r>
            <w:r w:rsidRPr="0035027D">
              <w:rPr>
                <w:sz w:val="20"/>
              </w:rPr>
              <w:t xml:space="preserve">a </w:t>
            </w:r>
            <w:r w:rsidRPr="0035027D">
              <w:rPr>
                <w:rFonts w:cs="Times New Roman"/>
                <w:sz w:val="20"/>
              </w:rPr>
              <w:t>č</w:t>
            </w:r>
            <w:r w:rsidRPr="0035027D">
              <w:rPr>
                <w:sz w:val="20"/>
              </w:rPr>
              <w:t xml:space="preserve">lánku 3 smernice 2012/27/EU </w:t>
            </w:r>
            <w:r w:rsidRPr="0035027D">
              <w:rPr>
                <w:rFonts w:cs="Times New Roman"/>
                <w:sz w:val="20"/>
              </w:rPr>
              <w:t>č</w:t>
            </w:r>
            <w:r w:rsidRPr="0035027D">
              <w:rPr>
                <w:sz w:val="20"/>
              </w:rPr>
              <w:t>lenské štáty vyjadria národné indikatívne ciele aj ako absolútnu úrove</w:t>
            </w:r>
            <w:r w:rsidRPr="0035027D">
              <w:rPr>
                <w:rFonts w:cs="Times New Roman"/>
                <w:sz w:val="20"/>
              </w:rPr>
              <w:t>ň</w:t>
            </w:r>
            <w:r w:rsidRPr="0035027D">
              <w:rPr>
                <w:sz w:val="20"/>
              </w:rPr>
              <w:t xml:space="preserve"> primárnej energetickej spotreby a kone</w:t>
            </w:r>
            <w:r w:rsidRPr="0035027D">
              <w:rPr>
                <w:rFonts w:cs="Times New Roman"/>
                <w:sz w:val="20"/>
              </w:rPr>
              <w:t>č</w:t>
            </w:r>
            <w:r w:rsidRPr="0035027D">
              <w:rPr>
                <w:sz w:val="20"/>
              </w:rPr>
              <w:t>nej energetickej spotreby v roku 2020 a vysvetlia, ako a na základe akých údajov ju vypo</w:t>
            </w:r>
            <w:r w:rsidRPr="0035027D">
              <w:rPr>
                <w:rFonts w:cs="Times New Roman"/>
                <w:sz w:val="20"/>
              </w:rPr>
              <w:t>č</w:t>
            </w:r>
            <w:r w:rsidRPr="0035027D">
              <w:rPr>
                <w:sz w:val="20"/>
              </w:rPr>
              <w:t>ítali. Primárna energetická spotreba je hrubá domáca spotreba, s výnimkou neenergetickej spotreby. Transpozi</w:t>
            </w:r>
            <w:r w:rsidRPr="0035027D">
              <w:rPr>
                <w:rFonts w:cs="Times New Roman"/>
                <w:sz w:val="20"/>
              </w:rPr>
              <w:t>č</w:t>
            </w:r>
            <w:r w:rsidRPr="0035027D">
              <w:rPr>
                <w:sz w:val="20"/>
              </w:rPr>
              <w:t>ná lehota smernice je 5. 6. 2014. Preto aj tento návrh cie</w:t>
            </w:r>
            <w:r w:rsidRPr="0035027D">
              <w:rPr>
                <w:rFonts w:cs="Times New Roman"/>
                <w:sz w:val="20"/>
              </w:rPr>
              <w:t>ľ</w:t>
            </w:r>
            <w:r w:rsidRPr="0035027D">
              <w:rPr>
                <w:sz w:val="20"/>
              </w:rPr>
              <w:t>a je predbe</w:t>
            </w:r>
            <w:r w:rsidRPr="0035027D">
              <w:rPr>
                <w:rFonts w:cs="Times New Roman"/>
                <w:sz w:val="20"/>
              </w:rPr>
              <w:t>ž</w:t>
            </w:r>
            <w:r w:rsidRPr="0035027D">
              <w:rPr>
                <w:sz w:val="20"/>
              </w:rPr>
              <w:t>ný, ktorý mô</w:t>
            </w:r>
            <w:r w:rsidRPr="0035027D">
              <w:rPr>
                <w:rFonts w:cs="Times New Roman"/>
                <w:sz w:val="20"/>
              </w:rPr>
              <w:t>ž</w:t>
            </w:r>
            <w:r w:rsidRPr="0035027D">
              <w:rPr>
                <w:sz w:val="20"/>
              </w:rPr>
              <w:t>e by</w:t>
            </w:r>
            <w:r w:rsidRPr="0035027D">
              <w:rPr>
                <w:rFonts w:cs="Times New Roman"/>
                <w:sz w:val="20"/>
              </w:rPr>
              <w:t>ť</w:t>
            </w:r>
            <w:r w:rsidRPr="0035027D">
              <w:rPr>
                <w:sz w:val="20"/>
              </w:rPr>
              <w:t xml:space="preserve"> v budúcnosti upravený v súlade s novými spresneniami vychádzajúcimi z transpozície smernice 2012/27/EU. Smernica popisuje parametre, ktoré je potrebné pri návrhu cie</w:t>
            </w:r>
            <w:r w:rsidRPr="0035027D">
              <w:rPr>
                <w:rFonts w:cs="Times New Roman"/>
                <w:sz w:val="20"/>
              </w:rPr>
              <w:t>ľ</w:t>
            </w:r>
            <w:r w:rsidRPr="0035027D">
              <w:rPr>
                <w:sz w:val="20"/>
              </w:rPr>
              <w:t>a vzia</w:t>
            </w:r>
            <w:r w:rsidRPr="0035027D">
              <w:rPr>
                <w:rFonts w:cs="Times New Roman"/>
                <w:sz w:val="20"/>
              </w:rPr>
              <w:t>ť</w:t>
            </w:r>
            <w:r w:rsidRPr="0035027D">
              <w:rPr>
                <w:sz w:val="20"/>
              </w:rPr>
              <w:t xml:space="preserve"> do úvahy. Pri stanovení cie</w:t>
            </w:r>
            <w:r w:rsidRPr="0035027D">
              <w:rPr>
                <w:rFonts w:cs="Times New Roman"/>
                <w:sz w:val="20"/>
              </w:rPr>
              <w:t>ľ</w:t>
            </w:r>
            <w:r w:rsidRPr="0035027D">
              <w:rPr>
                <w:sz w:val="20"/>
              </w:rPr>
              <w:t>a sa pod</w:t>
            </w:r>
            <w:r w:rsidRPr="0035027D">
              <w:rPr>
                <w:rFonts w:cs="Times New Roman"/>
                <w:sz w:val="20"/>
              </w:rPr>
              <w:t>ľ</w:t>
            </w:r>
            <w:r w:rsidRPr="0035027D">
              <w:rPr>
                <w:sz w:val="20"/>
              </w:rPr>
              <w:t>a prvej odrá</w:t>
            </w:r>
            <w:r w:rsidRPr="0035027D">
              <w:rPr>
                <w:rFonts w:cs="Times New Roman"/>
                <w:sz w:val="20"/>
              </w:rPr>
              <w:t>ž</w:t>
            </w:r>
            <w:r w:rsidRPr="0035027D">
              <w:rPr>
                <w:sz w:val="20"/>
              </w:rPr>
              <w:t>ky vychádza z referen</w:t>
            </w:r>
            <w:r w:rsidRPr="0035027D">
              <w:rPr>
                <w:rFonts w:cs="Times New Roman"/>
                <w:sz w:val="20"/>
              </w:rPr>
              <w:t>č</w:t>
            </w:r>
            <w:r w:rsidRPr="0035027D">
              <w:rPr>
                <w:sz w:val="20"/>
              </w:rPr>
              <w:t>ného scenára PRIMES z roku 2007. Opatrenia z novej smernice bude mo</w:t>
            </w:r>
            <w:r w:rsidRPr="0035027D">
              <w:rPr>
                <w:rFonts w:cs="Times New Roman"/>
                <w:sz w:val="20"/>
              </w:rPr>
              <w:t>ž</w:t>
            </w:r>
            <w:r w:rsidRPr="0035027D">
              <w:rPr>
                <w:sz w:val="20"/>
              </w:rPr>
              <w:t>né bra</w:t>
            </w:r>
            <w:r w:rsidRPr="0035027D">
              <w:rPr>
                <w:rFonts w:cs="Times New Roman"/>
                <w:sz w:val="20"/>
              </w:rPr>
              <w:t>ť</w:t>
            </w:r>
            <w:r w:rsidRPr="0035027D">
              <w:rPr>
                <w:sz w:val="20"/>
              </w:rPr>
              <w:t xml:space="preserve"> do úvahy a</w:t>
            </w:r>
            <w:r w:rsidRPr="0035027D">
              <w:rPr>
                <w:rFonts w:cs="Times New Roman"/>
                <w:sz w:val="20"/>
              </w:rPr>
              <w:t>ž</w:t>
            </w:r>
            <w:r w:rsidRPr="0035027D">
              <w:rPr>
                <w:sz w:val="20"/>
              </w:rPr>
              <w:t xml:space="preserve"> po jej transpozícii, t. j. po 5. 6. 2014. Opatrenia zo smernice ESD 2006/32/ES sú uvedené v prvom a druhom ak</w:t>
            </w:r>
            <w:r w:rsidRPr="0035027D">
              <w:rPr>
                <w:rFonts w:cs="Times New Roman"/>
                <w:sz w:val="20"/>
              </w:rPr>
              <w:t>č</w:t>
            </w:r>
            <w:r w:rsidRPr="0035027D">
              <w:rPr>
                <w:sz w:val="20"/>
              </w:rPr>
              <w:t>nom pláne energetickej efektívnosti. Tieto opatrenia sú monitorované a ich úspory sú zapo</w:t>
            </w:r>
            <w:r w:rsidRPr="0035027D">
              <w:rPr>
                <w:rFonts w:cs="Times New Roman"/>
                <w:sz w:val="20"/>
              </w:rPr>
              <w:t>č</w:t>
            </w:r>
            <w:r w:rsidRPr="0035027D">
              <w:rPr>
                <w:sz w:val="20"/>
              </w:rPr>
              <w:t>ítané do plnenia existujúceho cie</w:t>
            </w:r>
            <w:r w:rsidRPr="0035027D">
              <w:rPr>
                <w:rFonts w:cs="Times New Roman"/>
                <w:sz w:val="20"/>
              </w:rPr>
              <w:t>ľ</w:t>
            </w:r>
            <w:r w:rsidRPr="0035027D">
              <w:rPr>
                <w:sz w:val="20"/>
              </w:rPr>
              <w:t>a, preto budú automaticky zapo</w:t>
            </w:r>
            <w:r w:rsidRPr="0035027D">
              <w:rPr>
                <w:rFonts w:cs="Times New Roman"/>
                <w:sz w:val="20"/>
              </w:rPr>
              <w:t>č</w:t>
            </w:r>
            <w:r w:rsidRPr="0035027D">
              <w:rPr>
                <w:sz w:val="20"/>
              </w:rPr>
              <w:t>ítané aj v novom cieli stanovenom do roku 2020. Potenciál nákladovo efektívnych opatrení je stanovený v Koncepcii energetickej efektívnosti z roku 2007. V sú</w:t>
            </w:r>
            <w:r w:rsidRPr="0035027D">
              <w:rPr>
                <w:rFonts w:cs="Times New Roman"/>
                <w:sz w:val="20"/>
              </w:rPr>
              <w:t>č</w:t>
            </w:r>
            <w:r w:rsidRPr="0035027D">
              <w:rPr>
                <w:sz w:val="20"/>
              </w:rPr>
              <w:t>asnosti sa realizuje vy</w:t>
            </w:r>
            <w:r w:rsidRPr="0035027D">
              <w:rPr>
                <w:rFonts w:cs="Times New Roman"/>
                <w:sz w:val="20"/>
              </w:rPr>
              <w:t>č</w:t>
            </w:r>
            <w:r w:rsidRPr="0035027D">
              <w:rPr>
                <w:sz w:val="20"/>
              </w:rPr>
              <w:t>íslenie potenciálu v priemysle, ktorý bude pre rok 2014 k dispozícii. Európska komisia pripravila za</w:t>
            </w:r>
            <w:r w:rsidRPr="0035027D">
              <w:rPr>
                <w:rFonts w:cs="Times New Roman"/>
                <w:sz w:val="20"/>
              </w:rPr>
              <w:t>č</w:t>
            </w:r>
            <w:r w:rsidRPr="0035027D">
              <w:rPr>
                <w:sz w:val="20"/>
              </w:rPr>
              <w:t>iatkom januára 2013 referen</w:t>
            </w:r>
            <w:r w:rsidRPr="0035027D">
              <w:rPr>
                <w:rFonts w:cs="Times New Roman"/>
                <w:sz w:val="20"/>
              </w:rPr>
              <w:t>č</w:t>
            </w:r>
            <w:r w:rsidRPr="0035027D">
              <w:rPr>
                <w:sz w:val="20"/>
              </w:rPr>
              <w:t xml:space="preserve">ný scenár vývoja spotreby energie pre celú EU a pre jednotlivé </w:t>
            </w:r>
            <w:r w:rsidRPr="0035027D">
              <w:rPr>
                <w:rFonts w:cs="Times New Roman"/>
                <w:sz w:val="20"/>
              </w:rPr>
              <w:t>č</w:t>
            </w:r>
            <w:r w:rsidRPr="0035027D">
              <w:rPr>
                <w:sz w:val="20"/>
              </w:rPr>
              <w:t>lenské štáty vrátane Slovenska pod</w:t>
            </w:r>
            <w:r w:rsidRPr="0035027D">
              <w:rPr>
                <w:rFonts w:cs="Times New Roman"/>
                <w:sz w:val="20"/>
              </w:rPr>
              <w:t>ľ</w:t>
            </w:r>
            <w:r w:rsidRPr="0035027D">
              <w:rPr>
                <w:sz w:val="20"/>
              </w:rPr>
              <w:t>a modelu PRIMES 2013. Tento scenár zah</w:t>
            </w:r>
            <w:r w:rsidRPr="0035027D">
              <w:rPr>
                <w:rFonts w:cs="Times New Roman"/>
                <w:sz w:val="20"/>
              </w:rPr>
              <w:t>ŕň</w:t>
            </w:r>
            <w:r w:rsidRPr="0035027D">
              <w:rPr>
                <w:sz w:val="20"/>
              </w:rPr>
              <w:t>a všetky politiky a opatrenia prijaté do jari 2012. Pre HDP sa v rokoch 2010-2020 uvádza PRIMES 2013 medziro</w:t>
            </w:r>
            <w:r w:rsidRPr="0035027D">
              <w:rPr>
                <w:rFonts w:cs="Times New Roman"/>
                <w:sz w:val="20"/>
              </w:rPr>
              <w:t>č</w:t>
            </w:r>
            <w:r w:rsidRPr="0035027D">
              <w:rPr>
                <w:sz w:val="20"/>
              </w:rPr>
              <w:t>ný rast 2,5 % a neskôr 2,3 %. Referen</w:t>
            </w:r>
            <w:r w:rsidRPr="0035027D">
              <w:rPr>
                <w:rFonts w:cs="Times New Roman"/>
                <w:sz w:val="20"/>
              </w:rPr>
              <w:t>č</w:t>
            </w:r>
            <w:r w:rsidRPr="0035027D">
              <w:rPr>
                <w:sz w:val="20"/>
              </w:rPr>
              <w:t>ný scenár PRIMES 2013 predpokladá do roka 2020 nárast kone</w:t>
            </w:r>
            <w:r w:rsidRPr="0035027D">
              <w:rPr>
                <w:rFonts w:cs="Times New Roman"/>
                <w:sz w:val="20"/>
              </w:rPr>
              <w:t>č</w:t>
            </w:r>
            <w:r w:rsidRPr="0035027D">
              <w:rPr>
                <w:sz w:val="20"/>
              </w:rPr>
              <w:t>nej spotreby energie v SR o 11,65 %. Prognóza vývoja hrubej domácej spotreby energie po roku 2011 je zalo</w:t>
            </w:r>
            <w:r w:rsidRPr="0035027D">
              <w:rPr>
                <w:rFonts w:cs="Times New Roman"/>
                <w:sz w:val="20"/>
              </w:rPr>
              <w:t>ž</w:t>
            </w:r>
            <w:r w:rsidRPr="0035027D">
              <w:rPr>
                <w:sz w:val="20"/>
              </w:rPr>
              <w:t>ená na raste, neskôr na stagnácii a postupnom poklese po roku 2020. Slovensko je dovozcom energie. Spustenie jadrovej elektrárne EMO3,4 umo</w:t>
            </w:r>
            <w:r w:rsidRPr="0035027D">
              <w:rPr>
                <w:rFonts w:cs="Times New Roman"/>
                <w:sz w:val="20"/>
              </w:rPr>
              <w:t>ž</w:t>
            </w:r>
            <w:r w:rsidRPr="0035027D">
              <w:rPr>
                <w:sz w:val="20"/>
              </w:rPr>
              <w:t>ní vývoz elektriny. Rozvoj obnovite</w:t>
            </w:r>
            <w:r w:rsidRPr="0035027D">
              <w:rPr>
                <w:rFonts w:cs="Times New Roman"/>
                <w:sz w:val="20"/>
              </w:rPr>
              <w:t>ľ</w:t>
            </w:r>
            <w:r w:rsidRPr="0035027D">
              <w:rPr>
                <w:sz w:val="20"/>
              </w:rPr>
              <w:t>ných zdrojov energie mení štruktúru energetického mixu krajiny a pomer primárnej energetickej spotreby ku kone</w:t>
            </w:r>
            <w:r w:rsidRPr="0035027D">
              <w:rPr>
                <w:rFonts w:cs="Times New Roman"/>
                <w:sz w:val="20"/>
              </w:rPr>
              <w:t>č</w:t>
            </w:r>
            <w:r w:rsidRPr="0035027D">
              <w:rPr>
                <w:sz w:val="20"/>
              </w:rPr>
              <w:t>nej energetickej spotrebe. Predpokladaný dvojnásobný nárast mno</w:t>
            </w:r>
            <w:r w:rsidRPr="0035027D">
              <w:rPr>
                <w:rFonts w:cs="Times New Roman"/>
                <w:sz w:val="20"/>
              </w:rPr>
              <w:t>ž</w:t>
            </w:r>
            <w:r w:rsidRPr="0035027D">
              <w:rPr>
                <w:sz w:val="20"/>
              </w:rPr>
              <w:t>stva vyu</w:t>
            </w:r>
            <w:r w:rsidRPr="0035027D">
              <w:rPr>
                <w:rFonts w:cs="Times New Roman"/>
                <w:sz w:val="20"/>
              </w:rPr>
              <w:t>ž</w:t>
            </w:r>
            <w:r w:rsidRPr="0035027D">
              <w:rPr>
                <w:sz w:val="20"/>
              </w:rPr>
              <w:t>itých OZE ako primárnych zdrojov energie umo</w:t>
            </w:r>
            <w:r w:rsidRPr="0035027D">
              <w:rPr>
                <w:rFonts w:cs="Times New Roman"/>
                <w:sz w:val="20"/>
              </w:rPr>
              <w:t>ž</w:t>
            </w:r>
            <w:r w:rsidRPr="0035027D">
              <w:rPr>
                <w:sz w:val="20"/>
              </w:rPr>
              <w:t>ní zní</w:t>
            </w:r>
            <w:r w:rsidRPr="0035027D">
              <w:rPr>
                <w:rFonts w:cs="Times New Roman"/>
                <w:sz w:val="20"/>
              </w:rPr>
              <w:t>ž</w:t>
            </w:r>
            <w:r w:rsidRPr="0035027D">
              <w:rPr>
                <w:sz w:val="20"/>
              </w:rPr>
              <w:t>enie spotreby fosílnych palív, najmä uhlia a zemného plynu. Na Slovensku sa CCS zatia</w:t>
            </w:r>
            <w:r w:rsidRPr="0035027D">
              <w:rPr>
                <w:rFonts w:cs="Times New Roman"/>
                <w:sz w:val="20"/>
              </w:rPr>
              <w:t>ľ</w:t>
            </w:r>
            <w:r w:rsidRPr="0035027D">
              <w:rPr>
                <w:sz w:val="20"/>
              </w:rPr>
              <w:t xml:space="preserve"> neplánuje. </w:t>
            </w:r>
          </w:p>
          <w:p w:rsidR="007848E4" w:rsidRPr="0035027D" w:rsidRDefault="007848E4" w:rsidP="00F61680">
            <w:pPr>
              <w:spacing w:after="0"/>
              <w:rPr>
                <w:sz w:val="20"/>
              </w:rPr>
            </w:pPr>
          </w:p>
          <w:p w:rsidR="007848E4" w:rsidRPr="0035027D" w:rsidRDefault="007848E4" w:rsidP="00F61680">
            <w:pPr>
              <w:spacing w:after="0"/>
              <w:rPr>
                <w:b/>
                <w:i/>
                <w:sz w:val="20"/>
              </w:rPr>
            </w:pPr>
            <w:r w:rsidRPr="0035027D">
              <w:rPr>
                <w:b/>
                <w:i/>
                <w:sz w:val="20"/>
              </w:rPr>
              <w:t>Dopad spustenia EMO3,4 na primárnu a konečnú spotrebu energie</w:t>
            </w:r>
          </w:p>
          <w:p w:rsidR="007848E4" w:rsidRPr="0035027D" w:rsidRDefault="007848E4" w:rsidP="00F61680">
            <w:pPr>
              <w:spacing w:after="0"/>
              <w:rPr>
                <w:sz w:val="20"/>
              </w:rPr>
            </w:pPr>
            <w:r w:rsidRPr="0035027D">
              <w:rPr>
                <w:sz w:val="20"/>
              </w:rPr>
              <w:t>Pod</w:t>
            </w:r>
            <w:r w:rsidRPr="0035027D">
              <w:rPr>
                <w:rFonts w:cs="Times New Roman"/>
                <w:sz w:val="20"/>
              </w:rPr>
              <w:t>ľ</w:t>
            </w:r>
            <w:r w:rsidRPr="0035027D">
              <w:rPr>
                <w:sz w:val="20"/>
              </w:rPr>
              <w:t>a skúseností s vyra</w:t>
            </w:r>
            <w:r w:rsidRPr="0035027D">
              <w:rPr>
                <w:rFonts w:cs="Times New Roman"/>
                <w:sz w:val="20"/>
              </w:rPr>
              <w:t>ď</w:t>
            </w:r>
            <w:r w:rsidRPr="0035027D">
              <w:rPr>
                <w:sz w:val="20"/>
              </w:rPr>
              <w:t>ovaním nová jadrová elektráre</w:t>
            </w:r>
            <w:r w:rsidRPr="0035027D">
              <w:rPr>
                <w:rFonts w:cs="Times New Roman"/>
                <w:sz w:val="20"/>
              </w:rPr>
              <w:t>ň</w:t>
            </w:r>
            <w:r w:rsidRPr="0035027D">
              <w:rPr>
                <w:sz w:val="20"/>
              </w:rPr>
              <w:t xml:space="preserve"> spôsobí zvýšenie hrubej domácej spotreby (GIC) vo výške 60 PJ, pri nezmenenej výške kone</w:t>
            </w:r>
            <w:r w:rsidRPr="0035027D">
              <w:rPr>
                <w:rFonts w:cs="Times New Roman"/>
                <w:sz w:val="20"/>
              </w:rPr>
              <w:t>č</w:t>
            </w:r>
            <w:r w:rsidRPr="0035027D">
              <w:rPr>
                <w:sz w:val="20"/>
              </w:rPr>
              <w:t>nej energetickej spotreby (FEC). Je to spôsobené technológiou výroby elektriny. Pri stanovení primárnych úspor energie je mo</w:t>
            </w:r>
            <w:r w:rsidRPr="0035027D">
              <w:rPr>
                <w:rFonts w:cs="Times New Roman"/>
                <w:sz w:val="20"/>
              </w:rPr>
              <w:t>ž</w:t>
            </w:r>
            <w:r w:rsidRPr="0035027D">
              <w:rPr>
                <w:sz w:val="20"/>
              </w:rPr>
              <w:t>né tento faktor uplatni</w:t>
            </w:r>
            <w:r w:rsidRPr="0035027D">
              <w:rPr>
                <w:rFonts w:cs="Times New Roman"/>
                <w:sz w:val="20"/>
              </w:rPr>
              <w:t>ť</w:t>
            </w:r>
            <w:r w:rsidRPr="0035027D">
              <w:rPr>
                <w:sz w:val="20"/>
              </w:rPr>
              <w:t xml:space="preserve"> pri prepo</w:t>
            </w:r>
            <w:r w:rsidRPr="0035027D">
              <w:rPr>
                <w:rFonts w:cs="Times New Roman"/>
                <w:sz w:val="20"/>
              </w:rPr>
              <w:t>č</w:t>
            </w:r>
            <w:r w:rsidRPr="0035027D">
              <w:rPr>
                <w:sz w:val="20"/>
              </w:rPr>
              <w:t>te úspor z kone</w:t>
            </w:r>
            <w:r w:rsidRPr="0035027D">
              <w:rPr>
                <w:rFonts w:cs="Times New Roman"/>
                <w:sz w:val="20"/>
              </w:rPr>
              <w:t>č</w:t>
            </w:r>
            <w:r w:rsidRPr="0035027D">
              <w:rPr>
                <w:sz w:val="20"/>
              </w:rPr>
              <w:t>ných na primárne a kompenzova</w:t>
            </w:r>
            <w:r w:rsidRPr="0035027D">
              <w:rPr>
                <w:rFonts w:cs="Times New Roman"/>
                <w:sz w:val="20"/>
              </w:rPr>
              <w:t>ť</w:t>
            </w:r>
            <w:r w:rsidRPr="0035027D">
              <w:rPr>
                <w:sz w:val="20"/>
              </w:rPr>
              <w:t xml:space="preserve"> zmenu primárnej energie a</w:t>
            </w:r>
            <w:r w:rsidRPr="0035027D">
              <w:rPr>
                <w:rFonts w:cs="Times New Roman"/>
                <w:sz w:val="20"/>
              </w:rPr>
              <w:t>ž</w:t>
            </w:r>
            <w:r w:rsidRPr="0035027D">
              <w:rPr>
                <w:sz w:val="20"/>
              </w:rPr>
              <w:t xml:space="preserve"> o 60 PJ. </w:t>
            </w:r>
          </w:p>
          <w:p w:rsidR="007848E4" w:rsidRPr="0035027D" w:rsidRDefault="007848E4" w:rsidP="00F61680">
            <w:pPr>
              <w:spacing w:after="0"/>
              <w:rPr>
                <w:b/>
                <w:i/>
                <w:sz w:val="20"/>
              </w:rPr>
            </w:pPr>
          </w:p>
          <w:p w:rsidR="007848E4" w:rsidRPr="0035027D" w:rsidRDefault="007848E4" w:rsidP="00F61680">
            <w:pPr>
              <w:spacing w:after="0"/>
              <w:rPr>
                <w:b/>
                <w:i/>
                <w:sz w:val="20"/>
              </w:rPr>
            </w:pPr>
            <w:r w:rsidRPr="0035027D">
              <w:rPr>
                <w:b/>
                <w:i/>
                <w:sz w:val="20"/>
              </w:rPr>
              <w:lastRenderedPageBreak/>
              <w:t xml:space="preserve">Vyjadrenie cieľa </w:t>
            </w:r>
          </w:p>
          <w:p w:rsidR="007848E4" w:rsidRPr="0035027D" w:rsidRDefault="007848E4" w:rsidP="00F61680">
            <w:pPr>
              <w:spacing w:after="0"/>
              <w:rPr>
                <w:sz w:val="20"/>
              </w:rPr>
            </w:pPr>
            <w:r w:rsidRPr="0035027D">
              <w:rPr>
                <w:sz w:val="20"/>
              </w:rPr>
              <w:t>Základnou formou vyjadrenia cie</w:t>
            </w:r>
            <w:r w:rsidRPr="0035027D">
              <w:rPr>
                <w:rFonts w:cs="Times New Roman"/>
                <w:sz w:val="20"/>
              </w:rPr>
              <w:t>ľ</w:t>
            </w:r>
            <w:r w:rsidRPr="0035027D">
              <w:rPr>
                <w:sz w:val="20"/>
              </w:rPr>
              <w:t>a sú pre Slovensko úspory energie vo forme kone</w:t>
            </w:r>
            <w:r w:rsidRPr="0035027D">
              <w:rPr>
                <w:rFonts w:cs="Times New Roman"/>
                <w:sz w:val="20"/>
              </w:rPr>
              <w:t>č</w:t>
            </w:r>
            <w:r w:rsidRPr="0035027D">
              <w:rPr>
                <w:sz w:val="20"/>
              </w:rPr>
              <w:t>nej spotreby energie so zapo</w:t>
            </w:r>
            <w:r w:rsidRPr="0035027D">
              <w:rPr>
                <w:rFonts w:cs="Times New Roman"/>
                <w:sz w:val="20"/>
              </w:rPr>
              <w:t>č</w:t>
            </w:r>
            <w:r w:rsidRPr="0035027D">
              <w:rPr>
                <w:sz w:val="20"/>
              </w:rPr>
              <w:t>ítaním úspor z premeny, strát a z energetického sektora. Je to potrebné z dôvodu mo</w:t>
            </w:r>
            <w:r w:rsidRPr="0035027D">
              <w:rPr>
                <w:rFonts w:cs="Times New Roman"/>
                <w:sz w:val="20"/>
              </w:rPr>
              <w:t>ž</w:t>
            </w:r>
            <w:r w:rsidRPr="0035027D">
              <w:rPr>
                <w:sz w:val="20"/>
              </w:rPr>
              <w:t>nosti priameho merania a priameho výpo</w:t>
            </w:r>
            <w:r w:rsidRPr="0035027D">
              <w:rPr>
                <w:rFonts w:cs="Times New Roman"/>
                <w:sz w:val="20"/>
              </w:rPr>
              <w:t>č</w:t>
            </w:r>
            <w:r w:rsidRPr="0035027D">
              <w:rPr>
                <w:sz w:val="20"/>
              </w:rPr>
              <w:t>tu týchto hodnôt, teda úspor, z jednotlivých opatrení na strane spotreby energie. Zárove</w:t>
            </w:r>
            <w:r w:rsidRPr="0035027D">
              <w:rPr>
                <w:rFonts w:cs="Times New Roman"/>
                <w:sz w:val="20"/>
              </w:rPr>
              <w:t>ň</w:t>
            </w:r>
            <w:r w:rsidRPr="0035027D">
              <w:rPr>
                <w:sz w:val="20"/>
              </w:rPr>
              <w:t xml:space="preserve"> sa zahrnú všetky oblasti, ktoré vstupujú do štatistického výpo</w:t>
            </w:r>
            <w:r w:rsidRPr="0035027D">
              <w:rPr>
                <w:rFonts w:cs="Times New Roman"/>
                <w:sz w:val="20"/>
              </w:rPr>
              <w:t>č</w:t>
            </w:r>
            <w:r w:rsidRPr="0035027D">
              <w:rPr>
                <w:sz w:val="20"/>
              </w:rPr>
              <w:t xml:space="preserve">tu primárnej energie. </w:t>
            </w:r>
          </w:p>
          <w:p w:rsidR="007848E4" w:rsidRPr="0035027D" w:rsidRDefault="007848E4" w:rsidP="00F61680">
            <w:pPr>
              <w:spacing w:after="0"/>
              <w:rPr>
                <w:sz w:val="20"/>
              </w:rPr>
            </w:pPr>
          </w:p>
          <w:p w:rsidR="007848E4" w:rsidRPr="0035027D" w:rsidRDefault="007848E4" w:rsidP="00F61680">
            <w:pPr>
              <w:spacing w:after="0"/>
              <w:rPr>
                <w:b/>
                <w:i/>
                <w:sz w:val="20"/>
              </w:rPr>
            </w:pPr>
            <w:r w:rsidRPr="0035027D">
              <w:rPr>
                <w:b/>
                <w:i/>
                <w:sz w:val="20"/>
              </w:rPr>
              <w:t>Výpočet cieľa podľa smernice 2012/27/EU</w:t>
            </w:r>
          </w:p>
          <w:p w:rsidR="007848E4" w:rsidRPr="0035027D" w:rsidRDefault="007848E4" w:rsidP="00F61680">
            <w:pPr>
              <w:spacing w:after="0"/>
              <w:rPr>
                <w:sz w:val="20"/>
              </w:rPr>
            </w:pPr>
            <w:r w:rsidRPr="0035027D">
              <w:rPr>
                <w:sz w:val="20"/>
              </w:rPr>
              <w:t xml:space="preserve">Predpokladáme, </w:t>
            </w:r>
            <w:r w:rsidRPr="0035027D">
              <w:rPr>
                <w:rFonts w:cs="Times New Roman"/>
                <w:sz w:val="20"/>
              </w:rPr>
              <w:t>ž</w:t>
            </w:r>
            <w:r w:rsidRPr="0035027D">
              <w:rPr>
                <w:sz w:val="20"/>
              </w:rPr>
              <w:t>e opatrenia smernice bude mo</w:t>
            </w:r>
            <w:r w:rsidRPr="0035027D">
              <w:rPr>
                <w:rFonts w:cs="Times New Roman"/>
                <w:sz w:val="20"/>
              </w:rPr>
              <w:t>ž</w:t>
            </w:r>
            <w:r w:rsidRPr="0035027D">
              <w:rPr>
                <w:sz w:val="20"/>
              </w:rPr>
              <w:t>né aplikova</w:t>
            </w:r>
            <w:r w:rsidRPr="0035027D">
              <w:rPr>
                <w:rFonts w:cs="Times New Roman"/>
                <w:sz w:val="20"/>
              </w:rPr>
              <w:t>ť</w:t>
            </w:r>
            <w:r w:rsidRPr="0035027D">
              <w:rPr>
                <w:sz w:val="20"/>
              </w:rPr>
              <w:t xml:space="preserve"> pomocou podpornej schémy v </w:t>
            </w:r>
            <w:r w:rsidRPr="0035027D">
              <w:rPr>
                <w:rFonts w:cs="Times New Roman"/>
                <w:sz w:val="20"/>
              </w:rPr>
              <w:t>č</w:t>
            </w:r>
            <w:r w:rsidRPr="0035027D">
              <w:rPr>
                <w:sz w:val="20"/>
              </w:rPr>
              <w:t>l. 7. Pod</w:t>
            </w:r>
            <w:r w:rsidRPr="0035027D">
              <w:rPr>
                <w:rFonts w:cs="Times New Roman"/>
                <w:sz w:val="20"/>
              </w:rPr>
              <w:t>ľ</w:t>
            </w:r>
            <w:r w:rsidRPr="0035027D">
              <w:rPr>
                <w:sz w:val="20"/>
              </w:rPr>
              <w:t xml:space="preserve">a </w:t>
            </w:r>
            <w:r w:rsidRPr="0035027D">
              <w:rPr>
                <w:rFonts w:cs="Times New Roman"/>
                <w:sz w:val="20"/>
              </w:rPr>
              <w:t>č</w:t>
            </w:r>
            <w:r w:rsidRPr="0035027D">
              <w:rPr>
                <w:sz w:val="20"/>
              </w:rPr>
              <w:t>l. 7 smernice 2012/27/EU je mo</w:t>
            </w:r>
            <w:r w:rsidRPr="0035027D">
              <w:rPr>
                <w:rFonts w:cs="Times New Roman"/>
                <w:sz w:val="20"/>
              </w:rPr>
              <w:t>ž</w:t>
            </w:r>
            <w:r w:rsidRPr="0035027D">
              <w:rPr>
                <w:sz w:val="20"/>
              </w:rPr>
              <w:t>né stanovi</w:t>
            </w:r>
            <w:r w:rsidRPr="0035027D">
              <w:rPr>
                <w:rFonts w:cs="Times New Roman"/>
                <w:sz w:val="20"/>
              </w:rPr>
              <w:t>ť</w:t>
            </w:r>
            <w:r w:rsidRPr="0035027D">
              <w:rPr>
                <w:sz w:val="20"/>
              </w:rPr>
              <w:t xml:space="preserve"> cie</w:t>
            </w:r>
            <w:r w:rsidRPr="0035027D">
              <w:rPr>
                <w:rFonts w:cs="Times New Roman"/>
                <w:sz w:val="20"/>
              </w:rPr>
              <w:t>ľ</w:t>
            </w:r>
            <w:r w:rsidRPr="0035027D">
              <w:rPr>
                <w:sz w:val="20"/>
              </w:rPr>
              <w:t xml:space="preserve"> iba pre kone</w:t>
            </w:r>
            <w:r w:rsidRPr="0035027D">
              <w:rPr>
                <w:rFonts w:cs="Times New Roman"/>
                <w:sz w:val="20"/>
              </w:rPr>
              <w:t>č</w:t>
            </w:r>
            <w:r w:rsidRPr="0035027D">
              <w:rPr>
                <w:sz w:val="20"/>
              </w:rPr>
              <w:t>nú energetickú spotrebu. Základ cie</w:t>
            </w:r>
            <w:r w:rsidRPr="0035027D">
              <w:rPr>
                <w:rFonts w:cs="Times New Roman"/>
                <w:sz w:val="20"/>
              </w:rPr>
              <w:t>ľ</w:t>
            </w:r>
            <w:r w:rsidRPr="0035027D">
              <w:rPr>
                <w:sz w:val="20"/>
              </w:rPr>
              <w:t>a k </w:t>
            </w:r>
            <w:r w:rsidRPr="0035027D">
              <w:rPr>
                <w:rFonts w:cs="Times New Roman"/>
                <w:sz w:val="20"/>
              </w:rPr>
              <w:t>č</w:t>
            </w:r>
            <w:r w:rsidRPr="0035027D">
              <w:rPr>
                <w:sz w:val="20"/>
              </w:rPr>
              <w:t>l. 7 je 1,5 % z kone</w:t>
            </w:r>
            <w:r w:rsidRPr="0035027D">
              <w:rPr>
                <w:rFonts w:cs="Times New Roman"/>
                <w:sz w:val="20"/>
              </w:rPr>
              <w:t>č</w:t>
            </w:r>
            <w:r w:rsidRPr="0035027D">
              <w:rPr>
                <w:sz w:val="20"/>
              </w:rPr>
              <w:t>nej energetickej spotreby bez spotreby dopravy za roky 2010 a</w:t>
            </w:r>
            <w:r w:rsidRPr="0035027D">
              <w:rPr>
                <w:rFonts w:cs="Times New Roman"/>
                <w:sz w:val="20"/>
              </w:rPr>
              <w:t>ž</w:t>
            </w:r>
            <w:r w:rsidRPr="0035027D">
              <w:rPr>
                <w:sz w:val="20"/>
              </w:rPr>
              <w:t xml:space="preserve"> 2012. V sú</w:t>
            </w:r>
            <w:r w:rsidRPr="0035027D">
              <w:rPr>
                <w:rFonts w:cs="Times New Roman"/>
                <w:sz w:val="20"/>
              </w:rPr>
              <w:t>č</w:t>
            </w:r>
            <w:r w:rsidRPr="0035027D">
              <w:rPr>
                <w:sz w:val="20"/>
              </w:rPr>
              <w:t>asnosti sú k dispozícii iba údaje za roky 2010 a 2011, preto sa cie</w:t>
            </w:r>
            <w:r w:rsidRPr="0035027D">
              <w:rPr>
                <w:rFonts w:cs="Times New Roman"/>
                <w:sz w:val="20"/>
              </w:rPr>
              <w:t>ľ</w:t>
            </w:r>
            <w:r w:rsidRPr="0035027D">
              <w:rPr>
                <w:sz w:val="20"/>
              </w:rPr>
              <w:t xml:space="preserve"> bude ešte budúci rok meni</w:t>
            </w:r>
            <w:r w:rsidRPr="0035027D">
              <w:rPr>
                <w:rFonts w:cs="Times New Roman"/>
                <w:sz w:val="20"/>
              </w:rPr>
              <w:t>ť</w:t>
            </w:r>
            <w:r w:rsidRPr="0035027D">
              <w:rPr>
                <w:sz w:val="20"/>
              </w:rPr>
              <w:t>. Ro</w:t>
            </w:r>
            <w:r w:rsidRPr="0035027D">
              <w:rPr>
                <w:rFonts w:cs="Times New Roman"/>
                <w:sz w:val="20"/>
              </w:rPr>
              <w:t>č</w:t>
            </w:r>
            <w:r w:rsidRPr="0035027D">
              <w:rPr>
                <w:sz w:val="20"/>
              </w:rPr>
              <w:t>ný cie</w:t>
            </w:r>
            <w:r w:rsidRPr="0035027D">
              <w:rPr>
                <w:rFonts w:cs="Times New Roman"/>
                <w:sz w:val="20"/>
              </w:rPr>
              <w:t>ľ</w:t>
            </w:r>
            <w:r w:rsidRPr="0035027D">
              <w:rPr>
                <w:sz w:val="20"/>
              </w:rPr>
              <w:t xml:space="preserve"> vo výške 1,5 % zo základu cie</w:t>
            </w:r>
            <w:r w:rsidRPr="0035027D">
              <w:rPr>
                <w:rFonts w:cs="Times New Roman"/>
                <w:sz w:val="20"/>
              </w:rPr>
              <w:t>ľ</w:t>
            </w:r>
            <w:r w:rsidRPr="0035027D">
              <w:rPr>
                <w:sz w:val="20"/>
              </w:rPr>
              <w:t>a pre roky 2010 a 2011 je 4 667,5 TJ. Kumulovaný cie</w:t>
            </w:r>
            <w:r w:rsidRPr="0035027D">
              <w:rPr>
                <w:rFonts w:cs="Times New Roman"/>
                <w:sz w:val="20"/>
              </w:rPr>
              <w:t>ľ</w:t>
            </w:r>
            <w:r w:rsidRPr="0035027D">
              <w:rPr>
                <w:sz w:val="20"/>
              </w:rPr>
              <w:t xml:space="preserve"> pre obdobie rokov 2014 – 2020 je 130 690 TJ (3,12 </w:t>
            </w:r>
            <w:proofErr w:type="spellStart"/>
            <w:r w:rsidRPr="0035027D">
              <w:rPr>
                <w:sz w:val="20"/>
              </w:rPr>
              <w:t>Mtoe</w:t>
            </w:r>
            <w:proofErr w:type="spellEnd"/>
            <w:r w:rsidRPr="0035027D">
              <w:rPr>
                <w:sz w:val="20"/>
              </w:rPr>
              <w:t xml:space="preserve">), </w:t>
            </w:r>
            <w:r w:rsidRPr="0035027D">
              <w:rPr>
                <w:rFonts w:cs="Times New Roman"/>
                <w:sz w:val="20"/>
              </w:rPr>
              <w:t>č</w:t>
            </w:r>
            <w:r w:rsidRPr="0035027D">
              <w:rPr>
                <w:sz w:val="20"/>
              </w:rPr>
              <w:t>o znamená úspory energie dosiahnuté v rokoch 2014 – 2020, o ktoré sa zní</w:t>
            </w:r>
            <w:r w:rsidRPr="0035027D">
              <w:rPr>
                <w:rFonts w:cs="Times New Roman"/>
                <w:sz w:val="20"/>
              </w:rPr>
              <w:t>ž</w:t>
            </w:r>
            <w:r w:rsidRPr="0035027D">
              <w:rPr>
                <w:sz w:val="20"/>
              </w:rPr>
              <w:t>i aj kone</w:t>
            </w:r>
            <w:r w:rsidRPr="0035027D">
              <w:rPr>
                <w:rFonts w:cs="Times New Roman"/>
                <w:sz w:val="20"/>
              </w:rPr>
              <w:t>č</w:t>
            </w:r>
            <w:r w:rsidRPr="0035027D">
              <w:rPr>
                <w:sz w:val="20"/>
              </w:rPr>
              <w:t>ná energetická spotreba v roku 2020 vo</w:t>
            </w:r>
            <w:r w:rsidRPr="0035027D">
              <w:rPr>
                <w:rFonts w:cs="Times New Roman"/>
                <w:sz w:val="20"/>
              </w:rPr>
              <w:t>č</w:t>
            </w:r>
            <w:r w:rsidRPr="0035027D">
              <w:rPr>
                <w:sz w:val="20"/>
              </w:rPr>
              <w:t>i referen</w:t>
            </w:r>
            <w:r w:rsidRPr="0035027D">
              <w:rPr>
                <w:rFonts w:cs="Times New Roman"/>
                <w:sz w:val="20"/>
              </w:rPr>
              <w:t>č</w:t>
            </w:r>
            <w:r w:rsidRPr="0035027D">
              <w:rPr>
                <w:sz w:val="20"/>
              </w:rPr>
              <w:t>nému scenáru PRIMES 2007. Cie</w:t>
            </w:r>
            <w:r w:rsidRPr="0035027D">
              <w:rPr>
                <w:rFonts w:cs="Times New Roman"/>
                <w:sz w:val="20"/>
              </w:rPr>
              <w:t>ľ</w:t>
            </w:r>
            <w:r w:rsidRPr="0035027D">
              <w:rPr>
                <w:sz w:val="20"/>
              </w:rPr>
              <w:t xml:space="preserve"> bol vypo</w:t>
            </w:r>
            <w:r w:rsidRPr="0035027D">
              <w:rPr>
                <w:rFonts w:cs="Times New Roman"/>
                <w:sz w:val="20"/>
              </w:rPr>
              <w:t>č</w:t>
            </w:r>
            <w:r w:rsidRPr="0035027D">
              <w:rPr>
                <w:sz w:val="20"/>
              </w:rPr>
              <w:t>ítaný na základe údajov kone</w:t>
            </w:r>
            <w:r w:rsidRPr="0035027D">
              <w:rPr>
                <w:rFonts w:cs="Times New Roman"/>
                <w:sz w:val="20"/>
              </w:rPr>
              <w:t>č</w:t>
            </w:r>
            <w:r w:rsidRPr="0035027D">
              <w:rPr>
                <w:sz w:val="20"/>
              </w:rPr>
              <w:t>nej energetickej spotreby od Štatistického úradu SR (ŠÚ SR). Ke</w:t>
            </w:r>
            <w:r w:rsidRPr="0035027D">
              <w:rPr>
                <w:rFonts w:cs="Times New Roman"/>
                <w:sz w:val="20"/>
              </w:rPr>
              <w:t>ďž</w:t>
            </w:r>
            <w:r w:rsidRPr="0035027D">
              <w:rPr>
                <w:sz w:val="20"/>
              </w:rPr>
              <w:t xml:space="preserve">e metodika ŠÚ SR sa líši od metodiky </w:t>
            </w:r>
            <w:proofErr w:type="spellStart"/>
            <w:r w:rsidRPr="0035027D">
              <w:rPr>
                <w:sz w:val="20"/>
              </w:rPr>
              <w:t>Eurostatu</w:t>
            </w:r>
            <w:proofErr w:type="spellEnd"/>
            <w:r w:rsidRPr="0035027D">
              <w:rPr>
                <w:sz w:val="20"/>
              </w:rPr>
              <w:t>, v budúcnosti bude cie</w:t>
            </w:r>
            <w:r w:rsidRPr="0035027D">
              <w:rPr>
                <w:rFonts w:cs="Times New Roman"/>
                <w:sz w:val="20"/>
              </w:rPr>
              <w:t>ľ</w:t>
            </w:r>
            <w:r w:rsidRPr="0035027D">
              <w:rPr>
                <w:sz w:val="20"/>
              </w:rPr>
              <w:t xml:space="preserve"> prehodnotený aj z poh</w:t>
            </w:r>
            <w:r w:rsidRPr="0035027D">
              <w:rPr>
                <w:rFonts w:cs="Times New Roman"/>
                <w:sz w:val="20"/>
              </w:rPr>
              <w:t>ľ</w:t>
            </w:r>
            <w:r w:rsidRPr="0035027D">
              <w:rPr>
                <w:sz w:val="20"/>
              </w:rPr>
              <w:t>adu spresnenia metodiky výpo</w:t>
            </w:r>
            <w:r w:rsidRPr="0035027D">
              <w:rPr>
                <w:rFonts w:cs="Times New Roman"/>
                <w:sz w:val="20"/>
              </w:rPr>
              <w:t>č</w:t>
            </w:r>
            <w:r w:rsidRPr="0035027D">
              <w:rPr>
                <w:sz w:val="20"/>
              </w:rPr>
              <w:t>tu kone</w:t>
            </w:r>
            <w:r w:rsidRPr="0035027D">
              <w:rPr>
                <w:rFonts w:cs="Times New Roman"/>
                <w:sz w:val="20"/>
              </w:rPr>
              <w:t>č</w:t>
            </w:r>
            <w:r w:rsidRPr="0035027D">
              <w:rPr>
                <w:sz w:val="20"/>
              </w:rPr>
              <w:t>nej energetickej spotreby.</w:t>
            </w:r>
          </w:p>
          <w:p w:rsidR="007848E4" w:rsidRPr="0035027D" w:rsidRDefault="007848E4" w:rsidP="00F61680">
            <w:pPr>
              <w:spacing w:after="0"/>
              <w:rPr>
                <w:b/>
              </w:rPr>
            </w:pPr>
          </w:p>
          <w:tbl>
            <w:tblPr>
              <w:tblW w:w="9067"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232"/>
              <w:gridCol w:w="2835"/>
            </w:tblGrid>
            <w:tr w:rsidR="007848E4" w:rsidRPr="0035027D" w:rsidTr="00F61680">
              <w:tc>
                <w:tcPr>
                  <w:tcW w:w="9067" w:type="dxa"/>
                  <w:gridSpan w:val="2"/>
                  <w:tcBorders>
                    <w:top w:val="single" w:sz="4" w:space="0" w:color="auto"/>
                    <w:left w:val="single" w:sz="4" w:space="0" w:color="auto"/>
                    <w:bottom w:val="single" w:sz="4" w:space="0" w:color="auto"/>
                    <w:right w:val="single" w:sz="4" w:space="0" w:color="auto"/>
                  </w:tcBorders>
                  <w:shd w:val="clear" w:color="auto" w:fill="000000"/>
                  <w:tcMar>
                    <w:top w:w="57" w:type="dxa"/>
                    <w:bottom w:w="57" w:type="dxa"/>
                  </w:tcMar>
                  <w:vAlign w:val="center"/>
                </w:tcPr>
                <w:p w:rsidR="007848E4" w:rsidRPr="0035027D" w:rsidRDefault="007848E4" w:rsidP="00F61680">
                  <w:pPr>
                    <w:widowControl w:val="0"/>
                    <w:spacing w:after="0"/>
                    <w:rPr>
                      <w:sz w:val="18"/>
                    </w:rPr>
                  </w:pPr>
                  <w:r w:rsidRPr="0035027D">
                    <w:rPr>
                      <w:b/>
                      <w:color w:val="FFFFFF"/>
                      <w:sz w:val="18"/>
                    </w:rPr>
                    <w:t>Národné indikatívne ciele energetickej efektívnosti SR</w:t>
                  </w:r>
                </w:p>
              </w:tc>
            </w:tr>
            <w:tr w:rsidR="007848E4" w:rsidRPr="0035027D" w:rsidTr="00F61680">
              <w:tc>
                <w:tcPr>
                  <w:tcW w:w="623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848E4" w:rsidRPr="0035027D" w:rsidRDefault="007848E4" w:rsidP="00F61680">
                  <w:pPr>
                    <w:widowControl w:val="0"/>
                    <w:spacing w:after="0"/>
                    <w:rPr>
                      <w:b/>
                      <w:bCs/>
                      <w:sz w:val="18"/>
                    </w:rPr>
                  </w:pPr>
                  <w:r w:rsidRPr="0035027D">
                    <w:rPr>
                      <w:b/>
                      <w:bCs/>
                      <w:sz w:val="18"/>
                    </w:rPr>
                    <w:t xml:space="preserve">Úspory energie vyjadrené v konečnej spotrebe energie za obdobie rokov 2014 </w:t>
                  </w:r>
                  <w:r w:rsidRPr="0035027D">
                    <w:rPr>
                      <w:sz w:val="18"/>
                    </w:rPr>
                    <w:t xml:space="preserve">– </w:t>
                  </w:r>
                  <w:r w:rsidRPr="0035027D">
                    <w:rPr>
                      <w:b/>
                      <w:bCs/>
                      <w:sz w:val="18"/>
                    </w:rPr>
                    <w:t>2020</w:t>
                  </w: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848E4" w:rsidRPr="0035027D" w:rsidRDefault="007848E4" w:rsidP="00F61680">
                  <w:pPr>
                    <w:widowControl w:val="0"/>
                    <w:spacing w:after="0"/>
                    <w:jc w:val="center"/>
                    <w:rPr>
                      <w:sz w:val="18"/>
                    </w:rPr>
                  </w:pPr>
                  <w:r w:rsidRPr="0035027D">
                    <w:rPr>
                      <w:sz w:val="18"/>
                    </w:rPr>
                    <w:t>130,69 PJ (3,12 </w:t>
                  </w:r>
                  <w:proofErr w:type="spellStart"/>
                  <w:r w:rsidRPr="0035027D">
                    <w:rPr>
                      <w:sz w:val="18"/>
                    </w:rPr>
                    <w:t>Mtoe</w:t>
                  </w:r>
                  <w:proofErr w:type="spellEnd"/>
                  <w:r w:rsidRPr="0035027D">
                    <w:rPr>
                      <w:sz w:val="18"/>
                    </w:rPr>
                    <w:t>)</w:t>
                  </w:r>
                </w:p>
              </w:tc>
            </w:tr>
            <w:tr w:rsidR="007848E4" w:rsidRPr="0035027D" w:rsidTr="00F61680">
              <w:tc>
                <w:tcPr>
                  <w:tcW w:w="623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848E4" w:rsidRPr="0035027D" w:rsidRDefault="007848E4" w:rsidP="00F61680">
                  <w:pPr>
                    <w:widowControl w:val="0"/>
                    <w:spacing w:after="0"/>
                    <w:rPr>
                      <w:b/>
                      <w:bCs/>
                      <w:sz w:val="18"/>
                    </w:rPr>
                  </w:pPr>
                  <w:r w:rsidRPr="0035027D">
                    <w:rPr>
                      <w:b/>
                      <w:bCs/>
                      <w:sz w:val="18"/>
                    </w:rPr>
                    <w:t>Cieľ energetickej efektívnosti vyjadrený v absolútnej hodnote konečnej spotreby energie v roku 2020</w:t>
                  </w: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848E4" w:rsidRPr="0035027D" w:rsidRDefault="007848E4" w:rsidP="00F61680">
                  <w:pPr>
                    <w:widowControl w:val="0"/>
                    <w:spacing w:after="0"/>
                    <w:jc w:val="center"/>
                    <w:rPr>
                      <w:sz w:val="18"/>
                    </w:rPr>
                  </w:pPr>
                  <w:r w:rsidRPr="0035027D">
                    <w:rPr>
                      <w:sz w:val="18"/>
                    </w:rPr>
                    <w:t>435,09 PJ (10,39 </w:t>
                  </w:r>
                  <w:proofErr w:type="spellStart"/>
                  <w:r w:rsidRPr="0035027D">
                    <w:rPr>
                      <w:sz w:val="18"/>
                    </w:rPr>
                    <w:t>Mtoe</w:t>
                  </w:r>
                  <w:proofErr w:type="spellEnd"/>
                  <w:r w:rsidRPr="0035027D">
                    <w:rPr>
                      <w:sz w:val="18"/>
                    </w:rPr>
                    <w:t>)</w:t>
                  </w:r>
                </w:p>
              </w:tc>
            </w:tr>
            <w:tr w:rsidR="007848E4" w:rsidRPr="0035027D" w:rsidTr="00F61680">
              <w:tc>
                <w:tcPr>
                  <w:tcW w:w="623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848E4" w:rsidRPr="0035027D" w:rsidRDefault="007848E4" w:rsidP="00F61680">
                  <w:pPr>
                    <w:widowControl w:val="0"/>
                    <w:spacing w:after="0"/>
                    <w:rPr>
                      <w:b/>
                      <w:bCs/>
                      <w:sz w:val="18"/>
                    </w:rPr>
                  </w:pPr>
                  <w:r w:rsidRPr="0035027D">
                    <w:rPr>
                      <w:b/>
                      <w:bCs/>
                      <w:sz w:val="18"/>
                    </w:rPr>
                    <w:t>Cieľ energetickej efektívnosti vyjadrený v absolútnej hodnote primárnej spotreby energie v roku 2020</w:t>
                  </w: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848E4" w:rsidRPr="0035027D" w:rsidRDefault="007848E4" w:rsidP="00F61680">
                  <w:pPr>
                    <w:widowControl w:val="0"/>
                    <w:spacing w:after="0"/>
                    <w:jc w:val="center"/>
                    <w:rPr>
                      <w:sz w:val="18"/>
                    </w:rPr>
                  </w:pPr>
                  <w:r w:rsidRPr="0035027D">
                    <w:rPr>
                      <w:sz w:val="18"/>
                    </w:rPr>
                    <w:t>680,62 PJ (16,2 </w:t>
                  </w:r>
                  <w:proofErr w:type="spellStart"/>
                  <w:r w:rsidRPr="0035027D">
                    <w:rPr>
                      <w:sz w:val="18"/>
                    </w:rPr>
                    <w:t>Mtoe</w:t>
                  </w:r>
                  <w:proofErr w:type="spellEnd"/>
                  <w:r w:rsidRPr="0035027D">
                    <w:rPr>
                      <w:sz w:val="18"/>
                    </w:rPr>
                    <w:t>)</w:t>
                  </w:r>
                </w:p>
              </w:tc>
            </w:tr>
            <w:tr w:rsidR="007848E4" w:rsidRPr="0035027D" w:rsidTr="00F61680">
              <w:tc>
                <w:tcPr>
                  <w:tcW w:w="623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848E4" w:rsidRPr="0035027D" w:rsidRDefault="007848E4" w:rsidP="00F61680">
                  <w:pPr>
                    <w:widowControl w:val="0"/>
                    <w:spacing w:after="0"/>
                    <w:rPr>
                      <w:b/>
                      <w:bCs/>
                      <w:sz w:val="18"/>
                    </w:rPr>
                  </w:pPr>
                  <w:r w:rsidRPr="0035027D">
                    <w:rPr>
                      <w:b/>
                      <w:bCs/>
                      <w:sz w:val="18"/>
                    </w:rPr>
                    <w:t>Cieľ energetickej efektívnosti v % vyjadrený vo forme konečnej spotreby energie</w:t>
                  </w: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848E4" w:rsidRPr="0035027D" w:rsidRDefault="007848E4" w:rsidP="00F61680">
                  <w:pPr>
                    <w:widowControl w:val="0"/>
                    <w:spacing w:after="0"/>
                    <w:jc w:val="center"/>
                    <w:rPr>
                      <w:sz w:val="18"/>
                    </w:rPr>
                  </w:pPr>
                  <w:r w:rsidRPr="0035027D">
                    <w:rPr>
                      <w:sz w:val="18"/>
                    </w:rPr>
                    <w:t xml:space="preserve">23 % (3,12 </w:t>
                  </w:r>
                  <w:proofErr w:type="spellStart"/>
                  <w:r w:rsidRPr="0035027D">
                    <w:rPr>
                      <w:sz w:val="18"/>
                    </w:rPr>
                    <w:t>Mtoe</w:t>
                  </w:r>
                  <w:proofErr w:type="spellEnd"/>
                  <w:r w:rsidRPr="0035027D">
                    <w:rPr>
                      <w:sz w:val="18"/>
                    </w:rPr>
                    <w:t>)</w:t>
                  </w:r>
                </w:p>
              </w:tc>
            </w:tr>
            <w:tr w:rsidR="007848E4" w:rsidRPr="0035027D" w:rsidTr="00F61680">
              <w:tc>
                <w:tcPr>
                  <w:tcW w:w="623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848E4" w:rsidRPr="0035027D" w:rsidRDefault="007848E4" w:rsidP="00F61680">
                  <w:pPr>
                    <w:widowControl w:val="0"/>
                    <w:spacing w:after="0"/>
                    <w:rPr>
                      <w:b/>
                      <w:bCs/>
                      <w:sz w:val="18"/>
                    </w:rPr>
                  </w:pPr>
                  <w:r w:rsidRPr="0035027D">
                    <w:rPr>
                      <w:b/>
                      <w:bCs/>
                      <w:sz w:val="18"/>
                    </w:rPr>
                    <w:t>Cieľ energetickej efektívnosti v % vyjadrený vo forme primárnej spotreby energie</w:t>
                  </w:r>
                </w:p>
              </w:tc>
              <w:tc>
                <w:tcPr>
                  <w:tcW w:w="28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848E4" w:rsidRPr="0035027D" w:rsidRDefault="007848E4" w:rsidP="00F61680">
                  <w:pPr>
                    <w:widowControl w:val="0"/>
                    <w:spacing w:after="0"/>
                    <w:jc w:val="center"/>
                    <w:rPr>
                      <w:sz w:val="18"/>
                    </w:rPr>
                  </w:pPr>
                  <w:r w:rsidRPr="0035027D">
                    <w:rPr>
                      <w:sz w:val="18"/>
                    </w:rPr>
                    <w:t>20 % (4,07 </w:t>
                  </w:r>
                  <w:proofErr w:type="spellStart"/>
                  <w:r w:rsidRPr="0035027D">
                    <w:rPr>
                      <w:sz w:val="18"/>
                    </w:rPr>
                    <w:t>Mtoe</w:t>
                  </w:r>
                  <w:proofErr w:type="spellEnd"/>
                  <w:r w:rsidRPr="0035027D">
                    <w:rPr>
                      <w:sz w:val="18"/>
                    </w:rPr>
                    <w:t>)</w:t>
                  </w:r>
                </w:p>
              </w:tc>
            </w:tr>
          </w:tbl>
          <w:p w:rsidR="007848E4" w:rsidRPr="0035027D" w:rsidRDefault="007848E4" w:rsidP="00F61680">
            <w:pPr>
              <w:spacing w:after="0"/>
            </w:pPr>
          </w:p>
          <w:p w:rsidR="007848E4" w:rsidRPr="0035027D" w:rsidRDefault="007848E4" w:rsidP="00F61680">
            <w:pPr>
              <w:spacing w:after="0"/>
              <w:rPr>
                <w:sz w:val="20"/>
              </w:rPr>
            </w:pPr>
            <w:r w:rsidRPr="0035027D">
              <w:rPr>
                <w:sz w:val="20"/>
              </w:rPr>
              <w:t>Cie</w:t>
            </w:r>
            <w:r w:rsidRPr="0035027D">
              <w:rPr>
                <w:rFonts w:cs="Times New Roman"/>
                <w:sz w:val="20"/>
              </w:rPr>
              <w:t>ľ</w:t>
            </w:r>
            <w:r w:rsidRPr="0035027D">
              <w:rPr>
                <w:sz w:val="20"/>
              </w:rPr>
              <w:t xml:space="preserve"> energetickej efektívnosti vyjadrený v absolútnej hodnote kone</w:t>
            </w:r>
            <w:r w:rsidRPr="0035027D">
              <w:rPr>
                <w:rFonts w:cs="Times New Roman"/>
                <w:sz w:val="20"/>
              </w:rPr>
              <w:t>č</w:t>
            </w:r>
            <w:r w:rsidRPr="0035027D">
              <w:rPr>
                <w:sz w:val="20"/>
              </w:rPr>
              <w:t>nej spotreby energie v roku 2020 sa vypo</w:t>
            </w:r>
            <w:r w:rsidRPr="0035027D">
              <w:rPr>
                <w:rFonts w:cs="Times New Roman"/>
                <w:sz w:val="20"/>
              </w:rPr>
              <w:t>č</w:t>
            </w:r>
            <w:r w:rsidRPr="0035027D">
              <w:rPr>
                <w:sz w:val="20"/>
              </w:rPr>
              <w:t>íta ako zní</w:t>
            </w:r>
            <w:r w:rsidRPr="0035027D">
              <w:rPr>
                <w:rFonts w:cs="Times New Roman"/>
                <w:sz w:val="20"/>
              </w:rPr>
              <w:t>ž</w:t>
            </w:r>
            <w:r w:rsidRPr="0035027D">
              <w:rPr>
                <w:sz w:val="20"/>
              </w:rPr>
              <w:t>enie kone</w:t>
            </w:r>
            <w:r w:rsidRPr="0035027D">
              <w:rPr>
                <w:rFonts w:cs="Times New Roman"/>
                <w:sz w:val="20"/>
              </w:rPr>
              <w:t>č</w:t>
            </w:r>
            <w:r w:rsidRPr="0035027D">
              <w:rPr>
                <w:sz w:val="20"/>
              </w:rPr>
              <w:t>nej energetickej spotreby stanovenej v referen</w:t>
            </w:r>
            <w:r w:rsidRPr="0035027D">
              <w:rPr>
                <w:rFonts w:cs="Times New Roman"/>
                <w:sz w:val="20"/>
              </w:rPr>
              <w:t>č</w:t>
            </w:r>
            <w:r w:rsidRPr="0035027D">
              <w:rPr>
                <w:sz w:val="20"/>
              </w:rPr>
              <w:t>nom scenári PRIMES 2007 o hodnotu kumulovaných úspor vypo</w:t>
            </w:r>
            <w:r w:rsidRPr="0035027D">
              <w:rPr>
                <w:rFonts w:cs="Times New Roman"/>
                <w:sz w:val="20"/>
              </w:rPr>
              <w:t>č</w:t>
            </w:r>
            <w:r w:rsidRPr="0035027D">
              <w:rPr>
                <w:sz w:val="20"/>
              </w:rPr>
              <w:t>ítanú pod</w:t>
            </w:r>
            <w:r w:rsidRPr="0035027D">
              <w:rPr>
                <w:rFonts w:cs="Times New Roman"/>
                <w:sz w:val="20"/>
              </w:rPr>
              <w:t>ľ</w:t>
            </w:r>
            <w:r w:rsidRPr="0035027D">
              <w:rPr>
                <w:sz w:val="20"/>
              </w:rPr>
              <w:t xml:space="preserve">a </w:t>
            </w:r>
            <w:r w:rsidRPr="0035027D">
              <w:rPr>
                <w:rFonts w:cs="Times New Roman"/>
                <w:sz w:val="20"/>
              </w:rPr>
              <w:t>č</w:t>
            </w:r>
            <w:r w:rsidRPr="0035027D">
              <w:rPr>
                <w:sz w:val="20"/>
              </w:rPr>
              <w:t xml:space="preserve">l. 7 smernice. </w:t>
            </w:r>
            <w:r w:rsidRPr="0035027D">
              <w:rPr>
                <w:b/>
                <w:sz w:val="20"/>
              </w:rPr>
              <w:t xml:space="preserve">Zníženie konečnej spotreby energie voči referenčnému scenáru PRIMES 2007 je na úrovni 23 % (3,12 </w:t>
            </w:r>
            <w:proofErr w:type="spellStart"/>
            <w:r w:rsidRPr="0035027D">
              <w:rPr>
                <w:b/>
                <w:sz w:val="20"/>
              </w:rPr>
              <w:t>Mtoe</w:t>
            </w:r>
            <w:proofErr w:type="spellEnd"/>
            <w:r w:rsidRPr="0035027D">
              <w:rPr>
                <w:b/>
                <w:sz w:val="20"/>
              </w:rPr>
              <w:t xml:space="preserve">). </w:t>
            </w:r>
            <w:r w:rsidRPr="0035027D">
              <w:rPr>
                <w:sz w:val="20"/>
              </w:rPr>
              <w:t>Absolútna hodnota primárnej spotreby energie sa vypo</w:t>
            </w:r>
            <w:r w:rsidRPr="0035027D">
              <w:rPr>
                <w:rFonts w:cs="Times New Roman"/>
                <w:sz w:val="20"/>
              </w:rPr>
              <w:t>č</w:t>
            </w:r>
            <w:r w:rsidRPr="0035027D">
              <w:rPr>
                <w:sz w:val="20"/>
              </w:rPr>
              <w:t>íta cez pomer primárnej a kone</w:t>
            </w:r>
            <w:r w:rsidRPr="0035027D">
              <w:rPr>
                <w:rFonts w:cs="Times New Roman"/>
                <w:sz w:val="20"/>
              </w:rPr>
              <w:t>č</w:t>
            </w:r>
            <w:r w:rsidRPr="0035027D">
              <w:rPr>
                <w:sz w:val="20"/>
              </w:rPr>
              <w:t>nej spotreby energie v roku 2007 (65,22 %) a vypo</w:t>
            </w:r>
            <w:r w:rsidRPr="0035027D">
              <w:rPr>
                <w:rFonts w:cs="Times New Roman"/>
                <w:sz w:val="20"/>
              </w:rPr>
              <w:t>č</w:t>
            </w:r>
            <w:r w:rsidRPr="0035027D">
              <w:rPr>
                <w:sz w:val="20"/>
              </w:rPr>
              <w:t>ítané zní</w:t>
            </w:r>
            <w:r w:rsidRPr="0035027D">
              <w:rPr>
                <w:rFonts w:cs="Times New Roman"/>
                <w:sz w:val="20"/>
              </w:rPr>
              <w:t>ž</w:t>
            </w:r>
            <w:r w:rsidRPr="0035027D">
              <w:rPr>
                <w:sz w:val="20"/>
              </w:rPr>
              <w:t>enie KES. Výsledkom je zní</w:t>
            </w:r>
            <w:r w:rsidRPr="0035027D">
              <w:rPr>
                <w:rFonts w:cs="Times New Roman"/>
                <w:sz w:val="20"/>
              </w:rPr>
              <w:t>ž</w:t>
            </w:r>
            <w:r w:rsidRPr="0035027D">
              <w:rPr>
                <w:sz w:val="20"/>
              </w:rPr>
              <w:t>enie primárnej energie na hodnotu 650,88 PJ (15,55 </w:t>
            </w:r>
            <w:proofErr w:type="spellStart"/>
            <w:r w:rsidRPr="0035027D">
              <w:rPr>
                <w:sz w:val="20"/>
              </w:rPr>
              <w:t>Mtoe</w:t>
            </w:r>
            <w:proofErr w:type="spellEnd"/>
            <w:r w:rsidRPr="0035027D">
              <w:rPr>
                <w:sz w:val="20"/>
              </w:rPr>
              <w:t xml:space="preserve">). </w:t>
            </w:r>
          </w:p>
          <w:p w:rsidR="007848E4" w:rsidRPr="0035027D" w:rsidRDefault="007848E4" w:rsidP="00F61680">
            <w:pPr>
              <w:spacing w:after="0"/>
              <w:rPr>
                <w:sz w:val="20"/>
              </w:rPr>
            </w:pPr>
          </w:p>
          <w:p w:rsidR="007848E4" w:rsidRPr="0035027D" w:rsidRDefault="007848E4" w:rsidP="00F61680">
            <w:pPr>
              <w:spacing w:after="0"/>
              <w:rPr>
                <w:b/>
                <w:sz w:val="20"/>
              </w:rPr>
            </w:pPr>
            <w:r w:rsidRPr="0035027D">
              <w:rPr>
                <w:sz w:val="20"/>
                <w:u w:val="single"/>
              </w:rPr>
              <w:t>Korekcia EMO:</w:t>
            </w:r>
            <w:r w:rsidRPr="0035027D">
              <w:rPr>
                <w:sz w:val="20"/>
              </w:rPr>
              <w:t xml:space="preserve"> Ovplyvnenie cie</w:t>
            </w:r>
            <w:r w:rsidRPr="0035027D">
              <w:rPr>
                <w:rFonts w:cs="Times New Roman"/>
                <w:sz w:val="20"/>
              </w:rPr>
              <w:t>ľ</w:t>
            </w:r>
            <w:r w:rsidRPr="0035027D">
              <w:rPr>
                <w:sz w:val="20"/>
              </w:rPr>
              <w:t>a v primárnej energii je spojené so spustením EMO3,4 v rokoch 2015-2016 v zvýšení primárnej energie o 60 PJ a odstavením druhého bloku V1 zní</w:t>
            </w:r>
            <w:r w:rsidRPr="0035027D">
              <w:rPr>
                <w:rFonts w:cs="Times New Roman"/>
                <w:sz w:val="20"/>
              </w:rPr>
              <w:t>ž</w:t>
            </w:r>
            <w:r w:rsidRPr="0035027D">
              <w:rPr>
                <w:sz w:val="20"/>
              </w:rPr>
              <w:t>ením o 30 PJ v roku 2008. Preto v sú</w:t>
            </w:r>
            <w:r w:rsidRPr="0035027D">
              <w:rPr>
                <w:rFonts w:cs="Times New Roman"/>
                <w:sz w:val="20"/>
              </w:rPr>
              <w:t>č</w:t>
            </w:r>
            <w:r w:rsidRPr="0035027D">
              <w:rPr>
                <w:sz w:val="20"/>
              </w:rPr>
              <w:t>asnosti je známe ovplyvnenie cie</w:t>
            </w:r>
            <w:r w:rsidRPr="0035027D">
              <w:rPr>
                <w:rFonts w:cs="Times New Roman"/>
                <w:sz w:val="20"/>
              </w:rPr>
              <w:t>ľ</w:t>
            </w:r>
            <w:r w:rsidRPr="0035027D">
              <w:rPr>
                <w:sz w:val="20"/>
              </w:rPr>
              <w:t>a formou zvýšenia absolútnej hodnoty primárnej energie vo výške 30 PJ. Po korekcii EMO je absolútna hodnota cie</w:t>
            </w:r>
            <w:r w:rsidRPr="0035027D">
              <w:rPr>
                <w:rFonts w:cs="Times New Roman"/>
                <w:sz w:val="20"/>
              </w:rPr>
              <w:t>ľ</w:t>
            </w:r>
            <w:r w:rsidRPr="0035027D">
              <w:rPr>
                <w:sz w:val="20"/>
              </w:rPr>
              <w:t>a 680,62 PJ, t.j. 16,26 </w:t>
            </w:r>
            <w:proofErr w:type="spellStart"/>
            <w:r w:rsidRPr="0035027D">
              <w:rPr>
                <w:sz w:val="20"/>
              </w:rPr>
              <w:t>Mtoe</w:t>
            </w:r>
            <w:proofErr w:type="spellEnd"/>
            <w:r w:rsidRPr="0035027D">
              <w:rPr>
                <w:sz w:val="20"/>
              </w:rPr>
              <w:t xml:space="preserve">. </w:t>
            </w:r>
            <w:r w:rsidRPr="0035027D">
              <w:rPr>
                <w:b/>
                <w:sz w:val="20"/>
              </w:rPr>
              <w:t>Zníženie cieľa po korekcii je 4,07 </w:t>
            </w:r>
            <w:proofErr w:type="spellStart"/>
            <w:r w:rsidRPr="0035027D">
              <w:rPr>
                <w:b/>
                <w:sz w:val="20"/>
              </w:rPr>
              <w:t>Mtoe</w:t>
            </w:r>
            <w:proofErr w:type="spellEnd"/>
            <w:r w:rsidRPr="0035027D">
              <w:rPr>
                <w:b/>
                <w:sz w:val="20"/>
              </w:rPr>
              <w:t>, čo predstavuje 20 % z primárnej energie uvedenej v referenčnom scenári PRIMES 2007.</w:t>
            </w:r>
          </w:p>
          <w:p w:rsidR="007848E4" w:rsidRPr="0035027D" w:rsidRDefault="007848E4" w:rsidP="00F61680">
            <w:pPr>
              <w:spacing w:after="0"/>
              <w:rPr>
                <w:sz w:val="20"/>
              </w:rPr>
            </w:pPr>
            <w:r w:rsidRPr="0035027D">
              <w:rPr>
                <w:sz w:val="20"/>
                <w:u w:val="single"/>
              </w:rPr>
              <w:t>Korekcia HDP</w:t>
            </w:r>
            <w:r w:rsidRPr="0035027D">
              <w:rPr>
                <w:b/>
                <w:sz w:val="20"/>
              </w:rPr>
              <w:t>:</w:t>
            </w:r>
            <w:r w:rsidRPr="0035027D">
              <w:rPr>
                <w:sz w:val="20"/>
              </w:rPr>
              <w:t xml:space="preserve"> Pri predpokladanom medziro</w:t>
            </w:r>
            <w:r w:rsidRPr="0035027D">
              <w:rPr>
                <w:rFonts w:cs="Times New Roman"/>
                <w:sz w:val="20"/>
              </w:rPr>
              <w:t>č</w:t>
            </w:r>
            <w:r w:rsidRPr="0035027D">
              <w:rPr>
                <w:sz w:val="20"/>
              </w:rPr>
              <w:t>nom raste HDP pod</w:t>
            </w:r>
            <w:r w:rsidRPr="0035027D">
              <w:rPr>
                <w:rFonts w:cs="Times New Roman"/>
                <w:sz w:val="20"/>
              </w:rPr>
              <w:t>ľ</w:t>
            </w:r>
            <w:r w:rsidRPr="0035027D">
              <w:rPr>
                <w:sz w:val="20"/>
              </w:rPr>
              <w:t>a MF SR sa bude upravova</w:t>
            </w:r>
            <w:r w:rsidRPr="0035027D">
              <w:rPr>
                <w:rFonts w:cs="Times New Roman"/>
                <w:sz w:val="20"/>
              </w:rPr>
              <w:t>ť</w:t>
            </w:r>
            <w:r w:rsidRPr="0035027D">
              <w:rPr>
                <w:sz w:val="20"/>
              </w:rPr>
              <w:t xml:space="preserve"> aj krivka kone</w:t>
            </w:r>
            <w:r w:rsidRPr="0035027D">
              <w:rPr>
                <w:rFonts w:cs="Times New Roman"/>
                <w:sz w:val="20"/>
              </w:rPr>
              <w:t>č</w:t>
            </w:r>
            <w:r w:rsidRPr="0035027D">
              <w:rPr>
                <w:sz w:val="20"/>
              </w:rPr>
              <w:t>nej spotreby energie. Absolútna hodnota spotreby v priemysle sa bude meni</w:t>
            </w:r>
            <w:r w:rsidRPr="0035027D">
              <w:rPr>
                <w:rFonts w:cs="Times New Roman"/>
                <w:sz w:val="20"/>
              </w:rPr>
              <w:t>ť</w:t>
            </w:r>
            <w:r w:rsidRPr="0035027D">
              <w:rPr>
                <w:sz w:val="20"/>
              </w:rPr>
              <w:t xml:space="preserve"> úmerne s HDP. Pri predpokladanom 3 % HDP v druhej polovici dekády sa predpokladá aj nárast kone</w:t>
            </w:r>
            <w:r w:rsidRPr="0035027D">
              <w:rPr>
                <w:rFonts w:cs="Times New Roman"/>
                <w:sz w:val="20"/>
              </w:rPr>
              <w:t>č</w:t>
            </w:r>
            <w:r w:rsidRPr="0035027D">
              <w:rPr>
                <w:sz w:val="20"/>
              </w:rPr>
              <w:t>nej spotreby energie.</w:t>
            </w:r>
          </w:p>
          <w:p w:rsidR="007848E4" w:rsidRPr="0035027D" w:rsidRDefault="007848E4" w:rsidP="00F61680">
            <w:pPr>
              <w:spacing w:after="0"/>
              <w:rPr>
                <w:sz w:val="20"/>
              </w:rPr>
            </w:pPr>
          </w:p>
          <w:p w:rsidR="007848E4" w:rsidRPr="0035027D" w:rsidRDefault="007848E4" w:rsidP="00F61680">
            <w:pPr>
              <w:spacing w:after="0"/>
              <w:rPr>
                <w:b/>
                <w:i/>
                <w:sz w:val="20"/>
              </w:rPr>
            </w:pPr>
            <w:r w:rsidRPr="0035027D">
              <w:rPr>
                <w:b/>
                <w:i/>
                <w:sz w:val="20"/>
              </w:rPr>
              <w:t>Prehľad vývoja energetickej spotreby v SR</w:t>
            </w:r>
          </w:p>
          <w:p w:rsidR="007848E4" w:rsidRPr="0035027D" w:rsidRDefault="007848E4" w:rsidP="00F61680">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6"/>
              <w:gridCol w:w="2764"/>
            </w:tblGrid>
            <w:tr w:rsidR="007848E4" w:rsidRPr="0035027D" w:rsidTr="00F61680">
              <w:tc>
                <w:tcPr>
                  <w:tcW w:w="9212" w:type="dxa"/>
                  <w:gridSpan w:val="2"/>
                  <w:tcBorders>
                    <w:top w:val="single" w:sz="4" w:space="0" w:color="auto"/>
                    <w:left w:val="single" w:sz="4" w:space="0" w:color="auto"/>
                    <w:bottom w:val="single" w:sz="4" w:space="0" w:color="auto"/>
                    <w:right w:val="single" w:sz="4" w:space="0" w:color="auto"/>
                  </w:tcBorders>
                  <w:shd w:val="clear" w:color="auto" w:fill="0C0C0C"/>
                </w:tcPr>
                <w:p w:rsidR="007848E4" w:rsidRPr="0035027D" w:rsidRDefault="007848E4" w:rsidP="00F61680">
                  <w:pPr>
                    <w:widowControl w:val="0"/>
                    <w:spacing w:before="20" w:after="20"/>
                    <w:rPr>
                      <w:b/>
                      <w:bCs/>
                      <w:color w:val="FFFFFF"/>
                      <w:sz w:val="18"/>
                      <w:szCs w:val="18"/>
                    </w:rPr>
                  </w:pPr>
                  <w:r w:rsidRPr="0035027D">
                    <w:rPr>
                      <w:b/>
                      <w:bCs/>
                      <w:color w:val="FFFFFF"/>
                      <w:sz w:val="18"/>
                      <w:szCs w:val="18"/>
                    </w:rPr>
                    <w:t xml:space="preserve">Základné údaje k energetickej efektívnosti za rok 2011 </w:t>
                  </w:r>
                </w:p>
              </w:tc>
            </w:tr>
            <w:tr w:rsidR="007848E4" w:rsidRPr="0035027D" w:rsidTr="00F61680">
              <w:tc>
                <w:tcPr>
                  <w:tcW w:w="6408" w:type="dxa"/>
                  <w:tcBorders>
                    <w:top w:val="single" w:sz="4" w:space="0" w:color="auto"/>
                    <w:left w:val="single" w:sz="4" w:space="0" w:color="auto"/>
                    <w:bottom w:val="single" w:sz="4" w:space="0" w:color="auto"/>
                    <w:right w:val="single" w:sz="4" w:space="0" w:color="auto"/>
                  </w:tcBorders>
                  <w:shd w:val="clear" w:color="auto" w:fill="A6A6A6"/>
                  <w:vAlign w:val="center"/>
                </w:tcPr>
                <w:p w:rsidR="007848E4" w:rsidRPr="0035027D" w:rsidRDefault="007848E4" w:rsidP="00F61680">
                  <w:pPr>
                    <w:widowControl w:val="0"/>
                    <w:spacing w:before="20" w:after="20"/>
                    <w:rPr>
                      <w:b/>
                      <w:bCs/>
                      <w:sz w:val="18"/>
                      <w:szCs w:val="18"/>
                    </w:rPr>
                  </w:pPr>
                  <w:r w:rsidRPr="0035027D">
                    <w:rPr>
                      <w:b/>
                      <w:bCs/>
                      <w:sz w:val="18"/>
                      <w:szCs w:val="18"/>
                    </w:rPr>
                    <w:t>Údaje</w:t>
                  </w:r>
                </w:p>
              </w:tc>
              <w:tc>
                <w:tcPr>
                  <w:tcW w:w="2804" w:type="dxa"/>
                  <w:tcBorders>
                    <w:top w:val="single" w:sz="4" w:space="0" w:color="auto"/>
                    <w:left w:val="single" w:sz="4" w:space="0" w:color="auto"/>
                    <w:bottom w:val="single" w:sz="4" w:space="0" w:color="auto"/>
                    <w:right w:val="single" w:sz="4" w:space="0" w:color="auto"/>
                  </w:tcBorders>
                  <w:shd w:val="clear" w:color="auto" w:fill="A6A6A6"/>
                  <w:vAlign w:val="center"/>
                </w:tcPr>
                <w:p w:rsidR="007848E4" w:rsidRPr="0035027D" w:rsidRDefault="007848E4" w:rsidP="00F61680">
                  <w:pPr>
                    <w:widowControl w:val="0"/>
                    <w:spacing w:before="20" w:after="20"/>
                    <w:rPr>
                      <w:b/>
                      <w:bCs/>
                      <w:sz w:val="18"/>
                      <w:szCs w:val="18"/>
                    </w:rPr>
                  </w:pPr>
                  <w:r w:rsidRPr="0035027D">
                    <w:rPr>
                      <w:b/>
                      <w:bCs/>
                      <w:sz w:val="18"/>
                      <w:szCs w:val="18"/>
                    </w:rPr>
                    <w:t>Rok 2011</w:t>
                  </w:r>
                </w:p>
              </w:tc>
            </w:tr>
            <w:tr w:rsidR="007848E4" w:rsidRPr="0035027D" w:rsidTr="00F61680">
              <w:tc>
                <w:tcPr>
                  <w:tcW w:w="6408" w:type="dxa"/>
                  <w:tcBorders>
                    <w:top w:val="single" w:sz="4" w:space="0" w:color="auto"/>
                    <w:left w:val="single" w:sz="4" w:space="0" w:color="auto"/>
                    <w:bottom w:val="single" w:sz="4" w:space="0" w:color="auto"/>
                    <w:right w:val="single" w:sz="4" w:space="0" w:color="auto"/>
                  </w:tcBorders>
                  <w:vAlign w:val="center"/>
                </w:tcPr>
                <w:p w:rsidR="007848E4" w:rsidRPr="0035027D" w:rsidRDefault="007848E4" w:rsidP="00F61680">
                  <w:pPr>
                    <w:widowControl w:val="0"/>
                    <w:spacing w:before="20" w:after="20"/>
                    <w:rPr>
                      <w:sz w:val="18"/>
                      <w:szCs w:val="18"/>
                    </w:rPr>
                  </w:pPr>
                  <w:r w:rsidRPr="0035027D">
                    <w:rPr>
                      <w:sz w:val="18"/>
                      <w:szCs w:val="18"/>
                    </w:rPr>
                    <w:t>primárna energetická spotreba (TJ)</w:t>
                  </w:r>
                </w:p>
              </w:tc>
              <w:tc>
                <w:tcPr>
                  <w:tcW w:w="2804" w:type="dxa"/>
                  <w:tcBorders>
                    <w:top w:val="single" w:sz="4" w:space="0" w:color="auto"/>
                    <w:left w:val="single" w:sz="4" w:space="0" w:color="auto"/>
                    <w:bottom w:val="single" w:sz="4" w:space="0" w:color="auto"/>
                    <w:right w:val="single" w:sz="4" w:space="0" w:color="auto"/>
                  </w:tcBorders>
                  <w:vAlign w:val="center"/>
                </w:tcPr>
                <w:p w:rsidR="007848E4" w:rsidRPr="0035027D" w:rsidRDefault="007848E4" w:rsidP="00F61680">
                  <w:pPr>
                    <w:widowControl w:val="0"/>
                    <w:spacing w:before="20" w:after="20"/>
                    <w:rPr>
                      <w:sz w:val="18"/>
                      <w:szCs w:val="18"/>
                    </w:rPr>
                  </w:pPr>
                  <w:r w:rsidRPr="0035027D">
                    <w:rPr>
                      <w:sz w:val="18"/>
                      <w:szCs w:val="18"/>
                    </w:rPr>
                    <w:t>664 367</w:t>
                  </w:r>
                </w:p>
              </w:tc>
            </w:tr>
            <w:tr w:rsidR="007848E4" w:rsidRPr="0035027D" w:rsidTr="00F61680">
              <w:tc>
                <w:tcPr>
                  <w:tcW w:w="6408" w:type="dxa"/>
                  <w:tcBorders>
                    <w:top w:val="single" w:sz="4" w:space="0" w:color="auto"/>
                    <w:left w:val="single" w:sz="4" w:space="0" w:color="auto"/>
                    <w:bottom w:val="single" w:sz="4" w:space="0" w:color="auto"/>
                    <w:right w:val="single" w:sz="4" w:space="0" w:color="auto"/>
                  </w:tcBorders>
                  <w:vAlign w:val="center"/>
                </w:tcPr>
                <w:p w:rsidR="007848E4" w:rsidRPr="0035027D" w:rsidRDefault="007848E4" w:rsidP="00F61680">
                  <w:pPr>
                    <w:widowControl w:val="0"/>
                    <w:spacing w:before="20" w:after="20"/>
                    <w:rPr>
                      <w:sz w:val="18"/>
                      <w:szCs w:val="18"/>
                    </w:rPr>
                  </w:pPr>
                  <w:r w:rsidRPr="0035027D">
                    <w:rPr>
                      <w:sz w:val="18"/>
                      <w:szCs w:val="18"/>
                    </w:rPr>
                    <w:t>kone</w:t>
                  </w:r>
                  <w:r w:rsidRPr="0035027D">
                    <w:rPr>
                      <w:rFonts w:cs="Times New Roman"/>
                      <w:sz w:val="18"/>
                      <w:szCs w:val="18"/>
                    </w:rPr>
                    <w:t>č</w:t>
                  </w:r>
                  <w:r w:rsidRPr="0035027D">
                    <w:rPr>
                      <w:sz w:val="18"/>
                      <w:szCs w:val="18"/>
                    </w:rPr>
                    <w:t>ná energetická spotreba (TJ)</w:t>
                  </w:r>
                </w:p>
              </w:tc>
              <w:tc>
                <w:tcPr>
                  <w:tcW w:w="2804" w:type="dxa"/>
                  <w:tcBorders>
                    <w:top w:val="single" w:sz="4" w:space="0" w:color="auto"/>
                    <w:left w:val="single" w:sz="4" w:space="0" w:color="auto"/>
                    <w:bottom w:val="single" w:sz="4" w:space="0" w:color="auto"/>
                    <w:right w:val="single" w:sz="4" w:space="0" w:color="auto"/>
                  </w:tcBorders>
                  <w:vAlign w:val="center"/>
                </w:tcPr>
                <w:p w:rsidR="007848E4" w:rsidRPr="0035027D" w:rsidRDefault="007848E4" w:rsidP="00F61680">
                  <w:pPr>
                    <w:widowControl w:val="0"/>
                    <w:spacing w:before="20" w:after="20"/>
                    <w:rPr>
                      <w:sz w:val="18"/>
                      <w:szCs w:val="18"/>
                    </w:rPr>
                  </w:pPr>
                  <w:r w:rsidRPr="0035027D">
                    <w:rPr>
                      <w:sz w:val="18"/>
                      <w:szCs w:val="18"/>
                    </w:rPr>
                    <w:t>390 630</w:t>
                  </w:r>
                </w:p>
              </w:tc>
            </w:tr>
            <w:tr w:rsidR="007848E4" w:rsidRPr="0035027D" w:rsidTr="00F61680">
              <w:tc>
                <w:tcPr>
                  <w:tcW w:w="6408" w:type="dxa"/>
                  <w:tcBorders>
                    <w:top w:val="single" w:sz="4" w:space="0" w:color="auto"/>
                    <w:left w:val="single" w:sz="4" w:space="0" w:color="auto"/>
                    <w:bottom w:val="single" w:sz="4" w:space="0" w:color="auto"/>
                    <w:right w:val="single" w:sz="4" w:space="0" w:color="auto"/>
                  </w:tcBorders>
                  <w:vAlign w:val="center"/>
                </w:tcPr>
                <w:p w:rsidR="007848E4" w:rsidRPr="0035027D" w:rsidRDefault="007848E4" w:rsidP="00F61680">
                  <w:pPr>
                    <w:widowControl w:val="0"/>
                    <w:spacing w:before="20" w:after="20"/>
                    <w:rPr>
                      <w:sz w:val="18"/>
                      <w:szCs w:val="18"/>
                    </w:rPr>
                  </w:pPr>
                  <w:r w:rsidRPr="0035027D">
                    <w:rPr>
                      <w:sz w:val="18"/>
                      <w:szCs w:val="18"/>
                    </w:rPr>
                    <w:t>kone</w:t>
                  </w:r>
                  <w:r w:rsidRPr="0035027D">
                    <w:rPr>
                      <w:rFonts w:cs="Times New Roman"/>
                      <w:sz w:val="18"/>
                      <w:szCs w:val="18"/>
                    </w:rPr>
                    <w:t>č</w:t>
                  </w:r>
                  <w:r w:rsidRPr="0035027D">
                    <w:rPr>
                      <w:sz w:val="18"/>
                      <w:szCs w:val="18"/>
                    </w:rPr>
                    <w:t>ná energetická spotreba – priemysel (TJ)</w:t>
                  </w:r>
                </w:p>
              </w:tc>
              <w:tc>
                <w:tcPr>
                  <w:tcW w:w="2804" w:type="dxa"/>
                  <w:tcBorders>
                    <w:top w:val="single" w:sz="4" w:space="0" w:color="auto"/>
                    <w:left w:val="single" w:sz="4" w:space="0" w:color="auto"/>
                    <w:bottom w:val="single" w:sz="4" w:space="0" w:color="auto"/>
                    <w:right w:val="single" w:sz="4" w:space="0" w:color="auto"/>
                  </w:tcBorders>
                  <w:vAlign w:val="center"/>
                </w:tcPr>
                <w:p w:rsidR="007848E4" w:rsidRPr="0035027D" w:rsidRDefault="007848E4" w:rsidP="00F61680">
                  <w:pPr>
                    <w:widowControl w:val="0"/>
                    <w:spacing w:before="20" w:after="20"/>
                    <w:rPr>
                      <w:sz w:val="18"/>
                      <w:szCs w:val="18"/>
                    </w:rPr>
                  </w:pPr>
                  <w:r w:rsidRPr="0035027D">
                    <w:rPr>
                      <w:sz w:val="18"/>
                      <w:szCs w:val="18"/>
                    </w:rPr>
                    <w:t>135 575</w:t>
                  </w:r>
                </w:p>
              </w:tc>
            </w:tr>
            <w:tr w:rsidR="007848E4" w:rsidRPr="0035027D" w:rsidTr="00F61680">
              <w:tc>
                <w:tcPr>
                  <w:tcW w:w="6408" w:type="dxa"/>
                  <w:tcBorders>
                    <w:top w:val="single" w:sz="4" w:space="0" w:color="auto"/>
                    <w:left w:val="single" w:sz="4" w:space="0" w:color="auto"/>
                    <w:bottom w:val="single" w:sz="4" w:space="0" w:color="auto"/>
                    <w:right w:val="single" w:sz="4" w:space="0" w:color="auto"/>
                  </w:tcBorders>
                  <w:vAlign w:val="center"/>
                </w:tcPr>
                <w:p w:rsidR="007848E4" w:rsidRPr="0035027D" w:rsidRDefault="007848E4" w:rsidP="00F61680">
                  <w:pPr>
                    <w:widowControl w:val="0"/>
                    <w:spacing w:before="20" w:after="20"/>
                    <w:rPr>
                      <w:sz w:val="18"/>
                      <w:szCs w:val="18"/>
                    </w:rPr>
                  </w:pPr>
                  <w:r w:rsidRPr="0035027D">
                    <w:rPr>
                      <w:sz w:val="18"/>
                      <w:szCs w:val="18"/>
                    </w:rPr>
                    <w:t>kone</w:t>
                  </w:r>
                  <w:r w:rsidRPr="0035027D">
                    <w:rPr>
                      <w:rFonts w:cs="Times New Roman"/>
                      <w:sz w:val="18"/>
                      <w:szCs w:val="18"/>
                    </w:rPr>
                    <w:t>č</w:t>
                  </w:r>
                  <w:r w:rsidRPr="0035027D">
                    <w:rPr>
                      <w:sz w:val="18"/>
                      <w:szCs w:val="18"/>
                    </w:rPr>
                    <w:t xml:space="preserve">ná energetická spotreba – doprava (TJ) </w:t>
                  </w:r>
                </w:p>
              </w:tc>
              <w:tc>
                <w:tcPr>
                  <w:tcW w:w="2804" w:type="dxa"/>
                  <w:tcBorders>
                    <w:top w:val="single" w:sz="4" w:space="0" w:color="auto"/>
                    <w:left w:val="single" w:sz="4" w:space="0" w:color="auto"/>
                    <w:bottom w:val="single" w:sz="4" w:space="0" w:color="auto"/>
                    <w:right w:val="single" w:sz="4" w:space="0" w:color="auto"/>
                  </w:tcBorders>
                  <w:vAlign w:val="center"/>
                </w:tcPr>
                <w:p w:rsidR="007848E4" w:rsidRPr="0035027D" w:rsidRDefault="007848E4" w:rsidP="00F61680">
                  <w:pPr>
                    <w:widowControl w:val="0"/>
                    <w:spacing w:before="20" w:after="20"/>
                    <w:rPr>
                      <w:sz w:val="18"/>
                      <w:szCs w:val="18"/>
                    </w:rPr>
                  </w:pPr>
                  <w:r w:rsidRPr="0035027D">
                    <w:rPr>
                      <w:sz w:val="18"/>
                      <w:szCs w:val="18"/>
                    </w:rPr>
                    <w:t>92 851</w:t>
                  </w:r>
                </w:p>
              </w:tc>
            </w:tr>
            <w:tr w:rsidR="007848E4" w:rsidRPr="0035027D" w:rsidTr="00F61680">
              <w:tc>
                <w:tcPr>
                  <w:tcW w:w="6408" w:type="dxa"/>
                  <w:tcBorders>
                    <w:top w:val="single" w:sz="4" w:space="0" w:color="auto"/>
                    <w:left w:val="single" w:sz="4" w:space="0" w:color="auto"/>
                    <w:bottom w:val="single" w:sz="4" w:space="0" w:color="auto"/>
                    <w:right w:val="single" w:sz="4" w:space="0" w:color="auto"/>
                  </w:tcBorders>
                  <w:vAlign w:val="center"/>
                </w:tcPr>
                <w:p w:rsidR="007848E4" w:rsidRPr="0035027D" w:rsidRDefault="007848E4" w:rsidP="00F61680">
                  <w:pPr>
                    <w:widowControl w:val="0"/>
                    <w:spacing w:before="20" w:after="20"/>
                    <w:rPr>
                      <w:sz w:val="18"/>
                      <w:szCs w:val="18"/>
                    </w:rPr>
                  </w:pPr>
                  <w:r w:rsidRPr="0035027D">
                    <w:rPr>
                      <w:sz w:val="18"/>
                      <w:szCs w:val="18"/>
                    </w:rPr>
                    <w:t>kone</w:t>
                  </w:r>
                  <w:r w:rsidRPr="0035027D">
                    <w:rPr>
                      <w:rFonts w:cs="Times New Roman"/>
                      <w:sz w:val="18"/>
                      <w:szCs w:val="18"/>
                    </w:rPr>
                    <w:t>č</w:t>
                  </w:r>
                  <w:r w:rsidRPr="0035027D">
                    <w:rPr>
                      <w:sz w:val="18"/>
                      <w:szCs w:val="18"/>
                    </w:rPr>
                    <w:t xml:space="preserve">ná energetická spotreba – domácnosti (TJ) </w:t>
                  </w:r>
                </w:p>
              </w:tc>
              <w:tc>
                <w:tcPr>
                  <w:tcW w:w="2804" w:type="dxa"/>
                  <w:tcBorders>
                    <w:top w:val="single" w:sz="4" w:space="0" w:color="auto"/>
                    <w:left w:val="single" w:sz="4" w:space="0" w:color="auto"/>
                    <w:bottom w:val="single" w:sz="4" w:space="0" w:color="auto"/>
                    <w:right w:val="single" w:sz="4" w:space="0" w:color="auto"/>
                  </w:tcBorders>
                  <w:vAlign w:val="center"/>
                </w:tcPr>
                <w:p w:rsidR="007848E4" w:rsidRPr="0035027D" w:rsidRDefault="007848E4" w:rsidP="00F61680">
                  <w:pPr>
                    <w:widowControl w:val="0"/>
                    <w:spacing w:before="20" w:after="20"/>
                    <w:rPr>
                      <w:sz w:val="18"/>
                      <w:szCs w:val="18"/>
                    </w:rPr>
                  </w:pPr>
                  <w:r w:rsidRPr="0035027D">
                    <w:rPr>
                      <w:sz w:val="18"/>
                      <w:szCs w:val="18"/>
                    </w:rPr>
                    <w:t>92 918</w:t>
                  </w:r>
                </w:p>
              </w:tc>
            </w:tr>
            <w:tr w:rsidR="007848E4" w:rsidRPr="0035027D" w:rsidTr="00F61680">
              <w:tc>
                <w:tcPr>
                  <w:tcW w:w="6408" w:type="dxa"/>
                  <w:tcBorders>
                    <w:top w:val="single" w:sz="4" w:space="0" w:color="auto"/>
                    <w:left w:val="single" w:sz="4" w:space="0" w:color="auto"/>
                    <w:bottom w:val="single" w:sz="4" w:space="0" w:color="auto"/>
                    <w:right w:val="single" w:sz="4" w:space="0" w:color="auto"/>
                  </w:tcBorders>
                  <w:vAlign w:val="center"/>
                </w:tcPr>
                <w:p w:rsidR="007848E4" w:rsidRPr="0035027D" w:rsidRDefault="007848E4" w:rsidP="00F61680">
                  <w:pPr>
                    <w:widowControl w:val="0"/>
                    <w:spacing w:before="20" w:after="20"/>
                    <w:rPr>
                      <w:sz w:val="18"/>
                      <w:szCs w:val="18"/>
                    </w:rPr>
                  </w:pPr>
                  <w:r w:rsidRPr="0035027D">
                    <w:rPr>
                      <w:sz w:val="18"/>
                      <w:szCs w:val="18"/>
                    </w:rPr>
                    <w:t>kone</w:t>
                  </w:r>
                  <w:r w:rsidRPr="0035027D">
                    <w:rPr>
                      <w:rFonts w:cs="Times New Roman"/>
                      <w:sz w:val="18"/>
                      <w:szCs w:val="18"/>
                    </w:rPr>
                    <w:t>č</w:t>
                  </w:r>
                  <w:r w:rsidRPr="0035027D">
                    <w:rPr>
                      <w:sz w:val="18"/>
                      <w:szCs w:val="18"/>
                    </w:rPr>
                    <w:t>ná energetická spotreba – slu</w:t>
                  </w:r>
                  <w:r w:rsidRPr="0035027D">
                    <w:rPr>
                      <w:rFonts w:cs="Times New Roman"/>
                      <w:sz w:val="18"/>
                      <w:szCs w:val="18"/>
                    </w:rPr>
                    <w:t>ž</w:t>
                  </w:r>
                  <w:r w:rsidRPr="0035027D">
                    <w:rPr>
                      <w:sz w:val="18"/>
                      <w:szCs w:val="18"/>
                    </w:rPr>
                    <w:t>by (TJ)</w:t>
                  </w:r>
                </w:p>
              </w:tc>
              <w:tc>
                <w:tcPr>
                  <w:tcW w:w="2804" w:type="dxa"/>
                  <w:tcBorders>
                    <w:top w:val="single" w:sz="4" w:space="0" w:color="auto"/>
                    <w:left w:val="single" w:sz="4" w:space="0" w:color="auto"/>
                    <w:bottom w:val="single" w:sz="4" w:space="0" w:color="auto"/>
                    <w:right w:val="single" w:sz="4" w:space="0" w:color="auto"/>
                  </w:tcBorders>
                  <w:vAlign w:val="center"/>
                </w:tcPr>
                <w:p w:rsidR="007848E4" w:rsidRPr="0035027D" w:rsidRDefault="007848E4" w:rsidP="00F61680">
                  <w:pPr>
                    <w:widowControl w:val="0"/>
                    <w:spacing w:before="20" w:after="20"/>
                    <w:rPr>
                      <w:sz w:val="18"/>
                      <w:szCs w:val="18"/>
                    </w:rPr>
                  </w:pPr>
                  <w:r w:rsidRPr="0035027D">
                    <w:rPr>
                      <w:sz w:val="18"/>
                      <w:szCs w:val="18"/>
                    </w:rPr>
                    <w:t>62 741</w:t>
                  </w:r>
                </w:p>
              </w:tc>
            </w:tr>
            <w:tr w:rsidR="007848E4" w:rsidRPr="0035027D" w:rsidTr="00F61680">
              <w:tc>
                <w:tcPr>
                  <w:tcW w:w="6408" w:type="dxa"/>
                  <w:tcBorders>
                    <w:top w:val="single" w:sz="4" w:space="0" w:color="auto"/>
                    <w:left w:val="single" w:sz="4" w:space="0" w:color="auto"/>
                    <w:bottom w:val="single" w:sz="4" w:space="0" w:color="auto"/>
                    <w:right w:val="single" w:sz="4" w:space="0" w:color="auto"/>
                  </w:tcBorders>
                  <w:vAlign w:val="center"/>
                </w:tcPr>
                <w:p w:rsidR="007848E4" w:rsidRPr="0035027D" w:rsidRDefault="007848E4" w:rsidP="00F61680">
                  <w:pPr>
                    <w:widowControl w:val="0"/>
                    <w:spacing w:before="20" w:after="20"/>
                    <w:rPr>
                      <w:sz w:val="18"/>
                      <w:szCs w:val="18"/>
                    </w:rPr>
                  </w:pPr>
                  <w:r w:rsidRPr="0035027D">
                    <w:rPr>
                      <w:sz w:val="18"/>
                      <w:szCs w:val="18"/>
                    </w:rPr>
                    <w:t>hrubá pridaná hodnota – priemysel - mil. EUR be</w:t>
                  </w:r>
                  <w:r w:rsidRPr="0035027D">
                    <w:rPr>
                      <w:rFonts w:cs="Times New Roman"/>
                      <w:sz w:val="18"/>
                      <w:szCs w:val="18"/>
                    </w:rPr>
                    <w:t>ž</w:t>
                  </w:r>
                  <w:r w:rsidRPr="0035027D">
                    <w:rPr>
                      <w:sz w:val="18"/>
                      <w:szCs w:val="18"/>
                    </w:rPr>
                    <w:t>ných cien</w:t>
                  </w:r>
                </w:p>
              </w:tc>
              <w:tc>
                <w:tcPr>
                  <w:tcW w:w="2804" w:type="dxa"/>
                  <w:tcBorders>
                    <w:top w:val="single" w:sz="4" w:space="0" w:color="auto"/>
                    <w:left w:val="single" w:sz="4" w:space="0" w:color="auto"/>
                    <w:bottom w:val="single" w:sz="4" w:space="0" w:color="auto"/>
                    <w:right w:val="single" w:sz="4" w:space="0" w:color="auto"/>
                  </w:tcBorders>
                  <w:vAlign w:val="center"/>
                </w:tcPr>
                <w:p w:rsidR="007848E4" w:rsidRPr="0035027D" w:rsidRDefault="007848E4" w:rsidP="00F61680">
                  <w:pPr>
                    <w:widowControl w:val="0"/>
                    <w:spacing w:before="20" w:after="20"/>
                    <w:rPr>
                      <w:sz w:val="18"/>
                      <w:szCs w:val="18"/>
                    </w:rPr>
                  </w:pPr>
                  <w:r w:rsidRPr="0035027D">
                    <w:rPr>
                      <w:sz w:val="18"/>
                      <w:szCs w:val="18"/>
                    </w:rPr>
                    <w:t>16830,11</w:t>
                  </w:r>
                </w:p>
              </w:tc>
            </w:tr>
            <w:tr w:rsidR="007848E4" w:rsidRPr="0035027D" w:rsidTr="00F61680">
              <w:tc>
                <w:tcPr>
                  <w:tcW w:w="6408" w:type="dxa"/>
                  <w:tcBorders>
                    <w:top w:val="single" w:sz="4" w:space="0" w:color="auto"/>
                    <w:left w:val="single" w:sz="4" w:space="0" w:color="auto"/>
                    <w:bottom w:val="single" w:sz="4" w:space="0" w:color="auto"/>
                    <w:right w:val="single" w:sz="4" w:space="0" w:color="auto"/>
                  </w:tcBorders>
                  <w:vAlign w:val="center"/>
                </w:tcPr>
                <w:p w:rsidR="007848E4" w:rsidRPr="0035027D" w:rsidRDefault="007848E4" w:rsidP="00F61680">
                  <w:pPr>
                    <w:widowControl w:val="0"/>
                    <w:spacing w:before="20" w:after="20"/>
                    <w:rPr>
                      <w:sz w:val="18"/>
                      <w:szCs w:val="18"/>
                    </w:rPr>
                  </w:pPr>
                  <w:r w:rsidRPr="0035027D">
                    <w:rPr>
                      <w:sz w:val="18"/>
                      <w:szCs w:val="18"/>
                    </w:rPr>
                    <w:t>hrubá pridaná hodnota – slu</w:t>
                  </w:r>
                  <w:r w:rsidRPr="0035027D">
                    <w:rPr>
                      <w:rFonts w:cs="Times New Roman"/>
                      <w:sz w:val="18"/>
                      <w:szCs w:val="18"/>
                    </w:rPr>
                    <w:t>ž</w:t>
                  </w:r>
                  <w:r w:rsidRPr="0035027D">
                    <w:rPr>
                      <w:sz w:val="18"/>
                      <w:szCs w:val="18"/>
                    </w:rPr>
                    <w:t>by - mil. EUR be</w:t>
                  </w:r>
                  <w:r w:rsidRPr="0035027D">
                    <w:rPr>
                      <w:rFonts w:cs="Times New Roman"/>
                      <w:sz w:val="18"/>
                      <w:szCs w:val="18"/>
                    </w:rPr>
                    <w:t>ž</w:t>
                  </w:r>
                  <w:r w:rsidRPr="0035027D">
                    <w:rPr>
                      <w:sz w:val="18"/>
                      <w:szCs w:val="18"/>
                    </w:rPr>
                    <w:t>ných cien</w:t>
                  </w:r>
                </w:p>
              </w:tc>
              <w:tc>
                <w:tcPr>
                  <w:tcW w:w="2804" w:type="dxa"/>
                  <w:tcBorders>
                    <w:top w:val="single" w:sz="4" w:space="0" w:color="auto"/>
                    <w:left w:val="single" w:sz="4" w:space="0" w:color="auto"/>
                    <w:bottom w:val="single" w:sz="4" w:space="0" w:color="auto"/>
                    <w:right w:val="single" w:sz="4" w:space="0" w:color="auto"/>
                  </w:tcBorders>
                  <w:vAlign w:val="center"/>
                </w:tcPr>
                <w:p w:rsidR="007848E4" w:rsidRPr="0035027D" w:rsidRDefault="007848E4" w:rsidP="00F61680">
                  <w:pPr>
                    <w:widowControl w:val="0"/>
                    <w:spacing w:before="20" w:after="20"/>
                    <w:rPr>
                      <w:sz w:val="18"/>
                      <w:szCs w:val="18"/>
                    </w:rPr>
                  </w:pPr>
                  <w:r w:rsidRPr="0035027D">
                    <w:rPr>
                      <w:sz w:val="18"/>
                      <w:szCs w:val="18"/>
                    </w:rPr>
                    <w:t>37856,04</w:t>
                  </w:r>
                </w:p>
              </w:tc>
            </w:tr>
            <w:tr w:rsidR="007848E4" w:rsidRPr="0035027D" w:rsidTr="00F61680">
              <w:tc>
                <w:tcPr>
                  <w:tcW w:w="6408" w:type="dxa"/>
                  <w:tcBorders>
                    <w:top w:val="single" w:sz="4" w:space="0" w:color="auto"/>
                    <w:left w:val="single" w:sz="4" w:space="0" w:color="auto"/>
                    <w:bottom w:val="single" w:sz="4" w:space="0" w:color="auto"/>
                    <w:right w:val="single" w:sz="4" w:space="0" w:color="auto"/>
                  </w:tcBorders>
                  <w:vAlign w:val="center"/>
                </w:tcPr>
                <w:p w:rsidR="007848E4" w:rsidRPr="0035027D" w:rsidRDefault="007848E4" w:rsidP="00F61680">
                  <w:pPr>
                    <w:widowControl w:val="0"/>
                    <w:spacing w:before="20" w:after="20"/>
                    <w:rPr>
                      <w:sz w:val="18"/>
                      <w:szCs w:val="18"/>
                    </w:rPr>
                  </w:pPr>
                  <w:r w:rsidRPr="0035027D">
                    <w:rPr>
                      <w:sz w:val="18"/>
                      <w:szCs w:val="18"/>
                    </w:rPr>
                    <w:t>výroba elektriny v tepelných elektrár</w:t>
                  </w:r>
                  <w:r w:rsidRPr="0035027D">
                    <w:rPr>
                      <w:rFonts w:cs="Times New Roman"/>
                      <w:sz w:val="18"/>
                      <w:szCs w:val="18"/>
                    </w:rPr>
                    <w:t>ň</w:t>
                  </w:r>
                  <w:r w:rsidRPr="0035027D">
                    <w:rPr>
                      <w:sz w:val="18"/>
                      <w:szCs w:val="18"/>
                    </w:rPr>
                    <w:t>ach (</w:t>
                  </w:r>
                  <w:proofErr w:type="spellStart"/>
                  <w:r w:rsidRPr="0035027D">
                    <w:rPr>
                      <w:sz w:val="18"/>
                      <w:szCs w:val="18"/>
                    </w:rPr>
                    <w:t>GWh</w:t>
                  </w:r>
                  <w:proofErr w:type="spellEnd"/>
                  <w:r w:rsidRPr="0035027D">
                    <w:rPr>
                      <w:sz w:val="18"/>
                      <w:szCs w:val="18"/>
                    </w:rPr>
                    <w:t>)</w:t>
                  </w:r>
                </w:p>
              </w:tc>
              <w:tc>
                <w:tcPr>
                  <w:tcW w:w="2804" w:type="dxa"/>
                  <w:tcBorders>
                    <w:top w:val="single" w:sz="4" w:space="0" w:color="auto"/>
                    <w:left w:val="single" w:sz="4" w:space="0" w:color="auto"/>
                    <w:bottom w:val="single" w:sz="4" w:space="0" w:color="auto"/>
                    <w:right w:val="single" w:sz="4" w:space="0" w:color="auto"/>
                  </w:tcBorders>
                  <w:vAlign w:val="center"/>
                </w:tcPr>
                <w:p w:rsidR="007848E4" w:rsidRPr="0035027D" w:rsidRDefault="007848E4" w:rsidP="00F61680">
                  <w:pPr>
                    <w:widowControl w:val="0"/>
                    <w:spacing w:before="20" w:after="20"/>
                    <w:rPr>
                      <w:sz w:val="18"/>
                      <w:szCs w:val="18"/>
                    </w:rPr>
                  </w:pPr>
                  <w:r w:rsidRPr="0035027D">
                    <w:rPr>
                      <w:sz w:val="18"/>
                      <w:szCs w:val="18"/>
                    </w:rPr>
                    <w:t>8 619</w:t>
                  </w:r>
                </w:p>
              </w:tc>
            </w:tr>
            <w:tr w:rsidR="007848E4" w:rsidRPr="0035027D" w:rsidTr="00F61680">
              <w:tc>
                <w:tcPr>
                  <w:tcW w:w="6408" w:type="dxa"/>
                  <w:tcBorders>
                    <w:top w:val="single" w:sz="4" w:space="0" w:color="auto"/>
                    <w:left w:val="single" w:sz="4" w:space="0" w:color="auto"/>
                    <w:bottom w:val="single" w:sz="4" w:space="0" w:color="auto"/>
                    <w:right w:val="single" w:sz="4" w:space="0" w:color="auto"/>
                  </w:tcBorders>
                  <w:vAlign w:val="center"/>
                </w:tcPr>
                <w:p w:rsidR="007848E4" w:rsidRPr="0035027D" w:rsidRDefault="007848E4" w:rsidP="00F61680">
                  <w:pPr>
                    <w:widowControl w:val="0"/>
                    <w:spacing w:before="20" w:after="20"/>
                    <w:rPr>
                      <w:sz w:val="18"/>
                      <w:szCs w:val="18"/>
                    </w:rPr>
                  </w:pPr>
                  <w:r w:rsidRPr="0035027D">
                    <w:rPr>
                      <w:sz w:val="18"/>
                      <w:szCs w:val="18"/>
                    </w:rPr>
                    <w:t>výroba elektriny z KVET (</w:t>
                  </w:r>
                  <w:proofErr w:type="spellStart"/>
                  <w:r w:rsidRPr="0035027D">
                    <w:rPr>
                      <w:sz w:val="18"/>
                      <w:szCs w:val="18"/>
                    </w:rPr>
                    <w:t>GWh</w:t>
                  </w:r>
                  <w:proofErr w:type="spellEnd"/>
                  <w:r w:rsidRPr="0035027D">
                    <w:rPr>
                      <w:sz w:val="18"/>
                      <w:szCs w:val="18"/>
                    </w:rPr>
                    <w:t>)</w:t>
                  </w:r>
                </w:p>
              </w:tc>
              <w:tc>
                <w:tcPr>
                  <w:tcW w:w="2804" w:type="dxa"/>
                  <w:tcBorders>
                    <w:top w:val="single" w:sz="4" w:space="0" w:color="auto"/>
                    <w:left w:val="single" w:sz="4" w:space="0" w:color="auto"/>
                    <w:bottom w:val="single" w:sz="4" w:space="0" w:color="auto"/>
                    <w:right w:val="single" w:sz="4" w:space="0" w:color="auto"/>
                  </w:tcBorders>
                  <w:vAlign w:val="center"/>
                </w:tcPr>
                <w:p w:rsidR="007848E4" w:rsidRPr="0035027D" w:rsidRDefault="007848E4" w:rsidP="00F61680">
                  <w:pPr>
                    <w:widowControl w:val="0"/>
                    <w:spacing w:before="20" w:after="20"/>
                    <w:rPr>
                      <w:sz w:val="18"/>
                      <w:szCs w:val="18"/>
                    </w:rPr>
                  </w:pPr>
                  <w:r w:rsidRPr="0035027D">
                    <w:rPr>
                      <w:sz w:val="18"/>
                      <w:szCs w:val="18"/>
                    </w:rPr>
                    <w:t>18 485</w:t>
                  </w:r>
                </w:p>
              </w:tc>
            </w:tr>
            <w:tr w:rsidR="007848E4" w:rsidRPr="0035027D" w:rsidTr="00F61680">
              <w:tc>
                <w:tcPr>
                  <w:tcW w:w="6408" w:type="dxa"/>
                  <w:tcBorders>
                    <w:top w:val="single" w:sz="4" w:space="0" w:color="auto"/>
                    <w:left w:val="single" w:sz="4" w:space="0" w:color="auto"/>
                    <w:bottom w:val="single" w:sz="4" w:space="0" w:color="auto"/>
                    <w:right w:val="single" w:sz="4" w:space="0" w:color="auto"/>
                  </w:tcBorders>
                  <w:vAlign w:val="center"/>
                </w:tcPr>
                <w:p w:rsidR="007848E4" w:rsidRPr="0035027D" w:rsidRDefault="007848E4" w:rsidP="00F61680">
                  <w:pPr>
                    <w:widowControl w:val="0"/>
                    <w:spacing w:before="20" w:after="20"/>
                    <w:rPr>
                      <w:sz w:val="18"/>
                      <w:szCs w:val="18"/>
                    </w:rPr>
                  </w:pPr>
                  <w:r w:rsidRPr="0035027D">
                    <w:rPr>
                      <w:sz w:val="18"/>
                      <w:szCs w:val="18"/>
                    </w:rPr>
                    <w:lastRenderedPageBreak/>
                    <w:t>výroba tepla v tepelných elektrár</w:t>
                  </w:r>
                  <w:r w:rsidRPr="0035027D">
                    <w:rPr>
                      <w:rFonts w:cs="Times New Roman"/>
                      <w:sz w:val="18"/>
                      <w:szCs w:val="18"/>
                    </w:rPr>
                    <w:t>ň</w:t>
                  </w:r>
                  <w:r w:rsidRPr="0035027D">
                    <w:rPr>
                      <w:sz w:val="18"/>
                      <w:szCs w:val="18"/>
                    </w:rPr>
                    <w:t>ach (TJ)</w:t>
                  </w:r>
                </w:p>
              </w:tc>
              <w:tc>
                <w:tcPr>
                  <w:tcW w:w="2804" w:type="dxa"/>
                  <w:tcBorders>
                    <w:top w:val="single" w:sz="4" w:space="0" w:color="auto"/>
                    <w:left w:val="single" w:sz="4" w:space="0" w:color="auto"/>
                    <w:bottom w:val="single" w:sz="4" w:space="0" w:color="auto"/>
                    <w:right w:val="single" w:sz="4" w:space="0" w:color="auto"/>
                  </w:tcBorders>
                  <w:vAlign w:val="center"/>
                </w:tcPr>
                <w:p w:rsidR="007848E4" w:rsidRPr="0035027D" w:rsidRDefault="007848E4" w:rsidP="00F61680">
                  <w:pPr>
                    <w:widowControl w:val="0"/>
                    <w:spacing w:before="20" w:after="20"/>
                    <w:rPr>
                      <w:sz w:val="18"/>
                      <w:szCs w:val="18"/>
                    </w:rPr>
                  </w:pPr>
                  <w:r w:rsidRPr="0035027D">
                    <w:rPr>
                      <w:sz w:val="18"/>
                      <w:szCs w:val="18"/>
                    </w:rPr>
                    <w:t>96 131</w:t>
                  </w:r>
                </w:p>
              </w:tc>
            </w:tr>
            <w:tr w:rsidR="007848E4" w:rsidRPr="0035027D" w:rsidTr="00F61680">
              <w:tc>
                <w:tcPr>
                  <w:tcW w:w="6408" w:type="dxa"/>
                  <w:tcBorders>
                    <w:top w:val="single" w:sz="4" w:space="0" w:color="auto"/>
                    <w:left w:val="single" w:sz="4" w:space="0" w:color="auto"/>
                    <w:bottom w:val="single" w:sz="4" w:space="0" w:color="auto"/>
                    <w:right w:val="single" w:sz="4" w:space="0" w:color="auto"/>
                  </w:tcBorders>
                  <w:vAlign w:val="center"/>
                </w:tcPr>
                <w:p w:rsidR="007848E4" w:rsidRPr="0035027D" w:rsidRDefault="007848E4" w:rsidP="00F61680">
                  <w:pPr>
                    <w:widowControl w:val="0"/>
                    <w:spacing w:before="20" w:after="20"/>
                    <w:rPr>
                      <w:sz w:val="18"/>
                      <w:szCs w:val="18"/>
                    </w:rPr>
                  </w:pPr>
                  <w:r w:rsidRPr="0035027D">
                    <w:rPr>
                      <w:sz w:val="18"/>
                      <w:szCs w:val="18"/>
                    </w:rPr>
                    <w:t>výroba tepla zo zariadení KVET vrátane odpadového tepla v priemysle (TJ)</w:t>
                  </w:r>
                </w:p>
              </w:tc>
              <w:tc>
                <w:tcPr>
                  <w:tcW w:w="2804" w:type="dxa"/>
                  <w:tcBorders>
                    <w:top w:val="single" w:sz="4" w:space="0" w:color="auto"/>
                    <w:left w:val="single" w:sz="4" w:space="0" w:color="auto"/>
                    <w:bottom w:val="single" w:sz="4" w:space="0" w:color="auto"/>
                    <w:right w:val="single" w:sz="4" w:space="0" w:color="auto"/>
                  </w:tcBorders>
                  <w:vAlign w:val="center"/>
                </w:tcPr>
                <w:p w:rsidR="007848E4" w:rsidRPr="0035027D" w:rsidRDefault="007848E4" w:rsidP="00F61680">
                  <w:pPr>
                    <w:widowControl w:val="0"/>
                    <w:spacing w:before="20" w:after="20"/>
                    <w:rPr>
                      <w:sz w:val="18"/>
                      <w:szCs w:val="18"/>
                    </w:rPr>
                  </w:pPr>
                  <w:r w:rsidRPr="0035027D">
                    <w:rPr>
                      <w:sz w:val="18"/>
                      <w:szCs w:val="18"/>
                    </w:rPr>
                    <w:t>28 351</w:t>
                  </w:r>
                </w:p>
              </w:tc>
            </w:tr>
            <w:tr w:rsidR="007848E4" w:rsidRPr="0035027D" w:rsidTr="00F61680">
              <w:tc>
                <w:tcPr>
                  <w:tcW w:w="6408" w:type="dxa"/>
                  <w:tcBorders>
                    <w:top w:val="single" w:sz="4" w:space="0" w:color="auto"/>
                    <w:left w:val="single" w:sz="4" w:space="0" w:color="auto"/>
                    <w:bottom w:val="single" w:sz="4" w:space="0" w:color="auto"/>
                    <w:right w:val="single" w:sz="4" w:space="0" w:color="auto"/>
                  </w:tcBorders>
                  <w:vAlign w:val="center"/>
                </w:tcPr>
                <w:p w:rsidR="007848E4" w:rsidRPr="0035027D" w:rsidRDefault="007848E4" w:rsidP="00F61680">
                  <w:pPr>
                    <w:widowControl w:val="0"/>
                    <w:spacing w:before="20" w:after="20"/>
                    <w:rPr>
                      <w:sz w:val="18"/>
                      <w:szCs w:val="18"/>
                    </w:rPr>
                  </w:pPr>
                  <w:r w:rsidRPr="0035027D">
                    <w:rPr>
                      <w:sz w:val="18"/>
                      <w:szCs w:val="18"/>
                    </w:rPr>
                    <w:t>palivové vstupy v tepelných elektrár</w:t>
                  </w:r>
                  <w:r w:rsidRPr="0035027D">
                    <w:rPr>
                      <w:rFonts w:cs="Times New Roman"/>
                      <w:sz w:val="18"/>
                      <w:szCs w:val="18"/>
                    </w:rPr>
                    <w:t>ň</w:t>
                  </w:r>
                  <w:r w:rsidRPr="0035027D">
                    <w:rPr>
                      <w:sz w:val="18"/>
                      <w:szCs w:val="18"/>
                    </w:rPr>
                    <w:t>ach (TJ)</w:t>
                  </w:r>
                </w:p>
              </w:tc>
              <w:tc>
                <w:tcPr>
                  <w:tcW w:w="2804" w:type="dxa"/>
                  <w:tcBorders>
                    <w:top w:val="single" w:sz="4" w:space="0" w:color="auto"/>
                    <w:left w:val="single" w:sz="4" w:space="0" w:color="auto"/>
                    <w:bottom w:val="single" w:sz="4" w:space="0" w:color="auto"/>
                    <w:right w:val="single" w:sz="4" w:space="0" w:color="auto"/>
                  </w:tcBorders>
                  <w:vAlign w:val="center"/>
                </w:tcPr>
                <w:p w:rsidR="007848E4" w:rsidRPr="0035027D" w:rsidRDefault="007848E4" w:rsidP="00F61680">
                  <w:pPr>
                    <w:widowControl w:val="0"/>
                    <w:spacing w:before="20" w:after="20"/>
                    <w:rPr>
                      <w:sz w:val="18"/>
                      <w:szCs w:val="18"/>
                    </w:rPr>
                  </w:pPr>
                  <w:r w:rsidRPr="0035027D">
                    <w:rPr>
                      <w:sz w:val="18"/>
                      <w:szCs w:val="18"/>
                    </w:rPr>
                    <w:t>131 946</w:t>
                  </w:r>
                </w:p>
              </w:tc>
            </w:tr>
            <w:tr w:rsidR="007848E4" w:rsidRPr="0035027D" w:rsidTr="00F61680">
              <w:tc>
                <w:tcPr>
                  <w:tcW w:w="6408" w:type="dxa"/>
                  <w:tcBorders>
                    <w:top w:val="single" w:sz="4" w:space="0" w:color="auto"/>
                    <w:left w:val="single" w:sz="4" w:space="0" w:color="auto"/>
                    <w:bottom w:val="single" w:sz="4" w:space="0" w:color="auto"/>
                    <w:right w:val="single" w:sz="4" w:space="0" w:color="auto"/>
                  </w:tcBorders>
                  <w:vAlign w:val="center"/>
                </w:tcPr>
                <w:p w:rsidR="007848E4" w:rsidRPr="0035027D" w:rsidRDefault="007848E4" w:rsidP="00F61680">
                  <w:pPr>
                    <w:widowControl w:val="0"/>
                    <w:spacing w:before="20" w:after="20"/>
                    <w:rPr>
                      <w:sz w:val="18"/>
                      <w:szCs w:val="18"/>
                    </w:rPr>
                  </w:pPr>
                  <w:r w:rsidRPr="0035027D">
                    <w:rPr>
                      <w:sz w:val="18"/>
                      <w:szCs w:val="18"/>
                    </w:rPr>
                    <w:t>disponibilný príjem domácností (EUR) EU SILC 2011</w:t>
                  </w:r>
                </w:p>
              </w:tc>
              <w:tc>
                <w:tcPr>
                  <w:tcW w:w="2804" w:type="dxa"/>
                  <w:tcBorders>
                    <w:top w:val="single" w:sz="4" w:space="0" w:color="auto"/>
                    <w:left w:val="single" w:sz="4" w:space="0" w:color="auto"/>
                    <w:bottom w:val="single" w:sz="4" w:space="0" w:color="auto"/>
                    <w:right w:val="single" w:sz="4" w:space="0" w:color="auto"/>
                  </w:tcBorders>
                  <w:vAlign w:val="center"/>
                </w:tcPr>
                <w:p w:rsidR="007848E4" w:rsidRPr="0035027D" w:rsidRDefault="007848E4" w:rsidP="00F61680">
                  <w:pPr>
                    <w:widowControl w:val="0"/>
                    <w:spacing w:before="20" w:after="20"/>
                    <w:rPr>
                      <w:sz w:val="18"/>
                      <w:szCs w:val="18"/>
                    </w:rPr>
                  </w:pPr>
                  <w:r w:rsidRPr="0035027D">
                    <w:rPr>
                      <w:sz w:val="18"/>
                      <w:szCs w:val="18"/>
                    </w:rPr>
                    <w:t>582</w:t>
                  </w:r>
                </w:p>
              </w:tc>
            </w:tr>
            <w:tr w:rsidR="007848E4" w:rsidRPr="0035027D" w:rsidTr="00F61680">
              <w:tc>
                <w:tcPr>
                  <w:tcW w:w="6408" w:type="dxa"/>
                  <w:tcBorders>
                    <w:top w:val="single" w:sz="4" w:space="0" w:color="auto"/>
                    <w:left w:val="single" w:sz="4" w:space="0" w:color="auto"/>
                    <w:bottom w:val="single" w:sz="4" w:space="0" w:color="auto"/>
                    <w:right w:val="single" w:sz="4" w:space="0" w:color="auto"/>
                  </w:tcBorders>
                  <w:vAlign w:val="center"/>
                </w:tcPr>
                <w:p w:rsidR="007848E4" w:rsidRPr="0035027D" w:rsidRDefault="007848E4" w:rsidP="00F61680">
                  <w:pPr>
                    <w:widowControl w:val="0"/>
                    <w:spacing w:before="20" w:after="20"/>
                    <w:rPr>
                      <w:sz w:val="18"/>
                      <w:szCs w:val="18"/>
                    </w:rPr>
                  </w:pPr>
                  <w:r w:rsidRPr="0035027D">
                    <w:rPr>
                      <w:sz w:val="18"/>
                      <w:szCs w:val="18"/>
                    </w:rPr>
                    <w:t>hrubý domáci produkt (HDP)- st. ceny r. 2005 (mld. Eur)</w:t>
                  </w:r>
                </w:p>
              </w:tc>
              <w:tc>
                <w:tcPr>
                  <w:tcW w:w="2804" w:type="dxa"/>
                  <w:tcBorders>
                    <w:top w:val="single" w:sz="4" w:space="0" w:color="auto"/>
                    <w:left w:val="single" w:sz="4" w:space="0" w:color="auto"/>
                    <w:bottom w:val="single" w:sz="4" w:space="0" w:color="auto"/>
                    <w:right w:val="single" w:sz="4" w:space="0" w:color="auto"/>
                  </w:tcBorders>
                  <w:vAlign w:val="center"/>
                </w:tcPr>
                <w:p w:rsidR="007848E4" w:rsidRPr="0035027D" w:rsidRDefault="007848E4" w:rsidP="00F61680">
                  <w:pPr>
                    <w:widowControl w:val="0"/>
                    <w:spacing w:before="20" w:after="20"/>
                    <w:rPr>
                      <w:sz w:val="18"/>
                      <w:szCs w:val="18"/>
                    </w:rPr>
                  </w:pPr>
                  <w:r w:rsidRPr="0035027D">
                    <w:rPr>
                      <w:sz w:val="18"/>
                      <w:szCs w:val="18"/>
                    </w:rPr>
                    <w:t>63,9</w:t>
                  </w:r>
                </w:p>
              </w:tc>
            </w:tr>
            <w:tr w:rsidR="007848E4" w:rsidRPr="0035027D" w:rsidTr="00F61680">
              <w:tc>
                <w:tcPr>
                  <w:tcW w:w="6408" w:type="dxa"/>
                  <w:tcBorders>
                    <w:top w:val="single" w:sz="4" w:space="0" w:color="auto"/>
                    <w:left w:val="single" w:sz="4" w:space="0" w:color="auto"/>
                    <w:bottom w:val="single" w:sz="4" w:space="0" w:color="auto"/>
                    <w:right w:val="single" w:sz="4" w:space="0" w:color="auto"/>
                  </w:tcBorders>
                  <w:vAlign w:val="center"/>
                </w:tcPr>
                <w:p w:rsidR="007848E4" w:rsidRPr="0035027D" w:rsidRDefault="007848E4" w:rsidP="00F61680">
                  <w:pPr>
                    <w:widowControl w:val="0"/>
                    <w:spacing w:before="20" w:after="20"/>
                    <w:rPr>
                      <w:sz w:val="18"/>
                      <w:szCs w:val="18"/>
                    </w:rPr>
                  </w:pPr>
                  <w:r w:rsidRPr="0035027D">
                    <w:rPr>
                      <w:sz w:val="18"/>
                      <w:szCs w:val="18"/>
                    </w:rPr>
                    <w:t>osobokilometre (</w:t>
                  </w:r>
                  <w:proofErr w:type="spellStart"/>
                  <w:r w:rsidRPr="0035027D">
                    <w:rPr>
                      <w:sz w:val="18"/>
                      <w:szCs w:val="18"/>
                    </w:rPr>
                    <w:t>okm</w:t>
                  </w:r>
                  <w:proofErr w:type="spellEnd"/>
                  <w:r w:rsidRPr="0035027D">
                    <w:rPr>
                      <w:sz w:val="18"/>
                      <w:szCs w:val="18"/>
                    </w:rPr>
                    <w:t>)</w:t>
                  </w:r>
                </w:p>
              </w:tc>
              <w:tc>
                <w:tcPr>
                  <w:tcW w:w="2804" w:type="dxa"/>
                  <w:tcBorders>
                    <w:top w:val="single" w:sz="4" w:space="0" w:color="auto"/>
                    <w:left w:val="single" w:sz="4" w:space="0" w:color="auto"/>
                    <w:bottom w:val="single" w:sz="4" w:space="0" w:color="auto"/>
                    <w:right w:val="single" w:sz="4" w:space="0" w:color="auto"/>
                  </w:tcBorders>
                  <w:vAlign w:val="center"/>
                </w:tcPr>
                <w:p w:rsidR="007848E4" w:rsidRPr="0035027D" w:rsidRDefault="007848E4" w:rsidP="00F61680">
                  <w:pPr>
                    <w:widowControl w:val="0"/>
                    <w:spacing w:before="20" w:after="20"/>
                    <w:rPr>
                      <w:sz w:val="18"/>
                      <w:szCs w:val="18"/>
                    </w:rPr>
                  </w:pPr>
                  <w:r w:rsidRPr="0035027D">
                    <w:rPr>
                      <w:sz w:val="18"/>
                      <w:szCs w:val="18"/>
                    </w:rPr>
                    <w:t xml:space="preserve">4 611 000 </w:t>
                  </w:r>
                  <w:proofErr w:type="spellStart"/>
                  <w:r w:rsidRPr="0035027D">
                    <w:rPr>
                      <w:sz w:val="18"/>
                      <w:szCs w:val="18"/>
                    </w:rPr>
                    <w:t>000</w:t>
                  </w:r>
                  <w:proofErr w:type="spellEnd"/>
                </w:p>
              </w:tc>
            </w:tr>
            <w:tr w:rsidR="007848E4" w:rsidRPr="0035027D" w:rsidTr="00F61680">
              <w:tc>
                <w:tcPr>
                  <w:tcW w:w="6408" w:type="dxa"/>
                  <w:tcBorders>
                    <w:top w:val="single" w:sz="4" w:space="0" w:color="auto"/>
                    <w:left w:val="single" w:sz="4" w:space="0" w:color="auto"/>
                    <w:bottom w:val="single" w:sz="4" w:space="0" w:color="auto"/>
                    <w:right w:val="single" w:sz="4" w:space="0" w:color="auto"/>
                  </w:tcBorders>
                  <w:vAlign w:val="center"/>
                </w:tcPr>
                <w:p w:rsidR="007848E4" w:rsidRPr="0035027D" w:rsidRDefault="007848E4" w:rsidP="00F61680">
                  <w:pPr>
                    <w:widowControl w:val="0"/>
                    <w:spacing w:before="20" w:after="20"/>
                    <w:rPr>
                      <w:sz w:val="18"/>
                      <w:szCs w:val="18"/>
                    </w:rPr>
                  </w:pPr>
                  <w:r w:rsidRPr="0035027D">
                    <w:rPr>
                      <w:sz w:val="18"/>
                      <w:szCs w:val="18"/>
                    </w:rPr>
                    <w:t>tonokilometre (</w:t>
                  </w:r>
                  <w:proofErr w:type="spellStart"/>
                  <w:r w:rsidRPr="0035027D">
                    <w:rPr>
                      <w:sz w:val="18"/>
                      <w:szCs w:val="18"/>
                    </w:rPr>
                    <w:t>tkm</w:t>
                  </w:r>
                  <w:proofErr w:type="spellEnd"/>
                  <w:r w:rsidRPr="0035027D">
                    <w:rPr>
                      <w:sz w:val="18"/>
                      <w:szCs w:val="18"/>
                    </w:rPr>
                    <w:t>)</w:t>
                  </w:r>
                </w:p>
              </w:tc>
              <w:tc>
                <w:tcPr>
                  <w:tcW w:w="2804" w:type="dxa"/>
                  <w:tcBorders>
                    <w:top w:val="single" w:sz="4" w:space="0" w:color="auto"/>
                    <w:left w:val="single" w:sz="4" w:space="0" w:color="auto"/>
                    <w:bottom w:val="single" w:sz="4" w:space="0" w:color="auto"/>
                    <w:right w:val="single" w:sz="4" w:space="0" w:color="auto"/>
                  </w:tcBorders>
                  <w:vAlign w:val="center"/>
                </w:tcPr>
                <w:p w:rsidR="007848E4" w:rsidRPr="0035027D" w:rsidRDefault="007848E4" w:rsidP="00F61680">
                  <w:pPr>
                    <w:widowControl w:val="0"/>
                    <w:spacing w:before="20" w:after="20"/>
                    <w:rPr>
                      <w:sz w:val="18"/>
                      <w:szCs w:val="18"/>
                    </w:rPr>
                  </w:pPr>
                  <w:r w:rsidRPr="0035027D">
                    <w:rPr>
                      <w:sz w:val="18"/>
                      <w:szCs w:val="18"/>
                    </w:rPr>
                    <w:t>29 044 500 000</w:t>
                  </w:r>
                </w:p>
              </w:tc>
            </w:tr>
            <w:tr w:rsidR="007848E4" w:rsidRPr="0035027D" w:rsidTr="00F61680">
              <w:tc>
                <w:tcPr>
                  <w:tcW w:w="6408" w:type="dxa"/>
                  <w:tcBorders>
                    <w:top w:val="single" w:sz="4" w:space="0" w:color="auto"/>
                    <w:left w:val="single" w:sz="4" w:space="0" w:color="auto"/>
                    <w:bottom w:val="single" w:sz="4" w:space="0" w:color="auto"/>
                    <w:right w:val="single" w:sz="4" w:space="0" w:color="auto"/>
                  </w:tcBorders>
                  <w:vAlign w:val="center"/>
                </w:tcPr>
                <w:p w:rsidR="007848E4" w:rsidRPr="0035027D" w:rsidRDefault="007848E4" w:rsidP="00F61680">
                  <w:pPr>
                    <w:widowControl w:val="0"/>
                    <w:spacing w:before="20" w:after="20"/>
                    <w:rPr>
                      <w:sz w:val="18"/>
                      <w:szCs w:val="18"/>
                    </w:rPr>
                  </w:pPr>
                  <w:r w:rsidRPr="0035027D">
                    <w:rPr>
                      <w:sz w:val="18"/>
                      <w:szCs w:val="18"/>
                    </w:rPr>
                    <w:t>Po</w:t>
                  </w:r>
                  <w:r w:rsidRPr="0035027D">
                    <w:rPr>
                      <w:rFonts w:cs="Times New Roman"/>
                      <w:sz w:val="18"/>
                      <w:szCs w:val="18"/>
                    </w:rPr>
                    <w:t>č</w:t>
                  </w:r>
                  <w:r w:rsidRPr="0035027D">
                    <w:rPr>
                      <w:sz w:val="18"/>
                      <w:szCs w:val="18"/>
                    </w:rPr>
                    <w:t>et obyvate</w:t>
                  </w:r>
                  <w:r w:rsidRPr="0035027D">
                    <w:rPr>
                      <w:rFonts w:cs="Times New Roman"/>
                      <w:sz w:val="18"/>
                      <w:szCs w:val="18"/>
                    </w:rPr>
                    <w:t>ľ</w:t>
                  </w:r>
                  <w:r w:rsidRPr="0035027D">
                    <w:rPr>
                      <w:sz w:val="18"/>
                      <w:szCs w:val="18"/>
                    </w:rPr>
                    <w:t>ov k 31.12.2011</w:t>
                  </w:r>
                </w:p>
              </w:tc>
              <w:tc>
                <w:tcPr>
                  <w:tcW w:w="2804" w:type="dxa"/>
                  <w:tcBorders>
                    <w:top w:val="single" w:sz="4" w:space="0" w:color="auto"/>
                    <w:left w:val="single" w:sz="4" w:space="0" w:color="auto"/>
                    <w:bottom w:val="single" w:sz="4" w:space="0" w:color="auto"/>
                    <w:right w:val="single" w:sz="4" w:space="0" w:color="auto"/>
                  </w:tcBorders>
                  <w:vAlign w:val="center"/>
                </w:tcPr>
                <w:p w:rsidR="007848E4" w:rsidRPr="0035027D" w:rsidRDefault="007848E4" w:rsidP="00F61680">
                  <w:pPr>
                    <w:widowControl w:val="0"/>
                    <w:spacing w:before="20" w:after="20"/>
                    <w:rPr>
                      <w:sz w:val="18"/>
                      <w:szCs w:val="18"/>
                    </w:rPr>
                  </w:pPr>
                  <w:r w:rsidRPr="0035027D">
                    <w:rPr>
                      <w:bCs/>
                      <w:sz w:val="18"/>
                      <w:szCs w:val="18"/>
                    </w:rPr>
                    <w:t>5 404 322</w:t>
                  </w:r>
                </w:p>
              </w:tc>
            </w:tr>
            <w:tr w:rsidR="007848E4" w:rsidRPr="0035027D" w:rsidTr="00F61680">
              <w:tc>
                <w:tcPr>
                  <w:tcW w:w="6408" w:type="dxa"/>
                  <w:tcBorders>
                    <w:top w:val="single" w:sz="4" w:space="0" w:color="auto"/>
                    <w:left w:val="single" w:sz="4" w:space="0" w:color="auto"/>
                    <w:bottom w:val="single" w:sz="4" w:space="0" w:color="auto"/>
                    <w:right w:val="single" w:sz="4" w:space="0" w:color="auto"/>
                  </w:tcBorders>
                </w:tcPr>
                <w:p w:rsidR="007848E4" w:rsidRPr="0035027D" w:rsidRDefault="007848E4" w:rsidP="00F61680">
                  <w:pPr>
                    <w:widowControl w:val="0"/>
                    <w:spacing w:before="20" w:after="20"/>
                    <w:rPr>
                      <w:sz w:val="18"/>
                      <w:szCs w:val="18"/>
                    </w:rPr>
                  </w:pPr>
                </w:p>
              </w:tc>
              <w:tc>
                <w:tcPr>
                  <w:tcW w:w="2804" w:type="dxa"/>
                  <w:tcBorders>
                    <w:top w:val="single" w:sz="4" w:space="0" w:color="auto"/>
                    <w:left w:val="single" w:sz="4" w:space="0" w:color="auto"/>
                    <w:bottom w:val="single" w:sz="4" w:space="0" w:color="auto"/>
                    <w:right w:val="single" w:sz="4" w:space="0" w:color="auto"/>
                  </w:tcBorders>
                  <w:vAlign w:val="center"/>
                </w:tcPr>
                <w:p w:rsidR="007848E4" w:rsidRPr="0035027D" w:rsidRDefault="007848E4" w:rsidP="00F61680">
                  <w:pPr>
                    <w:widowControl w:val="0"/>
                    <w:spacing w:before="20" w:after="20"/>
                    <w:jc w:val="right"/>
                    <w:rPr>
                      <w:bCs/>
                      <w:i/>
                      <w:sz w:val="16"/>
                      <w:szCs w:val="18"/>
                    </w:rPr>
                  </w:pPr>
                  <w:r w:rsidRPr="0035027D">
                    <w:rPr>
                      <w:bCs/>
                      <w:i/>
                      <w:sz w:val="16"/>
                      <w:szCs w:val="18"/>
                    </w:rPr>
                    <w:t>Zdroj: ŠÚSR</w:t>
                  </w:r>
                </w:p>
              </w:tc>
            </w:tr>
          </w:tbl>
          <w:p w:rsidR="007848E4" w:rsidRPr="0035027D" w:rsidRDefault="007848E4" w:rsidP="00F61680">
            <w:pPr>
              <w:spacing w:after="0"/>
            </w:pPr>
          </w:p>
          <w:p w:rsidR="007848E4" w:rsidRPr="0035027D" w:rsidRDefault="007848E4" w:rsidP="00F61680">
            <w:pPr>
              <w:spacing w:after="0"/>
              <w:rPr>
                <w:sz w:val="20"/>
              </w:rPr>
            </w:pPr>
            <w:r w:rsidRPr="0035027D">
              <w:rPr>
                <w:sz w:val="20"/>
              </w:rPr>
              <w:t>Kone</w:t>
            </w:r>
            <w:r w:rsidRPr="0035027D">
              <w:rPr>
                <w:rFonts w:cs="Times New Roman"/>
                <w:sz w:val="20"/>
              </w:rPr>
              <w:t>č</w:t>
            </w:r>
            <w:r w:rsidRPr="0035027D">
              <w:rPr>
                <w:sz w:val="20"/>
              </w:rPr>
              <w:t>ná energetická spotreba má klesajúci trend. Tradi</w:t>
            </w:r>
            <w:r w:rsidRPr="0035027D">
              <w:rPr>
                <w:rFonts w:cs="Times New Roman"/>
                <w:sz w:val="20"/>
              </w:rPr>
              <w:t>č</w:t>
            </w:r>
            <w:r w:rsidRPr="0035027D">
              <w:rPr>
                <w:sz w:val="20"/>
              </w:rPr>
              <w:t>ne má priemysel v SR vedúce miesto v spotrebe energie, za ním nasleduje sektor dopravy, domácností a obchodov a slu</w:t>
            </w:r>
            <w:r w:rsidRPr="0035027D">
              <w:rPr>
                <w:rFonts w:cs="Times New Roman"/>
                <w:sz w:val="20"/>
              </w:rPr>
              <w:t>ž</w:t>
            </w:r>
            <w:r w:rsidRPr="0035027D">
              <w:rPr>
                <w:sz w:val="20"/>
              </w:rPr>
              <w:t>ieb, pri</w:t>
            </w:r>
            <w:r w:rsidRPr="0035027D">
              <w:rPr>
                <w:rFonts w:cs="Times New Roman"/>
                <w:sz w:val="20"/>
              </w:rPr>
              <w:t>č</w:t>
            </w:r>
            <w:r w:rsidRPr="0035027D">
              <w:rPr>
                <w:sz w:val="20"/>
              </w:rPr>
              <w:t>om najmenší podiel na celkovej KES má pôdohospodárstvo.</w:t>
            </w:r>
          </w:p>
          <w:p w:rsidR="007848E4" w:rsidRPr="0035027D" w:rsidRDefault="007848E4" w:rsidP="00F61680">
            <w:pPr>
              <w:spacing w:after="0"/>
            </w:pPr>
            <w:r w:rsidRPr="0035027D">
              <w:t xml:space="preserve"> </w:t>
            </w:r>
          </w:p>
          <w:tbl>
            <w:tblPr>
              <w:tblpPr w:leftFromText="141" w:rightFromText="141" w:vertAnchor="text" w:horzAnchor="margin" w:tblpXSpec="center" w:tblpY="41"/>
              <w:tblW w:w="9072" w:type="dxa"/>
              <w:tblCellMar>
                <w:left w:w="70" w:type="dxa"/>
                <w:right w:w="70" w:type="dxa"/>
              </w:tblCellMar>
              <w:tblLook w:val="0000" w:firstRow="0" w:lastRow="0" w:firstColumn="0" w:lastColumn="0" w:noHBand="0" w:noVBand="0"/>
            </w:tblPr>
            <w:tblGrid>
              <w:gridCol w:w="1601"/>
              <w:gridCol w:w="679"/>
              <w:gridCol w:w="678"/>
              <w:gridCol w:w="678"/>
              <w:gridCol w:w="678"/>
              <w:gridCol w:w="678"/>
              <w:gridCol w:w="678"/>
              <w:gridCol w:w="678"/>
              <w:gridCol w:w="678"/>
              <w:gridCol w:w="678"/>
              <w:gridCol w:w="678"/>
              <w:gridCol w:w="678"/>
            </w:tblGrid>
            <w:tr w:rsidR="007848E4" w:rsidRPr="0035027D" w:rsidTr="00F61680">
              <w:trPr>
                <w:trHeight w:val="255"/>
              </w:trPr>
              <w:tc>
                <w:tcPr>
                  <w:tcW w:w="9072" w:type="dxa"/>
                  <w:gridSpan w:val="12"/>
                  <w:tcBorders>
                    <w:top w:val="single" w:sz="4" w:space="0" w:color="auto"/>
                    <w:left w:val="single" w:sz="4" w:space="0" w:color="auto"/>
                    <w:right w:val="single" w:sz="4" w:space="0" w:color="auto"/>
                  </w:tcBorders>
                  <w:shd w:val="clear" w:color="auto" w:fill="0C0C0C"/>
                  <w:noWrap/>
                  <w:vAlign w:val="bottom"/>
                </w:tcPr>
                <w:p w:rsidR="007848E4" w:rsidRPr="0035027D" w:rsidRDefault="007848E4" w:rsidP="00F61680">
                  <w:pPr>
                    <w:spacing w:before="20" w:after="20"/>
                    <w:rPr>
                      <w:b/>
                      <w:bCs/>
                      <w:color w:val="FFFFFF"/>
                      <w:sz w:val="20"/>
                    </w:rPr>
                  </w:pPr>
                  <w:r w:rsidRPr="0035027D">
                    <w:rPr>
                      <w:b/>
                      <w:bCs/>
                      <w:color w:val="FFFFFF"/>
                      <w:sz w:val="18"/>
                    </w:rPr>
                    <w:t>Vývoj spotreby energie v jednotlivých sektoroch v TJ</w:t>
                  </w:r>
                </w:p>
              </w:tc>
            </w:tr>
            <w:tr w:rsidR="007848E4" w:rsidRPr="0035027D" w:rsidTr="00F61680">
              <w:trPr>
                <w:trHeight w:val="255"/>
              </w:trPr>
              <w:tc>
                <w:tcPr>
                  <w:tcW w:w="1602" w:type="dxa"/>
                  <w:tcBorders>
                    <w:top w:val="nil"/>
                    <w:left w:val="single" w:sz="4" w:space="0" w:color="auto"/>
                    <w:bottom w:val="nil"/>
                    <w:right w:val="nil"/>
                  </w:tcBorders>
                  <w:shd w:val="clear" w:color="auto" w:fill="BFBFBF"/>
                  <w:noWrap/>
                  <w:vAlign w:val="center"/>
                </w:tcPr>
                <w:p w:rsidR="007848E4" w:rsidRPr="0035027D" w:rsidRDefault="007848E4" w:rsidP="00F61680">
                  <w:pPr>
                    <w:spacing w:before="20" w:after="20"/>
                    <w:jc w:val="right"/>
                    <w:rPr>
                      <w:b/>
                      <w:bCs/>
                      <w:sz w:val="18"/>
                      <w:szCs w:val="18"/>
                    </w:rPr>
                  </w:pPr>
                </w:p>
              </w:tc>
              <w:tc>
                <w:tcPr>
                  <w:tcW w:w="680" w:type="dxa"/>
                  <w:tcBorders>
                    <w:top w:val="nil"/>
                    <w:left w:val="nil"/>
                    <w:bottom w:val="nil"/>
                    <w:right w:val="nil"/>
                  </w:tcBorders>
                  <w:shd w:val="clear" w:color="auto" w:fill="BFBFBF"/>
                  <w:vAlign w:val="center"/>
                </w:tcPr>
                <w:p w:rsidR="007848E4" w:rsidRPr="0035027D" w:rsidRDefault="007848E4" w:rsidP="00F61680">
                  <w:pPr>
                    <w:spacing w:before="20" w:after="20"/>
                    <w:jc w:val="right"/>
                    <w:rPr>
                      <w:b/>
                      <w:bCs/>
                      <w:sz w:val="18"/>
                      <w:szCs w:val="18"/>
                    </w:rPr>
                  </w:pPr>
                  <w:r w:rsidRPr="0035027D">
                    <w:rPr>
                      <w:b/>
                      <w:bCs/>
                      <w:sz w:val="18"/>
                      <w:szCs w:val="18"/>
                    </w:rPr>
                    <w:t>2001</w:t>
                  </w:r>
                </w:p>
              </w:tc>
              <w:tc>
                <w:tcPr>
                  <w:tcW w:w="679" w:type="dxa"/>
                  <w:tcBorders>
                    <w:top w:val="nil"/>
                    <w:left w:val="nil"/>
                    <w:bottom w:val="nil"/>
                    <w:right w:val="nil"/>
                  </w:tcBorders>
                  <w:shd w:val="clear" w:color="auto" w:fill="BFBFBF"/>
                  <w:vAlign w:val="center"/>
                </w:tcPr>
                <w:p w:rsidR="007848E4" w:rsidRPr="0035027D" w:rsidRDefault="007848E4" w:rsidP="00F61680">
                  <w:pPr>
                    <w:spacing w:before="20" w:after="20"/>
                    <w:jc w:val="right"/>
                    <w:rPr>
                      <w:b/>
                      <w:bCs/>
                      <w:sz w:val="18"/>
                      <w:szCs w:val="18"/>
                    </w:rPr>
                  </w:pPr>
                  <w:r w:rsidRPr="0035027D">
                    <w:rPr>
                      <w:b/>
                      <w:bCs/>
                      <w:sz w:val="18"/>
                      <w:szCs w:val="18"/>
                    </w:rPr>
                    <w:t>2002</w:t>
                  </w:r>
                </w:p>
              </w:tc>
              <w:tc>
                <w:tcPr>
                  <w:tcW w:w="679" w:type="dxa"/>
                  <w:tcBorders>
                    <w:top w:val="nil"/>
                    <w:left w:val="nil"/>
                    <w:bottom w:val="nil"/>
                    <w:right w:val="nil"/>
                  </w:tcBorders>
                  <w:shd w:val="clear" w:color="auto" w:fill="BFBFBF"/>
                  <w:vAlign w:val="center"/>
                </w:tcPr>
                <w:p w:rsidR="007848E4" w:rsidRPr="0035027D" w:rsidRDefault="007848E4" w:rsidP="00F61680">
                  <w:pPr>
                    <w:spacing w:before="20" w:after="20"/>
                    <w:jc w:val="right"/>
                    <w:rPr>
                      <w:b/>
                      <w:bCs/>
                      <w:sz w:val="18"/>
                      <w:szCs w:val="18"/>
                    </w:rPr>
                  </w:pPr>
                  <w:r w:rsidRPr="0035027D">
                    <w:rPr>
                      <w:b/>
                      <w:bCs/>
                      <w:sz w:val="18"/>
                      <w:szCs w:val="18"/>
                    </w:rPr>
                    <w:t>2003</w:t>
                  </w:r>
                </w:p>
              </w:tc>
              <w:tc>
                <w:tcPr>
                  <w:tcW w:w="679" w:type="dxa"/>
                  <w:tcBorders>
                    <w:top w:val="nil"/>
                    <w:left w:val="nil"/>
                    <w:bottom w:val="nil"/>
                    <w:right w:val="nil"/>
                  </w:tcBorders>
                  <w:shd w:val="clear" w:color="auto" w:fill="BFBFBF"/>
                  <w:vAlign w:val="center"/>
                </w:tcPr>
                <w:p w:rsidR="007848E4" w:rsidRPr="0035027D" w:rsidRDefault="007848E4" w:rsidP="00F61680">
                  <w:pPr>
                    <w:spacing w:before="20" w:after="20"/>
                    <w:jc w:val="right"/>
                    <w:rPr>
                      <w:b/>
                      <w:bCs/>
                      <w:sz w:val="18"/>
                      <w:szCs w:val="18"/>
                    </w:rPr>
                  </w:pPr>
                  <w:r w:rsidRPr="0035027D">
                    <w:rPr>
                      <w:b/>
                      <w:bCs/>
                      <w:sz w:val="18"/>
                      <w:szCs w:val="18"/>
                    </w:rPr>
                    <w:t>2004</w:t>
                  </w:r>
                </w:p>
              </w:tc>
              <w:tc>
                <w:tcPr>
                  <w:tcW w:w="679" w:type="dxa"/>
                  <w:tcBorders>
                    <w:top w:val="nil"/>
                    <w:left w:val="nil"/>
                    <w:bottom w:val="nil"/>
                    <w:right w:val="nil"/>
                  </w:tcBorders>
                  <w:shd w:val="clear" w:color="auto" w:fill="BFBFBF"/>
                  <w:vAlign w:val="center"/>
                </w:tcPr>
                <w:p w:rsidR="007848E4" w:rsidRPr="0035027D" w:rsidRDefault="007848E4" w:rsidP="00F61680">
                  <w:pPr>
                    <w:spacing w:before="20" w:after="20"/>
                    <w:jc w:val="right"/>
                    <w:rPr>
                      <w:b/>
                      <w:bCs/>
                      <w:sz w:val="18"/>
                      <w:szCs w:val="18"/>
                    </w:rPr>
                  </w:pPr>
                  <w:r w:rsidRPr="0035027D">
                    <w:rPr>
                      <w:b/>
                      <w:bCs/>
                      <w:sz w:val="18"/>
                      <w:szCs w:val="18"/>
                    </w:rPr>
                    <w:t>2005</w:t>
                  </w:r>
                </w:p>
              </w:tc>
              <w:tc>
                <w:tcPr>
                  <w:tcW w:w="679" w:type="dxa"/>
                  <w:tcBorders>
                    <w:top w:val="nil"/>
                    <w:left w:val="nil"/>
                    <w:bottom w:val="nil"/>
                    <w:right w:val="nil"/>
                  </w:tcBorders>
                  <w:shd w:val="clear" w:color="auto" w:fill="BFBFBF"/>
                  <w:vAlign w:val="center"/>
                </w:tcPr>
                <w:p w:rsidR="007848E4" w:rsidRPr="0035027D" w:rsidRDefault="007848E4" w:rsidP="00F61680">
                  <w:pPr>
                    <w:spacing w:before="20" w:after="20"/>
                    <w:jc w:val="right"/>
                    <w:rPr>
                      <w:b/>
                      <w:bCs/>
                      <w:sz w:val="18"/>
                      <w:szCs w:val="18"/>
                    </w:rPr>
                  </w:pPr>
                  <w:r w:rsidRPr="0035027D">
                    <w:rPr>
                      <w:b/>
                      <w:bCs/>
                      <w:sz w:val="18"/>
                      <w:szCs w:val="18"/>
                    </w:rPr>
                    <w:t>2006</w:t>
                  </w:r>
                </w:p>
              </w:tc>
              <w:tc>
                <w:tcPr>
                  <w:tcW w:w="679" w:type="dxa"/>
                  <w:tcBorders>
                    <w:top w:val="nil"/>
                    <w:left w:val="nil"/>
                    <w:bottom w:val="nil"/>
                    <w:right w:val="nil"/>
                  </w:tcBorders>
                  <w:shd w:val="clear" w:color="auto" w:fill="BFBFBF"/>
                  <w:vAlign w:val="center"/>
                </w:tcPr>
                <w:p w:rsidR="007848E4" w:rsidRPr="0035027D" w:rsidRDefault="007848E4" w:rsidP="00F61680">
                  <w:pPr>
                    <w:spacing w:before="20" w:after="20"/>
                    <w:jc w:val="right"/>
                    <w:rPr>
                      <w:b/>
                      <w:bCs/>
                      <w:sz w:val="18"/>
                      <w:szCs w:val="18"/>
                    </w:rPr>
                  </w:pPr>
                  <w:r w:rsidRPr="0035027D">
                    <w:rPr>
                      <w:b/>
                      <w:bCs/>
                      <w:sz w:val="18"/>
                      <w:szCs w:val="18"/>
                    </w:rPr>
                    <w:t>2007</w:t>
                  </w:r>
                </w:p>
              </w:tc>
              <w:tc>
                <w:tcPr>
                  <w:tcW w:w="679" w:type="dxa"/>
                  <w:tcBorders>
                    <w:top w:val="nil"/>
                    <w:left w:val="nil"/>
                    <w:bottom w:val="nil"/>
                    <w:right w:val="nil"/>
                  </w:tcBorders>
                  <w:shd w:val="clear" w:color="auto" w:fill="BFBFBF"/>
                  <w:vAlign w:val="center"/>
                </w:tcPr>
                <w:p w:rsidR="007848E4" w:rsidRPr="0035027D" w:rsidRDefault="007848E4" w:rsidP="00F61680">
                  <w:pPr>
                    <w:spacing w:before="20" w:after="20"/>
                    <w:jc w:val="right"/>
                    <w:rPr>
                      <w:b/>
                      <w:bCs/>
                      <w:sz w:val="18"/>
                      <w:szCs w:val="18"/>
                    </w:rPr>
                  </w:pPr>
                  <w:r w:rsidRPr="0035027D">
                    <w:rPr>
                      <w:b/>
                      <w:bCs/>
                      <w:sz w:val="18"/>
                      <w:szCs w:val="18"/>
                    </w:rPr>
                    <w:t>2008</w:t>
                  </w:r>
                </w:p>
              </w:tc>
              <w:tc>
                <w:tcPr>
                  <w:tcW w:w="679" w:type="dxa"/>
                  <w:tcBorders>
                    <w:top w:val="nil"/>
                    <w:left w:val="nil"/>
                    <w:bottom w:val="nil"/>
                    <w:right w:val="nil"/>
                  </w:tcBorders>
                  <w:shd w:val="clear" w:color="auto" w:fill="BFBFBF"/>
                  <w:vAlign w:val="center"/>
                </w:tcPr>
                <w:p w:rsidR="007848E4" w:rsidRPr="0035027D" w:rsidRDefault="007848E4" w:rsidP="00F61680">
                  <w:pPr>
                    <w:spacing w:before="20" w:after="20"/>
                    <w:jc w:val="right"/>
                    <w:rPr>
                      <w:b/>
                      <w:bCs/>
                      <w:sz w:val="18"/>
                      <w:szCs w:val="18"/>
                    </w:rPr>
                  </w:pPr>
                  <w:r w:rsidRPr="0035027D">
                    <w:rPr>
                      <w:b/>
                      <w:bCs/>
                      <w:sz w:val="18"/>
                      <w:szCs w:val="18"/>
                    </w:rPr>
                    <w:t>2009</w:t>
                  </w:r>
                </w:p>
              </w:tc>
              <w:tc>
                <w:tcPr>
                  <w:tcW w:w="679" w:type="dxa"/>
                  <w:tcBorders>
                    <w:top w:val="nil"/>
                    <w:left w:val="nil"/>
                    <w:bottom w:val="nil"/>
                    <w:right w:val="nil"/>
                  </w:tcBorders>
                  <w:shd w:val="clear" w:color="auto" w:fill="BFBFBF"/>
                  <w:vAlign w:val="center"/>
                </w:tcPr>
                <w:p w:rsidR="007848E4" w:rsidRPr="0035027D" w:rsidRDefault="007848E4" w:rsidP="00F61680">
                  <w:pPr>
                    <w:spacing w:before="20" w:after="20"/>
                    <w:jc w:val="right"/>
                    <w:rPr>
                      <w:b/>
                      <w:bCs/>
                      <w:sz w:val="18"/>
                      <w:szCs w:val="18"/>
                    </w:rPr>
                  </w:pPr>
                  <w:r w:rsidRPr="0035027D">
                    <w:rPr>
                      <w:b/>
                      <w:bCs/>
                      <w:sz w:val="18"/>
                      <w:szCs w:val="18"/>
                    </w:rPr>
                    <w:t>2010</w:t>
                  </w:r>
                </w:p>
              </w:tc>
              <w:tc>
                <w:tcPr>
                  <w:tcW w:w="679" w:type="dxa"/>
                  <w:tcBorders>
                    <w:top w:val="nil"/>
                    <w:left w:val="nil"/>
                    <w:bottom w:val="nil"/>
                    <w:right w:val="single" w:sz="4" w:space="0" w:color="auto"/>
                  </w:tcBorders>
                  <w:shd w:val="clear" w:color="auto" w:fill="BFBFBF"/>
                  <w:vAlign w:val="center"/>
                </w:tcPr>
                <w:p w:rsidR="007848E4" w:rsidRPr="0035027D" w:rsidRDefault="007848E4" w:rsidP="00F61680">
                  <w:pPr>
                    <w:spacing w:before="20" w:after="20"/>
                    <w:jc w:val="right"/>
                    <w:rPr>
                      <w:b/>
                      <w:bCs/>
                      <w:sz w:val="18"/>
                      <w:szCs w:val="18"/>
                    </w:rPr>
                  </w:pPr>
                  <w:r w:rsidRPr="0035027D">
                    <w:rPr>
                      <w:b/>
                      <w:bCs/>
                      <w:sz w:val="18"/>
                      <w:szCs w:val="18"/>
                    </w:rPr>
                    <w:t>2011</w:t>
                  </w:r>
                </w:p>
              </w:tc>
            </w:tr>
            <w:tr w:rsidR="007848E4" w:rsidRPr="0035027D" w:rsidTr="00F61680">
              <w:trPr>
                <w:trHeight w:val="255"/>
              </w:trPr>
              <w:tc>
                <w:tcPr>
                  <w:tcW w:w="1602" w:type="dxa"/>
                  <w:tcBorders>
                    <w:top w:val="nil"/>
                    <w:left w:val="single" w:sz="4" w:space="0" w:color="auto"/>
                    <w:bottom w:val="nil"/>
                    <w:right w:val="nil"/>
                  </w:tcBorders>
                  <w:vAlign w:val="center"/>
                </w:tcPr>
                <w:p w:rsidR="007848E4" w:rsidRPr="0035027D" w:rsidRDefault="007848E4" w:rsidP="00F61680">
                  <w:pPr>
                    <w:spacing w:before="20" w:after="20"/>
                    <w:rPr>
                      <w:b/>
                      <w:bCs/>
                      <w:sz w:val="18"/>
                      <w:szCs w:val="18"/>
                    </w:rPr>
                  </w:pPr>
                  <w:r w:rsidRPr="0035027D">
                    <w:rPr>
                      <w:b/>
                      <w:bCs/>
                      <w:sz w:val="18"/>
                      <w:szCs w:val="18"/>
                    </w:rPr>
                    <w:t>KES celková</w:t>
                  </w:r>
                </w:p>
              </w:tc>
              <w:tc>
                <w:tcPr>
                  <w:tcW w:w="680" w:type="dxa"/>
                  <w:tcBorders>
                    <w:top w:val="nil"/>
                    <w:left w:val="nil"/>
                    <w:bottom w:val="nil"/>
                    <w:right w:val="nil"/>
                  </w:tcBorders>
                  <w:noWrap/>
                  <w:vAlign w:val="center"/>
                </w:tcPr>
                <w:p w:rsidR="007848E4" w:rsidRPr="0035027D" w:rsidRDefault="007848E4" w:rsidP="00F61680">
                  <w:pPr>
                    <w:spacing w:before="20" w:after="20"/>
                    <w:jc w:val="right"/>
                    <w:rPr>
                      <w:sz w:val="18"/>
                      <w:szCs w:val="18"/>
                    </w:rPr>
                  </w:pPr>
                  <w:r w:rsidRPr="0035027D">
                    <w:rPr>
                      <w:sz w:val="18"/>
                      <w:szCs w:val="18"/>
                    </w:rPr>
                    <w:t>444 372</w:t>
                  </w:r>
                </w:p>
              </w:tc>
              <w:tc>
                <w:tcPr>
                  <w:tcW w:w="679" w:type="dxa"/>
                  <w:tcBorders>
                    <w:top w:val="nil"/>
                    <w:left w:val="nil"/>
                    <w:bottom w:val="nil"/>
                    <w:right w:val="nil"/>
                  </w:tcBorders>
                  <w:noWrap/>
                  <w:vAlign w:val="center"/>
                </w:tcPr>
                <w:p w:rsidR="007848E4" w:rsidRPr="0035027D" w:rsidRDefault="007848E4" w:rsidP="00F61680">
                  <w:pPr>
                    <w:spacing w:before="20" w:after="20"/>
                    <w:jc w:val="right"/>
                    <w:rPr>
                      <w:sz w:val="18"/>
                      <w:szCs w:val="18"/>
                    </w:rPr>
                  </w:pPr>
                  <w:r w:rsidRPr="0035027D">
                    <w:rPr>
                      <w:sz w:val="18"/>
                      <w:szCs w:val="18"/>
                    </w:rPr>
                    <w:t>443 301</w:t>
                  </w:r>
                </w:p>
              </w:tc>
              <w:tc>
                <w:tcPr>
                  <w:tcW w:w="679" w:type="dxa"/>
                  <w:tcBorders>
                    <w:top w:val="nil"/>
                    <w:left w:val="nil"/>
                    <w:bottom w:val="nil"/>
                    <w:right w:val="nil"/>
                  </w:tcBorders>
                  <w:noWrap/>
                  <w:vAlign w:val="center"/>
                </w:tcPr>
                <w:p w:rsidR="007848E4" w:rsidRPr="0035027D" w:rsidRDefault="007848E4" w:rsidP="00F61680">
                  <w:pPr>
                    <w:spacing w:before="20" w:after="20"/>
                    <w:jc w:val="right"/>
                    <w:rPr>
                      <w:sz w:val="18"/>
                      <w:szCs w:val="18"/>
                    </w:rPr>
                  </w:pPr>
                  <w:r w:rsidRPr="0035027D">
                    <w:rPr>
                      <w:sz w:val="18"/>
                      <w:szCs w:val="18"/>
                    </w:rPr>
                    <w:t>420 963</w:t>
                  </w:r>
                </w:p>
              </w:tc>
              <w:tc>
                <w:tcPr>
                  <w:tcW w:w="679" w:type="dxa"/>
                  <w:tcBorders>
                    <w:top w:val="nil"/>
                    <w:left w:val="nil"/>
                    <w:bottom w:val="nil"/>
                    <w:right w:val="nil"/>
                  </w:tcBorders>
                  <w:noWrap/>
                  <w:vAlign w:val="center"/>
                </w:tcPr>
                <w:p w:rsidR="007848E4" w:rsidRPr="0035027D" w:rsidRDefault="007848E4" w:rsidP="00F61680">
                  <w:pPr>
                    <w:spacing w:before="20" w:after="20"/>
                    <w:jc w:val="right"/>
                    <w:rPr>
                      <w:sz w:val="18"/>
                      <w:szCs w:val="18"/>
                    </w:rPr>
                  </w:pPr>
                  <w:r w:rsidRPr="0035027D">
                    <w:rPr>
                      <w:sz w:val="18"/>
                      <w:szCs w:val="18"/>
                    </w:rPr>
                    <w:t>414 612</w:t>
                  </w:r>
                </w:p>
              </w:tc>
              <w:tc>
                <w:tcPr>
                  <w:tcW w:w="679" w:type="dxa"/>
                  <w:tcBorders>
                    <w:top w:val="nil"/>
                    <w:left w:val="nil"/>
                    <w:bottom w:val="nil"/>
                    <w:right w:val="nil"/>
                  </w:tcBorders>
                  <w:noWrap/>
                  <w:vAlign w:val="center"/>
                </w:tcPr>
                <w:p w:rsidR="007848E4" w:rsidRPr="0035027D" w:rsidRDefault="007848E4" w:rsidP="00F61680">
                  <w:pPr>
                    <w:spacing w:before="20" w:after="20"/>
                    <w:jc w:val="right"/>
                    <w:rPr>
                      <w:sz w:val="18"/>
                      <w:szCs w:val="18"/>
                    </w:rPr>
                  </w:pPr>
                  <w:r w:rsidRPr="0035027D">
                    <w:rPr>
                      <w:sz w:val="18"/>
                      <w:szCs w:val="18"/>
                    </w:rPr>
                    <w:t>404 068</w:t>
                  </w:r>
                </w:p>
              </w:tc>
              <w:tc>
                <w:tcPr>
                  <w:tcW w:w="679" w:type="dxa"/>
                  <w:tcBorders>
                    <w:top w:val="nil"/>
                    <w:left w:val="nil"/>
                    <w:bottom w:val="nil"/>
                    <w:right w:val="nil"/>
                  </w:tcBorders>
                  <w:noWrap/>
                  <w:vAlign w:val="center"/>
                </w:tcPr>
                <w:p w:rsidR="007848E4" w:rsidRPr="0035027D" w:rsidRDefault="007848E4" w:rsidP="00F61680">
                  <w:pPr>
                    <w:spacing w:before="20" w:after="20"/>
                    <w:jc w:val="right"/>
                    <w:rPr>
                      <w:sz w:val="18"/>
                      <w:szCs w:val="18"/>
                    </w:rPr>
                  </w:pPr>
                  <w:r w:rsidRPr="0035027D">
                    <w:rPr>
                      <w:sz w:val="18"/>
                      <w:szCs w:val="18"/>
                    </w:rPr>
                    <w:t>406 458</w:t>
                  </w:r>
                </w:p>
              </w:tc>
              <w:tc>
                <w:tcPr>
                  <w:tcW w:w="679" w:type="dxa"/>
                  <w:tcBorders>
                    <w:top w:val="nil"/>
                    <w:left w:val="nil"/>
                    <w:bottom w:val="nil"/>
                    <w:right w:val="nil"/>
                  </w:tcBorders>
                  <w:noWrap/>
                  <w:vAlign w:val="center"/>
                </w:tcPr>
                <w:p w:rsidR="007848E4" w:rsidRPr="0035027D" w:rsidRDefault="007848E4" w:rsidP="00F61680">
                  <w:pPr>
                    <w:spacing w:before="20" w:after="20"/>
                    <w:jc w:val="right"/>
                    <w:rPr>
                      <w:sz w:val="18"/>
                      <w:szCs w:val="18"/>
                    </w:rPr>
                  </w:pPr>
                  <w:r w:rsidRPr="0035027D">
                    <w:rPr>
                      <w:sz w:val="18"/>
                      <w:szCs w:val="18"/>
                    </w:rPr>
                    <w:t>409 033</w:t>
                  </w:r>
                </w:p>
              </w:tc>
              <w:tc>
                <w:tcPr>
                  <w:tcW w:w="679" w:type="dxa"/>
                  <w:tcBorders>
                    <w:top w:val="nil"/>
                    <w:left w:val="nil"/>
                    <w:bottom w:val="nil"/>
                    <w:right w:val="nil"/>
                  </w:tcBorders>
                  <w:noWrap/>
                  <w:vAlign w:val="center"/>
                </w:tcPr>
                <w:p w:rsidR="007848E4" w:rsidRPr="0035027D" w:rsidRDefault="007848E4" w:rsidP="00F61680">
                  <w:pPr>
                    <w:spacing w:before="20" w:after="20"/>
                    <w:jc w:val="right"/>
                    <w:rPr>
                      <w:sz w:val="18"/>
                      <w:szCs w:val="18"/>
                    </w:rPr>
                  </w:pPr>
                  <w:r w:rsidRPr="0035027D">
                    <w:rPr>
                      <w:sz w:val="18"/>
                      <w:szCs w:val="18"/>
                    </w:rPr>
                    <w:t>418 291</w:t>
                  </w:r>
                </w:p>
              </w:tc>
              <w:tc>
                <w:tcPr>
                  <w:tcW w:w="679" w:type="dxa"/>
                  <w:tcBorders>
                    <w:top w:val="nil"/>
                    <w:left w:val="nil"/>
                    <w:bottom w:val="nil"/>
                    <w:right w:val="nil"/>
                  </w:tcBorders>
                  <w:noWrap/>
                  <w:vAlign w:val="center"/>
                </w:tcPr>
                <w:p w:rsidR="007848E4" w:rsidRPr="0035027D" w:rsidRDefault="007848E4" w:rsidP="00F61680">
                  <w:pPr>
                    <w:spacing w:before="20" w:after="20"/>
                    <w:jc w:val="right"/>
                    <w:rPr>
                      <w:sz w:val="18"/>
                      <w:szCs w:val="18"/>
                    </w:rPr>
                  </w:pPr>
                  <w:r w:rsidRPr="0035027D">
                    <w:rPr>
                      <w:sz w:val="18"/>
                      <w:szCs w:val="18"/>
                    </w:rPr>
                    <w:t>388 725</w:t>
                  </w:r>
                </w:p>
              </w:tc>
              <w:tc>
                <w:tcPr>
                  <w:tcW w:w="679" w:type="dxa"/>
                  <w:tcBorders>
                    <w:top w:val="nil"/>
                    <w:left w:val="nil"/>
                    <w:bottom w:val="nil"/>
                    <w:right w:val="nil"/>
                  </w:tcBorders>
                  <w:noWrap/>
                  <w:vAlign w:val="center"/>
                </w:tcPr>
                <w:p w:rsidR="007848E4" w:rsidRPr="0035027D" w:rsidRDefault="007848E4" w:rsidP="00F61680">
                  <w:pPr>
                    <w:spacing w:before="20" w:after="20"/>
                    <w:jc w:val="right"/>
                    <w:rPr>
                      <w:sz w:val="18"/>
                      <w:szCs w:val="18"/>
                    </w:rPr>
                  </w:pPr>
                  <w:r w:rsidRPr="0035027D">
                    <w:rPr>
                      <w:sz w:val="18"/>
                      <w:szCs w:val="18"/>
                    </w:rPr>
                    <w:t>418 853</w:t>
                  </w:r>
                </w:p>
              </w:tc>
              <w:tc>
                <w:tcPr>
                  <w:tcW w:w="679" w:type="dxa"/>
                  <w:tcBorders>
                    <w:top w:val="nil"/>
                    <w:left w:val="nil"/>
                    <w:bottom w:val="nil"/>
                    <w:right w:val="single" w:sz="4" w:space="0" w:color="auto"/>
                  </w:tcBorders>
                  <w:noWrap/>
                  <w:vAlign w:val="center"/>
                </w:tcPr>
                <w:p w:rsidR="007848E4" w:rsidRPr="0035027D" w:rsidRDefault="007848E4" w:rsidP="00F61680">
                  <w:pPr>
                    <w:spacing w:before="20" w:after="20"/>
                    <w:jc w:val="right"/>
                    <w:rPr>
                      <w:sz w:val="18"/>
                      <w:szCs w:val="18"/>
                    </w:rPr>
                  </w:pPr>
                  <w:r w:rsidRPr="0035027D">
                    <w:rPr>
                      <w:sz w:val="18"/>
                      <w:szCs w:val="18"/>
                    </w:rPr>
                    <w:t>390 630</w:t>
                  </w:r>
                </w:p>
              </w:tc>
            </w:tr>
            <w:tr w:rsidR="007848E4" w:rsidRPr="0035027D" w:rsidTr="00F61680">
              <w:trPr>
                <w:trHeight w:val="255"/>
              </w:trPr>
              <w:tc>
                <w:tcPr>
                  <w:tcW w:w="1602" w:type="dxa"/>
                  <w:tcBorders>
                    <w:top w:val="nil"/>
                    <w:left w:val="single" w:sz="4" w:space="0" w:color="auto"/>
                    <w:bottom w:val="nil"/>
                    <w:right w:val="nil"/>
                  </w:tcBorders>
                  <w:vAlign w:val="center"/>
                </w:tcPr>
                <w:p w:rsidR="007848E4" w:rsidRPr="0035027D" w:rsidRDefault="007848E4" w:rsidP="00F61680">
                  <w:pPr>
                    <w:spacing w:before="20" w:after="20"/>
                    <w:rPr>
                      <w:b/>
                      <w:bCs/>
                      <w:sz w:val="18"/>
                      <w:szCs w:val="18"/>
                    </w:rPr>
                  </w:pPr>
                  <w:r w:rsidRPr="0035027D">
                    <w:rPr>
                      <w:b/>
                      <w:bCs/>
                      <w:sz w:val="18"/>
                      <w:szCs w:val="18"/>
                    </w:rPr>
                    <w:t>Priemysel</w:t>
                  </w:r>
                </w:p>
              </w:tc>
              <w:tc>
                <w:tcPr>
                  <w:tcW w:w="680" w:type="dxa"/>
                  <w:tcBorders>
                    <w:top w:val="nil"/>
                    <w:left w:val="nil"/>
                    <w:bottom w:val="nil"/>
                    <w:right w:val="nil"/>
                  </w:tcBorders>
                  <w:noWrap/>
                  <w:vAlign w:val="center"/>
                </w:tcPr>
                <w:p w:rsidR="007848E4" w:rsidRPr="0035027D" w:rsidRDefault="007848E4" w:rsidP="00F61680">
                  <w:pPr>
                    <w:spacing w:before="20" w:after="20"/>
                    <w:jc w:val="right"/>
                    <w:rPr>
                      <w:sz w:val="18"/>
                      <w:szCs w:val="18"/>
                    </w:rPr>
                  </w:pPr>
                  <w:r w:rsidRPr="0035027D">
                    <w:rPr>
                      <w:sz w:val="18"/>
                      <w:szCs w:val="18"/>
                    </w:rPr>
                    <w:t>158 873</w:t>
                  </w:r>
                </w:p>
              </w:tc>
              <w:tc>
                <w:tcPr>
                  <w:tcW w:w="679" w:type="dxa"/>
                  <w:tcBorders>
                    <w:top w:val="nil"/>
                    <w:left w:val="nil"/>
                    <w:bottom w:val="nil"/>
                    <w:right w:val="nil"/>
                  </w:tcBorders>
                  <w:noWrap/>
                  <w:vAlign w:val="center"/>
                </w:tcPr>
                <w:p w:rsidR="007848E4" w:rsidRPr="0035027D" w:rsidRDefault="007848E4" w:rsidP="00F61680">
                  <w:pPr>
                    <w:spacing w:before="20" w:after="20"/>
                    <w:jc w:val="right"/>
                    <w:rPr>
                      <w:sz w:val="18"/>
                      <w:szCs w:val="18"/>
                    </w:rPr>
                  </w:pPr>
                  <w:r w:rsidRPr="0035027D">
                    <w:rPr>
                      <w:sz w:val="18"/>
                      <w:szCs w:val="18"/>
                    </w:rPr>
                    <w:t>152 049</w:t>
                  </w:r>
                </w:p>
              </w:tc>
              <w:tc>
                <w:tcPr>
                  <w:tcW w:w="679" w:type="dxa"/>
                  <w:tcBorders>
                    <w:top w:val="nil"/>
                    <w:left w:val="nil"/>
                    <w:bottom w:val="nil"/>
                    <w:right w:val="nil"/>
                  </w:tcBorders>
                  <w:noWrap/>
                  <w:vAlign w:val="center"/>
                </w:tcPr>
                <w:p w:rsidR="007848E4" w:rsidRPr="0035027D" w:rsidRDefault="007848E4" w:rsidP="00F61680">
                  <w:pPr>
                    <w:spacing w:before="20" w:after="20"/>
                    <w:jc w:val="right"/>
                    <w:rPr>
                      <w:sz w:val="18"/>
                      <w:szCs w:val="18"/>
                    </w:rPr>
                  </w:pPr>
                  <w:r w:rsidRPr="0035027D">
                    <w:rPr>
                      <w:sz w:val="18"/>
                      <w:szCs w:val="18"/>
                    </w:rPr>
                    <w:t>154 734</w:t>
                  </w:r>
                </w:p>
              </w:tc>
              <w:tc>
                <w:tcPr>
                  <w:tcW w:w="679" w:type="dxa"/>
                  <w:tcBorders>
                    <w:top w:val="nil"/>
                    <w:left w:val="nil"/>
                    <w:bottom w:val="nil"/>
                    <w:right w:val="nil"/>
                  </w:tcBorders>
                  <w:noWrap/>
                  <w:vAlign w:val="center"/>
                </w:tcPr>
                <w:p w:rsidR="007848E4" w:rsidRPr="0035027D" w:rsidRDefault="007848E4" w:rsidP="00F61680">
                  <w:pPr>
                    <w:spacing w:before="20" w:after="20"/>
                    <w:jc w:val="right"/>
                    <w:rPr>
                      <w:sz w:val="18"/>
                      <w:szCs w:val="18"/>
                    </w:rPr>
                  </w:pPr>
                  <w:r w:rsidRPr="0035027D">
                    <w:rPr>
                      <w:sz w:val="18"/>
                      <w:szCs w:val="18"/>
                    </w:rPr>
                    <w:t>143 898</w:t>
                  </w:r>
                </w:p>
              </w:tc>
              <w:tc>
                <w:tcPr>
                  <w:tcW w:w="679" w:type="dxa"/>
                  <w:tcBorders>
                    <w:top w:val="nil"/>
                    <w:left w:val="nil"/>
                    <w:bottom w:val="nil"/>
                    <w:right w:val="nil"/>
                  </w:tcBorders>
                  <w:noWrap/>
                  <w:vAlign w:val="center"/>
                </w:tcPr>
                <w:p w:rsidR="007848E4" w:rsidRPr="0035027D" w:rsidRDefault="007848E4" w:rsidP="00F61680">
                  <w:pPr>
                    <w:spacing w:before="20" w:after="20"/>
                    <w:jc w:val="right"/>
                    <w:rPr>
                      <w:sz w:val="18"/>
                      <w:szCs w:val="18"/>
                    </w:rPr>
                  </w:pPr>
                  <w:r w:rsidRPr="0035027D">
                    <w:rPr>
                      <w:sz w:val="18"/>
                      <w:szCs w:val="18"/>
                    </w:rPr>
                    <w:t>148 785</w:t>
                  </w:r>
                </w:p>
              </w:tc>
              <w:tc>
                <w:tcPr>
                  <w:tcW w:w="679" w:type="dxa"/>
                  <w:tcBorders>
                    <w:top w:val="nil"/>
                    <w:left w:val="nil"/>
                    <w:bottom w:val="nil"/>
                    <w:right w:val="nil"/>
                  </w:tcBorders>
                  <w:noWrap/>
                  <w:vAlign w:val="center"/>
                </w:tcPr>
                <w:p w:rsidR="007848E4" w:rsidRPr="0035027D" w:rsidRDefault="007848E4" w:rsidP="00F61680">
                  <w:pPr>
                    <w:spacing w:before="20" w:after="20"/>
                    <w:jc w:val="right"/>
                    <w:rPr>
                      <w:sz w:val="18"/>
                      <w:szCs w:val="18"/>
                    </w:rPr>
                  </w:pPr>
                  <w:r w:rsidRPr="0035027D">
                    <w:rPr>
                      <w:sz w:val="18"/>
                      <w:szCs w:val="18"/>
                    </w:rPr>
                    <w:t>148 381</w:t>
                  </w:r>
                </w:p>
              </w:tc>
              <w:tc>
                <w:tcPr>
                  <w:tcW w:w="679" w:type="dxa"/>
                  <w:tcBorders>
                    <w:top w:val="nil"/>
                    <w:left w:val="nil"/>
                    <w:bottom w:val="nil"/>
                    <w:right w:val="nil"/>
                  </w:tcBorders>
                  <w:noWrap/>
                  <w:vAlign w:val="center"/>
                </w:tcPr>
                <w:p w:rsidR="007848E4" w:rsidRPr="0035027D" w:rsidRDefault="007848E4" w:rsidP="00F61680">
                  <w:pPr>
                    <w:spacing w:before="20" w:after="20"/>
                    <w:jc w:val="right"/>
                    <w:rPr>
                      <w:sz w:val="18"/>
                      <w:szCs w:val="18"/>
                    </w:rPr>
                  </w:pPr>
                  <w:r w:rsidRPr="0035027D">
                    <w:rPr>
                      <w:sz w:val="18"/>
                      <w:szCs w:val="18"/>
                    </w:rPr>
                    <w:t>153 704</w:t>
                  </w:r>
                </w:p>
              </w:tc>
              <w:tc>
                <w:tcPr>
                  <w:tcW w:w="679" w:type="dxa"/>
                  <w:tcBorders>
                    <w:top w:val="nil"/>
                    <w:left w:val="nil"/>
                    <w:bottom w:val="nil"/>
                    <w:right w:val="nil"/>
                  </w:tcBorders>
                  <w:noWrap/>
                  <w:vAlign w:val="center"/>
                </w:tcPr>
                <w:p w:rsidR="007848E4" w:rsidRPr="0035027D" w:rsidRDefault="007848E4" w:rsidP="00F61680">
                  <w:pPr>
                    <w:spacing w:before="20" w:after="20"/>
                    <w:jc w:val="right"/>
                    <w:rPr>
                      <w:sz w:val="18"/>
                      <w:szCs w:val="18"/>
                    </w:rPr>
                  </w:pPr>
                  <w:r w:rsidRPr="0035027D">
                    <w:rPr>
                      <w:sz w:val="18"/>
                      <w:szCs w:val="18"/>
                    </w:rPr>
                    <w:t>150 591</w:t>
                  </w:r>
                </w:p>
              </w:tc>
              <w:tc>
                <w:tcPr>
                  <w:tcW w:w="679" w:type="dxa"/>
                  <w:tcBorders>
                    <w:top w:val="nil"/>
                    <w:left w:val="nil"/>
                    <w:bottom w:val="nil"/>
                    <w:right w:val="nil"/>
                  </w:tcBorders>
                  <w:noWrap/>
                  <w:vAlign w:val="center"/>
                </w:tcPr>
                <w:p w:rsidR="007848E4" w:rsidRPr="0035027D" w:rsidRDefault="007848E4" w:rsidP="00F61680">
                  <w:pPr>
                    <w:spacing w:before="20" w:after="20"/>
                    <w:jc w:val="right"/>
                    <w:rPr>
                      <w:sz w:val="18"/>
                      <w:szCs w:val="18"/>
                    </w:rPr>
                  </w:pPr>
                  <w:r w:rsidRPr="0035027D">
                    <w:rPr>
                      <w:sz w:val="18"/>
                      <w:szCs w:val="18"/>
                    </w:rPr>
                    <w:t>130 038</w:t>
                  </w:r>
                </w:p>
              </w:tc>
              <w:tc>
                <w:tcPr>
                  <w:tcW w:w="679" w:type="dxa"/>
                  <w:tcBorders>
                    <w:top w:val="nil"/>
                    <w:left w:val="nil"/>
                    <w:bottom w:val="nil"/>
                    <w:right w:val="nil"/>
                  </w:tcBorders>
                  <w:noWrap/>
                  <w:vAlign w:val="center"/>
                </w:tcPr>
                <w:p w:rsidR="007848E4" w:rsidRPr="0035027D" w:rsidRDefault="007848E4" w:rsidP="00F61680">
                  <w:pPr>
                    <w:spacing w:before="20" w:after="20"/>
                    <w:jc w:val="right"/>
                    <w:rPr>
                      <w:sz w:val="18"/>
                      <w:szCs w:val="18"/>
                    </w:rPr>
                  </w:pPr>
                  <w:r w:rsidRPr="0035027D">
                    <w:rPr>
                      <w:sz w:val="18"/>
                      <w:szCs w:val="18"/>
                    </w:rPr>
                    <w:t>134 268</w:t>
                  </w:r>
                </w:p>
              </w:tc>
              <w:tc>
                <w:tcPr>
                  <w:tcW w:w="679" w:type="dxa"/>
                  <w:tcBorders>
                    <w:top w:val="nil"/>
                    <w:left w:val="nil"/>
                    <w:bottom w:val="nil"/>
                    <w:right w:val="single" w:sz="4" w:space="0" w:color="auto"/>
                  </w:tcBorders>
                  <w:noWrap/>
                  <w:vAlign w:val="center"/>
                </w:tcPr>
                <w:p w:rsidR="007848E4" w:rsidRPr="0035027D" w:rsidRDefault="007848E4" w:rsidP="00F61680">
                  <w:pPr>
                    <w:spacing w:before="20" w:after="20"/>
                    <w:jc w:val="right"/>
                    <w:rPr>
                      <w:sz w:val="18"/>
                      <w:szCs w:val="18"/>
                    </w:rPr>
                  </w:pPr>
                  <w:r w:rsidRPr="0035027D">
                    <w:rPr>
                      <w:sz w:val="18"/>
                      <w:szCs w:val="18"/>
                    </w:rPr>
                    <w:t>135 575</w:t>
                  </w:r>
                </w:p>
              </w:tc>
            </w:tr>
            <w:tr w:rsidR="007848E4" w:rsidRPr="0035027D" w:rsidTr="00F61680">
              <w:trPr>
                <w:trHeight w:val="255"/>
              </w:trPr>
              <w:tc>
                <w:tcPr>
                  <w:tcW w:w="1602" w:type="dxa"/>
                  <w:tcBorders>
                    <w:top w:val="nil"/>
                    <w:left w:val="single" w:sz="4" w:space="0" w:color="auto"/>
                    <w:bottom w:val="nil"/>
                    <w:right w:val="nil"/>
                  </w:tcBorders>
                  <w:vAlign w:val="center"/>
                </w:tcPr>
                <w:p w:rsidR="007848E4" w:rsidRPr="0035027D" w:rsidRDefault="007848E4" w:rsidP="00F61680">
                  <w:pPr>
                    <w:spacing w:before="20" w:after="20"/>
                    <w:rPr>
                      <w:b/>
                      <w:bCs/>
                      <w:sz w:val="18"/>
                      <w:szCs w:val="18"/>
                    </w:rPr>
                  </w:pPr>
                  <w:r w:rsidRPr="0035027D">
                    <w:rPr>
                      <w:b/>
                      <w:bCs/>
                      <w:sz w:val="18"/>
                      <w:szCs w:val="18"/>
                    </w:rPr>
                    <w:t>Doprava</w:t>
                  </w:r>
                </w:p>
              </w:tc>
              <w:tc>
                <w:tcPr>
                  <w:tcW w:w="680" w:type="dxa"/>
                  <w:tcBorders>
                    <w:top w:val="nil"/>
                    <w:left w:val="nil"/>
                    <w:bottom w:val="nil"/>
                    <w:right w:val="nil"/>
                  </w:tcBorders>
                  <w:noWrap/>
                  <w:vAlign w:val="center"/>
                </w:tcPr>
                <w:p w:rsidR="007848E4" w:rsidRPr="0035027D" w:rsidRDefault="007848E4" w:rsidP="00F61680">
                  <w:pPr>
                    <w:spacing w:before="20" w:after="20"/>
                    <w:jc w:val="right"/>
                    <w:rPr>
                      <w:sz w:val="18"/>
                      <w:szCs w:val="18"/>
                    </w:rPr>
                  </w:pPr>
                  <w:r w:rsidRPr="0035027D">
                    <w:rPr>
                      <w:sz w:val="18"/>
                      <w:szCs w:val="18"/>
                    </w:rPr>
                    <w:t>61 528</w:t>
                  </w:r>
                </w:p>
              </w:tc>
              <w:tc>
                <w:tcPr>
                  <w:tcW w:w="679" w:type="dxa"/>
                  <w:tcBorders>
                    <w:top w:val="nil"/>
                    <w:left w:val="nil"/>
                    <w:bottom w:val="nil"/>
                    <w:right w:val="nil"/>
                  </w:tcBorders>
                  <w:noWrap/>
                  <w:vAlign w:val="center"/>
                </w:tcPr>
                <w:p w:rsidR="007848E4" w:rsidRPr="0035027D" w:rsidRDefault="007848E4" w:rsidP="00F61680">
                  <w:pPr>
                    <w:spacing w:before="20" w:after="20"/>
                    <w:jc w:val="right"/>
                    <w:rPr>
                      <w:sz w:val="18"/>
                      <w:szCs w:val="18"/>
                    </w:rPr>
                  </w:pPr>
                  <w:r w:rsidRPr="0035027D">
                    <w:rPr>
                      <w:sz w:val="18"/>
                      <w:szCs w:val="18"/>
                    </w:rPr>
                    <w:t>74 834</w:t>
                  </w:r>
                </w:p>
              </w:tc>
              <w:tc>
                <w:tcPr>
                  <w:tcW w:w="679" w:type="dxa"/>
                  <w:tcBorders>
                    <w:top w:val="nil"/>
                    <w:left w:val="nil"/>
                    <w:bottom w:val="nil"/>
                    <w:right w:val="nil"/>
                  </w:tcBorders>
                  <w:noWrap/>
                  <w:vAlign w:val="center"/>
                </w:tcPr>
                <w:p w:rsidR="007848E4" w:rsidRPr="0035027D" w:rsidRDefault="007848E4" w:rsidP="00F61680">
                  <w:pPr>
                    <w:spacing w:before="20" w:after="20"/>
                    <w:jc w:val="right"/>
                    <w:rPr>
                      <w:sz w:val="18"/>
                      <w:szCs w:val="18"/>
                    </w:rPr>
                  </w:pPr>
                  <w:r w:rsidRPr="0035027D">
                    <w:rPr>
                      <w:sz w:val="18"/>
                      <w:szCs w:val="18"/>
                    </w:rPr>
                    <w:t>66 932</w:t>
                  </w:r>
                </w:p>
              </w:tc>
              <w:tc>
                <w:tcPr>
                  <w:tcW w:w="679" w:type="dxa"/>
                  <w:tcBorders>
                    <w:top w:val="nil"/>
                    <w:left w:val="nil"/>
                    <w:bottom w:val="nil"/>
                    <w:right w:val="nil"/>
                  </w:tcBorders>
                  <w:noWrap/>
                  <w:vAlign w:val="center"/>
                </w:tcPr>
                <w:p w:rsidR="007848E4" w:rsidRPr="0035027D" w:rsidRDefault="007848E4" w:rsidP="00F61680">
                  <w:pPr>
                    <w:spacing w:before="20" w:after="20"/>
                    <w:jc w:val="right"/>
                    <w:rPr>
                      <w:sz w:val="18"/>
                      <w:szCs w:val="18"/>
                    </w:rPr>
                  </w:pPr>
                  <w:r w:rsidRPr="0035027D">
                    <w:rPr>
                      <w:sz w:val="18"/>
                      <w:szCs w:val="18"/>
                    </w:rPr>
                    <w:t>64 469</w:t>
                  </w:r>
                </w:p>
              </w:tc>
              <w:tc>
                <w:tcPr>
                  <w:tcW w:w="679" w:type="dxa"/>
                  <w:tcBorders>
                    <w:top w:val="nil"/>
                    <w:left w:val="nil"/>
                    <w:bottom w:val="nil"/>
                    <w:right w:val="nil"/>
                  </w:tcBorders>
                  <w:noWrap/>
                  <w:vAlign w:val="center"/>
                </w:tcPr>
                <w:p w:rsidR="007848E4" w:rsidRPr="0035027D" w:rsidRDefault="007848E4" w:rsidP="00F61680">
                  <w:pPr>
                    <w:spacing w:before="20" w:after="20"/>
                    <w:jc w:val="right"/>
                    <w:rPr>
                      <w:sz w:val="18"/>
                      <w:szCs w:val="18"/>
                    </w:rPr>
                  </w:pPr>
                  <w:r w:rsidRPr="0035027D">
                    <w:rPr>
                      <w:sz w:val="18"/>
                      <w:szCs w:val="18"/>
                    </w:rPr>
                    <w:t>74 846</w:t>
                  </w:r>
                </w:p>
              </w:tc>
              <w:tc>
                <w:tcPr>
                  <w:tcW w:w="679" w:type="dxa"/>
                  <w:tcBorders>
                    <w:top w:val="nil"/>
                    <w:left w:val="nil"/>
                    <w:bottom w:val="nil"/>
                    <w:right w:val="nil"/>
                  </w:tcBorders>
                  <w:noWrap/>
                  <w:vAlign w:val="center"/>
                </w:tcPr>
                <w:p w:rsidR="007848E4" w:rsidRPr="0035027D" w:rsidRDefault="007848E4" w:rsidP="00F61680">
                  <w:pPr>
                    <w:spacing w:before="20" w:after="20"/>
                    <w:jc w:val="right"/>
                    <w:rPr>
                      <w:sz w:val="18"/>
                      <w:szCs w:val="18"/>
                    </w:rPr>
                  </w:pPr>
                  <w:r w:rsidRPr="0035027D">
                    <w:rPr>
                      <w:sz w:val="18"/>
                      <w:szCs w:val="18"/>
                    </w:rPr>
                    <w:t>76 496</w:t>
                  </w:r>
                </w:p>
              </w:tc>
              <w:tc>
                <w:tcPr>
                  <w:tcW w:w="679" w:type="dxa"/>
                  <w:tcBorders>
                    <w:top w:val="nil"/>
                    <w:left w:val="nil"/>
                    <w:bottom w:val="nil"/>
                    <w:right w:val="nil"/>
                  </w:tcBorders>
                  <w:noWrap/>
                  <w:vAlign w:val="center"/>
                </w:tcPr>
                <w:p w:rsidR="007848E4" w:rsidRPr="0035027D" w:rsidRDefault="007848E4" w:rsidP="00F61680">
                  <w:pPr>
                    <w:spacing w:before="20" w:after="20"/>
                    <w:jc w:val="right"/>
                    <w:rPr>
                      <w:sz w:val="18"/>
                      <w:szCs w:val="18"/>
                    </w:rPr>
                  </w:pPr>
                  <w:r w:rsidRPr="0035027D">
                    <w:rPr>
                      <w:sz w:val="18"/>
                      <w:szCs w:val="18"/>
                    </w:rPr>
                    <w:t>85 004</w:t>
                  </w:r>
                </w:p>
              </w:tc>
              <w:tc>
                <w:tcPr>
                  <w:tcW w:w="679" w:type="dxa"/>
                  <w:tcBorders>
                    <w:top w:val="nil"/>
                    <w:left w:val="nil"/>
                    <w:bottom w:val="nil"/>
                    <w:right w:val="nil"/>
                  </w:tcBorders>
                  <w:noWrap/>
                  <w:vAlign w:val="center"/>
                </w:tcPr>
                <w:p w:rsidR="007848E4" w:rsidRPr="0035027D" w:rsidRDefault="007848E4" w:rsidP="00F61680">
                  <w:pPr>
                    <w:spacing w:before="20" w:after="20"/>
                    <w:jc w:val="right"/>
                    <w:rPr>
                      <w:sz w:val="18"/>
                      <w:szCs w:val="18"/>
                    </w:rPr>
                  </w:pPr>
                  <w:r w:rsidRPr="0035027D">
                    <w:rPr>
                      <w:sz w:val="18"/>
                      <w:szCs w:val="18"/>
                    </w:rPr>
                    <w:t>91 490</w:t>
                  </w:r>
                </w:p>
              </w:tc>
              <w:tc>
                <w:tcPr>
                  <w:tcW w:w="679" w:type="dxa"/>
                  <w:tcBorders>
                    <w:top w:val="nil"/>
                    <w:left w:val="nil"/>
                    <w:bottom w:val="nil"/>
                    <w:right w:val="nil"/>
                  </w:tcBorders>
                  <w:noWrap/>
                  <w:vAlign w:val="center"/>
                </w:tcPr>
                <w:p w:rsidR="007848E4" w:rsidRPr="0035027D" w:rsidRDefault="007848E4" w:rsidP="00F61680">
                  <w:pPr>
                    <w:spacing w:before="20" w:after="20"/>
                    <w:jc w:val="right"/>
                    <w:rPr>
                      <w:sz w:val="18"/>
                      <w:szCs w:val="18"/>
                    </w:rPr>
                  </w:pPr>
                  <w:r w:rsidRPr="0035027D">
                    <w:rPr>
                      <w:sz w:val="18"/>
                      <w:szCs w:val="18"/>
                    </w:rPr>
                    <w:t>81 895</w:t>
                  </w:r>
                </w:p>
              </w:tc>
              <w:tc>
                <w:tcPr>
                  <w:tcW w:w="679" w:type="dxa"/>
                  <w:tcBorders>
                    <w:top w:val="nil"/>
                    <w:left w:val="nil"/>
                    <w:bottom w:val="nil"/>
                    <w:right w:val="nil"/>
                  </w:tcBorders>
                  <w:noWrap/>
                  <w:vAlign w:val="center"/>
                </w:tcPr>
                <w:p w:rsidR="007848E4" w:rsidRPr="0035027D" w:rsidRDefault="007848E4" w:rsidP="00F61680">
                  <w:pPr>
                    <w:spacing w:before="20" w:after="20"/>
                    <w:jc w:val="right"/>
                    <w:rPr>
                      <w:sz w:val="18"/>
                      <w:szCs w:val="18"/>
                    </w:rPr>
                  </w:pPr>
                  <w:r w:rsidRPr="0035027D">
                    <w:rPr>
                      <w:sz w:val="18"/>
                      <w:szCs w:val="18"/>
                    </w:rPr>
                    <w:t>94 303</w:t>
                  </w:r>
                </w:p>
              </w:tc>
              <w:tc>
                <w:tcPr>
                  <w:tcW w:w="679" w:type="dxa"/>
                  <w:tcBorders>
                    <w:top w:val="nil"/>
                    <w:left w:val="nil"/>
                    <w:bottom w:val="nil"/>
                    <w:right w:val="single" w:sz="4" w:space="0" w:color="auto"/>
                  </w:tcBorders>
                  <w:noWrap/>
                  <w:vAlign w:val="center"/>
                </w:tcPr>
                <w:p w:rsidR="007848E4" w:rsidRPr="0035027D" w:rsidRDefault="007848E4" w:rsidP="00F61680">
                  <w:pPr>
                    <w:spacing w:before="20" w:after="20"/>
                    <w:jc w:val="right"/>
                    <w:rPr>
                      <w:sz w:val="18"/>
                      <w:szCs w:val="18"/>
                    </w:rPr>
                  </w:pPr>
                  <w:r w:rsidRPr="0035027D">
                    <w:rPr>
                      <w:sz w:val="18"/>
                      <w:szCs w:val="18"/>
                    </w:rPr>
                    <w:t>92 851</w:t>
                  </w:r>
                </w:p>
              </w:tc>
            </w:tr>
            <w:tr w:rsidR="007848E4" w:rsidRPr="0035027D" w:rsidTr="00F61680">
              <w:trPr>
                <w:trHeight w:val="255"/>
              </w:trPr>
              <w:tc>
                <w:tcPr>
                  <w:tcW w:w="1602" w:type="dxa"/>
                  <w:tcBorders>
                    <w:top w:val="nil"/>
                    <w:left w:val="single" w:sz="4" w:space="0" w:color="auto"/>
                    <w:bottom w:val="nil"/>
                    <w:right w:val="nil"/>
                  </w:tcBorders>
                  <w:vAlign w:val="center"/>
                </w:tcPr>
                <w:p w:rsidR="007848E4" w:rsidRPr="0035027D" w:rsidRDefault="007848E4" w:rsidP="00F61680">
                  <w:pPr>
                    <w:spacing w:before="20" w:after="20"/>
                    <w:rPr>
                      <w:b/>
                      <w:bCs/>
                      <w:sz w:val="18"/>
                      <w:szCs w:val="18"/>
                    </w:rPr>
                  </w:pPr>
                  <w:r w:rsidRPr="0035027D">
                    <w:rPr>
                      <w:b/>
                      <w:bCs/>
                      <w:sz w:val="18"/>
                      <w:szCs w:val="18"/>
                    </w:rPr>
                    <w:t>Domácnosti</w:t>
                  </w:r>
                </w:p>
              </w:tc>
              <w:tc>
                <w:tcPr>
                  <w:tcW w:w="680" w:type="dxa"/>
                  <w:tcBorders>
                    <w:top w:val="nil"/>
                    <w:left w:val="nil"/>
                    <w:bottom w:val="nil"/>
                    <w:right w:val="nil"/>
                  </w:tcBorders>
                  <w:noWrap/>
                  <w:vAlign w:val="center"/>
                </w:tcPr>
                <w:p w:rsidR="007848E4" w:rsidRPr="0035027D" w:rsidRDefault="007848E4" w:rsidP="00F61680">
                  <w:pPr>
                    <w:spacing w:before="20" w:after="20"/>
                    <w:jc w:val="right"/>
                    <w:rPr>
                      <w:sz w:val="18"/>
                      <w:szCs w:val="18"/>
                    </w:rPr>
                  </w:pPr>
                  <w:r w:rsidRPr="0035027D">
                    <w:rPr>
                      <w:sz w:val="18"/>
                      <w:szCs w:val="18"/>
                    </w:rPr>
                    <w:t>128 947</w:t>
                  </w:r>
                </w:p>
              </w:tc>
              <w:tc>
                <w:tcPr>
                  <w:tcW w:w="679" w:type="dxa"/>
                  <w:tcBorders>
                    <w:top w:val="nil"/>
                    <w:left w:val="nil"/>
                    <w:bottom w:val="nil"/>
                    <w:right w:val="nil"/>
                  </w:tcBorders>
                  <w:noWrap/>
                  <w:vAlign w:val="center"/>
                </w:tcPr>
                <w:p w:rsidR="007848E4" w:rsidRPr="0035027D" w:rsidRDefault="007848E4" w:rsidP="00F61680">
                  <w:pPr>
                    <w:spacing w:before="20" w:after="20"/>
                    <w:jc w:val="right"/>
                    <w:rPr>
                      <w:sz w:val="18"/>
                      <w:szCs w:val="18"/>
                    </w:rPr>
                  </w:pPr>
                  <w:r w:rsidRPr="0035027D">
                    <w:rPr>
                      <w:sz w:val="18"/>
                      <w:szCs w:val="18"/>
                    </w:rPr>
                    <w:t>123 805</w:t>
                  </w:r>
                </w:p>
              </w:tc>
              <w:tc>
                <w:tcPr>
                  <w:tcW w:w="679" w:type="dxa"/>
                  <w:tcBorders>
                    <w:top w:val="nil"/>
                    <w:left w:val="nil"/>
                    <w:bottom w:val="nil"/>
                    <w:right w:val="nil"/>
                  </w:tcBorders>
                  <w:noWrap/>
                  <w:vAlign w:val="center"/>
                </w:tcPr>
                <w:p w:rsidR="007848E4" w:rsidRPr="0035027D" w:rsidRDefault="007848E4" w:rsidP="00F61680">
                  <w:pPr>
                    <w:spacing w:before="20" w:after="20"/>
                    <w:jc w:val="right"/>
                    <w:rPr>
                      <w:sz w:val="18"/>
                      <w:szCs w:val="18"/>
                    </w:rPr>
                  </w:pPr>
                  <w:r w:rsidRPr="0035027D">
                    <w:rPr>
                      <w:sz w:val="18"/>
                      <w:szCs w:val="18"/>
                    </w:rPr>
                    <w:t>118 887</w:t>
                  </w:r>
                </w:p>
              </w:tc>
              <w:tc>
                <w:tcPr>
                  <w:tcW w:w="679" w:type="dxa"/>
                  <w:tcBorders>
                    <w:top w:val="nil"/>
                    <w:left w:val="nil"/>
                    <w:bottom w:val="nil"/>
                    <w:right w:val="nil"/>
                  </w:tcBorders>
                  <w:noWrap/>
                  <w:vAlign w:val="center"/>
                </w:tcPr>
                <w:p w:rsidR="007848E4" w:rsidRPr="0035027D" w:rsidRDefault="007848E4" w:rsidP="00F61680">
                  <w:pPr>
                    <w:spacing w:before="20" w:after="20"/>
                    <w:jc w:val="right"/>
                    <w:rPr>
                      <w:sz w:val="18"/>
                      <w:szCs w:val="18"/>
                    </w:rPr>
                  </w:pPr>
                  <w:r w:rsidRPr="0035027D">
                    <w:rPr>
                      <w:sz w:val="18"/>
                      <w:szCs w:val="18"/>
                    </w:rPr>
                    <w:t>111 645</w:t>
                  </w:r>
                </w:p>
              </w:tc>
              <w:tc>
                <w:tcPr>
                  <w:tcW w:w="679" w:type="dxa"/>
                  <w:tcBorders>
                    <w:top w:val="nil"/>
                    <w:left w:val="nil"/>
                    <w:bottom w:val="nil"/>
                    <w:right w:val="nil"/>
                  </w:tcBorders>
                  <w:noWrap/>
                  <w:vAlign w:val="center"/>
                </w:tcPr>
                <w:p w:rsidR="007848E4" w:rsidRPr="0035027D" w:rsidRDefault="007848E4" w:rsidP="00F61680">
                  <w:pPr>
                    <w:spacing w:before="20" w:after="20"/>
                    <w:jc w:val="right"/>
                    <w:rPr>
                      <w:sz w:val="18"/>
                      <w:szCs w:val="18"/>
                    </w:rPr>
                  </w:pPr>
                  <w:r w:rsidRPr="0035027D">
                    <w:rPr>
                      <w:sz w:val="18"/>
                      <w:szCs w:val="18"/>
                    </w:rPr>
                    <w:t>106 059</w:t>
                  </w:r>
                </w:p>
              </w:tc>
              <w:tc>
                <w:tcPr>
                  <w:tcW w:w="679" w:type="dxa"/>
                  <w:tcBorders>
                    <w:top w:val="nil"/>
                    <w:left w:val="nil"/>
                    <w:bottom w:val="nil"/>
                    <w:right w:val="nil"/>
                  </w:tcBorders>
                  <w:noWrap/>
                  <w:vAlign w:val="center"/>
                </w:tcPr>
                <w:p w:rsidR="007848E4" w:rsidRPr="0035027D" w:rsidRDefault="007848E4" w:rsidP="00F61680">
                  <w:pPr>
                    <w:spacing w:before="20" w:after="20"/>
                    <w:jc w:val="right"/>
                    <w:rPr>
                      <w:sz w:val="18"/>
                      <w:szCs w:val="18"/>
                    </w:rPr>
                  </w:pPr>
                  <w:r w:rsidRPr="0035027D">
                    <w:rPr>
                      <w:sz w:val="18"/>
                      <w:szCs w:val="18"/>
                    </w:rPr>
                    <w:t>96 721</w:t>
                  </w:r>
                </w:p>
              </w:tc>
              <w:tc>
                <w:tcPr>
                  <w:tcW w:w="679" w:type="dxa"/>
                  <w:tcBorders>
                    <w:top w:val="nil"/>
                    <w:left w:val="nil"/>
                    <w:bottom w:val="nil"/>
                    <w:right w:val="nil"/>
                  </w:tcBorders>
                  <w:noWrap/>
                  <w:vAlign w:val="center"/>
                </w:tcPr>
                <w:p w:rsidR="007848E4" w:rsidRPr="0035027D" w:rsidRDefault="007848E4" w:rsidP="00F61680">
                  <w:pPr>
                    <w:spacing w:before="20" w:after="20"/>
                    <w:jc w:val="right"/>
                    <w:rPr>
                      <w:sz w:val="18"/>
                      <w:szCs w:val="18"/>
                    </w:rPr>
                  </w:pPr>
                  <w:r w:rsidRPr="0035027D">
                    <w:rPr>
                      <w:sz w:val="18"/>
                      <w:szCs w:val="18"/>
                    </w:rPr>
                    <w:t>87 248</w:t>
                  </w:r>
                </w:p>
              </w:tc>
              <w:tc>
                <w:tcPr>
                  <w:tcW w:w="679" w:type="dxa"/>
                  <w:tcBorders>
                    <w:top w:val="nil"/>
                    <w:left w:val="nil"/>
                    <w:bottom w:val="nil"/>
                    <w:right w:val="nil"/>
                  </w:tcBorders>
                  <w:noWrap/>
                  <w:vAlign w:val="center"/>
                </w:tcPr>
                <w:p w:rsidR="007848E4" w:rsidRPr="0035027D" w:rsidRDefault="007848E4" w:rsidP="00F61680">
                  <w:pPr>
                    <w:spacing w:before="20" w:after="20"/>
                    <w:jc w:val="right"/>
                    <w:rPr>
                      <w:sz w:val="18"/>
                      <w:szCs w:val="18"/>
                    </w:rPr>
                  </w:pPr>
                  <w:r w:rsidRPr="0035027D">
                    <w:rPr>
                      <w:sz w:val="18"/>
                      <w:szCs w:val="18"/>
                    </w:rPr>
                    <w:t>89 209</w:t>
                  </w:r>
                </w:p>
              </w:tc>
              <w:tc>
                <w:tcPr>
                  <w:tcW w:w="679" w:type="dxa"/>
                  <w:tcBorders>
                    <w:top w:val="nil"/>
                    <w:left w:val="nil"/>
                    <w:bottom w:val="nil"/>
                    <w:right w:val="nil"/>
                  </w:tcBorders>
                  <w:noWrap/>
                  <w:vAlign w:val="center"/>
                </w:tcPr>
                <w:p w:rsidR="007848E4" w:rsidRPr="0035027D" w:rsidRDefault="007848E4" w:rsidP="00F61680">
                  <w:pPr>
                    <w:spacing w:before="20" w:after="20"/>
                    <w:jc w:val="right"/>
                    <w:rPr>
                      <w:sz w:val="18"/>
                      <w:szCs w:val="18"/>
                    </w:rPr>
                  </w:pPr>
                  <w:r w:rsidRPr="0035027D">
                    <w:rPr>
                      <w:sz w:val="18"/>
                      <w:szCs w:val="18"/>
                    </w:rPr>
                    <w:t>89 994</w:t>
                  </w:r>
                </w:p>
              </w:tc>
              <w:tc>
                <w:tcPr>
                  <w:tcW w:w="679" w:type="dxa"/>
                  <w:tcBorders>
                    <w:top w:val="nil"/>
                    <w:left w:val="nil"/>
                    <w:bottom w:val="nil"/>
                    <w:right w:val="nil"/>
                  </w:tcBorders>
                  <w:noWrap/>
                  <w:vAlign w:val="center"/>
                </w:tcPr>
                <w:p w:rsidR="007848E4" w:rsidRPr="0035027D" w:rsidRDefault="007848E4" w:rsidP="00F61680">
                  <w:pPr>
                    <w:spacing w:before="20" w:after="20"/>
                    <w:jc w:val="right"/>
                    <w:rPr>
                      <w:sz w:val="18"/>
                      <w:szCs w:val="18"/>
                    </w:rPr>
                  </w:pPr>
                  <w:r w:rsidRPr="0035027D">
                    <w:rPr>
                      <w:sz w:val="18"/>
                      <w:szCs w:val="18"/>
                    </w:rPr>
                    <w:t>96 595</w:t>
                  </w:r>
                </w:p>
              </w:tc>
              <w:tc>
                <w:tcPr>
                  <w:tcW w:w="679" w:type="dxa"/>
                  <w:tcBorders>
                    <w:top w:val="nil"/>
                    <w:left w:val="nil"/>
                    <w:bottom w:val="nil"/>
                    <w:right w:val="single" w:sz="4" w:space="0" w:color="auto"/>
                  </w:tcBorders>
                  <w:noWrap/>
                  <w:vAlign w:val="center"/>
                </w:tcPr>
                <w:p w:rsidR="007848E4" w:rsidRPr="0035027D" w:rsidRDefault="007848E4" w:rsidP="00F61680">
                  <w:pPr>
                    <w:spacing w:before="20" w:after="20"/>
                    <w:jc w:val="right"/>
                    <w:rPr>
                      <w:sz w:val="18"/>
                      <w:szCs w:val="18"/>
                    </w:rPr>
                  </w:pPr>
                  <w:r w:rsidRPr="0035027D">
                    <w:rPr>
                      <w:sz w:val="18"/>
                      <w:szCs w:val="18"/>
                    </w:rPr>
                    <w:t>92 918</w:t>
                  </w:r>
                </w:p>
              </w:tc>
            </w:tr>
            <w:tr w:rsidR="007848E4" w:rsidRPr="0035027D" w:rsidTr="00F61680">
              <w:trPr>
                <w:trHeight w:val="255"/>
              </w:trPr>
              <w:tc>
                <w:tcPr>
                  <w:tcW w:w="1602" w:type="dxa"/>
                  <w:tcBorders>
                    <w:top w:val="nil"/>
                    <w:left w:val="single" w:sz="4" w:space="0" w:color="auto"/>
                    <w:bottom w:val="nil"/>
                    <w:right w:val="nil"/>
                  </w:tcBorders>
                  <w:vAlign w:val="center"/>
                </w:tcPr>
                <w:p w:rsidR="007848E4" w:rsidRPr="0035027D" w:rsidRDefault="007848E4" w:rsidP="00F61680">
                  <w:pPr>
                    <w:spacing w:before="20" w:after="20"/>
                    <w:rPr>
                      <w:b/>
                      <w:bCs/>
                      <w:sz w:val="18"/>
                      <w:szCs w:val="18"/>
                    </w:rPr>
                  </w:pPr>
                  <w:r w:rsidRPr="0035027D">
                    <w:rPr>
                      <w:b/>
                      <w:bCs/>
                      <w:sz w:val="18"/>
                      <w:szCs w:val="18"/>
                    </w:rPr>
                    <w:t>Pôdohospodárstvo</w:t>
                  </w:r>
                </w:p>
              </w:tc>
              <w:tc>
                <w:tcPr>
                  <w:tcW w:w="680" w:type="dxa"/>
                  <w:tcBorders>
                    <w:top w:val="nil"/>
                    <w:left w:val="nil"/>
                    <w:bottom w:val="nil"/>
                    <w:right w:val="nil"/>
                  </w:tcBorders>
                  <w:noWrap/>
                  <w:vAlign w:val="center"/>
                </w:tcPr>
                <w:p w:rsidR="007848E4" w:rsidRPr="0035027D" w:rsidRDefault="007848E4" w:rsidP="00F61680">
                  <w:pPr>
                    <w:spacing w:before="20" w:after="20"/>
                    <w:jc w:val="right"/>
                    <w:rPr>
                      <w:sz w:val="18"/>
                      <w:szCs w:val="18"/>
                    </w:rPr>
                  </w:pPr>
                  <w:r w:rsidRPr="0035027D">
                    <w:rPr>
                      <w:sz w:val="18"/>
                      <w:szCs w:val="18"/>
                    </w:rPr>
                    <w:t>7 689</w:t>
                  </w:r>
                </w:p>
              </w:tc>
              <w:tc>
                <w:tcPr>
                  <w:tcW w:w="679" w:type="dxa"/>
                  <w:tcBorders>
                    <w:top w:val="nil"/>
                    <w:left w:val="nil"/>
                    <w:bottom w:val="nil"/>
                    <w:right w:val="nil"/>
                  </w:tcBorders>
                  <w:noWrap/>
                  <w:vAlign w:val="center"/>
                </w:tcPr>
                <w:p w:rsidR="007848E4" w:rsidRPr="0035027D" w:rsidRDefault="007848E4" w:rsidP="00F61680">
                  <w:pPr>
                    <w:spacing w:before="20" w:after="20"/>
                    <w:jc w:val="right"/>
                    <w:rPr>
                      <w:sz w:val="18"/>
                      <w:szCs w:val="18"/>
                    </w:rPr>
                  </w:pPr>
                  <w:r w:rsidRPr="0035027D">
                    <w:rPr>
                      <w:sz w:val="18"/>
                      <w:szCs w:val="18"/>
                    </w:rPr>
                    <w:t>6 872</w:t>
                  </w:r>
                </w:p>
              </w:tc>
              <w:tc>
                <w:tcPr>
                  <w:tcW w:w="679" w:type="dxa"/>
                  <w:tcBorders>
                    <w:top w:val="nil"/>
                    <w:left w:val="nil"/>
                    <w:bottom w:val="nil"/>
                    <w:right w:val="nil"/>
                  </w:tcBorders>
                  <w:noWrap/>
                  <w:vAlign w:val="center"/>
                </w:tcPr>
                <w:p w:rsidR="007848E4" w:rsidRPr="0035027D" w:rsidRDefault="007848E4" w:rsidP="00F61680">
                  <w:pPr>
                    <w:spacing w:before="20" w:after="20"/>
                    <w:jc w:val="right"/>
                    <w:rPr>
                      <w:sz w:val="18"/>
                      <w:szCs w:val="18"/>
                    </w:rPr>
                  </w:pPr>
                  <w:r w:rsidRPr="0035027D">
                    <w:rPr>
                      <w:sz w:val="18"/>
                      <w:szCs w:val="18"/>
                    </w:rPr>
                    <w:t>6 608</w:t>
                  </w:r>
                </w:p>
              </w:tc>
              <w:tc>
                <w:tcPr>
                  <w:tcW w:w="679" w:type="dxa"/>
                  <w:tcBorders>
                    <w:top w:val="nil"/>
                    <w:left w:val="nil"/>
                    <w:bottom w:val="nil"/>
                    <w:right w:val="nil"/>
                  </w:tcBorders>
                  <w:noWrap/>
                  <w:vAlign w:val="center"/>
                </w:tcPr>
                <w:p w:rsidR="007848E4" w:rsidRPr="0035027D" w:rsidRDefault="007848E4" w:rsidP="00F61680">
                  <w:pPr>
                    <w:spacing w:before="20" w:after="20"/>
                    <w:jc w:val="right"/>
                    <w:rPr>
                      <w:sz w:val="18"/>
                      <w:szCs w:val="18"/>
                    </w:rPr>
                  </w:pPr>
                  <w:r w:rsidRPr="0035027D">
                    <w:rPr>
                      <w:sz w:val="18"/>
                      <w:szCs w:val="18"/>
                    </w:rPr>
                    <w:t>6 920</w:t>
                  </w:r>
                </w:p>
              </w:tc>
              <w:tc>
                <w:tcPr>
                  <w:tcW w:w="679" w:type="dxa"/>
                  <w:tcBorders>
                    <w:top w:val="nil"/>
                    <w:left w:val="nil"/>
                    <w:bottom w:val="nil"/>
                    <w:right w:val="nil"/>
                  </w:tcBorders>
                  <w:noWrap/>
                  <w:vAlign w:val="center"/>
                </w:tcPr>
                <w:p w:rsidR="007848E4" w:rsidRPr="0035027D" w:rsidRDefault="007848E4" w:rsidP="00F61680">
                  <w:pPr>
                    <w:spacing w:before="20" w:after="20"/>
                    <w:jc w:val="right"/>
                    <w:rPr>
                      <w:sz w:val="18"/>
                      <w:szCs w:val="18"/>
                    </w:rPr>
                  </w:pPr>
                  <w:r w:rsidRPr="0035027D">
                    <w:rPr>
                      <w:sz w:val="18"/>
                      <w:szCs w:val="18"/>
                    </w:rPr>
                    <w:t>6 847</w:t>
                  </w:r>
                </w:p>
              </w:tc>
              <w:tc>
                <w:tcPr>
                  <w:tcW w:w="679" w:type="dxa"/>
                  <w:tcBorders>
                    <w:top w:val="nil"/>
                    <w:left w:val="nil"/>
                    <w:bottom w:val="nil"/>
                    <w:right w:val="nil"/>
                  </w:tcBorders>
                  <w:noWrap/>
                  <w:vAlign w:val="center"/>
                </w:tcPr>
                <w:p w:rsidR="007848E4" w:rsidRPr="0035027D" w:rsidRDefault="007848E4" w:rsidP="00F61680">
                  <w:pPr>
                    <w:spacing w:before="20" w:after="20"/>
                    <w:jc w:val="right"/>
                    <w:rPr>
                      <w:sz w:val="18"/>
                      <w:szCs w:val="18"/>
                    </w:rPr>
                  </w:pPr>
                  <w:r w:rsidRPr="0035027D">
                    <w:rPr>
                      <w:sz w:val="18"/>
                      <w:szCs w:val="18"/>
                    </w:rPr>
                    <w:t>5 895</w:t>
                  </w:r>
                </w:p>
              </w:tc>
              <w:tc>
                <w:tcPr>
                  <w:tcW w:w="679" w:type="dxa"/>
                  <w:tcBorders>
                    <w:top w:val="nil"/>
                    <w:left w:val="nil"/>
                    <w:bottom w:val="nil"/>
                    <w:right w:val="nil"/>
                  </w:tcBorders>
                  <w:noWrap/>
                  <w:vAlign w:val="center"/>
                </w:tcPr>
                <w:p w:rsidR="007848E4" w:rsidRPr="0035027D" w:rsidRDefault="007848E4" w:rsidP="00F61680">
                  <w:pPr>
                    <w:spacing w:before="20" w:after="20"/>
                    <w:jc w:val="right"/>
                    <w:rPr>
                      <w:sz w:val="18"/>
                      <w:szCs w:val="18"/>
                    </w:rPr>
                  </w:pPr>
                  <w:r w:rsidRPr="0035027D">
                    <w:rPr>
                      <w:sz w:val="18"/>
                      <w:szCs w:val="18"/>
                    </w:rPr>
                    <w:t>5 673</w:t>
                  </w:r>
                </w:p>
              </w:tc>
              <w:tc>
                <w:tcPr>
                  <w:tcW w:w="679" w:type="dxa"/>
                  <w:tcBorders>
                    <w:top w:val="nil"/>
                    <w:left w:val="nil"/>
                    <w:bottom w:val="nil"/>
                    <w:right w:val="nil"/>
                  </w:tcBorders>
                  <w:noWrap/>
                  <w:vAlign w:val="center"/>
                </w:tcPr>
                <w:p w:rsidR="007848E4" w:rsidRPr="0035027D" w:rsidRDefault="007848E4" w:rsidP="00F61680">
                  <w:pPr>
                    <w:spacing w:before="20" w:after="20"/>
                    <w:jc w:val="right"/>
                    <w:rPr>
                      <w:sz w:val="18"/>
                      <w:szCs w:val="18"/>
                    </w:rPr>
                  </w:pPr>
                  <w:r w:rsidRPr="0035027D">
                    <w:rPr>
                      <w:sz w:val="18"/>
                      <w:szCs w:val="18"/>
                    </w:rPr>
                    <w:t>5 839</w:t>
                  </w:r>
                </w:p>
              </w:tc>
              <w:tc>
                <w:tcPr>
                  <w:tcW w:w="679" w:type="dxa"/>
                  <w:tcBorders>
                    <w:top w:val="nil"/>
                    <w:left w:val="nil"/>
                    <w:bottom w:val="nil"/>
                    <w:right w:val="nil"/>
                  </w:tcBorders>
                  <w:noWrap/>
                  <w:vAlign w:val="center"/>
                </w:tcPr>
                <w:p w:rsidR="007848E4" w:rsidRPr="0035027D" w:rsidRDefault="007848E4" w:rsidP="00F61680">
                  <w:pPr>
                    <w:spacing w:before="20" w:after="20"/>
                    <w:jc w:val="right"/>
                    <w:rPr>
                      <w:sz w:val="18"/>
                      <w:szCs w:val="18"/>
                    </w:rPr>
                  </w:pPr>
                  <w:r w:rsidRPr="0035027D">
                    <w:rPr>
                      <w:sz w:val="18"/>
                      <w:szCs w:val="18"/>
                    </w:rPr>
                    <w:t>5 393</w:t>
                  </w:r>
                </w:p>
              </w:tc>
              <w:tc>
                <w:tcPr>
                  <w:tcW w:w="679" w:type="dxa"/>
                  <w:tcBorders>
                    <w:top w:val="nil"/>
                    <w:left w:val="nil"/>
                    <w:bottom w:val="nil"/>
                    <w:right w:val="nil"/>
                  </w:tcBorders>
                  <w:noWrap/>
                  <w:vAlign w:val="center"/>
                </w:tcPr>
                <w:p w:rsidR="007848E4" w:rsidRPr="0035027D" w:rsidRDefault="007848E4" w:rsidP="00F61680">
                  <w:pPr>
                    <w:spacing w:before="20" w:after="20"/>
                    <w:jc w:val="right"/>
                    <w:rPr>
                      <w:sz w:val="18"/>
                      <w:szCs w:val="18"/>
                    </w:rPr>
                  </w:pPr>
                  <w:r w:rsidRPr="0035027D">
                    <w:rPr>
                      <w:sz w:val="18"/>
                      <w:szCs w:val="18"/>
                    </w:rPr>
                    <w:t>5 589</w:t>
                  </w:r>
                </w:p>
              </w:tc>
              <w:tc>
                <w:tcPr>
                  <w:tcW w:w="679" w:type="dxa"/>
                  <w:tcBorders>
                    <w:top w:val="nil"/>
                    <w:left w:val="nil"/>
                    <w:bottom w:val="nil"/>
                    <w:right w:val="single" w:sz="4" w:space="0" w:color="auto"/>
                  </w:tcBorders>
                  <w:noWrap/>
                  <w:vAlign w:val="center"/>
                </w:tcPr>
                <w:p w:rsidR="007848E4" w:rsidRPr="0035027D" w:rsidRDefault="007848E4" w:rsidP="00F61680">
                  <w:pPr>
                    <w:spacing w:before="20" w:after="20"/>
                    <w:jc w:val="right"/>
                    <w:rPr>
                      <w:sz w:val="18"/>
                      <w:szCs w:val="18"/>
                    </w:rPr>
                  </w:pPr>
                  <w:r w:rsidRPr="0035027D">
                    <w:rPr>
                      <w:sz w:val="18"/>
                      <w:szCs w:val="18"/>
                    </w:rPr>
                    <w:t>6 545</w:t>
                  </w:r>
                </w:p>
              </w:tc>
            </w:tr>
            <w:tr w:rsidR="007848E4" w:rsidRPr="0035027D" w:rsidTr="00F61680">
              <w:trPr>
                <w:trHeight w:val="255"/>
              </w:trPr>
              <w:tc>
                <w:tcPr>
                  <w:tcW w:w="1602" w:type="dxa"/>
                  <w:tcBorders>
                    <w:top w:val="nil"/>
                    <w:left w:val="single" w:sz="4" w:space="0" w:color="auto"/>
                    <w:bottom w:val="single" w:sz="4" w:space="0" w:color="auto"/>
                    <w:right w:val="nil"/>
                  </w:tcBorders>
                  <w:vAlign w:val="center"/>
                </w:tcPr>
                <w:p w:rsidR="007848E4" w:rsidRPr="0035027D" w:rsidRDefault="007848E4" w:rsidP="00F61680">
                  <w:pPr>
                    <w:spacing w:before="20" w:after="20"/>
                    <w:rPr>
                      <w:b/>
                      <w:bCs/>
                      <w:sz w:val="18"/>
                      <w:szCs w:val="18"/>
                    </w:rPr>
                  </w:pPr>
                  <w:r w:rsidRPr="0035027D">
                    <w:rPr>
                      <w:b/>
                      <w:bCs/>
                      <w:sz w:val="18"/>
                      <w:szCs w:val="18"/>
                    </w:rPr>
                    <w:t>Obchod a služby</w:t>
                  </w:r>
                </w:p>
              </w:tc>
              <w:tc>
                <w:tcPr>
                  <w:tcW w:w="680" w:type="dxa"/>
                  <w:tcBorders>
                    <w:top w:val="nil"/>
                    <w:left w:val="nil"/>
                    <w:bottom w:val="single" w:sz="4" w:space="0" w:color="auto"/>
                    <w:right w:val="nil"/>
                  </w:tcBorders>
                  <w:noWrap/>
                  <w:vAlign w:val="center"/>
                </w:tcPr>
                <w:p w:rsidR="007848E4" w:rsidRPr="0035027D" w:rsidRDefault="007848E4" w:rsidP="00F61680">
                  <w:pPr>
                    <w:spacing w:before="20" w:after="20"/>
                    <w:jc w:val="right"/>
                    <w:rPr>
                      <w:sz w:val="18"/>
                      <w:szCs w:val="18"/>
                    </w:rPr>
                  </w:pPr>
                  <w:r w:rsidRPr="0035027D">
                    <w:rPr>
                      <w:sz w:val="18"/>
                      <w:szCs w:val="18"/>
                    </w:rPr>
                    <w:t>87 335</w:t>
                  </w:r>
                </w:p>
              </w:tc>
              <w:tc>
                <w:tcPr>
                  <w:tcW w:w="679" w:type="dxa"/>
                  <w:tcBorders>
                    <w:top w:val="nil"/>
                    <w:left w:val="nil"/>
                    <w:bottom w:val="single" w:sz="4" w:space="0" w:color="auto"/>
                    <w:right w:val="nil"/>
                  </w:tcBorders>
                  <w:noWrap/>
                  <w:vAlign w:val="center"/>
                </w:tcPr>
                <w:p w:rsidR="007848E4" w:rsidRPr="0035027D" w:rsidRDefault="007848E4" w:rsidP="00F61680">
                  <w:pPr>
                    <w:spacing w:before="20" w:after="20"/>
                    <w:jc w:val="right"/>
                    <w:rPr>
                      <w:sz w:val="18"/>
                      <w:szCs w:val="18"/>
                    </w:rPr>
                  </w:pPr>
                  <w:r w:rsidRPr="0035027D">
                    <w:rPr>
                      <w:sz w:val="18"/>
                      <w:szCs w:val="18"/>
                    </w:rPr>
                    <w:t>85 741</w:t>
                  </w:r>
                </w:p>
              </w:tc>
              <w:tc>
                <w:tcPr>
                  <w:tcW w:w="679" w:type="dxa"/>
                  <w:tcBorders>
                    <w:top w:val="nil"/>
                    <w:left w:val="nil"/>
                    <w:bottom w:val="single" w:sz="4" w:space="0" w:color="auto"/>
                    <w:right w:val="nil"/>
                  </w:tcBorders>
                  <w:noWrap/>
                  <w:vAlign w:val="center"/>
                </w:tcPr>
                <w:p w:rsidR="007848E4" w:rsidRPr="0035027D" w:rsidRDefault="007848E4" w:rsidP="00F61680">
                  <w:pPr>
                    <w:spacing w:before="20" w:after="20"/>
                    <w:jc w:val="right"/>
                    <w:rPr>
                      <w:sz w:val="18"/>
                      <w:szCs w:val="18"/>
                    </w:rPr>
                  </w:pPr>
                  <w:r w:rsidRPr="0035027D">
                    <w:rPr>
                      <w:sz w:val="18"/>
                      <w:szCs w:val="18"/>
                    </w:rPr>
                    <w:t>73 802</w:t>
                  </w:r>
                </w:p>
              </w:tc>
              <w:tc>
                <w:tcPr>
                  <w:tcW w:w="679" w:type="dxa"/>
                  <w:tcBorders>
                    <w:top w:val="nil"/>
                    <w:left w:val="nil"/>
                    <w:bottom w:val="single" w:sz="4" w:space="0" w:color="auto"/>
                    <w:right w:val="nil"/>
                  </w:tcBorders>
                  <w:noWrap/>
                  <w:vAlign w:val="center"/>
                </w:tcPr>
                <w:p w:rsidR="007848E4" w:rsidRPr="0035027D" w:rsidRDefault="007848E4" w:rsidP="00F61680">
                  <w:pPr>
                    <w:spacing w:before="20" w:after="20"/>
                    <w:jc w:val="right"/>
                    <w:rPr>
                      <w:sz w:val="18"/>
                      <w:szCs w:val="18"/>
                    </w:rPr>
                  </w:pPr>
                  <w:r w:rsidRPr="0035027D">
                    <w:rPr>
                      <w:sz w:val="18"/>
                      <w:szCs w:val="18"/>
                    </w:rPr>
                    <w:t>87 680</w:t>
                  </w:r>
                </w:p>
              </w:tc>
              <w:tc>
                <w:tcPr>
                  <w:tcW w:w="679" w:type="dxa"/>
                  <w:tcBorders>
                    <w:top w:val="nil"/>
                    <w:left w:val="nil"/>
                    <w:bottom w:val="single" w:sz="4" w:space="0" w:color="auto"/>
                    <w:right w:val="nil"/>
                  </w:tcBorders>
                  <w:noWrap/>
                  <w:vAlign w:val="center"/>
                </w:tcPr>
                <w:p w:rsidR="007848E4" w:rsidRPr="0035027D" w:rsidRDefault="007848E4" w:rsidP="00F61680">
                  <w:pPr>
                    <w:spacing w:before="20" w:after="20"/>
                    <w:jc w:val="right"/>
                    <w:rPr>
                      <w:sz w:val="18"/>
                      <w:szCs w:val="18"/>
                    </w:rPr>
                  </w:pPr>
                  <w:r w:rsidRPr="0035027D">
                    <w:rPr>
                      <w:sz w:val="18"/>
                      <w:szCs w:val="18"/>
                    </w:rPr>
                    <w:t>67 531</w:t>
                  </w:r>
                </w:p>
              </w:tc>
              <w:tc>
                <w:tcPr>
                  <w:tcW w:w="679" w:type="dxa"/>
                  <w:tcBorders>
                    <w:top w:val="nil"/>
                    <w:left w:val="nil"/>
                    <w:bottom w:val="single" w:sz="4" w:space="0" w:color="auto"/>
                    <w:right w:val="nil"/>
                  </w:tcBorders>
                  <w:noWrap/>
                  <w:vAlign w:val="center"/>
                </w:tcPr>
                <w:p w:rsidR="007848E4" w:rsidRPr="0035027D" w:rsidRDefault="007848E4" w:rsidP="00F61680">
                  <w:pPr>
                    <w:spacing w:before="20" w:after="20"/>
                    <w:jc w:val="right"/>
                    <w:rPr>
                      <w:sz w:val="18"/>
                      <w:szCs w:val="18"/>
                    </w:rPr>
                  </w:pPr>
                  <w:r w:rsidRPr="0035027D">
                    <w:rPr>
                      <w:sz w:val="18"/>
                      <w:szCs w:val="18"/>
                    </w:rPr>
                    <w:t>78 965</w:t>
                  </w:r>
                </w:p>
              </w:tc>
              <w:tc>
                <w:tcPr>
                  <w:tcW w:w="679" w:type="dxa"/>
                  <w:tcBorders>
                    <w:top w:val="nil"/>
                    <w:left w:val="nil"/>
                    <w:bottom w:val="single" w:sz="4" w:space="0" w:color="auto"/>
                    <w:right w:val="nil"/>
                  </w:tcBorders>
                  <w:noWrap/>
                  <w:vAlign w:val="center"/>
                </w:tcPr>
                <w:p w:rsidR="007848E4" w:rsidRPr="0035027D" w:rsidRDefault="007848E4" w:rsidP="00F61680">
                  <w:pPr>
                    <w:spacing w:before="20" w:after="20"/>
                    <w:jc w:val="right"/>
                    <w:rPr>
                      <w:sz w:val="18"/>
                      <w:szCs w:val="18"/>
                    </w:rPr>
                  </w:pPr>
                  <w:r w:rsidRPr="0035027D">
                    <w:rPr>
                      <w:sz w:val="18"/>
                      <w:szCs w:val="18"/>
                    </w:rPr>
                    <w:t>77 404</w:t>
                  </w:r>
                </w:p>
              </w:tc>
              <w:tc>
                <w:tcPr>
                  <w:tcW w:w="679" w:type="dxa"/>
                  <w:tcBorders>
                    <w:top w:val="nil"/>
                    <w:left w:val="nil"/>
                    <w:bottom w:val="single" w:sz="4" w:space="0" w:color="auto"/>
                    <w:right w:val="nil"/>
                  </w:tcBorders>
                  <w:noWrap/>
                  <w:vAlign w:val="center"/>
                </w:tcPr>
                <w:p w:rsidR="007848E4" w:rsidRPr="0035027D" w:rsidRDefault="007848E4" w:rsidP="00F61680">
                  <w:pPr>
                    <w:spacing w:before="20" w:after="20"/>
                    <w:jc w:val="right"/>
                    <w:rPr>
                      <w:sz w:val="18"/>
                      <w:szCs w:val="18"/>
                    </w:rPr>
                  </w:pPr>
                  <w:r w:rsidRPr="0035027D">
                    <w:rPr>
                      <w:sz w:val="18"/>
                      <w:szCs w:val="18"/>
                    </w:rPr>
                    <w:t>81 162</w:t>
                  </w:r>
                </w:p>
              </w:tc>
              <w:tc>
                <w:tcPr>
                  <w:tcW w:w="679" w:type="dxa"/>
                  <w:tcBorders>
                    <w:top w:val="nil"/>
                    <w:left w:val="nil"/>
                    <w:bottom w:val="single" w:sz="4" w:space="0" w:color="auto"/>
                    <w:right w:val="nil"/>
                  </w:tcBorders>
                  <w:noWrap/>
                  <w:vAlign w:val="center"/>
                </w:tcPr>
                <w:p w:rsidR="007848E4" w:rsidRPr="0035027D" w:rsidRDefault="007848E4" w:rsidP="00F61680">
                  <w:pPr>
                    <w:spacing w:before="20" w:after="20"/>
                    <w:jc w:val="right"/>
                    <w:rPr>
                      <w:sz w:val="18"/>
                      <w:szCs w:val="18"/>
                    </w:rPr>
                  </w:pPr>
                  <w:r w:rsidRPr="0035027D">
                    <w:rPr>
                      <w:sz w:val="18"/>
                      <w:szCs w:val="18"/>
                    </w:rPr>
                    <w:t>81 405</w:t>
                  </w:r>
                </w:p>
              </w:tc>
              <w:tc>
                <w:tcPr>
                  <w:tcW w:w="679" w:type="dxa"/>
                  <w:tcBorders>
                    <w:top w:val="nil"/>
                    <w:left w:val="nil"/>
                    <w:bottom w:val="single" w:sz="4" w:space="0" w:color="auto"/>
                    <w:right w:val="nil"/>
                  </w:tcBorders>
                  <w:noWrap/>
                  <w:vAlign w:val="center"/>
                </w:tcPr>
                <w:p w:rsidR="007848E4" w:rsidRPr="0035027D" w:rsidRDefault="007848E4" w:rsidP="00F61680">
                  <w:pPr>
                    <w:spacing w:before="20" w:after="20"/>
                    <w:jc w:val="right"/>
                    <w:rPr>
                      <w:sz w:val="18"/>
                      <w:szCs w:val="18"/>
                    </w:rPr>
                  </w:pPr>
                  <w:r w:rsidRPr="0035027D">
                    <w:rPr>
                      <w:sz w:val="18"/>
                      <w:szCs w:val="18"/>
                    </w:rPr>
                    <w:t>88 098</w:t>
                  </w:r>
                </w:p>
              </w:tc>
              <w:tc>
                <w:tcPr>
                  <w:tcW w:w="679" w:type="dxa"/>
                  <w:tcBorders>
                    <w:top w:val="nil"/>
                    <w:left w:val="nil"/>
                    <w:bottom w:val="single" w:sz="4" w:space="0" w:color="auto"/>
                    <w:right w:val="single" w:sz="4" w:space="0" w:color="auto"/>
                  </w:tcBorders>
                  <w:noWrap/>
                  <w:vAlign w:val="center"/>
                </w:tcPr>
                <w:p w:rsidR="007848E4" w:rsidRPr="0035027D" w:rsidRDefault="007848E4" w:rsidP="00F61680">
                  <w:pPr>
                    <w:spacing w:before="20" w:after="20"/>
                    <w:jc w:val="right"/>
                    <w:rPr>
                      <w:sz w:val="18"/>
                      <w:szCs w:val="18"/>
                    </w:rPr>
                  </w:pPr>
                  <w:r w:rsidRPr="0035027D">
                    <w:rPr>
                      <w:sz w:val="18"/>
                      <w:szCs w:val="18"/>
                    </w:rPr>
                    <w:t>62 741</w:t>
                  </w:r>
                </w:p>
              </w:tc>
            </w:tr>
            <w:tr w:rsidR="007848E4" w:rsidRPr="0035027D" w:rsidTr="00F61680">
              <w:trPr>
                <w:trHeight w:val="255"/>
              </w:trPr>
              <w:tc>
                <w:tcPr>
                  <w:tcW w:w="9072" w:type="dxa"/>
                  <w:gridSpan w:val="12"/>
                  <w:tcBorders>
                    <w:top w:val="single" w:sz="4" w:space="0" w:color="auto"/>
                    <w:left w:val="nil"/>
                    <w:bottom w:val="nil"/>
                    <w:right w:val="nil"/>
                  </w:tcBorders>
                  <w:vAlign w:val="center"/>
                </w:tcPr>
                <w:p w:rsidR="007848E4" w:rsidRPr="0035027D" w:rsidRDefault="007848E4" w:rsidP="00F61680">
                  <w:pPr>
                    <w:spacing w:before="20" w:after="20"/>
                    <w:jc w:val="right"/>
                    <w:rPr>
                      <w:sz w:val="18"/>
                      <w:szCs w:val="18"/>
                    </w:rPr>
                  </w:pPr>
                  <w:r w:rsidRPr="0035027D">
                    <w:rPr>
                      <w:i/>
                      <w:iCs/>
                      <w:sz w:val="16"/>
                      <w:szCs w:val="18"/>
                    </w:rPr>
                    <w:t>Zdroj: ŠUSR</w:t>
                  </w:r>
                </w:p>
              </w:tc>
            </w:tr>
          </w:tbl>
          <w:p w:rsidR="007848E4" w:rsidRPr="0035027D" w:rsidRDefault="007848E4" w:rsidP="00F61680">
            <w:pPr>
              <w:spacing w:after="0"/>
              <w:rPr>
                <w:sz w:val="20"/>
              </w:rPr>
            </w:pPr>
            <w:r w:rsidRPr="0035027D">
              <w:rPr>
                <w:sz w:val="20"/>
                <w:u w:val="single"/>
              </w:rPr>
              <w:t>Priemysel:</w:t>
            </w:r>
            <w:r w:rsidRPr="0035027D">
              <w:rPr>
                <w:sz w:val="20"/>
              </w:rPr>
              <w:t xml:space="preserve"> Sektor priemyslu je najvä</w:t>
            </w:r>
            <w:r w:rsidRPr="0035027D">
              <w:rPr>
                <w:rFonts w:cs="Times New Roman"/>
                <w:sz w:val="20"/>
              </w:rPr>
              <w:t>č</w:t>
            </w:r>
            <w:r w:rsidRPr="0035027D">
              <w:rPr>
                <w:sz w:val="20"/>
              </w:rPr>
              <w:t>ším spotrebite</w:t>
            </w:r>
            <w:r w:rsidRPr="0035027D">
              <w:rPr>
                <w:rFonts w:cs="Times New Roman"/>
                <w:sz w:val="20"/>
              </w:rPr>
              <w:t>ľ</w:t>
            </w:r>
            <w:r w:rsidRPr="0035027D">
              <w:rPr>
                <w:sz w:val="20"/>
              </w:rPr>
              <w:t>om energie. Kone</w:t>
            </w:r>
            <w:r w:rsidRPr="0035027D">
              <w:rPr>
                <w:rFonts w:cs="Times New Roman"/>
                <w:sz w:val="20"/>
              </w:rPr>
              <w:t>č</w:t>
            </w:r>
            <w:r w:rsidRPr="0035027D">
              <w:rPr>
                <w:sz w:val="20"/>
              </w:rPr>
              <w:t xml:space="preserve">ná energetická spotreba v priemysle bola v roku 2011 na úrovni 135 575 TJ, </w:t>
            </w:r>
            <w:r w:rsidRPr="0035027D">
              <w:rPr>
                <w:rFonts w:cs="Times New Roman"/>
                <w:sz w:val="20"/>
              </w:rPr>
              <w:t>č</w:t>
            </w:r>
            <w:r w:rsidRPr="0035027D">
              <w:rPr>
                <w:sz w:val="20"/>
              </w:rPr>
              <w:t>o predstavuje 34,7 % celkovej kone</w:t>
            </w:r>
            <w:r w:rsidRPr="0035027D">
              <w:rPr>
                <w:rFonts w:cs="Times New Roman"/>
                <w:sz w:val="20"/>
              </w:rPr>
              <w:t>č</w:t>
            </w:r>
            <w:r w:rsidRPr="0035027D">
              <w:rPr>
                <w:sz w:val="20"/>
              </w:rPr>
              <w:t>nej energetickej spotreby Slovenska. V sledovanom období sektor zaznamenal pokles spotreby oproti roku 2001 o 23 298 TJ V posledných troch rokoch vykazuje spotreba energie v priemysle mierny rast, ako návrat z prudkého prepadu z roku 2009 v dôsledku hospodárskej krízy. Najvýznamnejšími faktormi poklesu spotreby energie v priemysle boli pokra</w:t>
            </w:r>
            <w:r w:rsidRPr="0035027D">
              <w:rPr>
                <w:rFonts w:cs="Times New Roman"/>
                <w:sz w:val="20"/>
              </w:rPr>
              <w:t>č</w:t>
            </w:r>
            <w:r w:rsidRPr="0035027D">
              <w:rPr>
                <w:sz w:val="20"/>
              </w:rPr>
              <w:t xml:space="preserve">ujúca reštrukturalizácia, obnova technológií a ich inovácia, zavádzanie nových progresívnych prvkov v rámci riadenia, aktivizácia podporných mechanizmov energetickej efektívnosti, ale aj dôsledky hospodárskej krízy v roku 2009. </w:t>
            </w:r>
          </w:p>
          <w:p w:rsidR="007848E4" w:rsidRPr="0035027D" w:rsidRDefault="007848E4" w:rsidP="00F61680">
            <w:pPr>
              <w:spacing w:after="0"/>
              <w:rPr>
                <w:b/>
                <w:i/>
                <w:sz w:val="20"/>
              </w:rPr>
            </w:pPr>
          </w:p>
          <w:p w:rsidR="007848E4" w:rsidRPr="0035027D" w:rsidRDefault="007848E4" w:rsidP="00F61680">
            <w:pPr>
              <w:spacing w:after="0"/>
              <w:rPr>
                <w:sz w:val="20"/>
              </w:rPr>
            </w:pPr>
            <w:r w:rsidRPr="0035027D">
              <w:rPr>
                <w:sz w:val="20"/>
                <w:u w:val="single"/>
              </w:rPr>
              <w:t>Doprava:</w:t>
            </w:r>
            <w:r w:rsidRPr="0035027D">
              <w:rPr>
                <w:sz w:val="20"/>
              </w:rPr>
              <w:t xml:space="preserve"> Doprava je jediný sektor národného hospodárstva SR aj EU, ktorý vykazuje dlhodobý rast spotreby energie. Logistické slu</w:t>
            </w:r>
            <w:r w:rsidRPr="0035027D">
              <w:rPr>
                <w:rFonts w:cs="Times New Roman"/>
                <w:sz w:val="20"/>
              </w:rPr>
              <w:t>ž</w:t>
            </w:r>
            <w:r w:rsidRPr="0035027D">
              <w:rPr>
                <w:sz w:val="20"/>
              </w:rPr>
              <w:t>by zamerané na prepravu tovarov a stále rastúci po</w:t>
            </w:r>
            <w:r w:rsidRPr="0035027D">
              <w:rPr>
                <w:rFonts w:cs="Times New Roman"/>
                <w:sz w:val="20"/>
              </w:rPr>
              <w:t>č</w:t>
            </w:r>
            <w:r w:rsidRPr="0035027D">
              <w:rPr>
                <w:sz w:val="20"/>
              </w:rPr>
              <w:t>et nových vozidiel sa najviac podie</w:t>
            </w:r>
            <w:r w:rsidRPr="0035027D">
              <w:rPr>
                <w:rFonts w:cs="Times New Roman"/>
                <w:sz w:val="20"/>
              </w:rPr>
              <w:t>ľ</w:t>
            </w:r>
            <w:r w:rsidRPr="0035027D">
              <w:rPr>
                <w:sz w:val="20"/>
              </w:rPr>
              <w:t xml:space="preserve">ajú na raste spotreby energie v doprave, </w:t>
            </w:r>
            <w:r w:rsidRPr="0035027D">
              <w:rPr>
                <w:rFonts w:cs="Times New Roman"/>
                <w:sz w:val="20"/>
              </w:rPr>
              <w:t>č</w:t>
            </w:r>
            <w:r w:rsidRPr="0035027D">
              <w:rPr>
                <w:sz w:val="20"/>
              </w:rPr>
              <w:t>o aj napriek zni</w:t>
            </w:r>
            <w:r w:rsidRPr="0035027D">
              <w:rPr>
                <w:rFonts w:cs="Times New Roman"/>
                <w:sz w:val="20"/>
              </w:rPr>
              <w:t>ž</w:t>
            </w:r>
            <w:r w:rsidRPr="0035027D">
              <w:rPr>
                <w:sz w:val="20"/>
              </w:rPr>
              <w:t xml:space="preserve">ujúcej sa mernej spotrebe osobných a nákladných automobilov neprináša absolútnu úsporu energie. Faktormi nárastu sú najmä zvyšovanie </w:t>
            </w:r>
            <w:r w:rsidRPr="0035027D">
              <w:rPr>
                <w:rFonts w:cs="Times New Roman"/>
                <w:sz w:val="20"/>
              </w:rPr>
              <w:t>ž</w:t>
            </w:r>
            <w:r w:rsidRPr="0035027D">
              <w:rPr>
                <w:sz w:val="20"/>
              </w:rPr>
              <w:t>ivotnej úrovne obyvate</w:t>
            </w:r>
            <w:r w:rsidRPr="0035027D">
              <w:rPr>
                <w:rFonts w:cs="Times New Roman"/>
                <w:sz w:val="20"/>
              </w:rPr>
              <w:t>ľ</w:t>
            </w:r>
            <w:r w:rsidRPr="0035027D">
              <w:rPr>
                <w:sz w:val="20"/>
              </w:rPr>
              <w:t xml:space="preserve">ov a rozvoj cestnej infraštruktúry. Spotreba energie v </w:t>
            </w:r>
            <w:r w:rsidRPr="0035027D">
              <w:rPr>
                <w:rFonts w:cs="Times New Roman"/>
                <w:sz w:val="20"/>
              </w:rPr>
              <w:t>ž</w:t>
            </w:r>
            <w:r w:rsidRPr="0035027D">
              <w:rPr>
                <w:sz w:val="20"/>
              </w:rPr>
              <w:t>elezni</w:t>
            </w:r>
            <w:r w:rsidRPr="0035027D">
              <w:rPr>
                <w:rFonts w:cs="Times New Roman"/>
                <w:sz w:val="20"/>
              </w:rPr>
              <w:t>č</w:t>
            </w:r>
            <w:r w:rsidRPr="0035027D">
              <w:rPr>
                <w:sz w:val="20"/>
              </w:rPr>
              <w:t>nej osobnej doprave poklesla o viac ako jednu tretinu a jej výkon klesol o 20 %. Výkon cestnej verejnej dopravy poklesol o 40 %. Sústavný pozvo</w:t>
            </w:r>
            <w:r w:rsidRPr="0035027D">
              <w:rPr>
                <w:rFonts w:cs="Times New Roman"/>
                <w:sz w:val="20"/>
              </w:rPr>
              <w:t>ľ</w:t>
            </w:r>
            <w:r w:rsidRPr="0035027D">
              <w:rPr>
                <w:sz w:val="20"/>
              </w:rPr>
              <w:t>ný presun z hromadnej na individuálnu dopravu a z </w:t>
            </w:r>
            <w:r w:rsidRPr="0035027D">
              <w:rPr>
                <w:rFonts w:cs="Times New Roman"/>
                <w:sz w:val="20"/>
              </w:rPr>
              <w:t>ž</w:t>
            </w:r>
            <w:r w:rsidRPr="0035027D">
              <w:rPr>
                <w:sz w:val="20"/>
              </w:rPr>
              <w:t>elezni</w:t>
            </w:r>
            <w:r w:rsidRPr="0035027D">
              <w:rPr>
                <w:rFonts w:cs="Times New Roman"/>
                <w:sz w:val="20"/>
              </w:rPr>
              <w:t>č</w:t>
            </w:r>
            <w:r w:rsidRPr="0035027D">
              <w:rPr>
                <w:sz w:val="20"/>
              </w:rPr>
              <w:t>nej na cestnú dopravu predstavuje riziko zvyšovania energetickej náro</w:t>
            </w:r>
            <w:r w:rsidRPr="0035027D">
              <w:rPr>
                <w:rFonts w:cs="Times New Roman"/>
                <w:sz w:val="20"/>
              </w:rPr>
              <w:t>č</w:t>
            </w:r>
            <w:r w:rsidRPr="0035027D">
              <w:rPr>
                <w:sz w:val="20"/>
              </w:rPr>
              <w:t>nosti dopravy.</w:t>
            </w:r>
          </w:p>
          <w:p w:rsidR="007848E4" w:rsidRPr="0035027D" w:rsidRDefault="007848E4" w:rsidP="00F61680">
            <w:pPr>
              <w:spacing w:after="0"/>
              <w:rPr>
                <w:b/>
                <w:i/>
                <w:sz w:val="20"/>
              </w:rPr>
            </w:pPr>
          </w:p>
          <w:p w:rsidR="007848E4" w:rsidRPr="0035027D" w:rsidRDefault="007848E4" w:rsidP="00F61680">
            <w:pPr>
              <w:spacing w:after="0"/>
              <w:rPr>
                <w:sz w:val="20"/>
              </w:rPr>
            </w:pPr>
            <w:r w:rsidRPr="0035027D">
              <w:rPr>
                <w:sz w:val="20"/>
                <w:u w:val="single"/>
              </w:rPr>
              <w:t>Domácnosti:</w:t>
            </w:r>
            <w:r w:rsidRPr="0035027D">
              <w:rPr>
                <w:b/>
                <w:i/>
                <w:sz w:val="20"/>
              </w:rPr>
              <w:t xml:space="preserve"> </w:t>
            </w:r>
            <w:r w:rsidRPr="0035027D">
              <w:rPr>
                <w:sz w:val="20"/>
              </w:rPr>
              <w:t>Spotreba energie v domácnostiach klesala do roku 2007, potom si udr</w:t>
            </w:r>
            <w:r w:rsidRPr="0035027D">
              <w:rPr>
                <w:rFonts w:cs="Times New Roman"/>
                <w:sz w:val="20"/>
              </w:rPr>
              <w:t>ž</w:t>
            </w:r>
            <w:r w:rsidRPr="0035027D">
              <w:rPr>
                <w:sz w:val="20"/>
              </w:rPr>
              <w:t>uje rovnomernú úrove</w:t>
            </w:r>
            <w:r w:rsidRPr="0035027D">
              <w:rPr>
                <w:rFonts w:cs="Times New Roman"/>
                <w:sz w:val="20"/>
              </w:rPr>
              <w:t>ň</w:t>
            </w:r>
            <w:r w:rsidRPr="0035027D">
              <w:rPr>
                <w:sz w:val="20"/>
              </w:rPr>
              <w:t xml:space="preserve">. </w:t>
            </w:r>
          </w:p>
          <w:p w:rsidR="007848E4" w:rsidRPr="0035027D" w:rsidRDefault="007848E4" w:rsidP="00F61680">
            <w:pPr>
              <w:spacing w:after="0"/>
              <w:rPr>
                <w:b/>
                <w:i/>
                <w:sz w:val="20"/>
              </w:rPr>
            </w:pPr>
          </w:p>
          <w:p w:rsidR="007848E4" w:rsidRPr="0035027D" w:rsidRDefault="007848E4" w:rsidP="00F61680">
            <w:pPr>
              <w:spacing w:after="0"/>
              <w:rPr>
                <w:sz w:val="20"/>
              </w:rPr>
            </w:pPr>
            <w:r w:rsidRPr="0035027D">
              <w:rPr>
                <w:sz w:val="20"/>
                <w:u w:val="single"/>
              </w:rPr>
              <w:t>Obchod a slu</w:t>
            </w:r>
            <w:r w:rsidRPr="0035027D">
              <w:rPr>
                <w:rFonts w:cs="Times New Roman"/>
                <w:sz w:val="20"/>
                <w:u w:val="single"/>
              </w:rPr>
              <w:t>ž</w:t>
            </w:r>
            <w:r w:rsidRPr="0035027D">
              <w:rPr>
                <w:sz w:val="20"/>
                <w:u w:val="single"/>
              </w:rPr>
              <w:t>by:</w:t>
            </w:r>
            <w:r w:rsidRPr="0035027D">
              <w:rPr>
                <w:b/>
                <w:i/>
                <w:sz w:val="20"/>
              </w:rPr>
              <w:t xml:space="preserve"> </w:t>
            </w:r>
            <w:r w:rsidRPr="0035027D">
              <w:rPr>
                <w:sz w:val="20"/>
              </w:rPr>
              <w:t>V roku 2011 vykazujeme výrazný pokles spotreby energie v sektore obchodu a slu</w:t>
            </w:r>
            <w:r w:rsidRPr="0035027D">
              <w:rPr>
                <w:rFonts w:cs="Times New Roman"/>
                <w:sz w:val="20"/>
              </w:rPr>
              <w:t>ž</w:t>
            </w:r>
            <w:r w:rsidRPr="0035027D">
              <w:rPr>
                <w:sz w:val="20"/>
              </w:rPr>
              <w:t xml:space="preserve">ieb oproti predchádzajúcemu pomalému rastu spotreby. </w:t>
            </w:r>
          </w:p>
          <w:p w:rsidR="007848E4" w:rsidRPr="0035027D" w:rsidRDefault="007848E4" w:rsidP="00F61680">
            <w:pPr>
              <w:spacing w:after="0"/>
              <w:rPr>
                <w:b/>
                <w:i/>
                <w:sz w:val="20"/>
              </w:rPr>
            </w:pPr>
          </w:p>
          <w:p w:rsidR="007848E4" w:rsidRPr="0035027D" w:rsidRDefault="007848E4" w:rsidP="00F61680">
            <w:pPr>
              <w:spacing w:after="0"/>
            </w:pPr>
            <w:r w:rsidRPr="0035027D">
              <w:rPr>
                <w:sz w:val="20"/>
                <w:u w:val="single"/>
              </w:rPr>
              <w:t>Po</w:t>
            </w:r>
            <w:r w:rsidRPr="0035027D">
              <w:rPr>
                <w:rFonts w:cs="Times New Roman"/>
                <w:sz w:val="20"/>
                <w:u w:val="single"/>
              </w:rPr>
              <w:t>ľ</w:t>
            </w:r>
            <w:r w:rsidRPr="0035027D">
              <w:rPr>
                <w:sz w:val="20"/>
                <w:u w:val="single"/>
              </w:rPr>
              <w:t>nohospodárstvo:</w:t>
            </w:r>
            <w:r w:rsidRPr="0035027D">
              <w:rPr>
                <w:b/>
                <w:i/>
                <w:sz w:val="20"/>
              </w:rPr>
              <w:t xml:space="preserve"> </w:t>
            </w:r>
            <w:r w:rsidRPr="0035027D">
              <w:rPr>
                <w:sz w:val="20"/>
              </w:rPr>
              <w:t>Spotreba energie v po</w:t>
            </w:r>
            <w:r w:rsidRPr="0035027D">
              <w:rPr>
                <w:rFonts w:cs="Times New Roman"/>
                <w:sz w:val="20"/>
              </w:rPr>
              <w:t>ľ</w:t>
            </w:r>
            <w:r w:rsidRPr="0035027D">
              <w:rPr>
                <w:sz w:val="20"/>
              </w:rPr>
              <w:t>nohospodárstve si udr</w:t>
            </w:r>
            <w:r w:rsidRPr="0035027D">
              <w:rPr>
                <w:rFonts w:cs="Times New Roman"/>
                <w:sz w:val="20"/>
              </w:rPr>
              <w:t>ž</w:t>
            </w:r>
            <w:r w:rsidRPr="0035027D">
              <w:rPr>
                <w:sz w:val="20"/>
              </w:rPr>
              <w:t>uje stabilnú úrove</w:t>
            </w:r>
            <w:r w:rsidRPr="0035027D">
              <w:rPr>
                <w:rFonts w:cs="Times New Roman"/>
                <w:sz w:val="20"/>
              </w:rPr>
              <w:t>ň</w:t>
            </w:r>
            <w:r w:rsidRPr="0035027D">
              <w:rPr>
                <w:sz w:val="20"/>
              </w:rPr>
              <w:t>, v roku 2011 nasledoval mierny nárast spotreby.</w:t>
            </w:r>
          </w:p>
        </w:tc>
      </w:tr>
    </w:tbl>
    <w:p w:rsidR="001A124F" w:rsidRPr="0035027D" w:rsidRDefault="001A124F" w:rsidP="00515596">
      <w:pPr>
        <w:spacing w:after="0"/>
        <w:jc w:val="left"/>
      </w:pPr>
    </w:p>
    <w:p w:rsidR="00515596" w:rsidRPr="0035027D" w:rsidRDefault="00515596">
      <w:pPr>
        <w:spacing w:after="0"/>
        <w:jc w:val="left"/>
        <w:rPr>
          <w:color w:val="000000"/>
        </w:rPr>
      </w:pPr>
      <w:r w:rsidRPr="0035027D">
        <w:rPr>
          <w:color w:val="000000"/>
        </w:rPr>
        <w:br w:type="page"/>
      </w:r>
    </w:p>
    <w:p w:rsidR="00FE292C" w:rsidRPr="0035027D" w:rsidRDefault="00FE292C" w:rsidP="00FE292C">
      <w:pPr>
        <w:pStyle w:val="Nadpis1"/>
        <w:numPr>
          <w:ilvl w:val="0"/>
          <w:numId w:val="1"/>
        </w:numPr>
        <w:spacing w:before="0" w:after="0"/>
        <w:ind w:left="284" w:hanging="284"/>
        <w:rPr>
          <w:sz w:val="32"/>
          <w:szCs w:val="32"/>
        </w:rPr>
      </w:pPr>
      <w:bookmarkStart w:id="28" w:name="_Toc353563374"/>
      <w:bookmarkStart w:id="29" w:name="_Toc320096494"/>
      <w:bookmarkStart w:id="30" w:name="_Toc320096634"/>
      <w:bookmarkStart w:id="31" w:name="_Toc326222730"/>
      <w:bookmarkStart w:id="32" w:name="_Toc348448943"/>
      <w:r w:rsidRPr="0035027D">
        <w:rPr>
          <w:sz w:val="32"/>
          <w:szCs w:val="32"/>
        </w:rPr>
        <w:lastRenderedPageBreak/>
        <w:t>Makroekonomický rámec a strednodobá prognóza</w:t>
      </w:r>
      <w:bookmarkEnd w:id="28"/>
    </w:p>
    <w:p w:rsidR="00F86465" w:rsidRPr="0035027D" w:rsidRDefault="00F86465" w:rsidP="00F86465">
      <w:pPr>
        <w:pStyle w:val="Nadpis1"/>
        <w:tabs>
          <w:tab w:val="clear" w:pos="432"/>
        </w:tabs>
        <w:spacing w:before="0" w:after="0"/>
        <w:ind w:left="0" w:firstLine="0"/>
        <w:rPr>
          <w:b w:val="0"/>
          <w:color w:val="000000"/>
          <w:sz w:val="22"/>
          <w:szCs w:val="22"/>
        </w:rPr>
      </w:pPr>
    </w:p>
    <w:p w:rsidR="00F86465" w:rsidRPr="0035027D" w:rsidRDefault="003A2A4B" w:rsidP="00F86465">
      <w:pPr>
        <w:spacing w:after="0"/>
      </w:pPr>
      <w:r w:rsidRPr="0035027D">
        <w:t>M</w:t>
      </w:r>
      <w:r w:rsidR="00F86465" w:rsidRPr="0035027D">
        <w:t xml:space="preserve">akroekonomickú a fiškálnu </w:t>
      </w:r>
      <w:r w:rsidRPr="0035027D">
        <w:t>stabilitu</w:t>
      </w:r>
      <w:r w:rsidR="00F86465" w:rsidRPr="0035027D">
        <w:t xml:space="preserve"> pova</w:t>
      </w:r>
      <w:r w:rsidR="00F86465" w:rsidRPr="0035027D">
        <w:rPr>
          <w:rFonts w:cs="Times New Roman"/>
        </w:rPr>
        <w:t>ž</w:t>
      </w:r>
      <w:r w:rsidR="00F86465" w:rsidRPr="0035027D">
        <w:t xml:space="preserve">uje vláda SR za základný predpoklad zdravého vývoja ekonomiky a rastu kvality </w:t>
      </w:r>
      <w:r w:rsidR="00F86465" w:rsidRPr="0035027D">
        <w:rPr>
          <w:rFonts w:cs="Times New Roman"/>
        </w:rPr>
        <w:t>ž</w:t>
      </w:r>
      <w:r w:rsidR="00F86465" w:rsidRPr="0035027D">
        <w:t>ivota. Nasledujúca kapitola obsahuje základný makroekonomický rámec, ktorý je nevyhnutný pre zabezpe</w:t>
      </w:r>
      <w:r w:rsidR="00F86465" w:rsidRPr="0035027D">
        <w:rPr>
          <w:rFonts w:cs="Times New Roman"/>
        </w:rPr>
        <w:t>č</w:t>
      </w:r>
      <w:r w:rsidR="00F86465" w:rsidRPr="0035027D">
        <w:t xml:space="preserve">enie zdravého vývoja hospodárstva SR. </w:t>
      </w:r>
    </w:p>
    <w:p w:rsidR="00F86465" w:rsidRPr="0035027D" w:rsidRDefault="00F86465" w:rsidP="00F86465">
      <w:pPr>
        <w:spacing w:after="0"/>
        <w:rPr>
          <w:b/>
        </w:rPr>
      </w:pPr>
    </w:p>
    <w:p w:rsidR="00F86465" w:rsidRPr="0035027D" w:rsidRDefault="00F86465" w:rsidP="00F86465">
      <w:pPr>
        <w:spacing w:after="0"/>
        <w:rPr>
          <w:b/>
          <w:i/>
        </w:rPr>
      </w:pPr>
      <w:r w:rsidRPr="0035027D">
        <w:rPr>
          <w:b/>
          <w:i/>
        </w:rPr>
        <w:t xml:space="preserve">Ekonomický vývoj na Slovensku v roku 2012 </w:t>
      </w:r>
    </w:p>
    <w:p w:rsidR="00F86465" w:rsidRPr="0035027D" w:rsidRDefault="00F86465" w:rsidP="00F86465">
      <w:pPr>
        <w:spacing w:after="0"/>
      </w:pPr>
    </w:p>
    <w:p w:rsidR="00F86465" w:rsidRPr="0035027D" w:rsidRDefault="00F86465" w:rsidP="00F86465">
      <w:pPr>
        <w:spacing w:after="0"/>
      </w:pPr>
      <w:r w:rsidRPr="0035027D">
        <w:t xml:space="preserve">Slovenská ekonomika v roku 2012 napriek nepriaznivej hospodárskej situácii v eurozóne zaznamenala rast na úrovni </w:t>
      </w:r>
      <w:r w:rsidR="005E1922" w:rsidRPr="0035027D">
        <w:t>2 %</w:t>
      </w:r>
      <w:r w:rsidRPr="0035027D">
        <w:t>. Slovensko tak bolo spolu s Po</w:t>
      </w:r>
      <w:r w:rsidRPr="0035027D">
        <w:rPr>
          <w:rFonts w:cs="Times New Roman"/>
        </w:rPr>
        <w:t>ľ</w:t>
      </w:r>
      <w:r w:rsidRPr="0035027D">
        <w:t xml:space="preserve">skom štvrtou najrýchlejšie rastúcou ekonomikou v rámci krajín EÚ. </w:t>
      </w:r>
    </w:p>
    <w:p w:rsidR="00F86465" w:rsidRPr="0035027D" w:rsidRDefault="00F86465" w:rsidP="00F86465">
      <w:pPr>
        <w:spacing w:after="0"/>
      </w:pPr>
    </w:p>
    <w:p w:rsidR="00F86465" w:rsidRPr="0035027D" w:rsidRDefault="00F86465" w:rsidP="00F86465">
      <w:pPr>
        <w:spacing w:after="0"/>
      </w:pPr>
      <w:r w:rsidRPr="0035027D">
        <w:t>Hlavným dôvodom pozitívneho vývoja bolo rozbehnutie novej výroby v automobilovom priemysle. Nové investície a spustenie novej výroby malo výrazný vplyv na rast priemyselnej prod</w:t>
      </w:r>
      <w:r w:rsidR="0045385C" w:rsidRPr="0035027D">
        <w:t>ukcie a exportu v prvej polovici</w:t>
      </w:r>
      <w:r w:rsidRPr="0035027D">
        <w:t xml:space="preserve"> roku. Slovenský automobilový priemysel zvyšoval svoje trhové podiely na existujúcich európskych trhoch a </w:t>
      </w:r>
      <w:r w:rsidR="00205847" w:rsidRPr="0035027D">
        <w:t>zárove</w:t>
      </w:r>
      <w:r w:rsidR="00205847" w:rsidRPr="0035027D">
        <w:rPr>
          <w:rFonts w:cs="Times New Roman"/>
        </w:rPr>
        <w:t>ň</w:t>
      </w:r>
      <w:r w:rsidR="00205847" w:rsidRPr="0035027D">
        <w:t xml:space="preserve"> sa v prvej polovici roku</w:t>
      </w:r>
      <w:r w:rsidRPr="0035027D">
        <w:t xml:space="preserve"> výrazne zvyšoval export do Ruska a </w:t>
      </w:r>
      <w:r w:rsidRPr="0035027D">
        <w:rPr>
          <w:rFonts w:cs="Times New Roman"/>
        </w:rPr>
        <w:t>Č</w:t>
      </w:r>
      <w:r w:rsidRPr="0035027D">
        <w:t>íny. Bez impulzu automobilového priemyslu by ekonomika vzh</w:t>
      </w:r>
      <w:r w:rsidRPr="0035027D">
        <w:rPr>
          <w:rFonts w:cs="Times New Roman"/>
        </w:rPr>
        <w:t>ľ</w:t>
      </w:r>
      <w:r w:rsidRPr="0035027D">
        <w:t>adom na nízky zahrani</w:t>
      </w:r>
      <w:r w:rsidRPr="0035027D">
        <w:rPr>
          <w:rFonts w:cs="Times New Roman"/>
        </w:rPr>
        <w:t>č</w:t>
      </w:r>
      <w:r w:rsidRPr="0035027D">
        <w:t xml:space="preserve">ný dopyt pravdepodobne stagnovala. </w:t>
      </w:r>
    </w:p>
    <w:p w:rsidR="00F86465" w:rsidRPr="0035027D" w:rsidRDefault="00F86465" w:rsidP="00F86465">
      <w:pPr>
        <w:spacing w:after="0"/>
      </w:pPr>
    </w:p>
    <w:p w:rsidR="00F86465" w:rsidRPr="0035027D" w:rsidRDefault="00F86465" w:rsidP="00F86465">
      <w:pPr>
        <w:spacing w:after="0"/>
      </w:pPr>
      <w:r w:rsidRPr="0035027D">
        <w:t xml:space="preserve">Pozitívny vývoj exportne orientovanej </w:t>
      </w:r>
      <w:r w:rsidRPr="0035027D">
        <w:rPr>
          <w:rFonts w:cs="Times New Roman"/>
        </w:rPr>
        <w:t>č</w:t>
      </w:r>
      <w:r w:rsidRPr="0035027D">
        <w:t xml:space="preserve">asti ekonomiky </w:t>
      </w:r>
      <w:r w:rsidR="00AD66D8" w:rsidRPr="0035027D">
        <w:t xml:space="preserve">však </w:t>
      </w:r>
      <w:r w:rsidRPr="0035027D">
        <w:t>nebol dostato</w:t>
      </w:r>
      <w:r w:rsidRPr="0035027D">
        <w:rPr>
          <w:rFonts w:cs="Times New Roman"/>
        </w:rPr>
        <w:t>č</w:t>
      </w:r>
      <w:r w:rsidRPr="0035027D">
        <w:t xml:space="preserve">ný, aby sa odzrkadlil na vývoji domáceho dopytu. Príspevok domáceho dopytu k ekonomickému rastu bol v roku 2012 záporný. Rast produkcie v exportne orientovaných odvetviach sa zvyšoval skôr produktivitou práce ako prijímaním nových pracovníkov. </w:t>
      </w:r>
      <w:r w:rsidR="00051AED" w:rsidRPr="0035027D">
        <w:rPr>
          <w:rFonts w:cs="Calibri"/>
        </w:rPr>
        <w:t>Celková zamestnanos</w:t>
      </w:r>
      <w:r w:rsidR="00051AED" w:rsidRPr="0035027D">
        <w:rPr>
          <w:rFonts w:cs="Times New Roman"/>
        </w:rPr>
        <w:t>ť</w:t>
      </w:r>
      <w:r w:rsidR="00051AED" w:rsidRPr="0035027D">
        <w:rPr>
          <w:rFonts w:cs="Calibri"/>
        </w:rPr>
        <w:t xml:space="preserve"> v roku 2012 pod</w:t>
      </w:r>
      <w:r w:rsidR="00051AED" w:rsidRPr="0035027D">
        <w:rPr>
          <w:rFonts w:cs="Times New Roman"/>
        </w:rPr>
        <w:t>ľ</w:t>
      </w:r>
      <w:r w:rsidR="00051AED" w:rsidRPr="0035027D">
        <w:rPr>
          <w:rFonts w:cs="Calibri"/>
        </w:rPr>
        <w:t>a metodiky ESA 95 stagnovala</w:t>
      </w:r>
      <w:r w:rsidR="00051AED" w:rsidRPr="0035027D">
        <w:t xml:space="preserve"> </w:t>
      </w:r>
      <w:r w:rsidRPr="0035027D">
        <w:t>a ku koncu roku za</w:t>
      </w:r>
      <w:r w:rsidRPr="0035027D">
        <w:rPr>
          <w:rFonts w:cs="Times New Roman"/>
        </w:rPr>
        <w:t>č</w:t>
      </w:r>
      <w:r w:rsidRPr="0035027D">
        <w:t>ala narasta</w:t>
      </w:r>
      <w:r w:rsidRPr="0035027D">
        <w:rPr>
          <w:rFonts w:cs="Times New Roman"/>
        </w:rPr>
        <w:t>ť</w:t>
      </w:r>
      <w:r w:rsidRPr="0035027D">
        <w:t xml:space="preserve"> nezamestnanos</w:t>
      </w:r>
      <w:r w:rsidRPr="0035027D">
        <w:rPr>
          <w:rFonts w:cs="Times New Roman"/>
        </w:rPr>
        <w:t>ť</w:t>
      </w:r>
      <w:r w:rsidRPr="0035027D">
        <w:t>. Miera nezamestnanosti (pod</w:t>
      </w:r>
      <w:r w:rsidRPr="0035027D">
        <w:rPr>
          <w:rFonts w:cs="Times New Roman"/>
        </w:rPr>
        <w:t>ľ</w:t>
      </w:r>
      <w:r w:rsidRPr="0035027D">
        <w:t>a metodiky VZPS) stúpla na 1</w:t>
      </w:r>
      <w:r w:rsidR="005E1922" w:rsidRPr="0035027D">
        <w:t>4 %</w:t>
      </w:r>
      <w:r w:rsidRPr="0035027D">
        <w:t xml:space="preserve"> a Slovensko sa na</w:t>
      </w:r>
      <w:r w:rsidRPr="0035027D">
        <w:rPr>
          <w:rFonts w:cs="Times New Roman"/>
        </w:rPr>
        <w:t>ď</w:t>
      </w:r>
      <w:r w:rsidRPr="0035027D">
        <w:t>alej zara</w:t>
      </w:r>
      <w:r w:rsidRPr="0035027D">
        <w:rPr>
          <w:rFonts w:cs="Times New Roman"/>
        </w:rPr>
        <w:t>ď</w:t>
      </w:r>
      <w:r w:rsidRPr="0035027D">
        <w:t xml:space="preserve">uje medzi krajiny s najvyššou mierou nezamestnanosti v EÚ. Navyše </w:t>
      </w:r>
      <w:r w:rsidRPr="0035027D">
        <w:rPr>
          <w:rFonts w:cs="Times New Roman"/>
        </w:rPr>
        <w:t>ď</w:t>
      </w:r>
      <w:r w:rsidRPr="0035027D">
        <w:t>alej pretrvával problém dlhodobej nezamestnanosti, jej podiel na celkovej nezamestnanosti bol v roku 2012 skoro 6</w:t>
      </w:r>
      <w:r w:rsidR="005E1922" w:rsidRPr="0035027D">
        <w:t>4 %</w:t>
      </w:r>
      <w:r w:rsidRPr="0035027D">
        <w:t>. Vývoj reálnych miezd bol u</w:t>
      </w:r>
      <w:r w:rsidRPr="0035027D">
        <w:rPr>
          <w:rFonts w:cs="Times New Roman"/>
        </w:rPr>
        <w:t>ž</w:t>
      </w:r>
      <w:r w:rsidRPr="0035027D">
        <w:t xml:space="preserve"> druhý rok po sebe záporný. Nepriaznivý vývoj na trhu práce</w:t>
      </w:r>
      <w:r w:rsidR="00A61C44" w:rsidRPr="0035027D">
        <w:t>,</w:t>
      </w:r>
      <w:r w:rsidRPr="0035027D">
        <w:t xml:space="preserve"> spolu s celkovou neistotou okolo vývoja dlhovej krízy v</w:t>
      </w:r>
      <w:r w:rsidR="00A61C44" w:rsidRPr="0035027D">
        <w:t> </w:t>
      </w:r>
      <w:r w:rsidRPr="0035027D">
        <w:t>eurozóne</w:t>
      </w:r>
      <w:r w:rsidR="00A61C44" w:rsidRPr="0035027D">
        <w:t>, pôsobil</w:t>
      </w:r>
      <w:r w:rsidRPr="0035027D">
        <w:t xml:space="preserve"> negatívne na spotrebu domácností. Investície v roku 2012 nepriniesli pod</w:t>
      </w:r>
      <w:r w:rsidR="00776655" w:rsidRPr="0035027D">
        <w:t>obný impulz ako v roku 2011, kedy</w:t>
      </w:r>
      <w:r w:rsidRPr="0035027D">
        <w:t xml:space="preserve"> dochádzalo k výrazným investíciám do automobilového priemyslu. Celkové investície tak </w:t>
      </w:r>
      <w:r w:rsidR="00776655" w:rsidRPr="0035027D">
        <w:t xml:space="preserve">v </w:t>
      </w:r>
      <w:r w:rsidRPr="0035027D">
        <w:t>roku 2012 poklesli, ke</w:t>
      </w:r>
      <w:r w:rsidRPr="0035027D">
        <w:rPr>
          <w:rFonts w:cs="Times New Roman"/>
        </w:rPr>
        <w:t>ďž</w:t>
      </w:r>
      <w:r w:rsidRPr="0035027D">
        <w:t>e boli aj tlmené neistotou okolo vývoja dlhovej krízy.</w:t>
      </w:r>
      <w:r w:rsidR="0037199A" w:rsidRPr="0035027D">
        <w:t xml:space="preserve"> </w:t>
      </w:r>
    </w:p>
    <w:p w:rsidR="00F86465" w:rsidRPr="0035027D" w:rsidRDefault="00F86465" w:rsidP="00F86465">
      <w:pPr>
        <w:spacing w:after="0"/>
      </w:pPr>
    </w:p>
    <w:p w:rsidR="00F86465" w:rsidRPr="0035027D" w:rsidRDefault="00C83F9A" w:rsidP="00C83F9A">
      <w:pPr>
        <w:spacing w:after="0"/>
      </w:pPr>
      <w:r w:rsidRPr="0035027D">
        <w:t>Vývoj cien bol na Slovensku miernejší ako v predchádzajúcom roku. V roku 2012 priemerná inflácia (HICP) dosiahla úrove</w:t>
      </w:r>
      <w:r w:rsidRPr="0035027D">
        <w:rPr>
          <w:rFonts w:cs="Times New Roman"/>
        </w:rPr>
        <w:t>ň</w:t>
      </w:r>
      <w:r w:rsidRPr="0035027D">
        <w:t xml:space="preserve"> 3,7 % a v porovnaní s priemerom krajín eurozóny (2,5 %) bola relatívne vyššia. Na úrovni cien sa prejavil predovšetkým rast cien komodít na svetových trhoch v druhej polovici roku.</w:t>
      </w:r>
    </w:p>
    <w:p w:rsidR="00C83F9A" w:rsidRPr="0035027D" w:rsidRDefault="00C83F9A" w:rsidP="00C83F9A">
      <w:pPr>
        <w:spacing w:after="0"/>
      </w:pPr>
    </w:p>
    <w:tbl>
      <w:tblPr>
        <w:tblW w:w="9089" w:type="dxa"/>
        <w:jc w:val="center"/>
        <w:tblInd w:w="-492" w:type="dxa"/>
        <w:tblCellMar>
          <w:left w:w="70" w:type="dxa"/>
          <w:right w:w="70" w:type="dxa"/>
        </w:tblCellMar>
        <w:tblLook w:val="04A0" w:firstRow="1" w:lastRow="0" w:firstColumn="1" w:lastColumn="0" w:noHBand="0" w:noVBand="1"/>
      </w:tblPr>
      <w:tblGrid>
        <w:gridCol w:w="4485"/>
        <w:gridCol w:w="146"/>
        <w:gridCol w:w="4472"/>
      </w:tblGrid>
      <w:tr w:rsidR="00F86465" w:rsidRPr="0035027D" w:rsidTr="0030315A">
        <w:trPr>
          <w:trHeight w:val="20"/>
          <w:jc w:val="center"/>
        </w:trPr>
        <w:tc>
          <w:tcPr>
            <w:tcW w:w="4485" w:type="dxa"/>
            <w:tcBorders>
              <w:bottom w:val="single" w:sz="4" w:space="0" w:color="auto"/>
            </w:tcBorders>
            <w:shd w:val="clear" w:color="auto" w:fill="000000" w:themeFill="text1"/>
            <w:noWrap/>
            <w:vAlign w:val="center"/>
            <w:hideMark/>
          </w:tcPr>
          <w:p w:rsidR="00F86465" w:rsidRPr="0035027D" w:rsidRDefault="006573C0" w:rsidP="0032346C">
            <w:pPr>
              <w:spacing w:after="0"/>
              <w:rPr>
                <w:rFonts w:cs="Times New Roman"/>
                <w:b/>
                <w:bCs/>
                <w:color w:val="FFFFFF" w:themeColor="background1"/>
                <w:sz w:val="20"/>
                <w:szCs w:val="20"/>
              </w:rPr>
            </w:pPr>
            <w:r w:rsidRPr="0035027D">
              <w:rPr>
                <w:rFonts w:cs="Times New Roman"/>
                <w:b/>
                <w:bCs/>
                <w:color w:val="FFFFFF" w:themeColor="background1"/>
                <w:sz w:val="18"/>
                <w:szCs w:val="20"/>
              </w:rPr>
              <w:t xml:space="preserve">Graf 5: </w:t>
            </w:r>
            <w:r w:rsidR="00F86465" w:rsidRPr="0035027D">
              <w:rPr>
                <w:rFonts w:cs="Times New Roman"/>
                <w:b/>
                <w:bCs/>
                <w:color w:val="FFFFFF" w:themeColor="background1"/>
                <w:sz w:val="18"/>
                <w:szCs w:val="20"/>
              </w:rPr>
              <w:t>Rast reálneho HDP v roku 2012 v EÚ (%)</w:t>
            </w:r>
          </w:p>
        </w:tc>
        <w:tc>
          <w:tcPr>
            <w:tcW w:w="146" w:type="dxa"/>
            <w:vMerge w:val="restart"/>
            <w:shd w:val="clear" w:color="auto" w:fill="auto"/>
            <w:noWrap/>
            <w:vAlign w:val="bottom"/>
            <w:hideMark/>
          </w:tcPr>
          <w:p w:rsidR="00F86465" w:rsidRPr="0035027D" w:rsidRDefault="00F86465" w:rsidP="0032346C">
            <w:pPr>
              <w:spacing w:after="0"/>
              <w:jc w:val="center"/>
              <w:rPr>
                <w:rFonts w:cs="Times New Roman"/>
                <w:b/>
                <w:bCs/>
                <w:color w:val="FFFFFF" w:themeColor="background1"/>
                <w:sz w:val="20"/>
                <w:szCs w:val="20"/>
              </w:rPr>
            </w:pPr>
          </w:p>
        </w:tc>
        <w:tc>
          <w:tcPr>
            <w:tcW w:w="4458" w:type="dxa"/>
            <w:tcBorders>
              <w:bottom w:val="single" w:sz="4" w:space="0" w:color="auto"/>
            </w:tcBorders>
            <w:shd w:val="clear" w:color="auto" w:fill="000000" w:themeFill="text1"/>
            <w:noWrap/>
            <w:vAlign w:val="center"/>
            <w:hideMark/>
          </w:tcPr>
          <w:p w:rsidR="00F86465" w:rsidRPr="0035027D" w:rsidRDefault="006573C0" w:rsidP="0030315A">
            <w:pPr>
              <w:spacing w:after="0"/>
              <w:rPr>
                <w:rFonts w:cs="Times New Roman"/>
                <w:b/>
                <w:bCs/>
                <w:color w:val="FFFFFF" w:themeColor="background1"/>
                <w:sz w:val="20"/>
                <w:szCs w:val="20"/>
              </w:rPr>
            </w:pPr>
            <w:r w:rsidRPr="0035027D">
              <w:rPr>
                <w:rFonts w:cs="Times New Roman"/>
                <w:b/>
                <w:bCs/>
                <w:color w:val="FFFFFF" w:themeColor="background1"/>
                <w:sz w:val="18"/>
                <w:szCs w:val="20"/>
              </w:rPr>
              <w:t xml:space="preserve">Graf 6: </w:t>
            </w:r>
            <w:r w:rsidR="00F86465" w:rsidRPr="0035027D">
              <w:rPr>
                <w:rFonts w:cs="Times New Roman"/>
                <w:b/>
                <w:bCs/>
                <w:color w:val="FFFFFF" w:themeColor="background1"/>
                <w:sz w:val="18"/>
                <w:szCs w:val="20"/>
              </w:rPr>
              <w:t>Prí</w:t>
            </w:r>
            <w:r w:rsidR="0030315A" w:rsidRPr="0035027D">
              <w:rPr>
                <w:rFonts w:cs="Times New Roman"/>
                <w:b/>
                <w:bCs/>
                <w:color w:val="FFFFFF" w:themeColor="background1"/>
                <w:sz w:val="18"/>
                <w:szCs w:val="20"/>
              </w:rPr>
              <w:t>spevky k rastu HDP na Slovensku,</w:t>
            </w:r>
            <w:r w:rsidR="00D60BCD" w:rsidRPr="0035027D">
              <w:rPr>
                <w:rFonts w:cs="Times New Roman"/>
                <w:b/>
                <w:bCs/>
                <w:color w:val="FFFFFF" w:themeColor="background1"/>
                <w:sz w:val="18"/>
                <w:szCs w:val="20"/>
              </w:rPr>
              <w:t xml:space="preserve"> </w:t>
            </w:r>
            <w:r w:rsidR="00F86465" w:rsidRPr="0035027D">
              <w:rPr>
                <w:rFonts w:cs="Times New Roman"/>
                <w:b/>
                <w:bCs/>
                <w:color w:val="FFFFFF" w:themeColor="background1"/>
                <w:sz w:val="18"/>
                <w:szCs w:val="20"/>
              </w:rPr>
              <w:t>2010</w:t>
            </w:r>
            <w:r w:rsidR="00D60BCD" w:rsidRPr="0035027D">
              <w:rPr>
                <w:rFonts w:cs="Times New Roman"/>
                <w:b/>
                <w:bCs/>
                <w:color w:val="FFFFFF" w:themeColor="background1"/>
                <w:sz w:val="18"/>
                <w:szCs w:val="20"/>
              </w:rPr>
              <w:t xml:space="preserve"> </w:t>
            </w:r>
            <w:r w:rsidR="00F86465" w:rsidRPr="0035027D">
              <w:rPr>
                <w:rFonts w:cs="Times New Roman"/>
                <w:b/>
                <w:bCs/>
                <w:color w:val="FFFFFF" w:themeColor="background1"/>
                <w:sz w:val="18"/>
                <w:szCs w:val="20"/>
              </w:rPr>
              <w:t>-</w:t>
            </w:r>
            <w:r w:rsidR="00D60BCD" w:rsidRPr="0035027D">
              <w:rPr>
                <w:rFonts w:cs="Times New Roman"/>
                <w:b/>
                <w:bCs/>
                <w:color w:val="FFFFFF" w:themeColor="background1"/>
                <w:sz w:val="18"/>
                <w:szCs w:val="20"/>
              </w:rPr>
              <w:t xml:space="preserve"> </w:t>
            </w:r>
            <w:r w:rsidR="00F86465" w:rsidRPr="0035027D">
              <w:rPr>
                <w:rFonts w:cs="Times New Roman"/>
                <w:b/>
                <w:bCs/>
                <w:color w:val="FFFFFF" w:themeColor="background1"/>
                <w:sz w:val="18"/>
                <w:szCs w:val="20"/>
              </w:rPr>
              <w:t>2016</w:t>
            </w:r>
          </w:p>
        </w:tc>
      </w:tr>
      <w:tr w:rsidR="00F86465" w:rsidRPr="0035027D" w:rsidTr="0030315A">
        <w:trPr>
          <w:trHeight w:val="509"/>
          <w:jc w:val="center"/>
        </w:trPr>
        <w:tc>
          <w:tcPr>
            <w:tcW w:w="4485" w:type="dxa"/>
            <w:vMerge w:val="restart"/>
            <w:tcBorders>
              <w:top w:val="single" w:sz="4" w:space="0" w:color="auto"/>
            </w:tcBorders>
            <w:shd w:val="clear" w:color="auto" w:fill="auto"/>
            <w:noWrap/>
            <w:vAlign w:val="center"/>
            <w:hideMark/>
          </w:tcPr>
          <w:p w:rsidR="00F86465" w:rsidRPr="0035027D" w:rsidRDefault="00F86465" w:rsidP="0032346C">
            <w:pPr>
              <w:spacing w:after="0"/>
              <w:ind w:right="-392"/>
              <w:rPr>
                <w:rFonts w:cs="Times New Roman"/>
                <w:color w:val="000000"/>
              </w:rPr>
            </w:pPr>
            <w:r w:rsidRPr="0035027D">
              <w:rPr>
                <w:rFonts w:cs="Times New Roman"/>
                <w:noProof/>
                <w:color w:val="000000"/>
              </w:rPr>
              <w:drawing>
                <wp:inline distT="0" distB="0" distL="0" distR="0" wp14:anchorId="23414DAD" wp14:editId="1B4D9894">
                  <wp:extent cx="2809875" cy="2076450"/>
                  <wp:effectExtent l="0" t="0" r="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146" w:type="dxa"/>
            <w:vMerge/>
            <w:shd w:val="clear" w:color="auto" w:fill="auto"/>
            <w:vAlign w:val="center"/>
            <w:hideMark/>
          </w:tcPr>
          <w:p w:rsidR="00F86465" w:rsidRPr="0035027D" w:rsidRDefault="00F86465" w:rsidP="0032346C">
            <w:pPr>
              <w:spacing w:after="0"/>
              <w:ind w:right="-392"/>
              <w:rPr>
                <w:rFonts w:cs="Times New Roman"/>
                <w:b/>
                <w:bCs/>
                <w:color w:val="000000"/>
                <w:sz w:val="20"/>
                <w:szCs w:val="20"/>
              </w:rPr>
            </w:pPr>
          </w:p>
        </w:tc>
        <w:tc>
          <w:tcPr>
            <w:tcW w:w="4458" w:type="dxa"/>
            <w:vMerge w:val="restart"/>
            <w:tcBorders>
              <w:top w:val="single" w:sz="4" w:space="0" w:color="auto"/>
            </w:tcBorders>
            <w:shd w:val="clear" w:color="auto" w:fill="auto"/>
            <w:noWrap/>
            <w:vAlign w:val="center"/>
            <w:hideMark/>
          </w:tcPr>
          <w:p w:rsidR="00F86465" w:rsidRPr="0035027D" w:rsidRDefault="00F86465" w:rsidP="0032346C">
            <w:pPr>
              <w:spacing w:after="0"/>
              <w:jc w:val="center"/>
              <w:rPr>
                <w:rFonts w:cs="Times New Roman"/>
                <w:color w:val="000000"/>
              </w:rPr>
            </w:pPr>
            <w:r w:rsidRPr="0035027D">
              <w:rPr>
                <w:rFonts w:cs="Times New Roman"/>
                <w:noProof/>
                <w:color w:val="000000"/>
              </w:rPr>
              <w:drawing>
                <wp:inline distT="0" distB="0" distL="0" distR="0" wp14:anchorId="0AE3181F" wp14:editId="45211323">
                  <wp:extent cx="2750820" cy="2164080"/>
                  <wp:effectExtent l="0" t="0" r="0"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50820" cy="2164080"/>
                          </a:xfrm>
                          <a:prstGeom prst="rect">
                            <a:avLst/>
                          </a:prstGeom>
                          <a:noFill/>
                        </pic:spPr>
                      </pic:pic>
                    </a:graphicData>
                  </a:graphic>
                </wp:inline>
              </w:drawing>
            </w:r>
          </w:p>
        </w:tc>
      </w:tr>
      <w:tr w:rsidR="00F86465" w:rsidRPr="0035027D" w:rsidTr="0030315A">
        <w:trPr>
          <w:trHeight w:val="269"/>
          <w:jc w:val="center"/>
        </w:trPr>
        <w:tc>
          <w:tcPr>
            <w:tcW w:w="4485" w:type="dxa"/>
            <w:vMerge/>
            <w:shd w:val="clear" w:color="auto" w:fill="auto"/>
            <w:vAlign w:val="center"/>
            <w:hideMark/>
          </w:tcPr>
          <w:p w:rsidR="00F86465" w:rsidRPr="0035027D" w:rsidRDefault="00F86465" w:rsidP="0032346C">
            <w:pPr>
              <w:spacing w:after="0"/>
              <w:ind w:right="-392"/>
              <w:rPr>
                <w:rFonts w:cs="Times New Roman"/>
                <w:color w:val="000000"/>
              </w:rPr>
            </w:pPr>
          </w:p>
        </w:tc>
        <w:tc>
          <w:tcPr>
            <w:tcW w:w="146" w:type="dxa"/>
            <w:vMerge/>
            <w:shd w:val="clear" w:color="auto" w:fill="auto"/>
            <w:vAlign w:val="center"/>
            <w:hideMark/>
          </w:tcPr>
          <w:p w:rsidR="00F86465" w:rsidRPr="0035027D" w:rsidRDefault="00F86465" w:rsidP="0032346C">
            <w:pPr>
              <w:spacing w:after="0"/>
              <w:ind w:right="-392"/>
              <w:rPr>
                <w:rFonts w:cs="Times New Roman"/>
                <w:b/>
                <w:bCs/>
                <w:color w:val="000000"/>
                <w:sz w:val="20"/>
                <w:szCs w:val="20"/>
              </w:rPr>
            </w:pPr>
          </w:p>
        </w:tc>
        <w:tc>
          <w:tcPr>
            <w:tcW w:w="4458" w:type="dxa"/>
            <w:vMerge/>
            <w:shd w:val="clear" w:color="auto" w:fill="auto"/>
            <w:vAlign w:val="center"/>
            <w:hideMark/>
          </w:tcPr>
          <w:p w:rsidR="00F86465" w:rsidRPr="0035027D" w:rsidRDefault="00F86465" w:rsidP="0032346C">
            <w:pPr>
              <w:spacing w:after="0"/>
              <w:ind w:right="-392"/>
              <w:rPr>
                <w:rFonts w:cs="Times New Roman"/>
                <w:color w:val="000000"/>
              </w:rPr>
            </w:pPr>
          </w:p>
        </w:tc>
      </w:tr>
      <w:tr w:rsidR="00F86465" w:rsidRPr="0035027D" w:rsidTr="0030315A">
        <w:trPr>
          <w:trHeight w:val="269"/>
          <w:jc w:val="center"/>
        </w:trPr>
        <w:tc>
          <w:tcPr>
            <w:tcW w:w="4485" w:type="dxa"/>
            <w:vMerge/>
            <w:shd w:val="clear" w:color="auto" w:fill="auto"/>
            <w:vAlign w:val="center"/>
            <w:hideMark/>
          </w:tcPr>
          <w:p w:rsidR="00F86465" w:rsidRPr="0035027D" w:rsidRDefault="00F86465" w:rsidP="0032346C">
            <w:pPr>
              <w:spacing w:after="0"/>
              <w:ind w:right="-392"/>
              <w:rPr>
                <w:rFonts w:cs="Times New Roman"/>
                <w:color w:val="000000"/>
              </w:rPr>
            </w:pPr>
          </w:p>
        </w:tc>
        <w:tc>
          <w:tcPr>
            <w:tcW w:w="146" w:type="dxa"/>
            <w:vMerge/>
            <w:shd w:val="clear" w:color="auto" w:fill="auto"/>
            <w:vAlign w:val="center"/>
            <w:hideMark/>
          </w:tcPr>
          <w:p w:rsidR="00F86465" w:rsidRPr="0035027D" w:rsidRDefault="00F86465" w:rsidP="0032346C">
            <w:pPr>
              <w:spacing w:after="0"/>
              <w:ind w:right="-392"/>
              <w:rPr>
                <w:rFonts w:cs="Times New Roman"/>
                <w:b/>
                <w:bCs/>
                <w:color w:val="000000"/>
                <w:sz w:val="20"/>
                <w:szCs w:val="20"/>
              </w:rPr>
            </w:pPr>
          </w:p>
        </w:tc>
        <w:tc>
          <w:tcPr>
            <w:tcW w:w="4458" w:type="dxa"/>
            <w:vMerge/>
            <w:shd w:val="clear" w:color="auto" w:fill="auto"/>
            <w:vAlign w:val="center"/>
            <w:hideMark/>
          </w:tcPr>
          <w:p w:rsidR="00F86465" w:rsidRPr="0035027D" w:rsidRDefault="00F86465" w:rsidP="0032346C">
            <w:pPr>
              <w:spacing w:after="0"/>
              <w:ind w:right="-392"/>
              <w:rPr>
                <w:rFonts w:cs="Times New Roman"/>
                <w:color w:val="000000"/>
              </w:rPr>
            </w:pPr>
          </w:p>
        </w:tc>
      </w:tr>
      <w:tr w:rsidR="00F86465" w:rsidRPr="0035027D" w:rsidTr="0030315A">
        <w:trPr>
          <w:trHeight w:val="269"/>
          <w:jc w:val="center"/>
        </w:trPr>
        <w:tc>
          <w:tcPr>
            <w:tcW w:w="4485" w:type="dxa"/>
            <w:vMerge/>
            <w:shd w:val="clear" w:color="auto" w:fill="auto"/>
            <w:vAlign w:val="center"/>
            <w:hideMark/>
          </w:tcPr>
          <w:p w:rsidR="00F86465" w:rsidRPr="0035027D" w:rsidRDefault="00F86465" w:rsidP="0032346C">
            <w:pPr>
              <w:spacing w:after="0"/>
              <w:ind w:right="-392"/>
              <w:rPr>
                <w:rFonts w:cs="Times New Roman"/>
                <w:color w:val="000000"/>
              </w:rPr>
            </w:pPr>
          </w:p>
        </w:tc>
        <w:tc>
          <w:tcPr>
            <w:tcW w:w="146" w:type="dxa"/>
            <w:vMerge/>
            <w:shd w:val="clear" w:color="auto" w:fill="auto"/>
            <w:vAlign w:val="center"/>
            <w:hideMark/>
          </w:tcPr>
          <w:p w:rsidR="00F86465" w:rsidRPr="0035027D" w:rsidRDefault="00F86465" w:rsidP="0032346C">
            <w:pPr>
              <w:spacing w:after="0"/>
              <w:ind w:right="-392"/>
              <w:rPr>
                <w:rFonts w:cs="Times New Roman"/>
                <w:b/>
                <w:bCs/>
                <w:color w:val="000000"/>
                <w:sz w:val="20"/>
                <w:szCs w:val="20"/>
              </w:rPr>
            </w:pPr>
          </w:p>
        </w:tc>
        <w:tc>
          <w:tcPr>
            <w:tcW w:w="4458" w:type="dxa"/>
            <w:vMerge/>
            <w:shd w:val="clear" w:color="auto" w:fill="auto"/>
            <w:vAlign w:val="center"/>
            <w:hideMark/>
          </w:tcPr>
          <w:p w:rsidR="00F86465" w:rsidRPr="0035027D" w:rsidRDefault="00F86465" w:rsidP="0032346C">
            <w:pPr>
              <w:spacing w:after="0"/>
              <w:ind w:right="-392"/>
              <w:rPr>
                <w:rFonts w:cs="Times New Roman"/>
                <w:color w:val="000000"/>
              </w:rPr>
            </w:pPr>
          </w:p>
        </w:tc>
      </w:tr>
      <w:tr w:rsidR="00F86465" w:rsidRPr="0035027D" w:rsidTr="0030315A">
        <w:trPr>
          <w:trHeight w:val="269"/>
          <w:jc w:val="center"/>
        </w:trPr>
        <w:tc>
          <w:tcPr>
            <w:tcW w:w="4485" w:type="dxa"/>
            <w:vMerge/>
            <w:shd w:val="clear" w:color="auto" w:fill="auto"/>
            <w:vAlign w:val="center"/>
            <w:hideMark/>
          </w:tcPr>
          <w:p w:rsidR="00F86465" w:rsidRPr="0035027D" w:rsidRDefault="00F86465" w:rsidP="0032346C">
            <w:pPr>
              <w:spacing w:after="0"/>
              <w:ind w:right="-392"/>
              <w:rPr>
                <w:rFonts w:cs="Times New Roman"/>
                <w:color w:val="000000"/>
              </w:rPr>
            </w:pPr>
          </w:p>
        </w:tc>
        <w:tc>
          <w:tcPr>
            <w:tcW w:w="146" w:type="dxa"/>
            <w:vMerge/>
            <w:shd w:val="clear" w:color="auto" w:fill="auto"/>
            <w:vAlign w:val="center"/>
            <w:hideMark/>
          </w:tcPr>
          <w:p w:rsidR="00F86465" w:rsidRPr="0035027D" w:rsidRDefault="00F86465" w:rsidP="0032346C">
            <w:pPr>
              <w:spacing w:after="0"/>
              <w:ind w:right="-392"/>
              <w:rPr>
                <w:rFonts w:cs="Times New Roman"/>
                <w:b/>
                <w:bCs/>
                <w:color w:val="000000"/>
                <w:sz w:val="20"/>
                <w:szCs w:val="20"/>
              </w:rPr>
            </w:pPr>
          </w:p>
        </w:tc>
        <w:tc>
          <w:tcPr>
            <w:tcW w:w="4458" w:type="dxa"/>
            <w:vMerge/>
            <w:shd w:val="clear" w:color="auto" w:fill="auto"/>
            <w:vAlign w:val="center"/>
            <w:hideMark/>
          </w:tcPr>
          <w:p w:rsidR="00F86465" w:rsidRPr="0035027D" w:rsidRDefault="00F86465" w:rsidP="0032346C">
            <w:pPr>
              <w:spacing w:after="0"/>
              <w:ind w:right="-392"/>
              <w:rPr>
                <w:rFonts w:cs="Times New Roman"/>
                <w:color w:val="000000"/>
              </w:rPr>
            </w:pPr>
          </w:p>
        </w:tc>
      </w:tr>
      <w:tr w:rsidR="00F86465" w:rsidRPr="0035027D" w:rsidTr="0030315A">
        <w:trPr>
          <w:trHeight w:val="269"/>
          <w:jc w:val="center"/>
        </w:trPr>
        <w:tc>
          <w:tcPr>
            <w:tcW w:w="4485" w:type="dxa"/>
            <w:vMerge/>
            <w:shd w:val="clear" w:color="auto" w:fill="auto"/>
            <w:vAlign w:val="center"/>
            <w:hideMark/>
          </w:tcPr>
          <w:p w:rsidR="00F86465" w:rsidRPr="0035027D" w:rsidRDefault="00F86465" w:rsidP="0032346C">
            <w:pPr>
              <w:spacing w:after="0"/>
              <w:ind w:right="-392"/>
              <w:rPr>
                <w:rFonts w:cs="Times New Roman"/>
                <w:color w:val="000000"/>
              </w:rPr>
            </w:pPr>
          </w:p>
        </w:tc>
        <w:tc>
          <w:tcPr>
            <w:tcW w:w="146" w:type="dxa"/>
            <w:vMerge/>
            <w:shd w:val="clear" w:color="auto" w:fill="auto"/>
            <w:vAlign w:val="center"/>
            <w:hideMark/>
          </w:tcPr>
          <w:p w:rsidR="00F86465" w:rsidRPr="0035027D" w:rsidRDefault="00F86465" w:rsidP="0032346C">
            <w:pPr>
              <w:spacing w:after="0"/>
              <w:ind w:right="-392"/>
              <w:rPr>
                <w:rFonts w:cs="Times New Roman"/>
                <w:b/>
                <w:bCs/>
                <w:color w:val="000000"/>
                <w:sz w:val="20"/>
                <w:szCs w:val="20"/>
              </w:rPr>
            </w:pPr>
          </w:p>
        </w:tc>
        <w:tc>
          <w:tcPr>
            <w:tcW w:w="4458" w:type="dxa"/>
            <w:vMerge/>
            <w:shd w:val="clear" w:color="auto" w:fill="auto"/>
            <w:vAlign w:val="center"/>
            <w:hideMark/>
          </w:tcPr>
          <w:p w:rsidR="00F86465" w:rsidRPr="0035027D" w:rsidRDefault="00F86465" w:rsidP="0032346C">
            <w:pPr>
              <w:spacing w:after="0"/>
              <w:ind w:right="-392"/>
              <w:rPr>
                <w:rFonts w:cs="Times New Roman"/>
                <w:color w:val="000000"/>
              </w:rPr>
            </w:pPr>
          </w:p>
        </w:tc>
      </w:tr>
      <w:tr w:rsidR="00F86465" w:rsidRPr="0035027D" w:rsidTr="0030315A">
        <w:trPr>
          <w:trHeight w:val="1096"/>
          <w:jc w:val="center"/>
        </w:trPr>
        <w:tc>
          <w:tcPr>
            <w:tcW w:w="4485" w:type="dxa"/>
            <w:vMerge/>
            <w:tcBorders>
              <w:bottom w:val="single" w:sz="4" w:space="0" w:color="auto"/>
            </w:tcBorders>
            <w:shd w:val="clear" w:color="auto" w:fill="auto"/>
            <w:vAlign w:val="center"/>
            <w:hideMark/>
          </w:tcPr>
          <w:p w:rsidR="00F86465" w:rsidRPr="0035027D" w:rsidRDefault="00F86465" w:rsidP="0032346C">
            <w:pPr>
              <w:spacing w:after="0"/>
              <w:ind w:right="-392"/>
              <w:rPr>
                <w:rFonts w:cs="Times New Roman"/>
                <w:color w:val="000000"/>
              </w:rPr>
            </w:pPr>
          </w:p>
        </w:tc>
        <w:tc>
          <w:tcPr>
            <w:tcW w:w="146" w:type="dxa"/>
            <w:vMerge/>
            <w:shd w:val="clear" w:color="auto" w:fill="auto"/>
            <w:vAlign w:val="center"/>
            <w:hideMark/>
          </w:tcPr>
          <w:p w:rsidR="00F86465" w:rsidRPr="0035027D" w:rsidRDefault="00F86465" w:rsidP="0032346C">
            <w:pPr>
              <w:spacing w:after="0"/>
              <w:ind w:right="-392"/>
              <w:rPr>
                <w:rFonts w:cs="Times New Roman"/>
                <w:b/>
                <w:bCs/>
                <w:color w:val="000000"/>
                <w:sz w:val="20"/>
                <w:szCs w:val="20"/>
              </w:rPr>
            </w:pPr>
          </w:p>
        </w:tc>
        <w:tc>
          <w:tcPr>
            <w:tcW w:w="4458" w:type="dxa"/>
            <w:vMerge/>
            <w:tcBorders>
              <w:bottom w:val="single" w:sz="4" w:space="0" w:color="auto"/>
            </w:tcBorders>
            <w:shd w:val="clear" w:color="auto" w:fill="auto"/>
            <w:vAlign w:val="center"/>
            <w:hideMark/>
          </w:tcPr>
          <w:p w:rsidR="00F86465" w:rsidRPr="0035027D" w:rsidRDefault="00F86465" w:rsidP="0032346C">
            <w:pPr>
              <w:spacing w:after="0"/>
              <w:ind w:right="-392"/>
              <w:rPr>
                <w:rFonts w:cs="Times New Roman"/>
                <w:color w:val="000000"/>
              </w:rPr>
            </w:pPr>
          </w:p>
        </w:tc>
      </w:tr>
      <w:tr w:rsidR="00F86465" w:rsidRPr="0035027D" w:rsidTr="0030315A">
        <w:trPr>
          <w:trHeight w:val="20"/>
          <w:jc w:val="center"/>
        </w:trPr>
        <w:tc>
          <w:tcPr>
            <w:tcW w:w="4485" w:type="dxa"/>
            <w:tcBorders>
              <w:top w:val="single" w:sz="4" w:space="0" w:color="auto"/>
            </w:tcBorders>
            <w:shd w:val="clear" w:color="auto" w:fill="auto"/>
            <w:noWrap/>
            <w:vAlign w:val="bottom"/>
            <w:hideMark/>
          </w:tcPr>
          <w:p w:rsidR="00F86465" w:rsidRPr="0035027D" w:rsidRDefault="00F86465" w:rsidP="000D09CD">
            <w:pPr>
              <w:spacing w:after="0"/>
              <w:jc w:val="right"/>
              <w:rPr>
                <w:rFonts w:cs="Times New Roman"/>
                <w:i/>
                <w:iCs/>
                <w:color w:val="000000"/>
                <w:sz w:val="18"/>
                <w:szCs w:val="18"/>
              </w:rPr>
            </w:pPr>
            <w:r w:rsidRPr="0035027D">
              <w:rPr>
                <w:rFonts w:cs="Times New Roman"/>
                <w:i/>
                <w:color w:val="000000"/>
                <w:sz w:val="18"/>
                <w:szCs w:val="18"/>
              </w:rPr>
              <w:t>Zdroj:</w:t>
            </w:r>
            <w:r w:rsidR="0029635C" w:rsidRPr="0035027D">
              <w:rPr>
                <w:rFonts w:cs="Times New Roman"/>
                <w:i/>
                <w:color w:val="000000"/>
                <w:sz w:val="18"/>
                <w:szCs w:val="18"/>
              </w:rPr>
              <w:t xml:space="preserve"> </w:t>
            </w:r>
            <w:r w:rsidRPr="0035027D">
              <w:rPr>
                <w:rFonts w:cs="Times New Roman"/>
                <w:i/>
                <w:color w:val="000000"/>
                <w:sz w:val="18"/>
                <w:szCs w:val="18"/>
              </w:rPr>
              <w:t>Eurostat</w:t>
            </w:r>
          </w:p>
        </w:tc>
        <w:tc>
          <w:tcPr>
            <w:tcW w:w="146" w:type="dxa"/>
            <w:vMerge/>
            <w:shd w:val="clear" w:color="auto" w:fill="auto"/>
            <w:vAlign w:val="center"/>
            <w:hideMark/>
          </w:tcPr>
          <w:p w:rsidR="00F86465" w:rsidRPr="0035027D" w:rsidRDefault="00F86465" w:rsidP="0030315A">
            <w:pPr>
              <w:spacing w:after="0"/>
              <w:ind w:right="-392"/>
              <w:jc w:val="right"/>
              <w:rPr>
                <w:rFonts w:cs="Times New Roman"/>
                <w:b/>
                <w:bCs/>
                <w:i/>
                <w:color w:val="000000"/>
                <w:sz w:val="18"/>
                <w:szCs w:val="18"/>
              </w:rPr>
            </w:pPr>
          </w:p>
        </w:tc>
        <w:tc>
          <w:tcPr>
            <w:tcW w:w="4458" w:type="dxa"/>
            <w:tcBorders>
              <w:top w:val="single" w:sz="4" w:space="0" w:color="auto"/>
            </w:tcBorders>
            <w:shd w:val="clear" w:color="auto" w:fill="auto"/>
            <w:noWrap/>
            <w:vAlign w:val="bottom"/>
            <w:hideMark/>
          </w:tcPr>
          <w:p w:rsidR="00F86465" w:rsidRPr="0035027D" w:rsidRDefault="0030315A" w:rsidP="000D09CD">
            <w:pPr>
              <w:spacing w:after="0"/>
              <w:jc w:val="right"/>
              <w:rPr>
                <w:rFonts w:cs="Times New Roman"/>
                <w:i/>
                <w:iCs/>
                <w:color w:val="000000"/>
                <w:sz w:val="18"/>
                <w:szCs w:val="18"/>
              </w:rPr>
            </w:pPr>
            <w:r w:rsidRPr="0035027D">
              <w:rPr>
                <w:rFonts w:cs="Times New Roman"/>
                <w:i/>
                <w:color w:val="000000"/>
                <w:sz w:val="18"/>
                <w:szCs w:val="18"/>
              </w:rPr>
              <w:t>Zdroj: Euros</w:t>
            </w:r>
            <w:r w:rsidR="000D09CD" w:rsidRPr="0035027D">
              <w:rPr>
                <w:rFonts w:cs="Times New Roman"/>
                <w:i/>
                <w:color w:val="000000"/>
                <w:sz w:val="18"/>
                <w:szCs w:val="18"/>
              </w:rPr>
              <w:t>tat</w:t>
            </w:r>
            <w:r w:rsidR="00977BD9" w:rsidRPr="0035027D">
              <w:rPr>
                <w:rFonts w:cs="Times New Roman"/>
                <w:i/>
                <w:color w:val="000000"/>
                <w:sz w:val="18"/>
                <w:szCs w:val="18"/>
              </w:rPr>
              <w:t xml:space="preserve">                      </w:t>
            </w:r>
            <w:r w:rsidR="00977BD9" w:rsidRPr="0035027D">
              <w:rPr>
                <w:rFonts w:cs="Times New Roman"/>
                <w:i/>
                <w:iCs/>
                <w:color w:val="000000"/>
                <w:sz w:val="18"/>
                <w:szCs w:val="18"/>
              </w:rPr>
              <w:t xml:space="preserve">                      </w:t>
            </w:r>
            <w:r w:rsidR="0037199A" w:rsidRPr="0035027D">
              <w:rPr>
                <w:rFonts w:cs="Times New Roman"/>
                <w:i/>
                <w:iCs/>
                <w:color w:val="000000"/>
                <w:sz w:val="18"/>
                <w:szCs w:val="18"/>
              </w:rPr>
              <w:t xml:space="preserve"> </w:t>
            </w:r>
          </w:p>
        </w:tc>
      </w:tr>
    </w:tbl>
    <w:p w:rsidR="00F86465" w:rsidRPr="0035027D" w:rsidRDefault="00F86465" w:rsidP="0067463C">
      <w:pPr>
        <w:spacing w:after="0"/>
        <w:rPr>
          <w:b/>
          <w:i/>
        </w:rPr>
      </w:pPr>
    </w:p>
    <w:p w:rsidR="00F86465" w:rsidRPr="0035027D" w:rsidRDefault="00F86465" w:rsidP="00F86465">
      <w:pPr>
        <w:spacing w:after="0"/>
        <w:rPr>
          <w:b/>
          <w:i/>
        </w:rPr>
      </w:pPr>
      <w:r w:rsidRPr="0035027D">
        <w:rPr>
          <w:b/>
          <w:i/>
        </w:rPr>
        <w:t xml:space="preserve">Strednodobá prognóza vývoja ekonomiky pre roky 2013 - 2016 </w:t>
      </w:r>
    </w:p>
    <w:p w:rsidR="00F86465" w:rsidRPr="0035027D" w:rsidRDefault="00F86465" w:rsidP="00F86465">
      <w:pPr>
        <w:spacing w:after="0"/>
        <w:rPr>
          <w:b/>
          <w:i/>
        </w:rPr>
      </w:pPr>
    </w:p>
    <w:p w:rsidR="00F86465" w:rsidRPr="0035027D" w:rsidRDefault="00F86465" w:rsidP="00F86465">
      <w:pPr>
        <w:spacing w:after="0"/>
      </w:pPr>
      <w:r w:rsidRPr="0035027D">
        <w:t>Posledná oficiálna prognóza MF SR z januára 2013, ktorá je pou</w:t>
      </w:r>
      <w:r w:rsidRPr="0035027D">
        <w:rPr>
          <w:rFonts w:cs="Times New Roman"/>
        </w:rPr>
        <w:t>ž</w:t>
      </w:r>
      <w:r w:rsidRPr="0035027D">
        <w:t>itá pri návrhu východísk rozpo</w:t>
      </w:r>
      <w:r w:rsidRPr="0035027D">
        <w:rPr>
          <w:rFonts w:cs="Times New Roman"/>
        </w:rPr>
        <w:t>č</w:t>
      </w:r>
      <w:r w:rsidRPr="0035027D">
        <w:t>tu na roky 2014</w:t>
      </w:r>
      <w:r w:rsidR="007A2BBA" w:rsidRPr="0035027D">
        <w:t> – </w:t>
      </w:r>
      <w:r w:rsidRPr="0035027D">
        <w:t>2016, odrá</w:t>
      </w:r>
      <w:r w:rsidRPr="0035027D">
        <w:rPr>
          <w:rFonts w:cs="Times New Roman"/>
        </w:rPr>
        <w:t>ž</w:t>
      </w:r>
      <w:r w:rsidRPr="0035027D">
        <w:t>a o</w:t>
      </w:r>
      <w:r w:rsidRPr="0035027D">
        <w:rPr>
          <w:rFonts w:cs="Times New Roman"/>
        </w:rPr>
        <w:t>č</w:t>
      </w:r>
      <w:r w:rsidRPr="0035027D">
        <w:t>akávané zhoršenie vývoja externého prostredia. V porovnaní s predchádzajúcim rokom sa v roku 2013 o</w:t>
      </w:r>
      <w:r w:rsidRPr="0035027D">
        <w:rPr>
          <w:rFonts w:cs="Times New Roman"/>
        </w:rPr>
        <w:t>č</w:t>
      </w:r>
      <w:r w:rsidRPr="0035027D">
        <w:t>akáva pomalší rast HDP na úrovni 1,2</w:t>
      </w:r>
      <w:r w:rsidR="005E1922" w:rsidRPr="0035027D">
        <w:t> %</w:t>
      </w:r>
      <w:r w:rsidRPr="0035027D">
        <w:t xml:space="preserve">, predovšetkým v dôsledku spomalenia ekonomického </w:t>
      </w:r>
      <w:r w:rsidRPr="0035027D">
        <w:lastRenderedPageBreak/>
        <w:t>rastu našich obchodných partnerov. Rast však bude na</w:t>
      </w:r>
      <w:r w:rsidRPr="0035027D">
        <w:rPr>
          <w:rFonts w:cs="Times New Roman"/>
        </w:rPr>
        <w:t>ď</w:t>
      </w:r>
      <w:r w:rsidRPr="0035027D">
        <w:t xml:space="preserve">alej </w:t>
      </w:r>
      <w:r w:rsidRPr="0035027D">
        <w:rPr>
          <w:rFonts w:cs="Times New Roman"/>
        </w:rPr>
        <w:t>ť</w:t>
      </w:r>
      <w:r w:rsidRPr="0035027D">
        <w:t>ahaný preva</w:t>
      </w:r>
      <w:r w:rsidRPr="0035027D">
        <w:rPr>
          <w:rFonts w:cs="Times New Roman"/>
        </w:rPr>
        <w:t>ž</w:t>
      </w:r>
      <w:r w:rsidRPr="0035027D">
        <w:t>ne zahrani</w:t>
      </w:r>
      <w:r w:rsidRPr="0035027D">
        <w:rPr>
          <w:rFonts w:cs="Times New Roman"/>
        </w:rPr>
        <w:t>č</w:t>
      </w:r>
      <w:r w:rsidRPr="0035027D">
        <w:t>ným dopytom spolu s investíciami. Spotreba domácností by mala na</w:t>
      </w:r>
      <w:r w:rsidRPr="0035027D">
        <w:rPr>
          <w:rFonts w:cs="Times New Roman"/>
        </w:rPr>
        <w:t>ď</w:t>
      </w:r>
      <w:r w:rsidRPr="0035027D">
        <w:t>alej mierne klesa</w:t>
      </w:r>
      <w:r w:rsidRPr="0035027D">
        <w:rPr>
          <w:rFonts w:cs="Times New Roman"/>
        </w:rPr>
        <w:t>ť</w:t>
      </w:r>
      <w:r w:rsidRPr="0035027D">
        <w:t xml:space="preserve"> kvôli nepriaznivej situácii na trhu práce, zatia</w:t>
      </w:r>
      <w:r w:rsidRPr="0035027D">
        <w:rPr>
          <w:rFonts w:cs="Times New Roman"/>
        </w:rPr>
        <w:t>ľ</w:t>
      </w:r>
      <w:r w:rsidRPr="0035027D">
        <w:t xml:space="preserve"> </w:t>
      </w:r>
      <w:r w:rsidRPr="0035027D">
        <w:rPr>
          <w:rFonts w:cs="Times New Roman"/>
        </w:rPr>
        <w:t>č</w:t>
      </w:r>
      <w:r w:rsidRPr="0035027D">
        <w:t>o zní</w:t>
      </w:r>
      <w:r w:rsidRPr="0035027D">
        <w:rPr>
          <w:rFonts w:cs="Times New Roman"/>
        </w:rPr>
        <w:t>ž</w:t>
      </w:r>
      <w:r w:rsidRPr="0035027D">
        <w:t xml:space="preserve">enie deficitu verejných financií </w:t>
      </w:r>
      <w:r w:rsidR="00035863" w:rsidRPr="0035027D">
        <w:t>o plánovaných</w:t>
      </w:r>
      <w:r w:rsidRPr="0035027D">
        <w:t xml:space="preserve"> 3,3</w:t>
      </w:r>
      <w:r w:rsidR="005E1922" w:rsidRPr="0035027D">
        <w:t> </w:t>
      </w:r>
      <w:proofErr w:type="spellStart"/>
      <w:r w:rsidR="00035863" w:rsidRPr="0035027D">
        <w:t>p.b</w:t>
      </w:r>
      <w:proofErr w:type="spellEnd"/>
      <w:r w:rsidR="00035863" w:rsidRPr="0035027D">
        <w:t xml:space="preserve">. </w:t>
      </w:r>
      <w:r w:rsidRPr="0035027D">
        <w:t>HDP povedie k poklesu výdavkov vo verejnej správe. V nasledujúcich rokoch by mal rast HDP postupne zrýchli</w:t>
      </w:r>
      <w:r w:rsidRPr="0035027D">
        <w:rPr>
          <w:rFonts w:cs="Times New Roman"/>
        </w:rPr>
        <w:t>ť</w:t>
      </w:r>
      <w:r w:rsidRPr="0035027D">
        <w:t xml:space="preserve"> a</w:t>
      </w:r>
      <w:r w:rsidRPr="0035027D">
        <w:rPr>
          <w:rFonts w:cs="Times New Roman"/>
        </w:rPr>
        <w:t>ž</w:t>
      </w:r>
      <w:r w:rsidRPr="0035027D">
        <w:t xml:space="preserve"> na 3,6</w:t>
      </w:r>
      <w:r w:rsidR="005E1922" w:rsidRPr="0035027D">
        <w:t> </w:t>
      </w:r>
      <w:r w:rsidRPr="0035027D">
        <w:t>%, pri</w:t>
      </w:r>
      <w:r w:rsidRPr="0035027D">
        <w:rPr>
          <w:rFonts w:cs="Times New Roman"/>
        </w:rPr>
        <w:t>č</w:t>
      </w:r>
      <w:r w:rsidRPr="0035027D">
        <w:t>om k rastu za</w:t>
      </w:r>
      <w:r w:rsidRPr="0035027D">
        <w:rPr>
          <w:rFonts w:cs="Times New Roman"/>
        </w:rPr>
        <w:t>č</w:t>
      </w:r>
      <w:r w:rsidRPr="0035027D">
        <w:t>ne prispieva</w:t>
      </w:r>
      <w:r w:rsidRPr="0035027D">
        <w:rPr>
          <w:rFonts w:cs="Times New Roman"/>
        </w:rPr>
        <w:t>ť</w:t>
      </w:r>
      <w:r w:rsidRPr="0035027D">
        <w:t xml:space="preserve"> vo vyššej miere aj domáci dopyt.</w:t>
      </w:r>
    </w:p>
    <w:p w:rsidR="00F86465" w:rsidRPr="0035027D" w:rsidRDefault="00F86465" w:rsidP="00F86465">
      <w:pPr>
        <w:spacing w:after="0"/>
      </w:pPr>
    </w:p>
    <w:p w:rsidR="00F86465" w:rsidRPr="0035027D" w:rsidRDefault="00357D7C" w:rsidP="00F86465">
      <w:pPr>
        <w:spacing w:after="0"/>
      </w:pPr>
      <w:r w:rsidRPr="0035027D">
        <w:t>Hospodársky rast v tomto roku bude pravdepodobne sprevádzaný poklesom zamestnanosti. Zamestnanos</w:t>
      </w:r>
      <w:r w:rsidRPr="0035027D">
        <w:rPr>
          <w:rFonts w:cs="Times New Roman"/>
        </w:rPr>
        <w:t>ť</w:t>
      </w:r>
      <w:r w:rsidRPr="0035027D">
        <w:t xml:space="preserve"> by mala v roku 2013 klesnú</w:t>
      </w:r>
      <w:r w:rsidRPr="0035027D">
        <w:rPr>
          <w:rFonts w:cs="Times New Roman"/>
        </w:rPr>
        <w:t>ť</w:t>
      </w:r>
      <w:r w:rsidRPr="0035027D">
        <w:t xml:space="preserve"> o 0,5 %. Rast zamestnanosti by sa mal obnovi</w:t>
      </w:r>
      <w:r w:rsidRPr="0035027D">
        <w:rPr>
          <w:rFonts w:cs="Times New Roman"/>
        </w:rPr>
        <w:t>ť</w:t>
      </w:r>
      <w:r w:rsidRPr="0035027D">
        <w:t xml:space="preserve"> spolu s rýchlejším rastom HDP v roku 2014. </w:t>
      </w:r>
      <w:r w:rsidR="00F86465" w:rsidRPr="0035027D">
        <w:t>Pokra</w:t>
      </w:r>
      <w:r w:rsidR="00F86465" w:rsidRPr="0035027D">
        <w:rPr>
          <w:rFonts w:cs="Times New Roman"/>
        </w:rPr>
        <w:t>č</w:t>
      </w:r>
      <w:r w:rsidR="00F86465" w:rsidRPr="0035027D">
        <w:t>ovanie rastu zamestnanosti v </w:t>
      </w:r>
      <w:r w:rsidR="00F86465" w:rsidRPr="0035027D">
        <w:rPr>
          <w:rFonts w:cs="Times New Roman"/>
        </w:rPr>
        <w:t>ď</w:t>
      </w:r>
      <w:r w:rsidR="00F86465" w:rsidRPr="0035027D">
        <w:t>alších rokoch by malo</w:t>
      </w:r>
      <w:r w:rsidR="009C4E12" w:rsidRPr="0035027D">
        <w:t xml:space="preserve"> priblí</w:t>
      </w:r>
      <w:r w:rsidR="009C4E12" w:rsidRPr="0035027D">
        <w:rPr>
          <w:rFonts w:cs="Times New Roman"/>
        </w:rPr>
        <w:t>ž</w:t>
      </w:r>
      <w:r w:rsidR="009C4E12" w:rsidRPr="0035027D">
        <w:t>i</w:t>
      </w:r>
      <w:r w:rsidR="009C4E12" w:rsidRPr="0035027D">
        <w:rPr>
          <w:rFonts w:cs="Times New Roman"/>
        </w:rPr>
        <w:t>ť</w:t>
      </w:r>
      <w:r w:rsidR="009C4E12" w:rsidRPr="0035027D">
        <w:t xml:space="preserve"> po</w:t>
      </w:r>
      <w:r w:rsidR="009C4E12" w:rsidRPr="0035027D">
        <w:rPr>
          <w:rFonts w:cs="Times New Roman"/>
        </w:rPr>
        <w:t>č</w:t>
      </w:r>
      <w:r w:rsidR="009C4E12" w:rsidRPr="0035027D">
        <w:t xml:space="preserve">et pracujúcich </w:t>
      </w:r>
      <w:r w:rsidR="00F86465" w:rsidRPr="0035027D">
        <w:t>v roku 2016 k predkrízovým úrovniam. Miera nezamestnanosti by mala v roku 2013 stúpnu</w:t>
      </w:r>
      <w:r w:rsidR="00F86465" w:rsidRPr="0035027D">
        <w:rPr>
          <w:rFonts w:cs="Times New Roman"/>
        </w:rPr>
        <w:t>ť</w:t>
      </w:r>
      <w:r w:rsidR="00F86465" w:rsidRPr="0035027D">
        <w:t xml:space="preserve"> nad 14</w:t>
      </w:r>
      <w:r w:rsidR="005E1922" w:rsidRPr="0035027D">
        <w:t> </w:t>
      </w:r>
      <w:r w:rsidR="00F86465" w:rsidRPr="0035027D">
        <w:t>%, ale v nasledujúcich rokoch by v</w:t>
      </w:r>
      <w:r w:rsidR="00F86465" w:rsidRPr="0035027D">
        <w:rPr>
          <w:rFonts w:cs="Times New Roman"/>
        </w:rPr>
        <w:t>ď</w:t>
      </w:r>
      <w:r w:rsidR="00F86465" w:rsidRPr="0035027D">
        <w:t>aka rastu zamestnanosti mala postupne klesnú</w:t>
      </w:r>
      <w:r w:rsidR="00F86465" w:rsidRPr="0035027D">
        <w:rPr>
          <w:rFonts w:cs="Times New Roman"/>
        </w:rPr>
        <w:t>ť</w:t>
      </w:r>
      <w:r w:rsidR="00F86465" w:rsidRPr="0035027D">
        <w:t xml:space="preserve"> k úrovni 12</w:t>
      </w:r>
      <w:r w:rsidR="005E1922" w:rsidRPr="0035027D">
        <w:t> </w:t>
      </w:r>
      <w:r w:rsidR="00F86465" w:rsidRPr="0035027D">
        <w:t>% v 2016.</w:t>
      </w:r>
    </w:p>
    <w:p w:rsidR="00F86465" w:rsidRPr="0035027D" w:rsidRDefault="00F86465" w:rsidP="00F86465">
      <w:pPr>
        <w:spacing w:after="0"/>
      </w:pPr>
    </w:p>
    <w:p w:rsidR="00F86465" w:rsidRPr="0035027D" w:rsidRDefault="00F86465" w:rsidP="00F86465">
      <w:pPr>
        <w:spacing w:after="0"/>
      </w:pPr>
      <w:r w:rsidRPr="0035027D">
        <w:t>Priemerná nominálna mzda by v tomto roku mala dosiahnu</w:t>
      </w:r>
      <w:r w:rsidRPr="0035027D">
        <w:rPr>
          <w:rFonts w:cs="Times New Roman"/>
        </w:rPr>
        <w:t>ť</w:t>
      </w:r>
      <w:r w:rsidRPr="0035027D">
        <w:t xml:space="preserve"> 823 eur, </w:t>
      </w:r>
      <w:r w:rsidRPr="0035027D">
        <w:rPr>
          <w:rFonts w:cs="Times New Roman"/>
        </w:rPr>
        <w:t>č</w:t>
      </w:r>
      <w:r w:rsidRPr="0035027D">
        <w:t>o je nárast o 2,3</w:t>
      </w:r>
      <w:r w:rsidR="005E1922" w:rsidRPr="0035027D">
        <w:t> </w:t>
      </w:r>
      <w:r w:rsidR="00C43D5E" w:rsidRPr="0035027D">
        <w:t>% (19 eur</w:t>
      </w:r>
      <w:r w:rsidRPr="0035027D">
        <w:t>) oproti roku 2012. V</w:t>
      </w:r>
      <w:r w:rsidRPr="0035027D">
        <w:rPr>
          <w:rFonts w:cs="Times New Roman"/>
        </w:rPr>
        <w:t>ď</w:t>
      </w:r>
      <w:r w:rsidRPr="0035027D">
        <w:t>aka výrazne pomalšiemu rastu cien by u</w:t>
      </w:r>
      <w:r w:rsidRPr="0035027D">
        <w:rPr>
          <w:rFonts w:cs="Times New Roman"/>
        </w:rPr>
        <w:t>ž</w:t>
      </w:r>
      <w:r w:rsidRPr="0035027D">
        <w:t xml:space="preserve"> reálna mzda v tomto roku klesa</w:t>
      </w:r>
      <w:r w:rsidRPr="0035027D">
        <w:rPr>
          <w:rFonts w:cs="Times New Roman"/>
        </w:rPr>
        <w:t>ť</w:t>
      </w:r>
      <w:r w:rsidRPr="0035027D">
        <w:t xml:space="preserve"> nemala. S o</w:t>
      </w:r>
      <w:r w:rsidRPr="0035027D">
        <w:rPr>
          <w:rFonts w:cs="Times New Roman"/>
        </w:rPr>
        <w:t>č</w:t>
      </w:r>
      <w:r w:rsidRPr="0035027D">
        <w:t>akávaným poklesom nezamestnanosti by v nasledujúcich rokoch mal vývoj miezd v súkromnom sektore vo výraznejšej miere odrá</w:t>
      </w:r>
      <w:r w:rsidRPr="0035027D">
        <w:rPr>
          <w:rFonts w:cs="Times New Roman"/>
        </w:rPr>
        <w:t>ž</w:t>
      </w:r>
      <w:r w:rsidRPr="0035027D">
        <w:t>a</w:t>
      </w:r>
      <w:r w:rsidRPr="0035027D">
        <w:rPr>
          <w:rFonts w:cs="Times New Roman"/>
        </w:rPr>
        <w:t>ť</w:t>
      </w:r>
      <w:r w:rsidRPr="0035027D">
        <w:t xml:space="preserve"> rast produktivity práce. V roku 2016 by mal rast reálnej mzdy presiahnu</w:t>
      </w:r>
      <w:r w:rsidRPr="0035027D">
        <w:rPr>
          <w:rFonts w:cs="Times New Roman"/>
        </w:rPr>
        <w:t>ť</w:t>
      </w:r>
      <w:r w:rsidRPr="0035027D">
        <w:t xml:space="preserve"> 2</w:t>
      </w:r>
      <w:r w:rsidR="005E1922" w:rsidRPr="0035027D">
        <w:t> </w:t>
      </w:r>
      <w:r w:rsidRPr="0035027D">
        <w:t xml:space="preserve">%. </w:t>
      </w:r>
    </w:p>
    <w:p w:rsidR="00F86465" w:rsidRPr="0035027D" w:rsidRDefault="00F86465" w:rsidP="00F86465">
      <w:pPr>
        <w:spacing w:after="0"/>
      </w:pPr>
    </w:p>
    <w:p w:rsidR="00F86465" w:rsidRPr="0035027D" w:rsidRDefault="00F86465" w:rsidP="00F86465">
      <w:pPr>
        <w:spacing w:after="0"/>
      </w:pPr>
      <w:r w:rsidRPr="0035027D">
        <w:t>Rast cenovej hladiny bude v tomto roku výrazne ni</w:t>
      </w:r>
      <w:r w:rsidRPr="0035027D">
        <w:rPr>
          <w:rFonts w:cs="Times New Roman"/>
        </w:rPr>
        <w:t>ž</w:t>
      </w:r>
      <w:r w:rsidRPr="0035027D">
        <w:t>ší ako v roku 2012. Predpokladaný medziro</w:t>
      </w:r>
      <w:r w:rsidRPr="0035027D">
        <w:rPr>
          <w:rFonts w:cs="Times New Roman"/>
        </w:rPr>
        <w:t>č</w:t>
      </w:r>
      <w:r w:rsidRPr="0035027D">
        <w:t>ný rast spotrebite</w:t>
      </w:r>
      <w:r w:rsidRPr="0035027D">
        <w:rPr>
          <w:rFonts w:cs="Times New Roman"/>
        </w:rPr>
        <w:t>ľ</w:t>
      </w:r>
      <w:r w:rsidRPr="0035027D">
        <w:t>ských cien je na úrovni 2,3</w:t>
      </w:r>
      <w:r w:rsidR="005E1922" w:rsidRPr="0035027D">
        <w:t> </w:t>
      </w:r>
      <w:r w:rsidRPr="0035027D">
        <w:t>%. Pod spomalenie inflácie sa podpíše viacero faktorov – slabý domáci dopyt znamená ni</w:t>
      </w:r>
      <w:r w:rsidRPr="0035027D">
        <w:rPr>
          <w:rFonts w:cs="Times New Roman"/>
        </w:rPr>
        <w:t>ž</w:t>
      </w:r>
      <w:r w:rsidRPr="0035027D">
        <w:t xml:space="preserve">šiu </w:t>
      </w:r>
      <w:r w:rsidRPr="0035027D">
        <w:rPr>
          <w:rFonts w:cs="Times New Roman"/>
        </w:rPr>
        <w:t>č</w:t>
      </w:r>
      <w:r w:rsidRPr="0035027D">
        <w:t>istú infláciu, kým stabilizácia cien na svetových trhoch spôsobí pomalší rast regulovaných cien a cien potravín. Výh</w:t>
      </w:r>
      <w:r w:rsidRPr="0035027D">
        <w:rPr>
          <w:rFonts w:cs="Times New Roman"/>
        </w:rPr>
        <w:t>ľ</w:t>
      </w:r>
      <w:r w:rsidRPr="0035027D">
        <w:t>ad na nasledujúce roky 2014</w:t>
      </w:r>
      <w:r w:rsidR="0007001E" w:rsidRPr="0035027D">
        <w:t> </w:t>
      </w:r>
      <w:r w:rsidRPr="0035027D">
        <w:t>-</w:t>
      </w:r>
      <w:r w:rsidR="0007001E" w:rsidRPr="0035027D">
        <w:t> </w:t>
      </w:r>
      <w:r w:rsidRPr="0035027D">
        <w:t>2016 je pozitívny a priemerný rast spotrebite</w:t>
      </w:r>
      <w:r w:rsidRPr="0035027D">
        <w:rPr>
          <w:rFonts w:cs="Times New Roman"/>
        </w:rPr>
        <w:t>ľ</w:t>
      </w:r>
      <w:r w:rsidRPr="0035027D">
        <w:t>ských cien bude výrazne ni</w:t>
      </w:r>
      <w:r w:rsidRPr="0035027D">
        <w:rPr>
          <w:rFonts w:cs="Times New Roman"/>
        </w:rPr>
        <w:t>ž</w:t>
      </w:r>
      <w:r w:rsidRPr="0035027D">
        <w:t>ší ne</w:t>
      </w:r>
      <w:r w:rsidRPr="0035027D">
        <w:rPr>
          <w:rFonts w:cs="Times New Roman"/>
        </w:rPr>
        <w:t>ž</w:t>
      </w:r>
      <w:r w:rsidRPr="0035027D">
        <w:t xml:space="preserve"> po</w:t>
      </w:r>
      <w:r w:rsidRPr="0035027D">
        <w:rPr>
          <w:rFonts w:cs="Times New Roman"/>
        </w:rPr>
        <w:t>č</w:t>
      </w:r>
      <w:r w:rsidRPr="0035027D">
        <w:t>as minulých dvoch rokov.</w:t>
      </w:r>
    </w:p>
    <w:p w:rsidR="00F86465" w:rsidRPr="0035027D" w:rsidRDefault="00F86465" w:rsidP="00F86465">
      <w:pPr>
        <w:spacing w:after="0"/>
      </w:pPr>
    </w:p>
    <w:p w:rsidR="00F86465" w:rsidRPr="0035027D" w:rsidRDefault="00F86465" w:rsidP="00F86465">
      <w:pPr>
        <w:spacing w:after="0"/>
      </w:pPr>
    </w:p>
    <w:p w:rsidR="00F86465" w:rsidRPr="0035027D" w:rsidRDefault="00F86465" w:rsidP="00F86465">
      <w:pPr>
        <w:spacing w:after="0"/>
      </w:pPr>
    </w:p>
    <w:p w:rsidR="00F86465" w:rsidRPr="0035027D" w:rsidRDefault="00F86465" w:rsidP="00F86465">
      <w:pPr>
        <w:pStyle w:val="Nadpis1"/>
        <w:tabs>
          <w:tab w:val="clear" w:pos="432"/>
        </w:tabs>
        <w:spacing w:before="0" w:after="0"/>
        <w:ind w:left="0" w:firstLine="0"/>
        <w:rPr>
          <w:b w:val="0"/>
          <w:color w:val="000000"/>
          <w:sz w:val="22"/>
          <w:szCs w:val="22"/>
        </w:rPr>
      </w:pPr>
    </w:p>
    <w:p w:rsidR="00515596" w:rsidRPr="0035027D" w:rsidRDefault="00FE292C" w:rsidP="003C29D5">
      <w:pPr>
        <w:pStyle w:val="Nadpis1"/>
        <w:numPr>
          <w:ilvl w:val="0"/>
          <w:numId w:val="1"/>
        </w:numPr>
        <w:spacing w:before="0" w:after="0"/>
        <w:ind w:left="284" w:hanging="284"/>
        <w:jc w:val="left"/>
        <w:rPr>
          <w:sz w:val="32"/>
          <w:szCs w:val="32"/>
        </w:rPr>
      </w:pPr>
      <w:r w:rsidRPr="0035027D">
        <w:rPr>
          <w:b w:val="0"/>
          <w:color w:val="000000"/>
          <w:sz w:val="22"/>
          <w:szCs w:val="22"/>
        </w:rPr>
        <w:br w:type="column"/>
      </w:r>
      <w:bookmarkStart w:id="33" w:name="_Toc353563375"/>
      <w:r w:rsidR="00515596" w:rsidRPr="0035027D">
        <w:rPr>
          <w:sz w:val="32"/>
          <w:szCs w:val="32"/>
        </w:rPr>
        <w:lastRenderedPageBreak/>
        <w:t xml:space="preserve">Opatrenia </w:t>
      </w:r>
      <w:bookmarkEnd w:id="29"/>
      <w:bookmarkEnd w:id="30"/>
      <w:bookmarkEnd w:id="31"/>
      <w:bookmarkEnd w:id="32"/>
      <w:r w:rsidR="001D137B" w:rsidRPr="0035027D">
        <w:rPr>
          <w:sz w:val="32"/>
          <w:szCs w:val="32"/>
        </w:rPr>
        <w:t>v štrukturálnych prioritách</w:t>
      </w:r>
      <w:bookmarkEnd w:id="33"/>
      <w:r w:rsidR="00515596" w:rsidRPr="0035027D">
        <w:rPr>
          <w:sz w:val="32"/>
          <w:szCs w:val="32"/>
        </w:rPr>
        <w:t xml:space="preserve"> </w:t>
      </w:r>
    </w:p>
    <w:p w:rsidR="00515596" w:rsidRPr="0035027D" w:rsidRDefault="00515596" w:rsidP="00515596">
      <w:pPr>
        <w:spacing w:after="0"/>
      </w:pPr>
    </w:p>
    <w:p w:rsidR="003B09AF" w:rsidRPr="0035027D" w:rsidRDefault="003B09AF" w:rsidP="00445325">
      <w:pPr>
        <w:pStyle w:val="Nadpis3"/>
        <w:ind w:left="0" w:firstLine="0"/>
      </w:pPr>
      <w:bookmarkStart w:id="34" w:name="_Toc353563376"/>
      <w:bookmarkStart w:id="35" w:name="_Toc350524499"/>
      <w:bookmarkStart w:id="36" w:name="_Toc320096495"/>
      <w:bookmarkStart w:id="37" w:name="_Toc320096635"/>
      <w:bookmarkStart w:id="38" w:name="_Toc326222731"/>
      <w:bookmarkStart w:id="39" w:name="_Toc348448944"/>
      <w:r w:rsidRPr="0035027D">
        <w:t>Fiškálna politika a verejné financie</w:t>
      </w:r>
      <w:bookmarkEnd w:id="34"/>
    </w:p>
    <w:p w:rsidR="003B09AF" w:rsidRPr="0035027D" w:rsidRDefault="003B09AF" w:rsidP="00484C06">
      <w:pPr>
        <w:spacing w:after="0"/>
        <w:rPr>
          <w:lang w:eastAsia="en-US"/>
        </w:rPr>
      </w:pPr>
    </w:p>
    <w:p w:rsidR="00484C06" w:rsidRPr="0035027D" w:rsidRDefault="00484C06" w:rsidP="00484C06">
      <w:pPr>
        <w:autoSpaceDE w:val="0"/>
        <w:autoSpaceDN w:val="0"/>
        <w:adjustRightInd w:val="0"/>
        <w:spacing w:after="0"/>
      </w:pPr>
      <w:r w:rsidRPr="0035027D">
        <w:t>Hlavným cie</w:t>
      </w:r>
      <w:r w:rsidRPr="0035027D">
        <w:rPr>
          <w:rFonts w:cs="Times New Roman"/>
        </w:rPr>
        <w:t>ľ</w:t>
      </w:r>
      <w:r w:rsidRPr="0035027D">
        <w:t>om fiškálnej politiky SR je zabezpe</w:t>
      </w:r>
      <w:r w:rsidRPr="0035027D">
        <w:rPr>
          <w:rFonts w:cs="Times New Roman"/>
        </w:rPr>
        <w:t>č</w:t>
      </w:r>
      <w:r w:rsidRPr="0035027D">
        <w:t>enie efektívnych a dlhodobo udr</w:t>
      </w:r>
      <w:r w:rsidRPr="0035027D">
        <w:rPr>
          <w:rFonts w:cs="Times New Roman"/>
        </w:rPr>
        <w:t>ž</w:t>
      </w:r>
      <w:r w:rsidRPr="0035027D">
        <w:t>ate</w:t>
      </w:r>
      <w:r w:rsidRPr="0035027D">
        <w:rPr>
          <w:rFonts w:cs="Times New Roman"/>
        </w:rPr>
        <w:t>ľ</w:t>
      </w:r>
      <w:r w:rsidRPr="0035027D">
        <w:t>ných verejných financií, v kontexte starnutia populácie a pri zoh</w:t>
      </w:r>
      <w:r w:rsidRPr="0035027D">
        <w:rPr>
          <w:rFonts w:cs="Times New Roman"/>
        </w:rPr>
        <w:t>ľ</w:t>
      </w:r>
      <w:r w:rsidRPr="0035027D">
        <w:t>adnení podmienených záväzkov. Tento cie</w:t>
      </w:r>
      <w:r w:rsidRPr="0035027D">
        <w:rPr>
          <w:rFonts w:cs="Times New Roman"/>
        </w:rPr>
        <w:t>ľ</w:t>
      </w:r>
      <w:r w:rsidRPr="0035027D">
        <w:t xml:space="preserve"> je zakotvený aj v ústavnom zákone o rozpo</w:t>
      </w:r>
      <w:r w:rsidRPr="0035027D">
        <w:rPr>
          <w:rFonts w:cs="Times New Roman"/>
        </w:rPr>
        <w:t>č</w:t>
      </w:r>
      <w:r w:rsidRPr="0035027D">
        <w:t xml:space="preserve">tovej zodpovednosti. </w:t>
      </w:r>
      <w:r w:rsidR="007D1C5B" w:rsidRPr="0035027D">
        <w:t>Vzh</w:t>
      </w:r>
      <w:r w:rsidR="007D1C5B" w:rsidRPr="0035027D">
        <w:rPr>
          <w:rFonts w:cs="Times New Roman"/>
        </w:rPr>
        <w:t>ľ</w:t>
      </w:r>
      <w:r w:rsidR="007D1C5B" w:rsidRPr="0035027D">
        <w:t>adom na budúci demografický vývoj je potrebné venova</w:t>
      </w:r>
      <w:r w:rsidR="007D1C5B" w:rsidRPr="0035027D">
        <w:rPr>
          <w:rFonts w:cs="Times New Roman"/>
        </w:rPr>
        <w:t>ť</w:t>
      </w:r>
      <w:r w:rsidR="007D1C5B" w:rsidRPr="0035027D">
        <w:t xml:space="preserve"> pozornos</w:t>
      </w:r>
      <w:r w:rsidR="007D1C5B" w:rsidRPr="0035027D">
        <w:rPr>
          <w:rFonts w:cs="Times New Roman"/>
        </w:rPr>
        <w:t>ť</w:t>
      </w:r>
      <w:r w:rsidR="007D1C5B" w:rsidRPr="0035027D">
        <w:t xml:space="preserve"> aj oblastiam citlivým na starnutie obyvate</w:t>
      </w:r>
      <w:r w:rsidR="007D1C5B" w:rsidRPr="0035027D">
        <w:rPr>
          <w:rFonts w:cs="Times New Roman"/>
        </w:rPr>
        <w:t>ľ</w:t>
      </w:r>
      <w:r w:rsidR="007D1C5B" w:rsidRPr="0035027D">
        <w:t>stva, najmä  dôchodkového systému a zdravotníctva. Aj z tohto dôvodu bola v roku 2012 prijatá dôchodková reforma, ktorá významným spôsobom zlepšuje dlhodobú udr</w:t>
      </w:r>
      <w:r w:rsidR="007D1C5B" w:rsidRPr="0035027D">
        <w:rPr>
          <w:rFonts w:cs="Times New Roman"/>
        </w:rPr>
        <w:t>ž</w:t>
      </w:r>
      <w:r w:rsidR="007D1C5B" w:rsidRPr="0035027D">
        <w:t>ate</w:t>
      </w:r>
      <w:r w:rsidR="007D1C5B" w:rsidRPr="0035027D">
        <w:rPr>
          <w:rFonts w:cs="Times New Roman"/>
        </w:rPr>
        <w:t>ľ</w:t>
      </w:r>
      <w:r w:rsidR="007D1C5B" w:rsidRPr="0035027D">
        <w:t>nos</w:t>
      </w:r>
      <w:r w:rsidR="007D1C5B" w:rsidRPr="0035027D">
        <w:rPr>
          <w:rFonts w:cs="Times New Roman"/>
        </w:rPr>
        <w:t>ť</w:t>
      </w:r>
      <w:r w:rsidR="007D1C5B" w:rsidRPr="0035027D">
        <w:t xml:space="preserve"> verejných financií.</w:t>
      </w:r>
    </w:p>
    <w:p w:rsidR="00484C06" w:rsidRPr="0035027D" w:rsidRDefault="00484C06" w:rsidP="00484C06">
      <w:pPr>
        <w:autoSpaceDE w:val="0"/>
        <w:autoSpaceDN w:val="0"/>
        <w:adjustRightInd w:val="0"/>
        <w:spacing w:after="0"/>
      </w:pPr>
    </w:p>
    <w:p w:rsidR="00484C06" w:rsidRPr="0035027D" w:rsidRDefault="007D1C5B" w:rsidP="00484C06">
      <w:pPr>
        <w:autoSpaceDE w:val="0"/>
        <w:autoSpaceDN w:val="0"/>
        <w:adjustRightInd w:val="0"/>
        <w:spacing w:after="0"/>
      </w:pPr>
      <w:r w:rsidRPr="0035027D">
        <w:t>V sú</w:t>
      </w:r>
      <w:r w:rsidRPr="0035027D">
        <w:rPr>
          <w:rFonts w:cs="Times New Roman"/>
        </w:rPr>
        <w:t>č</w:t>
      </w:r>
      <w:r w:rsidRPr="0035027D">
        <w:t>asnosti sa Slovensko, spolu s </w:t>
      </w:r>
      <w:r w:rsidRPr="0035027D">
        <w:rPr>
          <w:rFonts w:cs="Times New Roman"/>
        </w:rPr>
        <w:t>ď</w:t>
      </w:r>
      <w:r w:rsidRPr="0035027D">
        <w:t xml:space="preserve">alšími 19 </w:t>
      </w:r>
      <w:r w:rsidRPr="0035027D">
        <w:rPr>
          <w:rFonts w:cs="Times New Roman"/>
        </w:rPr>
        <w:t>č</w:t>
      </w:r>
      <w:r w:rsidRPr="0035027D">
        <w:t>lenskými krajinami EÚ, nachádza v procedúre nadmerného deficitu, ktorý musí odstráni</w:t>
      </w:r>
      <w:r w:rsidRPr="0035027D">
        <w:rPr>
          <w:rFonts w:cs="Times New Roman"/>
        </w:rPr>
        <w:t>ť</w:t>
      </w:r>
      <w:r w:rsidRPr="0035027D">
        <w:t xml:space="preserve"> do roku 2013. Konsolidácia verejných financií prebieha v súlade s plánom vlády. Odhadovaný deficit verejnej správy v roku 2012 dosiahol 4,3 % HDP, </w:t>
      </w:r>
      <w:r w:rsidRPr="0035027D">
        <w:rPr>
          <w:rFonts w:cs="Times New Roman"/>
        </w:rPr>
        <w:t>č</w:t>
      </w:r>
      <w:r w:rsidRPr="0035027D">
        <w:t>o je v porovnaní s rozpo</w:t>
      </w:r>
      <w:r w:rsidRPr="0035027D">
        <w:rPr>
          <w:rFonts w:cs="Times New Roman"/>
        </w:rPr>
        <w:t>č</w:t>
      </w:r>
      <w:r w:rsidRPr="0035027D">
        <w:t>tovým cie</w:t>
      </w:r>
      <w:r w:rsidRPr="0035027D">
        <w:rPr>
          <w:rFonts w:cs="Times New Roman"/>
        </w:rPr>
        <w:t>ľ</w:t>
      </w:r>
      <w:r w:rsidRPr="0035027D">
        <w:t xml:space="preserve">om </w:t>
      </w:r>
      <w:r w:rsidRPr="0035027D">
        <w:rPr>
          <w:rFonts w:cs="Times New Roman"/>
        </w:rPr>
        <w:t xml:space="preserve">4,6 % HDP </w:t>
      </w:r>
      <w:r w:rsidRPr="0035027D">
        <w:t>zlepšenie o 0,3 % HDP. Na rok 2013 je naplánovaný deficit verejnej správy vo výške 2,9 % HDP. Na základe aktuálnych informácií a niektorých dodato</w:t>
      </w:r>
      <w:r w:rsidRPr="0035027D">
        <w:rPr>
          <w:rFonts w:cs="Times New Roman"/>
        </w:rPr>
        <w:t>č</w:t>
      </w:r>
      <w:r w:rsidRPr="0035027D">
        <w:t>ne prijatých opatrení sa o</w:t>
      </w:r>
      <w:r w:rsidRPr="0035027D">
        <w:rPr>
          <w:rFonts w:cs="Times New Roman"/>
        </w:rPr>
        <w:t>č</w:t>
      </w:r>
      <w:r w:rsidRPr="0035027D">
        <w:t>akáva naplnenie tohto cie</w:t>
      </w:r>
      <w:r w:rsidRPr="0035027D">
        <w:rPr>
          <w:rFonts w:cs="Times New Roman"/>
        </w:rPr>
        <w:t>ľ</w:t>
      </w:r>
      <w:r w:rsidRPr="0035027D">
        <w:t>a.</w:t>
      </w:r>
    </w:p>
    <w:p w:rsidR="00E555E9" w:rsidRPr="0035027D" w:rsidRDefault="00E555E9" w:rsidP="00484C06">
      <w:pPr>
        <w:autoSpaceDE w:val="0"/>
        <w:autoSpaceDN w:val="0"/>
        <w:adjustRightInd w:val="0"/>
        <w:spacing w:after="0"/>
        <w:rPr>
          <w:sz w:val="16"/>
          <w:szCs w:val="16"/>
        </w:rPr>
      </w:pPr>
    </w:p>
    <w:p w:rsidR="00484C06" w:rsidRPr="0035027D" w:rsidRDefault="00484C06" w:rsidP="00484C06">
      <w:pPr>
        <w:autoSpaceDE w:val="0"/>
        <w:autoSpaceDN w:val="0"/>
        <w:adjustRightInd w:val="0"/>
        <w:spacing w:after="0"/>
      </w:pPr>
      <w:r w:rsidRPr="0035027D">
        <w:t>Stratégiu, ktorá by mala vyústi</w:t>
      </w:r>
      <w:r w:rsidRPr="0035027D">
        <w:rPr>
          <w:rFonts w:cs="Times New Roman"/>
        </w:rPr>
        <w:t>ť</w:t>
      </w:r>
      <w:r w:rsidRPr="0035027D">
        <w:t xml:space="preserve"> do zrušenia procedúry nadmerného deficitu u</w:t>
      </w:r>
      <w:r w:rsidRPr="0035027D">
        <w:rPr>
          <w:rFonts w:cs="Times New Roman"/>
        </w:rPr>
        <w:t>ž</w:t>
      </w:r>
      <w:r w:rsidRPr="0035027D">
        <w:t xml:space="preserve"> v budúcom roku a vies</w:t>
      </w:r>
      <w:r w:rsidRPr="0035027D">
        <w:rPr>
          <w:rFonts w:cs="Times New Roman"/>
        </w:rPr>
        <w:t>ť</w:t>
      </w:r>
      <w:r w:rsidRPr="0035027D">
        <w:t xml:space="preserve"> k dosiahnutiu fiškálnej pozície, ktorá </w:t>
      </w:r>
      <w:r w:rsidR="007D1C5B" w:rsidRPr="0035027D">
        <w:t>vytvorí podmienky pre dosiahnutie dlhodobej udr</w:t>
      </w:r>
      <w:r w:rsidR="007D1C5B" w:rsidRPr="0035027D">
        <w:rPr>
          <w:rFonts w:cs="Times New Roman"/>
        </w:rPr>
        <w:t>ž</w:t>
      </w:r>
      <w:r w:rsidR="007D1C5B" w:rsidRPr="0035027D">
        <w:t>ate</w:t>
      </w:r>
      <w:r w:rsidR="007D1C5B" w:rsidRPr="0035027D">
        <w:rPr>
          <w:rFonts w:cs="Times New Roman"/>
        </w:rPr>
        <w:t>ľ</w:t>
      </w:r>
      <w:r w:rsidR="007D1C5B" w:rsidRPr="0035027D">
        <w:t>nos</w:t>
      </w:r>
      <w:r w:rsidR="007D1C5B" w:rsidRPr="0035027D">
        <w:rPr>
          <w:rFonts w:cs="Times New Roman"/>
        </w:rPr>
        <w:t>ti</w:t>
      </w:r>
      <w:r w:rsidR="007D1C5B" w:rsidRPr="0035027D">
        <w:t xml:space="preserve"> </w:t>
      </w:r>
      <w:r w:rsidRPr="0035027D">
        <w:t>verejných financií prezentuje Program stability. To si vy</w:t>
      </w:r>
      <w:r w:rsidRPr="0035027D">
        <w:rPr>
          <w:rFonts w:cs="Times New Roman"/>
        </w:rPr>
        <w:t>ž</w:t>
      </w:r>
      <w:r w:rsidRPr="0035027D">
        <w:t>aduje pokra</w:t>
      </w:r>
      <w:r w:rsidRPr="0035027D">
        <w:rPr>
          <w:rFonts w:cs="Times New Roman"/>
        </w:rPr>
        <w:t>č</w:t>
      </w:r>
      <w:r w:rsidRPr="0035027D">
        <w:t>ovanie v konsolidácii verejných financií aj po roku 2013 v súlade s </w:t>
      </w:r>
      <w:r w:rsidR="007D1C5B" w:rsidRPr="0035027D">
        <w:t xml:space="preserve">národnými </w:t>
      </w:r>
      <w:r w:rsidRPr="0035027D">
        <w:t>aj európskymi rozpo</w:t>
      </w:r>
      <w:r w:rsidRPr="0035027D">
        <w:rPr>
          <w:rFonts w:cs="Times New Roman"/>
        </w:rPr>
        <w:t>č</w:t>
      </w:r>
      <w:r w:rsidRPr="0035027D">
        <w:t>tovými pravidlami tak, aby Slovensko smerovalo k svojmu strednodobému rozpo</w:t>
      </w:r>
      <w:r w:rsidRPr="0035027D">
        <w:rPr>
          <w:rFonts w:cs="Times New Roman"/>
        </w:rPr>
        <w:t>č</w:t>
      </w:r>
      <w:r w:rsidRPr="0035027D">
        <w:t>tovému cie</w:t>
      </w:r>
      <w:r w:rsidRPr="0035027D">
        <w:rPr>
          <w:rFonts w:cs="Times New Roman"/>
        </w:rPr>
        <w:t>ľ</w:t>
      </w:r>
      <w:r w:rsidRPr="0035027D">
        <w:t xml:space="preserve">u. </w:t>
      </w:r>
    </w:p>
    <w:p w:rsidR="00484C06" w:rsidRPr="0035027D" w:rsidRDefault="00484C06" w:rsidP="00484C06">
      <w:pPr>
        <w:autoSpaceDE w:val="0"/>
        <w:autoSpaceDN w:val="0"/>
        <w:adjustRightInd w:val="0"/>
        <w:spacing w:after="0"/>
        <w:rPr>
          <w:sz w:val="16"/>
          <w:szCs w:val="16"/>
        </w:rPr>
      </w:pPr>
    </w:p>
    <w:p w:rsidR="00484C06" w:rsidRPr="0035027D" w:rsidRDefault="00484C06" w:rsidP="00484C06">
      <w:pPr>
        <w:autoSpaceDE w:val="0"/>
        <w:autoSpaceDN w:val="0"/>
        <w:adjustRightInd w:val="0"/>
        <w:spacing w:after="0"/>
      </w:pPr>
      <w:r w:rsidRPr="0035027D">
        <w:t>Hlavné ciele fiškálnej politiky definované v Programe stability SR do roku 2018 sú:</w:t>
      </w:r>
    </w:p>
    <w:p w:rsidR="00484C06" w:rsidRPr="0035027D" w:rsidRDefault="00484C06" w:rsidP="00484C06">
      <w:pPr>
        <w:autoSpaceDE w:val="0"/>
        <w:autoSpaceDN w:val="0"/>
        <w:adjustRightInd w:val="0"/>
        <w:spacing w:after="0"/>
      </w:pPr>
    </w:p>
    <w:p w:rsidR="00484C06" w:rsidRPr="0035027D" w:rsidRDefault="00484C06" w:rsidP="00484C06">
      <w:pPr>
        <w:numPr>
          <w:ilvl w:val="0"/>
          <w:numId w:val="40"/>
        </w:numPr>
        <w:autoSpaceDE w:val="0"/>
        <w:autoSpaceDN w:val="0"/>
        <w:adjustRightInd w:val="0"/>
        <w:spacing w:after="0"/>
        <w:ind w:left="357" w:hanging="357"/>
      </w:pPr>
      <w:bookmarkStart w:id="40" w:name="OLE_LINK1"/>
      <w:bookmarkStart w:id="41" w:name="OLE_LINK6"/>
      <w:bookmarkStart w:id="42" w:name="OLE_LINK2"/>
      <w:bookmarkStart w:id="43" w:name="OLE_LINK3"/>
      <w:r w:rsidRPr="0035027D">
        <w:t>Základným cie</w:t>
      </w:r>
      <w:r w:rsidRPr="0035027D">
        <w:rPr>
          <w:rFonts w:cs="Times New Roman"/>
        </w:rPr>
        <w:t>ľ</w:t>
      </w:r>
      <w:r w:rsidRPr="0035027D">
        <w:t xml:space="preserve">om je </w:t>
      </w:r>
      <w:r w:rsidR="007D1C5B" w:rsidRPr="0035027D">
        <w:t>udr</w:t>
      </w:r>
      <w:r w:rsidR="007D1C5B" w:rsidRPr="0035027D">
        <w:rPr>
          <w:rFonts w:cs="Times New Roman"/>
        </w:rPr>
        <w:t>ž</w:t>
      </w:r>
      <w:r w:rsidR="007D1C5B" w:rsidRPr="0035027D">
        <w:t>ate</w:t>
      </w:r>
      <w:r w:rsidR="007D1C5B" w:rsidRPr="0035027D">
        <w:rPr>
          <w:rFonts w:cs="Times New Roman"/>
        </w:rPr>
        <w:t>ľ</w:t>
      </w:r>
      <w:r w:rsidR="007D1C5B" w:rsidRPr="0035027D">
        <w:t xml:space="preserve">ným spôsobom </w:t>
      </w:r>
      <w:r w:rsidRPr="0035027D">
        <w:t>zní</w:t>
      </w:r>
      <w:r w:rsidRPr="0035027D">
        <w:rPr>
          <w:rFonts w:cs="Times New Roman"/>
        </w:rPr>
        <w:t>ž</w:t>
      </w:r>
      <w:r w:rsidRPr="0035027D">
        <w:t>i</w:t>
      </w:r>
      <w:r w:rsidRPr="0035027D">
        <w:rPr>
          <w:rFonts w:cs="Times New Roman"/>
        </w:rPr>
        <w:t>ť</w:t>
      </w:r>
      <w:r w:rsidRPr="0035027D">
        <w:t xml:space="preserve"> deficit verejnej správy na úrove</w:t>
      </w:r>
      <w:r w:rsidRPr="0035027D">
        <w:rPr>
          <w:rFonts w:cs="Times New Roman"/>
        </w:rPr>
        <w:t>ň</w:t>
      </w:r>
      <w:r w:rsidRPr="0035027D">
        <w:t xml:space="preserve"> 2,9 % HDP v roku 2013 a splni</w:t>
      </w:r>
      <w:r w:rsidRPr="0035027D">
        <w:rPr>
          <w:rFonts w:cs="Times New Roman"/>
        </w:rPr>
        <w:t>ť</w:t>
      </w:r>
      <w:r w:rsidRPr="0035027D">
        <w:t xml:space="preserve"> tak po</w:t>
      </w:r>
      <w:r w:rsidRPr="0035027D">
        <w:rPr>
          <w:rFonts w:cs="Times New Roman"/>
        </w:rPr>
        <w:t>ž</w:t>
      </w:r>
      <w:r w:rsidRPr="0035027D">
        <w:t xml:space="preserve">iadavky vyplývajúce z procedúry nadmerného deficitu. </w:t>
      </w:r>
    </w:p>
    <w:p w:rsidR="00484C06" w:rsidRPr="0035027D" w:rsidRDefault="00484C06" w:rsidP="00484C06">
      <w:pPr>
        <w:numPr>
          <w:ilvl w:val="0"/>
          <w:numId w:val="40"/>
        </w:numPr>
        <w:autoSpaceDE w:val="0"/>
        <w:autoSpaceDN w:val="0"/>
        <w:adjustRightInd w:val="0"/>
        <w:spacing w:after="0"/>
        <w:ind w:left="357" w:hanging="357"/>
      </w:pPr>
      <w:r w:rsidRPr="0035027D">
        <w:t>V nasledujúcich rokoch sa predpokladá pokra</w:t>
      </w:r>
      <w:r w:rsidRPr="0035027D">
        <w:rPr>
          <w:rFonts w:cs="Times New Roman"/>
        </w:rPr>
        <w:t>č</w:t>
      </w:r>
      <w:r w:rsidRPr="0035027D">
        <w:t>ovanie zni</w:t>
      </w:r>
      <w:r w:rsidRPr="0035027D">
        <w:rPr>
          <w:rFonts w:cs="Times New Roman"/>
        </w:rPr>
        <w:t>ž</w:t>
      </w:r>
      <w:r w:rsidRPr="0035027D">
        <w:t>ovania deficitu v súlade s ustanoveniami Paktu stability a rastu a pri rešpektovaní obmedzení daných domácimi rozpo</w:t>
      </w:r>
      <w:r w:rsidRPr="0035027D">
        <w:rPr>
          <w:rFonts w:cs="Times New Roman"/>
        </w:rPr>
        <w:t>č</w:t>
      </w:r>
      <w:r w:rsidRPr="0035027D">
        <w:t>tovými pravidlami. Cie</w:t>
      </w:r>
      <w:r w:rsidRPr="0035027D">
        <w:rPr>
          <w:rFonts w:cs="Times New Roman"/>
        </w:rPr>
        <w:t>ľ</w:t>
      </w:r>
      <w:r w:rsidRPr="0035027D">
        <w:t>ová hodnota deficitu na rok 2014 bola preto stanovená vo výške 2,6 % HDP, na rok 2015 vo výške 2,0 % HDP a na rok 2016 vo výške 1,3 % HDP. Dosiahnutie týchto cie</w:t>
      </w:r>
      <w:r w:rsidRPr="0035027D">
        <w:rPr>
          <w:rFonts w:cs="Times New Roman"/>
        </w:rPr>
        <w:t>ľ</w:t>
      </w:r>
      <w:r w:rsidRPr="0035027D">
        <w:t xml:space="preserve">ov </w:t>
      </w:r>
      <w:r w:rsidR="007D1C5B" w:rsidRPr="0035027D">
        <w:t xml:space="preserve">zastaví nárast </w:t>
      </w:r>
      <w:r w:rsidRPr="0035027D">
        <w:t xml:space="preserve">podielu verejného dlhu na HDP </w:t>
      </w:r>
      <w:r w:rsidR="00FE1F3D" w:rsidRPr="0035027D">
        <w:t>a umo</w:t>
      </w:r>
      <w:r w:rsidR="00FE1F3D" w:rsidRPr="0035027D">
        <w:rPr>
          <w:rFonts w:cs="Times New Roman"/>
        </w:rPr>
        <w:t>ž</w:t>
      </w:r>
      <w:r w:rsidR="00FE1F3D" w:rsidRPr="0035027D">
        <w:t>ní jeho postupné zni</w:t>
      </w:r>
      <w:r w:rsidR="00FE1F3D" w:rsidRPr="0035027D">
        <w:rPr>
          <w:rFonts w:cs="Times New Roman"/>
        </w:rPr>
        <w:t>ž</w:t>
      </w:r>
      <w:r w:rsidR="00FE1F3D" w:rsidRPr="0035027D">
        <w:t xml:space="preserve">ovanie </w:t>
      </w:r>
      <w:r w:rsidRPr="0035027D">
        <w:t xml:space="preserve">po roku 2015. </w:t>
      </w:r>
      <w:r w:rsidR="00FE1F3D" w:rsidRPr="0035027D">
        <w:t>Ve</w:t>
      </w:r>
      <w:r w:rsidR="00FE1F3D" w:rsidRPr="0035027D">
        <w:rPr>
          <w:rFonts w:cs="Times New Roman"/>
        </w:rPr>
        <w:t>ľ</w:t>
      </w:r>
      <w:r w:rsidR="00FE1F3D" w:rsidRPr="0035027D">
        <w:t>kos</w:t>
      </w:r>
      <w:r w:rsidR="00FE1F3D" w:rsidRPr="0035027D">
        <w:rPr>
          <w:rFonts w:cs="Times New Roman"/>
        </w:rPr>
        <w:t>ť</w:t>
      </w:r>
      <w:r w:rsidR="00FE1F3D" w:rsidRPr="0035027D">
        <w:t xml:space="preserve"> konsolida</w:t>
      </w:r>
      <w:r w:rsidR="00FE1F3D" w:rsidRPr="0035027D">
        <w:rPr>
          <w:rFonts w:cs="Times New Roman"/>
        </w:rPr>
        <w:t>č</w:t>
      </w:r>
      <w:r w:rsidR="00FE1F3D" w:rsidRPr="0035027D">
        <w:t>ných opatrení potrebná na splnenie cie</w:t>
      </w:r>
      <w:r w:rsidR="00FE1F3D" w:rsidRPr="0035027D">
        <w:rPr>
          <w:rFonts w:cs="Times New Roman"/>
        </w:rPr>
        <w:t>ľ</w:t>
      </w:r>
      <w:r w:rsidR="00FE1F3D" w:rsidRPr="0035027D">
        <w:t>ov dosahuje</w:t>
      </w:r>
      <w:r w:rsidR="00FE1F3D" w:rsidRPr="0035027D" w:rsidDel="00FE1F3D">
        <w:t xml:space="preserve"> </w:t>
      </w:r>
      <w:r w:rsidRPr="0035027D">
        <w:t>1,0 % HDP v roku 2014, 1,6 % HDP v roku 2015 a 1,8 % HDP v roku 2016</w:t>
      </w:r>
      <w:r w:rsidR="00FE1F3D" w:rsidRPr="0035027D">
        <w:t>.</w:t>
      </w:r>
      <w:r w:rsidRPr="0035027D">
        <w:t xml:space="preserve"> </w:t>
      </w:r>
      <w:r w:rsidR="00FE1F3D" w:rsidRPr="0035027D">
        <w:rPr>
          <w:rFonts w:cs="Times New Roman"/>
        </w:rPr>
        <w:t>Č</w:t>
      </w:r>
      <w:r w:rsidRPr="0035027D">
        <w:t>as</w:t>
      </w:r>
      <w:r w:rsidRPr="0035027D">
        <w:rPr>
          <w:rFonts w:cs="Times New Roman"/>
        </w:rPr>
        <w:t>ť</w:t>
      </w:r>
      <w:r w:rsidRPr="0035027D">
        <w:t xml:space="preserve"> opatrení je zahrnutých v návrhu východísk rozpo</w:t>
      </w:r>
      <w:r w:rsidRPr="0035027D">
        <w:rPr>
          <w:rFonts w:cs="Times New Roman"/>
        </w:rPr>
        <w:t>č</w:t>
      </w:r>
      <w:r w:rsidRPr="0035027D">
        <w:t>tu verejnej správy na roky 2014 a</w:t>
      </w:r>
      <w:r w:rsidRPr="0035027D">
        <w:rPr>
          <w:rFonts w:cs="Times New Roman"/>
        </w:rPr>
        <w:t>ž</w:t>
      </w:r>
      <w:r w:rsidRPr="0035027D">
        <w:t xml:space="preserve"> 2016. Ostatné opatrenia budú špecifikované v priebehu </w:t>
      </w:r>
      <w:proofErr w:type="spellStart"/>
      <w:r w:rsidRPr="0035027D">
        <w:t>prípavy</w:t>
      </w:r>
      <w:proofErr w:type="spellEnd"/>
      <w:r w:rsidRPr="0035027D">
        <w:t xml:space="preserve"> návrhu rozpo</w:t>
      </w:r>
      <w:r w:rsidRPr="0035027D">
        <w:rPr>
          <w:rFonts w:cs="Times New Roman"/>
        </w:rPr>
        <w:t>č</w:t>
      </w:r>
      <w:r w:rsidRPr="0035027D">
        <w:t>tu.</w:t>
      </w:r>
    </w:p>
    <w:p w:rsidR="00484C06" w:rsidRPr="0035027D" w:rsidRDefault="00FE1F3D" w:rsidP="00484C06">
      <w:pPr>
        <w:numPr>
          <w:ilvl w:val="0"/>
          <w:numId w:val="40"/>
        </w:numPr>
        <w:autoSpaceDE w:val="0"/>
        <w:autoSpaceDN w:val="0"/>
        <w:adjustRightInd w:val="0"/>
        <w:spacing w:after="0"/>
        <w:ind w:left="357" w:hanging="357"/>
      </w:pPr>
      <w:r w:rsidRPr="0035027D">
        <w:t>Pokra</w:t>
      </w:r>
      <w:r w:rsidRPr="0035027D">
        <w:rPr>
          <w:rFonts w:cs="Times New Roman"/>
        </w:rPr>
        <w:t>č</w:t>
      </w:r>
      <w:r w:rsidRPr="0035027D">
        <w:t xml:space="preserve">ovanie v konsolidácii verejných financií aj po roku 2016 a </w:t>
      </w:r>
      <w:r w:rsidRPr="0035027D">
        <w:rPr>
          <w:b/>
        </w:rPr>
        <w:t>splnenie strednodobého rozpo</w:t>
      </w:r>
      <w:r w:rsidRPr="0035027D">
        <w:rPr>
          <w:rFonts w:cs="Times New Roman"/>
          <w:b/>
        </w:rPr>
        <w:t>č</w:t>
      </w:r>
      <w:r w:rsidRPr="0035027D">
        <w:rPr>
          <w:b/>
        </w:rPr>
        <w:t>tového cie</w:t>
      </w:r>
      <w:r w:rsidRPr="0035027D">
        <w:rPr>
          <w:rFonts w:cs="Times New Roman"/>
          <w:b/>
        </w:rPr>
        <w:t>ľ</w:t>
      </w:r>
      <w:r w:rsidRPr="0035027D">
        <w:rPr>
          <w:b/>
        </w:rPr>
        <w:t>a v podobe štrukturálneho deficitu verejnej správy</w:t>
      </w:r>
      <w:r w:rsidRPr="0035027D">
        <w:t xml:space="preserve"> </w:t>
      </w:r>
      <w:r w:rsidRPr="0035027D">
        <w:rPr>
          <w:b/>
        </w:rPr>
        <w:t>vo výške 0,5 % HDP do roku 2018</w:t>
      </w:r>
      <w:r w:rsidRPr="0035027D">
        <w:t>.</w:t>
      </w:r>
    </w:p>
    <w:bookmarkEnd w:id="40"/>
    <w:bookmarkEnd w:id="41"/>
    <w:bookmarkEnd w:id="42"/>
    <w:bookmarkEnd w:id="43"/>
    <w:p w:rsidR="003B09AF" w:rsidRPr="0035027D" w:rsidRDefault="003B09AF" w:rsidP="003B09AF">
      <w:pPr>
        <w:pStyle w:val="Odsekzoznamu"/>
        <w:spacing w:after="0"/>
        <w:rPr>
          <w:rFonts w:ascii="Arial Narrow" w:hAnsi="Arial Narrow"/>
        </w:rPr>
      </w:pPr>
    </w:p>
    <w:tbl>
      <w:tblPr>
        <w:tblW w:w="8360" w:type="dxa"/>
        <w:jc w:val="center"/>
        <w:tblInd w:w="55" w:type="dxa"/>
        <w:tblCellMar>
          <w:left w:w="70" w:type="dxa"/>
          <w:right w:w="70" w:type="dxa"/>
        </w:tblCellMar>
        <w:tblLook w:val="04A0" w:firstRow="1" w:lastRow="0" w:firstColumn="1" w:lastColumn="0" w:noHBand="0" w:noVBand="1"/>
      </w:tblPr>
      <w:tblGrid>
        <w:gridCol w:w="3567"/>
        <w:gridCol w:w="551"/>
        <w:gridCol w:w="505"/>
        <w:gridCol w:w="505"/>
        <w:gridCol w:w="505"/>
        <w:gridCol w:w="505"/>
        <w:gridCol w:w="505"/>
        <w:gridCol w:w="505"/>
        <w:gridCol w:w="505"/>
        <w:gridCol w:w="505"/>
        <w:gridCol w:w="505"/>
      </w:tblGrid>
      <w:tr w:rsidR="003B09AF" w:rsidRPr="0035027D" w:rsidTr="00214A67">
        <w:trPr>
          <w:trHeight w:val="300"/>
          <w:jc w:val="center"/>
        </w:trPr>
        <w:tc>
          <w:tcPr>
            <w:tcW w:w="8360" w:type="dxa"/>
            <w:gridSpan w:val="11"/>
            <w:tcBorders>
              <w:top w:val="single" w:sz="4" w:space="0" w:color="auto"/>
              <w:left w:val="single" w:sz="4" w:space="0" w:color="auto"/>
              <w:bottom w:val="single" w:sz="4" w:space="0" w:color="auto"/>
              <w:right w:val="nil"/>
            </w:tcBorders>
            <w:shd w:val="clear" w:color="000000" w:fill="000000"/>
            <w:noWrap/>
            <w:vAlign w:val="center"/>
            <w:hideMark/>
          </w:tcPr>
          <w:p w:rsidR="003B09AF" w:rsidRPr="0035027D" w:rsidRDefault="003B09AF" w:rsidP="00214A67">
            <w:pPr>
              <w:spacing w:after="0"/>
              <w:jc w:val="left"/>
              <w:rPr>
                <w:rFonts w:cs="Times New Roman"/>
                <w:b/>
                <w:bCs/>
                <w:color w:val="FFFFFF"/>
                <w:sz w:val="20"/>
                <w:szCs w:val="20"/>
              </w:rPr>
            </w:pPr>
            <w:r w:rsidRPr="0035027D">
              <w:rPr>
                <w:rFonts w:cs="Times New Roman"/>
                <w:b/>
                <w:bCs/>
                <w:color w:val="FFFFFF"/>
                <w:sz w:val="20"/>
                <w:szCs w:val="20"/>
              </w:rPr>
              <w:t>Tab. 2: Výsledkové indikátory pre fiškálnu politiku a verejné financie</w:t>
            </w:r>
          </w:p>
        </w:tc>
      </w:tr>
      <w:tr w:rsidR="003B09AF" w:rsidRPr="0035027D" w:rsidTr="00214A67">
        <w:trPr>
          <w:trHeight w:val="510"/>
          <w:jc w:val="center"/>
        </w:trPr>
        <w:tc>
          <w:tcPr>
            <w:tcW w:w="3567" w:type="dxa"/>
            <w:tcBorders>
              <w:top w:val="nil"/>
              <w:left w:val="single" w:sz="4" w:space="0" w:color="auto"/>
              <w:bottom w:val="single" w:sz="4" w:space="0" w:color="auto"/>
              <w:right w:val="nil"/>
            </w:tcBorders>
            <w:shd w:val="clear" w:color="000000" w:fill="BFBFBF"/>
            <w:noWrap/>
            <w:vAlign w:val="center"/>
            <w:hideMark/>
          </w:tcPr>
          <w:p w:rsidR="003B09AF" w:rsidRPr="0035027D" w:rsidRDefault="003B09AF" w:rsidP="00214A67">
            <w:pPr>
              <w:spacing w:after="0"/>
              <w:jc w:val="left"/>
              <w:rPr>
                <w:rFonts w:cs="Times New Roman"/>
                <w:b/>
                <w:bCs/>
                <w:color w:val="FFFFFF"/>
                <w:sz w:val="20"/>
                <w:szCs w:val="20"/>
              </w:rPr>
            </w:pPr>
            <w:r w:rsidRPr="0035027D">
              <w:rPr>
                <w:rFonts w:cs="Times New Roman"/>
                <w:b/>
                <w:bCs/>
                <w:color w:val="FFFFFF"/>
                <w:sz w:val="20"/>
                <w:szCs w:val="20"/>
              </w:rPr>
              <w:t> </w:t>
            </w:r>
          </w:p>
        </w:tc>
        <w:tc>
          <w:tcPr>
            <w:tcW w:w="473" w:type="dxa"/>
            <w:tcBorders>
              <w:top w:val="nil"/>
              <w:left w:val="nil"/>
              <w:bottom w:val="single" w:sz="4" w:space="0" w:color="auto"/>
              <w:right w:val="nil"/>
            </w:tcBorders>
            <w:shd w:val="clear" w:color="000000" w:fill="BFBFBF"/>
            <w:noWrap/>
            <w:vAlign w:val="center"/>
            <w:hideMark/>
          </w:tcPr>
          <w:p w:rsidR="003B09AF" w:rsidRPr="0035027D" w:rsidRDefault="003B09AF" w:rsidP="00214A67">
            <w:pPr>
              <w:spacing w:after="0"/>
              <w:jc w:val="left"/>
              <w:rPr>
                <w:rFonts w:cs="Times New Roman"/>
                <w:b/>
                <w:bCs/>
                <w:color w:val="FFFFFF"/>
                <w:sz w:val="20"/>
                <w:szCs w:val="20"/>
              </w:rPr>
            </w:pPr>
            <w:r w:rsidRPr="0035027D">
              <w:rPr>
                <w:rFonts w:cs="Times New Roman"/>
                <w:b/>
                <w:bCs/>
                <w:color w:val="FFFFFF"/>
                <w:sz w:val="20"/>
                <w:szCs w:val="20"/>
              </w:rPr>
              <w:t> </w:t>
            </w:r>
          </w:p>
        </w:tc>
        <w:tc>
          <w:tcPr>
            <w:tcW w:w="480" w:type="dxa"/>
            <w:tcBorders>
              <w:top w:val="nil"/>
              <w:left w:val="single" w:sz="4" w:space="0" w:color="auto"/>
              <w:bottom w:val="single" w:sz="4" w:space="0" w:color="auto"/>
              <w:right w:val="nil"/>
            </w:tcBorders>
            <w:shd w:val="clear" w:color="000000" w:fill="BFBFBF"/>
            <w:noWrap/>
            <w:vAlign w:val="center"/>
            <w:hideMark/>
          </w:tcPr>
          <w:p w:rsidR="003B09AF" w:rsidRPr="0035027D" w:rsidRDefault="003B09AF" w:rsidP="00214A67">
            <w:pPr>
              <w:spacing w:after="0"/>
              <w:jc w:val="center"/>
              <w:rPr>
                <w:rFonts w:cs="Times New Roman"/>
                <w:b/>
                <w:bCs/>
                <w:color w:val="000000"/>
                <w:sz w:val="20"/>
                <w:szCs w:val="20"/>
              </w:rPr>
            </w:pPr>
            <w:r w:rsidRPr="0035027D">
              <w:rPr>
                <w:rFonts w:cs="Times New Roman"/>
                <w:b/>
                <w:bCs/>
                <w:color w:val="000000"/>
                <w:sz w:val="20"/>
                <w:szCs w:val="20"/>
              </w:rPr>
              <w:t>2004</w:t>
            </w:r>
          </w:p>
        </w:tc>
        <w:tc>
          <w:tcPr>
            <w:tcW w:w="480" w:type="dxa"/>
            <w:tcBorders>
              <w:top w:val="nil"/>
              <w:left w:val="nil"/>
              <w:bottom w:val="single" w:sz="4" w:space="0" w:color="auto"/>
              <w:right w:val="nil"/>
            </w:tcBorders>
            <w:shd w:val="clear" w:color="000000" w:fill="BFBFBF"/>
            <w:noWrap/>
            <w:vAlign w:val="center"/>
            <w:hideMark/>
          </w:tcPr>
          <w:p w:rsidR="003B09AF" w:rsidRPr="0035027D" w:rsidRDefault="003B09AF" w:rsidP="00214A67">
            <w:pPr>
              <w:spacing w:after="0"/>
              <w:jc w:val="center"/>
              <w:rPr>
                <w:rFonts w:cs="Times New Roman"/>
                <w:b/>
                <w:bCs/>
                <w:color w:val="000000"/>
                <w:sz w:val="20"/>
                <w:szCs w:val="20"/>
              </w:rPr>
            </w:pPr>
            <w:r w:rsidRPr="0035027D">
              <w:rPr>
                <w:rFonts w:cs="Times New Roman"/>
                <w:b/>
                <w:bCs/>
                <w:color w:val="000000"/>
                <w:sz w:val="20"/>
                <w:szCs w:val="20"/>
              </w:rPr>
              <w:t>2005</w:t>
            </w:r>
          </w:p>
        </w:tc>
        <w:tc>
          <w:tcPr>
            <w:tcW w:w="480" w:type="dxa"/>
            <w:tcBorders>
              <w:top w:val="nil"/>
              <w:left w:val="nil"/>
              <w:bottom w:val="single" w:sz="4" w:space="0" w:color="auto"/>
              <w:right w:val="nil"/>
            </w:tcBorders>
            <w:shd w:val="clear" w:color="000000" w:fill="BFBFBF"/>
            <w:noWrap/>
            <w:vAlign w:val="center"/>
            <w:hideMark/>
          </w:tcPr>
          <w:p w:rsidR="003B09AF" w:rsidRPr="0035027D" w:rsidRDefault="003B09AF" w:rsidP="00214A67">
            <w:pPr>
              <w:spacing w:after="0"/>
              <w:jc w:val="center"/>
              <w:rPr>
                <w:rFonts w:cs="Times New Roman"/>
                <w:b/>
                <w:bCs/>
                <w:color w:val="000000"/>
                <w:sz w:val="20"/>
                <w:szCs w:val="20"/>
              </w:rPr>
            </w:pPr>
            <w:r w:rsidRPr="0035027D">
              <w:rPr>
                <w:rFonts w:cs="Times New Roman"/>
                <w:b/>
                <w:bCs/>
                <w:color w:val="000000"/>
                <w:sz w:val="20"/>
                <w:szCs w:val="20"/>
              </w:rPr>
              <w:t>2006</w:t>
            </w:r>
          </w:p>
        </w:tc>
        <w:tc>
          <w:tcPr>
            <w:tcW w:w="480" w:type="dxa"/>
            <w:tcBorders>
              <w:top w:val="nil"/>
              <w:left w:val="nil"/>
              <w:bottom w:val="single" w:sz="4" w:space="0" w:color="auto"/>
              <w:right w:val="nil"/>
            </w:tcBorders>
            <w:shd w:val="clear" w:color="000000" w:fill="BFBFBF"/>
            <w:noWrap/>
            <w:vAlign w:val="center"/>
            <w:hideMark/>
          </w:tcPr>
          <w:p w:rsidR="003B09AF" w:rsidRPr="0035027D" w:rsidRDefault="003B09AF" w:rsidP="00214A67">
            <w:pPr>
              <w:spacing w:after="0"/>
              <w:jc w:val="center"/>
              <w:rPr>
                <w:rFonts w:cs="Times New Roman"/>
                <w:b/>
                <w:bCs/>
                <w:color w:val="000000"/>
                <w:sz w:val="20"/>
                <w:szCs w:val="20"/>
              </w:rPr>
            </w:pPr>
            <w:r w:rsidRPr="0035027D">
              <w:rPr>
                <w:rFonts w:cs="Times New Roman"/>
                <w:b/>
                <w:bCs/>
                <w:color w:val="000000"/>
                <w:sz w:val="20"/>
                <w:szCs w:val="20"/>
              </w:rPr>
              <w:t>2007</w:t>
            </w:r>
          </w:p>
        </w:tc>
        <w:tc>
          <w:tcPr>
            <w:tcW w:w="480" w:type="dxa"/>
            <w:tcBorders>
              <w:top w:val="nil"/>
              <w:left w:val="nil"/>
              <w:bottom w:val="single" w:sz="4" w:space="0" w:color="auto"/>
              <w:right w:val="nil"/>
            </w:tcBorders>
            <w:shd w:val="clear" w:color="000000" w:fill="BFBFBF"/>
            <w:vAlign w:val="center"/>
            <w:hideMark/>
          </w:tcPr>
          <w:p w:rsidR="003B09AF" w:rsidRPr="0035027D" w:rsidRDefault="003B09AF" w:rsidP="00214A67">
            <w:pPr>
              <w:spacing w:after="0"/>
              <w:jc w:val="center"/>
              <w:rPr>
                <w:rFonts w:cs="Times New Roman"/>
                <w:b/>
                <w:bCs/>
                <w:color w:val="000000"/>
                <w:sz w:val="20"/>
                <w:szCs w:val="20"/>
              </w:rPr>
            </w:pPr>
            <w:r w:rsidRPr="0035027D">
              <w:rPr>
                <w:rFonts w:cs="Times New Roman"/>
                <w:b/>
                <w:bCs/>
                <w:color w:val="000000"/>
                <w:sz w:val="20"/>
                <w:szCs w:val="20"/>
              </w:rPr>
              <w:t>2008</w:t>
            </w:r>
          </w:p>
        </w:tc>
        <w:tc>
          <w:tcPr>
            <w:tcW w:w="480" w:type="dxa"/>
            <w:tcBorders>
              <w:top w:val="nil"/>
              <w:left w:val="nil"/>
              <w:bottom w:val="single" w:sz="4" w:space="0" w:color="auto"/>
              <w:right w:val="nil"/>
            </w:tcBorders>
            <w:shd w:val="clear" w:color="000000" w:fill="BFBFBF"/>
            <w:vAlign w:val="center"/>
            <w:hideMark/>
          </w:tcPr>
          <w:p w:rsidR="003B09AF" w:rsidRPr="0035027D" w:rsidRDefault="003B09AF" w:rsidP="00214A67">
            <w:pPr>
              <w:spacing w:after="0"/>
              <w:jc w:val="center"/>
              <w:rPr>
                <w:rFonts w:cs="Times New Roman"/>
                <w:b/>
                <w:bCs/>
                <w:color w:val="000000"/>
                <w:sz w:val="20"/>
                <w:szCs w:val="20"/>
              </w:rPr>
            </w:pPr>
            <w:r w:rsidRPr="0035027D">
              <w:rPr>
                <w:rFonts w:cs="Times New Roman"/>
                <w:b/>
                <w:bCs/>
                <w:color w:val="000000"/>
                <w:sz w:val="20"/>
                <w:szCs w:val="20"/>
              </w:rPr>
              <w:t>2009</w:t>
            </w:r>
          </w:p>
        </w:tc>
        <w:tc>
          <w:tcPr>
            <w:tcW w:w="480" w:type="dxa"/>
            <w:tcBorders>
              <w:top w:val="nil"/>
              <w:left w:val="nil"/>
              <w:bottom w:val="single" w:sz="4" w:space="0" w:color="auto"/>
              <w:right w:val="nil"/>
            </w:tcBorders>
            <w:shd w:val="clear" w:color="000000" w:fill="BFBFBF"/>
            <w:vAlign w:val="center"/>
            <w:hideMark/>
          </w:tcPr>
          <w:p w:rsidR="003B09AF" w:rsidRPr="0035027D" w:rsidRDefault="003B09AF" w:rsidP="00214A67">
            <w:pPr>
              <w:spacing w:after="0"/>
              <w:jc w:val="center"/>
              <w:rPr>
                <w:rFonts w:cs="Times New Roman"/>
                <w:b/>
                <w:bCs/>
                <w:color w:val="000000"/>
                <w:sz w:val="20"/>
                <w:szCs w:val="20"/>
              </w:rPr>
            </w:pPr>
            <w:r w:rsidRPr="0035027D">
              <w:rPr>
                <w:rFonts w:cs="Times New Roman"/>
                <w:b/>
                <w:bCs/>
                <w:color w:val="000000"/>
                <w:sz w:val="20"/>
                <w:szCs w:val="20"/>
              </w:rPr>
              <w:t>2010</w:t>
            </w:r>
          </w:p>
        </w:tc>
        <w:tc>
          <w:tcPr>
            <w:tcW w:w="480" w:type="dxa"/>
            <w:tcBorders>
              <w:top w:val="nil"/>
              <w:left w:val="nil"/>
              <w:bottom w:val="single" w:sz="4" w:space="0" w:color="auto"/>
              <w:right w:val="single" w:sz="4" w:space="0" w:color="auto"/>
            </w:tcBorders>
            <w:shd w:val="clear" w:color="000000" w:fill="BFBFBF"/>
            <w:vAlign w:val="center"/>
            <w:hideMark/>
          </w:tcPr>
          <w:p w:rsidR="003B09AF" w:rsidRPr="0035027D" w:rsidRDefault="003B09AF" w:rsidP="00214A67">
            <w:pPr>
              <w:spacing w:after="0"/>
              <w:jc w:val="center"/>
              <w:rPr>
                <w:rFonts w:cs="Times New Roman"/>
                <w:b/>
                <w:bCs/>
                <w:color w:val="000000"/>
                <w:sz w:val="20"/>
                <w:szCs w:val="20"/>
              </w:rPr>
            </w:pPr>
            <w:r w:rsidRPr="0035027D">
              <w:rPr>
                <w:rFonts w:cs="Times New Roman"/>
                <w:b/>
                <w:bCs/>
                <w:color w:val="000000"/>
                <w:sz w:val="20"/>
                <w:szCs w:val="20"/>
              </w:rPr>
              <w:t>2011</w:t>
            </w:r>
          </w:p>
        </w:tc>
        <w:tc>
          <w:tcPr>
            <w:tcW w:w="480" w:type="dxa"/>
            <w:tcBorders>
              <w:top w:val="nil"/>
              <w:left w:val="nil"/>
              <w:bottom w:val="single" w:sz="4" w:space="0" w:color="auto"/>
              <w:right w:val="single" w:sz="4" w:space="0" w:color="auto"/>
            </w:tcBorders>
            <w:shd w:val="clear" w:color="000000" w:fill="BFBFBF"/>
            <w:vAlign w:val="center"/>
            <w:hideMark/>
          </w:tcPr>
          <w:p w:rsidR="003B09AF" w:rsidRPr="0035027D" w:rsidRDefault="003B09AF" w:rsidP="00214A67">
            <w:pPr>
              <w:spacing w:after="0"/>
              <w:jc w:val="left"/>
              <w:rPr>
                <w:rFonts w:cs="Times New Roman"/>
                <w:b/>
                <w:bCs/>
                <w:sz w:val="20"/>
                <w:szCs w:val="20"/>
              </w:rPr>
            </w:pPr>
            <w:r w:rsidRPr="0035027D">
              <w:rPr>
                <w:rFonts w:cs="Times New Roman"/>
                <w:b/>
                <w:bCs/>
                <w:sz w:val="20"/>
                <w:szCs w:val="20"/>
              </w:rPr>
              <w:t>Cieľ 2020</w:t>
            </w:r>
          </w:p>
        </w:tc>
      </w:tr>
      <w:tr w:rsidR="003B09AF" w:rsidRPr="0035027D" w:rsidTr="00214A67">
        <w:trPr>
          <w:trHeight w:val="300"/>
          <w:jc w:val="center"/>
        </w:trPr>
        <w:tc>
          <w:tcPr>
            <w:tcW w:w="3567" w:type="dxa"/>
            <w:tcBorders>
              <w:top w:val="nil"/>
              <w:left w:val="single" w:sz="4" w:space="0" w:color="auto"/>
              <w:bottom w:val="nil"/>
              <w:right w:val="nil"/>
            </w:tcBorders>
            <w:shd w:val="clear" w:color="auto" w:fill="auto"/>
            <w:noWrap/>
            <w:vAlign w:val="center"/>
            <w:hideMark/>
          </w:tcPr>
          <w:p w:rsidR="003B09AF" w:rsidRPr="0035027D" w:rsidRDefault="003B09AF" w:rsidP="00214A67">
            <w:pPr>
              <w:spacing w:after="0"/>
              <w:rPr>
                <w:rFonts w:cs="Times New Roman"/>
                <w:b/>
                <w:bCs/>
                <w:color w:val="000000"/>
                <w:sz w:val="20"/>
                <w:szCs w:val="20"/>
              </w:rPr>
            </w:pPr>
            <w:r w:rsidRPr="0035027D">
              <w:rPr>
                <w:rFonts w:cs="Times New Roman"/>
                <w:b/>
                <w:bCs/>
                <w:color w:val="000000"/>
                <w:sz w:val="20"/>
                <w:szCs w:val="20"/>
              </w:rPr>
              <w:t>Ukazovateľ dlhodobej udržateľnosti (GAP)</w:t>
            </w:r>
          </w:p>
        </w:tc>
        <w:tc>
          <w:tcPr>
            <w:tcW w:w="473" w:type="dxa"/>
            <w:tcBorders>
              <w:top w:val="nil"/>
              <w:left w:val="nil"/>
              <w:bottom w:val="nil"/>
              <w:right w:val="single" w:sz="4" w:space="0" w:color="auto"/>
            </w:tcBorders>
            <w:shd w:val="clear" w:color="auto" w:fill="auto"/>
            <w:noWrap/>
            <w:vAlign w:val="center"/>
            <w:hideMark/>
          </w:tcPr>
          <w:p w:rsidR="003B09AF" w:rsidRPr="0035027D" w:rsidRDefault="003B09AF" w:rsidP="00214A67">
            <w:pPr>
              <w:spacing w:after="0"/>
              <w:jc w:val="left"/>
              <w:rPr>
                <w:rFonts w:cs="Times New Roman"/>
                <w:b/>
                <w:bCs/>
                <w:color w:val="000000"/>
                <w:sz w:val="20"/>
                <w:szCs w:val="20"/>
              </w:rPr>
            </w:pPr>
            <w:r w:rsidRPr="0035027D">
              <w:rPr>
                <w:rFonts w:cs="Times New Roman"/>
                <w:b/>
                <w:bCs/>
                <w:color w:val="000000"/>
                <w:sz w:val="20"/>
                <w:szCs w:val="20"/>
              </w:rPr>
              <w:t>SK</w:t>
            </w:r>
          </w:p>
        </w:tc>
        <w:tc>
          <w:tcPr>
            <w:tcW w:w="480" w:type="dxa"/>
            <w:tcBorders>
              <w:top w:val="nil"/>
              <w:left w:val="nil"/>
              <w:bottom w:val="nil"/>
              <w:right w:val="nil"/>
            </w:tcBorders>
            <w:shd w:val="clear" w:color="auto" w:fill="auto"/>
            <w:vAlign w:val="center"/>
            <w:hideMark/>
          </w:tcPr>
          <w:p w:rsidR="003B09AF" w:rsidRPr="0035027D" w:rsidRDefault="003B09AF" w:rsidP="00214A67">
            <w:pPr>
              <w:spacing w:after="0"/>
              <w:jc w:val="center"/>
              <w:rPr>
                <w:rFonts w:cs="Times New Roman"/>
                <w:color w:val="000000"/>
                <w:sz w:val="20"/>
                <w:szCs w:val="20"/>
              </w:rPr>
            </w:pPr>
            <w:r w:rsidRPr="0035027D">
              <w:rPr>
                <w:rFonts w:cs="Times New Roman"/>
                <w:color w:val="000000"/>
                <w:sz w:val="20"/>
                <w:szCs w:val="20"/>
              </w:rPr>
              <w:t>-</w:t>
            </w:r>
          </w:p>
        </w:tc>
        <w:tc>
          <w:tcPr>
            <w:tcW w:w="480" w:type="dxa"/>
            <w:tcBorders>
              <w:top w:val="nil"/>
              <w:left w:val="nil"/>
              <w:bottom w:val="nil"/>
              <w:right w:val="nil"/>
            </w:tcBorders>
            <w:shd w:val="clear" w:color="auto" w:fill="auto"/>
            <w:vAlign w:val="center"/>
            <w:hideMark/>
          </w:tcPr>
          <w:p w:rsidR="003B09AF" w:rsidRPr="0035027D" w:rsidRDefault="003B09AF" w:rsidP="00214A67">
            <w:pPr>
              <w:spacing w:after="0"/>
              <w:jc w:val="center"/>
              <w:rPr>
                <w:rFonts w:cs="Times New Roman"/>
                <w:color w:val="000000"/>
                <w:sz w:val="20"/>
                <w:szCs w:val="20"/>
              </w:rPr>
            </w:pPr>
            <w:r w:rsidRPr="0035027D">
              <w:rPr>
                <w:rFonts w:cs="Times New Roman"/>
                <w:color w:val="000000"/>
                <w:sz w:val="20"/>
                <w:szCs w:val="20"/>
              </w:rPr>
              <w:t>-</w:t>
            </w:r>
          </w:p>
        </w:tc>
        <w:tc>
          <w:tcPr>
            <w:tcW w:w="480" w:type="dxa"/>
            <w:tcBorders>
              <w:top w:val="nil"/>
              <w:left w:val="nil"/>
              <w:bottom w:val="nil"/>
              <w:right w:val="nil"/>
            </w:tcBorders>
            <w:shd w:val="clear" w:color="auto" w:fill="auto"/>
            <w:vAlign w:val="center"/>
            <w:hideMark/>
          </w:tcPr>
          <w:p w:rsidR="003B09AF" w:rsidRPr="0035027D" w:rsidRDefault="003B09AF" w:rsidP="00214A67">
            <w:pPr>
              <w:spacing w:after="0"/>
              <w:jc w:val="center"/>
              <w:rPr>
                <w:rFonts w:cs="Times New Roman"/>
                <w:color w:val="000000"/>
                <w:sz w:val="20"/>
                <w:szCs w:val="20"/>
              </w:rPr>
            </w:pPr>
            <w:r w:rsidRPr="0035027D">
              <w:rPr>
                <w:rFonts w:cs="Times New Roman"/>
                <w:color w:val="000000"/>
                <w:sz w:val="20"/>
                <w:szCs w:val="20"/>
              </w:rPr>
              <w:t>-</w:t>
            </w:r>
          </w:p>
        </w:tc>
        <w:tc>
          <w:tcPr>
            <w:tcW w:w="480" w:type="dxa"/>
            <w:tcBorders>
              <w:top w:val="nil"/>
              <w:left w:val="nil"/>
              <w:bottom w:val="nil"/>
              <w:right w:val="nil"/>
            </w:tcBorders>
            <w:shd w:val="clear" w:color="auto" w:fill="auto"/>
            <w:vAlign w:val="center"/>
            <w:hideMark/>
          </w:tcPr>
          <w:p w:rsidR="003B09AF" w:rsidRPr="0035027D" w:rsidRDefault="003B09AF" w:rsidP="00214A67">
            <w:pPr>
              <w:spacing w:after="0"/>
              <w:jc w:val="center"/>
              <w:rPr>
                <w:rFonts w:cs="Times New Roman"/>
                <w:color w:val="000000"/>
                <w:sz w:val="20"/>
                <w:szCs w:val="20"/>
              </w:rPr>
            </w:pPr>
            <w:r w:rsidRPr="0035027D">
              <w:rPr>
                <w:rFonts w:cs="Times New Roman"/>
                <w:color w:val="000000"/>
                <w:sz w:val="20"/>
                <w:szCs w:val="20"/>
              </w:rPr>
              <w:t>-</w:t>
            </w:r>
          </w:p>
        </w:tc>
        <w:tc>
          <w:tcPr>
            <w:tcW w:w="480" w:type="dxa"/>
            <w:tcBorders>
              <w:top w:val="nil"/>
              <w:left w:val="nil"/>
              <w:bottom w:val="nil"/>
              <w:right w:val="nil"/>
            </w:tcBorders>
            <w:shd w:val="clear" w:color="auto" w:fill="auto"/>
            <w:vAlign w:val="center"/>
            <w:hideMark/>
          </w:tcPr>
          <w:p w:rsidR="003B09AF" w:rsidRPr="0035027D" w:rsidRDefault="003B09AF" w:rsidP="00214A67">
            <w:pPr>
              <w:spacing w:after="0"/>
              <w:jc w:val="center"/>
              <w:rPr>
                <w:rFonts w:cs="Times New Roman"/>
                <w:color w:val="000000"/>
                <w:sz w:val="20"/>
                <w:szCs w:val="20"/>
              </w:rPr>
            </w:pPr>
            <w:r w:rsidRPr="0035027D">
              <w:rPr>
                <w:rFonts w:cs="Times New Roman"/>
                <w:color w:val="000000"/>
                <w:sz w:val="20"/>
                <w:szCs w:val="20"/>
              </w:rPr>
              <w:t>-</w:t>
            </w:r>
          </w:p>
        </w:tc>
        <w:tc>
          <w:tcPr>
            <w:tcW w:w="480" w:type="dxa"/>
            <w:tcBorders>
              <w:top w:val="nil"/>
              <w:left w:val="nil"/>
              <w:bottom w:val="nil"/>
              <w:right w:val="nil"/>
            </w:tcBorders>
            <w:shd w:val="clear" w:color="auto" w:fill="auto"/>
            <w:vAlign w:val="center"/>
            <w:hideMark/>
          </w:tcPr>
          <w:p w:rsidR="003B09AF" w:rsidRPr="0035027D" w:rsidRDefault="003B09AF" w:rsidP="00214A67">
            <w:pPr>
              <w:spacing w:after="0"/>
              <w:jc w:val="center"/>
              <w:rPr>
                <w:rFonts w:cs="Times New Roman"/>
                <w:color w:val="000000"/>
                <w:sz w:val="20"/>
                <w:szCs w:val="20"/>
              </w:rPr>
            </w:pPr>
            <w:r w:rsidRPr="0035027D">
              <w:rPr>
                <w:rFonts w:cs="Times New Roman"/>
                <w:color w:val="000000"/>
                <w:sz w:val="20"/>
                <w:szCs w:val="20"/>
              </w:rPr>
              <w:t>9,5</w:t>
            </w:r>
          </w:p>
        </w:tc>
        <w:tc>
          <w:tcPr>
            <w:tcW w:w="480" w:type="dxa"/>
            <w:tcBorders>
              <w:top w:val="nil"/>
              <w:left w:val="nil"/>
              <w:bottom w:val="nil"/>
              <w:right w:val="nil"/>
            </w:tcBorders>
            <w:shd w:val="clear" w:color="auto" w:fill="auto"/>
            <w:vAlign w:val="center"/>
            <w:hideMark/>
          </w:tcPr>
          <w:p w:rsidR="003B09AF" w:rsidRPr="0035027D" w:rsidRDefault="003B09AF" w:rsidP="00214A67">
            <w:pPr>
              <w:spacing w:after="0"/>
              <w:jc w:val="center"/>
              <w:rPr>
                <w:rFonts w:cs="Times New Roman"/>
                <w:color w:val="000000"/>
                <w:sz w:val="20"/>
                <w:szCs w:val="20"/>
              </w:rPr>
            </w:pPr>
            <w:r w:rsidRPr="0035027D">
              <w:rPr>
                <w:rFonts w:cs="Times New Roman"/>
                <w:color w:val="000000"/>
                <w:sz w:val="20"/>
                <w:szCs w:val="20"/>
              </w:rPr>
              <w:t>9,2</w:t>
            </w:r>
          </w:p>
        </w:tc>
        <w:tc>
          <w:tcPr>
            <w:tcW w:w="480" w:type="dxa"/>
            <w:tcBorders>
              <w:top w:val="nil"/>
              <w:left w:val="nil"/>
              <w:bottom w:val="nil"/>
              <w:right w:val="nil"/>
            </w:tcBorders>
            <w:shd w:val="clear" w:color="auto" w:fill="auto"/>
            <w:vAlign w:val="center"/>
            <w:hideMark/>
          </w:tcPr>
          <w:p w:rsidR="003B09AF" w:rsidRPr="0035027D" w:rsidRDefault="003B09AF" w:rsidP="00214A67">
            <w:pPr>
              <w:spacing w:after="0"/>
              <w:jc w:val="center"/>
              <w:rPr>
                <w:rFonts w:cs="Times New Roman"/>
                <w:color w:val="000000"/>
                <w:sz w:val="20"/>
                <w:szCs w:val="20"/>
              </w:rPr>
            </w:pPr>
            <w:r w:rsidRPr="0035027D">
              <w:rPr>
                <w:rFonts w:cs="Times New Roman"/>
                <w:color w:val="000000"/>
                <w:sz w:val="20"/>
                <w:szCs w:val="20"/>
              </w:rPr>
              <w:t>6,8</w:t>
            </w:r>
          </w:p>
        </w:tc>
        <w:tc>
          <w:tcPr>
            <w:tcW w:w="480" w:type="dxa"/>
            <w:tcBorders>
              <w:top w:val="nil"/>
              <w:left w:val="single" w:sz="4" w:space="0" w:color="auto"/>
              <w:bottom w:val="nil"/>
              <w:right w:val="single" w:sz="4" w:space="0" w:color="auto"/>
            </w:tcBorders>
            <w:shd w:val="clear" w:color="auto" w:fill="auto"/>
            <w:vAlign w:val="center"/>
            <w:hideMark/>
          </w:tcPr>
          <w:p w:rsidR="003B09AF" w:rsidRPr="0035027D" w:rsidRDefault="003B09AF" w:rsidP="00214A67">
            <w:pPr>
              <w:spacing w:after="0"/>
              <w:jc w:val="center"/>
              <w:rPr>
                <w:rFonts w:cs="Times New Roman"/>
                <w:color w:val="000000"/>
                <w:sz w:val="20"/>
                <w:szCs w:val="20"/>
              </w:rPr>
            </w:pPr>
            <w:r w:rsidRPr="0035027D">
              <w:rPr>
                <w:rFonts w:cs="Times New Roman"/>
                <w:color w:val="000000"/>
                <w:sz w:val="20"/>
                <w:szCs w:val="20"/>
              </w:rPr>
              <w:t>0</w:t>
            </w:r>
          </w:p>
        </w:tc>
      </w:tr>
      <w:tr w:rsidR="003B09AF" w:rsidRPr="0035027D" w:rsidTr="00214A67">
        <w:trPr>
          <w:trHeight w:val="300"/>
          <w:jc w:val="center"/>
        </w:trPr>
        <w:tc>
          <w:tcPr>
            <w:tcW w:w="3567" w:type="dxa"/>
            <w:tcBorders>
              <w:top w:val="nil"/>
              <w:left w:val="single" w:sz="4" w:space="0" w:color="auto"/>
              <w:bottom w:val="single" w:sz="4" w:space="0" w:color="auto"/>
              <w:right w:val="nil"/>
            </w:tcBorders>
            <w:shd w:val="clear" w:color="auto" w:fill="auto"/>
            <w:noWrap/>
            <w:vAlign w:val="center"/>
            <w:hideMark/>
          </w:tcPr>
          <w:p w:rsidR="003B09AF" w:rsidRPr="0035027D" w:rsidRDefault="003B09AF" w:rsidP="00214A67">
            <w:pPr>
              <w:spacing w:after="0"/>
              <w:rPr>
                <w:rFonts w:cs="Times New Roman"/>
                <w:color w:val="000000"/>
                <w:sz w:val="20"/>
                <w:szCs w:val="20"/>
              </w:rPr>
            </w:pPr>
            <w:r w:rsidRPr="0035027D">
              <w:rPr>
                <w:rFonts w:cs="Times New Roman"/>
                <w:color w:val="000000"/>
                <w:sz w:val="20"/>
                <w:szCs w:val="20"/>
              </w:rPr>
              <w:t>(% HDP)</w:t>
            </w:r>
          </w:p>
        </w:tc>
        <w:tc>
          <w:tcPr>
            <w:tcW w:w="473" w:type="dxa"/>
            <w:tcBorders>
              <w:top w:val="nil"/>
              <w:left w:val="nil"/>
              <w:bottom w:val="single" w:sz="4" w:space="0" w:color="auto"/>
              <w:right w:val="single" w:sz="4" w:space="0" w:color="auto"/>
            </w:tcBorders>
            <w:shd w:val="clear" w:color="auto" w:fill="auto"/>
            <w:noWrap/>
            <w:vAlign w:val="center"/>
            <w:hideMark/>
          </w:tcPr>
          <w:p w:rsidR="003B09AF" w:rsidRPr="0035027D" w:rsidRDefault="003B09AF" w:rsidP="00214A67">
            <w:pPr>
              <w:spacing w:after="0"/>
              <w:jc w:val="left"/>
              <w:rPr>
                <w:rFonts w:cs="Times New Roman"/>
                <w:b/>
                <w:bCs/>
                <w:color w:val="000000"/>
                <w:sz w:val="20"/>
                <w:szCs w:val="20"/>
              </w:rPr>
            </w:pPr>
            <w:r w:rsidRPr="0035027D">
              <w:rPr>
                <w:rFonts w:cs="Times New Roman"/>
                <w:b/>
                <w:bCs/>
                <w:color w:val="000000"/>
                <w:sz w:val="20"/>
                <w:szCs w:val="20"/>
              </w:rPr>
              <w:t>EÚ</w:t>
            </w:r>
          </w:p>
        </w:tc>
        <w:tc>
          <w:tcPr>
            <w:tcW w:w="480" w:type="dxa"/>
            <w:tcBorders>
              <w:top w:val="nil"/>
              <w:left w:val="nil"/>
              <w:bottom w:val="single" w:sz="4" w:space="0" w:color="auto"/>
              <w:right w:val="nil"/>
            </w:tcBorders>
            <w:shd w:val="clear" w:color="auto" w:fill="auto"/>
            <w:vAlign w:val="center"/>
            <w:hideMark/>
          </w:tcPr>
          <w:p w:rsidR="003B09AF" w:rsidRPr="0035027D" w:rsidRDefault="003B09AF" w:rsidP="00214A67">
            <w:pPr>
              <w:spacing w:after="0"/>
              <w:jc w:val="center"/>
              <w:rPr>
                <w:rFonts w:cs="Times New Roman"/>
                <w:color w:val="000000"/>
                <w:sz w:val="20"/>
                <w:szCs w:val="20"/>
              </w:rPr>
            </w:pPr>
            <w:r w:rsidRPr="0035027D">
              <w:rPr>
                <w:rFonts w:cs="Times New Roman"/>
                <w:color w:val="000000"/>
                <w:sz w:val="20"/>
                <w:szCs w:val="20"/>
              </w:rPr>
              <w:t>-</w:t>
            </w:r>
          </w:p>
        </w:tc>
        <w:tc>
          <w:tcPr>
            <w:tcW w:w="480" w:type="dxa"/>
            <w:tcBorders>
              <w:top w:val="nil"/>
              <w:left w:val="nil"/>
              <w:bottom w:val="single" w:sz="4" w:space="0" w:color="auto"/>
              <w:right w:val="nil"/>
            </w:tcBorders>
            <w:shd w:val="clear" w:color="auto" w:fill="auto"/>
            <w:vAlign w:val="center"/>
            <w:hideMark/>
          </w:tcPr>
          <w:p w:rsidR="003B09AF" w:rsidRPr="0035027D" w:rsidRDefault="003B09AF" w:rsidP="00214A67">
            <w:pPr>
              <w:spacing w:after="0"/>
              <w:jc w:val="center"/>
              <w:rPr>
                <w:rFonts w:cs="Times New Roman"/>
                <w:color w:val="000000"/>
                <w:sz w:val="20"/>
                <w:szCs w:val="20"/>
              </w:rPr>
            </w:pPr>
            <w:r w:rsidRPr="0035027D">
              <w:rPr>
                <w:rFonts w:cs="Times New Roman"/>
                <w:color w:val="000000"/>
                <w:sz w:val="20"/>
                <w:szCs w:val="20"/>
              </w:rPr>
              <w:t>-</w:t>
            </w:r>
          </w:p>
        </w:tc>
        <w:tc>
          <w:tcPr>
            <w:tcW w:w="480" w:type="dxa"/>
            <w:tcBorders>
              <w:top w:val="nil"/>
              <w:left w:val="nil"/>
              <w:bottom w:val="single" w:sz="4" w:space="0" w:color="auto"/>
              <w:right w:val="nil"/>
            </w:tcBorders>
            <w:shd w:val="clear" w:color="auto" w:fill="auto"/>
            <w:vAlign w:val="center"/>
            <w:hideMark/>
          </w:tcPr>
          <w:p w:rsidR="003B09AF" w:rsidRPr="0035027D" w:rsidRDefault="003B09AF" w:rsidP="00214A67">
            <w:pPr>
              <w:spacing w:after="0"/>
              <w:jc w:val="center"/>
              <w:rPr>
                <w:rFonts w:cs="Times New Roman"/>
                <w:color w:val="000000"/>
                <w:sz w:val="20"/>
                <w:szCs w:val="20"/>
              </w:rPr>
            </w:pPr>
            <w:r w:rsidRPr="0035027D">
              <w:rPr>
                <w:rFonts w:cs="Times New Roman"/>
                <w:color w:val="000000"/>
                <w:sz w:val="20"/>
                <w:szCs w:val="20"/>
              </w:rPr>
              <w:t>-</w:t>
            </w:r>
          </w:p>
        </w:tc>
        <w:tc>
          <w:tcPr>
            <w:tcW w:w="480" w:type="dxa"/>
            <w:tcBorders>
              <w:top w:val="nil"/>
              <w:left w:val="nil"/>
              <w:bottom w:val="single" w:sz="4" w:space="0" w:color="auto"/>
              <w:right w:val="nil"/>
            </w:tcBorders>
            <w:shd w:val="clear" w:color="auto" w:fill="auto"/>
            <w:vAlign w:val="center"/>
            <w:hideMark/>
          </w:tcPr>
          <w:p w:rsidR="003B09AF" w:rsidRPr="0035027D" w:rsidRDefault="003B09AF" w:rsidP="00214A67">
            <w:pPr>
              <w:spacing w:after="0"/>
              <w:jc w:val="center"/>
              <w:rPr>
                <w:rFonts w:cs="Times New Roman"/>
                <w:color w:val="000000"/>
                <w:sz w:val="20"/>
                <w:szCs w:val="20"/>
              </w:rPr>
            </w:pPr>
            <w:r w:rsidRPr="0035027D">
              <w:rPr>
                <w:rFonts w:cs="Times New Roman"/>
                <w:color w:val="000000"/>
                <w:sz w:val="20"/>
                <w:szCs w:val="20"/>
              </w:rPr>
              <w:t>-</w:t>
            </w:r>
          </w:p>
        </w:tc>
        <w:tc>
          <w:tcPr>
            <w:tcW w:w="480" w:type="dxa"/>
            <w:tcBorders>
              <w:top w:val="nil"/>
              <w:left w:val="nil"/>
              <w:bottom w:val="single" w:sz="4" w:space="0" w:color="auto"/>
              <w:right w:val="nil"/>
            </w:tcBorders>
            <w:shd w:val="clear" w:color="auto" w:fill="auto"/>
            <w:vAlign w:val="center"/>
            <w:hideMark/>
          </w:tcPr>
          <w:p w:rsidR="003B09AF" w:rsidRPr="0035027D" w:rsidRDefault="003B09AF" w:rsidP="00214A67">
            <w:pPr>
              <w:spacing w:after="0"/>
              <w:jc w:val="center"/>
              <w:rPr>
                <w:rFonts w:cs="Times New Roman"/>
                <w:color w:val="000000"/>
                <w:sz w:val="20"/>
                <w:szCs w:val="20"/>
              </w:rPr>
            </w:pPr>
            <w:r w:rsidRPr="0035027D">
              <w:rPr>
                <w:rFonts w:cs="Times New Roman"/>
                <w:color w:val="000000"/>
                <w:sz w:val="20"/>
                <w:szCs w:val="20"/>
              </w:rPr>
              <w:t>-</w:t>
            </w:r>
          </w:p>
        </w:tc>
        <w:tc>
          <w:tcPr>
            <w:tcW w:w="480" w:type="dxa"/>
            <w:tcBorders>
              <w:top w:val="nil"/>
              <w:left w:val="nil"/>
              <w:bottom w:val="single" w:sz="4" w:space="0" w:color="auto"/>
              <w:right w:val="nil"/>
            </w:tcBorders>
            <w:shd w:val="clear" w:color="auto" w:fill="auto"/>
            <w:vAlign w:val="center"/>
            <w:hideMark/>
          </w:tcPr>
          <w:p w:rsidR="003B09AF" w:rsidRPr="0035027D" w:rsidRDefault="003B09AF" w:rsidP="00214A67">
            <w:pPr>
              <w:spacing w:after="0"/>
              <w:jc w:val="center"/>
              <w:rPr>
                <w:rFonts w:cs="Times New Roman"/>
                <w:color w:val="000000"/>
                <w:sz w:val="20"/>
                <w:szCs w:val="20"/>
              </w:rPr>
            </w:pPr>
            <w:r w:rsidRPr="0035027D">
              <w:rPr>
                <w:rFonts w:cs="Times New Roman"/>
                <w:color w:val="000000"/>
                <w:sz w:val="20"/>
                <w:szCs w:val="20"/>
              </w:rPr>
              <w:t>-</w:t>
            </w:r>
          </w:p>
        </w:tc>
        <w:tc>
          <w:tcPr>
            <w:tcW w:w="480" w:type="dxa"/>
            <w:tcBorders>
              <w:top w:val="nil"/>
              <w:left w:val="nil"/>
              <w:bottom w:val="single" w:sz="4" w:space="0" w:color="auto"/>
              <w:right w:val="nil"/>
            </w:tcBorders>
            <w:shd w:val="clear" w:color="auto" w:fill="auto"/>
            <w:vAlign w:val="center"/>
            <w:hideMark/>
          </w:tcPr>
          <w:p w:rsidR="003B09AF" w:rsidRPr="0035027D" w:rsidRDefault="003B09AF" w:rsidP="00214A67">
            <w:pPr>
              <w:spacing w:after="0"/>
              <w:jc w:val="center"/>
              <w:rPr>
                <w:rFonts w:cs="Times New Roman"/>
                <w:color w:val="000000"/>
                <w:sz w:val="20"/>
                <w:szCs w:val="20"/>
              </w:rPr>
            </w:pPr>
            <w:r w:rsidRPr="0035027D">
              <w:rPr>
                <w:rFonts w:cs="Times New Roman"/>
                <w:color w:val="000000"/>
                <w:sz w:val="20"/>
                <w:szCs w:val="20"/>
              </w:rPr>
              <w:t>-</w:t>
            </w:r>
          </w:p>
        </w:tc>
        <w:tc>
          <w:tcPr>
            <w:tcW w:w="480" w:type="dxa"/>
            <w:tcBorders>
              <w:top w:val="nil"/>
              <w:left w:val="nil"/>
              <w:bottom w:val="single" w:sz="4" w:space="0" w:color="auto"/>
              <w:right w:val="nil"/>
            </w:tcBorders>
            <w:shd w:val="clear" w:color="auto" w:fill="auto"/>
            <w:vAlign w:val="center"/>
            <w:hideMark/>
          </w:tcPr>
          <w:p w:rsidR="003B09AF" w:rsidRPr="0035027D" w:rsidRDefault="003B09AF" w:rsidP="00214A67">
            <w:pPr>
              <w:spacing w:after="0"/>
              <w:jc w:val="center"/>
              <w:rPr>
                <w:rFonts w:cs="Times New Roman"/>
                <w:color w:val="000000"/>
                <w:sz w:val="20"/>
                <w:szCs w:val="20"/>
              </w:rPr>
            </w:pPr>
            <w:r w:rsidRPr="0035027D">
              <w:rPr>
                <w:rFonts w:cs="Times New Roman"/>
                <w:color w:val="000000"/>
                <w:sz w:val="20"/>
                <w:szCs w:val="20"/>
              </w:rPr>
              <w:t xml:space="preserve"> - </w:t>
            </w:r>
          </w:p>
        </w:tc>
        <w:tc>
          <w:tcPr>
            <w:tcW w:w="480" w:type="dxa"/>
            <w:tcBorders>
              <w:top w:val="nil"/>
              <w:left w:val="single" w:sz="4" w:space="0" w:color="auto"/>
              <w:bottom w:val="single" w:sz="4" w:space="0" w:color="auto"/>
              <w:right w:val="single" w:sz="4" w:space="0" w:color="auto"/>
            </w:tcBorders>
            <w:shd w:val="clear" w:color="auto" w:fill="auto"/>
            <w:vAlign w:val="center"/>
            <w:hideMark/>
          </w:tcPr>
          <w:p w:rsidR="003B09AF" w:rsidRPr="0035027D" w:rsidRDefault="003B09AF" w:rsidP="00214A67">
            <w:pPr>
              <w:spacing w:after="0"/>
              <w:jc w:val="center"/>
              <w:rPr>
                <w:rFonts w:cs="Times New Roman"/>
                <w:color w:val="000000"/>
                <w:sz w:val="20"/>
                <w:szCs w:val="20"/>
              </w:rPr>
            </w:pPr>
            <w:r w:rsidRPr="0035027D">
              <w:rPr>
                <w:rFonts w:cs="Times New Roman"/>
                <w:color w:val="000000"/>
                <w:sz w:val="20"/>
                <w:szCs w:val="20"/>
              </w:rPr>
              <w:t>-</w:t>
            </w:r>
          </w:p>
        </w:tc>
      </w:tr>
      <w:tr w:rsidR="003B09AF" w:rsidRPr="0035027D" w:rsidTr="00214A67">
        <w:trPr>
          <w:trHeight w:val="300"/>
          <w:jc w:val="center"/>
        </w:trPr>
        <w:tc>
          <w:tcPr>
            <w:tcW w:w="3567" w:type="dxa"/>
            <w:tcBorders>
              <w:top w:val="nil"/>
              <w:left w:val="single" w:sz="4" w:space="0" w:color="auto"/>
              <w:bottom w:val="nil"/>
              <w:right w:val="nil"/>
            </w:tcBorders>
            <w:shd w:val="clear" w:color="auto" w:fill="auto"/>
            <w:noWrap/>
            <w:vAlign w:val="center"/>
            <w:hideMark/>
          </w:tcPr>
          <w:p w:rsidR="003B09AF" w:rsidRPr="0035027D" w:rsidRDefault="003B09AF" w:rsidP="00214A67">
            <w:pPr>
              <w:spacing w:after="0"/>
              <w:jc w:val="left"/>
              <w:rPr>
                <w:rFonts w:cs="Times New Roman"/>
                <w:b/>
                <w:bCs/>
                <w:color w:val="000000"/>
                <w:sz w:val="20"/>
                <w:szCs w:val="20"/>
              </w:rPr>
            </w:pPr>
            <w:r w:rsidRPr="0035027D">
              <w:rPr>
                <w:rFonts w:cs="Times New Roman"/>
                <w:b/>
                <w:bCs/>
                <w:color w:val="000000"/>
                <w:sz w:val="20"/>
                <w:szCs w:val="20"/>
              </w:rPr>
              <w:t>Efektívnosť výberu DPH</w:t>
            </w:r>
          </w:p>
        </w:tc>
        <w:tc>
          <w:tcPr>
            <w:tcW w:w="473" w:type="dxa"/>
            <w:tcBorders>
              <w:top w:val="nil"/>
              <w:left w:val="nil"/>
              <w:bottom w:val="nil"/>
              <w:right w:val="single" w:sz="4" w:space="0" w:color="auto"/>
            </w:tcBorders>
            <w:shd w:val="clear" w:color="auto" w:fill="auto"/>
            <w:noWrap/>
            <w:vAlign w:val="center"/>
            <w:hideMark/>
          </w:tcPr>
          <w:p w:rsidR="003B09AF" w:rsidRPr="0035027D" w:rsidRDefault="003B09AF" w:rsidP="00214A67">
            <w:pPr>
              <w:spacing w:after="0"/>
              <w:jc w:val="left"/>
              <w:rPr>
                <w:rFonts w:cs="Times New Roman"/>
                <w:b/>
                <w:bCs/>
                <w:color w:val="000000"/>
                <w:sz w:val="20"/>
                <w:szCs w:val="20"/>
              </w:rPr>
            </w:pPr>
            <w:r w:rsidRPr="0035027D">
              <w:rPr>
                <w:rFonts w:cs="Times New Roman"/>
                <w:b/>
                <w:bCs/>
                <w:color w:val="000000"/>
                <w:sz w:val="20"/>
                <w:szCs w:val="20"/>
              </w:rPr>
              <w:t>SK</w:t>
            </w:r>
          </w:p>
        </w:tc>
        <w:tc>
          <w:tcPr>
            <w:tcW w:w="480" w:type="dxa"/>
            <w:tcBorders>
              <w:top w:val="nil"/>
              <w:left w:val="nil"/>
              <w:bottom w:val="nil"/>
              <w:right w:val="nil"/>
            </w:tcBorders>
            <w:shd w:val="clear" w:color="auto" w:fill="auto"/>
            <w:vAlign w:val="center"/>
            <w:hideMark/>
          </w:tcPr>
          <w:p w:rsidR="003B09AF" w:rsidRPr="0035027D" w:rsidRDefault="003B09AF" w:rsidP="00214A67">
            <w:pPr>
              <w:spacing w:after="0"/>
              <w:jc w:val="center"/>
              <w:rPr>
                <w:rFonts w:cs="Times New Roman"/>
                <w:color w:val="000000"/>
                <w:sz w:val="20"/>
                <w:szCs w:val="20"/>
              </w:rPr>
            </w:pPr>
            <w:r w:rsidRPr="0035027D">
              <w:rPr>
                <w:rFonts w:cs="Times New Roman"/>
                <w:color w:val="000000"/>
                <w:sz w:val="20"/>
                <w:szCs w:val="20"/>
              </w:rPr>
              <w:t>-</w:t>
            </w:r>
          </w:p>
        </w:tc>
        <w:tc>
          <w:tcPr>
            <w:tcW w:w="480" w:type="dxa"/>
            <w:tcBorders>
              <w:top w:val="nil"/>
              <w:left w:val="nil"/>
              <w:bottom w:val="nil"/>
              <w:right w:val="nil"/>
            </w:tcBorders>
            <w:shd w:val="clear" w:color="auto" w:fill="auto"/>
            <w:vAlign w:val="center"/>
            <w:hideMark/>
          </w:tcPr>
          <w:p w:rsidR="003B09AF" w:rsidRPr="0035027D" w:rsidRDefault="003B09AF" w:rsidP="00214A67">
            <w:pPr>
              <w:spacing w:after="0"/>
              <w:jc w:val="center"/>
              <w:rPr>
                <w:rFonts w:cs="Times New Roman"/>
                <w:color w:val="000000"/>
                <w:sz w:val="20"/>
                <w:szCs w:val="20"/>
              </w:rPr>
            </w:pPr>
            <w:r w:rsidRPr="0035027D">
              <w:rPr>
                <w:rFonts w:cs="Times New Roman"/>
                <w:color w:val="000000"/>
                <w:sz w:val="20"/>
                <w:szCs w:val="20"/>
              </w:rPr>
              <w:t>74,8</w:t>
            </w:r>
          </w:p>
        </w:tc>
        <w:tc>
          <w:tcPr>
            <w:tcW w:w="480" w:type="dxa"/>
            <w:tcBorders>
              <w:top w:val="nil"/>
              <w:left w:val="nil"/>
              <w:bottom w:val="nil"/>
              <w:right w:val="nil"/>
            </w:tcBorders>
            <w:shd w:val="clear" w:color="auto" w:fill="auto"/>
            <w:vAlign w:val="center"/>
            <w:hideMark/>
          </w:tcPr>
          <w:p w:rsidR="003B09AF" w:rsidRPr="0035027D" w:rsidRDefault="003B09AF" w:rsidP="00214A67">
            <w:pPr>
              <w:spacing w:after="0"/>
              <w:jc w:val="center"/>
              <w:rPr>
                <w:rFonts w:cs="Times New Roman"/>
                <w:color w:val="000000"/>
                <w:sz w:val="20"/>
                <w:szCs w:val="20"/>
              </w:rPr>
            </w:pPr>
            <w:r w:rsidRPr="0035027D">
              <w:rPr>
                <w:rFonts w:cs="Times New Roman"/>
                <w:color w:val="000000"/>
                <w:sz w:val="20"/>
                <w:szCs w:val="20"/>
              </w:rPr>
              <w:t>69,7</w:t>
            </w:r>
          </w:p>
        </w:tc>
        <w:tc>
          <w:tcPr>
            <w:tcW w:w="480" w:type="dxa"/>
            <w:tcBorders>
              <w:top w:val="nil"/>
              <w:left w:val="nil"/>
              <w:bottom w:val="nil"/>
              <w:right w:val="nil"/>
            </w:tcBorders>
            <w:shd w:val="clear" w:color="auto" w:fill="auto"/>
            <w:vAlign w:val="center"/>
            <w:hideMark/>
          </w:tcPr>
          <w:p w:rsidR="003B09AF" w:rsidRPr="0035027D" w:rsidRDefault="003B09AF" w:rsidP="00214A67">
            <w:pPr>
              <w:spacing w:after="0"/>
              <w:jc w:val="center"/>
              <w:rPr>
                <w:rFonts w:cs="Times New Roman"/>
                <w:color w:val="000000"/>
                <w:sz w:val="20"/>
                <w:szCs w:val="20"/>
              </w:rPr>
            </w:pPr>
            <w:r w:rsidRPr="0035027D">
              <w:rPr>
                <w:rFonts w:cs="Times New Roman"/>
                <w:color w:val="000000"/>
                <w:sz w:val="20"/>
                <w:szCs w:val="20"/>
              </w:rPr>
              <w:t>64,1</w:t>
            </w:r>
          </w:p>
        </w:tc>
        <w:tc>
          <w:tcPr>
            <w:tcW w:w="480" w:type="dxa"/>
            <w:tcBorders>
              <w:top w:val="nil"/>
              <w:left w:val="nil"/>
              <w:bottom w:val="nil"/>
              <w:right w:val="nil"/>
            </w:tcBorders>
            <w:shd w:val="clear" w:color="auto" w:fill="auto"/>
            <w:vAlign w:val="center"/>
            <w:hideMark/>
          </w:tcPr>
          <w:p w:rsidR="003B09AF" w:rsidRPr="0035027D" w:rsidRDefault="003B09AF" w:rsidP="00214A67">
            <w:pPr>
              <w:spacing w:after="0"/>
              <w:jc w:val="center"/>
              <w:rPr>
                <w:rFonts w:cs="Times New Roman"/>
                <w:color w:val="000000"/>
                <w:sz w:val="20"/>
                <w:szCs w:val="20"/>
              </w:rPr>
            </w:pPr>
            <w:r w:rsidRPr="0035027D">
              <w:rPr>
                <w:rFonts w:cs="Times New Roman"/>
                <w:color w:val="000000"/>
                <w:sz w:val="20"/>
                <w:szCs w:val="20"/>
              </w:rPr>
              <w:t>65,1</w:t>
            </w:r>
          </w:p>
        </w:tc>
        <w:tc>
          <w:tcPr>
            <w:tcW w:w="480" w:type="dxa"/>
            <w:tcBorders>
              <w:top w:val="nil"/>
              <w:left w:val="nil"/>
              <w:bottom w:val="nil"/>
              <w:right w:val="nil"/>
            </w:tcBorders>
            <w:shd w:val="clear" w:color="auto" w:fill="auto"/>
            <w:vAlign w:val="center"/>
            <w:hideMark/>
          </w:tcPr>
          <w:p w:rsidR="003B09AF" w:rsidRPr="0035027D" w:rsidRDefault="003B09AF" w:rsidP="00214A67">
            <w:pPr>
              <w:spacing w:after="0"/>
              <w:jc w:val="center"/>
              <w:rPr>
                <w:rFonts w:cs="Times New Roman"/>
                <w:color w:val="000000"/>
                <w:sz w:val="20"/>
                <w:szCs w:val="20"/>
              </w:rPr>
            </w:pPr>
            <w:r w:rsidRPr="0035027D">
              <w:rPr>
                <w:rFonts w:cs="Times New Roman"/>
                <w:color w:val="000000"/>
                <w:sz w:val="20"/>
                <w:szCs w:val="20"/>
              </w:rPr>
              <w:t>57,9</w:t>
            </w:r>
          </w:p>
        </w:tc>
        <w:tc>
          <w:tcPr>
            <w:tcW w:w="480" w:type="dxa"/>
            <w:tcBorders>
              <w:top w:val="nil"/>
              <w:left w:val="nil"/>
              <w:bottom w:val="nil"/>
              <w:right w:val="nil"/>
            </w:tcBorders>
            <w:shd w:val="clear" w:color="auto" w:fill="auto"/>
            <w:vAlign w:val="center"/>
            <w:hideMark/>
          </w:tcPr>
          <w:p w:rsidR="003B09AF" w:rsidRPr="0035027D" w:rsidRDefault="003B09AF" w:rsidP="00214A67">
            <w:pPr>
              <w:spacing w:after="0"/>
              <w:jc w:val="center"/>
              <w:rPr>
                <w:rFonts w:cs="Times New Roman"/>
                <w:color w:val="000000"/>
                <w:sz w:val="20"/>
                <w:szCs w:val="20"/>
              </w:rPr>
            </w:pPr>
            <w:r w:rsidRPr="0035027D">
              <w:rPr>
                <w:rFonts w:cs="Times New Roman"/>
                <w:color w:val="000000"/>
                <w:sz w:val="20"/>
                <w:szCs w:val="20"/>
              </w:rPr>
              <w:t>56,7</w:t>
            </w:r>
          </w:p>
        </w:tc>
        <w:tc>
          <w:tcPr>
            <w:tcW w:w="480" w:type="dxa"/>
            <w:tcBorders>
              <w:top w:val="nil"/>
              <w:left w:val="nil"/>
              <w:bottom w:val="nil"/>
              <w:right w:val="nil"/>
            </w:tcBorders>
            <w:shd w:val="clear" w:color="auto" w:fill="auto"/>
            <w:vAlign w:val="center"/>
            <w:hideMark/>
          </w:tcPr>
          <w:p w:rsidR="003B09AF" w:rsidRPr="0035027D" w:rsidRDefault="003B09AF" w:rsidP="00214A67">
            <w:pPr>
              <w:spacing w:after="0"/>
              <w:jc w:val="center"/>
              <w:rPr>
                <w:rFonts w:cs="Times New Roman"/>
                <w:color w:val="000000"/>
                <w:sz w:val="20"/>
                <w:szCs w:val="20"/>
              </w:rPr>
            </w:pPr>
            <w:r w:rsidRPr="0035027D">
              <w:rPr>
                <w:rFonts w:cs="Times New Roman"/>
                <w:color w:val="000000"/>
                <w:sz w:val="20"/>
                <w:szCs w:val="20"/>
              </w:rPr>
              <w:t>57,8</w:t>
            </w:r>
          </w:p>
        </w:tc>
        <w:tc>
          <w:tcPr>
            <w:tcW w:w="480" w:type="dxa"/>
            <w:tcBorders>
              <w:top w:val="nil"/>
              <w:left w:val="single" w:sz="4" w:space="0" w:color="auto"/>
              <w:bottom w:val="nil"/>
              <w:right w:val="single" w:sz="4" w:space="0" w:color="auto"/>
            </w:tcBorders>
            <w:shd w:val="clear" w:color="auto" w:fill="auto"/>
            <w:noWrap/>
            <w:vAlign w:val="center"/>
            <w:hideMark/>
          </w:tcPr>
          <w:p w:rsidR="003B09AF" w:rsidRPr="0035027D" w:rsidRDefault="003B09AF" w:rsidP="00214A67">
            <w:pPr>
              <w:spacing w:after="0"/>
              <w:jc w:val="center"/>
              <w:rPr>
                <w:rFonts w:cs="Times New Roman"/>
                <w:color w:val="000000"/>
                <w:sz w:val="20"/>
                <w:szCs w:val="20"/>
              </w:rPr>
            </w:pPr>
            <w:r w:rsidRPr="0035027D">
              <w:rPr>
                <w:rFonts w:cs="Times New Roman"/>
                <w:color w:val="000000"/>
                <w:sz w:val="20"/>
                <w:szCs w:val="20"/>
              </w:rPr>
              <w:t>72</w:t>
            </w:r>
          </w:p>
        </w:tc>
      </w:tr>
      <w:tr w:rsidR="003B09AF" w:rsidRPr="0035027D" w:rsidTr="00214A67">
        <w:trPr>
          <w:trHeight w:val="300"/>
          <w:jc w:val="center"/>
        </w:trPr>
        <w:tc>
          <w:tcPr>
            <w:tcW w:w="3567" w:type="dxa"/>
            <w:tcBorders>
              <w:top w:val="nil"/>
              <w:left w:val="single" w:sz="4" w:space="0" w:color="auto"/>
              <w:bottom w:val="single" w:sz="4" w:space="0" w:color="auto"/>
              <w:right w:val="nil"/>
            </w:tcBorders>
            <w:shd w:val="clear" w:color="auto" w:fill="auto"/>
            <w:noWrap/>
            <w:vAlign w:val="center"/>
            <w:hideMark/>
          </w:tcPr>
          <w:p w:rsidR="003B09AF" w:rsidRPr="0035027D" w:rsidRDefault="003B09AF" w:rsidP="00214A67">
            <w:pPr>
              <w:spacing w:after="0"/>
              <w:rPr>
                <w:rFonts w:cs="Times New Roman"/>
                <w:color w:val="000000"/>
                <w:sz w:val="20"/>
                <w:szCs w:val="20"/>
              </w:rPr>
            </w:pPr>
            <w:r w:rsidRPr="0035027D">
              <w:rPr>
                <w:rFonts w:cs="Times New Roman"/>
                <w:color w:val="000000"/>
                <w:sz w:val="20"/>
                <w:szCs w:val="20"/>
              </w:rPr>
              <w:t>(%)</w:t>
            </w:r>
          </w:p>
        </w:tc>
        <w:tc>
          <w:tcPr>
            <w:tcW w:w="473" w:type="dxa"/>
            <w:tcBorders>
              <w:top w:val="nil"/>
              <w:left w:val="nil"/>
              <w:bottom w:val="single" w:sz="4" w:space="0" w:color="auto"/>
              <w:right w:val="single" w:sz="4" w:space="0" w:color="auto"/>
            </w:tcBorders>
            <w:shd w:val="clear" w:color="auto" w:fill="auto"/>
            <w:noWrap/>
            <w:vAlign w:val="center"/>
            <w:hideMark/>
          </w:tcPr>
          <w:p w:rsidR="003B09AF" w:rsidRPr="0035027D" w:rsidRDefault="003B09AF" w:rsidP="00214A67">
            <w:pPr>
              <w:spacing w:after="0"/>
              <w:jc w:val="left"/>
              <w:rPr>
                <w:rFonts w:cs="Times New Roman"/>
                <w:b/>
                <w:bCs/>
                <w:color w:val="000000"/>
                <w:sz w:val="20"/>
                <w:szCs w:val="20"/>
              </w:rPr>
            </w:pPr>
            <w:r w:rsidRPr="0035027D">
              <w:rPr>
                <w:rFonts w:cs="Times New Roman"/>
                <w:b/>
                <w:bCs/>
                <w:color w:val="000000"/>
                <w:sz w:val="20"/>
                <w:szCs w:val="20"/>
              </w:rPr>
              <w:t>EÚ22</w:t>
            </w:r>
          </w:p>
        </w:tc>
        <w:tc>
          <w:tcPr>
            <w:tcW w:w="480" w:type="dxa"/>
            <w:tcBorders>
              <w:top w:val="nil"/>
              <w:left w:val="nil"/>
              <w:bottom w:val="single" w:sz="4" w:space="0" w:color="auto"/>
              <w:right w:val="nil"/>
            </w:tcBorders>
            <w:shd w:val="clear" w:color="auto" w:fill="auto"/>
            <w:vAlign w:val="center"/>
            <w:hideMark/>
          </w:tcPr>
          <w:p w:rsidR="003B09AF" w:rsidRPr="0035027D" w:rsidRDefault="003B09AF" w:rsidP="00214A67">
            <w:pPr>
              <w:spacing w:after="0"/>
              <w:jc w:val="center"/>
              <w:rPr>
                <w:rFonts w:cs="Times New Roman"/>
                <w:color w:val="000000"/>
                <w:sz w:val="20"/>
                <w:szCs w:val="20"/>
              </w:rPr>
            </w:pPr>
            <w:r w:rsidRPr="0035027D">
              <w:rPr>
                <w:rFonts w:cs="Times New Roman"/>
                <w:color w:val="000000"/>
                <w:sz w:val="20"/>
                <w:szCs w:val="20"/>
              </w:rPr>
              <w:t>-</w:t>
            </w:r>
          </w:p>
        </w:tc>
        <w:tc>
          <w:tcPr>
            <w:tcW w:w="480" w:type="dxa"/>
            <w:tcBorders>
              <w:top w:val="nil"/>
              <w:left w:val="nil"/>
              <w:bottom w:val="single" w:sz="4" w:space="0" w:color="auto"/>
              <w:right w:val="nil"/>
            </w:tcBorders>
            <w:shd w:val="clear" w:color="auto" w:fill="auto"/>
            <w:vAlign w:val="center"/>
            <w:hideMark/>
          </w:tcPr>
          <w:p w:rsidR="003B09AF" w:rsidRPr="0035027D" w:rsidRDefault="003B09AF" w:rsidP="00214A67">
            <w:pPr>
              <w:spacing w:after="0"/>
              <w:jc w:val="center"/>
              <w:rPr>
                <w:rFonts w:cs="Times New Roman"/>
                <w:color w:val="000000"/>
                <w:sz w:val="20"/>
                <w:szCs w:val="20"/>
              </w:rPr>
            </w:pPr>
            <w:r w:rsidRPr="0035027D">
              <w:rPr>
                <w:rFonts w:cs="Times New Roman"/>
                <w:color w:val="000000"/>
                <w:sz w:val="20"/>
                <w:szCs w:val="20"/>
              </w:rPr>
              <w:t>71,4</w:t>
            </w:r>
          </w:p>
        </w:tc>
        <w:tc>
          <w:tcPr>
            <w:tcW w:w="480" w:type="dxa"/>
            <w:tcBorders>
              <w:top w:val="nil"/>
              <w:left w:val="nil"/>
              <w:bottom w:val="single" w:sz="4" w:space="0" w:color="auto"/>
              <w:right w:val="nil"/>
            </w:tcBorders>
            <w:shd w:val="clear" w:color="auto" w:fill="auto"/>
            <w:vAlign w:val="center"/>
            <w:hideMark/>
          </w:tcPr>
          <w:p w:rsidR="003B09AF" w:rsidRPr="0035027D" w:rsidRDefault="003B09AF" w:rsidP="00214A67">
            <w:pPr>
              <w:spacing w:after="0"/>
              <w:jc w:val="center"/>
              <w:rPr>
                <w:rFonts w:cs="Times New Roman"/>
                <w:color w:val="000000"/>
                <w:sz w:val="20"/>
                <w:szCs w:val="20"/>
              </w:rPr>
            </w:pPr>
            <w:r w:rsidRPr="0035027D">
              <w:rPr>
                <w:rFonts w:cs="Times New Roman"/>
                <w:color w:val="000000"/>
                <w:sz w:val="20"/>
                <w:szCs w:val="20"/>
              </w:rPr>
              <w:t>72,9</w:t>
            </w:r>
          </w:p>
        </w:tc>
        <w:tc>
          <w:tcPr>
            <w:tcW w:w="480" w:type="dxa"/>
            <w:tcBorders>
              <w:top w:val="nil"/>
              <w:left w:val="nil"/>
              <w:bottom w:val="single" w:sz="4" w:space="0" w:color="auto"/>
              <w:right w:val="nil"/>
            </w:tcBorders>
            <w:shd w:val="clear" w:color="auto" w:fill="auto"/>
            <w:vAlign w:val="center"/>
            <w:hideMark/>
          </w:tcPr>
          <w:p w:rsidR="003B09AF" w:rsidRPr="0035027D" w:rsidRDefault="003B09AF" w:rsidP="00214A67">
            <w:pPr>
              <w:spacing w:after="0"/>
              <w:jc w:val="center"/>
              <w:rPr>
                <w:rFonts w:cs="Times New Roman"/>
                <w:color w:val="000000"/>
                <w:sz w:val="20"/>
                <w:szCs w:val="20"/>
              </w:rPr>
            </w:pPr>
            <w:r w:rsidRPr="0035027D">
              <w:rPr>
                <w:rFonts w:cs="Times New Roman"/>
                <w:color w:val="000000"/>
                <w:sz w:val="20"/>
                <w:szCs w:val="20"/>
              </w:rPr>
              <w:t>73</w:t>
            </w:r>
          </w:p>
        </w:tc>
        <w:tc>
          <w:tcPr>
            <w:tcW w:w="480" w:type="dxa"/>
            <w:tcBorders>
              <w:top w:val="nil"/>
              <w:left w:val="nil"/>
              <w:bottom w:val="single" w:sz="4" w:space="0" w:color="auto"/>
              <w:right w:val="nil"/>
            </w:tcBorders>
            <w:shd w:val="clear" w:color="auto" w:fill="auto"/>
            <w:vAlign w:val="center"/>
            <w:hideMark/>
          </w:tcPr>
          <w:p w:rsidR="003B09AF" w:rsidRPr="0035027D" w:rsidRDefault="003B09AF" w:rsidP="00214A67">
            <w:pPr>
              <w:spacing w:after="0"/>
              <w:jc w:val="center"/>
              <w:rPr>
                <w:rFonts w:cs="Times New Roman"/>
                <w:color w:val="000000"/>
                <w:sz w:val="20"/>
                <w:szCs w:val="20"/>
              </w:rPr>
            </w:pPr>
            <w:r w:rsidRPr="0035027D">
              <w:rPr>
                <w:rFonts w:cs="Times New Roman"/>
                <w:color w:val="000000"/>
                <w:sz w:val="20"/>
                <w:szCs w:val="20"/>
              </w:rPr>
              <w:t>71,1</w:t>
            </w:r>
          </w:p>
        </w:tc>
        <w:tc>
          <w:tcPr>
            <w:tcW w:w="480" w:type="dxa"/>
            <w:tcBorders>
              <w:top w:val="nil"/>
              <w:left w:val="nil"/>
              <w:bottom w:val="single" w:sz="4" w:space="0" w:color="auto"/>
              <w:right w:val="nil"/>
            </w:tcBorders>
            <w:shd w:val="clear" w:color="auto" w:fill="auto"/>
            <w:vAlign w:val="center"/>
            <w:hideMark/>
          </w:tcPr>
          <w:p w:rsidR="003B09AF" w:rsidRPr="0035027D" w:rsidRDefault="003B09AF" w:rsidP="00214A67">
            <w:pPr>
              <w:spacing w:after="0"/>
              <w:jc w:val="center"/>
              <w:rPr>
                <w:rFonts w:cs="Times New Roman"/>
                <w:color w:val="000000"/>
                <w:sz w:val="20"/>
                <w:szCs w:val="20"/>
              </w:rPr>
            </w:pPr>
            <w:r w:rsidRPr="0035027D">
              <w:rPr>
                <w:rFonts w:cs="Times New Roman"/>
                <w:color w:val="000000"/>
                <w:sz w:val="20"/>
                <w:szCs w:val="20"/>
              </w:rPr>
              <w:t>66</w:t>
            </w:r>
          </w:p>
        </w:tc>
        <w:tc>
          <w:tcPr>
            <w:tcW w:w="480" w:type="dxa"/>
            <w:tcBorders>
              <w:top w:val="nil"/>
              <w:left w:val="nil"/>
              <w:bottom w:val="single" w:sz="4" w:space="0" w:color="auto"/>
              <w:right w:val="nil"/>
            </w:tcBorders>
            <w:shd w:val="clear" w:color="auto" w:fill="auto"/>
            <w:vAlign w:val="center"/>
            <w:hideMark/>
          </w:tcPr>
          <w:p w:rsidR="003B09AF" w:rsidRPr="0035027D" w:rsidRDefault="003B09AF" w:rsidP="00214A67">
            <w:pPr>
              <w:spacing w:after="0"/>
              <w:jc w:val="center"/>
              <w:rPr>
                <w:rFonts w:cs="Times New Roman"/>
                <w:color w:val="000000"/>
                <w:sz w:val="20"/>
                <w:szCs w:val="20"/>
              </w:rPr>
            </w:pPr>
            <w:r w:rsidRPr="0035027D">
              <w:rPr>
                <w:rFonts w:cs="Times New Roman"/>
                <w:color w:val="000000"/>
                <w:sz w:val="20"/>
                <w:szCs w:val="20"/>
              </w:rPr>
              <w:t>66,9</w:t>
            </w:r>
          </w:p>
        </w:tc>
        <w:tc>
          <w:tcPr>
            <w:tcW w:w="480" w:type="dxa"/>
            <w:tcBorders>
              <w:top w:val="nil"/>
              <w:left w:val="nil"/>
              <w:bottom w:val="single" w:sz="4" w:space="0" w:color="auto"/>
              <w:right w:val="nil"/>
            </w:tcBorders>
            <w:shd w:val="clear" w:color="auto" w:fill="auto"/>
            <w:vAlign w:val="center"/>
            <w:hideMark/>
          </w:tcPr>
          <w:p w:rsidR="003B09AF" w:rsidRPr="0035027D" w:rsidRDefault="003B09AF" w:rsidP="00214A67">
            <w:pPr>
              <w:spacing w:after="0"/>
              <w:jc w:val="center"/>
              <w:rPr>
                <w:rFonts w:cs="Times New Roman"/>
                <w:color w:val="000000"/>
                <w:sz w:val="20"/>
                <w:szCs w:val="20"/>
              </w:rPr>
            </w:pPr>
            <w:r w:rsidRPr="0035027D">
              <w:rPr>
                <w:rFonts w:cs="Times New Roman"/>
                <w:color w:val="000000"/>
                <w:sz w:val="20"/>
                <w:szCs w:val="20"/>
              </w:rPr>
              <w:t>66,9</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3B09AF" w:rsidRPr="0035027D" w:rsidRDefault="003B09AF" w:rsidP="00214A67">
            <w:pPr>
              <w:spacing w:after="0"/>
              <w:jc w:val="center"/>
              <w:rPr>
                <w:rFonts w:cs="Times New Roman"/>
                <w:color w:val="000000"/>
                <w:sz w:val="20"/>
                <w:szCs w:val="20"/>
              </w:rPr>
            </w:pPr>
            <w:r w:rsidRPr="0035027D">
              <w:rPr>
                <w:rFonts w:cs="Times New Roman"/>
                <w:color w:val="000000"/>
                <w:sz w:val="20"/>
                <w:szCs w:val="20"/>
              </w:rPr>
              <w:t>-</w:t>
            </w:r>
          </w:p>
        </w:tc>
      </w:tr>
    </w:tbl>
    <w:p w:rsidR="003B09AF" w:rsidRPr="0035027D" w:rsidRDefault="003B09AF" w:rsidP="003B09AF">
      <w:pPr>
        <w:spacing w:after="0"/>
      </w:pPr>
    </w:p>
    <w:p w:rsidR="00484C06" w:rsidRPr="0035027D" w:rsidRDefault="00484C06" w:rsidP="00484C06">
      <w:pPr>
        <w:spacing w:after="0"/>
        <w:rPr>
          <w:b/>
          <w:i/>
        </w:rPr>
      </w:pPr>
      <w:r w:rsidRPr="0035027D">
        <w:rPr>
          <w:b/>
          <w:i/>
        </w:rPr>
        <w:t>Fiškálne pravidlá</w:t>
      </w:r>
    </w:p>
    <w:p w:rsidR="00484C06" w:rsidRPr="0035027D" w:rsidRDefault="00484C06" w:rsidP="00484C06">
      <w:pPr>
        <w:spacing w:after="0"/>
      </w:pPr>
    </w:p>
    <w:p w:rsidR="00681A2F" w:rsidRPr="0035027D" w:rsidRDefault="00484C06" w:rsidP="00484C06">
      <w:pPr>
        <w:spacing w:after="0"/>
      </w:pPr>
      <w:r w:rsidRPr="0035027D">
        <w:t xml:space="preserve">Doterajšie fiškálne pravidlá budú v priebehu roku 2013 doplnené o </w:t>
      </w:r>
      <w:r w:rsidRPr="0035027D">
        <w:rPr>
          <w:rFonts w:cs="Times New Roman"/>
        </w:rPr>
        <w:t>ď</w:t>
      </w:r>
      <w:r w:rsidRPr="0035027D">
        <w:t>alšie, a to prostredníctvom implementovania ustanovení Zmluvy o stabilite, koordinácii a správe v Hospodárskej a menovej únii (tzv. fiškálny kompakt) do národnej legislatívy. K posilneniu fiškálnej disciplíny by malo prispie</w:t>
      </w:r>
      <w:r w:rsidRPr="0035027D">
        <w:rPr>
          <w:rFonts w:cs="Times New Roman"/>
        </w:rPr>
        <w:t>ť</w:t>
      </w:r>
      <w:r w:rsidRPr="0035027D">
        <w:t xml:space="preserve"> aj zavedenie </w:t>
      </w:r>
      <w:r w:rsidRPr="0035027D">
        <w:rPr>
          <w:b/>
        </w:rPr>
        <w:t>výdavkových limitov</w:t>
      </w:r>
      <w:r w:rsidRPr="0035027D">
        <w:t>, ktoré by mali slú</w:t>
      </w:r>
      <w:r w:rsidRPr="0035027D">
        <w:rPr>
          <w:rFonts w:cs="Times New Roman"/>
        </w:rPr>
        <w:t>ž</w:t>
      </w:r>
      <w:r w:rsidRPr="0035027D">
        <w:t>i</w:t>
      </w:r>
      <w:r w:rsidRPr="0035027D">
        <w:rPr>
          <w:rFonts w:cs="Times New Roman"/>
        </w:rPr>
        <w:t>ť</w:t>
      </w:r>
      <w:r w:rsidRPr="0035027D">
        <w:t xml:space="preserve"> ako operatívny nástroj plnenia všetkých fiškálnych pravidiel, ktorými sa fiškálna politika riadi (</w:t>
      </w:r>
      <w:r w:rsidR="00681A2F" w:rsidRPr="0035027D">
        <w:t>fiškálny kompakt</w:t>
      </w:r>
      <w:r w:rsidR="00FE1F3D" w:rsidRPr="0035027D">
        <w:t xml:space="preserve"> a</w:t>
      </w:r>
      <w:r w:rsidR="00681A2F" w:rsidRPr="0035027D">
        <w:t xml:space="preserve"> Zákon o rozpo</w:t>
      </w:r>
      <w:r w:rsidR="00681A2F" w:rsidRPr="0035027D">
        <w:rPr>
          <w:rFonts w:cs="Times New Roman"/>
        </w:rPr>
        <w:t>č</w:t>
      </w:r>
      <w:r w:rsidR="00681A2F" w:rsidRPr="0035027D">
        <w:t>tovej zodpovednosti</w:t>
      </w:r>
      <w:r w:rsidRPr="0035027D">
        <w:t xml:space="preserve">). </w:t>
      </w:r>
    </w:p>
    <w:p w:rsidR="00681A2F" w:rsidRPr="0035027D" w:rsidRDefault="00681A2F" w:rsidP="00484C06">
      <w:pPr>
        <w:spacing w:after="0"/>
      </w:pPr>
    </w:p>
    <w:p w:rsidR="00484C06" w:rsidRPr="0035027D" w:rsidRDefault="00484C06" w:rsidP="00484C06">
      <w:pPr>
        <w:spacing w:after="0"/>
      </w:pPr>
      <w:r w:rsidRPr="0035027D">
        <w:t>Sú</w:t>
      </w:r>
      <w:r w:rsidRPr="0035027D">
        <w:rPr>
          <w:rFonts w:cs="Times New Roman"/>
        </w:rPr>
        <w:t>č</w:t>
      </w:r>
      <w:r w:rsidRPr="0035027D">
        <w:t xml:space="preserve">asne sa plánuje </w:t>
      </w:r>
      <w:r w:rsidRPr="0035027D">
        <w:rPr>
          <w:b/>
        </w:rPr>
        <w:t>sprísnenie pravidiel pre samosprávy</w:t>
      </w:r>
      <w:r w:rsidRPr="0035027D">
        <w:t xml:space="preserve"> prostredníctvom odstup</w:t>
      </w:r>
      <w:r w:rsidRPr="0035027D">
        <w:rPr>
          <w:rFonts w:cs="Times New Roman"/>
        </w:rPr>
        <w:t>ň</w:t>
      </w:r>
      <w:r w:rsidRPr="0035027D">
        <w:t>ovania sankcií pri prekro</w:t>
      </w:r>
      <w:r w:rsidRPr="0035027D">
        <w:rPr>
          <w:rFonts w:cs="Times New Roman"/>
        </w:rPr>
        <w:t>č</w:t>
      </w:r>
      <w:r w:rsidRPr="0035027D">
        <w:t>ení istej hranice dlhu, podobne ako je to v prípade limitov dlhu verejnej správy v ústavnom zákone o rozpo</w:t>
      </w:r>
      <w:r w:rsidRPr="0035027D">
        <w:rPr>
          <w:rFonts w:cs="Times New Roman"/>
        </w:rPr>
        <w:t>č</w:t>
      </w:r>
      <w:r w:rsidRPr="0035027D">
        <w:t xml:space="preserve">tovej zodpovednosti. </w:t>
      </w:r>
    </w:p>
    <w:p w:rsidR="00484C06" w:rsidRPr="0035027D" w:rsidRDefault="00484C06" w:rsidP="00837811">
      <w:pPr>
        <w:spacing w:after="0"/>
        <w:jc w:val="left"/>
        <w:rPr>
          <w:rFonts w:cs="Book Antiqua"/>
          <w:b/>
          <w:i/>
          <w:szCs w:val="36"/>
        </w:rPr>
      </w:pPr>
    </w:p>
    <w:p w:rsidR="00837811" w:rsidRPr="0035027D" w:rsidRDefault="00837811" w:rsidP="00837811">
      <w:pPr>
        <w:spacing w:after="0"/>
        <w:jc w:val="left"/>
        <w:rPr>
          <w:rFonts w:cs="Book Antiqua"/>
          <w:b/>
          <w:i/>
          <w:szCs w:val="36"/>
        </w:rPr>
      </w:pPr>
      <w:r w:rsidRPr="0035027D">
        <w:rPr>
          <w:rFonts w:cs="Book Antiqua"/>
          <w:b/>
          <w:i/>
          <w:szCs w:val="36"/>
        </w:rPr>
        <w:t xml:space="preserve">Daňový mix </w:t>
      </w:r>
    </w:p>
    <w:p w:rsidR="00837811" w:rsidRPr="0035027D" w:rsidRDefault="00837811" w:rsidP="00837811">
      <w:pPr>
        <w:spacing w:after="0"/>
        <w:rPr>
          <w:rFonts w:cs="Book Antiqua"/>
          <w:b/>
          <w:i/>
          <w:szCs w:val="36"/>
        </w:rPr>
      </w:pPr>
    </w:p>
    <w:p w:rsidR="006238DF" w:rsidRPr="0035027D" w:rsidRDefault="006238DF" w:rsidP="006238DF">
      <w:pPr>
        <w:spacing w:after="0"/>
      </w:pPr>
      <w:r w:rsidRPr="0035027D">
        <w:t>Jednou z výziev v rámci da</w:t>
      </w:r>
      <w:r w:rsidRPr="0035027D">
        <w:rPr>
          <w:rFonts w:cs="Times New Roman"/>
        </w:rPr>
        <w:t>ň</w:t>
      </w:r>
      <w:r w:rsidRPr="0035027D">
        <w:t>ového systému je reforma zda</w:t>
      </w:r>
      <w:r w:rsidRPr="0035027D">
        <w:rPr>
          <w:rFonts w:cs="Times New Roman"/>
        </w:rPr>
        <w:t>ň</w:t>
      </w:r>
      <w:r w:rsidRPr="0035027D">
        <w:t>ovania nehnute</w:t>
      </w:r>
      <w:r w:rsidRPr="0035027D">
        <w:rPr>
          <w:rFonts w:cs="Times New Roman"/>
        </w:rPr>
        <w:t>ľ</w:t>
      </w:r>
      <w:r w:rsidRPr="0035027D">
        <w:t>ností, ktorá by viedla k spravodlivejšiemu zdaneniu a zárove</w:t>
      </w:r>
      <w:r w:rsidRPr="0035027D">
        <w:rPr>
          <w:rFonts w:cs="Times New Roman"/>
        </w:rPr>
        <w:t>ň</w:t>
      </w:r>
      <w:r w:rsidRPr="0035027D">
        <w:t xml:space="preserve"> by umo</w:t>
      </w:r>
      <w:r w:rsidRPr="0035027D">
        <w:rPr>
          <w:rFonts w:cs="Times New Roman"/>
        </w:rPr>
        <w:t>ž</w:t>
      </w:r>
      <w:r w:rsidRPr="0035027D">
        <w:t>nila zvýši</w:t>
      </w:r>
      <w:r w:rsidRPr="0035027D">
        <w:rPr>
          <w:rFonts w:cs="Times New Roman"/>
        </w:rPr>
        <w:t>ť</w:t>
      </w:r>
      <w:r w:rsidRPr="0035027D">
        <w:t xml:space="preserve"> da</w:t>
      </w:r>
      <w:r w:rsidRPr="0035027D">
        <w:rPr>
          <w:rFonts w:cs="Times New Roman"/>
        </w:rPr>
        <w:t>ň</w:t>
      </w:r>
      <w:r w:rsidRPr="0035027D">
        <w:t>ové príjmy verejnej správy, prípadne vytvorila priestor pre zní</w:t>
      </w:r>
      <w:r w:rsidRPr="0035027D">
        <w:rPr>
          <w:rFonts w:cs="Times New Roman"/>
        </w:rPr>
        <w:t>ž</w:t>
      </w:r>
      <w:r w:rsidRPr="0035027D">
        <w:t xml:space="preserve">enie niektorých </w:t>
      </w:r>
      <w:r w:rsidR="00E555E9" w:rsidRPr="0035027D">
        <w:t xml:space="preserve">iných daní </w:t>
      </w:r>
      <w:r w:rsidRPr="0035027D">
        <w:t>s negatívn</w:t>
      </w:r>
      <w:r w:rsidR="00E555E9" w:rsidRPr="0035027D">
        <w:t>ejším</w:t>
      </w:r>
      <w:r w:rsidRPr="0035027D">
        <w:t xml:space="preserve"> vplyvom na hospodársky rast</w:t>
      </w:r>
      <w:r w:rsidR="007C034A" w:rsidRPr="0035027D">
        <w:t xml:space="preserve"> v budúcnosti</w:t>
      </w:r>
      <w:r w:rsidRPr="0035027D">
        <w:t>. Vzh</w:t>
      </w:r>
      <w:r w:rsidRPr="0035027D">
        <w:rPr>
          <w:rFonts w:cs="Times New Roman"/>
        </w:rPr>
        <w:t>ľ</w:t>
      </w:r>
      <w:r w:rsidRPr="0035027D">
        <w:t>adom na skúsenosti v okolitých krajinách, ich menšiemu negatívnemu vplyvu na ekonomický rast, vysokej efektivite výberu a malému priestoru na vyhýbanie sa da</w:t>
      </w:r>
      <w:r w:rsidRPr="0035027D">
        <w:rPr>
          <w:rFonts w:cs="Times New Roman"/>
        </w:rPr>
        <w:t>ň</w:t>
      </w:r>
      <w:r w:rsidRPr="0035027D">
        <w:t>ovej povinnosti, by mohli zohráva</w:t>
      </w:r>
      <w:r w:rsidRPr="0035027D">
        <w:rPr>
          <w:rFonts w:cs="Times New Roman"/>
        </w:rPr>
        <w:t>ť</w:t>
      </w:r>
      <w:r w:rsidRPr="0035027D">
        <w:t xml:space="preserve"> v rámci da</w:t>
      </w:r>
      <w:r w:rsidRPr="0035027D">
        <w:rPr>
          <w:rFonts w:cs="Times New Roman"/>
        </w:rPr>
        <w:t>ň</w:t>
      </w:r>
      <w:r w:rsidRPr="0035027D">
        <w:t>ového systému významnejšiu úlohu ako tomu je v sú</w:t>
      </w:r>
      <w:r w:rsidRPr="0035027D">
        <w:rPr>
          <w:rFonts w:cs="Times New Roman"/>
        </w:rPr>
        <w:t>č</w:t>
      </w:r>
      <w:r w:rsidRPr="0035027D">
        <w:t xml:space="preserve">asnosti. </w:t>
      </w:r>
    </w:p>
    <w:p w:rsidR="006238DF" w:rsidRPr="0035027D" w:rsidRDefault="006238DF" w:rsidP="006238DF">
      <w:pPr>
        <w:spacing w:after="0" w:line="276" w:lineRule="auto"/>
      </w:pPr>
    </w:p>
    <w:p w:rsidR="006238DF" w:rsidRPr="0035027D" w:rsidRDefault="006238DF" w:rsidP="006238DF">
      <w:pPr>
        <w:spacing w:after="0"/>
      </w:pPr>
      <w:r w:rsidRPr="0035027D">
        <w:rPr>
          <w:b/>
          <w:bCs/>
        </w:rPr>
        <w:t xml:space="preserve">Dane z nehnuteľností </w:t>
      </w:r>
      <w:r w:rsidRPr="0035027D">
        <w:t xml:space="preserve">na Slovensku v porovnaní s ostatnými krajinami OECD alebo EÚ predstavujú </w:t>
      </w:r>
      <w:r w:rsidR="007C034A" w:rsidRPr="0035027D">
        <w:t xml:space="preserve">menej </w:t>
      </w:r>
      <w:r w:rsidRPr="0035027D">
        <w:t xml:space="preserve">významnú </w:t>
      </w:r>
      <w:r w:rsidRPr="0035027D">
        <w:rPr>
          <w:rFonts w:cs="Times New Roman"/>
        </w:rPr>
        <w:t>č</w:t>
      </w:r>
      <w:r w:rsidRPr="0035027D">
        <w:t>as</w:t>
      </w:r>
      <w:r w:rsidRPr="0035027D">
        <w:rPr>
          <w:rFonts w:cs="Times New Roman"/>
        </w:rPr>
        <w:t>ť</w:t>
      </w:r>
      <w:r w:rsidRPr="0035027D">
        <w:t xml:space="preserve"> da</w:t>
      </w:r>
      <w:r w:rsidRPr="0035027D">
        <w:rPr>
          <w:rFonts w:cs="Times New Roman"/>
        </w:rPr>
        <w:t>ň</w:t>
      </w:r>
      <w:r w:rsidRPr="0035027D">
        <w:t>ových príjmov územných samospráv</w:t>
      </w:r>
      <w:r w:rsidR="00DF11FB">
        <w:t xml:space="preserve">. </w:t>
      </w:r>
      <w:r w:rsidRPr="0035027D">
        <w:t>Sú</w:t>
      </w:r>
      <w:r w:rsidRPr="0035027D">
        <w:rPr>
          <w:rFonts w:cs="Times New Roman"/>
        </w:rPr>
        <w:t>č</w:t>
      </w:r>
      <w:r w:rsidRPr="0035027D">
        <w:t>asné nastavenie systému (sadzba dane v eur</w:t>
      </w:r>
      <w:r w:rsidR="007C034A" w:rsidRPr="0035027D">
        <w:t>ách</w:t>
      </w:r>
      <w:r w:rsidRPr="0035027D">
        <w:t xml:space="preserve"> pod</w:t>
      </w:r>
      <w:r w:rsidRPr="0035027D">
        <w:rPr>
          <w:rFonts w:cs="Times New Roman"/>
        </w:rPr>
        <w:t>ľ</w:t>
      </w:r>
      <w:r w:rsidRPr="0035027D">
        <w:t>a rozlohy obytnej plochy) je však nespravodlivé, preto</w:t>
      </w:r>
      <w:r w:rsidRPr="0035027D">
        <w:rPr>
          <w:rFonts w:cs="Times New Roman"/>
        </w:rPr>
        <w:t>ž</w:t>
      </w:r>
      <w:r w:rsidRPr="0035027D">
        <w:t>e základ dane neodzrkad</w:t>
      </w:r>
      <w:r w:rsidRPr="0035027D">
        <w:rPr>
          <w:rFonts w:cs="Times New Roman"/>
        </w:rPr>
        <w:t>ľ</w:t>
      </w:r>
      <w:r w:rsidRPr="0035027D">
        <w:t>uje skuto</w:t>
      </w:r>
      <w:r w:rsidRPr="0035027D">
        <w:rPr>
          <w:rFonts w:cs="Times New Roman"/>
        </w:rPr>
        <w:t>č</w:t>
      </w:r>
      <w:r w:rsidRPr="0035027D">
        <w:t>nú hodnotu nehnute</w:t>
      </w:r>
      <w:r w:rsidRPr="0035027D">
        <w:rPr>
          <w:rFonts w:cs="Times New Roman"/>
        </w:rPr>
        <w:t>ľ</w:t>
      </w:r>
      <w:r w:rsidRPr="0035027D">
        <w:t>nosti (definovanú polohou nehnute</w:t>
      </w:r>
      <w:r w:rsidRPr="0035027D">
        <w:rPr>
          <w:rFonts w:cs="Times New Roman"/>
        </w:rPr>
        <w:t>ľ</w:t>
      </w:r>
      <w:r w:rsidRPr="0035027D">
        <w:t>nosti, vekom, príslušenstvom prislúchajúcim k nehnute</w:t>
      </w:r>
      <w:r w:rsidRPr="0035027D">
        <w:rPr>
          <w:rFonts w:cs="Times New Roman"/>
        </w:rPr>
        <w:t>ľ</w:t>
      </w:r>
      <w:r w:rsidRPr="0035027D">
        <w:t xml:space="preserve">nosti a </w:t>
      </w:r>
      <w:r w:rsidRPr="0035027D">
        <w:rPr>
          <w:rFonts w:cs="Times New Roman"/>
        </w:rPr>
        <w:t>ď</w:t>
      </w:r>
      <w:r w:rsidRPr="0035027D">
        <w:t>alšími charakteristikami), ale iba výmeru. Z toho následne vychádza rôzne efektívne da</w:t>
      </w:r>
      <w:r w:rsidRPr="0035027D">
        <w:rPr>
          <w:rFonts w:cs="Times New Roman"/>
        </w:rPr>
        <w:t>ň</w:t>
      </w:r>
      <w:r w:rsidRPr="0035027D">
        <w:t>ové za</w:t>
      </w:r>
      <w:r w:rsidRPr="0035027D">
        <w:rPr>
          <w:rFonts w:cs="Times New Roman"/>
        </w:rPr>
        <w:t>ť</w:t>
      </w:r>
      <w:r w:rsidRPr="0035027D">
        <w:t>a</w:t>
      </w:r>
      <w:r w:rsidRPr="0035027D">
        <w:rPr>
          <w:rFonts w:cs="Times New Roman"/>
        </w:rPr>
        <w:t>ž</w:t>
      </w:r>
      <w:r w:rsidRPr="0035027D">
        <w:t>enie jednotlivých nehnute</w:t>
      </w:r>
      <w:r w:rsidRPr="0035027D">
        <w:rPr>
          <w:rFonts w:cs="Times New Roman"/>
        </w:rPr>
        <w:t>ľ</w:t>
      </w:r>
      <w:r w:rsidRPr="0035027D">
        <w:t>ností (podiel zaplatenej dane vo</w:t>
      </w:r>
      <w:r w:rsidRPr="0035027D">
        <w:rPr>
          <w:rFonts w:cs="Times New Roman"/>
        </w:rPr>
        <w:t>č</w:t>
      </w:r>
      <w:r w:rsidRPr="0035027D">
        <w:t>i cene nehnute</w:t>
      </w:r>
      <w:r w:rsidRPr="0035027D">
        <w:rPr>
          <w:rFonts w:cs="Times New Roman"/>
        </w:rPr>
        <w:t>ľ</w:t>
      </w:r>
      <w:r w:rsidRPr="0035027D">
        <w:t>nosti) a regresivita systému. Z poh</w:t>
      </w:r>
      <w:r w:rsidRPr="0035027D">
        <w:rPr>
          <w:rFonts w:cs="Times New Roman"/>
        </w:rPr>
        <w:t>ľ</w:t>
      </w:r>
      <w:r w:rsidRPr="0035027D">
        <w:t>adu da</w:t>
      </w:r>
      <w:r w:rsidRPr="0035027D">
        <w:rPr>
          <w:rFonts w:cs="Times New Roman"/>
        </w:rPr>
        <w:t>ň</w:t>
      </w:r>
      <w:r w:rsidRPr="0035027D">
        <w:t>ovej spravodlivosti je optimálnym riešením nastavi</w:t>
      </w:r>
      <w:r w:rsidRPr="0035027D">
        <w:rPr>
          <w:rFonts w:cs="Times New Roman"/>
        </w:rPr>
        <w:t>ť</w:t>
      </w:r>
      <w:r w:rsidRPr="0035027D">
        <w:t xml:space="preserve"> systém tak, aby bol základ dane naviazaný na </w:t>
      </w:r>
      <w:r w:rsidR="007C034A" w:rsidRPr="0035027D">
        <w:t xml:space="preserve">odhadovanú </w:t>
      </w:r>
      <w:r w:rsidRPr="0035027D">
        <w:t>trhovú hodnotu nehnute</w:t>
      </w:r>
      <w:r w:rsidRPr="0035027D">
        <w:rPr>
          <w:rFonts w:cs="Times New Roman"/>
        </w:rPr>
        <w:t>ľ</w:t>
      </w:r>
      <w:r w:rsidRPr="0035027D">
        <w:t>nosti. Takto nastavený systém by zabezpe</w:t>
      </w:r>
      <w:r w:rsidRPr="0035027D">
        <w:rPr>
          <w:rFonts w:cs="Times New Roman"/>
        </w:rPr>
        <w:t>č</w:t>
      </w:r>
      <w:r w:rsidRPr="0035027D">
        <w:t xml:space="preserve">il, </w:t>
      </w:r>
      <w:r w:rsidR="007C034A" w:rsidRPr="0035027D">
        <w:rPr>
          <w:rFonts w:cs="Times New Roman"/>
        </w:rPr>
        <w:t>aby sa</w:t>
      </w:r>
      <w:r w:rsidR="007C034A" w:rsidRPr="0035027D">
        <w:t xml:space="preserve"> </w:t>
      </w:r>
      <w:r w:rsidRPr="0035027D">
        <w:t>da</w:t>
      </w:r>
      <w:r w:rsidRPr="0035027D">
        <w:rPr>
          <w:rFonts w:cs="Times New Roman"/>
        </w:rPr>
        <w:t>ň</w:t>
      </w:r>
      <w:r w:rsidRPr="0035027D">
        <w:t>ová základ</w:t>
      </w:r>
      <w:r w:rsidRPr="0035027D">
        <w:rPr>
          <w:rFonts w:cs="Times New Roman"/>
        </w:rPr>
        <w:t>ň</w:t>
      </w:r>
      <w:r w:rsidRPr="0035027D">
        <w:t>a menila spolu s trhovou cenou nehnute</w:t>
      </w:r>
      <w:r w:rsidRPr="0035027D">
        <w:rPr>
          <w:rFonts w:cs="Times New Roman"/>
        </w:rPr>
        <w:t>ľ</w:t>
      </w:r>
      <w:r w:rsidRPr="0035027D">
        <w:t>nosti a efektívne zdanenie pri nezmenenej sadzbe by bolo konštantné. Ministerstvo financií v sú</w:t>
      </w:r>
      <w:r w:rsidRPr="0035027D">
        <w:rPr>
          <w:rFonts w:cs="Times New Roman"/>
        </w:rPr>
        <w:t>č</w:t>
      </w:r>
      <w:r w:rsidRPr="0035027D">
        <w:t>asnosti analyzuje mo</w:t>
      </w:r>
      <w:r w:rsidRPr="0035027D">
        <w:rPr>
          <w:rFonts w:cs="Times New Roman"/>
        </w:rPr>
        <w:t>ž</w:t>
      </w:r>
      <w:r w:rsidRPr="0035027D">
        <w:t>né alternatívy nastavenia systému zda</w:t>
      </w:r>
      <w:r w:rsidRPr="0035027D">
        <w:rPr>
          <w:rFonts w:cs="Times New Roman"/>
        </w:rPr>
        <w:t>ň</w:t>
      </w:r>
      <w:r w:rsidRPr="0035027D">
        <w:t>ovania, ktorý by bol zalo</w:t>
      </w:r>
      <w:r w:rsidRPr="0035027D">
        <w:rPr>
          <w:rFonts w:cs="Times New Roman"/>
        </w:rPr>
        <w:t>ž</w:t>
      </w:r>
      <w:r w:rsidRPr="0035027D">
        <w:t>ený na trhovej hodnote nehnute</w:t>
      </w:r>
      <w:r w:rsidRPr="0035027D">
        <w:rPr>
          <w:rFonts w:cs="Times New Roman"/>
        </w:rPr>
        <w:t>ľ</w:t>
      </w:r>
      <w:r w:rsidRPr="0035027D">
        <w:t xml:space="preserve">ností. Konkrétne návrhy budú hotové v priebehu roku 2013 a nový systém bude zavedený najneskôr od roku 2015. </w:t>
      </w:r>
    </w:p>
    <w:p w:rsidR="006238DF" w:rsidRPr="0035027D" w:rsidRDefault="006238DF" w:rsidP="006238DF">
      <w:pPr>
        <w:spacing w:after="0" w:line="276" w:lineRule="auto"/>
      </w:pPr>
    </w:p>
    <w:p w:rsidR="006238DF" w:rsidRPr="0035027D" w:rsidRDefault="006238DF" w:rsidP="006238DF">
      <w:pPr>
        <w:spacing w:after="0"/>
      </w:pPr>
      <w:r w:rsidRPr="0035027D">
        <w:rPr>
          <w:rFonts w:cs="Times New Roman"/>
        </w:rPr>
        <w:t>Ď</w:t>
      </w:r>
      <w:r w:rsidRPr="0035027D">
        <w:t>alšou z mo</w:t>
      </w:r>
      <w:r w:rsidRPr="0035027D">
        <w:rPr>
          <w:rFonts w:cs="Times New Roman"/>
        </w:rPr>
        <w:t>ž</w:t>
      </w:r>
      <w:r w:rsidRPr="0035027D">
        <w:t>ností zvyšovania kvality verejných financií prostredníctvom zmeny da</w:t>
      </w:r>
      <w:r w:rsidRPr="0035027D">
        <w:rPr>
          <w:rFonts w:cs="Times New Roman"/>
        </w:rPr>
        <w:t>ň</w:t>
      </w:r>
      <w:r w:rsidRPr="0035027D">
        <w:t xml:space="preserve">ového mixu je zvýšenie podielu </w:t>
      </w:r>
      <w:r w:rsidRPr="0035027D">
        <w:rPr>
          <w:b/>
          <w:bCs/>
        </w:rPr>
        <w:t xml:space="preserve">energetických daní </w:t>
      </w:r>
      <w:r w:rsidRPr="0035027D">
        <w:t>na celkovom da</w:t>
      </w:r>
      <w:r w:rsidRPr="0035027D">
        <w:rPr>
          <w:rFonts w:cs="Times New Roman"/>
        </w:rPr>
        <w:t>ň</w:t>
      </w:r>
      <w:r w:rsidRPr="0035027D">
        <w:t>ovom za</w:t>
      </w:r>
      <w:r w:rsidRPr="0035027D">
        <w:rPr>
          <w:rFonts w:cs="Times New Roman"/>
        </w:rPr>
        <w:t>ť</w:t>
      </w:r>
      <w:r w:rsidRPr="0035027D">
        <w:t>a</w:t>
      </w:r>
      <w:r w:rsidRPr="0035027D">
        <w:rPr>
          <w:rFonts w:cs="Times New Roman"/>
        </w:rPr>
        <w:t>ž</w:t>
      </w:r>
      <w:r w:rsidRPr="0035027D">
        <w:t>ení v krajine. V kontexte zvyšovania da</w:t>
      </w:r>
      <w:r w:rsidRPr="0035027D">
        <w:rPr>
          <w:rFonts w:cs="Times New Roman"/>
        </w:rPr>
        <w:t>ň</w:t>
      </w:r>
      <w:r w:rsidRPr="0035027D">
        <w:t>ového za</w:t>
      </w:r>
      <w:r w:rsidRPr="0035027D">
        <w:rPr>
          <w:rFonts w:cs="Times New Roman"/>
        </w:rPr>
        <w:t>ť</w:t>
      </w:r>
      <w:r w:rsidRPr="0035027D">
        <w:t>a</w:t>
      </w:r>
      <w:r w:rsidRPr="0035027D">
        <w:rPr>
          <w:rFonts w:cs="Times New Roman"/>
        </w:rPr>
        <w:t>ž</w:t>
      </w:r>
      <w:r w:rsidRPr="0035027D">
        <w:t>enia fosílnych palív existuje v prípade SR obmedzený priestor na zvyšovanie samotnej sadzby týchto daní. V prípade spotrebnej dane z pohonných hmôt (predovšetkým benzínu a nafty) je limitujúcim prvkom kone</w:t>
      </w:r>
      <w:r w:rsidRPr="0035027D">
        <w:rPr>
          <w:rFonts w:cs="Times New Roman"/>
        </w:rPr>
        <w:t>č</w:t>
      </w:r>
      <w:r w:rsidRPr="0035027D">
        <w:t>ná cena, ktorá by mala by</w:t>
      </w:r>
      <w:r w:rsidRPr="0035027D">
        <w:rPr>
          <w:rFonts w:cs="Times New Roman"/>
        </w:rPr>
        <w:t>ť</w:t>
      </w:r>
      <w:r w:rsidRPr="0035027D">
        <w:t xml:space="preserve"> konkurencieschopná v rámci regiónu. U</w:t>
      </w:r>
      <w:r w:rsidRPr="0035027D">
        <w:rPr>
          <w:rFonts w:cs="Times New Roman"/>
        </w:rPr>
        <w:t>ž</w:t>
      </w:r>
      <w:r w:rsidRPr="0035027D">
        <w:t xml:space="preserve"> dnes je cena benzínu vyššia ako priemerná cena v okolitých krajinách. Cena nafty, ktorej spotreba je ve</w:t>
      </w:r>
      <w:r w:rsidRPr="0035027D">
        <w:rPr>
          <w:rFonts w:cs="Times New Roman"/>
        </w:rPr>
        <w:t>ľ</w:t>
      </w:r>
      <w:r w:rsidRPr="0035027D">
        <w:t>mi cenovo elastická, u</w:t>
      </w:r>
      <w:r w:rsidRPr="0035027D">
        <w:rPr>
          <w:rFonts w:cs="Times New Roman"/>
        </w:rPr>
        <w:t>ž</w:t>
      </w:r>
      <w:r w:rsidRPr="0035027D">
        <w:t xml:space="preserve"> dnes dosahuje priemernú úrove</w:t>
      </w:r>
      <w:r w:rsidRPr="0035027D">
        <w:rPr>
          <w:rFonts w:cs="Times New Roman"/>
        </w:rPr>
        <w:t>ň</w:t>
      </w:r>
      <w:r w:rsidRPr="0035027D">
        <w:t xml:space="preserve"> v rámci regiónu. Privysoké da</w:t>
      </w:r>
      <w:r w:rsidRPr="0035027D">
        <w:rPr>
          <w:rFonts w:cs="Times New Roman"/>
        </w:rPr>
        <w:t>ň</w:t>
      </w:r>
      <w:r w:rsidRPr="0035027D">
        <w:t>ové za</w:t>
      </w:r>
      <w:r w:rsidRPr="0035027D">
        <w:rPr>
          <w:rFonts w:cs="Times New Roman"/>
        </w:rPr>
        <w:t>ť</w:t>
      </w:r>
      <w:r w:rsidRPr="0035027D">
        <w:t>a</w:t>
      </w:r>
      <w:r w:rsidRPr="0035027D">
        <w:rPr>
          <w:rFonts w:cs="Times New Roman"/>
        </w:rPr>
        <w:t>ž</w:t>
      </w:r>
      <w:r w:rsidRPr="0035027D">
        <w:t>enie pohonných hmôt by preto v prípade SR vzh</w:t>
      </w:r>
      <w:r w:rsidRPr="0035027D">
        <w:rPr>
          <w:rFonts w:cs="Times New Roman"/>
        </w:rPr>
        <w:t>ľ</w:t>
      </w:r>
      <w:r w:rsidRPr="0035027D">
        <w:t>adom na jeho geografické špecifiká predstavovalo riziko nenaplnenia o</w:t>
      </w:r>
      <w:r w:rsidRPr="0035027D">
        <w:rPr>
          <w:rFonts w:cs="Times New Roman"/>
        </w:rPr>
        <w:t>č</w:t>
      </w:r>
      <w:r w:rsidRPr="0035027D">
        <w:t xml:space="preserve">akávaného výnosu dane. </w:t>
      </w:r>
    </w:p>
    <w:p w:rsidR="006238DF" w:rsidRPr="0035027D" w:rsidRDefault="006238DF" w:rsidP="006238DF">
      <w:pPr>
        <w:spacing w:after="0" w:line="276" w:lineRule="auto"/>
      </w:pPr>
    </w:p>
    <w:p w:rsidR="00837811" w:rsidRPr="0035027D" w:rsidRDefault="006238DF" w:rsidP="00837811">
      <w:pPr>
        <w:spacing w:after="0"/>
        <w:rPr>
          <w:szCs w:val="36"/>
        </w:rPr>
      </w:pPr>
      <w:r w:rsidRPr="0035027D">
        <w:t>Výraznejšie zvýšenie sadzieb u ostatných energetických daní (elektrina, uhlie, zemný plyn) by pôsobilo mimoriadne regresívne, t.j. dochádzalo by k neúmernému za</w:t>
      </w:r>
      <w:r w:rsidRPr="0035027D">
        <w:rPr>
          <w:rFonts w:cs="Times New Roman"/>
        </w:rPr>
        <w:t>ť</w:t>
      </w:r>
      <w:r w:rsidRPr="0035027D">
        <w:t>a</w:t>
      </w:r>
      <w:r w:rsidRPr="0035027D">
        <w:rPr>
          <w:rFonts w:cs="Times New Roman"/>
        </w:rPr>
        <w:t>ž</w:t>
      </w:r>
      <w:r w:rsidRPr="0035027D">
        <w:t>eniu nízkopríjmových domácností, nako</w:t>
      </w:r>
      <w:r w:rsidRPr="0035027D">
        <w:rPr>
          <w:rFonts w:cs="Times New Roman"/>
        </w:rPr>
        <w:t>ľ</w:t>
      </w:r>
      <w:r w:rsidRPr="0035027D">
        <w:t>ko v podmienkach Slovenska v sú</w:t>
      </w:r>
      <w:r w:rsidRPr="0035027D">
        <w:rPr>
          <w:rFonts w:cs="Times New Roman"/>
        </w:rPr>
        <w:t>č</w:t>
      </w:r>
      <w:r w:rsidRPr="0035027D">
        <w:t>asnosti na základe samotnej spotreby predovšetkým zemného plynu nie je mo</w:t>
      </w:r>
      <w:r w:rsidRPr="0035027D">
        <w:rPr>
          <w:rFonts w:cs="Times New Roman"/>
        </w:rPr>
        <w:t>ž</w:t>
      </w:r>
      <w:r w:rsidRPr="0035027D">
        <w:t>né dostato</w:t>
      </w:r>
      <w:r w:rsidRPr="0035027D">
        <w:rPr>
          <w:rFonts w:cs="Times New Roman"/>
        </w:rPr>
        <w:t>č</w:t>
      </w:r>
      <w:r w:rsidRPr="0035027D">
        <w:t>ne spo</w:t>
      </w:r>
      <w:r w:rsidRPr="0035027D">
        <w:rPr>
          <w:rFonts w:cs="Times New Roman"/>
        </w:rPr>
        <w:t>ľ</w:t>
      </w:r>
      <w:r w:rsidRPr="0035027D">
        <w:t>ahlivo odhadnú</w:t>
      </w:r>
      <w:r w:rsidRPr="0035027D">
        <w:rPr>
          <w:rFonts w:cs="Times New Roman"/>
        </w:rPr>
        <w:t>ť</w:t>
      </w:r>
      <w:r w:rsidRPr="0035027D">
        <w:t xml:space="preserve"> reálne bohatstvo domácnosti. V prípade SR však zvyšovanie sadzieb nepredstavuje jedinú alternatívu zvýšenia podielu energetických daní na da</w:t>
      </w:r>
      <w:r w:rsidRPr="0035027D">
        <w:rPr>
          <w:rFonts w:cs="Times New Roman"/>
        </w:rPr>
        <w:t>ň</w:t>
      </w:r>
      <w:r w:rsidRPr="0035027D">
        <w:t>ovom mixe krajiny. Na Slovensku v sú</w:t>
      </w:r>
      <w:r w:rsidRPr="0035027D">
        <w:rPr>
          <w:rFonts w:cs="Times New Roman"/>
        </w:rPr>
        <w:t>č</w:t>
      </w:r>
      <w:r w:rsidRPr="0035027D">
        <w:t>asnosti existuje relatívne vysoký po</w:t>
      </w:r>
      <w:r w:rsidRPr="0035027D">
        <w:rPr>
          <w:rFonts w:cs="Times New Roman"/>
        </w:rPr>
        <w:t>č</w:t>
      </w:r>
      <w:r w:rsidRPr="0035027D">
        <w:t>et fakultatívnych (t.j. dobrovo</w:t>
      </w:r>
      <w:r w:rsidRPr="0035027D">
        <w:rPr>
          <w:rFonts w:cs="Times New Roman"/>
        </w:rPr>
        <w:t>ľ</w:t>
      </w:r>
      <w:r w:rsidRPr="0035027D">
        <w:t>ných) oslobodení u spomenutých energetických daní (elektrina, uhlie, zemný plyn). Ich zrušenie by prispelo k zvýšeniu výnosu o pribli</w:t>
      </w:r>
      <w:r w:rsidRPr="0035027D">
        <w:rPr>
          <w:rFonts w:cs="Times New Roman"/>
        </w:rPr>
        <w:t>ž</w:t>
      </w:r>
      <w:r w:rsidRPr="0035027D">
        <w:t>ne 50 mil. eur ro</w:t>
      </w:r>
      <w:r w:rsidRPr="0035027D">
        <w:rPr>
          <w:rFonts w:cs="Times New Roman"/>
        </w:rPr>
        <w:t>č</w:t>
      </w:r>
      <w:r w:rsidRPr="0035027D">
        <w:t>ne.</w:t>
      </w:r>
    </w:p>
    <w:p w:rsidR="00837811" w:rsidRPr="0035027D" w:rsidRDefault="00837811" w:rsidP="003B09AF">
      <w:pPr>
        <w:spacing w:after="0"/>
        <w:rPr>
          <w:b/>
          <w:i/>
        </w:rPr>
      </w:pPr>
    </w:p>
    <w:p w:rsidR="003B09AF" w:rsidRPr="0035027D" w:rsidRDefault="003B09AF" w:rsidP="003B09AF">
      <w:pPr>
        <w:spacing w:after="0"/>
        <w:rPr>
          <w:b/>
          <w:i/>
        </w:rPr>
      </w:pPr>
      <w:r w:rsidRPr="0035027D">
        <w:rPr>
          <w:b/>
          <w:i/>
        </w:rPr>
        <w:t>Efektívnosť výberu daní</w:t>
      </w:r>
    </w:p>
    <w:p w:rsidR="003B09AF" w:rsidRPr="0035027D" w:rsidRDefault="003B09AF" w:rsidP="003B09AF">
      <w:pPr>
        <w:spacing w:after="0"/>
      </w:pPr>
    </w:p>
    <w:p w:rsidR="00B214E7" w:rsidRPr="0035027D" w:rsidRDefault="00292111" w:rsidP="00B214E7">
      <w:pPr>
        <w:spacing w:after="0"/>
      </w:pPr>
      <w:r w:rsidRPr="0035027D">
        <w:rPr>
          <w:rFonts w:eastAsiaTheme="minorHAnsi" w:cstheme="minorBidi"/>
          <w:szCs w:val="36"/>
          <w:lang w:eastAsia="en-US"/>
        </w:rPr>
        <w:t>Vláda v máji 2012 prijala Ak</w:t>
      </w:r>
      <w:r w:rsidRPr="0035027D">
        <w:rPr>
          <w:rFonts w:eastAsiaTheme="minorHAnsi" w:cs="Times New Roman"/>
          <w:szCs w:val="36"/>
          <w:lang w:eastAsia="en-US"/>
        </w:rPr>
        <w:t>č</w:t>
      </w:r>
      <w:r w:rsidRPr="0035027D">
        <w:rPr>
          <w:rFonts w:eastAsiaTheme="minorHAnsi" w:cstheme="minorBidi"/>
          <w:szCs w:val="36"/>
          <w:lang w:eastAsia="en-US"/>
        </w:rPr>
        <w:t>ný plán boja proti da</w:t>
      </w:r>
      <w:r w:rsidRPr="0035027D">
        <w:rPr>
          <w:rFonts w:eastAsiaTheme="minorHAnsi" w:cs="Times New Roman"/>
          <w:szCs w:val="36"/>
          <w:lang w:eastAsia="en-US"/>
        </w:rPr>
        <w:t>ň</w:t>
      </w:r>
      <w:r w:rsidRPr="0035027D">
        <w:rPr>
          <w:rFonts w:eastAsiaTheme="minorHAnsi" w:cstheme="minorBidi"/>
          <w:szCs w:val="36"/>
          <w:lang w:eastAsia="en-US"/>
        </w:rPr>
        <w:t xml:space="preserve">ovým podvodom, ktorý obsahuje 50 konkrétnych opatrení zameraných hlavne na zvýšenie výberu dane z pridanej hodnoty. </w:t>
      </w:r>
      <w:r w:rsidR="003D1D23" w:rsidRPr="0035027D">
        <w:rPr>
          <w:rFonts w:eastAsiaTheme="minorHAnsi" w:cstheme="minorBidi"/>
          <w:szCs w:val="36"/>
          <w:lang w:eastAsia="en-US"/>
        </w:rPr>
        <w:t>Vláda doteraz</w:t>
      </w:r>
      <w:r w:rsidRPr="0035027D">
        <w:rPr>
          <w:rFonts w:eastAsiaTheme="minorHAnsi" w:cstheme="minorBidi"/>
          <w:szCs w:val="36"/>
          <w:lang w:eastAsia="en-US"/>
        </w:rPr>
        <w:t> schválila nieko</w:t>
      </w:r>
      <w:r w:rsidRPr="0035027D">
        <w:rPr>
          <w:rFonts w:eastAsiaTheme="minorHAnsi" w:cs="Times New Roman"/>
          <w:szCs w:val="36"/>
          <w:lang w:eastAsia="en-US"/>
        </w:rPr>
        <w:t>ľ</w:t>
      </w:r>
      <w:r w:rsidRPr="0035027D">
        <w:rPr>
          <w:rFonts w:eastAsiaTheme="minorHAnsi" w:cstheme="minorBidi"/>
          <w:szCs w:val="36"/>
          <w:lang w:eastAsia="en-US"/>
        </w:rPr>
        <w:t xml:space="preserve">ko novelizácií súvisiacich zákonov. </w:t>
      </w:r>
      <w:r w:rsidR="003D1D23" w:rsidRPr="0035027D">
        <w:t>V </w:t>
      </w:r>
      <w:r w:rsidR="003D1D23" w:rsidRPr="0035027D">
        <w:rPr>
          <w:rFonts w:eastAsiaTheme="minorHAnsi" w:cstheme="minorBidi"/>
          <w:b/>
          <w:szCs w:val="36"/>
          <w:lang w:eastAsia="en-US"/>
        </w:rPr>
        <w:t>druhej</w:t>
      </w:r>
      <w:r w:rsidR="003D1D23" w:rsidRPr="0035027D">
        <w:rPr>
          <w:b/>
        </w:rPr>
        <w:t xml:space="preserve"> a tretej plánovanej fáze</w:t>
      </w:r>
      <w:r w:rsidR="003D1D23" w:rsidRPr="0035027D">
        <w:t xml:space="preserve"> Ak</w:t>
      </w:r>
      <w:r w:rsidR="003D1D23" w:rsidRPr="0035027D">
        <w:rPr>
          <w:rFonts w:cs="Times New Roman"/>
        </w:rPr>
        <w:t>č</w:t>
      </w:r>
      <w:r w:rsidR="003D1D23" w:rsidRPr="0035027D">
        <w:t>ného plánu boja proti da</w:t>
      </w:r>
      <w:r w:rsidR="003D1D23" w:rsidRPr="0035027D">
        <w:rPr>
          <w:rFonts w:cs="Times New Roman"/>
        </w:rPr>
        <w:t>ň</w:t>
      </w:r>
      <w:r w:rsidR="003D1D23" w:rsidRPr="0035027D">
        <w:t>ovým podvodom sa zavedie povinnos</w:t>
      </w:r>
      <w:r w:rsidR="003D1D23" w:rsidRPr="0035027D">
        <w:rPr>
          <w:rFonts w:cs="Times New Roman"/>
        </w:rPr>
        <w:t>ť</w:t>
      </w:r>
      <w:r w:rsidR="003D1D23" w:rsidRPr="0035027D">
        <w:t xml:space="preserve"> predklada</w:t>
      </w:r>
      <w:r w:rsidR="003D1D23" w:rsidRPr="0035027D">
        <w:rPr>
          <w:rFonts w:cs="Times New Roman"/>
        </w:rPr>
        <w:t>ť</w:t>
      </w:r>
      <w:r w:rsidR="003D1D23" w:rsidRPr="0035027D">
        <w:t xml:space="preserve"> údaje o tuzemských dodávkach tovarov a slu</w:t>
      </w:r>
      <w:r w:rsidR="003D1D23" w:rsidRPr="0035027D">
        <w:rPr>
          <w:rFonts w:cs="Times New Roman"/>
        </w:rPr>
        <w:t>ž</w:t>
      </w:r>
      <w:r w:rsidR="003D1D23" w:rsidRPr="0035027D">
        <w:t>ieb správcovi dane elektronickou formou (</w:t>
      </w:r>
      <w:r w:rsidR="0086634B" w:rsidRPr="0035027D">
        <w:t>kontrolný</w:t>
      </w:r>
      <w:r w:rsidR="003D1D23" w:rsidRPr="0035027D">
        <w:t xml:space="preserve"> výkaz). Toto riešenie umo</w:t>
      </w:r>
      <w:r w:rsidR="003D1D23" w:rsidRPr="0035027D">
        <w:rPr>
          <w:rFonts w:cs="Times New Roman"/>
        </w:rPr>
        <w:t>ž</w:t>
      </w:r>
      <w:r w:rsidR="003D1D23" w:rsidRPr="0035027D">
        <w:t>ní efektívnejší výber daní prostredníctvom analýzy detailných údajov z podnikate</w:t>
      </w:r>
      <w:r w:rsidR="003D1D23" w:rsidRPr="0035027D">
        <w:rPr>
          <w:rFonts w:cs="Times New Roman"/>
        </w:rPr>
        <w:t>ľ</w:t>
      </w:r>
      <w:r w:rsidR="003D1D23" w:rsidRPr="0035027D">
        <w:t xml:space="preserve">skej sféry v reálnom </w:t>
      </w:r>
      <w:r w:rsidR="003D1D23" w:rsidRPr="0035027D">
        <w:rPr>
          <w:rFonts w:cs="Times New Roman"/>
        </w:rPr>
        <w:t>č</w:t>
      </w:r>
      <w:r w:rsidR="003D1D23" w:rsidRPr="0035027D">
        <w:t>ase a cielenejších da</w:t>
      </w:r>
      <w:r w:rsidR="003D1D23" w:rsidRPr="0035027D">
        <w:rPr>
          <w:rFonts w:cs="Times New Roman"/>
        </w:rPr>
        <w:t>ň</w:t>
      </w:r>
      <w:r w:rsidR="003D1D23" w:rsidRPr="0035027D">
        <w:t>ových kontrol. Pribudne povinný rating da</w:t>
      </w:r>
      <w:r w:rsidR="003D1D23" w:rsidRPr="0035027D">
        <w:rPr>
          <w:rFonts w:cs="Times New Roman"/>
        </w:rPr>
        <w:t>ň</w:t>
      </w:r>
      <w:r w:rsidR="003D1D23" w:rsidRPr="0035027D">
        <w:t>ových subjektov informujúci o ich finan</w:t>
      </w:r>
      <w:r w:rsidR="003D1D23" w:rsidRPr="0035027D">
        <w:rPr>
          <w:rFonts w:cs="Times New Roman"/>
        </w:rPr>
        <w:t>č</w:t>
      </w:r>
      <w:r w:rsidR="003D1D23" w:rsidRPr="0035027D">
        <w:t>nej stabilite a da</w:t>
      </w:r>
      <w:r w:rsidR="003D1D23" w:rsidRPr="0035027D">
        <w:rPr>
          <w:rFonts w:cs="Times New Roman"/>
        </w:rPr>
        <w:t>ň</w:t>
      </w:r>
      <w:r w:rsidR="003D1D23" w:rsidRPr="0035027D">
        <w:t>ovej spo</w:t>
      </w:r>
      <w:r w:rsidR="003D1D23" w:rsidRPr="0035027D">
        <w:rPr>
          <w:rFonts w:cs="Times New Roman"/>
        </w:rPr>
        <w:t>ľ</w:t>
      </w:r>
      <w:r w:rsidR="003D1D23" w:rsidRPr="0035027D">
        <w:t>ahlivosti. Finan</w:t>
      </w:r>
      <w:r w:rsidR="003D1D23" w:rsidRPr="0035027D">
        <w:rPr>
          <w:rFonts w:cs="Times New Roman"/>
        </w:rPr>
        <w:t>č</w:t>
      </w:r>
      <w:r w:rsidR="003D1D23" w:rsidRPr="0035027D">
        <w:t>né riadite</w:t>
      </w:r>
      <w:r w:rsidR="003D1D23" w:rsidRPr="0035027D">
        <w:rPr>
          <w:rFonts w:cs="Times New Roman"/>
        </w:rPr>
        <w:t>ľ</w:t>
      </w:r>
      <w:r w:rsidR="003D1D23" w:rsidRPr="0035027D">
        <w:t>stvo zabezpe</w:t>
      </w:r>
      <w:r w:rsidR="003D1D23" w:rsidRPr="0035027D">
        <w:rPr>
          <w:rFonts w:cs="Times New Roman"/>
        </w:rPr>
        <w:t>č</w:t>
      </w:r>
      <w:r w:rsidR="003D1D23" w:rsidRPr="0035027D">
        <w:t xml:space="preserve">í prepojenie </w:t>
      </w:r>
      <w:r w:rsidR="003D1D23" w:rsidRPr="0035027D">
        <w:lastRenderedPageBreak/>
        <w:t>svojich databáz so systémami bánk, stavebných úradov, registrami motorových vozidiel a obyvate</w:t>
      </w:r>
      <w:r w:rsidR="003D1D23" w:rsidRPr="0035027D">
        <w:rPr>
          <w:rFonts w:cs="Times New Roman"/>
        </w:rPr>
        <w:t>ľ</w:t>
      </w:r>
      <w:r w:rsidR="003D1D23" w:rsidRPr="0035027D">
        <w:t xml:space="preserve">ov, a mýtnym systémom a následne vykoná identifikáciu a analýzu </w:t>
      </w:r>
      <w:r w:rsidR="003D1D23" w:rsidRPr="0035027D">
        <w:rPr>
          <w:rFonts w:eastAsiaTheme="minorHAnsi" w:cstheme="minorBidi"/>
          <w:lang w:eastAsia="en-US"/>
        </w:rPr>
        <w:t>rizík v správe daní a výberu subjektov na da</w:t>
      </w:r>
      <w:r w:rsidR="003D1D23" w:rsidRPr="0035027D">
        <w:rPr>
          <w:rFonts w:eastAsiaTheme="minorHAnsi" w:cs="Times New Roman"/>
          <w:lang w:eastAsia="en-US"/>
        </w:rPr>
        <w:t>ň</w:t>
      </w:r>
      <w:r w:rsidR="003D1D23" w:rsidRPr="0035027D">
        <w:rPr>
          <w:rFonts w:eastAsiaTheme="minorHAnsi" w:cstheme="minorBidi"/>
          <w:lang w:eastAsia="en-US"/>
        </w:rPr>
        <w:t>ovú kontrolu</w:t>
      </w:r>
      <w:r w:rsidR="003D1D23" w:rsidRPr="0035027D">
        <w:t>. Zavedie sa špecializácia súdov na da</w:t>
      </w:r>
      <w:r w:rsidR="003D1D23" w:rsidRPr="0035027D">
        <w:rPr>
          <w:rFonts w:cs="Times New Roman"/>
        </w:rPr>
        <w:t>ň</w:t>
      </w:r>
      <w:r w:rsidR="003D1D23" w:rsidRPr="0035027D">
        <w:t>ovú oblas</w:t>
      </w:r>
      <w:r w:rsidR="003D1D23" w:rsidRPr="0035027D">
        <w:rPr>
          <w:rFonts w:cs="Times New Roman"/>
        </w:rPr>
        <w:t>ť</w:t>
      </w:r>
      <w:r w:rsidR="003D1D23" w:rsidRPr="0035027D">
        <w:t xml:space="preserve">. </w:t>
      </w:r>
    </w:p>
    <w:p w:rsidR="00B214E7" w:rsidRPr="0035027D" w:rsidRDefault="00B214E7" w:rsidP="00B214E7">
      <w:pPr>
        <w:spacing w:after="0"/>
      </w:pPr>
    </w:p>
    <w:p w:rsidR="00B214E7" w:rsidRPr="0035027D" w:rsidRDefault="0086634B" w:rsidP="00B214E7">
      <w:pPr>
        <w:spacing w:after="0"/>
        <w:rPr>
          <w:rFonts w:eastAsiaTheme="minorHAnsi" w:cstheme="minorBidi"/>
          <w:szCs w:val="36"/>
          <w:lang w:eastAsia="en-US"/>
        </w:rPr>
      </w:pPr>
      <w:r w:rsidRPr="0035027D">
        <w:rPr>
          <w:rFonts w:eastAsiaTheme="minorHAnsi" w:cstheme="minorBidi"/>
          <w:lang w:eastAsia="en-US"/>
        </w:rPr>
        <w:t xml:space="preserve">Napriek tomu, </w:t>
      </w:r>
      <w:r w:rsidRPr="0035027D">
        <w:rPr>
          <w:rFonts w:eastAsiaTheme="minorHAnsi" w:cs="Times New Roman"/>
          <w:lang w:eastAsia="en-US"/>
        </w:rPr>
        <w:t>ž</w:t>
      </w:r>
      <w:r w:rsidRPr="0035027D">
        <w:rPr>
          <w:rFonts w:eastAsiaTheme="minorHAnsi" w:cstheme="minorBidi"/>
          <w:lang w:eastAsia="en-US"/>
        </w:rPr>
        <w:t>e všetky opatrenia Ak</w:t>
      </w:r>
      <w:r w:rsidRPr="0035027D">
        <w:rPr>
          <w:rFonts w:eastAsiaTheme="minorHAnsi" w:cs="Times New Roman"/>
          <w:lang w:eastAsia="en-US"/>
        </w:rPr>
        <w:t>č</w:t>
      </w:r>
      <w:r w:rsidRPr="0035027D">
        <w:rPr>
          <w:rFonts w:eastAsiaTheme="minorHAnsi" w:cstheme="minorBidi"/>
          <w:lang w:eastAsia="en-US"/>
        </w:rPr>
        <w:t>ného plánu boja proti da</w:t>
      </w:r>
      <w:r w:rsidRPr="0035027D">
        <w:rPr>
          <w:rFonts w:eastAsiaTheme="minorHAnsi" w:cs="Times New Roman"/>
          <w:lang w:eastAsia="en-US"/>
        </w:rPr>
        <w:t>ň</w:t>
      </w:r>
      <w:r w:rsidRPr="0035027D">
        <w:rPr>
          <w:rFonts w:eastAsiaTheme="minorHAnsi" w:cstheme="minorBidi"/>
          <w:lang w:eastAsia="en-US"/>
        </w:rPr>
        <w:t>ovým podvodom na roky 2012 – 2016 sa plnia v zmysle stanoveného harmonogramu, nemo</w:t>
      </w:r>
      <w:r w:rsidRPr="0035027D">
        <w:rPr>
          <w:rFonts w:eastAsiaTheme="minorHAnsi" w:cs="Times New Roman"/>
          <w:lang w:eastAsia="en-US"/>
        </w:rPr>
        <w:t>ž</w:t>
      </w:r>
      <w:r w:rsidRPr="0035027D">
        <w:rPr>
          <w:rFonts w:eastAsiaTheme="minorHAnsi" w:cstheme="minorBidi"/>
          <w:lang w:eastAsia="en-US"/>
        </w:rPr>
        <w:t>no pova</w:t>
      </w:r>
      <w:r w:rsidRPr="0035027D">
        <w:rPr>
          <w:rFonts w:eastAsiaTheme="minorHAnsi" w:cs="Times New Roman"/>
          <w:lang w:eastAsia="en-US"/>
        </w:rPr>
        <w:t>ž</w:t>
      </w:r>
      <w:r w:rsidRPr="0035027D">
        <w:rPr>
          <w:rFonts w:eastAsiaTheme="minorHAnsi" w:cstheme="minorBidi"/>
          <w:lang w:eastAsia="en-US"/>
        </w:rPr>
        <w:t>ova</w:t>
      </w:r>
      <w:r w:rsidRPr="0035027D">
        <w:rPr>
          <w:rFonts w:eastAsiaTheme="minorHAnsi" w:cs="Times New Roman"/>
          <w:lang w:eastAsia="en-US"/>
        </w:rPr>
        <w:t>ť</w:t>
      </w:r>
      <w:r w:rsidRPr="0035027D">
        <w:rPr>
          <w:rFonts w:eastAsiaTheme="minorHAnsi" w:cstheme="minorBidi"/>
          <w:lang w:eastAsia="en-US"/>
        </w:rPr>
        <w:t xml:space="preserve"> úsilie smerujúce na boj proti podvodom za ukon</w:t>
      </w:r>
      <w:r w:rsidRPr="0035027D">
        <w:rPr>
          <w:rFonts w:eastAsiaTheme="minorHAnsi" w:cs="Times New Roman"/>
          <w:lang w:eastAsia="en-US"/>
        </w:rPr>
        <w:t>č</w:t>
      </w:r>
      <w:r w:rsidRPr="0035027D">
        <w:rPr>
          <w:rFonts w:eastAsiaTheme="minorHAnsi" w:cstheme="minorBidi"/>
          <w:lang w:eastAsia="en-US"/>
        </w:rPr>
        <w:t>ené. Spolo</w:t>
      </w:r>
      <w:r w:rsidRPr="0035027D">
        <w:rPr>
          <w:rFonts w:eastAsiaTheme="minorHAnsi" w:cs="Times New Roman"/>
          <w:lang w:eastAsia="en-US"/>
        </w:rPr>
        <w:t>č</w:t>
      </w:r>
      <w:r w:rsidRPr="0035027D">
        <w:rPr>
          <w:rFonts w:eastAsiaTheme="minorHAnsi" w:cstheme="minorBidi"/>
          <w:lang w:eastAsia="en-US"/>
        </w:rPr>
        <w:t>nou ambíciou MF SR a Finan</w:t>
      </w:r>
      <w:r w:rsidRPr="0035027D">
        <w:rPr>
          <w:rFonts w:eastAsiaTheme="minorHAnsi" w:cs="Times New Roman"/>
          <w:lang w:eastAsia="en-US"/>
        </w:rPr>
        <w:t>č</w:t>
      </w:r>
      <w:r w:rsidRPr="0035027D">
        <w:rPr>
          <w:rFonts w:eastAsiaTheme="minorHAnsi" w:cstheme="minorBidi"/>
          <w:lang w:eastAsia="en-US"/>
        </w:rPr>
        <w:t>nej správy SR v sú</w:t>
      </w:r>
      <w:r w:rsidRPr="0035027D">
        <w:rPr>
          <w:rFonts w:eastAsiaTheme="minorHAnsi" w:cs="Times New Roman"/>
          <w:lang w:eastAsia="en-US"/>
        </w:rPr>
        <w:t>č</w:t>
      </w:r>
      <w:r w:rsidRPr="0035027D">
        <w:rPr>
          <w:rFonts w:eastAsiaTheme="minorHAnsi" w:cstheme="minorBidi"/>
          <w:lang w:eastAsia="en-US"/>
        </w:rPr>
        <w:t>asnosti je postupné rozširovanie u</w:t>
      </w:r>
      <w:r w:rsidRPr="0035027D">
        <w:rPr>
          <w:rFonts w:eastAsiaTheme="minorHAnsi" w:cs="Times New Roman"/>
          <w:lang w:eastAsia="en-US"/>
        </w:rPr>
        <w:t>ž</w:t>
      </w:r>
      <w:r w:rsidRPr="0035027D">
        <w:rPr>
          <w:rFonts w:eastAsiaTheme="minorHAnsi" w:cstheme="minorBidi"/>
          <w:lang w:eastAsia="en-US"/>
        </w:rPr>
        <w:t xml:space="preserve"> schválených opatrení na boj proti podvodom o nové tak, ako ich prijatie vy</w:t>
      </w:r>
      <w:r w:rsidRPr="0035027D">
        <w:rPr>
          <w:rFonts w:eastAsiaTheme="minorHAnsi" w:cs="Times New Roman"/>
          <w:lang w:eastAsia="en-US"/>
        </w:rPr>
        <w:t>ž</w:t>
      </w:r>
      <w:r w:rsidRPr="0035027D">
        <w:rPr>
          <w:rFonts w:eastAsiaTheme="minorHAnsi" w:cstheme="minorBidi"/>
          <w:lang w:eastAsia="en-US"/>
        </w:rPr>
        <w:t>adujú zistenia z aplika</w:t>
      </w:r>
      <w:r w:rsidRPr="0035027D">
        <w:rPr>
          <w:rFonts w:eastAsiaTheme="minorHAnsi" w:cs="Times New Roman"/>
          <w:lang w:eastAsia="en-US"/>
        </w:rPr>
        <w:t>č</w:t>
      </w:r>
      <w:r w:rsidRPr="0035027D">
        <w:rPr>
          <w:rFonts w:eastAsiaTheme="minorHAnsi" w:cstheme="minorBidi"/>
          <w:lang w:eastAsia="en-US"/>
        </w:rPr>
        <w:t>nej praxe.</w:t>
      </w:r>
      <w:r w:rsidRPr="0035027D">
        <w:rPr>
          <w:rFonts w:eastAsiaTheme="minorHAnsi" w:cstheme="minorBidi"/>
          <w:szCs w:val="36"/>
          <w:lang w:eastAsia="en-US"/>
        </w:rPr>
        <w:t xml:space="preserve"> V sú</w:t>
      </w:r>
      <w:r w:rsidRPr="0035027D">
        <w:rPr>
          <w:rFonts w:eastAsiaTheme="minorHAnsi" w:cs="Times New Roman"/>
          <w:szCs w:val="36"/>
          <w:lang w:eastAsia="en-US"/>
        </w:rPr>
        <w:t>č</w:t>
      </w:r>
      <w:r w:rsidRPr="0035027D">
        <w:rPr>
          <w:rFonts w:eastAsiaTheme="minorHAnsi" w:cstheme="minorBidi"/>
          <w:szCs w:val="36"/>
          <w:lang w:eastAsia="en-US"/>
        </w:rPr>
        <w:t>asnosti sa posudzuje pou</w:t>
      </w:r>
      <w:r w:rsidRPr="0035027D">
        <w:rPr>
          <w:rFonts w:eastAsiaTheme="minorHAnsi" w:cs="Times New Roman"/>
          <w:szCs w:val="36"/>
          <w:lang w:eastAsia="en-US"/>
        </w:rPr>
        <w:t>ž</w:t>
      </w:r>
      <w:r w:rsidRPr="0035027D">
        <w:rPr>
          <w:rFonts w:eastAsiaTheme="minorHAnsi" w:cstheme="minorBidi"/>
          <w:szCs w:val="36"/>
          <w:lang w:eastAsia="en-US"/>
        </w:rPr>
        <w:t>itie nástrojov na ochranu vnútroštátneho základu dane pred eróziou spôsobenou cezhrani</w:t>
      </w:r>
      <w:r w:rsidRPr="0035027D">
        <w:rPr>
          <w:rFonts w:eastAsiaTheme="minorHAnsi" w:cs="Times New Roman"/>
          <w:szCs w:val="36"/>
          <w:lang w:eastAsia="en-US"/>
        </w:rPr>
        <w:t>č</w:t>
      </w:r>
      <w:r w:rsidRPr="0035027D">
        <w:rPr>
          <w:rFonts w:eastAsiaTheme="minorHAnsi" w:cstheme="minorBidi"/>
          <w:szCs w:val="36"/>
          <w:lang w:eastAsia="en-US"/>
        </w:rPr>
        <w:t>ným da</w:t>
      </w:r>
      <w:r w:rsidRPr="0035027D">
        <w:rPr>
          <w:rFonts w:eastAsiaTheme="minorHAnsi" w:cs="Times New Roman"/>
          <w:szCs w:val="36"/>
          <w:lang w:eastAsia="en-US"/>
        </w:rPr>
        <w:t>ň</w:t>
      </w:r>
      <w:r w:rsidRPr="0035027D">
        <w:rPr>
          <w:rFonts w:eastAsiaTheme="minorHAnsi" w:cstheme="minorBidi"/>
          <w:szCs w:val="36"/>
          <w:lang w:eastAsia="en-US"/>
        </w:rPr>
        <w:t xml:space="preserve">ovým plánovaním v nadväznosti na </w:t>
      </w:r>
      <w:r w:rsidRPr="0035027D">
        <w:rPr>
          <w:rFonts w:eastAsiaTheme="minorHAnsi" w:cs="Times New Roman"/>
          <w:szCs w:val="36"/>
          <w:lang w:eastAsia="en-US"/>
        </w:rPr>
        <w:t>č</w:t>
      </w:r>
      <w:r w:rsidRPr="0035027D">
        <w:rPr>
          <w:rFonts w:eastAsiaTheme="minorHAnsi" w:cstheme="minorBidi"/>
          <w:szCs w:val="36"/>
          <w:lang w:eastAsia="en-US"/>
        </w:rPr>
        <w:t>o sa pripraví príslušná legislatíva s predpokladanou ú</w:t>
      </w:r>
      <w:r w:rsidRPr="0035027D">
        <w:rPr>
          <w:rFonts w:eastAsiaTheme="minorHAnsi" w:cs="Times New Roman"/>
          <w:szCs w:val="36"/>
          <w:lang w:eastAsia="en-US"/>
        </w:rPr>
        <w:t>č</w:t>
      </w:r>
      <w:r w:rsidRPr="0035027D">
        <w:rPr>
          <w:rFonts w:eastAsiaTheme="minorHAnsi" w:cstheme="minorBidi"/>
          <w:szCs w:val="36"/>
          <w:lang w:eastAsia="en-US"/>
        </w:rPr>
        <w:t>innos</w:t>
      </w:r>
      <w:r w:rsidRPr="0035027D">
        <w:rPr>
          <w:rFonts w:eastAsiaTheme="minorHAnsi" w:cs="Times New Roman"/>
          <w:szCs w:val="36"/>
          <w:lang w:eastAsia="en-US"/>
        </w:rPr>
        <w:t>ť</w:t>
      </w:r>
      <w:r w:rsidRPr="0035027D">
        <w:rPr>
          <w:rFonts w:eastAsiaTheme="minorHAnsi" w:cstheme="minorBidi"/>
          <w:szCs w:val="36"/>
          <w:lang w:eastAsia="en-US"/>
        </w:rPr>
        <w:t>ou od roku 2014 a organiza</w:t>
      </w:r>
      <w:r w:rsidRPr="0035027D">
        <w:rPr>
          <w:rFonts w:eastAsiaTheme="minorHAnsi" w:cs="Times New Roman"/>
          <w:szCs w:val="36"/>
          <w:lang w:eastAsia="en-US"/>
        </w:rPr>
        <w:t>č</w:t>
      </w:r>
      <w:r w:rsidRPr="0035027D">
        <w:rPr>
          <w:rFonts w:eastAsiaTheme="minorHAnsi" w:cstheme="minorBidi"/>
          <w:szCs w:val="36"/>
          <w:lang w:eastAsia="en-US"/>
        </w:rPr>
        <w:t>né zmeny platné u</w:t>
      </w:r>
      <w:r w:rsidRPr="0035027D">
        <w:rPr>
          <w:rFonts w:eastAsiaTheme="minorHAnsi" w:cs="Times New Roman"/>
          <w:szCs w:val="36"/>
          <w:lang w:eastAsia="en-US"/>
        </w:rPr>
        <w:t>ž</w:t>
      </w:r>
      <w:r w:rsidRPr="0035027D">
        <w:rPr>
          <w:rFonts w:eastAsiaTheme="minorHAnsi" w:cstheme="minorBidi"/>
          <w:szCs w:val="36"/>
          <w:lang w:eastAsia="en-US"/>
        </w:rPr>
        <w:t xml:space="preserve"> v priebehu roka 2013. Opatrenia doplní analýza mo</w:t>
      </w:r>
      <w:r w:rsidRPr="0035027D">
        <w:rPr>
          <w:rFonts w:eastAsiaTheme="minorHAnsi" w:cs="Times New Roman"/>
          <w:szCs w:val="36"/>
          <w:lang w:eastAsia="en-US"/>
        </w:rPr>
        <w:t>ž</w:t>
      </w:r>
      <w:r w:rsidRPr="0035027D">
        <w:rPr>
          <w:rFonts w:eastAsiaTheme="minorHAnsi" w:cstheme="minorBidi"/>
          <w:szCs w:val="36"/>
          <w:lang w:eastAsia="en-US"/>
        </w:rPr>
        <w:t>ností zabezpe</w:t>
      </w:r>
      <w:r w:rsidRPr="0035027D">
        <w:rPr>
          <w:rFonts w:eastAsiaTheme="minorHAnsi" w:cs="Times New Roman"/>
          <w:szCs w:val="36"/>
          <w:lang w:eastAsia="en-US"/>
        </w:rPr>
        <w:t>č</w:t>
      </w:r>
      <w:r w:rsidRPr="0035027D">
        <w:rPr>
          <w:rFonts w:eastAsiaTheme="minorHAnsi" w:cstheme="minorBidi"/>
          <w:szCs w:val="36"/>
          <w:lang w:eastAsia="en-US"/>
        </w:rPr>
        <w:t>enia automatického nahlasovania informácií zo strany finan</w:t>
      </w:r>
      <w:r w:rsidRPr="0035027D">
        <w:rPr>
          <w:rFonts w:eastAsiaTheme="minorHAnsi" w:cs="Times New Roman"/>
          <w:szCs w:val="36"/>
          <w:lang w:eastAsia="en-US"/>
        </w:rPr>
        <w:t>č</w:t>
      </w:r>
      <w:r w:rsidRPr="0035027D">
        <w:rPr>
          <w:rFonts w:eastAsiaTheme="minorHAnsi" w:cstheme="minorBidi"/>
          <w:szCs w:val="36"/>
          <w:lang w:eastAsia="en-US"/>
        </w:rPr>
        <w:t>ných inštitúcií v SR finan</w:t>
      </w:r>
      <w:r w:rsidRPr="0035027D">
        <w:rPr>
          <w:rFonts w:eastAsiaTheme="minorHAnsi" w:cs="Times New Roman"/>
          <w:szCs w:val="36"/>
          <w:lang w:eastAsia="en-US"/>
        </w:rPr>
        <w:t>č</w:t>
      </w:r>
      <w:r w:rsidRPr="0035027D">
        <w:rPr>
          <w:rFonts w:eastAsiaTheme="minorHAnsi" w:cstheme="minorBidi"/>
          <w:szCs w:val="36"/>
          <w:lang w:eastAsia="en-US"/>
        </w:rPr>
        <w:t>nej správe o vykonaných transakciách nad ur</w:t>
      </w:r>
      <w:r w:rsidRPr="0035027D">
        <w:rPr>
          <w:rFonts w:eastAsiaTheme="minorHAnsi" w:cs="Times New Roman"/>
          <w:szCs w:val="36"/>
          <w:lang w:eastAsia="en-US"/>
        </w:rPr>
        <w:t>č</w:t>
      </w:r>
      <w:r w:rsidRPr="0035027D">
        <w:rPr>
          <w:rFonts w:eastAsiaTheme="minorHAnsi" w:cstheme="minorBidi"/>
          <w:szCs w:val="36"/>
          <w:lang w:eastAsia="en-US"/>
        </w:rPr>
        <w:t>itú hodnotu plynúcich do iných krajín.</w:t>
      </w:r>
    </w:p>
    <w:p w:rsidR="00B214E7" w:rsidRPr="0035027D" w:rsidRDefault="00B214E7" w:rsidP="00B214E7">
      <w:pPr>
        <w:spacing w:after="0"/>
        <w:rPr>
          <w:rFonts w:eastAsiaTheme="minorHAnsi" w:cstheme="minorBidi"/>
          <w:szCs w:val="36"/>
          <w:lang w:eastAsia="en-US"/>
        </w:rPr>
      </w:pPr>
    </w:p>
    <w:p w:rsidR="00B214E7" w:rsidRPr="0035027D" w:rsidRDefault="0086634B" w:rsidP="00B214E7">
      <w:pPr>
        <w:spacing w:after="0"/>
        <w:rPr>
          <w:rFonts w:eastAsiaTheme="minorHAnsi" w:cstheme="minorBidi"/>
          <w:szCs w:val="36"/>
          <w:lang w:eastAsia="en-US"/>
        </w:rPr>
      </w:pPr>
      <w:r w:rsidRPr="0035027D">
        <w:rPr>
          <w:rFonts w:eastAsiaTheme="minorHAnsi" w:cstheme="minorBidi"/>
          <w:szCs w:val="36"/>
          <w:lang w:eastAsia="en-US"/>
        </w:rPr>
        <w:t>Pripravuje sa výherná lotéria pokladni</w:t>
      </w:r>
      <w:r w:rsidRPr="0035027D">
        <w:rPr>
          <w:rFonts w:eastAsiaTheme="minorHAnsi" w:cs="Times New Roman"/>
          <w:szCs w:val="36"/>
          <w:lang w:eastAsia="en-US"/>
        </w:rPr>
        <w:t>č</w:t>
      </w:r>
      <w:r w:rsidRPr="0035027D">
        <w:rPr>
          <w:rFonts w:eastAsiaTheme="minorHAnsi" w:cstheme="minorBidi"/>
          <w:szCs w:val="36"/>
          <w:lang w:eastAsia="en-US"/>
        </w:rPr>
        <w:t>ných dokladov, s cie</w:t>
      </w:r>
      <w:r w:rsidRPr="0035027D">
        <w:rPr>
          <w:rFonts w:eastAsiaTheme="minorHAnsi" w:cs="Times New Roman"/>
          <w:szCs w:val="36"/>
          <w:lang w:eastAsia="en-US"/>
        </w:rPr>
        <w:t>ľ</w:t>
      </w:r>
      <w:r w:rsidRPr="0035027D">
        <w:rPr>
          <w:rFonts w:eastAsiaTheme="minorHAnsi" w:cstheme="minorBidi"/>
          <w:szCs w:val="36"/>
          <w:lang w:eastAsia="en-US"/>
        </w:rPr>
        <w:t>om zvýši</w:t>
      </w:r>
      <w:r w:rsidRPr="0035027D">
        <w:rPr>
          <w:rFonts w:eastAsiaTheme="minorHAnsi" w:cs="Times New Roman"/>
          <w:szCs w:val="36"/>
          <w:lang w:eastAsia="en-US"/>
        </w:rPr>
        <w:t>ť</w:t>
      </w:r>
      <w:r w:rsidRPr="0035027D">
        <w:rPr>
          <w:rFonts w:eastAsiaTheme="minorHAnsi" w:cstheme="minorBidi"/>
          <w:szCs w:val="36"/>
          <w:lang w:eastAsia="en-US"/>
        </w:rPr>
        <w:t xml:space="preserve"> motiváciu zákazníkov po</w:t>
      </w:r>
      <w:r w:rsidRPr="0035027D">
        <w:rPr>
          <w:rFonts w:eastAsiaTheme="minorHAnsi" w:cs="Times New Roman"/>
          <w:szCs w:val="36"/>
          <w:lang w:eastAsia="en-US"/>
        </w:rPr>
        <w:t>ž</w:t>
      </w:r>
      <w:r w:rsidRPr="0035027D">
        <w:rPr>
          <w:rFonts w:eastAsiaTheme="minorHAnsi" w:cstheme="minorBidi"/>
          <w:szCs w:val="36"/>
          <w:lang w:eastAsia="en-US"/>
        </w:rPr>
        <w:t>adova</w:t>
      </w:r>
      <w:r w:rsidRPr="0035027D">
        <w:rPr>
          <w:rFonts w:eastAsiaTheme="minorHAnsi" w:cs="Times New Roman"/>
          <w:szCs w:val="36"/>
          <w:lang w:eastAsia="en-US"/>
        </w:rPr>
        <w:t>ť</w:t>
      </w:r>
      <w:r w:rsidRPr="0035027D">
        <w:rPr>
          <w:rFonts w:eastAsiaTheme="minorHAnsi" w:cstheme="minorBidi"/>
          <w:szCs w:val="36"/>
          <w:lang w:eastAsia="en-US"/>
        </w:rPr>
        <w:t xml:space="preserve"> za svoje platby doklad z elektronickej registra</w:t>
      </w:r>
      <w:r w:rsidRPr="0035027D">
        <w:rPr>
          <w:rFonts w:eastAsiaTheme="minorHAnsi" w:cs="Times New Roman"/>
          <w:szCs w:val="36"/>
          <w:lang w:eastAsia="en-US"/>
        </w:rPr>
        <w:t>č</w:t>
      </w:r>
      <w:r w:rsidRPr="0035027D">
        <w:rPr>
          <w:rFonts w:eastAsiaTheme="minorHAnsi" w:cstheme="minorBidi"/>
          <w:szCs w:val="36"/>
          <w:lang w:eastAsia="en-US"/>
        </w:rPr>
        <w:t>nej pokladne a tým predchádza</w:t>
      </w:r>
      <w:r w:rsidRPr="0035027D">
        <w:rPr>
          <w:rFonts w:eastAsiaTheme="minorHAnsi" w:cs="Times New Roman"/>
          <w:szCs w:val="36"/>
          <w:lang w:eastAsia="en-US"/>
        </w:rPr>
        <w:t>ť</w:t>
      </w:r>
      <w:r w:rsidRPr="0035027D">
        <w:rPr>
          <w:rFonts w:eastAsiaTheme="minorHAnsi" w:cstheme="minorBidi"/>
          <w:szCs w:val="36"/>
          <w:lang w:eastAsia="en-US"/>
        </w:rPr>
        <w:t xml:space="preserve"> da</w:t>
      </w:r>
      <w:r w:rsidRPr="0035027D">
        <w:rPr>
          <w:rFonts w:eastAsiaTheme="minorHAnsi" w:cs="Times New Roman"/>
          <w:szCs w:val="36"/>
          <w:lang w:eastAsia="en-US"/>
        </w:rPr>
        <w:t>ň</w:t>
      </w:r>
      <w:r w:rsidRPr="0035027D">
        <w:rPr>
          <w:rFonts w:eastAsiaTheme="minorHAnsi" w:cstheme="minorBidi"/>
          <w:szCs w:val="36"/>
          <w:lang w:eastAsia="en-US"/>
        </w:rPr>
        <w:t>ovým únikom. Lotériu bude organizova</w:t>
      </w:r>
      <w:r w:rsidRPr="0035027D">
        <w:rPr>
          <w:rFonts w:eastAsiaTheme="minorHAnsi" w:cs="Times New Roman"/>
          <w:szCs w:val="36"/>
          <w:lang w:eastAsia="en-US"/>
        </w:rPr>
        <w:t>ť</w:t>
      </w:r>
      <w:r w:rsidRPr="0035027D">
        <w:rPr>
          <w:rFonts w:eastAsiaTheme="minorHAnsi" w:cstheme="minorBidi"/>
          <w:szCs w:val="36"/>
          <w:lang w:eastAsia="en-US"/>
        </w:rPr>
        <w:t xml:space="preserve"> štátna lotériová spolo</w:t>
      </w:r>
      <w:r w:rsidRPr="0035027D">
        <w:rPr>
          <w:rFonts w:eastAsiaTheme="minorHAnsi" w:cs="Times New Roman"/>
          <w:szCs w:val="36"/>
          <w:lang w:eastAsia="en-US"/>
        </w:rPr>
        <w:t>č</w:t>
      </w:r>
      <w:r w:rsidRPr="0035027D">
        <w:rPr>
          <w:rFonts w:eastAsiaTheme="minorHAnsi" w:cstheme="minorBidi"/>
          <w:szCs w:val="36"/>
          <w:lang w:eastAsia="en-US"/>
        </w:rPr>
        <w:t>nos</w:t>
      </w:r>
      <w:r w:rsidRPr="0035027D">
        <w:rPr>
          <w:rFonts w:eastAsiaTheme="minorHAnsi" w:cs="Times New Roman"/>
          <w:szCs w:val="36"/>
          <w:lang w:eastAsia="en-US"/>
        </w:rPr>
        <w:t>ť</w:t>
      </w:r>
      <w:r w:rsidRPr="0035027D">
        <w:rPr>
          <w:rFonts w:eastAsiaTheme="minorHAnsi" w:cstheme="minorBidi"/>
          <w:szCs w:val="36"/>
          <w:lang w:eastAsia="en-US"/>
        </w:rPr>
        <w:t xml:space="preserve"> </w:t>
      </w:r>
      <w:proofErr w:type="spellStart"/>
      <w:r w:rsidRPr="0035027D">
        <w:rPr>
          <w:rFonts w:eastAsiaTheme="minorHAnsi" w:cstheme="minorBidi"/>
          <w:szCs w:val="36"/>
          <w:lang w:eastAsia="en-US"/>
        </w:rPr>
        <w:t>Tipos</w:t>
      </w:r>
      <w:proofErr w:type="spellEnd"/>
      <w:r w:rsidRPr="0035027D">
        <w:rPr>
          <w:rFonts w:eastAsiaTheme="minorHAnsi" w:cstheme="minorBidi"/>
          <w:szCs w:val="36"/>
          <w:lang w:eastAsia="en-US"/>
        </w:rPr>
        <w:t>, a.s. prostredníctvom svojej siete a osved</w:t>
      </w:r>
      <w:r w:rsidRPr="0035027D">
        <w:rPr>
          <w:rFonts w:eastAsiaTheme="minorHAnsi" w:cs="Times New Roman"/>
          <w:szCs w:val="36"/>
          <w:lang w:eastAsia="en-US"/>
        </w:rPr>
        <w:t>č</w:t>
      </w:r>
      <w:r w:rsidRPr="0035027D">
        <w:rPr>
          <w:rFonts w:eastAsiaTheme="minorHAnsi" w:cstheme="minorBidi"/>
          <w:szCs w:val="36"/>
          <w:lang w:eastAsia="en-US"/>
        </w:rPr>
        <w:t>ených komunika</w:t>
      </w:r>
      <w:r w:rsidRPr="0035027D">
        <w:rPr>
          <w:rFonts w:eastAsiaTheme="minorHAnsi" w:cs="Times New Roman"/>
          <w:szCs w:val="36"/>
          <w:lang w:eastAsia="en-US"/>
        </w:rPr>
        <w:t>č</w:t>
      </w:r>
      <w:r w:rsidRPr="0035027D">
        <w:rPr>
          <w:rFonts w:eastAsiaTheme="minorHAnsi" w:cstheme="minorBidi"/>
          <w:szCs w:val="36"/>
          <w:lang w:eastAsia="en-US"/>
        </w:rPr>
        <w:t>ných kanálov. Finan</w:t>
      </w:r>
      <w:r w:rsidRPr="0035027D">
        <w:rPr>
          <w:rFonts w:eastAsiaTheme="minorHAnsi" w:cs="Times New Roman"/>
          <w:szCs w:val="36"/>
          <w:lang w:eastAsia="en-US"/>
        </w:rPr>
        <w:t>č</w:t>
      </w:r>
      <w:r w:rsidRPr="0035027D">
        <w:rPr>
          <w:rFonts w:eastAsiaTheme="minorHAnsi" w:cstheme="minorBidi"/>
          <w:szCs w:val="36"/>
          <w:lang w:eastAsia="en-US"/>
        </w:rPr>
        <w:t>ná správa a MF SR realizujú kampa</w:t>
      </w:r>
      <w:r w:rsidRPr="0035027D">
        <w:rPr>
          <w:rFonts w:eastAsiaTheme="minorHAnsi" w:cs="Times New Roman"/>
          <w:szCs w:val="36"/>
          <w:lang w:eastAsia="en-US"/>
        </w:rPr>
        <w:t>ň</w:t>
      </w:r>
      <w:r w:rsidRPr="0035027D">
        <w:rPr>
          <w:rFonts w:eastAsiaTheme="minorHAnsi" w:cstheme="minorBidi"/>
          <w:szCs w:val="36"/>
          <w:lang w:eastAsia="en-US"/>
        </w:rPr>
        <w:t xml:space="preserve"> na zainteresovanie všetkých zamestnancov štátu a verejnej správy, aby pomáhali pri zlepšovaní výberu daní, od ktorého bude závisie</w:t>
      </w:r>
      <w:r w:rsidRPr="0035027D">
        <w:rPr>
          <w:rFonts w:eastAsiaTheme="minorHAnsi" w:cs="Times New Roman"/>
          <w:szCs w:val="36"/>
          <w:lang w:eastAsia="en-US"/>
        </w:rPr>
        <w:t>ť</w:t>
      </w:r>
      <w:r w:rsidRPr="0035027D">
        <w:rPr>
          <w:rFonts w:eastAsiaTheme="minorHAnsi" w:cstheme="minorBidi"/>
          <w:szCs w:val="36"/>
          <w:lang w:eastAsia="en-US"/>
        </w:rPr>
        <w:t xml:space="preserve"> aj rast ich miezd. </w:t>
      </w:r>
    </w:p>
    <w:p w:rsidR="00B214E7" w:rsidRPr="0035027D" w:rsidRDefault="00B214E7" w:rsidP="00B214E7">
      <w:pPr>
        <w:spacing w:after="0"/>
        <w:rPr>
          <w:rFonts w:eastAsiaTheme="minorHAnsi" w:cstheme="minorBidi"/>
          <w:szCs w:val="36"/>
          <w:lang w:eastAsia="en-US"/>
        </w:rPr>
      </w:pPr>
    </w:p>
    <w:p w:rsidR="0086634B" w:rsidRPr="0035027D" w:rsidRDefault="0086634B" w:rsidP="00B214E7">
      <w:pPr>
        <w:spacing w:after="0"/>
        <w:rPr>
          <w:rFonts w:eastAsiaTheme="minorHAnsi" w:cstheme="minorBidi"/>
          <w:szCs w:val="36"/>
          <w:lang w:eastAsia="en-US"/>
        </w:rPr>
      </w:pPr>
      <w:r w:rsidRPr="0035027D">
        <w:rPr>
          <w:rFonts w:eastAsiaTheme="minorHAnsi" w:cstheme="minorBidi"/>
          <w:szCs w:val="36"/>
          <w:lang w:eastAsia="en-US"/>
        </w:rPr>
        <w:t>Poskytovanie informácií fyzickým osobám a právnickým osobám je jedným zo strategických cie</w:t>
      </w:r>
      <w:r w:rsidRPr="0035027D">
        <w:rPr>
          <w:rFonts w:eastAsiaTheme="minorHAnsi" w:cs="Times New Roman"/>
          <w:szCs w:val="36"/>
          <w:lang w:eastAsia="en-US"/>
        </w:rPr>
        <w:t>ľ</w:t>
      </w:r>
      <w:r w:rsidRPr="0035027D">
        <w:rPr>
          <w:rFonts w:eastAsiaTheme="minorHAnsi" w:cstheme="minorBidi"/>
          <w:szCs w:val="36"/>
          <w:lang w:eastAsia="en-US"/>
        </w:rPr>
        <w:t>ov Finan</w:t>
      </w:r>
      <w:r w:rsidRPr="0035027D">
        <w:rPr>
          <w:rFonts w:eastAsiaTheme="minorHAnsi" w:cs="Times New Roman"/>
          <w:szCs w:val="36"/>
          <w:lang w:eastAsia="en-US"/>
        </w:rPr>
        <w:t>č</w:t>
      </w:r>
      <w:r w:rsidRPr="0035027D">
        <w:rPr>
          <w:rFonts w:eastAsiaTheme="minorHAnsi" w:cstheme="minorBidi"/>
          <w:szCs w:val="36"/>
          <w:lang w:eastAsia="en-US"/>
        </w:rPr>
        <w:t>nej správy SR, ktorý prispeje k zlepšeniu plnenia povinností fyzických osôb a právnických osôb vyplývajúcich z da</w:t>
      </w:r>
      <w:r w:rsidRPr="0035027D">
        <w:rPr>
          <w:rFonts w:eastAsiaTheme="minorHAnsi" w:cs="Times New Roman"/>
          <w:szCs w:val="36"/>
          <w:lang w:eastAsia="en-US"/>
        </w:rPr>
        <w:t>ň</w:t>
      </w:r>
      <w:r w:rsidRPr="0035027D">
        <w:rPr>
          <w:rFonts w:eastAsiaTheme="minorHAnsi" w:cstheme="minorBidi"/>
          <w:szCs w:val="36"/>
          <w:lang w:eastAsia="en-US"/>
        </w:rPr>
        <w:t>ových a colných predpisov.</w:t>
      </w:r>
    </w:p>
    <w:p w:rsidR="003B09AF" w:rsidRPr="0035027D" w:rsidRDefault="003B09AF" w:rsidP="003B09AF">
      <w:pPr>
        <w:spacing w:after="0"/>
      </w:pPr>
    </w:p>
    <w:p w:rsidR="003B09AF" w:rsidRPr="0035027D" w:rsidRDefault="003B09AF" w:rsidP="003B09AF">
      <w:pPr>
        <w:spacing w:after="0"/>
        <w:rPr>
          <w:b/>
          <w:i/>
        </w:rPr>
      </w:pPr>
      <w:r w:rsidRPr="0035027D">
        <w:rPr>
          <w:b/>
          <w:i/>
        </w:rPr>
        <w:t>Efektívnosť verejných výdavkov</w:t>
      </w:r>
    </w:p>
    <w:p w:rsidR="003B09AF" w:rsidRPr="0035027D" w:rsidRDefault="003B09AF" w:rsidP="003B09AF">
      <w:pPr>
        <w:spacing w:after="0"/>
      </w:pPr>
    </w:p>
    <w:p w:rsidR="003B09AF" w:rsidRPr="0035027D" w:rsidRDefault="003B09AF" w:rsidP="003B09AF">
      <w:pPr>
        <w:spacing w:after="0"/>
      </w:pPr>
      <w:r w:rsidRPr="0035027D">
        <w:t>Existujú verejné výdavky, ktoré v plnej miere neprispievajú k nap</w:t>
      </w:r>
      <w:r w:rsidRPr="0035027D">
        <w:rPr>
          <w:rFonts w:cs="Times New Roman"/>
        </w:rPr>
        <w:t>ĺň</w:t>
      </w:r>
      <w:r w:rsidRPr="0035027D">
        <w:t>aniu cie</w:t>
      </w:r>
      <w:r w:rsidRPr="0035027D">
        <w:rPr>
          <w:rFonts w:cs="Times New Roman"/>
        </w:rPr>
        <w:t>ľ</w:t>
      </w:r>
      <w:r w:rsidRPr="0035027D">
        <w:t>ov, na ktoré sú ur</w:t>
      </w:r>
      <w:r w:rsidRPr="0035027D">
        <w:rPr>
          <w:rFonts w:cs="Times New Roman"/>
        </w:rPr>
        <w:t>č</w:t>
      </w:r>
      <w:r w:rsidRPr="0035027D">
        <w:t>ené, a k zlepšovaniu trvalo udr</w:t>
      </w:r>
      <w:r w:rsidRPr="0035027D">
        <w:rPr>
          <w:rFonts w:cs="Times New Roman"/>
        </w:rPr>
        <w:t>ž</w:t>
      </w:r>
      <w:r w:rsidRPr="0035027D">
        <w:t>ate</w:t>
      </w:r>
      <w:r w:rsidRPr="0035027D">
        <w:rPr>
          <w:rFonts w:cs="Times New Roman"/>
        </w:rPr>
        <w:t>ľ</w:t>
      </w:r>
      <w:r w:rsidRPr="0035027D">
        <w:t>ného hospodárskeho rastu. Neefektívne vynalo</w:t>
      </w:r>
      <w:r w:rsidRPr="0035027D">
        <w:rPr>
          <w:rFonts w:cs="Times New Roman"/>
        </w:rPr>
        <w:t>ž</w:t>
      </w:r>
      <w:r w:rsidRPr="0035027D">
        <w:t>ené prostriedky zbyto</w:t>
      </w:r>
      <w:r w:rsidRPr="0035027D">
        <w:rPr>
          <w:rFonts w:cs="Times New Roman"/>
        </w:rPr>
        <w:t>č</w:t>
      </w:r>
      <w:r w:rsidRPr="0035027D">
        <w:t>ne zvyšujú výdavky štátneho rozpo</w:t>
      </w:r>
      <w:r w:rsidRPr="0035027D">
        <w:rPr>
          <w:rFonts w:cs="Times New Roman"/>
        </w:rPr>
        <w:t>č</w:t>
      </w:r>
      <w:r w:rsidRPr="0035027D">
        <w:t xml:space="preserve">tu, </w:t>
      </w:r>
      <w:r w:rsidRPr="0035027D">
        <w:rPr>
          <w:rFonts w:cs="Times New Roman"/>
        </w:rPr>
        <w:t>č</w:t>
      </w:r>
      <w:r w:rsidRPr="0035027D">
        <w:t>o je cite</w:t>
      </w:r>
      <w:r w:rsidRPr="0035027D">
        <w:rPr>
          <w:rFonts w:cs="Times New Roman"/>
        </w:rPr>
        <w:t>ľ</w:t>
      </w:r>
      <w:r w:rsidRPr="0035027D">
        <w:t>né predovšetkým v období prebiehajúcej konsolidácie. Vláda preto s cie</w:t>
      </w:r>
      <w:r w:rsidRPr="0035027D">
        <w:rPr>
          <w:rFonts w:cs="Times New Roman"/>
        </w:rPr>
        <w:t>ľ</w:t>
      </w:r>
      <w:r w:rsidRPr="0035027D">
        <w:t>om zefektívni</w:t>
      </w:r>
      <w:r w:rsidRPr="0035027D">
        <w:rPr>
          <w:rFonts w:cs="Times New Roman"/>
        </w:rPr>
        <w:t>ť</w:t>
      </w:r>
      <w:r w:rsidRPr="0035027D">
        <w:t xml:space="preserve"> verejné výdavky a podpori</w:t>
      </w:r>
      <w:r w:rsidRPr="0035027D">
        <w:rPr>
          <w:rFonts w:cs="Times New Roman"/>
        </w:rPr>
        <w:t>ť</w:t>
      </w:r>
      <w:r w:rsidRPr="0035027D">
        <w:t xml:space="preserve"> tak rast v rámci existujúcej obálky identifikuje výdavky, ktoré v plnej miere nesp</w:t>
      </w:r>
      <w:r w:rsidRPr="0035027D">
        <w:rPr>
          <w:rFonts w:cs="Times New Roman"/>
        </w:rPr>
        <w:t>ĺň</w:t>
      </w:r>
      <w:r w:rsidRPr="0035027D">
        <w:t>ajú ciele, na ktoré sú ur</w:t>
      </w:r>
      <w:r w:rsidRPr="0035027D">
        <w:rPr>
          <w:rFonts w:cs="Times New Roman"/>
        </w:rPr>
        <w:t>č</w:t>
      </w:r>
      <w:r w:rsidRPr="0035027D">
        <w:t>ené. Zhodnotí sa skuto</w:t>
      </w:r>
      <w:r w:rsidRPr="0035027D">
        <w:rPr>
          <w:rFonts w:cs="Times New Roman"/>
        </w:rPr>
        <w:t>č</w:t>
      </w:r>
      <w:r w:rsidRPr="0035027D">
        <w:t xml:space="preserve">ná potreba financovania týchto titulov, </w:t>
      </w:r>
      <w:r w:rsidRPr="0035027D">
        <w:rPr>
          <w:rFonts w:cs="Times New Roman"/>
        </w:rPr>
        <w:t>č</w:t>
      </w:r>
      <w:r w:rsidRPr="0035027D">
        <w:t>o sa odrazí aj v rozpo</w:t>
      </w:r>
      <w:r w:rsidRPr="0035027D">
        <w:rPr>
          <w:rFonts w:cs="Times New Roman"/>
        </w:rPr>
        <w:t>č</w:t>
      </w:r>
      <w:r w:rsidRPr="0035027D">
        <w:t xml:space="preserve">te verejnej správy na rok 2014. </w:t>
      </w:r>
    </w:p>
    <w:p w:rsidR="003B09AF" w:rsidRPr="0035027D" w:rsidRDefault="003B09AF" w:rsidP="003B09AF">
      <w:pPr>
        <w:spacing w:after="0"/>
      </w:pPr>
    </w:p>
    <w:p w:rsidR="003B09AF" w:rsidRPr="0035027D" w:rsidRDefault="008D7D86" w:rsidP="003B09AF">
      <w:pPr>
        <w:spacing w:after="0"/>
      </w:pPr>
      <w:r w:rsidRPr="008D7D86">
        <w:rPr>
          <w:rFonts w:eastAsiaTheme="minorHAnsi" w:cstheme="minorBidi"/>
          <w:szCs w:val="36"/>
          <w:lang w:eastAsia="en-US"/>
        </w:rPr>
        <w:t xml:space="preserve">V zmysle programového vyhlásenia vlády bude základ ekonomizácie verejnej správy postavený na skúmaní nákladovosti jednotlivých produktov, resp. činností verejnej správy. Nadväzujúc na to je nevyhnutné zabezpečiť systematické hodnotenie výkonnosti verejnej správy uplatnením presných a jednoznačných </w:t>
      </w:r>
      <w:r w:rsidRPr="00C66F29">
        <w:rPr>
          <w:rFonts w:eastAsiaTheme="minorHAnsi" w:cstheme="minorBidi"/>
          <w:b/>
          <w:szCs w:val="36"/>
          <w:lang w:eastAsia="en-US"/>
        </w:rPr>
        <w:t>ukazovateľov pre verejnú správu</w:t>
      </w:r>
      <w:r w:rsidR="00C66F29">
        <w:rPr>
          <w:rFonts w:eastAsiaTheme="minorHAnsi" w:cstheme="minorBidi"/>
          <w:szCs w:val="36"/>
          <w:lang w:eastAsia="en-US"/>
        </w:rPr>
        <w:t>,</w:t>
      </w:r>
      <w:r w:rsidR="00C66F29" w:rsidRPr="0035027D" w:rsidDel="00C66F29">
        <w:rPr>
          <w:rFonts w:eastAsiaTheme="minorHAnsi" w:cstheme="minorBidi"/>
          <w:szCs w:val="36"/>
          <w:lang w:eastAsia="en-US"/>
        </w:rPr>
        <w:t xml:space="preserve"> </w:t>
      </w:r>
      <w:r w:rsidR="003B09AF" w:rsidRPr="0035027D">
        <w:rPr>
          <w:rFonts w:eastAsiaTheme="minorHAnsi" w:cstheme="minorBidi"/>
          <w:szCs w:val="36"/>
          <w:lang w:eastAsia="en-US"/>
        </w:rPr>
        <w:t>ktoré umo</w:t>
      </w:r>
      <w:r w:rsidR="003B09AF" w:rsidRPr="0035027D">
        <w:rPr>
          <w:rFonts w:eastAsiaTheme="minorHAnsi" w:cs="Times New Roman"/>
          <w:szCs w:val="36"/>
          <w:lang w:eastAsia="en-US"/>
        </w:rPr>
        <w:t>ž</w:t>
      </w:r>
      <w:r w:rsidR="003B09AF" w:rsidRPr="0035027D">
        <w:rPr>
          <w:rFonts w:eastAsiaTheme="minorHAnsi" w:cstheme="minorBidi"/>
          <w:szCs w:val="36"/>
          <w:lang w:eastAsia="en-US"/>
        </w:rPr>
        <w:t>nia hodnoti</w:t>
      </w:r>
      <w:r w:rsidR="003B09AF" w:rsidRPr="0035027D">
        <w:rPr>
          <w:rFonts w:eastAsiaTheme="minorHAnsi" w:cs="Times New Roman"/>
          <w:szCs w:val="36"/>
          <w:lang w:eastAsia="en-US"/>
        </w:rPr>
        <w:t>ť</w:t>
      </w:r>
      <w:r w:rsidR="003B09AF" w:rsidRPr="0035027D">
        <w:rPr>
          <w:rFonts w:eastAsiaTheme="minorHAnsi" w:cstheme="minorBidi"/>
          <w:szCs w:val="36"/>
          <w:lang w:eastAsia="en-US"/>
        </w:rPr>
        <w:t xml:space="preserve"> výsledky a úspešnos</w:t>
      </w:r>
      <w:r w:rsidR="003B09AF" w:rsidRPr="0035027D">
        <w:rPr>
          <w:rFonts w:eastAsiaTheme="minorHAnsi" w:cs="Times New Roman"/>
          <w:szCs w:val="36"/>
          <w:lang w:eastAsia="en-US"/>
        </w:rPr>
        <w:t>ť</w:t>
      </w:r>
      <w:r w:rsidR="003B09AF" w:rsidRPr="0035027D">
        <w:rPr>
          <w:rFonts w:eastAsiaTheme="minorHAnsi" w:cstheme="minorBidi"/>
          <w:szCs w:val="36"/>
          <w:lang w:eastAsia="en-US"/>
        </w:rPr>
        <w:t xml:space="preserve"> nielen prierezových cie</w:t>
      </w:r>
      <w:r w:rsidR="003B09AF" w:rsidRPr="0035027D">
        <w:rPr>
          <w:rFonts w:eastAsiaTheme="minorHAnsi" w:cs="Times New Roman"/>
          <w:szCs w:val="36"/>
          <w:lang w:eastAsia="en-US"/>
        </w:rPr>
        <w:t>ľ</w:t>
      </w:r>
      <w:r w:rsidR="003B09AF" w:rsidRPr="0035027D">
        <w:rPr>
          <w:rFonts w:eastAsiaTheme="minorHAnsi" w:cstheme="minorBidi"/>
          <w:szCs w:val="36"/>
          <w:lang w:eastAsia="en-US"/>
        </w:rPr>
        <w:t xml:space="preserve">ov vlády SR, ale aj </w:t>
      </w:r>
      <w:r w:rsidR="003B09AF" w:rsidRPr="0035027D">
        <w:rPr>
          <w:rFonts w:eastAsiaTheme="minorHAnsi" w:cs="Times New Roman"/>
          <w:szCs w:val="36"/>
          <w:lang w:eastAsia="en-US"/>
        </w:rPr>
        <w:t>č</w:t>
      </w:r>
      <w:r w:rsidR="003B09AF" w:rsidRPr="0035027D">
        <w:rPr>
          <w:rFonts w:eastAsiaTheme="minorHAnsi" w:cstheme="minorBidi"/>
          <w:szCs w:val="36"/>
          <w:lang w:eastAsia="en-US"/>
        </w:rPr>
        <w:t>inností ministerstiev a všetkých ostatných kapitol verejných financií. Vláda zlepší monitoring vytvorením súboru takýchto ukazovate</w:t>
      </w:r>
      <w:r w:rsidR="003B09AF" w:rsidRPr="0035027D">
        <w:rPr>
          <w:rFonts w:eastAsiaTheme="minorHAnsi" w:cs="Times New Roman"/>
          <w:szCs w:val="36"/>
          <w:lang w:eastAsia="en-US"/>
        </w:rPr>
        <w:t>ľ</w:t>
      </w:r>
      <w:r w:rsidR="003B09AF" w:rsidRPr="0035027D">
        <w:rPr>
          <w:rFonts w:eastAsiaTheme="minorHAnsi" w:cstheme="minorBidi"/>
          <w:szCs w:val="36"/>
          <w:lang w:eastAsia="en-US"/>
        </w:rPr>
        <w:t>ov. V prvom kroku sa ur</w:t>
      </w:r>
      <w:r w:rsidR="003B09AF" w:rsidRPr="0035027D">
        <w:rPr>
          <w:rFonts w:eastAsiaTheme="minorHAnsi" w:cs="Times New Roman"/>
          <w:szCs w:val="36"/>
          <w:lang w:eastAsia="en-US"/>
        </w:rPr>
        <w:t>č</w:t>
      </w:r>
      <w:r w:rsidR="003B09AF" w:rsidRPr="0035027D">
        <w:rPr>
          <w:rFonts w:eastAsiaTheme="minorHAnsi" w:cstheme="minorBidi"/>
          <w:szCs w:val="36"/>
          <w:lang w:eastAsia="en-US"/>
        </w:rPr>
        <w:t>ia indikátory pre ministerstvá, ktoré budú zodpovedné za zber, sledovanie a publikáciu týchto údajov. Sledovanie výsledkov sa neskôr rozšíri aj na ostatné organizácie a subjekty verejnej správy. Indikátory budú zárove</w:t>
      </w:r>
      <w:r w:rsidR="003B09AF" w:rsidRPr="0035027D">
        <w:rPr>
          <w:rFonts w:eastAsiaTheme="minorHAnsi" w:cs="Times New Roman"/>
          <w:szCs w:val="36"/>
          <w:lang w:eastAsia="en-US"/>
        </w:rPr>
        <w:t>ň</w:t>
      </w:r>
      <w:r w:rsidR="003B09AF" w:rsidRPr="0035027D">
        <w:rPr>
          <w:rFonts w:eastAsiaTheme="minorHAnsi" w:cstheme="minorBidi"/>
          <w:szCs w:val="36"/>
          <w:lang w:eastAsia="en-US"/>
        </w:rPr>
        <w:t xml:space="preserve"> pravidelne zverej</w:t>
      </w:r>
      <w:r w:rsidR="003B09AF" w:rsidRPr="0035027D">
        <w:rPr>
          <w:rFonts w:eastAsiaTheme="minorHAnsi" w:cs="Times New Roman"/>
          <w:szCs w:val="36"/>
          <w:lang w:eastAsia="en-US"/>
        </w:rPr>
        <w:t>ň</w:t>
      </w:r>
      <w:r w:rsidR="003B09AF" w:rsidRPr="0035027D">
        <w:rPr>
          <w:rFonts w:eastAsiaTheme="minorHAnsi" w:cstheme="minorBidi"/>
          <w:szCs w:val="36"/>
          <w:lang w:eastAsia="en-US"/>
        </w:rPr>
        <w:t>ované a budú sú</w:t>
      </w:r>
      <w:r w:rsidR="003B09AF" w:rsidRPr="0035027D">
        <w:rPr>
          <w:rFonts w:eastAsiaTheme="minorHAnsi" w:cs="Times New Roman"/>
          <w:szCs w:val="36"/>
          <w:lang w:eastAsia="en-US"/>
        </w:rPr>
        <w:t>č</w:t>
      </w:r>
      <w:r w:rsidR="003B09AF" w:rsidRPr="0035027D">
        <w:rPr>
          <w:rFonts w:eastAsiaTheme="minorHAnsi" w:cstheme="minorBidi"/>
          <w:szCs w:val="36"/>
          <w:lang w:eastAsia="en-US"/>
        </w:rPr>
        <w:t>as</w:t>
      </w:r>
      <w:r w:rsidR="003B09AF" w:rsidRPr="0035027D">
        <w:rPr>
          <w:rFonts w:eastAsiaTheme="minorHAnsi" w:cs="Times New Roman"/>
          <w:szCs w:val="36"/>
          <w:lang w:eastAsia="en-US"/>
        </w:rPr>
        <w:t>ť</w:t>
      </w:r>
      <w:r w:rsidR="003B09AF" w:rsidRPr="0035027D">
        <w:rPr>
          <w:rFonts w:eastAsiaTheme="minorHAnsi" w:cstheme="minorBidi"/>
          <w:szCs w:val="36"/>
          <w:lang w:eastAsia="en-US"/>
        </w:rPr>
        <w:t>ou hodnotenia efektívnosti verejnej správy a k</w:t>
      </w:r>
      <w:r w:rsidR="003B09AF" w:rsidRPr="0035027D">
        <w:rPr>
          <w:rFonts w:eastAsiaTheme="minorHAnsi" w:cs="Times New Roman"/>
          <w:szCs w:val="36"/>
          <w:lang w:eastAsia="en-US"/>
        </w:rPr>
        <w:t>ľ</w:t>
      </w:r>
      <w:r w:rsidR="003B09AF" w:rsidRPr="0035027D">
        <w:rPr>
          <w:rFonts w:eastAsiaTheme="minorHAnsi" w:cstheme="minorBidi"/>
          <w:szCs w:val="36"/>
          <w:lang w:eastAsia="en-US"/>
        </w:rPr>
        <w:t>ú</w:t>
      </w:r>
      <w:r w:rsidR="003B09AF" w:rsidRPr="0035027D">
        <w:rPr>
          <w:rFonts w:eastAsiaTheme="minorHAnsi" w:cs="Times New Roman"/>
          <w:szCs w:val="36"/>
          <w:lang w:eastAsia="en-US"/>
        </w:rPr>
        <w:t>č</w:t>
      </w:r>
      <w:r w:rsidR="003B09AF" w:rsidRPr="0035027D">
        <w:rPr>
          <w:rFonts w:eastAsiaTheme="minorHAnsi" w:cstheme="minorBidi"/>
          <w:szCs w:val="36"/>
          <w:lang w:eastAsia="en-US"/>
        </w:rPr>
        <w:t>ových dokumentov ako sú rozpo</w:t>
      </w:r>
      <w:r w:rsidR="003B09AF" w:rsidRPr="0035027D">
        <w:rPr>
          <w:rFonts w:eastAsiaTheme="minorHAnsi" w:cs="Times New Roman"/>
          <w:szCs w:val="36"/>
          <w:lang w:eastAsia="en-US"/>
        </w:rPr>
        <w:t>č</w:t>
      </w:r>
      <w:r w:rsidR="003B09AF" w:rsidRPr="0035027D">
        <w:rPr>
          <w:rFonts w:eastAsiaTheme="minorHAnsi" w:cstheme="minorBidi"/>
          <w:szCs w:val="36"/>
          <w:lang w:eastAsia="en-US"/>
        </w:rPr>
        <w:t xml:space="preserve">et verejnej správy </w:t>
      </w:r>
      <w:r w:rsidR="003B09AF" w:rsidRPr="0035027D">
        <w:rPr>
          <w:rFonts w:eastAsiaTheme="minorHAnsi" w:cs="Times New Roman"/>
          <w:szCs w:val="36"/>
          <w:lang w:eastAsia="en-US"/>
        </w:rPr>
        <w:t>č</w:t>
      </w:r>
      <w:r w:rsidR="003B09AF" w:rsidRPr="0035027D">
        <w:rPr>
          <w:rFonts w:eastAsiaTheme="minorHAnsi" w:cstheme="minorBidi"/>
          <w:szCs w:val="36"/>
          <w:lang w:eastAsia="en-US"/>
        </w:rPr>
        <w:t>i NPR.</w:t>
      </w:r>
    </w:p>
    <w:p w:rsidR="003B09AF" w:rsidRPr="0035027D" w:rsidRDefault="003B09AF" w:rsidP="003B09AF">
      <w:pPr>
        <w:spacing w:after="0"/>
      </w:pPr>
    </w:p>
    <w:p w:rsidR="003B09AF" w:rsidRPr="0035027D" w:rsidRDefault="003B09AF" w:rsidP="003B09AF">
      <w:pPr>
        <w:spacing w:after="0"/>
        <w:rPr>
          <w:b/>
          <w:i/>
        </w:rPr>
      </w:pPr>
      <w:r w:rsidRPr="0035027D">
        <w:rPr>
          <w:b/>
          <w:i/>
        </w:rPr>
        <w:t>Zjednotenie výberu daní, ciel a odvodov</w:t>
      </w:r>
    </w:p>
    <w:p w:rsidR="003B09AF" w:rsidRPr="0035027D" w:rsidRDefault="003B09AF" w:rsidP="003B09AF">
      <w:pPr>
        <w:spacing w:after="0"/>
      </w:pPr>
    </w:p>
    <w:p w:rsidR="003B09AF" w:rsidRPr="0035027D" w:rsidRDefault="003B09AF" w:rsidP="003B09AF">
      <w:pPr>
        <w:spacing w:after="0"/>
        <w:rPr>
          <w:szCs w:val="36"/>
        </w:rPr>
      </w:pPr>
      <w:r w:rsidRPr="0035027D">
        <w:rPr>
          <w:szCs w:val="36"/>
        </w:rPr>
        <w:t>Vychádzajúc z Koncepcie reformy da</w:t>
      </w:r>
      <w:r w:rsidRPr="0035027D">
        <w:rPr>
          <w:rFonts w:cs="Times New Roman"/>
          <w:szCs w:val="36"/>
        </w:rPr>
        <w:t>ň</w:t>
      </w:r>
      <w:r w:rsidRPr="0035027D">
        <w:rPr>
          <w:szCs w:val="36"/>
        </w:rPr>
        <w:t>ovej a colnej správy prijatej vládou v roku 2008 rozbehol program UNITAS aktivity v oblasti zjednotenia výberu daní a ciel na technologickej, organiza</w:t>
      </w:r>
      <w:r w:rsidRPr="0035027D">
        <w:rPr>
          <w:rFonts w:cs="Times New Roman"/>
          <w:szCs w:val="36"/>
        </w:rPr>
        <w:t>č</w:t>
      </w:r>
      <w:r w:rsidRPr="0035027D">
        <w:rPr>
          <w:szCs w:val="36"/>
        </w:rPr>
        <w:t>nej aj procesnej úrovni (UNITAS I). Organiza</w:t>
      </w:r>
      <w:r w:rsidRPr="0035027D">
        <w:rPr>
          <w:rFonts w:cs="Times New Roman"/>
          <w:szCs w:val="36"/>
        </w:rPr>
        <w:t>č</w:t>
      </w:r>
      <w:r w:rsidRPr="0035027D">
        <w:rPr>
          <w:szCs w:val="36"/>
        </w:rPr>
        <w:t>né zmeny potrebné pre zjednotenie daní a cie</w:t>
      </w:r>
      <w:r w:rsidRPr="0035027D">
        <w:rPr>
          <w:rFonts w:cs="Times New Roman"/>
          <w:szCs w:val="36"/>
        </w:rPr>
        <w:t>ľ</w:t>
      </w:r>
      <w:r w:rsidRPr="0035027D">
        <w:rPr>
          <w:szCs w:val="36"/>
        </w:rPr>
        <w:t xml:space="preserve"> boli zav</w:t>
      </w:r>
      <w:r w:rsidRPr="0035027D">
        <w:rPr>
          <w:rFonts w:cs="Times New Roman"/>
          <w:szCs w:val="36"/>
        </w:rPr>
        <w:t>ŕ</w:t>
      </w:r>
      <w:r w:rsidRPr="0035027D">
        <w:rPr>
          <w:szCs w:val="36"/>
        </w:rPr>
        <w:t>šené na za</w:t>
      </w:r>
      <w:r w:rsidRPr="0035027D">
        <w:rPr>
          <w:rFonts w:cs="Times New Roman"/>
          <w:szCs w:val="36"/>
        </w:rPr>
        <w:t>č</w:t>
      </w:r>
      <w:r w:rsidRPr="0035027D">
        <w:rPr>
          <w:szCs w:val="36"/>
        </w:rPr>
        <w:t>iatku roku 2012 zlú</w:t>
      </w:r>
      <w:r w:rsidRPr="0035027D">
        <w:rPr>
          <w:rFonts w:cs="Times New Roman"/>
          <w:szCs w:val="36"/>
        </w:rPr>
        <w:t>č</w:t>
      </w:r>
      <w:r w:rsidRPr="0035027D">
        <w:rPr>
          <w:szCs w:val="36"/>
        </w:rPr>
        <w:t>ením Colného riadite</w:t>
      </w:r>
      <w:r w:rsidRPr="0035027D">
        <w:rPr>
          <w:rFonts w:cs="Times New Roman"/>
          <w:szCs w:val="36"/>
        </w:rPr>
        <w:t>ľ</w:t>
      </w:r>
      <w:r w:rsidRPr="0035027D">
        <w:rPr>
          <w:szCs w:val="36"/>
        </w:rPr>
        <w:t>stva a Finan</w:t>
      </w:r>
      <w:r w:rsidRPr="0035027D">
        <w:rPr>
          <w:rFonts w:cs="Times New Roman"/>
          <w:szCs w:val="36"/>
        </w:rPr>
        <w:t>č</w:t>
      </w:r>
      <w:r w:rsidRPr="0035027D">
        <w:rPr>
          <w:szCs w:val="36"/>
        </w:rPr>
        <w:t>ného riadite</w:t>
      </w:r>
      <w:r w:rsidRPr="0035027D">
        <w:rPr>
          <w:rFonts w:cs="Times New Roman"/>
          <w:szCs w:val="36"/>
        </w:rPr>
        <w:t>ľ</w:t>
      </w:r>
      <w:r w:rsidRPr="0035027D">
        <w:rPr>
          <w:szCs w:val="36"/>
        </w:rPr>
        <w:t>stva pod Finan</w:t>
      </w:r>
      <w:r w:rsidRPr="0035027D">
        <w:rPr>
          <w:rFonts w:cs="Times New Roman"/>
          <w:szCs w:val="36"/>
        </w:rPr>
        <w:t>č</w:t>
      </w:r>
      <w:r w:rsidRPr="0035027D">
        <w:rPr>
          <w:szCs w:val="36"/>
        </w:rPr>
        <w:t>nú správu. Na efektívnejší výber daní dohliada Kriminálny úrad finan</w:t>
      </w:r>
      <w:r w:rsidRPr="0035027D">
        <w:rPr>
          <w:rFonts w:cs="Times New Roman"/>
          <w:szCs w:val="36"/>
        </w:rPr>
        <w:t>č</w:t>
      </w:r>
      <w:r w:rsidRPr="0035027D">
        <w:rPr>
          <w:szCs w:val="36"/>
        </w:rPr>
        <w:t>nej správy.</w:t>
      </w:r>
    </w:p>
    <w:p w:rsidR="003B09AF" w:rsidRPr="0035027D" w:rsidRDefault="003B09AF" w:rsidP="003B09AF">
      <w:pPr>
        <w:spacing w:after="0"/>
        <w:rPr>
          <w:szCs w:val="36"/>
        </w:rPr>
      </w:pPr>
    </w:p>
    <w:p w:rsidR="003B09AF" w:rsidRDefault="003B09AF" w:rsidP="003B09AF">
      <w:pPr>
        <w:spacing w:after="0"/>
        <w:rPr>
          <w:szCs w:val="36"/>
        </w:rPr>
      </w:pPr>
      <w:r w:rsidRPr="0035027D">
        <w:rPr>
          <w:szCs w:val="36"/>
        </w:rPr>
        <w:t>V rámci projektu bude do polovice roku 2014 spustená skúšobná prevádzka integrovaného informa</w:t>
      </w:r>
      <w:r w:rsidRPr="0035027D">
        <w:rPr>
          <w:rFonts w:cs="Times New Roman"/>
          <w:szCs w:val="36"/>
        </w:rPr>
        <w:t>č</w:t>
      </w:r>
      <w:r w:rsidRPr="0035027D">
        <w:rPr>
          <w:szCs w:val="36"/>
        </w:rPr>
        <w:t>ného systému Finan</w:t>
      </w:r>
      <w:r w:rsidRPr="0035027D">
        <w:rPr>
          <w:rFonts w:cs="Times New Roman"/>
          <w:szCs w:val="36"/>
        </w:rPr>
        <w:t>č</w:t>
      </w:r>
      <w:r w:rsidRPr="0035027D">
        <w:rPr>
          <w:szCs w:val="36"/>
        </w:rPr>
        <w:t>nej správy. Systém by mal riadne fungova</w:t>
      </w:r>
      <w:r w:rsidRPr="0035027D">
        <w:rPr>
          <w:rFonts w:cs="Times New Roman"/>
          <w:szCs w:val="36"/>
        </w:rPr>
        <w:t>ť</w:t>
      </w:r>
      <w:r w:rsidRPr="0035027D">
        <w:rPr>
          <w:szCs w:val="36"/>
        </w:rPr>
        <w:t xml:space="preserve"> od roku 2015. Komunikáciu s verejnos</w:t>
      </w:r>
      <w:r w:rsidRPr="0035027D">
        <w:rPr>
          <w:rFonts w:cs="Times New Roman"/>
          <w:szCs w:val="36"/>
        </w:rPr>
        <w:t>ť</w:t>
      </w:r>
      <w:r w:rsidRPr="0035027D">
        <w:rPr>
          <w:szCs w:val="36"/>
        </w:rPr>
        <w:t>ou a podnikate</w:t>
      </w:r>
      <w:r w:rsidRPr="0035027D">
        <w:rPr>
          <w:rFonts w:cs="Times New Roman"/>
          <w:szCs w:val="36"/>
        </w:rPr>
        <w:t>ľ</w:t>
      </w:r>
      <w:r w:rsidRPr="0035027D">
        <w:rPr>
          <w:szCs w:val="36"/>
        </w:rPr>
        <w:t>skými subjektmi výrazne zefektívnia vzájomne prepojené elektronické portály Colného riadite</w:t>
      </w:r>
      <w:r w:rsidRPr="0035027D">
        <w:rPr>
          <w:rFonts w:cs="Times New Roman"/>
          <w:szCs w:val="36"/>
        </w:rPr>
        <w:t>ľ</w:t>
      </w:r>
      <w:r w:rsidRPr="0035027D">
        <w:rPr>
          <w:szCs w:val="36"/>
        </w:rPr>
        <w:t>stva (Centrálny elektronický prie</w:t>
      </w:r>
      <w:r w:rsidRPr="0035027D">
        <w:rPr>
          <w:rFonts w:cs="Times New Roman"/>
          <w:szCs w:val="36"/>
        </w:rPr>
        <w:t>č</w:t>
      </w:r>
      <w:r w:rsidRPr="0035027D">
        <w:rPr>
          <w:szCs w:val="36"/>
        </w:rPr>
        <w:t>inok) a Finan</w:t>
      </w:r>
      <w:r w:rsidRPr="0035027D">
        <w:rPr>
          <w:rFonts w:cs="Times New Roman"/>
          <w:szCs w:val="36"/>
        </w:rPr>
        <w:t>č</w:t>
      </w:r>
      <w:r w:rsidRPr="0035027D">
        <w:rPr>
          <w:szCs w:val="36"/>
        </w:rPr>
        <w:t>ného riadite</w:t>
      </w:r>
      <w:r w:rsidRPr="0035027D">
        <w:rPr>
          <w:rFonts w:cs="Times New Roman"/>
          <w:szCs w:val="36"/>
        </w:rPr>
        <w:t>ľ</w:t>
      </w:r>
      <w:r w:rsidRPr="0035027D">
        <w:rPr>
          <w:szCs w:val="36"/>
        </w:rPr>
        <w:t>stva (Portál Finan</w:t>
      </w:r>
      <w:r w:rsidRPr="0035027D">
        <w:rPr>
          <w:rFonts w:cs="Times New Roman"/>
          <w:szCs w:val="36"/>
        </w:rPr>
        <w:t>č</w:t>
      </w:r>
      <w:r w:rsidRPr="0035027D">
        <w:rPr>
          <w:szCs w:val="36"/>
        </w:rPr>
        <w:t xml:space="preserve">nej správy). V oblasti zjednotenia </w:t>
      </w:r>
      <w:r w:rsidRPr="0035027D">
        <w:rPr>
          <w:szCs w:val="36"/>
        </w:rPr>
        <w:lastRenderedPageBreak/>
        <w:t>odvodov (druhá etapa programu – UNITAS II.) sa v sú</w:t>
      </w:r>
      <w:r w:rsidRPr="0035027D">
        <w:rPr>
          <w:rFonts w:cs="Times New Roman"/>
          <w:szCs w:val="36"/>
        </w:rPr>
        <w:t>č</w:t>
      </w:r>
      <w:r w:rsidRPr="0035027D">
        <w:rPr>
          <w:szCs w:val="36"/>
        </w:rPr>
        <w:t>innosti so všetkými ú</w:t>
      </w:r>
      <w:r w:rsidRPr="0035027D">
        <w:rPr>
          <w:rFonts w:cs="Times New Roman"/>
          <w:szCs w:val="36"/>
        </w:rPr>
        <w:t>č</w:t>
      </w:r>
      <w:r w:rsidRPr="0035027D">
        <w:rPr>
          <w:szCs w:val="36"/>
        </w:rPr>
        <w:t>astníkmi aktuálne pripravujú harmonogramy prác a aktivít.</w:t>
      </w:r>
    </w:p>
    <w:p w:rsidR="00C66F29" w:rsidRDefault="00C66F29" w:rsidP="003B09AF">
      <w:pPr>
        <w:spacing w:after="0"/>
        <w:rPr>
          <w:szCs w:val="36"/>
        </w:rPr>
      </w:pPr>
    </w:p>
    <w:p w:rsidR="00C66F29" w:rsidRPr="00C66F29" w:rsidRDefault="00C66F29" w:rsidP="00C66F29">
      <w:pPr>
        <w:spacing w:after="0"/>
        <w:rPr>
          <w:rFonts w:cs="Times New Roman"/>
          <w:b/>
          <w:i/>
        </w:rPr>
      </w:pPr>
      <w:r w:rsidRPr="00C66F29">
        <w:rPr>
          <w:rFonts w:cs="Times New Roman"/>
          <w:b/>
          <w:i/>
        </w:rPr>
        <w:t xml:space="preserve">Zvyšovanie rentability štátnych aktív </w:t>
      </w:r>
    </w:p>
    <w:p w:rsidR="00C66F29" w:rsidRPr="000E4BE4" w:rsidRDefault="00C66F29" w:rsidP="00C66F29">
      <w:pPr>
        <w:spacing w:after="0"/>
        <w:rPr>
          <w:rFonts w:cs="Times New Roman"/>
          <w:highlight w:val="yellow"/>
        </w:rPr>
      </w:pPr>
    </w:p>
    <w:p w:rsidR="00C66F29" w:rsidRPr="00C66F29" w:rsidRDefault="00C66F29" w:rsidP="00C66F29">
      <w:pPr>
        <w:spacing w:after="0"/>
        <w:rPr>
          <w:szCs w:val="36"/>
        </w:rPr>
      </w:pPr>
      <w:r w:rsidRPr="00C66F29">
        <w:rPr>
          <w:szCs w:val="36"/>
        </w:rPr>
        <w:t>Kľúčový význam pre lepšie využitie a efektívne zveľaďovanie štátnych aktív má zvyšovanie ich rentability. Je to oblasť, ktorá priamo vyplýva z programového vyhlásenia vlády. Základným cieľom zvyšovania rentability štátnych aktív bude zvýšenie výnosov, resp. zisku pripadajúcich na jednotku štátnych aktív. Z pohľadu súčasnej situácie bude zvyšovanie rentability štátnych aktív a ich ďalšie zveľaďovanie predovšetkým vyžadovať :</w:t>
      </w:r>
    </w:p>
    <w:p w:rsidR="00C66F29" w:rsidRPr="00C66F29" w:rsidRDefault="00C66F29" w:rsidP="00C66F29">
      <w:pPr>
        <w:pStyle w:val="Odsekzoznamu"/>
        <w:numPr>
          <w:ilvl w:val="0"/>
          <w:numId w:val="42"/>
        </w:numPr>
        <w:spacing w:after="0"/>
        <w:rPr>
          <w:rFonts w:ascii="Arial Narrow" w:hAnsi="Arial Narrow"/>
          <w:szCs w:val="36"/>
        </w:rPr>
      </w:pPr>
      <w:r w:rsidRPr="00C66F29">
        <w:rPr>
          <w:rFonts w:ascii="Arial Narrow" w:hAnsi="Arial Narrow"/>
          <w:szCs w:val="36"/>
        </w:rPr>
        <w:t>konsolidáciu štátnych aktív,</w:t>
      </w:r>
    </w:p>
    <w:p w:rsidR="00C66F29" w:rsidRPr="00C66F29" w:rsidRDefault="00C66F29" w:rsidP="00C66F29">
      <w:pPr>
        <w:pStyle w:val="Odsekzoznamu"/>
        <w:numPr>
          <w:ilvl w:val="0"/>
          <w:numId w:val="42"/>
        </w:numPr>
        <w:spacing w:after="0"/>
        <w:rPr>
          <w:rFonts w:ascii="Arial Narrow" w:hAnsi="Arial Narrow"/>
          <w:szCs w:val="36"/>
        </w:rPr>
      </w:pPr>
      <w:r w:rsidRPr="00C66F29">
        <w:rPr>
          <w:rFonts w:ascii="Arial Narrow" w:hAnsi="Arial Narrow"/>
          <w:szCs w:val="36"/>
        </w:rPr>
        <w:t>komplexnú optimalizáciu štátnych aktív a</w:t>
      </w:r>
    </w:p>
    <w:p w:rsidR="00C66F29" w:rsidRPr="00C66F29" w:rsidRDefault="00C66F29" w:rsidP="00C66F29">
      <w:pPr>
        <w:pStyle w:val="Odsekzoznamu"/>
        <w:numPr>
          <w:ilvl w:val="0"/>
          <w:numId w:val="42"/>
        </w:numPr>
        <w:spacing w:after="0"/>
        <w:rPr>
          <w:rFonts w:ascii="Arial Narrow" w:hAnsi="Arial Narrow"/>
          <w:szCs w:val="36"/>
        </w:rPr>
      </w:pPr>
      <w:r w:rsidRPr="00C66F29">
        <w:rPr>
          <w:rFonts w:ascii="Arial Narrow" w:hAnsi="Arial Narrow"/>
          <w:szCs w:val="36"/>
        </w:rPr>
        <w:t>prepojenie využitia štátnych aktív s potrebami verejných financií a rozvojom reálnej ekonomiky</w:t>
      </w:r>
      <w:r>
        <w:rPr>
          <w:rFonts w:ascii="Arial Narrow" w:hAnsi="Arial Narrow"/>
          <w:szCs w:val="36"/>
        </w:rPr>
        <w:t>.</w:t>
      </w:r>
    </w:p>
    <w:p w:rsidR="007C034A" w:rsidRPr="0035027D" w:rsidRDefault="007C034A" w:rsidP="003B09AF">
      <w:pPr>
        <w:spacing w:after="0"/>
        <w:rPr>
          <w:szCs w:val="36"/>
        </w:rPr>
      </w:pPr>
    </w:p>
    <w:p w:rsidR="00445325" w:rsidRPr="0035027D" w:rsidRDefault="00445325" w:rsidP="00445325">
      <w:pPr>
        <w:pStyle w:val="Nadpis3"/>
        <w:ind w:left="0" w:firstLine="0"/>
      </w:pPr>
      <w:bookmarkStart w:id="44" w:name="_Toc353563377"/>
      <w:r w:rsidRPr="0035027D">
        <w:t>Vzdelávanie, veda a</w:t>
      </w:r>
      <w:r w:rsidR="008200E9" w:rsidRPr="0035027D">
        <w:t> </w:t>
      </w:r>
      <w:r w:rsidRPr="0035027D">
        <w:t>inovácie</w:t>
      </w:r>
      <w:bookmarkEnd w:id="35"/>
      <w:bookmarkEnd w:id="44"/>
      <w:r w:rsidR="008200E9" w:rsidRPr="0035027D">
        <w:t xml:space="preserve"> </w:t>
      </w:r>
    </w:p>
    <w:p w:rsidR="00445325" w:rsidRPr="0035027D" w:rsidRDefault="00445325" w:rsidP="00445325"/>
    <w:tbl>
      <w:tblPr>
        <w:tblW w:w="8360" w:type="dxa"/>
        <w:jc w:val="center"/>
        <w:tblInd w:w="55" w:type="dxa"/>
        <w:tblCellMar>
          <w:left w:w="70" w:type="dxa"/>
          <w:right w:w="70" w:type="dxa"/>
        </w:tblCellMar>
        <w:tblLook w:val="04A0" w:firstRow="1" w:lastRow="0" w:firstColumn="1" w:lastColumn="0" w:noHBand="0" w:noVBand="1"/>
      </w:tblPr>
      <w:tblGrid>
        <w:gridCol w:w="3505"/>
        <w:gridCol w:w="614"/>
        <w:gridCol w:w="505"/>
        <w:gridCol w:w="551"/>
        <w:gridCol w:w="505"/>
        <w:gridCol w:w="505"/>
        <w:gridCol w:w="505"/>
        <w:gridCol w:w="505"/>
        <w:gridCol w:w="505"/>
        <w:gridCol w:w="505"/>
        <w:gridCol w:w="505"/>
      </w:tblGrid>
      <w:tr w:rsidR="00445325" w:rsidRPr="0035027D" w:rsidTr="00F71538">
        <w:trPr>
          <w:trHeight w:val="300"/>
          <w:jc w:val="center"/>
        </w:trPr>
        <w:tc>
          <w:tcPr>
            <w:tcW w:w="8360" w:type="dxa"/>
            <w:gridSpan w:val="11"/>
            <w:tcBorders>
              <w:top w:val="single" w:sz="4" w:space="0" w:color="auto"/>
              <w:left w:val="single" w:sz="4" w:space="0" w:color="auto"/>
              <w:bottom w:val="single" w:sz="4" w:space="0" w:color="auto"/>
              <w:right w:val="nil"/>
            </w:tcBorders>
            <w:shd w:val="clear" w:color="000000" w:fill="000000"/>
            <w:noWrap/>
            <w:vAlign w:val="center"/>
            <w:hideMark/>
          </w:tcPr>
          <w:p w:rsidR="00445325" w:rsidRPr="0035027D" w:rsidRDefault="00194AC7" w:rsidP="00F71538">
            <w:pPr>
              <w:spacing w:after="0"/>
              <w:jc w:val="left"/>
              <w:rPr>
                <w:rFonts w:cs="Times New Roman"/>
                <w:b/>
                <w:bCs/>
                <w:color w:val="FFFFFF"/>
                <w:sz w:val="20"/>
                <w:szCs w:val="20"/>
              </w:rPr>
            </w:pPr>
            <w:r w:rsidRPr="0035027D">
              <w:rPr>
                <w:rFonts w:cs="Times New Roman"/>
                <w:b/>
                <w:bCs/>
                <w:color w:val="FFFFFF"/>
                <w:sz w:val="20"/>
                <w:szCs w:val="20"/>
              </w:rPr>
              <w:t xml:space="preserve">Tab. 3: </w:t>
            </w:r>
            <w:r w:rsidR="00445325" w:rsidRPr="0035027D">
              <w:rPr>
                <w:rFonts w:cs="Times New Roman"/>
                <w:b/>
                <w:bCs/>
                <w:color w:val="FFFFFF"/>
                <w:sz w:val="20"/>
                <w:szCs w:val="20"/>
              </w:rPr>
              <w:t>Výsledkové indikátory pre vzdelávanie, vedu a inovácie</w:t>
            </w:r>
          </w:p>
        </w:tc>
      </w:tr>
      <w:tr w:rsidR="00445325" w:rsidRPr="0035027D" w:rsidTr="00F71538">
        <w:trPr>
          <w:trHeight w:val="510"/>
          <w:jc w:val="center"/>
        </w:trPr>
        <w:tc>
          <w:tcPr>
            <w:tcW w:w="3505" w:type="dxa"/>
            <w:tcBorders>
              <w:top w:val="nil"/>
              <w:left w:val="single" w:sz="4" w:space="0" w:color="auto"/>
              <w:bottom w:val="single" w:sz="4" w:space="0" w:color="auto"/>
              <w:right w:val="nil"/>
            </w:tcBorders>
            <w:shd w:val="clear" w:color="000000" w:fill="BFBFBF"/>
            <w:noWrap/>
            <w:vAlign w:val="center"/>
            <w:hideMark/>
          </w:tcPr>
          <w:p w:rsidR="00445325" w:rsidRPr="0035027D" w:rsidRDefault="00445325" w:rsidP="00F71538">
            <w:pPr>
              <w:spacing w:after="0"/>
              <w:jc w:val="left"/>
              <w:rPr>
                <w:rFonts w:cs="Times New Roman"/>
                <w:b/>
                <w:bCs/>
                <w:color w:val="FFFFFF"/>
                <w:sz w:val="20"/>
                <w:szCs w:val="20"/>
              </w:rPr>
            </w:pPr>
            <w:r w:rsidRPr="0035027D">
              <w:rPr>
                <w:rFonts w:cs="Times New Roman"/>
                <w:b/>
                <w:bCs/>
                <w:color w:val="FFFFFF"/>
                <w:sz w:val="20"/>
                <w:szCs w:val="20"/>
              </w:rPr>
              <w:t> </w:t>
            </w:r>
          </w:p>
        </w:tc>
        <w:tc>
          <w:tcPr>
            <w:tcW w:w="535" w:type="dxa"/>
            <w:tcBorders>
              <w:top w:val="nil"/>
              <w:left w:val="nil"/>
              <w:bottom w:val="nil"/>
              <w:right w:val="nil"/>
            </w:tcBorders>
            <w:shd w:val="clear" w:color="000000" w:fill="BFBFBF"/>
            <w:noWrap/>
            <w:vAlign w:val="center"/>
            <w:hideMark/>
          </w:tcPr>
          <w:p w:rsidR="00445325" w:rsidRPr="0035027D" w:rsidRDefault="00445325" w:rsidP="00F71538">
            <w:pPr>
              <w:spacing w:after="0"/>
              <w:jc w:val="left"/>
              <w:rPr>
                <w:rFonts w:cs="Times New Roman"/>
                <w:b/>
                <w:bCs/>
                <w:color w:val="FFFFFF"/>
                <w:sz w:val="20"/>
                <w:szCs w:val="20"/>
              </w:rPr>
            </w:pPr>
            <w:r w:rsidRPr="0035027D">
              <w:rPr>
                <w:rFonts w:cs="Times New Roman"/>
                <w:b/>
                <w:bCs/>
                <w:color w:val="FFFFFF"/>
                <w:sz w:val="20"/>
                <w:szCs w:val="20"/>
              </w:rPr>
              <w:t> </w:t>
            </w:r>
          </w:p>
        </w:tc>
        <w:tc>
          <w:tcPr>
            <w:tcW w:w="480" w:type="dxa"/>
            <w:tcBorders>
              <w:top w:val="nil"/>
              <w:left w:val="single" w:sz="4" w:space="0" w:color="auto"/>
              <w:bottom w:val="single" w:sz="4" w:space="0" w:color="auto"/>
              <w:right w:val="nil"/>
            </w:tcBorders>
            <w:shd w:val="clear" w:color="000000" w:fill="BFBFBF"/>
            <w:noWrap/>
            <w:vAlign w:val="center"/>
            <w:hideMark/>
          </w:tcPr>
          <w:p w:rsidR="00445325" w:rsidRPr="0035027D" w:rsidRDefault="00445325" w:rsidP="00F71538">
            <w:pPr>
              <w:spacing w:after="0"/>
              <w:jc w:val="center"/>
              <w:rPr>
                <w:rFonts w:cs="Times New Roman"/>
                <w:b/>
                <w:bCs/>
                <w:color w:val="000000"/>
                <w:sz w:val="20"/>
                <w:szCs w:val="20"/>
              </w:rPr>
            </w:pPr>
            <w:r w:rsidRPr="0035027D">
              <w:rPr>
                <w:rFonts w:cs="Times New Roman"/>
                <w:b/>
                <w:bCs/>
                <w:color w:val="000000"/>
                <w:sz w:val="20"/>
                <w:szCs w:val="20"/>
              </w:rPr>
              <w:t>2004</w:t>
            </w:r>
          </w:p>
        </w:tc>
        <w:tc>
          <w:tcPr>
            <w:tcW w:w="480" w:type="dxa"/>
            <w:tcBorders>
              <w:top w:val="nil"/>
              <w:left w:val="nil"/>
              <w:bottom w:val="single" w:sz="4" w:space="0" w:color="auto"/>
              <w:right w:val="nil"/>
            </w:tcBorders>
            <w:shd w:val="clear" w:color="000000" w:fill="BFBFBF"/>
            <w:noWrap/>
            <w:vAlign w:val="center"/>
            <w:hideMark/>
          </w:tcPr>
          <w:p w:rsidR="00445325" w:rsidRPr="0035027D" w:rsidRDefault="00445325" w:rsidP="00F71538">
            <w:pPr>
              <w:spacing w:after="0"/>
              <w:jc w:val="center"/>
              <w:rPr>
                <w:rFonts w:cs="Times New Roman"/>
                <w:b/>
                <w:bCs/>
                <w:color w:val="000000"/>
                <w:sz w:val="20"/>
                <w:szCs w:val="20"/>
              </w:rPr>
            </w:pPr>
            <w:r w:rsidRPr="0035027D">
              <w:rPr>
                <w:rFonts w:cs="Times New Roman"/>
                <w:b/>
                <w:bCs/>
                <w:color w:val="000000"/>
                <w:sz w:val="20"/>
                <w:szCs w:val="20"/>
              </w:rPr>
              <w:t>2005</w:t>
            </w:r>
          </w:p>
        </w:tc>
        <w:tc>
          <w:tcPr>
            <w:tcW w:w="480" w:type="dxa"/>
            <w:tcBorders>
              <w:top w:val="nil"/>
              <w:left w:val="nil"/>
              <w:bottom w:val="single" w:sz="4" w:space="0" w:color="auto"/>
              <w:right w:val="nil"/>
            </w:tcBorders>
            <w:shd w:val="clear" w:color="000000" w:fill="BFBFBF"/>
            <w:noWrap/>
            <w:vAlign w:val="center"/>
            <w:hideMark/>
          </w:tcPr>
          <w:p w:rsidR="00445325" w:rsidRPr="0035027D" w:rsidRDefault="00445325" w:rsidP="00F71538">
            <w:pPr>
              <w:spacing w:after="0"/>
              <w:jc w:val="center"/>
              <w:rPr>
                <w:rFonts w:cs="Times New Roman"/>
                <w:b/>
                <w:bCs/>
                <w:color w:val="000000"/>
                <w:sz w:val="20"/>
                <w:szCs w:val="20"/>
              </w:rPr>
            </w:pPr>
            <w:r w:rsidRPr="0035027D">
              <w:rPr>
                <w:rFonts w:cs="Times New Roman"/>
                <w:b/>
                <w:bCs/>
                <w:color w:val="000000"/>
                <w:sz w:val="20"/>
                <w:szCs w:val="20"/>
              </w:rPr>
              <w:t>2006</w:t>
            </w:r>
          </w:p>
        </w:tc>
        <w:tc>
          <w:tcPr>
            <w:tcW w:w="480" w:type="dxa"/>
            <w:tcBorders>
              <w:top w:val="nil"/>
              <w:left w:val="nil"/>
              <w:bottom w:val="single" w:sz="4" w:space="0" w:color="auto"/>
              <w:right w:val="nil"/>
            </w:tcBorders>
            <w:shd w:val="clear" w:color="000000" w:fill="BFBFBF"/>
            <w:noWrap/>
            <w:vAlign w:val="center"/>
            <w:hideMark/>
          </w:tcPr>
          <w:p w:rsidR="00445325" w:rsidRPr="0035027D" w:rsidRDefault="00445325" w:rsidP="00F71538">
            <w:pPr>
              <w:spacing w:after="0"/>
              <w:jc w:val="center"/>
              <w:rPr>
                <w:rFonts w:cs="Times New Roman"/>
                <w:b/>
                <w:bCs/>
                <w:color w:val="000000"/>
                <w:sz w:val="20"/>
                <w:szCs w:val="20"/>
              </w:rPr>
            </w:pPr>
            <w:r w:rsidRPr="0035027D">
              <w:rPr>
                <w:rFonts w:cs="Times New Roman"/>
                <w:b/>
                <w:bCs/>
                <w:color w:val="000000"/>
                <w:sz w:val="20"/>
                <w:szCs w:val="20"/>
              </w:rPr>
              <w:t>2007</w:t>
            </w:r>
          </w:p>
        </w:tc>
        <w:tc>
          <w:tcPr>
            <w:tcW w:w="480" w:type="dxa"/>
            <w:tcBorders>
              <w:top w:val="nil"/>
              <w:left w:val="nil"/>
              <w:bottom w:val="single" w:sz="4" w:space="0" w:color="auto"/>
              <w:right w:val="nil"/>
            </w:tcBorders>
            <w:shd w:val="clear" w:color="000000" w:fill="BFBFBF"/>
            <w:vAlign w:val="center"/>
            <w:hideMark/>
          </w:tcPr>
          <w:p w:rsidR="00445325" w:rsidRPr="0035027D" w:rsidRDefault="00445325" w:rsidP="00F71538">
            <w:pPr>
              <w:spacing w:after="0"/>
              <w:jc w:val="center"/>
              <w:rPr>
                <w:rFonts w:cs="Times New Roman"/>
                <w:b/>
                <w:bCs/>
                <w:color w:val="000000"/>
                <w:sz w:val="20"/>
                <w:szCs w:val="20"/>
              </w:rPr>
            </w:pPr>
            <w:r w:rsidRPr="0035027D">
              <w:rPr>
                <w:rFonts w:cs="Times New Roman"/>
                <w:b/>
                <w:bCs/>
                <w:color w:val="000000"/>
                <w:sz w:val="20"/>
                <w:szCs w:val="20"/>
              </w:rPr>
              <w:t>2008</w:t>
            </w:r>
          </w:p>
        </w:tc>
        <w:tc>
          <w:tcPr>
            <w:tcW w:w="480" w:type="dxa"/>
            <w:tcBorders>
              <w:top w:val="nil"/>
              <w:left w:val="nil"/>
              <w:bottom w:val="single" w:sz="4" w:space="0" w:color="auto"/>
              <w:right w:val="nil"/>
            </w:tcBorders>
            <w:shd w:val="clear" w:color="000000" w:fill="BFBFBF"/>
            <w:vAlign w:val="center"/>
            <w:hideMark/>
          </w:tcPr>
          <w:p w:rsidR="00445325" w:rsidRPr="0035027D" w:rsidRDefault="00445325" w:rsidP="00F71538">
            <w:pPr>
              <w:spacing w:after="0"/>
              <w:jc w:val="center"/>
              <w:rPr>
                <w:rFonts w:cs="Times New Roman"/>
                <w:b/>
                <w:bCs/>
                <w:color w:val="000000"/>
                <w:sz w:val="20"/>
                <w:szCs w:val="20"/>
              </w:rPr>
            </w:pPr>
            <w:r w:rsidRPr="0035027D">
              <w:rPr>
                <w:rFonts w:cs="Times New Roman"/>
                <w:b/>
                <w:bCs/>
                <w:color w:val="000000"/>
                <w:sz w:val="20"/>
                <w:szCs w:val="20"/>
              </w:rPr>
              <w:t>2009</w:t>
            </w:r>
          </w:p>
        </w:tc>
        <w:tc>
          <w:tcPr>
            <w:tcW w:w="480" w:type="dxa"/>
            <w:tcBorders>
              <w:top w:val="nil"/>
              <w:left w:val="nil"/>
              <w:bottom w:val="single" w:sz="4" w:space="0" w:color="auto"/>
              <w:right w:val="nil"/>
            </w:tcBorders>
            <w:shd w:val="clear" w:color="000000" w:fill="BFBFBF"/>
            <w:vAlign w:val="center"/>
            <w:hideMark/>
          </w:tcPr>
          <w:p w:rsidR="00445325" w:rsidRPr="0035027D" w:rsidRDefault="00445325" w:rsidP="00F71538">
            <w:pPr>
              <w:spacing w:after="0"/>
              <w:jc w:val="center"/>
              <w:rPr>
                <w:rFonts w:cs="Times New Roman"/>
                <w:b/>
                <w:bCs/>
                <w:color w:val="000000"/>
                <w:sz w:val="20"/>
                <w:szCs w:val="20"/>
              </w:rPr>
            </w:pPr>
            <w:r w:rsidRPr="0035027D">
              <w:rPr>
                <w:rFonts w:cs="Times New Roman"/>
                <w:b/>
                <w:bCs/>
                <w:color w:val="000000"/>
                <w:sz w:val="20"/>
                <w:szCs w:val="20"/>
              </w:rPr>
              <w:t>2010</w:t>
            </w:r>
          </w:p>
        </w:tc>
        <w:tc>
          <w:tcPr>
            <w:tcW w:w="480" w:type="dxa"/>
            <w:tcBorders>
              <w:top w:val="nil"/>
              <w:left w:val="nil"/>
              <w:bottom w:val="single" w:sz="4" w:space="0" w:color="auto"/>
              <w:right w:val="single" w:sz="4" w:space="0" w:color="auto"/>
            </w:tcBorders>
            <w:shd w:val="clear" w:color="000000" w:fill="BFBFBF"/>
            <w:vAlign w:val="center"/>
            <w:hideMark/>
          </w:tcPr>
          <w:p w:rsidR="00445325" w:rsidRPr="0035027D" w:rsidRDefault="00445325" w:rsidP="00F71538">
            <w:pPr>
              <w:spacing w:after="0"/>
              <w:jc w:val="center"/>
              <w:rPr>
                <w:rFonts w:cs="Times New Roman"/>
                <w:b/>
                <w:bCs/>
                <w:color w:val="000000"/>
                <w:sz w:val="20"/>
                <w:szCs w:val="20"/>
              </w:rPr>
            </w:pPr>
            <w:r w:rsidRPr="0035027D">
              <w:rPr>
                <w:rFonts w:cs="Times New Roman"/>
                <w:b/>
                <w:bCs/>
                <w:color w:val="000000"/>
                <w:sz w:val="20"/>
                <w:szCs w:val="20"/>
              </w:rPr>
              <w:t>2011</w:t>
            </w:r>
          </w:p>
        </w:tc>
        <w:tc>
          <w:tcPr>
            <w:tcW w:w="480" w:type="dxa"/>
            <w:tcBorders>
              <w:top w:val="nil"/>
              <w:left w:val="nil"/>
              <w:bottom w:val="single" w:sz="4" w:space="0" w:color="auto"/>
              <w:right w:val="single" w:sz="4" w:space="0" w:color="auto"/>
            </w:tcBorders>
            <w:shd w:val="clear" w:color="000000" w:fill="BFBFBF"/>
            <w:vAlign w:val="center"/>
            <w:hideMark/>
          </w:tcPr>
          <w:p w:rsidR="00445325" w:rsidRPr="0035027D" w:rsidRDefault="00445325" w:rsidP="00F71538">
            <w:pPr>
              <w:spacing w:after="0"/>
              <w:jc w:val="left"/>
              <w:rPr>
                <w:rFonts w:cs="Times New Roman"/>
                <w:b/>
                <w:bCs/>
                <w:sz w:val="20"/>
                <w:szCs w:val="20"/>
              </w:rPr>
            </w:pPr>
            <w:r w:rsidRPr="0035027D">
              <w:rPr>
                <w:rFonts w:cs="Times New Roman"/>
                <w:b/>
                <w:bCs/>
                <w:sz w:val="20"/>
                <w:szCs w:val="20"/>
              </w:rPr>
              <w:t>Cieľ 2020</w:t>
            </w:r>
          </w:p>
        </w:tc>
      </w:tr>
      <w:tr w:rsidR="00445325" w:rsidRPr="0035027D" w:rsidTr="00F71538">
        <w:trPr>
          <w:trHeight w:val="300"/>
          <w:jc w:val="center"/>
        </w:trPr>
        <w:tc>
          <w:tcPr>
            <w:tcW w:w="3505" w:type="dxa"/>
            <w:tcBorders>
              <w:top w:val="nil"/>
              <w:left w:val="single" w:sz="4" w:space="0" w:color="auto"/>
              <w:bottom w:val="nil"/>
              <w:right w:val="nil"/>
            </w:tcBorders>
            <w:shd w:val="clear" w:color="auto" w:fill="auto"/>
            <w:noWrap/>
            <w:vAlign w:val="center"/>
            <w:hideMark/>
          </w:tcPr>
          <w:p w:rsidR="00445325" w:rsidRPr="0035027D" w:rsidRDefault="00445325" w:rsidP="00F71538">
            <w:pPr>
              <w:spacing w:after="0"/>
              <w:rPr>
                <w:rFonts w:cs="Times New Roman"/>
                <w:b/>
                <w:bCs/>
                <w:color w:val="000000"/>
                <w:sz w:val="20"/>
                <w:szCs w:val="20"/>
              </w:rPr>
            </w:pPr>
            <w:r w:rsidRPr="0035027D">
              <w:rPr>
                <w:rFonts w:cs="Times New Roman"/>
                <w:b/>
                <w:bCs/>
                <w:color w:val="000000"/>
                <w:sz w:val="20"/>
                <w:szCs w:val="20"/>
              </w:rPr>
              <w:t>PISA</w:t>
            </w:r>
          </w:p>
        </w:tc>
        <w:tc>
          <w:tcPr>
            <w:tcW w:w="535" w:type="dxa"/>
            <w:tcBorders>
              <w:top w:val="single" w:sz="4" w:space="0" w:color="auto"/>
              <w:left w:val="nil"/>
              <w:bottom w:val="nil"/>
              <w:right w:val="single" w:sz="4" w:space="0" w:color="auto"/>
            </w:tcBorders>
            <w:shd w:val="clear" w:color="auto" w:fill="auto"/>
            <w:noWrap/>
            <w:vAlign w:val="center"/>
            <w:hideMark/>
          </w:tcPr>
          <w:p w:rsidR="00445325" w:rsidRPr="0035027D" w:rsidRDefault="00445325" w:rsidP="00F71538">
            <w:pPr>
              <w:spacing w:after="0"/>
              <w:jc w:val="left"/>
              <w:rPr>
                <w:rFonts w:cs="Times New Roman"/>
                <w:b/>
                <w:bCs/>
                <w:color w:val="000000"/>
                <w:sz w:val="20"/>
                <w:szCs w:val="20"/>
              </w:rPr>
            </w:pPr>
            <w:r w:rsidRPr="0035027D">
              <w:rPr>
                <w:rFonts w:cs="Times New Roman"/>
                <w:b/>
                <w:bCs/>
                <w:color w:val="000000"/>
                <w:sz w:val="20"/>
                <w:szCs w:val="20"/>
              </w:rPr>
              <w:t>SK</w:t>
            </w:r>
          </w:p>
        </w:tc>
        <w:tc>
          <w:tcPr>
            <w:tcW w:w="480" w:type="dxa"/>
            <w:tcBorders>
              <w:top w:val="nil"/>
              <w:left w:val="nil"/>
              <w:bottom w:val="nil"/>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w:t>
            </w:r>
          </w:p>
        </w:tc>
        <w:tc>
          <w:tcPr>
            <w:tcW w:w="480" w:type="dxa"/>
            <w:tcBorders>
              <w:top w:val="nil"/>
              <w:left w:val="nil"/>
              <w:bottom w:val="nil"/>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w:t>
            </w:r>
          </w:p>
        </w:tc>
        <w:tc>
          <w:tcPr>
            <w:tcW w:w="480" w:type="dxa"/>
            <w:tcBorders>
              <w:top w:val="nil"/>
              <w:left w:val="nil"/>
              <w:bottom w:val="nil"/>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482</w:t>
            </w:r>
          </w:p>
        </w:tc>
        <w:tc>
          <w:tcPr>
            <w:tcW w:w="480" w:type="dxa"/>
            <w:tcBorders>
              <w:top w:val="nil"/>
              <w:left w:val="nil"/>
              <w:bottom w:val="nil"/>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w:t>
            </w:r>
          </w:p>
        </w:tc>
        <w:tc>
          <w:tcPr>
            <w:tcW w:w="480" w:type="dxa"/>
            <w:tcBorders>
              <w:top w:val="nil"/>
              <w:left w:val="nil"/>
              <w:bottom w:val="nil"/>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w:t>
            </w:r>
          </w:p>
        </w:tc>
        <w:tc>
          <w:tcPr>
            <w:tcW w:w="480" w:type="dxa"/>
            <w:tcBorders>
              <w:top w:val="nil"/>
              <w:left w:val="nil"/>
              <w:bottom w:val="nil"/>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488</w:t>
            </w:r>
          </w:p>
        </w:tc>
        <w:tc>
          <w:tcPr>
            <w:tcW w:w="480" w:type="dxa"/>
            <w:tcBorders>
              <w:top w:val="nil"/>
              <w:left w:val="nil"/>
              <w:bottom w:val="nil"/>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w:t>
            </w:r>
          </w:p>
        </w:tc>
        <w:tc>
          <w:tcPr>
            <w:tcW w:w="480" w:type="dxa"/>
            <w:tcBorders>
              <w:top w:val="nil"/>
              <w:left w:val="nil"/>
              <w:bottom w:val="nil"/>
              <w:right w:val="single" w:sz="4" w:space="0" w:color="auto"/>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w:t>
            </w:r>
          </w:p>
        </w:tc>
        <w:tc>
          <w:tcPr>
            <w:tcW w:w="480" w:type="dxa"/>
            <w:tcBorders>
              <w:top w:val="nil"/>
              <w:left w:val="nil"/>
              <w:bottom w:val="nil"/>
              <w:right w:val="single" w:sz="4" w:space="0" w:color="auto"/>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505</w:t>
            </w:r>
          </w:p>
        </w:tc>
      </w:tr>
      <w:tr w:rsidR="00445325" w:rsidRPr="0035027D" w:rsidTr="00F71538">
        <w:trPr>
          <w:trHeight w:val="300"/>
          <w:jc w:val="center"/>
        </w:trPr>
        <w:tc>
          <w:tcPr>
            <w:tcW w:w="3505" w:type="dxa"/>
            <w:tcBorders>
              <w:top w:val="nil"/>
              <w:left w:val="single" w:sz="4" w:space="0" w:color="auto"/>
              <w:bottom w:val="single" w:sz="4" w:space="0" w:color="auto"/>
              <w:right w:val="nil"/>
            </w:tcBorders>
            <w:shd w:val="clear" w:color="auto" w:fill="auto"/>
            <w:noWrap/>
            <w:vAlign w:val="center"/>
            <w:hideMark/>
          </w:tcPr>
          <w:p w:rsidR="00445325" w:rsidRPr="0035027D" w:rsidRDefault="00445325" w:rsidP="00F71538">
            <w:pPr>
              <w:spacing w:after="0"/>
              <w:rPr>
                <w:rFonts w:cs="Times New Roman"/>
                <w:color w:val="000000"/>
                <w:sz w:val="20"/>
                <w:szCs w:val="20"/>
              </w:rPr>
            </w:pPr>
            <w:r w:rsidRPr="0035027D">
              <w:rPr>
                <w:rFonts w:cs="Times New Roman"/>
                <w:color w:val="000000"/>
                <w:sz w:val="20"/>
                <w:szCs w:val="20"/>
              </w:rPr>
              <w:t>(priemer dosiahnutých bodov)</w:t>
            </w:r>
          </w:p>
        </w:tc>
        <w:tc>
          <w:tcPr>
            <w:tcW w:w="535" w:type="dxa"/>
            <w:tcBorders>
              <w:top w:val="nil"/>
              <w:left w:val="nil"/>
              <w:bottom w:val="nil"/>
              <w:right w:val="single" w:sz="4" w:space="0" w:color="auto"/>
            </w:tcBorders>
            <w:shd w:val="clear" w:color="auto" w:fill="auto"/>
            <w:noWrap/>
            <w:vAlign w:val="center"/>
            <w:hideMark/>
          </w:tcPr>
          <w:p w:rsidR="00445325" w:rsidRPr="0035027D" w:rsidRDefault="00445325" w:rsidP="00F71538">
            <w:pPr>
              <w:spacing w:after="0"/>
              <w:jc w:val="left"/>
              <w:rPr>
                <w:rFonts w:cs="Times New Roman"/>
                <w:b/>
                <w:bCs/>
                <w:color w:val="000000"/>
                <w:sz w:val="20"/>
                <w:szCs w:val="20"/>
              </w:rPr>
            </w:pPr>
            <w:r w:rsidRPr="0035027D">
              <w:rPr>
                <w:rFonts w:cs="Times New Roman"/>
                <w:b/>
                <w:bCs/>
                <w:color w:val="000000"/>
                <w:sz w:val="20"/>
                <w:szCs w:val="20"/>
              </w:rPr>
              <w:t>OECD</w:t>
            </w:r>
          </w:p>
        </w:tc>
        <w:tc>
          <w:tcPr>
            <w:tcW w:w="480" w:type="dxa"/>
            <w:tcBorders>
              <w:top w:val="nil"/>
              <w:left w:val="nil"/>
              <w:bottom w:val="single" w:sz="4" w:space="0" w:color="auto"/>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w:t>
            </w:r>
          </w:p>
        </w:tc>
        <w:tc>
          <w:tcPr>
            <w:tcW w:w="480" w:type="dxa"/>
            <w:tcBorders>
              <w:top w:val="nil"/>
              <w:left w:val="nil"/>
              <w:bottom w:val="single" w:sz="4" w:space="0" w:color="auto"/>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w:t>
            </w:r>
          </w:p>
        </w:tc>
        <w:tc>
          <w:tcPr>
            <w:tcW w:w="480" w:type="dxa"/>
            <w:tcBorders>
              <w:top w:val="nil"/>
              <w:left w:val="nil"/>
              <w:bottom w:val="single" w:sz="4" w:space="0" w:color="auto"/>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496</w:t>
            </w:r>
          </w:p>
        </w:tc>
        <w:tc>
          <w:tcPr>
            <w:tcW w:w="480" w:type="dxa"/>
            <w:tcBorders>
              <w:top w:val="nil"/>
              <w:left w:val="nil"/>
              <w:bottom w:val="single" w:sz="4" w:space="0" w:color="auto"/>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w:t>
            </w:r>
          </w:p>
        </w:tc>
        <w:tc>
          <w:tcPr>
            <w:tcW w:w="480" w:type="dxa"/>
            <w:tcBorders>
              <w:top w:val="nil"/>
              <w:left w:val="nil"/>
              <w:bottom w:val="single" w:sz="4" w:space="0" w:color="auto"/>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w:t>
            </w:r>
          </w:p>
        </w:tc>
        <w:tc>
          <w:tcPr>
            <w:tcW w:w="480" w:type="dxa"/>
            <w:tcBorders>
              <w:top w:val="nil"/>
              <w:left w:val="nil"/>
              <w:bottom w:val="single" w:sz="4" w:space="0" w:color="auto"/>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496</w:t>
            </w:r>
          </w:p>
        </w:tc>
        <w:tc>
          <w:tcPr>
            <w:tcW w:w="480" w:type="dxa"/>
            <w:tcBorders>
              <w:top w:val="nil"/>
              <w:left w:val="nil"/>
              <w:bottom w:val="single" w:sz="4" w:space="0" w:color="auto"/>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w:t>
            </w:r>
          </w:p>
        </w:tc>
        <w:tc>
          <w:tcPr>
            <w:tcW w:w="480" w:type="dxa"/>
            <w:tcBorders>
              <w:top w:val="nil"/>
              <w:left w:val="nil"/>
              <w:bottom w:val="single" w:sz="4" w:space="0" w:color="auto"/>
              <w:right w:val="single" w:sz="4" w:space="0" w:color="auto"/>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w:t>
            </w:r>
          </w:p>
        </w:tc>
        <w:tc>
          <w:tcPr>
            <w:tcW w:w="480" w:type="dxa"/>
            <w:tcBorders>
              <w:top w:val="nil"/>
              <w:left w:val="nil"/>
              <w:bottom w:val="single" w:sz="4" w:space="0" w:color="auto"/>
              <w:right w:val="single" w:sz="4" w:space="0" w:color="auto"/>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w:t>
            </w:r>
          </w:p>
        </w:tc>
      </w:tr>
      <w:tr w:rsidR="00445325" w:rsidRPr="0035027D" w:rsidTr="00F71538">
        <w:trPr>
          <w:trHeight w:val="300"/>
          <w:jc w:val="center"/>
        </w:trPr>
        <w:tc>
          <w:tcPr>
            <w:tcW w:w="3505" w:type="dxa"/>
            <w:tcBorders>
              <w:top w:val="nil"/>
              <w:left w:val="single" w:sz="4" w:space="0" w:color="auto"/>
              <w:bottom w:val="nil"/>
              <w:right w:val="nil"/>
            </w:tcBorders>
            <w:shd w:val="clear" w:color="auto" w:fill="auto"/>
            <w:noWrap/>
            <w:vAlign w:val="center"/>
            <w:hideMark/>
          </w:tcPr>
          <w:p w:rsidR="00445325" w:rsidRPr="0035027D" w:rsidRDefault="00445325" w:rsidP="00F71538">
            <w:pPr>
              <w:spacing w:after="0"/>
              <w:jc w:val="left"/>
              <w:rPr>
                <w:rFonts w:cs="Times New Roman"/>
                <w:b/>
                <w:bCs/>
                <w:color w:val="000000"/>
                <w:sz w:val="20"/>
                <w:szCs w:val="20"/>
              </w:rPr>
            </w:pPr>
            <w:r w:rsidRPr="0035027D">
              <w:rPr>
                <w:rFonts w:cs="Times New Roman"/>
                <w:b/>
                <w:bCs/>
                <w:color w:val="000000"/>
                <w:sz w:val="20"/>
                <w:szCs w:val="20"/>
              </w:rPr>
              <w:t>Predčasné ukončenie školskej dochádzky</w:t>
            </w:r>
          </w:p>
        </w:tc>
        <w:tc>
          <w:tcPr>
            <w:tcW w:w="535" w:type="dxa"/>
            <w:tcBorders>
              <w:top w:val="single" w:sz="4" w:space="0" w:color="auto"/>
              <w:left w:val="nil"/>
              <w:bottom w:val="nil"/>
              <w:right w:val="single" w:sz="4" w:space="0" w:color="auto"/>
            </w:tcBorders>
            <w:shd w:val="clear" w:color="auto" w:fill="auto"/>
            <w:noWrap/>
            <w:vAlign w:val="center"/>
            <w:hideMark/>
          </w:tcPr>
          <w:p w:rsidR="00445325" w:rsidRPr="0035027D" w:rsidRDefault="00445325" w:rsidP="00F71538">
            <w:pPr>
              <w:spacing w:after="0"/>
              <w:jc w:val="left"/>
              <w:rPr>
                <w:rFonts w:cs="Times New Roman"/>
                <w:b/>
                <w:bCs/>
                <w:color w:val="000000"/>
                <w:sz w:val="20"/>
                <w:szCs w:val="20"/>
              </w:rPr>
            </w:pPr>
            <w:r w:rsidRPr="0035027D">
              <w:rPr>
                <w:rFonts w:cs="Times New Roman"/>
                <w:b/>
                <w:bCs/>
                <w:color w:val="000000"/>
                <w:sz w:val="20"/>
                <w:szCs w:val="20"/>
              </w:rPr>
              <w:t>SK</w:t>
            </w:r>
          </w:p>
        </w:tc>
        <w:tc>
          <w:tcPr>
            <w:tcW w:w="480" w:type="dxa"/>
            <w:tcBorders>
              <w:top w:val="nil"/>
              <w:left w:val="nil"/>
              <w:bottom w:val="nil"/>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6,8</w:t>
            </w:r>
          </w:p>
        </w:tc>
        <w:tc>
          <w:tcPr>
            <w:tcW w:w="480" w:type="dxa"/>
            <w:tcBorders>
              <w:top w:val="nil"/>
              <w:left w:val="nil"/>
              <w:bottom w:val="nil"/>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6,3</w:t>
            </w:r>
          </w:p>
        </w:tc>
        <w:tc>
          <w:tcPr>
            <w:tcW w:w="480" w:type="dxa"/>
            <w:tcBorders>
              <w:top w:val="nil"/>
              <w:left w:val="nil"/>
              <w:bottom w:val="nil"/>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6,6</w:t>
            </w:r>
          </w:p>
        </w:tc>
        <w:tc>
          <w:tcPr>
            <w:tcW w:w="480" w:type="dxa"/>
            <w:tcBorders>
              <w:top w:val="nil"/>
              <w:left w:val="nil"/>
              <w:bottom w:val="nil"/>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6,5</w:t>
            </w:r>
          </w:p>
        </w:tc>
        <w:tc>
          <w:tcPr>
            <w:tcW w:w="480" w:type="dxa"/>
            <w:tcBorders>
              <w:top w:val="nil"/>
              <w:left w:val="nil"/>
              <w:bottom w:val="nil"/>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6</w:t>
            </w:r>
          </w:p>
        </w:tc>
        <w:tc>
          <w:tcPr>
            <w:tcW w:w="480" w:type="dxa"/>
            <w:tcBorders>
              <w:top w:val="nil"/>
              <w:left w:val="nil"/>
              <w:bottom w:val="nil"/>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4,9</w:t>
            </w:r>
          </w:p>
        </w:tc>
        <w:tc>
          <w:tcPr>
            <w:tcW w:w="480" w:type="dxa"/>
            <w:tcBorders>
              <w:top w:val="nil"/>
              <w:left w:val="nil"/>
              <w:bottom w:val="nil"/>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4,7</w:t>
            </w:r>
          </w:p>
        </w:tc>
        <w:tc>
          <w:tcPr>
            <w:tcW w:w="480" w:type="dxa"/>
            <w:tcBorders>
              <w:top w:val="nil"/>
              <w:left w:val="nil"/>
              <w:bottom w:val="nil"/>
              <w:right w:val="single" w:sz="4" w:space="0" w:color="auto"/>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5</w:t>
            </w:r>
          </w:p>
        </w:tc>
        <w:tc>
          <w:tcPr>
            <w:tcW w:w="480" w:type="dxa"/>
            <w:tcBorders>
              <w:top w:val="nil"/>
              <w:left w:val="nil"/>
              <w:bottom w:val="nil"/>
              <w:right w:val="single" w:sz="4" w:space="0" w:color="auto"/>
            </w:tcBorders>
            <w:shd w:val="clear" w:color="auto" w:fill="auto"/>
            <w:noWrap/>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6</w:t>
            </w:r>
          </w:p>
        </w:tc>
      </w:tr>
      <w:tr w:rsidR="00445325" w:rsidRPr="0035027D" w:rsidTr="00DA3C05">
        <w:trPr>
          <w:trHeight w:val="300"/>
          <w:jc w:val="center"/>
        </w:trPr>
        <w:tc>
          <w:tcPr>
            <w:tcW w:w="3505" w:type="dxa"/>
            <w:tcBorders>
              <w:top w:val="nil"/>
              <w:left w:val="single" w:sz="4" w:space="0" w:color="auto"/>
              <w:bottom w:val="single" w:sz="4" w:space="0" w:color="auto"/>
              <w:right w:val="nil"/>
            </w:tcBorders>
            <w:shd w:val="clear" w:color="auto" w:fill="auto"/>
            <w:noWrap/>
            <w:vAlign w:val="center"/>
            <w:hideMark/>
          </w:tcPr>
          <w:p w:rsidR="00445325" w:rsidRPr="0035027D" w:rsidRDefault="00445325" w:rsidP="00F71538">
            <w:pPr>
              <w:spacing w:after="0"/>
              <w:rPr>
                <w:rFonts w:cs="Times New Roman"/>
                <w:color w:val="000000"/>
                <w:sz w:val="20"/>
                <w:szCs w:val="20"/>
              </w:rPr>
            </w:pPr>
            <w:r w:rsidRPr="0035027D">
              <w:rPr>
                <w:rFonts w:cs="Times New Roman"/>
                <w:color w:val="000000"/>
                <w:sz w:val="20"/>
                <w:szCs w:val="20"/>
              </w:rPr>
              <w:t>(% vo vekovej skupine 18 - 24 rokov)</w:t>
            </w:r>
          </w:p>
        </w:tc>
        <w:tc>
          <w:tcPr>
            <w:tcW w:w="535" w:type="dxa"/>
            <w:tcBorders>
              <w:top w:val="nil"/>
              <w:left w:val="nil"/>
              <w:bottom w:val="single" w:sz="4" w:space="0" w:color="auto"/>
              <w:right w:val="single" w:sz="4" w:space="0" w:color="auto"/>
            </w:tcBorders>
            <w:shd w:val="clear" w:color="auto" w:fill="auto"/>
            <w:noWrap/>
            <w:vAlign w:val="center"/>
            <w:hideMark/>
          </w:tcPr>
          <w:p w:rsidR="00445325" w:rsidRPr="0035027D" w:rsidRDefault="00445325" w:rsidP="00F71538">
            <w:pPr>
              <w:spacing w:after="0"/>
              <w:jc w:val="left"/>
              <w:rPr>
                <w:rFonts w:cs="Times New Roman"/>
                <w:b/>
                <w:bCs/>
                <w:color w:val="000000"/>
                <w:sz w:val="20"/>
                <w:szCs w:val="20"/>
              </w:rPr>
            </w:pPr>
            <w:r w:rsidRPr="0035027D">
              <w:rPr>
                <w:rFonts w:cs="Times New Roman"/>
                <w:b/>
                <w:bCs/>
                <w:color w:val="000000"/>
                <w:sz w:val="20"/>
                <w:szCs w:val="20"/>
              </w:rPr>
              <w:t>EÚ</w:t>
            </w:r>
          </w:p>
        </w:tc>
        <w:tc>
          <w:tcPr>
            <w:tcW w:w="480" w:type="dxa"/>
            <w:tcBorders>
              <w:top w:val="nil"/>
              <w:left w:val="nil"/>
              <w:bottom w:val="single" w:sz="4" w:space="0" w:color="auto"/>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16</w:t>
            </w:r>
          </w:p>
        </w:tc>
        <w:tc>
          <w:tcPr>
            <w:tcW w:w="480" w:type="dxa"/>
            <w:tcBorders>
              <w:top w:val="nil"/>
              <w:left w:val="nil"/>
              <w:bottom w:val="single" w:sz="4" w:space="0" w:color="auto"/>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15,8</w:t>
            </w:r>
          </w:p>
        </w:tc>
        <w:tc>
          <w:tcPr>
            <w:tcW w:w="480" w:type="dxa"/>
            <w:tcBorders>
              <w:top w:val="nil"/>
              <w:left w:val="nil"/>
              <w:bottom w:val="single" w:sz="4" w:space="0" w:color="auto"/>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15,5</w:t>
            </w:r>
          </w:p>
        </w:tc>
        <w:tc>
          <w:tcPr>
            <w:tcW w:w="480" w:type="dxa"/>
            <w:tcBorders>
              <w:top w:val="nil"/>
              <w:left w:val="nil"/>
              <w:bottom w:val="single" w:sz="4" w:space="0" w:color="auto"/>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15,1</w:t>
            </w:r>
          </w:p>
        </w:tc>
        <w:tc>
          <w:tcPr>
            <w:tcW w:w="480" w:type="dxa"/>
            <w:tcBorders>
              <w:top w:val="nil"/>
              <w:left w:val="nil"/>
              <w:bottom w:val="single" w:sz="4" w:space="0" w:color="auto"/>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14,9</w:t>
            </w:r>
          </w:p>
        </w:tc>
        <w:tc>
          <w:tcPr>
            <w:tcW w:w="480" w:type="dxa"/>
            <w:tcBorders>
              <w:top w:val="nil"/>
              <w:left w:val="nil"/>
              <w:bottom w:val="single" w:sz="4" w:space="0" w:color="auto"/>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14,4</w:t>
            </w:r>
          </w:p>
        </w:tc>
        <w:tc>
          <w:tcPr>
            <w:tcW w:w="480" w:type="dxa"/>
            <w:tcBorders>
              <w:top w:val="nil"/>
              <w:left w:val="nil"/>
              <w:bottom w:val="single" w:sz="4" w:space="0" w:color="auto"/>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14,1</w:t>
            </w:r>
          </w:p>
        </w:tc>
        <w:tc>
          <w:tcPr>
            <w:tcW w:w="480" w:type="dxa"/>
            <w:tcBorders>
              <w:top w:val="nil"/>
              <w:left w:val="nil"/>
              <w:bottom w:val="single" w:sz="4" w:space="0" w:color="auto"/>
              <w:right w:val="single" w:sz="4" w:space="0" w:color="auto"/>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13,5</w:t>
            </w:r>
          </w:p>
        </w:tc>
        <w:tc>
          <w:tcPr>
            <w:tcW w:w="480" w:type="dxa"/>
            <w:tcBorders>
              <w:top w:val="nil"/>
              <w:left w:val="nil"/>
              <w:bottom w:val="single" w:sz="4" w:space="0" w:color="auto"/>
              <w:right w:val="single" w:sz="4" w:space="0" w:color="auto"/>
            </w:tcBorders>
            <w:shd w:val="clear" w:color="auto" w:fill="auto"/>
            <w:noWrap/>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10</w:t>
            </w:r>
          </w:p>
        </w:tc>
      </w:tr>
      <w:tr w:rsidR="00445325" w:rsidRPr="0035027D" w:rsidTr="00DA3C05">
        <w:trPr>
          <w:trHeight w:val="300"/>
          <w:jc w:val="center"/>
        </w:trPr>
        <w:tc>
          <w:tcPr>
            <w:tcW w:w="3505" w:type="dxa"/>
            <w:tcBorders>
              <w:top w:val="single" w:sz="4" w:space="0" w:color="auto"/>
              <w:left w:val="single" w:sz="4" w:space="0" w:color="auto"/>
              <w:bottom w:val="nil"/>
              <w:right w:val="nil"/>
            </w:tcBorders>
            <w:shd w:val="clear" w:color="auto" w:fill="auto"/>
            <w:noWrap/>
            <w:vAlign w:val="center"/>
            <w:hideMark/>
          </w:tcPr>
          <w:p w:rsidR="00445325" w:rsidRPr="0035027D" w:rsidRDefault="00445325" w:rsidP="00F71538">
            <w:pPr>
              <w:spacing w:after="0"/>
              <w:jc w:val="left"/>
              <w:rPr>
                <w:rFonts w:cs="Times New Roman"/>
                <w:b/>
                <w:bCs/>
                <w:color w:val="000000"/>
                <w:sz w:val="20"/>
                <w:szCs w:val="20"/>
              </w:rPr>
            </w:pPr>
            <w:r w:rsidRPr="0035027D">
              <w:rPr>
                <w:rFonts w:cs="Times New Roman"/>
                <w:b/>
                <w:bCs/>
                <w:color w:val="000000"/>
                <w:sz w:val="20"/>
                <w:szCs w:val="20"/>
              </w:rPr>
              <w:t>Citácie</w:t>
            </w:r>
          </w:p>
        </w:tc>
        <w:tc>
          <w:tcPr>
            <w:tcW w:w="535" w:type="dxa"/>
            <w:tcBorders>
              <w:top w:val="single" w:sz="4" w:space="0" w:color="auto"/>
              <w:left w:val="nil"/>
              <w:right w:val="single" w:sz="4" w:space="0" w:color="auto"/>
            </w:tcBorders>
            <w:shd w:val="clear" w:color="auto" w:fill="auto"/>
            <w:noWrap/>
            <w:vAlign w:val="center"/>
            <w:hideMark/>
          </w:tcPr>
          <w:p w:rsidR="00445325" w:rsidRPr="0035027D" w:rsidRDefault="00445325" w:rsidP="00F71538">
            <w:pPr>
              <w:spacing w:after="0"/>
              <w:jc w:val="left"/>
              <w:rPr>
                <w:rFonts w:cs="Times New Roman"/>
                <w:b/>
                <w:bCs/>
                <w:color w:val="000000"/>
                <w:sz w:val="20"/>
                <w:szCs w:val="20"/>
              </w:rPr>
            </w:pPr>
            <w:r w:rsidRPr="0035027D">
              <w:rPr>
                <w:rFonts w:cs="Times New Roman"/>
                <w:b/>
                <w:bCs/>
                <w:color w:val="000000"/>
                <w:sz w:val="20"/>
                <w:szCs w:val="20"/>
              </w:rPr>
              <w:t>SK</w:t>
            </w:r>
          </w:p>
        </w:tc>
        <w:tc>
          <w:tcPr>
            <w:tcW w:w="480" w:type="dxa"/>
            <w:tcBorders>
              <w:top w:val="single" w:sz="4" w:space="0" w:color="auto"/>
              <w:left w:val="nil"/>
              <w:bottom w:val="nil"/>
              <w:right w:val="nil"/>
            </w:tcBorders>
            <w:shd w:val="clear" w:color="auto" w:fill="auto"/>
            <w:noWrap/>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35</w:t>
            </w:r>
          </w:p>
        </w:tc>
        <w:tc>
          <w:tcPr>
            <w:tcW w:w="480" w:type="dxa"/>
            <w:tcBorders>
              <w:top w:val="single" w:sz="4" w:space="0" w:color="auto"/>
              <w:left w:val="nil"/>
              <w:bottom w:val="nil"/>
              <w:right w:val="nil"/>
            </w:tcBorders>
            <w:shd w:val="clear" w:color="auto" w:fill="auto"/>
            <w:noWrap/>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33</w:t>
            </w:r>
          </w:p>
        </w:tc>
        <w:tc>
          <w:tcPr>
            <w:tcW w:w="480" w:type="dxa"/>
            <w:tcBorders>
              <w:top w:val="single" w:sz="4" w:space="0" w:color="auto"/>
              <w:left w:val="nil"/>
              <w:bottom w:val="nil"/>
              <w:right w:val="nil"/>
            </w:tcBorders>
            <w:shd w:val="clear" w:color="auto" w:fill="auto"/>
            <w:noWrap/>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40</w:t>
            </w:r>
          </w:p>
        </w:tc>
        <w:tc>
          <w:tcPr>
            <w:tcW w:w="480" w:type="dxa"/>
            <w:tcBorders>
              <w:top w:val="single" w:sz="4" w:space="0" w:color="auto"/>
              <w:left w:val="nil"/>
              <w:bottom w:val="nil"/>
              <w:right w:val="nil"/>
            </w:tcBorders>
            <w:shd w:val="clear" w:color="auto" w:fill="auto"/>
            <w:noWrap/>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38</w:t>
            </w:r>
          </w:p>
        </w:tc>
        <w:tc>
          <w:tcPr>
            <w:tcW w:w="480" w:type="dxa"/>
            <w:tcBorders>
              <w:top w:val="single" w:sz="4" w:space="0" w:color="auto"/>
              <w:left w:val="nil"/>
              <w:bottom w:val="nil"/>
              <w:right w:val="nil"/>
            </w:tcBorders>
            <w:shd w:val="clear" w:color="auto" w:fill="auto"/>
            <w:noWrap/>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41</w:t>
            </w:r>
          </w:p>
        </w:tc>
        <w:tc>
          <w:tcPr>
            <w:tcW w:w="480" w:type="dxa"/>
            <w:tcBorders>
              <w:top w:val="single" w:sz="4" w:space="0" w:color="auto"/>
              <w:left w:val="nil"/>
              <w:bottom w:val="nil"/>
              <w:right w:val="nil"/>
            </w:tcBorders>
            <w:shd w:val="clear" w:color="auto" w:fill="auto"/>
            <w:noWrap/>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37</w:t>
            </w:r>
          </w:p>
        </w:tc>
        <w:tc>
          <w:tcPr>
            <w:tcW w:w="480" w:type="dxa"/>
            <w:tcBorders>
              <w:top w:val="single" w:sz="4" w:space="0" w:color="auto"/>
              <w:left w:val="nil"/>
              <w:bottom w:val="nil"/>
              <w:right w:val="nil"/>
            </w:tcBorders>
            <w:shd w:val="clear" w:color="auto" w:fill="auto"/>
            <w:noWrap/>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34</w:t>
            </w:r>
          </w:p>
        </w:tc>
        <w:tc>
          <w:tcPr>
            <w:tcW w:w="480" w:type="dxa"/>
            <w:tcBorders>
              <w:top w:val="single" w:sz="4" w:space="0" w:color="auto"/>
              <w:left w:val="nil"/>
              <w:bottom w:val="nil"/>
              <w:right w:val="single" w:sz="4" w:space="0" w:color="auto"/>
            </w:tcBorders>
            <w:shd w:val="clear" w:color="auto" w:fill="auto"/>
            <w:noWrap/>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39</w:t>
            </w:r>
          </w:p>
        </w:tc>
        <w:tc>
          <w:tcPr>
            <w:tcW w:w="480" w:type="dxa"/>
            <w:tcBorders>
              <w:top w:val="single" w:sz="4" w:space="0" w:color="auto"/>
              <w:left w:val="nil"/>
              <w:bottom w:val="nil"/>
              <w:right w:val="single" w:sz="4" w:space="0" w:color="auto"/>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70</w:t>
            </w:r>
          </w:p>
        </w:tc>
      </w:tr>
      <w:tr w:rsidR="00445325" w:rsidRPr="0035027D" w:rsidTr="00DA3C05">
        <w:trPr>
          <w:trHeight w:val="300"/>
          <w:jc w:val="center"/>
        </w:trPr>
        <w:tc>
          <w:tcPr>
            <w:tcW w:w="3505" w:type="dxa"/>
            <w:tcBorders>
              <w:top w:val="nil"/>
              <w:left w:val="single" w:sz="4" w:space="0" w:color="auto"/>
              <w:bottom w:val="single" w:sz="4" w:space="0" w:color="auto"/>
              <w:right w:val="nil"/>
            </w:tcBorders>
            <w:shd w:val="clear" w:color="auto" w:fill="auto"/>
            <w:noWrap/>
            <w:vAlign w:val="center"/>
            <w:hideMark/>
          </w:tcPr>
          <w:p w:rsidR="00445325" w:rsidRPr="0035027D" w:rsidRDefault="00445325" w:rsidP="00F71538">
            <w:pPr>
              <w:spacing w:after="0"/>
              <w:rPr>
                <w:rFonts w:cs="Times New Roman"/>
                <w:color w:val="000000"/>
                <w:sz w:val="20"/>
                <w:szCs w:val="20"/>
              </w:rPr>
            </w:pPr>
            <w:r w:rsidRPr="0035027D">
              <w:rPr>
                <w:rFonts w:cs="Times New Roman"/>
                <w:color w:val="000000"/>
                <w:sz w:val="20"/>
                <w:szCs w:val="20"/>
              </w:rPr>
              <w:t>(%, 100 = priemer EÚ)</w:t>
            </w:r>
          </w:p>
        </w:tc>
        <w:tc>
          <w:tcPr>
            <w:tcW w:w="535" w:type="dxa"/>
            <w:tcBorders>
              <w:top w:val="nil"/>
              <w:left w:val="nil"/>
              <w:bottom w:val="single" w:sz="4" w:space="0" w:color="auto"/>
              <w:right w:val="single" w:sz="4" w:space="0" w:color="auto"/>
            </w:tcBorders>
            <w:shd w:val="clear" w:color="auto" w:fill="auto"/>
            <w:noWrap/>
            <w:vAlign w:val="center"/>
            <w:hideMark/>
          </w:tcPr>
          <w:p w:rsidR="00445325" w:rsidRPr="0035027D" w:rsidRDefault="00445325" w:rsidP="00F71538">
            <w:pPr>
              <w:spacing w:after="0"/>
              <w:jc w:val="left"/>
              <w:rPr>
                <w:rFonts w:cs="Times New Roman"/>
                <w:b/>
                <w:bCs/>
                <w:color w:val="000000"/>
                <w:sz w:val="20"/>
                <w:szCs w:val="20"/>
              </w:rPr>
            </w:pPr>
            <w:r w:rsidRPr="0035027D">
              <w:rPr>
                <w:rFonts w:cs="Times New Roman"/>
                <w:b/>
                <w:bCs/>
                <w:color w:val="000000"/>
                <w:sz w:val="20"/>
                <w:szCs w:val="20"/>
              </w:rPr>
              <w:t>EÚ</w:t>
            </w:r>
          </w:p>
        </w:tc>
        <w:tc>
          <w:tcPr>
            <w:tcW w:w="480" w:type="dxa"/>
            <w:tcBorders>
              <w:top w:val="nil"/>
              <w:left w:val="nil"/>
              <w:bottom w:val="single" w:sz="4" w:space="0" w:color="auto"/>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w:t>
            </w:r>
          </w:p>
        </w:tc>
        <w:tc>
          <w:tcPr>
            <w:tcW w:w="480" w:type="dxa"/>
            <w:tcBorders>
              <w:top w:val="nil"/>
              <w:left w:val="nil"/>
              <w:bottom w:val="single" w:sz="4" w:space="0" w:color="auto"/>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w:t>
            </w:r>
          </w:p>
        </w:tc>
        <w:tc>
          <w:tcPr>
            <w:tcW w:w="480" w:type="dxa"/>
            <w:tcBorders>
              <w:top w:val="nil"/>
              <w:left w:val="nil"/>
              <w:bottom w:val="single" w:sz="4" w:space="0" w:color="auto"/>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w:t>
            </w:r>
          </w:p>
        </w:tc>
        <w:tc>
          <w:tcPr>
            <w:tcW w:w="480" w:type="dxa"/>
            <w:tcBorders>
              <w:top w:val="nil"/>
              <w:left w:val="nil"/>
              <w:bottom w:val="single" w:sz="4" w:space="0" w:color="auto"/>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w:t>
            </w:r>
          </w:p>
        </w:tc>
        <w:tc>
          <w:tcPr>
            <w:tcW w:w="480" w:type="dxa"/>
            <w:tcBorders>
              <w:top w:val="nil"/>
              <w:left w:val="nil"/>
              <w:bottom w:val="single" w:sz="4" w:space="0" w:color="auto"/>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w:t>
            </w:r>
          </w:p>
        </w:tc>
        <w:tc>
          <w:tcPr>
            <w:tcW w:w="480" w:type="dxa"/>
            <w:tcBorders>
              <w:top w:val="nil"/>
              <w:left w:val="nil"/>
              <w:bottom w:val="single" w:sz="4" w:space="0" w:color="auto"/>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w:t>
            </w:r>
          </w:p>
        </w:tc>
        <w:tc>
          <w:tcPr>
            <w:tcW w:w="480" w:type="dxa"/>
            <w:tcBorders>
              <w:top w:val="nil"/>
              <w:left w:val="nil"/>
              <w:bottom w:val="single" w:sz="4" w:space="0" w:color="auto"/>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w:t>
            </w:r>
          </w:p>
        </w:tc>
        <w:tc>
          <w:tcPr>
            <w:tcW w:w="480" w:type="dxa"/>
            <w:tcBorders>
              <w:top w:val="nil"/>
              <w:left w:val="nil"/>
              <w:bottom w:val="single" w:sz="4" w:space="0" w:color="auto"/>
              <w:right w:val="single" w:sz="4" w:space="0" w:color="auto"/>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w:t>
            </w:r>
          </w:p>
        </w:tc>
        <w:tc>
          <w:tcPr>
            <w:tcW w:w="480" w:type="dxa"/>
            <w:tcBorders>
              <w:top w:val="nil"/>
              <w:left w:val="nil"/>
              <w:bottom w:val="single" w:sz="4" w:space="0" w:color="auto"/>
              <w:right w:val="single" w:sz="4" w:space="0" w:color="auto"/>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w:t>
            </w:r>
          </w:p>
        </w:tc>
      </w:tr>
      <w:tr w:rsidR="00445325" w:rsidRPr="0035027D" w:rsidTr="00DA3C05">
        <w:trPr>
          <w:trHeight w:val="300"/>
          <w:jc w:val="center"/>
        </w:trPr>
        <w:tc>
          <w:tcPr>
            <w:tcW w:w="3505" w:type="dxa"/>
            <w:tcBorders>
              <w:top w:val="single" w:sz="4" w:space="0" w:color="auto"/>
              <w:left w:val="single" w:sz="4" w:space="0" w:color="auto"/>
              <w:bottom w:val="nil"/>
              <w:right w:val="nil"/>
            </w:tcBorders>
            <w:shd w:val="clear" w:color="auto" w:fill="auto"/>
            <w:noWrap/>
            <w:vAlign w:val="center"/>
            <w:hideMark/>
          </w:tcPr>
          <w:p w:rsidR="00445325" w:rsidRPr="0035027D" w:rsidRDefault="00445325" w:rsidP="00F71538">
            <w:pPr>
              <w:spacing w:after="0"/>
              <w:jc w:val="left"/>
              <w:rPr>
                <w:rFonts w:cs="Times New Roman"/>
                <w:b/>
                <w:bCs/>
                <w:color w:val="000000"/>
                <w:sz w:val="20"/>
                <w:szCs w:val="20"/>
              </w:rPr>
            </w:pPr>
            <w:r w:rsidRPr="0035027D">
              <w:rPr>
                <w:rFonts w:cs="Times New Roman"/>
                <w:b/>
                <w:bCs/>
                <w:color w:val="000000"/>
                <w:sz w:val="20"/>
                <w:szCs w:val="20"/>
              </w:rPr>
              <w:t>Miera vysokoškolsky vzdelanej populácie</w:t>
            </w:r>
          </w:p>
        </w:tc>
        <w:tc>
          <w:tcPr>
            <w:tcW w:w="535" w:type="dxa"/>
            <w:tcBorders>
              <w:top w:val="single" w:sz="4" w:space="0" w:color="auto"/>
              <w:left w:val="nil"/>
              <w:bottom w:val="nil"/>
              <w:right w:val="single" w:sz="4" w:space="0" w:color="auto"/>
            </w:tcBorders>
            <w:shd w:val="clear" w:color="auto" w:fill="auto"/>
            <w:noWrap/>
            <w:vAlign w:val="center"/>
            <w:hideMark/>
          </w:tcPr>
          <w:p w:rsidR="00445325" w:rsidRPr="0035027D" w:rsidRDefault="00445325" w:rsidP="00F71538">
            <w:pPr>
              <w:spacing w:after="0"/>
              <w:jc w:val="left"/>
              <w:rPr>
                <w:rFonts w:cs="Times New Roman"/>
                <w:b/>
                <w:bCs/>
                <w:color w:val="000000"/>
                <w:sz w:val="20"/>
                <w:szCs w:val="20"/>
              </w:rPr>
            </w:pPr>
            <w:r w:rsidRPr="0035027D">
              <w:rPr>
                <w:rFonts w:cs="Times New Roman"/>
                <w:b/>
                <w:bCs/>
                <w:color w:val="000000"/>
                <w:sz w:val="20"/>
                <w:szCs w:val="20"/>
              </w:rPr>
              <w:t>SK</w:t>
            </w:r>
          </w:p>
        </w:tc>
        <w:tc>
          <w:tcPr>
            <w:tcW w:w="480" w:type="dxa"/>
            <w:tcBorders>
              <w:top w:val="single" w:sz="4" w:space="0" w:color="auto"/>
              <w:left w:val="nil"/>
              <w:bottom w:val="nil"/>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12,9</w:t>
            </w:r>
          </w:p>
        </w:tc>
        <w:tc>
          <w:tcPr>
            <w:tcW w:w="480" w:type="dxa"/>
            <w:tcBorders>
              <w:top w:val="single" w:sz="4" w:space="0" w:color="auto"/>
              <w:left w:val="nil"/>
              <w:bottom w:val="nil"/>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14,3</w:t>
            </w:r>
          </w:p>
        </w:tc>
        <w:tc>
          <w:tcPr>
            <w:tcW w:w="480" w:type="dxa"/>
            <w:tcBorders>
              <w:top w:val="single" w:sz="4" w:space="0" w:color="auto"/>
              <w:left w:val="nil"/>
              <w:bottom w:val="nil"/>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14,4</w:t>
            </w:r>
          </w:p>
        </w:tc>
        <w:tc>
          <w:tcPr>
            <w:tcW w:w="480" w:type="dxa"/>
            <w:tcBorders>
              <w:top w:val="single" w:sz="4" w:space="0" w:color="auto"/>
              <w:left w:val="nil"/>
              <w:bottom w:val="nil"/>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14,8</w:t>
            </w:r>
          </w:p>
        </w:tc>
        <w:tc>
          <w:tcPr>
            <w:tcW w:w="480" w:type="dxa"/>
            <w:tcBorders>
              <w:top w:val="single" w:sz="4" w:space="0" w:color="auto"/>
              <w:left w:val="nil"/>
              <w:bottom w:val="nil"/>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15,8</w:t>
            </w:r>
          </w:p>
        </w:tc>
        <w:tc>
          <w:tcPr>
            <w:tcW w:w="480" w:type="dxa"/>
            <w:tcBorders>
              <w:top w:val="single" w:sz="4" w:space="0" w:color="auto"/>
              <w:left w:val="nil"/>
              <w:bottom w:val="nil"/>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17,6</w:t>
            </w:r>
          </w:p>
        </w:tc>
        <w:tc>
          <w:tcPr>
            <w:tcW w:w="480" w:type="dxa"/>
            <w:tcBorders>
              <w:top w:val="single" w:sz="4" w:space="0" w:color="auto"/>
              <w:left w:val="nil"/>
              <w:bottom w:val="nil"/>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22,1</w:t>
            </w:r>
          </w:p>
        </w:tc>
        <w:tc>
          <w:tcPr>
            <w:tcW w:w="480" w:type="dxa"/>
            <w:tcBorders>
              <w:top w:val="single" w:sz="4" w:space="0" w:color="auto"/>
              <w:left w:val="nil"/>
              <w:bottom w:val="nil"/>
              <w:right w:val="single" w:sz="4" w:space="0" w:color="auto"/>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23,4</w:t>
            </w:r>
          </w:p>
        </w:tc>
        <w:tc>
          <w:tcPr>
            <w:tcW w:w="480" w:type="dxa"/>
            <w:tcBorders>
              <w:top w:val="single" w:sz="4" w:space="0" w:color="auto"/>
              <w:left w:val="nil"/>
              <w:bottom w:val="nil"/>
              <w:right w:val="single" w:sz="4" w:space="0" w:color="auto"/>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40</w:t>
            </w:r>
          </w:p>
        </w:tc>
      </w:tr>
      <w:tr w:rsidR="00445325" w:rsidRPr="0035027D" w:rsidTr="00F71538">
        <w:trPr>
          <w:trHeight w:val="300"/>
          <w:jc w:val="center"/>
        </w:trPr>
        <w:tc>
          <w:tcPr>
            <w:tcW w:w="3505" w:type="dxa"/>
            <w:tcBorders>
              <w:top w:val="nil"/>
              <w:left w:val="single" w:sz="4" w:space="0" w:color="auto"/>
              <w:bottom w:val="single" w:sz="4" w:space="0" w:color="auto"/>
              <w:right w:val="nil"/>
            </w:tcBorders>
            <w:shd w:val="clear" w:color="auto" w:fill="auto"/>
            <w:noWrap/>
            <w:vAlign w:val="center"/>
            <w:hideMark/>
          </w:tcPr>
          <w:p w:rsidR="00445325" w:rsidRPr="0035027D" w:rsidRDefault="00445325" w:rsidP="00F71538">
            <w:pPr>
              <w:spacing w:after="0"/>
              <w:rPr>
                <w:rFonts w:cs="Times New Roman"/>
                <w:color w:val="000000"/>
                <w:sz w:val="20"/>
                <w:szCs w:val="20"/>
              </w:rPr>
            </w:pPr>
            <w:r w:rsidRPr="0035027D">
              <w:rPr>
                <w:rFonts w:cs="Times New Roman"/>
                <w:color w:val="000000"/>
                <w:sz w:val="20"/>
                <w:szCs w:val="20"/>
              </w:rPr>
              <w:t>(% vo vekovej skupine 30 - 34 rokov)</w:t>
            </w:r>
          </w:p>
        </w:tc>
        <w:tc>
          <w:tcPr>
            <w:tcW w:w="535" w:type="dxa"/>
            <w:tcBorders>
              <w:top w:val="nil"/>
              <w:left w:val="nil"/>
              <w:bottom w:val="nil"/>
              <w:right w:val="single" w:sz="4" w:space="0" w:color="auto"/>
            </w:tcBorders>
            <w:shd w:val="clear" w:color="auto" w:fill="auto"/>
            <w:noWrap/>
            <w:vAlign w:val="center"/>
            <w:hideMark/>
          </w:tcPr>
          <w:p w:rsidR="00445325" w:rsidRPr="0035027D" w:rsidRDefault="00445325" w:rsidP="00F71538">
            <w:pPr>
              <w:spacing w:after="0"/>
              <w:jc w:val="left"/>
              <w:rPr>
                <w:rFonts w:cs="Times New Roman"/>
                <w:b/>
                <w:bCs/>
                <w:color w:val="000000"/>
                <w:sz w:val="20"/>
                <w:szCs w:val="20"/>
              </w:rPr>
            </w:pPr>
            <w:r w:rsidRPr="0035027D">
              <w:rPr>
                <w:rFonts w:cs="Times New Roman"/>
                <w:b/>
                <w:bCs/>
                <w:color w:val="000000"/>
                <w:sz w:val="20"/>
                <w:szCs w:val="20"/>
              </w:rPr>
              <w:t>EÚ</w:t>
            </w:r>
          </w:p>
        </w:tc>
        <w:tc>
          <w:tcPr>
            <w:tcW w:w="480" w:type="dxa"/>
            <w:tcBorders>
              <w:top w:val="nil"/>
              <w:left w:val="nil"/>
              <w:bottom w:val="single" w:sz="4" w:space="0" w:color="auto"/>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26,9</w:t>
            </w:r>
          </w:p>
        </w:tc>
        <w:tc>
          <w:tcPr>
            <w:tcW w:w="480" w:type="dxa"/>
            <w:tcBorders>
              <w:top w:val="nil"/>
              <w:left w:val="nil"/>
              <w:bottom w:val="single" w:sz="4" w:space="0" w:color="auto"/>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28</w:t>
            </w:r>
          </w:p>
        </w:tc>
        <w:tc>
          <w:tcPr>
            <w:tcW w:w="480" w:type="dxa"/>
            <w:tcBorders>
              <w:top w:val="nil"/>
              <w:left w:val="nil"/>
              <w:bottom w:val="single" w:sz="4" w:space="0" w:color="auto"/>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28,9</w:t>
            </w:r>
          </w:p>
        </w:tc>
        <w:tc>
          <w:tcPr>
            <w:tcW w:w="480" w:type="dxa"/>
            <w:tcBorders>
              <w:top w:val="nil"/>
              <w:left w:val="nil"/>
              <w:bottom w:val="single" w:sz="4" w:space="0" w:color="auto"/>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30</w:t>
            </w:r>
          </w:p>
        </w:tc>
        <w:tc>
          <w:tcPr>
            <w:tcW w:w="480" w:type="dxa"/>
            <w:tcBorders>
              <w:top w:val="nil"/>
              <w:left w:val="nil"/>
              <w:bottom w:val="single" w:sz="4" w:space="0" w:color="auto"/>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31</w:t>
            </w:r>
          </w:p>
        </w:tc>
        <w:tc>
          <w:tcPr>
            <w:tcW w:w="480" w:type="dxa"/>
            <w:tcBorders>
              <w:top w:val="nil"/>
              <w:left w:val="nil"/>
              <w:bottom w:val="single" w:sz="4" w:space="0" w:color="auto"/>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32,2</w:t>
            </w:r>
          </w:p>
        </w:tc>
        <w:tc>
          <w:tcPr>
            <w:tcW w:w="480" w:type="dxa"/>
            <w:tcBorders>
              <w:top w:val="nil"/>
              <w:left w:val="nil"/>
              <w:bottom w:val="single" w:sz="4" w:space="0" w:color="auto"/>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33,5</w:t>
            </w:r>
          </w:p>
        </w:tc>
        <w:tc>
          <w:tcPr>
            <w:tcW w:w="480" w:type="dxa"/>
            <w:tcBorders>
              <w:top w:val="nil"/>
              <w:left w:val="nil"/>
              <w:bottom w:val="single" w:sz="4" w:space="0" w:color="auto"/>
              <w:right w:val="single" w:sz="4" w:space="0" w:color="auto"/>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34,6</w:t>
            </w:r>
          </w:p>
        </w:tc>
        <w:tc>
          <w:tcPr>
            <w:tcW w:w="480" w:type="dxa"/>
            <w:tcBorders>
              <w:top w:val="nil"/>
              <w:left w:val="nil"/>
              <w:bottom w:val="single" w:sz="4" w:space="0" w:color="auto"/>
              <w:right w:val="single" w:sz="4" w:space="0" w:color="auto"/>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40</w:t>
            </w:r>
          </w:p>
        </w:tc>
      </w:tr>
      <w:tr w:rsidR="00445325" w:rsidRPr="0035027D" w:rsidTr="00F71538">
        <w:trPr>
          <w:trHeight w:val="300"/>
          <w:jc w:val="center"/>
        </w:trPr>
        <w:tc>
          <w:tcPr>
            <w:tcW w:w="3505" w:type="dxa"/>
            <w:tcBorders>
              <w:top w:val="nil"/>
              <w:left w:val="single" w:sz="4" w:space="0" w:color="auto"/>
              <w:bottom w:val="nil"/>
              <w:right w:val="nil"/>
            </w:tcBorders>
            <w:shd w:val="clear" w:color="auto" w:fill="auto"/>
            <w:noWrap/>
            <w:vAlign w:val="center"/>
            <w:hideMark/>
          </w:tcPr>
          <w:p w:rsidR="00445325" w:rsidRPr="0035027D" w:rsidRDefault="00445325" w:rsidP="00F71538">
            <w:pPr>
              <w:spacing w:after="0"/>
              <w:jc w:val="left"/>
              <w:rPr>
                <w:rFonts w:cs="Times New Roman"/>
                <w:b/>
                <w:bCs/>
                <w:color w:val="000000"/>
                <w:sz w:val="20"/>
                <w:szCs w:val="20"/>
              </w:rPr>
            </w:pPr>
            <w:r w:rsidRPr="0035027D">
              <w:rPr>
                <w:rFonts w:cs="Times New Roman"/>
                <w:b/>
                <w:bCs/>
                <w:color w:val="000000"/>
                <w:sz w:val="20"/>
                <w:szCs w:val="20"/>
              </w:rPr>
              <w:t>Výdavky na vedu a výskum</w:t>
            </w:r>
          </w:p>
        </w:tc>
        <w:tc>
          <w:tcPr>
            <w:tcW w:w="535" w:type="dxa"/>
            <w:tcBorders>
              <w:top w:val="single" w:sz="4" w:space="0" w:color="auto"/>
              <w:left w:val="nil"/>
              <w:bottom w:val="nil"/>
              <w:right w:val="single" w:sz="4" w:space="0" w:color="auto"/>
            </w:tcBorders>
            <w:shd w:val="clear" w:color="auto" w:fill="auto"/>
            <w:noWrap/>
            <w:vAlign w:val="center"/>
            <w:hideMark/>
          </w:tcPr>
          <w:p w:rsidR="00445325" w:rsidRPr="0035027D" w:rsidRDefault="00445325" w:rsidP="00F71538">
            <w:pPr>
              <w:spacing w:after="0"/>
              <w:jc w:val="left"/>
              <w:rPr>
                <w:rFonts w:cs="Times New Roman"/>
                <w:b/>
                <w:bCs/>
                <w:color w:val="000000"/>
                <w:sz w:val="20"/>
                <w:szCs w:val="20"/>
              </w:rPr>
            </w:pPr>
            <w:r w:rsidRPr="0035027D">
              <w:rPr>
                <w:rFonts w:cs="Times New Roman"/>
                <w:b/>
                <w:bCs/>
                <w:color w:val="000000"/>
                <w:sz w:val="20"/>
                <w:szCs w:val="20"/>
              </w:rPr>
              <w:t>SK</w:t>
            </w:r>
          </w:p>
        </w:tc>
        <w:tc>
          <w:tcPr>
            <w:tcW w:w="480" w:type="dxa"/>
            <w:tcBorders>
              <w:top w:val="nil"/>
              <w:left w:val="nil"/>
              <w:bottom w:val="nil"/>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0,51</w:t>
            </w:r>
          </w:p>
        </w:tc>
        <w:tc>
          <w:tcPr>
            <w:tcW w:w="480" w:type="dxa"/>
            <w:tcBorders>
              <w:top w:val="nil"/>
              <w:left w:val="nil"/>
              <w:bottom w:val="nil"/>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0,51</w:t>
            </w:r>
          </w:p>
        </w:tc>
        <w:tc>
          <w:tcPr>
            <w:tcW w:w="480" w:type="dxa"/>
            <w:tcBorders>
              <w:top w:val="nil"/>
              <w:left w:val="nil"/>
              <w:bottom w:val="nil"/>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0,49</w:t>
            </w:r>
          </w:p>
        </w:tc>
        <w:tc>
          <w:tcPr>
            <w:tcW w:w="480" w:type="dxa"/>
            <w:tcBorders>
              <w:top w:val="nil"/>
              <w:left w:val="nil"/>
              <w:bottom w:val="nil"/>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0,46</w:t>
            </w:r>
          </w:p>
        </w:tc>
        <w:tc>
          <w:tcPr>
            <w:tcW w:w="480" w:type="dxa"/>
            <w:tcBorders>
              <w:top w:val="nil"/>
              <w:left w:val="nil"/>
              <w:bottom w:val="nil"/>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0,47</w:t>
            </w:r>
          </w:p>
        </w:tc>
        <w:tc>
          <w:tcPr>
            <w:tcW w:w="480" w:type="dxa"/>
            <w:tcBorders>
              <w:top w:val="nil"/>
              <w:left w:val="nil"/>
              <w:bottom w:val="nil"/>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0,48</w:t>
            </w:r>
          </w:p>
        </w:tc>
        <w:tc>
          <w:tcPr>
            <w:tcW w:w="480" w:type="dxa"/>
            <w:tcBorders>
              <w:top w:val="nil"/>
              <w:left w:val="nil"/>
              <w:bottom w:val="nil"/>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0,63</w:t>
            </w:r>
          </w:p>
        </w:tc>
        <w:tc>
          <w:tcPr>
            <w:tcW w:w="480" w:type="dxa"/>
            <w:tcBorders>
              <w:top w:val="nil"/>
              <w:left w:val="nil"/>
              <w:bottom w:val="nil"/>
              <w:right w:val="single" w:sz="4" w:space="0" w:color="auto"/>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0,68</w:t>
            </w:r>
          </w:p>
        </w:tc>
        <w:tc>
          <w:tcPr>
            <w:tcW w:w="480" w:type="dxa"/>
            <w:tcBorders>
              <w:top w:val="nil"/>
              <w:left w:val="nil"/>
              <w:bottom w:val="nil"/>
              <w:right w:val="single" w:sz="4" w:space="0" w:color="auto"/>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1</w:t>
            </w:r>
            <w:r w:rsidR="00D92382" w:rsidRPr="0035027D">
              <w:rPr>
                <w:rFonts w:cs="Times New Roman"/>
                <w:color w:val="000000"/>
                <w:sz w:val="20"/>
                <w:szCs w:val="20"/>
              </w:rPr>
              <w:t>,2</w:t>
            </w:r>
          </w:p>
        </w:tc>
      </w:tr>
      <w:tr w:rsidR="00445325" w:rsidRPr="0035027D" w:rsidTr="00F71538">
        <w:trPr>
          <w:trHeight w:val="300"/>
          <w:jc w:val="center"/>
        </w:trPr>
        <w:tc>
          <w:tcPr>
            <w:tcW w:w="3505" w:type="dxa"/>
            <w:tcBorders>
              <w:top w:val="nil"/>
              <w:left w:val="single" w:sz="4" w:space="0" w:color="auto"/>
              <w:bottom w:val="single" w:sz="4" w:space="0" w:color="auto"/>
              <w:right w:val="nil"/>
            </w:tcBorders>
            <w:shd w:val="clear" w:color="auto" w:fill="auto"/>
            <w:noWrap/>
            <w:vAlign w:val="center"/>
            <w:hideMark/>
          </w:tcPr>
          <w:p w:rsidR="00445325" w:rsidRPr="0035027D" w:rsidRDefault="00445325" w:rsidP="00F71538">
            <w:pPr>
              <w:spacing w:after="0"/>
              <w:rPr>
                <w:rFonts w:cs="Times New Roman"/>
                <w:color w:val="000000"/>
                <w:sz w:val="20"/>
                <w:szCs w:val="20"/>
              </w:rPr>
            </w:pPr>
            <w:r w:rsidRPr="0035027D">
              <w:rPr>
                <w:rFonts w:cs="Times New Roman"/>
                <w:color w:val="000000"/>
                <w:sz w:val="20"/>
                <w:szCs w:val="20"/>
              </w:rPr>
              <w:t>(% HDP)</w:t>
            </w:r>
          </w:p>
        </w:tc>
        <w:tc>
          <w:tcPr>
            <w:tcW w:w="535" w:type="dxa"/>
            <w:tcBorders>
              <w:top w:val="nil"/>
              <w:left w:val="nil"/>
              <w:bottom w:val="nil"/>
              <w:right w:val="single" w:sz="4" w:space="0" w:color="auto"/>
            </w:tcBorders>
            <w:shd w:val="clear" w:color="auto" w:fill="auto"/>
            <w:noWrap/>
            <w:vAlign w:val="center"/>
            <w:hideMark/>
          </w:tcPr>
          <w:p w:rsidR="00445325" w:rsidRPr="0035027D" w:rsidRDefault="00445325" w:rsidP="00F71538">
            <w:pPr>
              <w:spacing w:after="0"/>
              <w:jc w:val="left"/>
              <w:rPr>
                <w:rFonts w:cs="Times New Roman"/>
                <w:b/>
                <w:bCs/>
                <w:color w:val="000000"/>
                <w:sz w:val="20"/>
                <w:szCs w:val="20"/>
              </w:rPr>
            </w:pPr>
            <w:r w:rsidRPr="0035027D">
              <w:rPr>
                <w:rFonts w:cs="Times New Roman"/>
                <w:b/>
                <w:bCs/>
                <w:color w:val="000000"/>
                <w:sz w:val="20"/>
                <w:szCs w:val="20"/>
              </w:rPr>
              <w:t>EÚ</w:t>
            </w:r>
          </w:p>
        </w:tc>
        <w:tc>
          <w:tcPr>
            <w:tcW w:w="480" w:type="dxa"/>
            <w:tcBorders>
              <w:top w:val="nil"/>
              <w:left w:val="nil"/>
              <w:bottom w:val="single" w:sz="4" w:space="0" w:color="auto"/>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1,83</w:t>
            </w:r>
          </w:p>
        </w:tc>
        <w:tc>
          <w:tcPr>
            <w:tcW w:w="480" w:type="dxa"/>
            <w:tcBorders>
              <w:top w:val="nil"/>
              <w:left w:val="nil"/>
              <w:bottom w:val="single" w:sz="4" w:space="0" w:color="auto"/>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1,82</w:t>
            </w:r>
          </w:p>
        </w:tc>
        <w:tc>
          <w:tcPr>
            <w:tcW w:w="480" w:type="dxa"/>
            <w:tcBorders>
              <w:top w:val="nil"/>
              <w:left w:val="nil"/>
              <w:bottom w:val="single" w:sz="4" w:space="0" w:color="auto"/>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1,85</w:t>
            </w:r>
          </w:p>
        </w:tc>
        <w:tc>
          <w:tcPr>
            <w:tcW w:w="480" w:type="dxa"/>
            <w:tcBorders>
              <w:top w:val="nil"/>
              <w:left w:val="nil"/>
              <w:bottom w:val="single" w:sz="4" w:space="0" w:color="auto"/>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1,85</w:t>
            </w:r>
          </w:p>
        </w:tc>
        <w:tc>
          <w:tcPr>
            <w:tcW w:w="480" w:type="dxa"/>
            <w:tcBorders>
              <w:top w:val="nil"/>
              <w:left w:val="nil"/>
              <w:bottom w:val="single" w:sz="4" w:space="0" w:color="auto"/>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1,92</w:t>
            </w:r>
          </w:p>
        </w:tc>
        <w:tc>
          <w:tcPr>
            <w:tcW w:w="480" w:type="dxa"/>
            <w:tcBorders>
              <w:top w:val="nil"/>
              <w:left w:val="nil"/>
              <w:bottom w:val="single" w:sz="4" w:space="0" w:color="auto"/>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2,02</w:t>
            </w:r>
          </w:p>
        </w:tc>
        <w:tc>
          <w:tcPr>
            <w:tcW w:w="480" w:type="dxa"/>
            <w:tcBorders>
              <w:top w:val="nil"/>
              <w:left w:val="nil"/>
              <w:bottom w:val="single" w:sz="4" w:space="0" w:color="auto"/>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2,01</w:t>
            </w:r>
          </w:p>
        </w:tc>
        <w:tc>
          <w:tcPr>
            <w:tcW w:w="480" w:type="dxa"/>
            <w:tcBorders>
              <w:top w:val="nil"/>
              <w:left w:val="nil"/>
              <w:bottom w:val="single" w:sz="4" w:space="0" w:color="auto"/>
              <w:right w:val="single" w:sz="4" w:space="0" w:color="auto"/>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2,03</w:t>
            </w:r>
          </w:p>
        </w:tc>
        <w:tc>
          <w:tcPr>
            <w:tcW w:w="480" w:type="dxa"/>
            <w:tcBorders>
              <w:top w:val="nil"/>
              <w:left w:val="nil"/>
              <w:bottom w:val="single" w:sz="4" w:space="0" w:color="auto"/>
              <w:right w:val="single" w:sz="4" w:space="0" w:color="auto"/>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3</w:t>
            </w:r>
          </w:p>
        </w:tc>
      </w:tr>
      <w:tr w:rsidR="00445325" w:rsidRPr="0035027D" w:rsidTr="00F71538">
        <w:trPr>
          <w:trHeight w:val="300"/>
          <w:jc w:val="center"/>
        </w:trPr>
        <w:tc>
          <w:tcPr>
            <w:tcW w:w="3505" w:type="dxa"/>
            <w:tcBorders>
              <w:top w:val="nil"/>
              <w:left w:val="single" w:sz="4" w:space="0" w:color="auto"/>
              <w:bottom w:val="nil"/>
              <w:right w:val="nil"/>
            </w:tcBorders>
            <w:shd w:val="clear" w:color="auto" w:fill="auto"/>
            <w:noWrap/>
            <w:vAlign w:val="center"/>
            <w:hideMark/>
          </w:tcPr>
          <w:p w:rsidR="00445325" w:rsidRPr="0035027D" w:rsidRDefault="00445325" w:rsidP="00F71538">
            <w:pPr>
              <w:spacing w:after="0"/>
              <w:jc w:val="left"/>
              <w:rPr>
                <w:rFonts w:cs="Times New Roman"/>
                <w:b/>
                <w:bCs/>
                <w:color w:val="000000"/>
                <w:sz w:val="20"/>
                <w:szCs w:val="20"/>
              </w:rPr>
            </w:pPr>
            <w:r w:rsidRPr="0035027D">
              <w:rPr>
                <w:rFonts w:cs="Times New Roman"/>
                <w:b/>
                <w:bCs/>
                <w:color w:val="000000"/>
                <w:sz w:val="20"/>
                <w:szCs w:val="20"/>
              </w:rPr>
              <w:t>High-tech export</w:t>
            </w:r>
          </w:p>
        </w:tc>
        <w:tc>
          <w:tcPr>
            <w:tcW w:w="535" w:type="dxa"/>
            <w:tcBorders>
              <w:top w:val="single" w:sz="4" w:space="0" w:color="auto"/>
              <w:left w:val="nil"/>
              <w:bottom w:val="nil"/>
              <w:right w:val="single" w:sz="4" w:space="0" w:color="auto"/>
            </w:tcBorders>
            <w:shd w:val="clear" w:color="auto" w:fill="auto"/>
            <w:noWrap/>
            <w:vAlign w:val="center"/>
            <w:hideMark/>
          </w:tcPr>
          <w:p w:rsidR="00445325" w:rsidRPr="0035027D" w:rsidRDefault="00445325" w:rsidP="00F71538">
            <w:pPr>
              <w:spacing w:after="0"/>
              <w:jc w:val="left"/>
              <w:rPr>
                <w:rFonts w:cs="Times New Roman"/>
                <w:b/>
                <w:bCs/>
                <w:color w:val="000000"/>
                <w:sz w:val="20"/>
                <w:szCs w:val="20"/>
              </w:rPr>
            </w:pPr>
            <w:r w:rsidRPr="0035027D">
              <w:rPr>
                <w:rFonts w:cs="Times New Roman"/>
                <w:b/>
                <w:bCs/>
                <w:color w:val="000000"/>
                <w:sz w:val="20"/>
                <w:szCs w:val="20"/>
              </w:rPr>
              <w:t>SK</w:t>
            </w:r>
          </w:p>
        </w:tc>
        <w:tc>
          <w:tcPr>
            <w:tcW w:w="480" w:type="dxa"/>
            <w:tcBorders>
              <w:top w:val="nil"/>
              <w:left w:val="nil"/>
              <w:bottom w:val="nil"/>
              <w:right w:val="nil"/>
            </w:tcBorders>
            <w:shd w:val="clear" w:color="auto" w:fill="auto"/>
            <w:vAlign w:val="center"/>
            <w:hideMark/>
          </w:tcPr>
          <w:p w:rsidR="00445325" w:rsidRPr="0035027D" w:rsidRDefault="00445325" w:rsidP="00F71538">
            <w:pPr>
              <w:spacing w:after="0"/>
              <w:jc w:val="center"/>
              <w:rPr>
                <w:rFonts w:cs="Times New Roman"/>
                <w:sz w:val="20"/>
                <w:szCs w:val="20"/>
              </w:rPr>
            </w:pPr>
            <w:r w:rsidRPr="0035027D">
              <w:rPr>
                <w:rFonts w:cs="Times New Roman"/>
                <w:sz w:val="20"/>
                <w:szCs w:val="20"/>
              </w:rPr>
              <w:t>4,7</w:t>
            </w:r>
          </w:p>
        </w:tc>
        <w:tc>
          <w:tcPr>
            <w:tcW w:w="480" w:type="dxa"/>
            <w:tcBorders>
              <w:top w:val="nil"/>
              <w:left w:val="nil"/>
              <w:bottom w:val="nil"/>
              <w:right w:val="nil"/>
            </w:tcBorders>
            <w:shd w:val="clear" w:color="auto" w:fill="auto"/>
            <w:vAlign w:val="center"/>
            <w:hideMark/>
          </w:tcPr>
          <w:p w:rsidR="00445325" w:rsidRPr="0035027D" w:rsidRDefault="00445325" w:rsidP="00F71538">
            <w:pPr>
              <w:spacing w:after="0"/>
              <w:jc w:val="center"/>
              <w:rPr>
                <w:rFonts w:cs="Times New Roman"/>
                <w:sz w:val="20"/>
                <w:szCs w:val="20"/>
              </w:rPr>
            </w:pPr>
            <w:r w:rsidRPr="0035027D">
              <w:rPr>
                <w:rFonts w:cs="Times New Roman"/>
                <w:sz w:val="20"/>
                <w:szCs w:val="20"/>
              </w:rPr>
              <w:t>6,4</w:t>
            </w:r>
          </w:p>
        </w:tc>
        <w:tc>
          <w:tcPr>
            <w:tcW w:w="480" w:type="dxa"/>
            <w:tcBorders>
              <w:top w:val="nil"/>
              <w:left w:val="nil"/>
              <w:bottom w:val="nil"/>
              <w:right w:val="nil"/>
            </w:tcBorders>
            <w:shd w:val="clear" w:color="auto" w:fill="auto"/>
            <w:vAlign w:val="center"/>
            <w:hideMark/>
          </w:tcPr>
          <w:p w:rsidR="00445325" w:rsidRPr="0035027D" w:rsidRDefault="00445325" w:rsidP="00F71538">
            <w:pPr>
              <w:spacing w:after="0"/>
              <w:jc w:val="center"/>
              <w:rPr>
                <w:rFonts w:cs="Times New Roman"/>
                <w:sz w:val="20"/>
                <w:szCs w:val="20"/>
              </w:rPr>
            </w:pPr>
            <w:r w:rsidRPr="0035027D">
              <w:rPr>
                <w:rFonts w:cs="Times New Roman"/>
                <w:sz w:val="20"/>
                <w:szCs w:val="20"/>
              </w:rPr>
              <w:t>5,8</w:t>
            </w:r>
          </w:p>
        </w:tc>
        <w:tc>
          <w:tcPr>
            <w:tcW w:w="480" w:type="dxa"/>
            <w:tcBorders>
              <w:top w:val="nil"/>
              <w:left w:val="nil"/>
              <w:bottom w:val="nil"/>
              <w:right w:val="nil"/>
            </w:tcBorders>
            <w:shd w:val="clear" w:color="auto" w:fill="auto"/>
            <w:vAlign w:val="center"/>
            <w:hideMark/>
          </w:tcPr>
          <w:p w:rsidR="00445325" w:rsidRPr="0035027D" w:rsidRDefault="00445325" w:rsidP="00F71538">
            <w:pPr>
              <w:spacing w:after="0"/>
              <w:jc w:val="center"/>
              <w:rPr>
                <w:rFonts w:cs="Times New Roman"/>
                <w:sz w:val="20"/>
                <w:szCs w:val="20"/>
              </w:rPr>
            </w:pPr>
            <w:r w:rsidRPr="0035027D">
              <w:rPr>
                <w:rFonts w:cs="Times New Roman"/>
                <w:sz w:val="20"/>
                <w:szCs w:val="20"/>
              </w:rPr>
              <w:t>5</w:t>
            </w:r>
          </w:p>
        </w:tc>
        <w:tc>
          <w:tcPr>
            <w:tcW w:w="480" w:type="dxa"/>
            <w:tcBorders>
              <w:top w:val="nil"/>
              <w:left w:val="nil"/>
              <w:bottom w:val="nil"/>
              <w:right w:val="nil"/>
            </w:tcBorders>
            <w:shd w:val="clear" w:color="auto" w:fill="auto"/>
            <w:vAlign w:val="center"/>
            <w:hideMark/>
          </w:tcPr>
          <w:p w:rsidR="00445325" w:rsidRPr="0035027D" w:rsidRDefault="00445325" w:rsidP="00F71538">
            <w:pPr>
              <w:spacing w:after="0"/>
              <w:jc w:val="center"/>
              <w:rPr>
                <w:rFonts w:cs="Times New Roman"/>
                <w:sz w:val="20"/>
                <w:szCs w:val="20"/>
              </w:rPr>
            </w:pPr>
            <w:r w:rsidRPr="0035027D">
              <w:rPr>
                <w:rFonts w:cs="Times New Roman"/>
                <w:sz w:val="20"/>
                <w:szCs w:val="20"/>
              </w:rPr>
              <w:t>5,2</w:t>
            </w:r>
          </w:p>
        </w:tc>
        <w:tc>
          <w:tcPr>
            <w:tcW w:w="480" w:type="dxa"/>
            <w:tcBorders>
              <w:top w:val="nil"/>
              <w:left w:val="nil"/>
              <w:bottom w:val="nil"/>
              <w:right w:val="nil"/>
            </w:tcBorders>
            <w:shd w:val="clear" w:color="auto" w:fill="auto"/>
            <w:vAlign w:val="center"/>
            <w:hideMark/>
          </w:tcPr>
          <w:p w:rsidR="00445325" w:rsidRPr="0035027D" w:rsidRDefault="00445325" w:rsidP="00F71538">
            <w:pPr>
              <w:spacing w:after="0"/>
              <w:jc w:val="center"/>
              <w:rPr>
                <w:rFonts w:cs="Times New Roman"/>
                <w:sz w:val="20"/>
                <w:szCs w:val="20"/>
              </w:rPr>
            </w:pPr>
            <w:r w:rsidRPr="0035027D">
              <w:rPr>
                <w:rFonts w:cs="Times New Roman"/>
                <w:sz w:val="20"/>
                <w:szCs w:val="20"/>
              </w:rPr>
              <w:t>5,9</w:t>
            </w:r>
          </w:p>
        </w:tc>
        <w:tc>
          <w:tcPr>
            <w:tcW w:w="480" w:type="dxa"/>
            <w:tcBorders>
              <w:top w:val="nil"/>
              <w:left w:val="nil"/>
              <w:bottom w:val="nil"/>
              <w:right w:val="nil"/>
            </w:tcBorders>
            <w:shd w:val="clear" w:color="auto" w:fill="auto"/>
            <w:vAlign w:val="center"/>
            <w:hideMark/>
          </w:tcPr>
          <w:p w:rsidR="00445325" w:rsidRPr="0035027D" w:rsidRDefault="00445325" w:rsidP="00F71538">
            <w:pPr>
              <w:spacing w:after="0"/>
              <w:jc w:val="center"/>
              <w:rPr>
                <w:rFonts w:cs="Times New Roman"/>
                <w:sz w:val="20"/>
                <w:szCs w:val="20"/>
              </w:rPr>
            </w:pPr>
            <w:r w:rsidRPr="0035027D">
              <w:rPr>
                <w:rFonts w:cs="Times New Roman"/>
                <w:sz w:val="20"/>
                <w:szCs w:val="20"/>
              </w:rPr>
              <w:t>6,6</w:t>
            </w:r>
          </w:p>
        </w:tc>
        <w:tc>
          <w:tcPr>
            <w:tcW w:w="480" w:type="dxa"/>
            <w:tcBorders>
              <w:top w:val="nil"/>
              <w:left w:val="nil"/>
              <w:bottom w:val="nil"/>
              <w:right w:val="single" w:sz="4" w:space="0" w:color="auto"/>
            </w:tcBorders>
            <w:shd w:val="clear" w:color="auto" w:fill="auto"/>
            <w:vAlign w:val="center"/>
            <w:hideMark/>
          </w:tcPr>
          <w:p w:rsidR="00445325" w:rsidRPr="0035027D" w:rsidRDefault="00445325" w:rsidP="00F71538">
            <w:pPr>
              <w:spacing w:after="0"/>
              <w:jc w:val="center"/>
              <w:rPr>
                <w:rFonts w:cs="Times New Roman"/>
                <w:sz w:val="20"/>
                <w:szCs w:val="20"/>
              </w:rPr>
            </w:pPr>
            <w:r w:rsidRPr="0035027D">
              <w:rPr>
                <w:rFonts w:cs="Times New Roman"/>
                <w:sz w:val="20"/>
                <w:szCs w:val="20"/>
              </w:rPr>
              <w:t>6,6</w:t>
            </w:r>
          </w:p>
        </w:tc>
        <w:tc>
          <w:tcPr>
            <w:tcW w:w="480" w:type="dxa"/>
            <w:tcBorders>
              <w:top w:val="nil"/>
              <w:left w:val="nil"/>
              <w:bottom w:val="nil"/>
              <w:right w:val="single" w:sz="4" w:space="0" w:color="auto"/>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14</w:t>
            </w:r>
          </w:p>
        </w:tc>
      </w:tr>
      <w:tr w:rsidR="00445325" w:rsidRPr="0035027D" w:rsidTr="00F71538">
        <w:trPr>
          <w:trHeight w:val="300"/>
          <w:jc w:val="center"/>
        </w:trPr>
        <w:tc>
          <w:tcPr>
            <w:tcW w:w="3505" w:type="dxa"/>
            <w:tcBorders>
              <w:top w:val="nil"/>
              <w:left w:val="single" w:sz="4" w:space="0" w:color="auto"/>
              <w:bottom w:val="single" w:sz="4" w:space="0" w:color="auto"/>
              <w:right w:val="nil"/>
            </w:tcBorders>
            <w:shd w:val="clear" w:color="auto" w:fill="auto"/>
            <w:noWrap/>
            <w:vAlign w:val="center"/>
            <w:hideMark/>
          </w:tcPr>
          <w:p w:rsidR="00445325" w:rsidRPr="0035027D" w:rsidRDefault="00445325" w:rsidP="00F71538">
            <w:pPr>
              <w:spacing w:after="0"/>
              <w:rPr>
                <w:rFonts w:cs="Times New Roman"/>
                <w:color w:val="000000"/>
                <w:sz w:val="20"/>
                <w:szCs w:val="20"/>
              </w:rPr>
            </w:pPr>
            <w:r w:rsidRPr="0035027D">
              <w:rPr>
                <w:rFonts w:cs="Times New Roman"/>
                <w:color w:val="000000"/>
                <w:sz w:val="20"/>
                <w:szCs w:val="20"/>
              </w:rPr>
              <w:t>(% na celkovom exporte)</w:t>
            </w:r>
          </w:p>
        </w:tc>
        <w:tc>
          <w:tcPr>
            <w:tcW w:w="535" w:type="dxa"/>
            <w:tcBorders>
              <w:top w:val="nil"/>
              <w:left w:val="nil"/>
              <w:bottom w:val="single" w:sz="4" w:space="0" w:color="auto"/>
              <w:right w:val="single" w:sz="4" w:space="0" w:color="auto"/>
            </w:tcBorders>
            <w:shd w:val="clear" w:color="auto" w:fill="auto"/>
            <w:noWrap/>
            <w:vAlign w:val="center"/>
            <w:hideMark/>
          </w:tcPr>
          <w:p w:rsidR="00445325" w:rsidRPr="0035027D" w:rsidRDefault="00445325" w:rsidP="00F71538">
            <w:pPr>
              <w:spacing w:after="0"/>
              <w:jc w:val="left"/>
              <w:rPr>
                <w:rFonts w:cs="Times New Roman"/>
                <w:b/>
                <w:bCs/>
                <w:color w:val="000000"/>
                <w:sz w:val="20"/>
                <w:szCs w:val="20"/>
              </w:rPr>
            </w:pPr>
            <w:r w:rsidRPr="0035027D">
              <w:rPr>
                <w:rFonts w:cs="Times New Roman"/>
                <w:b/>
                <w:bCs/>
                <w:color w:val="000000"/>
                <w:sz w:val="20"/>
                <w:szCs w:val="20"/>
              </w:rPr>
              <w:t>EÚ</w:t>
            </w:r>
          </w:p>
        </w:tc>
        <w:tc>
          <w:tcPr>
            <w:tcW w:w="480" w:type="dxa"/>
            <w:tcBorders>
              <w:top w:val="nil"/>
              <w:left w:val="nil"/>
              <w:bottom w:val="single" w:sz="4" w:space="0" w:color="auto"/>
              <w:right w:val="nil"/>
            </w:tcBorders>
            <w:shd w:val="clear" w:color="auto" w:fill="auto"/>
            <w:vAlign w:val="center"/>
            <w:hideMark/>
          </w:tcPr>
          <w:p w:rsidR="00445325" w:rsidRPr="0035027D" w:rsidRDefault="00445325" w:rsidP="00F71538">
            <w:pPr>
              <w:spacing w:after="0"/>
              <w:jc w:val="center"/>
              <w:rPr>
                <w:rFonts w:cs="Times New Roman"/>
                <w:sz w:val="20"/>
                <w:szCs w:val="20"/>
              </w:rPr>
            </w:pPr>
            <w:r w:rsidRPr="0035027D">
              <w:rPr>
                <w:rFonts w:cs="Times New Roman"/>
                <w:sz w:val="20"/>
                <w:szCs w:val="20"/>
              </w:rPr>
              <w:t>18,5</w:t>
            </w:r>
          </w:p>
        </w:tc>
        <w:tc>
          <w:tcPr>
            <w:tcW w:w="480" w:type="dxa"/>
            <w:tcBorders>
              <w:top w:val="nil"/>
              <w:left w:val="nil"/>
              <w:bottom w:val="single" w:sz="4" w:space="0" w:color="auto"/>
              <w:right w:val="nil"/>
            </w:tcBorders>
            <w:shd w:val="clear" w:color="auto" w:fill="auto"/>
            <w:vAlign w:val="center"/>
            <w:hideMark/>
          </w:tcPr>
          <w:p w:rsidR="00445325" w:rsidRPr="0035027D" w:rsidRDefault="00445325" w:rsidP="00F71538">
            <w:pPr>
              <w:spacing w:after="0"/>
              <w:jc w:val="center"/>
              <w:rPr>
                <w:rFonts w:cs="Times New Roman"/>
                <w:sz w:val="20"/>
                <w:szCs w:val="20"/>
              </w:rPr>
            </w:pPr>
            <w:r w:rsidRPr="0035027D">
              <w:rPr>
                <w:rFonts w:cs="Times New Roman"/>
                <w:sz w:val="20"/>
                <w:szCs w:val="20"/>
              </w:rPr>
              <w:t>18,74</w:t>
            </w:r>
          </w:p>
        </w:tc>
        <w:tc>
          <w:tcPr>
            <w:tcW w:w="480" w:type="dxa"/>
            <w:tcBorders>
              <w:top w:val="nil"/>
              <w:left w:val="nil"/>
              <w:bottom w:val="single" w:sz="4" w:space="0" w:color="auto"/>
              <w:right w:val="nil"/>
            </w:tcBorders>
            <w:shd w:val="clear" w:color="auto" w:fill="auto"/>
            <w:vAlign w:val="center"/>
            <w:hideMark/>
          </w:tcPr>
          <w:p w:rsidR="00445325" w:rsidRPr="0035027D" w:rsidRDefault="00445325" w:rsidP="00F71538">
            <w:pPr>
              <w:spacing w:after="0"/>
              <w:jc w:val="center"/>
              <w:rPr>
                <w:rFonts w:cs="Times New Roman"/>
                <w:sz w:val="20"/>
                <w:szCs w:val="20"/>
              </w:rPr>
            </w:pPr>
            <w:r w:rsidRPr="0035027D">
              <w:rPr>
                <w:rFonts w:cs="Times New Roman"/>
                <w:sz w:val="20"/>
                <w:szCs w:val="20"/>
              </w:rPr>
              <w:t>16,6</w:t>
            </w:r>
          </w:p>
        </w:tc>
        <w:tc>
          <w:tcPr>
            <w:tcW w:w="480" w:type="dxa"/>
            <w:tcBorders>
              <w:top w:val="nil"/>
              <w:left w:val="nil"/>
              <w:bottom w:val="single" w:sz="4" w:space="0" w:color="auto"/>
              <w:right w:val="nil"/>
            </w:tcBorders>
            <w:shd w:val="clear" w:color="auto" w:fill="auto"/>
            <w:vAlign w:val="center"/>
            <w:hideMark/>
          </w:tcPr>
          <w:p w:rsidR="00445325" w:rsidRPr="0035027D" w:rsidRDefault="00445325" w:rsidP="00F71538">
            <w:pPr>
              <w:spacing w:after="0"/>
              <w:jc w:val="center"/>
              <w:rPr>
                <w:rFonts w:cs="Times New Roman"/>
                <w:sz w:val="20"/>
                <w:szCs w:val="20"/>
              </w:rPr>
            </w:pPr>
            <w:r w:rsidRPr="0035027D">
              <w:rPr>
                <w:rFonts w:cs="Times New Roman"/>
                <w:sz w:val="20"/>
                <w:szCs w:val="20"/>
              </w:rPr>
              <w:t>16,1</w:t>
            </w:r>
          </w:p>
        </w:tc>
        <w:tc>
          <w:tcPr>
            <w:tcW w:w="480" w:type="dxa"/>
            <w:tcBorders>
              <w:top w:val="nil"/>
              <w:left w:val="nil"/>
              <w:bottom w:val="single" w:sz="4" w:space="0" w:color="auto"/>
              <w:right w:val="nil"/>
            </w:tcBorders>
            <w:shd w:val="clear" w:color="auto" w:fill="auto"/>
            <w:vAlign w:val="center"/>
            <w:hideMark/>
          </w:tcPr>
          <w:p w:rsidR="00445325" w:rsidRPr="0035027D" w:rsidRDefault="00445325" w:rsidP="00F71538">
            <w:pPr>
              <w:spacing w:after="0"/>
              <w:jc w:val="center"/>
              <w:rPr>
                <w:rFonts w:cs="Times New Roman"/>
                <w:sz w:val="20"/>
                <w:szCs w:val="20"/>
              </w:rPr>
            </w:pPr>
            <w:r w:rsidRPr="0035027D">
              <w:rPr>
                <w:rFonts w:cs="Times New Roman"/>
                <w:sz w:val="20"/>
                <w:szCs w:val="20"/>
              </w:rPr>
              <w:t>15,4</w:t>
            </w:r>
          </w:p>
        </w:tc>
        <w:tc>
          <w:tcPr>
            <w:tcW w:w="480" w:type="dxa"/>
            <w:tcBorders>
              <w:top w:val="nil"/>
              <w:left w:val="nil"/>
              <w:bottom w:val="single" w:sz="4" w:space="0" w:color="auto"/>
              <w:right w:val="nil"/>
            </w:tcBorders>
            <w:shd w:val="clear" w:color="auto" w:fill="auto"/>
            <w:vAlign w:val="center"/>
            <w:hideMark/>
          </w:tcPr>
          <w:p w:rsidR="00445325" w:rsidRPr="0035027D" w:rsidRDefault="00445325" w:rsidP="00F71538">
            <w:pPr>
              <w:spacing w:after="0"/>
              <w:jc w:val="center"/>
              <w:rPr>
                <w:rFonts w:cs="Times New Roman"/>
                <w:sz w:val="20"/>
                <w:szCs w:val="20"/>
              </w:rPr>
            </w:pPr>
            <w:r w:rsidRPr="0035027D">
              <w:rPr>
                <w:rFonts w:cs="Times New Roman"/>
                <w:sz w:val="20"/>
                <w:szCs w:val="20"/>
              </w:rPr>
              <w:t>17,1</w:t>
            </w:r>
          </w:p>
        </w:tc>
        <w:tc>
          <w:tcPr>
            <w:tcW w:w="480" w:type="dxa"/>
            <w:tcBorders>
              <w:top w:val="nil"/>
              <w:left w:val="nil"/>
              <w:bottom w:val="single" w:sz="4" w:space="0" w:color="auto"/>
              <w:right w:val="nil"/>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16,1</w:t>
            </w:r>
          </w:p>
        </w:tc>
        <w:tc>
          <w:tcPr>
            <w:tcW w:w="480" w:type="dxa"/>
            <w:tcBorders>
              <w:top w:val="nil"/>
              <w:left w:val="nil"/>
              <w:bottom w:val="single" w:sz="4" w:space="0" w:color="auto"/>
              <w:right w:val="single" w:sz="4" w:space="0" w:color="auto"/>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15,4</w:t>
            </w:r>
          </w:p>
        </w:tc>
        <w:tc>
          <w:tcPr>
            <w:tcW w:w="480" w:type="dxa"/>
            <w:tcBorders>
              <w:top w:val="nil"/>
              <w:left w:val="nil"/>
              <w:bottom w:val="single" w:sz="4" w:space="0" w:color="auto"/>
              <w:right w:val="single" w:sz="4" w:space="0" w:color="auto"/>
            </w:tcBorders>
            <w:shd w:val="clear" w:color="auto" w:fill="auto"/>
            <w:vAlign w:val="center"/>
            <w:hideMark/>
          </w:tcPr>
          <w:p w:rsidR="00445325" w:rsidRPr="0035027D" w:rsidRDefault="00445325" w:rsidP="00F71538">
            <w:pPr>
              <w:spacing w:after="0"/>
              <w:jc w:val="center"/>
              <w:rPr>
                <w:rFonts w:cs="Times New Roman"/>
                <w:color w:val="000000"/>
                <w:sz w:val="20"/>
                <w:szCs w:val="20"/>
              </w:rPr>
            </w:pPr>
            <w:r w:rsidRPr="0035027D">
              <w:rPr>
                <w:rFonts w:cs="Times New Roman"/>
                <w:color w:val="000000"/>
                <w:sz w:val="20"/>
                <w:szCs w:val="20"/>
              </w:rPr>
              <w:t>-</w:t>
            </w:r>
          </w:p>
        </w:tc>
      </w:tr>
    </w:tbl>
    <w:p w:rsidR="00445325" w:rsidRPr="0035027D" w:rsidRDefault="00445325" w:rsidP="00445325">
      <w:pPr>
        <w:jc w:val="center"/>
      </w:pPr>
    </w:p>
    <w:p w:rsidR="00681A2F" w:rsidRPr="0035027D" w:rsidRDefault="00CE2607" w:rsidP="00681A2F">
      <w:pPr>
        <w:spacing w:after="0"/>
      </w:pPr>
      <w:r w:rsidRPr="0035027D">
        <w:t xml:space="preserve">Kvalita a produktivita </w:t>
      </w:r>
      <w:r w:rsidRPr="0035027D">
        <w:rPr>
          <w:rFonts w:cs="Times New Roman"/>
        </w:rPr>
        <w:t>ľ</w:t>
      </w:r>
      <w:r w:rsidRPr="0035027D">
        <w:t>udského kapitálu je dôle</w:t>
      </w:r>
      <w:r w:rsidRPr="0035027D">
        <w:rPr>
          <w:rFonts w:cs="Times New Roman"/>
        </w:rPr>
        <w:t>ž</w:t>
      </w:r>
      <w:r w:rsidRPr="0035027D">
        <w:t>itým faktorom vplývajúcim na ekonomický rast</w:t>
      </w:r>
      <w:r w:rsidR="00681A2F" w:rsidRPr="0035027D">
        <w:t xml:space="preserve"> a kvalitu </w:t>
      </w:r>
      <w:r w:rsidR="00681A2F" w:rsidRPr="0035027D">
        <w:rPr>
          <w:rFonts w:cs="Times New Roman"/>
        </w:rPr>
        <w:t>ž</w:t>
      </w:r>
      <w:r w:rsidR="00681A2F" w:rsidRPr="0035027D">
        <w:t>ivota obyvate</w:t>
      </w:r>
      <w:r w:rsidR="00681A2F" w:rsidRPr="0035027D">
        <w:rPr>
          <w:rFonts w:cs="Times New Roman"/>
        </w:rPr>
        <w:t>ľ</w:t>
      </w:r>
      <w:r w:rsidR="00681A2F" w:rsidRPr="0035027D">
        <w:t>stva</w:t>
      </w:r>
      <w:r w:rsidRPr="0035027D">
        <w:t>. Vzdelaná pracovná sila zvyšuje produktivitu práce a vie sa pru</w:t>
      </w:r>
      <w:r w:rsidRPr="0035027D">
        <w:rPr>
          <w:rFonts w:cs="Times New Roman"/>
        </w:rPr>
        <w:t>ž</w:t>
      </w:r>
      <w:r w:rsidRPr="0035027D">
        <w:t>nejšie prispôsobova</w:t>
      </w:r>
      <w:r w:rsidRPr="0035027D">
        <w:rPr>
          <w:rFonts w:cs="Times New Roman"/>
        </w:rPr>
        <w:t>ť</w:t>
      </w:r>
      <w:r w:rsidRPr="0035027D">
        <w:t xml:space="preserve"> zvyšujúcim </w:t>
      </w:r>
      <w:r w:rsidR="007C034A" w:rsidRPr="0035027D">
        <w:t xml:space="preserve">sa </w:t>
      </w:r>
      <w:r w:rsidRPr="0035027D">
        <w:t>pracovným nárokom</w:t>
      </w:r>
      <w:r w:rsidR="007C034A" w:rsidRPr="0035027D">
        <w:t xml:space="preserve"> a zmen</w:t>
      </w:r>
      <w:r w:rsidR="00D0353E" w:rsidRPr="0035027D">
        <w:t>á</w:t>
      </w:r>
      <w:r w:rsidR="007C034A" w:rsidRPr="0035027D">
        <w:t>m v po</w:t>
      </w:r>
      <w:r w:rsidR="007C034A" w:rsidRPr="0035027D">
        <w:rPr>
          <w:rFonts w:cs="Times New Roman"/>
        </w:rPr>
        <w:t>ž</w:t>
      </w:r>
      <w:r w:rsidR="007C034A" w:rsidRPr="0035027D">
        <w:t>adovaných zru</w:t>
      </w:r>
      <w:r w:rsidR="007C034A" w:rsidRPr="0035027D">
        <w:rPr>
          <w:rFonts w:cs="Times New Roman"/>
        </w:rPr>
        <w:t>č</w:t>
      </w:r>
      <w:r w:rsidR="007C034A" w:rsidRPr="0035027D">
        <w:t>nostiach</w:t>
      </w:r>
      <w:r w:rsidRPr="0035027D">
        <w:t xml:space="preserve">. </w:t>
      </w:r>
      <w:r w:rsidR="00681A2F" w:rsidRPr="0035027D">
        <w:t>Pod</w:t>
      </w:r>
      <w:r w:rsidR="00681A2F" w:rsidRPr="0035027D">
        <w:rPr>
          <w:rFonts w:cs="Times New Roman"/>
        </w:rPr>
        <w:t>ľ</w:t>
      </w:r>
      <w:r w:rsidR="00681A2F" w:rsidRPr="0035027D">
        <w:t>a kvantitatívnych ukazovate</w:t>
      </w:r>
      <w:r w:rsidR="00681A2F" w:rsidRPr="0035027D">
        <w:rPr>
          <w:rFonts w:cs="Times New Roman"/>
        </w:rPr>
        <w:t>ľ</w:t>
      </w:r>
      <w:r w:rsidR="00681A2F" w:rsidRPr="0035027D">
        <w:t>ov je Slovensko na tom v porovnaní s priemerom EÚ dobre. Miera pred</w:t>
      </w:r>
      <w:r w:rsidR="00681A2F" w:rsidRPr="0035027D">
        <w:rPr>
          <w:rFonts w:cs="Times New Roman"/>
        </w:rPr>
        <w:t>č</w:t>
      </w:r>
      <w:r w:rsidR="00681A2F" w:rsidRPr="0035027D">
        <w:t>asne ukon</w:t>
      </w:r>
      <w:r w:rsidR="00681A2F" w:rsidRPr="0035027D">
        <w:rPr>
          <w:rFonts w:cs="Times New Roman"/>
        </w:rPr>
        <w:t>č</w:t>
      </w:r>
      <w:r w:rsidR="00681A2F" w:rsidRPr="0035027D">
        <w:t>enej školskej dochádzky je ve</w:t>
      </w:r>
      <w:r w:rsidR="00681A2F" w:rsidRPr="0035027D">
        <w:rPr>
          <w:rFonts w:cs="Times New Roman"/>
        </w:rPr>
        <w:t>ľ</w:t>
      </w:r>
      <w:r w:rsidR="00681A2F" w:rsidRPr="0035027D">
        <w:t xml:space="preserve">mi nízka a podiel mladých </w:t>
      </w:r>
      <w:r w:rsidR="00681A2F" w:rsidRPr="0035027D">
        <w:rPr>
          <w:rFonts w:cs="Times New Roman"/>
        </w:rPr>
        <w:t>ľ</w:t>
      </w:r>
      <w:r w:rsidR="00681A2F" w:rsidRPr="0035027D">
        <w:t>udí s ukon</w:t>
      </w:r>
      <w:r w:rsidR="00681A2F" w:rsidRPr="0035027D">
        <w:rPr>
          <w:rFonts w:cs="Times New Roman"/>
        </w:rPr>
        <w:t>č</w:t>
      </w:r>
      <w:r w:rsidR="00681A2F" w:rsidRPr="0035027D">
        <w:t>eným vzdelaním tretieho stup</w:t>
      </w:r>
      <w:r w:rsidR="00681A2F" w:rsidRPr="0035027D">
        <w:rPr>
          <w:rFonts w:cs="Times New Roman"/>
        </w:rPr>
        <w:t>ň</w:t>
      </w:r>
      <w:r w:rsidR="00681A2F" w:rsidRPr="0035027D">
        <w:t>a sa rýchlo pribli</w:t>
      </w:r>
      <w:r w:rsidR="00681A2F" w:rsidRPr="0035027D">
        <w:rPr>
          <w:rFonts w:cs="Times New Roman"/>
        </w:rPr>
        <w:t>ž</w:t>
      </w:r>
      <w:r w:rsidR="00681A2F" w:rsidRPr="0035027D">
        <w:t>uje priemeru EÚ. Zaostávanie je ale evidentné v kvalite vzdelávania. Podpriemerné výsledky v testovaní PISA sved</w:t>
      </w:r>
      <w:r w:rsidR="00681A2F" w:rsidRPr="0035027D">
        <w:rPr>
          <w:rFonts w:cs="Times New Roman"/>
        </w:rPr>
        <w:t>č</w:t>
      </w:r>
      <w:r w:rsidR="00681A2F" w:rsidRPr="0035027D">
        <w:t>ia o nedostato</w:t>
      </w:r>
      <w:r w:rsidR="00681A2F" w:rsidRPr="0035027D">
        <w:rPr>
          <w:rFonts w:cs="Times New Roman"/>
        </w:rPr>
        <w:t>č</w:t>
      </w:r>
      <w:r w:rsidR="00681A2F" w:rsidRPr="0035027D">
        <w:t>nej kvalite základného školstva, nízky po</w:t>
      </w:r>
      <w:r w:rsidR="00681A2F" w:rsidRPr="0035027D">
        <w:rPr>
          <w:rFonts w:cs="Times New Roman"/>
        </w:rPr>
        <w:t>č</w:t>
      </w:r>
      <w:r w:rsidR="00681A2F" w:rsidRPr="0035027D">
        <w:t>et vedeckých publikácií a citácií zase vysokého školstva. Vzdelávací systém nedostato</w:t>
      </w:r>
      <w:r w:rsidR="00681A2F" w:rsidRPr="0035027D">
        <w:rPr>
          <w:rFonts w:cs="Times New Roman"/>
        </w:rPr>
        <w:t>č</w:t>
      </w:r>
      <w:r w:rsidR="00681A2F" w:rsidRPr="0035027D">
        <w:t xml:space="preserve">ne reaguje na potreby trhu práce, </w:t>
      </w:r>
      <w:r w:rsidR="00681A2F" w:rsidRPr="0035027D">
        <w:rPr>
          <w:rFonts w:cs="Times New Roman"/>
        </w:rPr>
        <w:t>č</w:t>
      </w:r>
      <w:r w:rsidR="00681A2F" w:rsidRPr="0035027D">
        <w:t xml:space="preserve">o sa ukazuje ako jeden z dôvodov vysokej štrukturálnej nezamestnanosti. Navyše trh práce bude </w:t>
      </w:r>
      <w:r w:rsidR="00681A2F" w:rsidRPr="0035027D">
        <w:rPr>
          <w:rFonts w:cs="Times New Roman"/>
        </w:rPr>
        <w:t>č</w:t>
      </w:r>
      <w:r w:rsidR="00681A2F" w:rsidRPr="0035027D">
        <w:t>oraz vo vä</w:t>
      </w:r>
      <w:r w:rsidR="00681A2F" w:rsidRPr="0035027D">
        <w:rPr>
          <w:rFonts w:cs="Times New Roman"/>
        </w:rPr>
        <w:t>č</w:t>
      </w:r>
      <w:r w:rsidR="00681A2F" w:rsidRPr="0035027D">
        <w:t>šej miere vy</w:t>
      </w:r>
      <w:r w:rsidR="00681A2F" w:rsidRPr="0035027D">
        <w:rPr>
          <w:rFonts w:cs="Times New Roman"/>
        </w:rPr>
        <w:t>ž</w:t>
      </w:r>
      <w:r w:rsidR="00681A2F" w:rsidRPr="0035027D">
        <w:t>adova</w:t>
      </w:r>
      <w:r w:rsidR="00681A2F" w:rsidRPr="0035027D">
        <w:rPr>
          <w:rFonts w:cs="Times New Roman"/>
        </w:rPr>
        <w:t>ť</w:t>
      </w:r>
      <w:r w:rsidR="00681A2F" w:rsidRPr="0035027D">
        <w:t xml:space="preserve"> zru</w:t>
      </w:r>
      <w:r w:rsidR="00681A2F" w:rsidRPr="0035027D">
        <w:rPr>
          <w:rFonts w:cs="Times New Roman"/>
        </w:rPr>
        <w:t>č</w:t>
      </w:r>
      <w:r w:rsidR="00681A2F" w:rsidRPr="0035027D">
        <w:t>nosti vyššieho stup</w:t>
      </w:r>
      <w:r w:rsidR="00681A2F" w:rsidRPr="0035027D">
        <w:rPr>
          <w:rFonts w:cs="Times New Roman"/>
        </w:rPr>
        <w:t>ň</w:t>
      </w:r>
      <w:r w:rsidR="00681A2F" w:rsidRPr="0035027D">
        <w:t xml:space="preserve">a, k </w:t>
      </w:r>
      <w:r w:rsidR="00681A2F" w:rsidRPr="0035027D">
        <w:rPr>
          <w:rFonts w:cs="Times New Roman"/>
        </w:rPr>
        <w:t>č</w:t>
      </w:r>
      <w:r w:rsidR="00681A2F" w:rsidRPr="0035027D">
        <w:t xml:space="preserve">omu bude potrebné </w:t>
      </w:r>
      <w:r w:rsidR="00681A2F" w:rsidRPr="0035027D">
        <w:rPr>
          <w:rFonts w:cs="Times New Roman"/>
        </w:rPr>
        <w:t>č</w:t>
      </w:r>
      <w:r w:rsidR="00681A2F" w:rsidRPr="0035027D">
        <w:t>o najviac spru</w:t>
      </w:r>
      <w:r w:rsidR="00681A2F" w:rsidRPr="0035027D">
        <w:rPr>
          <w:rFonts w:cs="Times New Roman"/>
        </w:rPr>
        <w:t>ž</w:t>
      </w:r>
      <w:r w:rsidR="00681A2F" w:rsidRPr="0035027D">
        <w:t>ni</w:t>
      </w:r>
      <w:r w:rsidR="00681A2F" w:rsidRPr="0035027D">
        <w:rPr>
          <w:rFonts w:cs="Times New Roman"/>
        </w:rPr>
        <w:t>ť</w:t>
      </w:r>
      <w:r w:rsidR="00681A2F" w:rsidRPr="0035027D">
        <w:t xml:space="preserve"> vzdelávací systém.</w:t>
      </w:r>
    </w:p>
    <w:p w:rsidR="00681A2F" w:rsidRPr="0035027D" w:rsidRDefault="00681A2F" w:rsidP="00CE2607">
      <w:pPr>
        <w:spacing w:after="0"/>
      </w:pPr>
    </w:p>
    <w:tbl>
      <w:tblPr>
        <w:tblW w:w="9278" w:type="dxa"/>
        <w:tblInd w:w="-68" w:type="dxa"/>
        <w:tblCellMar>
          <w:left w:w="70" w:type="dxa"/>
          <w:right w:w="70" w:type="dxa"/>
        </w:tblCellMar>
        <w:tblLook w:val="0000" w:firstRow="0" w:lastRow="0" w:firstColumn="0" w:lastColumn="0" w:noHBand="0" w:noVBand="0"/>
      </w:tblPr>
      <w:tblGrid>
        <w:gridCol w:w="4828"/>
        <w:gridCol w:w="146"/>
        <w:gridCol w:w="4304"/>
      </w:tblGrid>
      <w:tr w:rsidR="00CE2607" w:rsidRPr="0035027D" w:rsidTr="00670CA5">
        <w:trPr>
          <w:trHeight w:val="271"/>
        </w:trPr>
        <w:tc>
          <w:tcPr>
            <w:tcW w:w="4828" w:type="dxa"/>
            <w:tcBorders>
              <w:top w:val="nil"/>
              <w:left w:val="nil"/>
              <w:bottom w:val="nil"/>
              <w:right w:val="nil"/>
            </w:tcBorders>
            <w:shd w:val="clear" w:color="auto" w:fill="000000"/>
            <w:vAlign w:val="center"/>
          </w:tcPr>
          <w:p w:rsidR="00CE2607" w:rsidRPr="0035027D" w:rsidRDefault="00CE2607" w:rsidP="00CE2607">
            <w:pPr>
              <w:spacing w:after="0"/>
              <w:jc w:val="left"/>
              <w:rPr>
                <w:b/>
                <w:bCs/>
                <w:color w:val="FFFFFF"/>
                <w:sz w:val="18"/>
                <w:szCs w:val="20"/>
              </w:rPr>
            </w:pPr>
            <w:r w:rsidRPr="0035027D">
              <w:rPr>
                <w:b/>
                <w:bCs/>
                <w:color w:val="FFFFFF"/>
                <w:sz w:val="18"/>
                <w:szCs w:val="20"/>
              </w:rPr>
              <w:t>Graf 7: Medzinárodné porovnanie výdavkov na vzdelávanie</w:t>
            </w:r>
          </w:p>
        </w:tc>
        <w:tc>
          <w:tcPr>
            <w:tcW w:w="146" w:type="dxa"/>
            <w:tcBorders>
              <w:top w:val="nil"/>
              <w:left w:val="nil"/>
              <w:bottom w:val="nil"/>
              <w:right w:val="nil"/>
            </w:tcBorders>
            <w:vAlign w:val="center"/>
          </w:tcPr>
          <w:p w:rsidR="00CE2607" w:rsidRPr="0035027D" w:rsidRDefault="00CE2607" w:rsidP="009F71F3">
            <w:pPr>
              <w:spacing w:after="0"/>
              <w:rPr>
                <w:b/>
                <w:bCs/>
                <w:color w:val="FFFFFF"/>
                <w:sz w:val="18"/>
                <w:szCs w:val="20"/>
              </w:rPr>
            </w:pPr>
          </w:p>
        </w:tc>
        <w:tc>
          <w:tcPr>
            <w:tcW w:w="4304" w:type="dxa"/>
            <w:tcBorders>
              <w:top w:val="nil"/>
              <w:left w:val="nil"/>
              <w:bottom w:val="nil"/>
              <w:right w:val="nil"/>
            </w:tcBorders>
            <w:shd w:val="clear" w:color="auto" w:fill="000000"/>
            <w:vAlign w:val="center"/>
          </w:tcPr>
          <w:p w:rsidR="00CE2607" w:rsidRPr="0035027D" w:rsidRDefault="00CE2607" w:rsidP="009F71F3">
            <w:pPr>
              <w:spacing w:after="0"/>
              <w:jc w:val="left"/>
              <w:rPr>
                <w:b/>
                <w:bCs/>
                <w:sz w:val="18"/>
                <w:szCs w:val="20"/>
              </w:rPr>
            </w:pPr>
            <w:r w:rsidRPr="0035027D">
              <w:rPr>
                <w:b/>
                <w:bCs/>
                <w:color w:val="FFFFFF"/>
                <w:sz w:val="18"/>
                <w:szCs w:val="20"/>
              </w:rPr>
              <w:t>Graf 8: Výdavky na regionálne a vysoké školstvo zo štátneho rozpočtu (východiská rozpočtu 2014 - 2016)</w:t>
            </w:r>
          </w:p>
        </w:tc>
      </w:tr>
      <w:tr w:rsidR="00CE2607" w:rsidRPr="0035027D" w:rsidTr="00670CA5">
        <w:trPr>
          <w:trHeight w:val="2434"/>
        </w:trPr>
        <w:tc>
          <w:tcPr>
            <w:tcW w:w="4828" w:type="dxa"/>
            <w:tcBorders>
              <w:top w:val="nil"/>
              <w:left w:val="nil"/>
              <w:bottom w:val="single" w:sz="8" w:space="0" w:color="auto"/>
              <w:right w:val="nil"/>
            </w:tcBorders>
          </w:tcPr>
          <w:p w:rsidR="00CE2607" w:rsidRPr="0035027D" w:rsidRDefault="00CE2607" w:rsidP="009F71F3">
            <w:pPr>
              <w:spacing w:after="0"/>
              <w:rPr>
                <w:rFonts w:cs="Garamond"/>
                <w:b/>
                <w:bCs/>
                <w:sz w:val="16"/>
                <w:szCs w:val="16"/>
              </w:rPr>
            </w:pPr>
            <w:r w:rsidRPr="0035027D">
              <w:rPr>
                <w:rFonts w:cs="Garamond"/>
                <w:b/>
                <w:bCs/>
                <w:noProof/>
                <w:sz w:val="16"/>
                <w:szCs w:val="16"/>
              </w:rPr>
              <w:lastRenderedPageBreak/>
              <w:drawing>
                <wp:inline distT="0" distB="0" distL="0" distR="0" wp14:anchorId="20E7F032" wp14:editId="7CF676C4">
                  <wp:extent cx="3074933" cy="1844703"/>
                  <wp:effectExtent l="0" t="0" r="0" b="3175"/>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82145" cy="1849030"/>
                          </a:xfrm>
                          <a:prstGeom prst="rect">
                            <a:avLst/>
                          </a:prstGeom>
                          <a:noFill/>
                        </pic:spPr>
                      </pic:pic>
                    </a:graphicData>
                  </a:graphic>
                </wp:inline>
              </w:drawing>
            </w:r>
          </w:p>
        </w:tc>
        <w:tc>
          <w:tcPr>
            <w:tcW w:w="146" w:type="dxa"/>
            <w:tcBorders>
              <w:top w:val="nil"/>
              <w:left w:val="nil"/>
              <w:bottom w:val="nil"/>
              <w:right w:val="nil"/>
            </w:tcBorders>
          </w:tcPr>
          <w:p w:rsidR="00CE2607" w:rsidRPr="0035027D" w:rsidRDefault="00CE2607" w:rsidP="009F71F3">
            <w:pPr>
              <w:spacing w:after="0"/>
              <w:rPr>
                <w:rFonts w:cs="Garamond"/>
                <w:b/>
                <w:bCs/>
                <w:sz w:val="16"/>
                <w:szCs w:val="16"/>
              </w:rPr>
            </w:pPr>
          </w:p>
        </w:tc>
        <w:tc>
          <w:tcPr>
            <w:tcW w:w="4304" w:type="dxa"/>
            <w:tcBorders>
              <w:top w:val="nil"/>
              <w:left w:val="nil"/>
              <w:bottom w:val="single" w:sz="8" w:space="0" w:color="auto"/>
              <w:right w:val="nil"/>
            </w:tcBorders>
          </w:tcPr>
          <w:p w:rsidR="00CE2607" w:rsidRPr="0035027D" w:rsidRDefault="00CE2607" w:rsidP="009F71F3">
            <w:pPr>
              <w:spacing w:after="0"/>
              <w:rPr>
                <w:rFonts w:cs="Garamond"/>
                <w:b/>
                <w:bCs/>
                <w:sz w:val="16"/>
                <w:szCs w:val="16"/>
              </w:rPr>
            </w:pPr>
            <w:r w:rsidRPr="0035027D">
              <w:rPr>
                <w:rFonts w:cs="Garamond"/>
                <w:b/>
                <w:bCs/>
                <w:noProof/>
                <w:sz w:val="16"/>
                <w:szCs w:val="16"/>
              </w:rPr>
              <w:drawing>
                <wp:inline distT="0" distB="0" distL="0" distR="0" wp14:anchorId="16373DC8" wp14:editId="6049EFCE">
                  <wp:extent cx="2731491" cy="1781092"/>
                  <wp:effectExtent l="0" t="0" r="0" b="0"/>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40931" cy="1787248"/>
                          </a:xfrm>
                          <a:prstGeom prst="rect">
                            <a:avLst/>
                          </a:prstGeom>
                          <a:noFill/>
                        </pic:spPr>
                      </pic:pic>
                    </a:graphicData>
                  </a:graphic>
                </wp:inline>
              </w:drawing>
            </w:r>
          </w:p>
        </w:tc>
      </w:tr>
      <w:tr w:rsidR="00CE2607" w:rsidRPr="0035027D" w:rsidTr="00670CA5">
        <w:trPr>
          <w:trHeight w:val="425"/>
        </w:trPr>
        <w:tc>
          <w:tcPr>
            <w:tcW w:w="4828" w:type="dxa"/>
            <w:tcBorders>
              <w:top w:val="nil"/>
              <w:left w:val="nil"/>
              <w:bottom w:val="nil"/>
              <w:right w:val="nil"/>
            </w:tcBorders>
          </w:tcPr>
          <w:p w:rsidR="00CE2607" w:rsidRPr="0035027D" w:rsidRDefault="00CE2607" w:rsidP="009F71F3">
            <w:pPr>
              <w:spacing w:after="0"/>
              <w:jc w:val="right"/>
              <w:rPr>
                <w:i/>
                <w:iCs/>
                <w:sz w:val="16"/>
                <w:szCs w:val="16"/>
              </w:rPr>
            </w:pPr>
            <w:r w:rsidRPr="0035027D">
              <w:rPr>
                <w:i/>
                <w:iCs/>
                <w:sz w:val="16"/>
                <w:szCs w:val="16"/>
              </w:rPr>
              <w:t>Zdroj: OECD (</w:t>
            </w:r>
            <w:proofErr w:type="spellStart"/>
            <w:r w:rsidRPr="0035027D">
              <w:rPr>
                <w:i/>
                <w:iCs/>
                <w:sz w:val="16"/>
                <w:szCs w:val="16"/>
              </w:rPr>
              <w:t>Education</w:t>
            </w:r>
            <w:proofErr w:type="spellEnd"/>
            <w:r w:rsidRPr="0035027D">
              <w:rPr>
                <w:i/>
                <w:iCs/>
                <w:sz w:val="16"/>
                <w:szCs w:val="16"/>
              </w:rPr>
              <w:t xml:space="preserve"> </w:t>
            </w:r>
            <w:proofErr w:type="spellStart"/>
            <w:r w:rsidRPr="0035027D">
              <w:rPr>
                <w:i/>
                <w:iCs/>
                <w:sz w:val="16"/>
                <w:szCs w:val="16"/>
              </w:rPr>
              <w:t>at</w:t>
            </w:r>
            <w:proofErr w:type="spellEnd"/>
            <w:r w:rsidRPr="0035027D">
              <w:rPr>
                <w:i/>
                <w:iCs/>
                <w:sz w:val="16"/>
                <w:szCs w:val="16"/>
              </w:rPr>
              <w:t xml:space="preserve"> </w:t>
            </w:r>
            <w:proofErr w:type="spellStart"/>
            <w:r w:rsidRPr="0035027D">
              <w:rPr>
                <w:i/>
                <w:iCs/>
                <w:sz w:val="16"/>
                <w:szCs w:val="16"/>
              </w:rPr>
              <w:t>Glance</w:t>
            </w:r>
            <w:proofErr w:type="spellEnd"/>
            <w:r w:rsidRPr="0035027D">
              <w:rPr>
                <w:i/>
                <w:iCs/>
                <w:sz w:val="16"/>
                <w:szCs w:val="16"/>
              </w:rPr>
              <w:t>, 2012)</w:t>
            </w:r>
          </w:p>
        </w:tc>
        <w:tc>
          <w:tcPr>
            <w:tcW w:w="146" w:type="dxa"/>
            <w:tcBorders>
              <w:top w:val="nil"/>
              <w:left w:val="nil"/>
              <w:bottom w:val="nil"/>
              <w:right w:val="nil"/>
            </w:tcBorders>
          </w:tcPr>
          <w:p w:rsidR="00CE2607" w:rsidRPr="0035027D" w:rsidRDefault="00CE2607" w:rsidP="009F71F3">
            <w:pPr>
              <w:spacing w:after="0"/>
              <w:jc w:val="right"/>
              <w:rPr>
                <w:i/>
                <w:iCs/>
                <w:sz w:val="16"/>
                <w:szCs w:val="16"/>
              </w:rPr>
            </w:pPr>
          </w:p>
        </w:tc>
        <w:tc>
          <w:tcPr>
            <w:tcW w:w="4304" w:type="dxa"/>
            <w:tcBorders>
              <w:top w:val="nil"/>
              <w:left w:val="nil"/>
              <w:bottom w:val="nil"/>
              <w:right w:val="nil"/>
            </w:tcBorders>
          </w:tcPr>
          <w:p w:rsidR="00CE2607" w:rsidRPr="0035027D" w:rsidRDefault="00CE2607" w:rsidP="009F71F3">
            <w:pPr>
              <w:spacing w:after="0"/>
              <w:jc w:val="right"/>
              <w:rPr>
                <w:i/>
                <w:iCs/>
                <w:sz w:val="16"/>
                <w:szCs w:val="16"/>
              </w:rPr>
            </w:pPr>
            <w:r w:rsidRPr="0035027D">
              <w:rPr>
                <w:i/>
                <w:iCs/>
                <w:sz w:val="16"/>
                <w:szCs w:val="16"/>
              </w:rPr>
              <w:t>Zdroj: Rozpočet VS, MF SR</w:t>
            </w:r>
          </w:p>
        </w:tc>
      </w:tr>
    </w:tbl>
    <w:p w:rsidR="00670CA5" w:rsidRPr="0035027D" w:rsidRDefault="00670CA5" w:rsidP="00670CA5">
      <w:pPr>
        <w:spacing w:after="0"/>
      </w:pPr>
      <w:r w:rsidRPr="0035027D">
        <w:t>Výdavky na vzdelávanie na Slovensku patria medzi najni</w:t>
      </w:r>
      <w:r w:rsidRPr="0035027D">
        <w:rPr>
          <w:rFonts w:cs="Times New Roman"/>
        </w:rPr>
        <w:t>ž</w:t>
      </w:r>
      <w:r w:rsidRPr="0035027D">
        <w:t>šie v EÚ a investova</w:t>
      </w:r>
      <w:r w:rsidRPr="0035027D">
        <w:rPr>
          <w:rFonts w:cs="Times New Roman"/>
        </w:rPr>
        <w:t>ť</w:t>
      </w:r>
      <w:r w:rsidRPr="0035027D">
        <w:t xml:space="preserve"> do vzdelávania pri sú</w:t>
      </w:r>
      <w:r w:rsidRPr="0035027D">
        <w:rPr>
          <w:rFonts w:cs="Times New Roman"/>
        </w:rPr>
        <w:t>č</w:t>
      </w:r>
      <w:r w:rsidRPr="0035027D">
        <w:t>asnom dodr</w:t>
      </w:r>
      <w:r w:rsidRPr="0035027D">
        <w:rPr>
          <w:rFonts w:cs="Times New Roman"/>
        </w:rPr>
        <w:t>ž</w:t>
      </w:r>
      <w:r w:rsidRPr="0035027D">
        <w:t>iavaní fiškálnych cie</w:t>
      </w:r>
      <w:r w:rsidRPr="0035027D">
        <w:rPr>
          <w:rFonts w:cs="Times New Roman"/>
        </w:rPr>
        <w:t>ľ</w:t>
      </w:r>
      <w:r w:rsidRPr="0035027D">
        <w:t>ov je jednou z nosných tém sú</w:t>
      </w:r>
      <w:r w:rsidRPr="0035027D">
        <w:rPr>
          <w:rFonts w:cs="Times New Roman"/>
        </w:rPr>
        <w:t>č</w:t>
      </w:r>
      <w:r w:rsidRPr="0035027D">
        <w:t>asnej hospodárskej politiky. Cie</w:t>
      </w:r>
      <w:r w:rsidRPr="0035027D">
        <w:rPr>
          <w:rFonts w:cs="Times New Roman"/>
        </w:rPr>
        <w:t>ľ</w:t>
      </w:r>
      <w:r w:rsidRPr="0035027D">
        <w:t>om vlády SR je zvýši</w:t>
      </w:r>
      <w:r w:rsidRPr="0035027D">
        <w:rPr>
          <w:rFonts w:cs="Times New Roman"/>
        </w:rPr>
        <w:t>ť</w:t>
      </w:r>
      <w:r w:rsidRPr="0035027D">
        <w:t xml:space="preserve"> výdavky na vzdelávanie tak, aby do roku 2020 dosiahli 6 % HDP. Je potrebné však zdôrazni</w:t>
      </w:r>
      <w:r w:rsidRPr="0035027D">
        <w:rPr>
          <w:rFonts w:cs="Times New Roman"/>
        </w:rPr>
        <w:t>ť</w:t>
      </w:r>
      <w:r w:rsidRPr="0035027D">
        <w:t xml:space="preserve">, </w:t>
      </w:r>
      <w:r w:rsidRPr="0035027D">
        <w:rPr>
          <w:rFonts w:cs="Times New Roman"/>
        </w:rPr>
        <w:t>ž</w:t>
      </w:r>
      <w:r w:rsidRPr="0035027D">
        <w:t>e zvýšenie finan</w:t>
      </w:r>
      <w:r w:rsidRPr="0035027D">
        <w:rPr>
          <w:rFonts w:cs="Times New Roman"/>
        </w:rPr>
        <w:t>č</w:t>
      </w:r>
      <w:r w:rsidRPr="0035027D">
        <w:t>ných prostriedkov musí by</w:t>
      </w:r>
      <w:r w:rsidRPr="0035027D">
        <w:rPr>
          <w:rFonts w:cs="Times New Roman"/>
        </w:rPr>
        <w:t>ť</w:t>
      </w:r>
      <w:r w:rsidRPr="0035027D">
        <w:t xml:space="preserve"> zabezpe</w:t>
      </w:r>
      <w:r w:rsidRPr="0035027D">
        <w:rPr>
          <w:rFonts w:cs="Times New Roman"/>
        </w:rPr>
        <w:t>č</w:t>
      </w:r>
      <w:r w:rsidRPr="0035027D">
        <w:t>ené efektívnym spôsobom. Budú sa h</w:t>
      </w:r>
      <w:r w:rsidRPr="0035027D">
        <w:rPr>
          <w:rFonts w:cs="Times New Roman"/>
        </w:rPr>
        <w:t>ľ</w:t>
      </w:r>
      <w:r w:rsidRPr="0035027D">
        <w:t>ada</w:t>
      </w:r>
      <w:r w:rsidRPr="0035027D">
        <w:rPr>
          <w:rFonts w:cs="Times New Roman"/>
        </w:rPr>
        <w:t>ť</w:t>
      </w:r>
      <w:r w:rsidRPr="0035027D">
        <w:t xml:space="preserve"> zdroje neefektivity v školstve, </w:t>
      </w:r>
      <w:r w:rsidRPr="0035027D">
        <w:rPr>
          <w:rFonts w:cs="Times New Roman"/>
        </w:rPr>
        <w:t>č</w:t>
      </w:r>
      <w:r w:rsidRPr="0035027D">
        <w:t xml:space="preserve">o vytvorí priestor pre zlepšenie financovania. </w:t>
      </w:r>
      <w:r w:rsidR="007C034A" w:rsidRPr="0035027D">
        <w:t xml:space="preserve">Vláda sa zameria </w:t>
      </w:r>
      <w:r w:rsidRPr="0035027D">
        <w:t>najmä na optimalizáciu siete škôl a naviazanie po</w:t>
      </w:r>
      <w:r w:rsidRPr="0035027D">
        <w:rPr>
          <w:rFonts w:cs="Times New Roman"/>
        </w:rPr>
        <w:t>č</w:t>
      </w:r>
      <w:r w:rsidRPr="0035027D">
        <w:t>tu u</w:t>
      </w:r>
      <w:r w:rsidRPr="0035027D">
        <w:rPr>
          <w:rFonts w:cs="Times New Roman"/>
        </w:rPr>
        <w:t>č</w:t>
      </w:r>
      <w:r w:rsidRPr="0035027D">
        <w:t>ite</w:t>
      </w:r>
      <w:r w:rsidRPr="0035027D">
        <w:rPr>
          <w:rFonts w:cs="Times New Roman"/>
        </w:rPr>
        <w:t>ľ</w:t>
      </w:r>
      <w:r w:rsidRPr="0035027D">
        <w:t xml:space="preserve">ov na demografický vývoj. </w:t>
      </w:r>
    </w:p>
    <w:p w:rsidR="00670CA5" w:rsidRPr="0035027D" w:rsidRDefault="00670CA5" w:rsidP="00670CA5">
      <w:pPr>
        <w:spacing w:after="0"/>
      </w:pPr>
    </w:p>
    <w:p w:rsidR="00CE2607" w:rsidRPr="0035027D" w:rsidRDefault="00CE2607" w:rsidP="00CE2607">
      <w:pPr>
        <w:spacing w:after="0"/>
      </w:pPr>
      <w:r w:rsidRPr="0035027D">
        <w:t>V minulosti sa rýchly nárast výdavkov Slovenska na vedu a výskum oproti krajinám V3</w:t>
      </w:r>
      <w:r w:rsidR="00D021BE">
        <w:rPr>
          <w:rStyle w:val="Odkaznapoznmkupodiarou"/>
        </w:rPr>
        <w:footnoteReference w:id="2"/>
      </w:r>
      <w:r w:rsidRPr="0035027D">
        <w:t xml:space="preserve"> najviac prejavil na u</w:t>
      </w:r>
      <w:r w:rsidRPr="0035027D">
        <w:rPr>
          <w:rFonts w:cs="Times New Roman"/>
        </w:rPr>
        <w:t>ž</w:t>
      </w:r>
      <w:r w:rsidRPr="0035027D">
        <w:t xml:space="preserve"> tak relatívne vysokom po</w:t>
      </w:r>
      <w:r w:rsidRPr="0035027D">
        <w:rPr>
          <w:rFonts w:cs="Times New Roman"/>
        </w:rPr>
        <w:t>č</w:t>
      </w:r>
      <w:r w:rsidRPr="0035027D">
        <w:t>te výskumníkov, avšak výsledky nezodpovedajú nárastu vstupov. Výstupy bádania vo forme vedeckých publikácií a citácií v porovnaní s priemerom našich susedov klesajú a high-tech export ako ukazovate</w:t>
      </w:r>
      <w:r w:rsidRPr="0035027D">
        <w:rPr>
          <w:rFonts w:cs="Times New Roman"/>
        </w:rPr>
        <w:t>ľ</w:t>
      </w:r>
      <w:r w:rsidRPr="0035027D">
        <w:t xml:space="preserve"> inova</w:t>
      </w:r>
      <w:r w:rsidRPr="0035027D">
        <w:rPr>
          <w:rFonts w:cs="Times New Roman"/>
        </w:rPr>
        <w:t>č</w:t>
      </w:r>
      <w:r w:rsidRPr="0035027D">
        <w:t>nej výkonnosti je stále výrazne pod priemerom EÚ.</w:t>
      </w:r>
    </w:p>
    <w:p w:rsidR="00CE2607" w:rsidRPr="0035027D" w:rsidRDefault="00CE2607" w:rsidP="00CE2607">
      <w:pPr>
        <w:spacing w:after="0"/>
      </w:pPr>
    </w:p>
    <w:tbl>
      <w:tblPr>
        <w:tblW w:w="9087" w:type="dxa"/>
        <w:tblInd w:w="55" w:type="dxa"/>
        <w:tblLayout w:type="fixed"/>
        <w:tblCellMar>
          <w:left w:w="70" w:type="dxa"/>
          <w:right w:w="70" w:type="dxa"/>
        </w:tblCellMar>
        <w:tblLook w:val="04A0" w:firstRow="1" w:lastRow="0" w:firstColumn="1" w:lastColumn="0" w:noHBand="0" w:noVBand="1"/>
      </w:tblPr>
      <w:tblGrid>
        <w:gridCol w:w="4410"/>
        <w:gridCol w:w="160"/>
        <w:gridCol w:w="4517"/>
      </w:tblGrid>
      <w:tr w:rsidR="00CE2607" w:rsidRPr="0035027D" w:rsidTr="009F71F3">
        <w:trPr>
          <w:trHeight w:val="261"/>
        </w:trPr>
        <w:tc>
          <w:tcPr>
            <w:tcW w:w="4410" w:type="dxa"/>
            <w:tcBorders>
              <w:bottom w:val="single" w:sz="8" w:space="0" w:color="auto"/>
            </w:tcBorders>
            <w:shd w:val="clear" w:color="auto" w:fill="000000" w:themeFill="text1"/>
            <w:noWrap/>
            <w:vAlign w:val="center"/>
            <w:hideMark/>
          </w:tcPr>
          <w:p w:rsidR="00CE2607" w:rsidRPr="0035027D" w:rsidRDefault="00CE2607" w:rsidP="009F71F3">
            <w:pPr>
              <w:spacing w:after="0"/>
              <w:rPr>
                <w:b/>
                <w:bCs/>
                <w:color w:val="FFFFFF" w:themeColor="background1"/>
                <w:sz w:val="20"/>
                <w:szCs w:val="20"/>
              </w:rPr>
            </w:pPr>
            <w:r w:rsidRPr="0035027D">
              <w:rPr>
                <w:b/>
                <w:bCs/>
                <w:color w:val="FFFFFF" w:themeColor="background1"/>
                <w:sz w:val="18"/>
                <w:szCs w:val="20"/>
              </w:rPr>
              <w:t>Graf 9: Vstupy a výstupy R&amp;D ako % priemeru V3</w:t>
            </w:r>
          </w:p>
        </w:tc>
        <w:tc>
          <w:tcPr>
            <w:tcW w:w="160" w:type="dxa"/>
            <w:shd w:val="clear" w:color="auto" w:fill="auto"/>
            <w:vAlign w:val="center"/>
          </w:tcPr>
          <w:p w:rsidR="00CE2607" w:rsidRPr="0035027D" w:rsidRDefault="00CE2607" w:rsidP="009F71F3">
            <w:pPr>
              <w:spacing w:after="0"/>
              <w:rPr>
                <w:b/>
                <w:bCs/>
                <w:color w:val="000000"/>
                <w:sz w:val="20"/>
                <w:szCs w:val="20"/>
              </w:rPr>
            </w:pPr>
          </w:p>
        </w:tc>
        <w:tc>
          <w:tcPr>
            <w:tcW w:w="4517" w:type="dxa"/>
            <w:tcBorders>
              <w:left w:val="nil"/>
              <w:bottom w:val="single" w:sz="8" w:space="0" w:color="auto"/>
            </w:tcBorders>
            <w:shd w:val="clear" w:color="auto" w:fill="000000" w:themeFill="text1"/>
            <w:vAlign w:val="center"/>
          </w:tcPr>
          <w:p w:rsidR="00CE2607" w:rsidRPr="0035027D" w:rsidRDefault="00CE2607" w:rsidP="009F71F3">
            <w:pPr>
              <w:spacing w:after="0"/>
              <w:rPr>
                <w:b/>
                <w:bCs/>
                <w:color w:val="FFFFFF" w:themeColor="background1"/>
                <w:sz w:val="20"/>
                <w:szCs w:val="20"/>
              </w:rPr>
            </w:pPr>
            <w:r w:rsidRPr="0035027D">
              <w:rPr>
                <w:b/>
                <w:bCs/>
                <w:color w:val="FFFFFF"/>
                <w:sz w:val="18"/>
                <w:szCs w:val="20"/>
              </w:rPr>
              <w:t>Graf 10: Financovanie vedy a výskumu v rozpočte VS (mil. €)</w:t>
            </w:r>
          </w:p>
        </w:tc>
      </w:tr>
      <w:tr w:rsidR="00CE2607" w:rsidRPr="0035027D" w:rsidTr="009F71F3">
        <w:trPr>
          <w:trHeight w:val="319"/>
        </w:trPr>
        <w:tc>
          <w:tcPr>
            <w:tcW w:w="4410" w:type="dxa"/>
            <w:tcBorders>
              <w:top w:val="single" w:sz="8" w:space="0" w:color="auto"/>
              <w:bottom w:val="single" w:sz="4" w:space="0" w:color="auto"/>
            </w:tcBorders>
            <w:shd w:val="clear" w:color="auto" w:fill="auto"/>
            <w:noWrap/>
            <w:vAlign w:val="center"/>
            <w:hideMark/>
          </w:tcPr>
          <w:p w:rsidR="00CE2607" w:rsidRPr="0035027D" w:rsidRDefault="00931BD6" w:rsidP="009F71F3">
            <w:pPr>
              <w:spacing w:after="0"/>
              <w:rPr>
                <w:b/>
                <w:bCs/>
                <w:color w:val="000000"/>
                <w:sz w:val="20"/>
                <w:szCs w:val="20"/>
              </w:rPr>
            </w:pPr>
            <w:r w:rsidRPr="0035027D">
              <w:rPr>
                <w:b/>
                <w:bCs/>
                <w:noProof/>
                <w:color w:val="000000"/>
                <w:sz w:val="20"/>
                <w:szCs w:val="20"/>
              </w:rPr>
              <w:drawing>
                <wp:inline distT="0" distB="0" distL="0" distR="0" wp14:anchorId="0F819CFD" wp14:editId="7A703FA4">
                  <wp:extent cx="2790825" cy="2169029"/>
                  <wp:effectExtent l="0" t="0" r="0" b="3175"/>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95644" cy="2172775"/>
                          </a:xfrm>
                          <a:prstGeom prst="rect">
                            <a:avLst/>
                          </a:prstGeom>
                          <a:noFill/>
                        </pic:spPr>
                      </pic:pic>
                    </a:graphicData>
                  </a:graphic>
                </wp:inline>
              </w:drawing>
            </w:r>
          </w:p>
        </w:tc>
        <w:tc>
          <w:tcPr>
            <w:tcW w:w="160" w:type="dxa"/>
          </w:tcPr>
          <w:p w:rsidR="00CE2607" w:rsidRPr="0035027D" w:rsidRDefault="00CE2607" w:rsidP="009F71F3">
            <w:pPr>
              <w:spacing w:after="0"/>
              <w:rPr>
                <w:b/>
                <w:bCs/>
                <w:color w:val="000000"/>
                <w:sz w:val="20"/>
                <w:szCs w:val="20"/>
              </w:rPr>
            </w:pPr>
          </w:p>
        </w:tc>
        <w:tc>
          <w:tcPr>
            <w:tcW w:w="4517" w:type="dxa"/>
            <w:tcBorders>
              <w:top w:val="single" w:sz="8" w:space="0" w:color="auto"/>
              <w:left w:val="nil"/>
              <w:bottom w:val="single" w:sz="4" w:space="0" w:color="auto"/>
            </w:tcBorders>
          </w:tcPr>
          <w:p w:rsidR="00CE2607" w:rsidRPr="0035027D" w:rsidRDefault="00CE2607" w:rsidP="009F71F3">
            <w:pPr>
              <w:spacing w:after="0"/>
              <w:rPr>
                <w:b/>
                <w:bCs/>
                <w:color w:val="000000"/>
                <w:sz w:val="20"/>
                <w:szCs w:val="20"/>
              </w:rPr>
            </w:pPr>
            <w:r w:rsidRPr="0035027D">
              <w:rPr>
                <w:rStyle w:val="Odkaznakomentr"/>
                <w:lang w:val="en-US" w:eastAsia="en-US"/>
              </w:rPr>
              <w:t xml:space="preserve"> </w:t>
            </w:r>
            <w:r w:rsidRPr="0035027D">
              <w:rPr>
                <w:rFonts w:cs="Times New Roman"/>
                <w:noProof/>
                <w:sz w:val="16"/>
                <w:szCs w:val="16"/>
              </w:rPr>
              <w:drawing>
                <wp:inline distT="0" distB="0" distL="0" distR="0" wp14:anchorId="3F467D73" wp14:editId="0E477CD2">
                  <wp:extent cx="2780665" cy="2066925"/>
                  <wp:effectExtent l="0" t="0" r="635" b="9525"/>
                  <wp:docPr id="305" name="Obrázok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80665" cy="2066925"/>
                          </a:xfrm>
                          <a:prstGeom prst="rect">
                            <a:avLst/>
                          </a:prstGeom>
                          <a:noFill/>
                        </pic:spPr>
                      </pic:pic>
                    </a:graphicData>
                  </a:graphic>
                </wp:inline>
              </w:drawing>
            </w:r>
          </w:p>
        </w:tc>
      </w:tr>
      <w:tr w:rsidR="00CE2607" w:rsidRPr="0035027D" w:rsidTr="009F71F3">
        <w:trPr>
          <w:trHeight w:val="319"/>
        </w:trPr>
        <w:tc>
          <w:tcPr>
            <w:tcW w:w="4410" w:type="dxa"/>
            <w:tcBorders>
              <w:top w:val="single" w:sz="4" w:space="0" w:color="auto"/>
            </w:tcBorders>
            <w:shd w:val="clear" w:color="auto" w:fill="auto"/>
            <w:noWrap/>
            <w:vAlign w:val="center"/>
          </w:tcPr>
          <w:p w:rsidR="00CE2607" w:rsidRPr="0035027D" w:rsidRDefault="00CE2607" w:rsidP="009F71F3">
            <w:pPr>
              <w:spacing w:after="0"/>
              <w:jc w:val="right"/>
              <w:rPr>
                <w:bCs/>
                <w:i/>
                <w:color w:val="000000"/>
                <w:sz w:val="20"/>
                <w:szCs w:val="20"/>
              </w:rPr>
            </w:pPr>
            <w:r w:rsidRPr="0035027D">
              <w:rPr>
                <w:bCs/>
                <w:i/>
                <w:color w:val="000000"/>
                <w:sz w:val="18"/>
                <w:szCs w:val="20"/>
              </w:rPr>
              <w:t xml:space="preserve">Zdroj: Eurostat, Web </w:t>
            </w:r>
            <w:proofErr w:type="spellStart"/>
            <w:r w:rsidRPr="0035027D">
              <w:rPr>
                <w:bCs/>
                <w:i/>
                <w:color w:val="000000"/>
                <w:sz w:val="18"/>
                <w:szCs w:val="20"/>
              </w:rPr>
              <w:t>of</w:t>
            </w:r>
            <w:proofErr w:type="spellEnd"/>
            <w:r w:rsidRPr="0035027D">
              <w:rPr>
                <w:bCs/>
                <w:i/>
                <w:color w:val="000000"/>
                <w:sz w:val="18"/>
                <w:szCs w:val="20"/>
              </w:rPr>
              <w:t xml:space="preserve"> </w:t>
            </w:r>
            <w:proofErr w:type="spellStart"/>
            <w:r w:rsidRPr="0035027D">
              <w:rPr>
                <w:bCs/>
                <w:i/>
                <w:color w:val="000000"/>
                <w:sz w:val="18"/>
                <w:szCs w:val="20"/>
              </w:rPr>
              <w:t>Knowledge</w:t>
            </w:r>
            <w:proofErr w:type="spellEnd"/>
            <w:r w:rsidRPr="0035027D">
              <w:rPr>
                <w:bCs/>
                <w:i/>
                <w:color w:val="000000"/>
                <w:sz w:val="18"/>
                <w:szCs w:val="20"/>
              </w:rPr>
              <w:t>, IFP</w:t>
            </w:r>
          </w:p>
        </w:tc>
        <w:tc>
          <w:tcPr>
            <w:tcW w:w="160" w:type="dxa"/>
            <w:vAlign w:val="center"/>
          </w:tcPr>
          <w:p w:rsidR="00CE2607" w:rsidRPr="0035027D" w:rsidRDefault="00CE2607" w:rsidP="009F71F3">
            <w:pPr>
              <w:spacing w:after="0"/>
              <w:rPr>
                <w:bCs/>
                <w:i/>
                <w:color w:val="000000"/>
                <w:sz w:val="20"/>
                <w:szCs w:val="20"/>
              </w:rPr>
            </w:pPr>
          </w:p>
        </w:tc>
        <w:tc>
          <w:tcPr>
            <w:tcW w:w="4517" w:type="dxa"/>
            <w:tcBorders>
              <w:top w:val="single" w:sz="4" w:space="0" w:color="auto"/>
            </w:tcBorders>
            <w:vAlign w:val="center"/>
          </w:tcPr>
          <w:p w:rsidR="00CE2607" w:rsidRPr="0035027D" w:rsidRDefault="00CE2607" w:rsidP="009F71F3">
            <w:pPr>
              <w:spacing w:after="0"/>
              <w:jc w:val="right"/>
              <w:rPr>
                <w:bCs/>
                <w:i/>
                <w:color w:val="000000"/>
                <w:sz w:val="20"/>
                <w:szCs w:val="20"/>
              </w:rPr>
            </w:pPr>
            <w:r w:rsidRPr="0035027D">
              <w:rPr>
                <w:i/>
                <w:color w:val="000000"/>
                <w:sz w:val="18"/>
                <w:szCs w:val="20"/>
              </w:rPr>
              <w:t>Zdroj: Rozpočet verejnej správy na rok 2013 - 2015</w:t>
            </w:r>
          </w:p>
        </w:tc>
      </w:tr>
    </w:tbl>
    <w:p w:rsidR="00CE2607" w:rsidRPr="0035027D" w:rsidRDefault="00CE2607" w:rsidP="00CE2607">
      <w:pPr>
        <w:spacing w:after="0"/>
      </w:pPr>
    </w:p>
    <w:p w:rsidR="00CE2607" w:rsidRPr="0035027D" w:rsidRDefault="00CE2607" w:rsidP="00CE2607">
      <w:pPr>
        <w:spacing w:after="0"/>
      </w:pPr>
      <w:r w:rsidRPr="0035027D">
        <w:t>Štrukturálne zmeny v oblasti školstva sa zameriavajú na podporu za</w:t>
      </w:r>
      <w:r w:rsidRPr="0035027D">
        <w:rPr>
          <w:rFonts w:cs="Times New Roman"/>
        </w:rPr>
        <w:t>č</w:t>
      </w:r>
      <w:r w:rsidRPr="0035027D">
        <w:t>le</w:t>
      </w:r>
      <w:r w:rsidRPr="0035027D">
        <w:rPr>
          <w:rFonts w:cs="Times New Roman"/>
        </w:rPr>
        <w:t>ň</w:t>
      </w:r>
      <w:r w:rsidRPr="0035027D">
        <w:t>ovania marginalizovaných komunít od predprimárneho vzdelávania a</w:t>
      </w:r>
      <w:r w:rsidRPr="0035027D">
        <w:rPr>
          <w:rFonts w:cs="Times New Roman"/>
        </w:rPr>
        <w:t>ž</w:t>
      </w:r>
      <w:r w:rsidRPr="0035027D">
        <w:t xml:space="preserve"> po </w:t>
      </w:r>
      <w:r w:rsidRPr="0035027D">
        <w:rPr>
          <w:rFonts w:cs="Times New Roman"/>
        </w:rPr>
        <w:t>ď</w:t>
      </w:r>
      <w:r w:rsidRPr="0035027D">
        <w:t>alšie vzdelávanie, prepojenie odborného vzdelania s praxou, zmeny vo vnútornej organizácii vysokého školstva za ú</w:t>
      </w:r>
      <w:r w:rsidRPr="0035027D">
        <w:rPr>
          <w:rFonts w:cs="Times New Roman"/>
        </w:rPr>
        <w:t>č</w:t>
      </w:r>
      <w:r w:rsidRPr="0035027D">
        <w:t>elom zvýšenia kvality a tie</w:t>
      </w:r>
      <w:r w:rsidRPr="0035027D">
        <w:rPr>
          <w:rFonts w:cs="Times New Roman"/>
        </w:rPr>
        <w:t>ž</w:t>
      </w:r>
      <w:r w:rsidRPr="0035027D">
        <w:t xml:space="preserve"> skvalitnenie pedagogických pracovníkov. Opatrenia na zlepšenie vedy výskumu a inovácii by mali stabilizova</w:t>
      </w:r>
      <w:r w:rsidRPr="0035027D">
        <w:rPr>
          <w:rFonts w:cs="Times New Roman"/>
        </w:rPr>
        <w:t>ť</w:t>
      </w:r>
      <w:r w:rsidRPr="0035027D">
        <w:t xml:space="preserve"> výdavky štátu a zvýši</w:t>
      </w:r>
      <w:r w:rsidRPr="0035027D">
        <w:rPr>
          <w:rFonts w:cs="Times New Roman"/>
        </w:rPr>
        <w:t>ť</w:t>
      </w:r>
      <w:r w:rsidRPr="0035027D">
        <w:t xml:space="preserve"> efektívnos</w:t>
      </w:r>
      <w:r w:rsidRPr="0035027D">
        <w:rPr>
          <w:rFonts w:cs="Times New Roman"/>
        </w:rPr>
        <w:t>ť</w:t>
      </w:r>
      <w:r w:rsidRPr="0035027D">
        <w:t xml:space="preserve"> vyu</w:t>
      </w:r>
      <w:r w:rsidRPr="0035027D">
        <w:rPr>
          <w:rFonts w:cs="Times New Roman"/>
        </w:rPr>
        <w:t>ž</w:t>
      </w:r>
      <w:r w:rsidRPr="0035027D">
        <w:t>ívania týchto prostriedkov. K dosiahnutiu cie</w:t>
      </w:r>
      <w:r w:rsidRPr="0035027D">
        <w:rPr>
          <w:rFonts w:cs="Times New Roman"/>
        </w:rPr>
        <w:t>ľ</w:t>
      </w:r>
      <w:r w:rsidRPr="0035027D">
        <w:t>a Stratégie Európa 2020 by mal výraznou mierou prispie</w:t>
      </w:r>
      <w:r w:rsidRPr="0035027D">
        <w:rPr>
          <w:rFonts w:cs="Times New Roman"/>
        </w:rPr>
        <w:t>ť</w:t>
      </w:r>
      <w:r w:rsidRPr="0035027D">
        <w:t xml:space="preserve"> nárast súkromných výdavkov na R&amp;D.</w:t>
      </w:r>
    </w:p>
    <w:p w:rsidR="00CE2607" w:rsidRPr="0035027D" w:rsidRDefault="00CE2607" w:rsidP="00CE2607">
      <w:pPr>
        <w:spacing w:after="0"/>
      </w:pPr>
    </w:p>
    <w:p w:rsidR="00CE2607" w:rsidRPr="0035027D" w:rsidRDefault="00CE2607" w:rsidP="00CE2607">
      <w:pPr>
        <w:spacing w:after="0"/>
      </w:pPr>
    </w:p>
    <w:p w:rsidR="00CE2607" w:rsidRPr="0035027D" w:rsidRDefault="00CE2607" w:rsidP="00CE2607">
      <w:pPr>
        <w:pStyle w:val="Nadpis4"/>
      </w:pPr>
      <w:bookmarkStart w:id="45" w:name="_Toc350524500"/>
      <w:bookmarkStart w:id="46" w:name="_Toc353537825"/>
      <w:bookmarkStart w:id="47" w:name="_Toc353563378"/>
      <w:r w:rsidRPr="0035027D">
        <w:lastRenderedPageBreak/>
        <w:t>Regionálne školstvo</w:t>
      </w:r>
      <w:bookmarkEnd w:id="45"/>
      <w:bookmarkEnd w:id="46"/>
      <w:bookmarkEnd w:id="47"/>
    </w:p>
    <w:p w:rsidR="00871B40" w:rsidRPr="0035027D" w:rsidRDefault="00871B40" w:rsidP="00CE2607">
      <w:pPr>
        <w:spacing w:after="0"/>
        <w:rPr>
          <w:b/>
          <w:i/>
          <w:color w:val="000000" w:themeColor="text1"/>
        </w:rPr>
      </w:pPr>
    </w:p>
    <w:p w:rsidR="00CE2607" w:rsidRPr="0035027D" w:rsidRDefault="00CE2607" w:rsidP="00CE2607">
      <w:pPr>
        <w:spacing w:after="0"/>
        <w:rPr>
          <w:b/>
          <w:i/>
          <w:color w:val="000000" w:themeColor="text1"/>
        </w:rPr>
      </w:pPr>
      <w:r w:rsidRPr="0035027D">
        <w:rPr>
          <w:b/>
          <w:i/>
          <w:color w:val="000000" w:themeColor="text1"/>
        </w:rPr>
        <w:t>Financovanie</w:t>
      </w:r>
    </w:p>
    <w:p w:rsidR="00CE2607" w:rsidRPr="0035027D" w:rsidRDefault="00CE2607" w:rsidP="00CE2607">
      <w:pPr>
        <w:spacing w:after="0"/>
        <w:rPr>
          <w:color w:val="000000" w:themeColor="text1"/>
        </w:rPr>
      </w:pPr>
    </w:p>
    <w:p w:rsidR="00D23B98" w:rsidRPr="0035027D" w:rsidRDefault="00CE2607" w:rsidP="00CE2607">
      <w:pPr>
        <w:spacing w:after="0"/>
        <w:rPr>
          <w:color w:val="000000" w:themeColor="text1"/>
        </w:rPr>
      </w:pPr>
      <w:r w:rsidRPr="0035027D">
        <w:rPr>
          <w:color w:val="000000" w:themeColor="text1"/>
        </w:rPr>
        <w:t xml:space="preserve">Základným nedostatkom systému financovania je, </w:t>
      </w:r>
      <w:r w:rsidRPr="0035027D">
        <w:rPr>
          <w:rFonts w:cs="Times New Roman"/>
          <w:color w:val="000000" w:themeColor="text1"/>
        </w:rPr>
        <w:t>ž</w:t>
      </w:r>
      <w:r w:rsidRPr="0035027D">
        <w:rPr>
          <w:color w:val="000000" w:themeColor="text1"/>
        </w:rPr>
        <w:t>e nevytvára tlak na optimalizáciu siete škôl z h</w:t>
      </w:r>
      <w:r w:rsidRPr="0035027D">
        <w:rPr>
          <w:rFonts w:cs="Times New Roman"/>
          <w:color w:val="000000" w:themeColor="text1"/>
        </w:rPr>
        <w:t>ľ</w:t>
      </w:r>
      <w:r w:rsidRPr="0035027D">
        <w:rPr>
          <w:color w:val="000000" w:themeColor="text1"/>
        </w:rPr>
        <w:t>adiska efektívnosti pou</w:t>
      </w:r>
      <w:r w:rsidRPr="0035027D">
        <w:rPr>
          <w:rFonts w:cs="Times New Roman"/>
          <w:color w:val="000000" w:themeColor="text1"/>
        </w:rPr>
        <w:t>ž</w:t>
      </w:r>
      <w:r w:rsidRPr="0035027D">
        <w:rPr>
          <w:color w:val="000000" w:themeColor="text1"/>
        </w:rPr>
        <w:t>itia finan</w:t>
      </w:r>
      <w:r w:rsidRPr="0035027D">
        <w:rPr>
          <w:rFonts w:cs="Times New Roman"/>
          <w:color w:val="000000" w:themeColor="text1"/>
        </w:rPr>
        <w:t>č</w:t>
      </w:r>
      <w:r w:rsidRPr="0035027D">
        <w:rPr>
          <w:color w:val="000000" w:themeColor="text1"/>
        </w:rPr>
        <w:t xml:space="preserve">ných prostriedkov. Na úrovni základných škôl sa tento problém prejavuje pretrvávajúcou existenciou vysokého </w:t>
      </w:r>
      <w:r w:rsidR="007C034A" w:rsidRPr="0035027D">
        <w:rPr>
          <w:color w:val="000000" w:themeColor="text1"/>
        </w:rPr>
        <w:t xml:space="preserve">podielu </w:t>
      </w:r>
      <w:r w:rsidRPr="0035027D">
        <w:rPr>
          <w:color w:val="000000" w:themeColor="text1"/>
        </w:rPr>
        <w:t>škôl s nízkym po</w:t>
      </w:r>
      <w:r w:rsidRPr="0035027D">
        <w:rPr>
          <w:rFonts w:cs="Times New Roman"/>
          <w:color w:val="000000" w:themeColor="text1"/>
        </w:rPr>
        <w:t>č</w:t>
      </w:r>
      <w:r w:rsidRPr="0035027D">
        <w:rPr>
          <w:color w:val="000000" w:themeColor="text1"/>
        </w:rPr>
        <w:t xml:space="preserve">tom </w:t>
      </w:r>
      <w:r w:rsidRPr="0035027D">
        <w:rPr>
          <w:rFonts w:cs="Times New Roman"/>
          <w:color w:val="000000" w:themeColor="text1"/>
        </w:rPr>
        <w:t>ž</w:t>
      </w:r>
      <w:r w:rsidRPr="0035027D">
        <w:rPr>
          <w:color w:val="000000" w:themeColor="text1"/>
        </w:rPr>
        <w:t>iakov. Na úrovni stredných škôl ide o otázky štruktúry siete z h</w:t>
      </w:r>
      <w:r w:rsidRPr="0035027D">
        <w:rPr>
          <w:rFonts w:cs="Times New Roman"/>
          <w:color w:val="000000" w:themeColor="text1"/>
        </w:rPr>
        <w:t>ľ</w:t>
      </w:r>
      <w:r w:rsidRPr="0035027D">
        <w:rPr>
          <w:color w:val="000000" w:themeColor="text1"/>
        </w:rPr>
        <w:t xml:space="preserve">adiska druhov škôl (gymnáziá, rôzne typy odborných škôl). Za systémový nedostatok </w:t>
      </w:r>
      <w:r w:rsidR="00B214E7" w:rsidRPr="0035027D">
        <w:rPr>
          <w:color w:val="000000" w:themeColor="text1"/>
        </w:rPr>
        <w:t>pou</w:t>
      </w:r>
      <w:r w:rsidR="00B214E7" w:rsidRPr="0035027D">
        <w:rPr>
          <w:rFonts w:cs="Times New Roman"/>
          <w:color w:val="000000" w:themeColor="text1"/>
        </w:rPr>
        <w:t>ž</w:t>
      </w:r>
      <w:r w:rsidR="00B214E7" w:rsidRPr="0035027D">
        <w:rPr>
          <w:color w:val="000000" w:themeColor="text1"/>
        </w:rPr>
        <w:t>itého modelu</w:t>
      </w:r>
      <w:r w:rsidR="007C034A" w:rsidRPr="0035027D">
        <w:rPr>
          <w:color w:val="000000" w:themeColor="text1"/>
        </w:rPr>
        <w:t xml:space="preserve"> financovania</w:t>
      </w:r>
      <w:r w:rsidRPr="0035027D">
        <w:rPr>
          <w:color w:val="000000" w:themeColor="text1"/>
        </w:rPr>
        <w:t xml:space="preserve"> mo</w:t>
      </w:r>
      <w:r w:rsidRPr="0035027D">
        <w:rPr>
          <w:rFonts w:cs="Times New Roman"/>
          <w:color w:val="000000" w:themeColor="text1"/>
        </w:rPr>
        <w:t>ž</w:t>
      </w:r>
      <w:r w:rsidRPr="0035027D">
        <w:rPr>
          <w:color w:val="000000" w:themeColor="text1"/>
        </w:rPr>
        <w:t>no pova</w:t>
      </w:r>
      <w:r w:rsidRPr="0035027D">
        <w:rPr>
          <w:rFonts w:cs="Times New Roman"/>
          <w:color w:val="000000" w:themeColor="text1"/>
        </w:rPr>
        <w:t>ž</w:t>
      </w:r>
      <w:r w:rsidRPr="0035027D">
        <w:rPr>
          <w:color w:val="000000" w:themeColor="text1"/>
        </w:rPr>
        <w:t>ova</w:t>
      </w:r>
      <w:r w:rsidRPr="0035027D">
        <w:rPr>
          <w:rFonts w:cs="Times New Roman"/>
          <w:color w:val="000000" w:themeColor="text1"/>
        </w:rPr>
        <w:t>ť</w:t>
      </w:r>
      <w:r w:rsidRPr="0035027D">
        <w:rPr>
          <w:color w:val="000000" w:themeColor="text1"/>
        </w:rPr>
        <w:t xml:space="preserve"> aj skuto</w:t>
      </w:r>
      <w:r w:rsidRPr="0035027D">
        <w:rPr>
          <w:rFonts w:cs="Times New Roman"/>
          <w:color w:val="000000" w:themeColor="text1"/>
        </w:rPr>
        <w:t>č</w:t>
      </w:r>
      <w:r w:rsidRPr="0035027D">
        <w:rPr>
          <w:color w:val="000000" w:themeColor="text1"/>
        </w:rPr>
        <w:t>nos</w:t>
      </w:r>
      <w:r w:rsidRPr="0035027D">
        <w:rPr>
          <w:rFonts w:cs="Times New Roman"/>
          <w:color w:val="000000" w:themeColor="text1"/>
        </w:rPr>
        <w:t>ť</w:t>
      </w:r>
      <w:r w:rsidRPr="0035027D">
        <w:rPr>
          <w:color w:val="000000" w:themeColor="text1"/>
        </w:rPr>
        <w:t xml:space="preserve">, </w:t>
      </w:r>
      <w:r w:rsidRPr="0035027D">
        <w:rPr>
          <w:rFonts w:cs="Times New Roman"/>
          <w:color w:val="000000" w:themeColor="text1"/>
        </w:rPr>
        <w:t>ž</w:t>
      </w:r>
      <w:r w:rsidRPr="0035027D">
        <w:rPr>
          <w:color w:val="000000" w:themeColor="text1"/>
        </w:rPr>
        <w:t>e systém pri pride</w:t>
      </w:r>
      <w:r w:rsidRPr="0035027D">
        <w:rPr>
          <w:rFonts w:cs="Times New Roman"/>
          <w:color w:val="000000" w:themeColor="text1"/>
        </w:rPr>
        <w:t>ľ</w:t>
      </w:r>
      <w:r w:rsidRPr="0035027D">
        <w:rPr>
          <w:color w:val="000000" w:themeColor="text1"/>
        </w:rPr>
        <w:t>ovaní finan</w:t>
      </w:r>
      <w:r w:rsidRPr="0035027D">
        <w:rPr>
          <w:rFonts w:cs="Times New Roman"/>
          <w:color w:val="000000" w:themeColor="text1"/>
        </w:rPr>
        <w:t>č</w:t>
      </w:r>
      <w:r w:rsidRPr="0035027D">
        <w:rPr>
          <w:color w:val="000000" w:themeColor="text1"/>
        </w:rPr>
        <w:t>ných prostriedkov nezoh</w:t>
      </w:r>
      <w:r w:rsidRPr="0035027D">
        <w:rPr>
          <w:rFonts w:cs="Times New Roman"/>
          <w:color w:val="000000" w:themeColor="text1"/>
        </w:rPr>
        <w:t>ľ</w:t>
      </w:r>
      <w:r w:rsidRPr="0035027D">
        <w:rPr>
          <w:color w:val="000000" w:themeColor="text1"/>
        </w:rPr>
        <w:t>ad</w:t>
      </w:r>
      <w:r w:rsidRPr="0035027D">
        <w:rPr>
          <w:rFonts w:cs="Times New Roman"/>
          <w:color w:val="000000" w:themeColor="text1"/>
        </w:rPr>
        <w:t>ň</w:t>
      </w:r>
      <w:r w:rsidRPr="0035027D">
        <w:rPr>
          <w:color w:val="000000" w:themeColor="text1"/>
        </w:rPr>
        <w:t>uje objektívne potrebný po</w:t>
      </w:r>
      <w:r w:rsidRPr="0035027D">
        <w:rPr>
          <w:rFonts w:cs="Times New Roman"/>
          <w:color w:val="000000" w:themeColor="text1"/>
        </w:rPr>
        <w:t>č</w:t>
      </w:r>
      <w:r w:rsidRPr="0035027D">
        <w:rPr>
          <w:color w:val="000000" w:themeColor="text1"/>
        </w:rPr>
        <w:t>et tried, ale len po</w:t>
      </w:r>
      <w:r w:rsidRPr="0035027D">
        <w:rPr>
          <w:rFonts w:cs="Times New Roman"/>
          <w:color w:val="000000" w:themeColor="text1"/>
        </w:rPr>
        <w:t>č</w:t>
      </w:r>
      <w:r w:rsidRPr="0035027D">
        <w:rPr>
          <w:color w:val="000000" w:themeColor="text1"/>
        </w:rPr>
        <w:t xml:space="preserve">et </w:t>
      </w:r>
      <w:r w:rsidRPr="0035027D">
        <w:rPr>
          <w:rFonts w:cs="Times New Roman"/>
          <w:color w:val="000000" w:themeColor="text1"/>
        </w:rPr>
        <w:t>ž</w:t>
      </w:r>
      <w:r w:rsidRPr="0035027D">
        <w:rPr>
          <w:color w:val="000000" w:themeColor="text1"/>
        </w:rPr>
        <w:t xml:space="preserve">iakov. </w:t>
      </w:r>
      <w:r w:rsidR="00D23B98" w:rsidRPr="0035027D">
        <w:rPr>
          <w:color w:val="000000" w:themeColor="text1"/>
        </w:rPr>
        <w:t xml:space="preserve">Okrem toho </w:t>
      </w:r>
      <w:r w:rsidRPr="0035027D">
        <w:rPr>
          <w:color w:val="000000" w:themeColor="text1"/>
        </w:rPr>
        <w:t>sú</w:t>
      </w:r>
      <w:r w:rsidRPr="0035027D">
        <w:rPr>
          <w:rFonts w:cs="Times New Roman"/>
          <w:color w:val="000000" w:themeColor="text1"/>
        </w:rPr>
        <w:t>č</w:t>
      </w:r>
      <w:r w:rsidRPr="0035027D">
        <w:rPr>
          <w:color w:val="000000" w:themeColor="text1"/>
        </w:rPr>
        <w:t>asný systém motivuje školy sú</w:t>
      </w:r>
      <w:r w:rsidRPr="0035027D">
        <w:rPr>
          <w:rFonts w:cs="Times New Roman"/>
          <w:color w:val="000000" w:themeColor="text1"/>
        </w:rPr>
        <w:t>ť</w:t>
      </w:r>
      <w:r w:rsidRPr="0035027D">
        <w:rPr>
          <w:color w:val="000000" w:themeColor="text1"/>
        </w:rPr>
        <w:t>a</w:t>
      </w:r>
      <w:r w:rsidRPr="0035027D">
        <w:rPr>
          <w:rFonts w:cs="Times New Roman"/>
          <w:color w:val="000000" w:themeColor="text1"/>
        </w:rPr>
        <w:t>ž</w:t>
      </w:r>
      <w:r w:rsidRPr="0035027D">
        <w:rPr>
          <w:color w:val="000000" w:themeColor="text1"/>
        </w:rPr>
        <w:t>i</w:t>
      </w:r>
      <w:r w:rsidRPr="0035027D">
        <w:rPr>
          <w:rFonts w:cs="Times New Roman"/>
          <w:color w:val="000000" w:themeColor="text1"/>
        </w:rPr>
        <w:t>ť</w:t>
      </w:r>
      <w:r w:rsidRPr="0035027D">
        <w:rPr>
          <w:color w:val="000000" w:themeColor="text1"/>
        </w:rPr>
        <w:t xml:space="preserve"> o </w:t>
      </w:r>
      <w:r w:rsidRPr="0035027D">
        <w:rPr>
          <w:rFonts w:cs="Times New Roman"/>
          <w:color w:val="000000" w:themeColor="text1"/>
        </w:rPr>
        <w:t>č</w:t>
      </w:r>
      <w:r w:rsidRPr="0035027D">
        <w:rPr>
          <w:color w:val="000000" w:themeColor="text1"/>
        </w:rPr>
        <w:t>o najvyšší po</w:t>
      </w:r>
      <w:r w:rsidRPr="0035027D">
        <w:rPr>
          <w:rFonts w:cs="Times New Roman"/>
          <w:color w:val="000000" w:themeColor="text1"/>
        </w:rPr>
        <w:t>č</w:t>
      </w:r>
      <w:r w:rsidRPr="0035027D">
        <w:rPr>
          <w:color w:val="000000" w:themeColor="text1"/>
        </w:rPr>
        <w:t xml:space="preserve">et </w:t>
      </w:r>
      <w:r w:rsidRPr="0035027D">
        <w:rPr>
          <w:rFonts w:cs="Times New Roman"/>
          <w:color w:val="000000" w:themeColor="text1"/>
        </w:rPr>
        <w:t>ž</w:t>
      </w:r>
      <w:r w:rsidRPr="0035027D">
        <w:rPr>
          <w:color w:val="000000" w:themeColor="text1"/>
        </w:rPr>
        <w:t>iakov bez toho, aby poskytoval nástroje proti zneu</w:t>
      </w:r>
      <w:r w:rsidRPr="0035027D">
        <w:rPr>
          <w:rFonts w:cs="Times New Roman"/>
          <w:color w:val="000000" w:themeColor="text1"/>
        </w:rPr>
        <w:t>ž</w:t>
      </w:r>
      <w:r w:rsidRPr="0035027D">
        <w:rPr>
          <w:color w:val="000000" w:themeColor="text1"/>
        </w:rPr>
        <w:t>itiu tejto sú</w:t>
      </w:r>
      <w:r w:rsidRPr="0035027D">
        <w:rPr>
          <w:rFonts w:cs="Times New Roman"/>
          <w:color w:val="000000" w:themeColor="text1"/>
        </w:rPr>
        <w:t>ť</w:t>
      </w:r>
      <w:r w:rsidRPr="0035027D">
        <w:rPr>
          <w:color w:val="000000" w:themeColor="text1"/>
        </w:rPr>
        <w:t>a</w:t>
      </w:r>
      <w:r w:rsidRPr="0035027D">
        <w:rPr>
          <w:rFonts w:cs="Times New Roman"/>
          <w:color w:val="000000" w:themeColor="text1"/>
        </w:rPr>
        <w:t>ž</w:t>
      </w:r>
      <w:r w:rsidRPr="0035027D">
        <w:rPr>
          <w:color w:val="000000" w:themeColor="text1"/>
        </w:rPr>
        <w:t>e.</w:t>
      </w:r>
    </w:p>
    <w:p w:rsidR="00D23B98" w:rsidRPr="0035027D" w:rsidRDefault="00D23B98" w:rsidP="00CE2607">
      <w:pPr>
        <w:spacing w:after="0"/>
        <w:rPr>
          <w:color w:val="000000" w:themeColor="text1"/>
        </w:rPr>
      </w:pPr>
    </w:p>
    <w:p w:rsidR="00CE2607" w:rsidRPr="0035027D" w:rsidRDefault="007062D1" w:rsidP="00CE2607">
      <w:pPr>
        <w:spacing w:after="0"/>
        <w:rPr>
          <w:color w:val="000000" w:themeColor="text1"/>
        </w:rPr>
      </w:pPr>
      <w:r w:rsidRPr="0035027D">
        <w:rPr>
          <w:color w:val="000000" w:themeColor="text1"/>
        </w:rPr>
        <w:t>S</w:t>
      </w:r>
      <w:r w:rsidR="00CE2607" w:rsidRPr="0035027D">
        <w:rPr>
          <w:color w:val="000000" w:themeColor="text1"/>
        </w:rPr>
        <w:t>ystém financovania</w:t>
      </w:r>
      <w:r w:rsidRPr="0035027D">
        <w:rPr>
          <w:color w:val="000000" w:themeColor="text1"/>
        </w:rPr>
        <w:t xml:space="preserve"> škôl</w:t>
      </w:r>
      <w:r w:rsidR="00CE2607" w:rsidRPr="0035027D">
        <w:rPr>
          <w:color w:val="000000" w:themeColor="text1"/>
        </w:rPr>
        <w:t xml:space="preserve"> </w:t>
      </w:r>
      <w:r w:rsidRPr="0035027D">
        <w:rPr>
          <w:color w:val="000000" w:themeColor="text1"/>
        </w:rPr>
        <w:t>bude preto upravený</w:t>
      </w:r>
      <w:r w:rsidR="00D23B98" w:rsidRPr="0035027D">
        <w:rPr>
          <w:color w:val="000000" w:themeColor="text1"/>
        </w:rPr>
        <w:t xml:space="preserve"> tak,</w:t>
      </w:r>
      <w:r w:rsidRPr="0035027D">
        <w:rPr>
          <w:color w:val="000000" w:themeColor="text1"/>
        </w:rPr>
        <w:t xml:space="preserve"> aby odstránil</w:t>
      </w:r>
      <w:r w:rsidR="00CE2607" w:rsidRPr="0035027D">
        <w:rPr>
          <w:color w:val="000000" w:themeColor="text1"/>
        </w:rPr>
        <w:t xml:space="preserve"> uvedené nedostatky. Pri financovaní sa bude zoh</w:t>
      </w:r>
      <w:r w:rsidR="00CE2607" w:rsidRPr="0035027D">
        <w:rPr>
          <w:rFonts w:cs="Times New Roman"/>
          <w:color w:val="000000" w:themeColor="text1"/>
        </w:rPr>
        <w:t>ľ</w:t>
      </w:r>
      <w:r w:rsidR="00CE2607" w:rsidRPr="0035027D">
        <w:rPr>
          <w:color w:val="000000" w:themeColor="text1"/>
        </w:rPr>
        <w:t>ad</w:t>
      </w:r>
      <w:r w:rsidR="00CE2607" w:rsidRPr="0035027D">
        <w:rPr>
          <w:rFonts w:cs="Times New Roman"/>
          <w:color w:val="000000" w:themeColor="text1"/>
        </w:rPr>
        <w:t>ň</w:t>
      </w:r>
      <w:r w:rsidR="00CE2607" w:rsidRPr="0035027D">
        <w:rPr>
          <w:color w:val="000000" w:themeColor="text1"/>
        </w:rPr>
        <w:t>ova</w:t>
      </w:r>
      <w:r w:rsidR="00CE2607" w:rsidRPr="0035027D">
        <w:rPr>
          <w:rFonts w:cs="Times New Roman"/>
          <w:color w:val="000000" w:themeColor="text1"/>
        </w:rPr>
        <w:t>ť</w:t>
      </w:r>
      <w:r w:rsidR="00CE2607" w:rsidRPr="0035027D">
        <w:rPr>
          <w:color w:val="000000" w:themeColor="text1"/>
        </w:rPr>
        <w:t xml:space="preserve"> aj uplatnenie absolventov na trhu práce. Prehodnotí sa taktie</w:t>
      </w:r>
      <w:r w:rsidR="00CE2607" w:rsidRPr="0035027D">
        <w:rPr>
          <w:rFonts w:cs="Times New Roman"/>
          <w:color w:val="000000" w:themeColor="text1"/>
        </w:rPr>
        <w:t>ž</w:t>
      </w:r>
      <w:r w:rsidR="00CE2607" w:rsidRPr="0035027D">
        <w:rPr>
          <w:color w:val="000000" w:themeColor="text1"/>
        </w:rPr>
        <w:t xml:space="preserve"> financovanie záujmového vzdelávania (vzdelávacie poukazy) a zaktualizuje sa výška normatívov s</w:t>
      </w:r>
      <w:r w:rsidRPr="0035027D">
        <w:rPr>
          <w:color w:val="000000" w:themeColor="text1"/>
        </w:rPr>
        <w:t> oh</w:t>
      </w:r>
      <w:r w:rsidRPr="0035027D">
        <w:rPr>
          <w:rFonts w:cs="Times New Roman"/>
          <w:color w:val="000000" w:themeColor="text1"/>
        </w:rPr>
        <w:t>ľ</w:t>
      </w:r>
      <w:r w:rsidRPr="0035027D">
        <w:rPr>
          <w:color w:val="000000" w:themeColor="text1"/>
        </w:rPr>
        <w:t xml:space="preserve">adom na </w:t>
      </w:r>
      <w:r w:rsidR="00CE2607" w:rsidRPr="0035027D">
        <w:rPr>
          <w:color w:val="000000" w:themeColor="text1"/>
        </w:rPr>
        <w:t>vyšš</w:t>
      </w:r>
      <w:r w:rsidRPr="0035027D">
        <w:rPr>
          <w:color w:val="000000" w:themeColor="text1"/>
        </w:rPr>
        <w:t xml:space="preserve">iu </w:t>
      </w:r>
      <w:r w:rsidR="00CE2607" w:rsidRPr="0035027D">
        <w:rPr>
          <w:color w:val="000000" w:themeColor="text1"/>
        </w:rPr>
        <w:t>ekonomick</w:t>
      </w:r>
      <w:r w:rsidRPr="0035027D">
        <w:rPr>
          <w:color w:val="000000" w:themeColor="text1"/>
        </w:rPr>
        <w:t>ú</w:t>
      </w:r>
      <w:r w:rsidR="00CE2607" w:rsidRPr="0035027D">
        <w:rPr>
          <w:color w:val="000000" w:themeColor="text1"/>
        </w:rPr>
        <w:t xml:space="preserve"> náro</w:t>
      </w:r>
      <w:r w:rsidR="00CE2607" w:rsidRPr="0035027D">
        <w:rPr>
          <w:rFonts w:cs="Times New Roman"/>
          <w:color w:val="000000" w:themeColor="text1"/>
        </w:rPr>
        <w:t>č</w:t>
      </w:r>
      <w:r w:rsidR="00CE2607" w:rsidRPr="0035027D">
        <w:rPr>
          <w:color w:val="000000" w:themeColor="text1"/>
        </w:rPr>
        <w:t>nos</w:t>
      </w:r>
      <w:r w:rsidRPr="0035027D">
        <w:rPr>
          <w:rFonts w:cs="Times New Roman"/>
          <w:color w:val="000000" w:themeColor="text1"/>
        </w:rPr>
        <w:t>ť</w:t>
      </w:r>
      <w:r w:rsidR="00CE2607" w:rsidRPr="0035027D">
        <w:rPr>
          <w:color w:val="000000" w:themeColor="text1"/>
        </w:rPr>
        <w:t xml:space="preserve"> praktickej </w:t>
      </w:r>
      <w:r w:rsidR="00CE2607" w:rsidRPr="0035027D">
        <w:rPr>
          <w:rFonts w:cs="Times New Roman"/>
          <w:color w:val="000000" w:themeColor="text1"/>
        </w:rPr>
        <w:t>č</w:t>
      </w:r>
      <w:r w:rsidR="00CE2607" w:rsidRPr="0035027D">
        <w:rPr>
          <w:color w:val="000000" w:themeColor="text1"/>
        </w:rPr>
        <w:t>asti odborného vzdelávania a prípravy.</w:t>
      </w:r>
    </w:p>
    <w:p w:rsidR="00CE2607" w:rsidRPr="0035027D" w:rsidRDefault="00CE2607" w:rsidP="00CE2607">
      <w:pPr>
        <w:spacing w:after="0"/>
        <w:rPr>
          <w:b/>
          <w:i/>
        </w:rPr>
      </w:pPr>
    </w:p>
    <w:p w:rsidR="00CE2607" w:rsidRPr="0035027D" w:rsidRDefault="00CE2607" w:rsidP="00CE2607">
      <w:pPr>
        <w:spacing w:after="0"/>
        <w:rPr>
          <w:b/>
          <w:i/>
        </w:rPr>
      </w:pPr>
      <w:r w:rsidRPr="0035027D">
        <w:rPr>
          <w:b/>
          <w:i/>
        </w:rPr>
        <w:t>Začlenenie detí z marginalizovaných komunít</w:t>
      </w:r>
    </w:p>
    <w:p w:rsidR="00CE2607" w:rsidRPr="0035027D" w:rsidRDefault="00CE2607" w:rsidP="00CE2607">
      <w:pPr>
        <w:spacing w:after="0"/>
      </w:pPr>
    </w:p>
    <w:p w:rsidR="00CE2607" w:rsidRPr="0035027D" w:rsidRDefault="00CE2607" w:rsidP="00CE2607">
      <w:pPr>
        <w:spacing w:after="0"/>
      </w:pPr>
      <w:r w:rsidRPr="0035027D">
        <w:t xml:space="preserve">Slovenský vzdelávací systém prehlbuje pôvodné nerovnosti </w:t>
      </w:r>
      <w:r w:rsidRPr="0035027D">
        <w:rPr>
          <w:rFonts w:cs="Times New Roman"/>
        </w:rPr>
        <w:t>ž</w:t>
      </w:r>
      <w:r w:rsidRPr="0035027D">
        <w:t xml:space="preserve">iakov skorou selekciou detí do vzdelávacích prúdov rôznej kvality a prispieva k autoreprodukcii vzdelávania, tzn. </w:t>
      </w:r>
      <w:r w:rsidRPr="0035027D">
        <w:rPr>
          <w:rFonts w:cs="Times New Roman"/>
        </w:rPr>
        <w:t>ž</w:t>
      </w:r>
      <w:r w:rsidRPr="0035027D">
        <w:t>e deti kopírujú dosiahnutú úrove</w:t>
      </w:r>
      <w:r w:rsidRPr="0035027D">
        <w:rPr>
          <w:rFonts w:cs="Times New Roman"/>
        </w:rPr>
        <w:t>ň</w:t>
      </w:r>
      <w:r w:rsidRPr="0035027D">
        <w:t xml:space="preserve"> vzdelania </w:t>
      </w:r>
      <w:r w:rsidR="00250470" w:rsidRPr="0035027D">
        <w:t xml:space="preserve">svojich </w:t>
      </w:r>
      <w:r w:rsidRPr="0035027D">
        <w:t>rodi</w:t>
      </w:r>
      <w:r w:rsidRPr="0035027D">
        <w:rPr>
          <w:rFonts w:cs="Times New Roman"/>
        </w:rPr>
        <w:t>č</w:t>
      </w:r>
      <w:r w:rsidRPr="0035027D">
        <w:t>ov. V takomto školskom systéme majú deti zo sociálne slabších skupín, zvláš</w:t>
      </w:r>
      <w:r w:rsidRPr="0035027D">
        <w:rPr>
          <w:rFonts w:cs="Times New Roman"/>
        </w:rPr>
        <w:t>ť</w:t>
      </w:r>
      <w:r w:rsidRPr="0035027D">
        <w:t xml:space="preserve"> z marginalizovaných komunít, nízku šancu získa</w:t>
      </w:r>
      <w:r w:rsidRPr="0035027D">
        <w:rPr>
          <w:rFonts w:cs="Times New Roman"/>
        </w:rPr>
        <w:t>ť</w:t>
      </w:r>
      <w:r w:rsidRPr="0035027D">
        <w:t xml:space="preserve"> vzdelanie, lebo sú znevýhodnené kvôli svojej kultúrnej a jazykovej odlišnosti, umocnenej zlou socioekonomickou situáciou. </w:t>
      </w:r>
      <w:r w:rsidRPr="0035027D">
        <w:rPr>
          <w:color w:val="000000" w:themeColor="text1"/>
        </w:rPr>
        <w:t xml:space="preserve">V roku 2013 sa budú </w:t>
      </w:r>
      <w:r w:rsidRPr="0035027D">
        <w:rPr>
          <w:rFonts w:cs="Times New Roman"/>
          <w:color w:val="000000" w:themeColor="text1"/>
        </w:rPr>
        <w:t>ď</w:t>
      </w:r>
      <w:r w:rsidRPr="0035027D">
        <w:rPr>
          <w:color w:val="000000" w:themeColor="text1"/>
        </w:rPr>
        <w:t>alej plni</w:t>
      </w:r>
      <w:r w:rsidRPr="0035027D">
        <w:rPr>
          <w:rFonts w:cs="Times New Roman"/>
          <w:color w:val="000000" w:themeColor="text1"/>
        </w:rPr>
        <w:t>ť</w:t>
      </w:r>
      <w:r w:rsidRPr="0035027D">
        <w:rPr>
          <w:color w:val="000000" w:themeColor="text1"/>
        </w:rPr>
        <w:t xml:space="preserve"> úlohy vyplývajúce </w:t>
      </w:r>
      <w:r w:rsidRPr="0035027D">
        <w:t>z Revidovaného národného ak</w:t>
      </w:r>
      <w:r w:rsidRPr="0035027D">
        <w:rPr>
          <w:rFonts w:cs="Times New Roman"/>
        </w:rPr>
        <w:t>č</w:t>
      </w:r>
      <w:r w:rsidRPr="0035027D">
        <w:t>ného plánu a Stratégie pre za</w:t>
      </w:r>
      <w:r w:rsidRPr="0035027D">
        <w:rPr>
          <w:rFonts w:cs="Times New Roman"/>
        </w:rPr>
        <w:t>č</w:t>
      </w:r>
      <w:r w:rsidRPr="0035027D">
        <w:t>le</w:t>
      </w:r>
      <w:r w:rsidRPr="0035027D">
        <w:rPr>
          <w:rFonts w:cs="Times New Roman"/>
        </w:rPr>
        <w:t>ň</w:t>
      </w:r>
      <w:r w:rsidRPr="0035027D">
        <w:t>ovanie rómskej populácie.</w:t>
      </w:r>
    </w:p>
    <w:p w:rsidR="00CE2607" w:rsidRPr="0035027D" w:rsidRDefault="00CE2607" w:rsidP="00CE2607">
      <w:pPr>
        <w:spacing w:after="0"/>
        <w:rPr>
          <w:color w:val="000000" w:themeColor="text1"/>
        </w:rPr>
      </w:pPr>
    </w:p>
    <w:p w:rsidR="00CE2607" w:rsidRPr="0035027D" w:rsidRDefault="00CE2607" w:rsidP="00CE2607">
      <w:pPr>
        <w:spacing w:after="0"/>
      </w:pPr>
      <w:r w:rsidRPr="0035027D">
        <w:rPr>
          <w:noProof/>
          <w:color w:val="000000" w:themeColor="text1"/>
        </w:rPr>
        <w:t>S cie</w:t>
      </w:r>
      <w:r w:rsidRPr="0035027D">
        <w:rPr>
          <w:rFonts w:cs="Times New Roman"/>
          <w:noProof/>
          <w:color w:val="000000" w:themeColor="text1"/>
        </w:rPr>
        <w:t>ľ</w:t>
      </w:r>
      <w:r w:rsidRPr="0035027D">
        <w:rPr>
          <w:noProof/>
          <w:color w:val="000000" w:themeColor="text1"/>
        </w:rPr>
        <w:t>om zvýši</w:t>
      </w:r>
      <w:r w:rsidRPr="0035027D">
        <w:rPr>
          <w:rFonts w:cs="Times New Roman"/>
          <w:noProof/>
          <w:color w:val="000000" w:themeColor="text1"/>
        </w:rPr>
        <w:t>ť</w:t>
      </w:r>
      <w:r w:rsidRPr="0035027D">
        <w:rPr>
          <w:noProof/>
          <w:color w:val="000000" w:themeColor="text1"/>
        </w:rPr>
        <w:t xml:space="preserve"> integráciu marginalizovaných rómskych komunít a taktie</w:t>
      </w:r>
      <w:r w:rsidRPr="0035027D">
        <w:rPr>
          <w:rFonts w:cs="Times New Roman"/>
          <w:noProof/>
          <w:color w:val="000000" w:themeColor="text1"/>
        </w:rPr>
        <w:t>ž</w:t>
      </w:r>
      <w:r w:rsidRPr="0035027D">
        <w:rPr>
          <w:noProof/>
          <w:color w:val="000000" w:themeColor="text1"/>
        </w:rPr>
        <w:t xml:space="preserve"> ú</w:t>
      </w:r>
      <w:r w:rsidRPr="0035027D">
        <w:rPr>
          <w:rFonts w:cs="Times New Roman"/>
          <w:noProof/>
          <w:color w:val="000000" w:themeColor="text1"/>
        </w:rPr>
        <w:t>č</w:t>
      </w:r>
      <w:r w:rsidRPr="0035027D">
        <w:rPr>
          <w:noProof/>
          <w:color w:val="000000" w:themeColor="text1"/>
        </w:rPr>
        <w:t>as</w:t>
      </w:r>
      <w:r w:rsidRPr="0035027D">
        <w:rPr>
          <w:rFonts w:cs="Times New Roman"/>
          <w:noProof/>
          <w:color w:val="000000" w:themeColor="text1"/>
        </w:rPr>
        <w:t>ť</w:t>
      </w:r>
      <w:r w:rsidRPr="0035027D">
        <w:rPr>
          <w:noProof/>
          <w:color w:val="000000" w:themeColor="text1"/>
        </w:rPr>
        <w:t xml:space="preserve"> </w:t>
      </w:r>
      <w:r w:rsidRPr="0035027D">
        <w:rPr>
          <w:rFonts w:cs="Times New Roman"/>
          <w:noProof/>
          <w:color w:val="000000" w:themeColor="text1"/>
        </w:rPr>
        <w:t>ž</w:t>
      </w:r>
      <w:r w:rsidRPr="0035027D">
        <w:rPr>
          <w:noProof/>
          <w:color w:val="000000" w:themeColor="text1"/>
        </w:rPr>
        <w:t>ien na trhu práce bude vláda SR podporova</w:t>
      </w:r>
      <w:r w:rsidRPr="0035027D">
        <w:rPr>
          <w:rFonts w:cs="Times New Roman"/>
          <w:noProof/>
          <w:color w:val="000000" w:themeColor="text1"/>
        </w:rPr>
        <w:t>ť</w:t>
      </w:r>
      <w:r w:rsidRPr="0035027D">
        <w:rPr>
          <w:noProof/>
          <w:color w:val="000000" w:themeColor="text1"/>
        </w:rPr>
        <w:t xml:space="preserve"> predprimárne vzdelávanie v materských školách rozširovaním existujúcich foriem výchovy a vzdelávania. </w:t>
      </w:r>
      <w:r w:rsidRPr="0035027D">
        <w:rPr>
          <w:color w:val="000000" w:themeColor="text1"/>
        </w:rPr>
        <w:t>V nasledujúcich rokoch sa budú prijíma</w:t>
      </w:r>
      <w:r w:rsidRPr="0035027D">
        <w:rPr>
          <w:rFonts w:cs="Times New Roman"/>
          <w:color w:val="000000" w:themeColor="text1"/>
        </w:rPr>
        <w:t>ť</w:t>
      </w:r>
      <w:r w:rsidRPr="0035027D">
        <w:rPr>
          <w:color w:val="000000" w:themeColor="text1"/>
        </w:rPr>
        <w:t xml:space="preserve"> systémové opatrenia tak, aby sa postupne, do roku 2020, dosiahla 95 % ú</w:t>
      </w:r>
      <w:r w:rsidRPr="0035027D">
        <w:rPr>
          <w:rFonts w:cs="Times New Roman"/>
          <w:color w:val="000000" w:themeColor="text1"/>
        </w:rPr>
        <w:t>č</w:t>
      </w:r>
      <w:r w:rsidRPr="0035027D">
        <w:rPr>
          <w:color w:val="000000" w:themeColor="text1"/>
        </w:rPr>
        <w:t>as</w:t>
      </w:r>
      <w:r w:rsidRPr="0035027D">
        <w:rPr>
          <w:rFonts w:cs="Times New Roman"/>
          <w:color w:val="000000" w:themeColor="text1"/>
        </w:rPr>
        <w:t>ť</w:t>
      </w:r>
      <w:r w:rsidRPr="0035027D">
        <w:rPr>
          <w:color w:val="000000" w:themeColor="text1"/>
        </w:rPr>
        <w:t xml:space="preserve"> detí od 4 rokov na predprimárnom vzdelávaní v materskej škole. Rozšíria sa najmä existujúce formy výchovy a vzdelávania o prípravné triedy materskej školy. V spolupráci so zria</w:t>
      </w:r>
      <w:r w:rsidRPr="0035027D">
        <w:rPr>
          <w:rFonts w:cs="Times New Roman"/>
          <w:color w:val="000000" w:themeColor="text1"/>
        </w:rPr>
        <w:t>ď</w:t>
      </w:r>
      <w:r w:rsidRPr="0035027D">
        <w:rPr>
          <w:color w:val="000000" w:themeColor="text1"/>
        </w:rPr>
        <w:t>ovate</w:t>
      </w:r>
      <w:r w:rsidRPr="0035027D">
        <w:rPr>
          <w:rFonts w:cs="Times New Roman"/>
          <w:color w:val="000000" w:themeColor="text1"/>
        </w:rPr>
        <w:t>ľ</w:t>
      </w:r>
      <w:r w:rsidRPr="0035027D">
        <w:rPr>
          <w:color w:val="000000" w:themeColor="text1"/>
        </w:rPr>
        <w:t>mi materských škôl sa budú na</w:t>
      </w:r>
      <w:r w:rsidRPr="0035027D">
        <w:rPr>
          <w:rFonts w:cs="Times New Roman"/>
          <w:color w:val="000000" w:themeColor="text1"/>
        </w:rPr>
        <w:t>ď</w:t>
      </w:r>
      <w:r w:rsidRPr="0035027D">
        <w:rPr>
          <w:color w:val="000000" w:themeColor="text1"/>
        </w:rPr>
        <w:t>alej upravova</w:t>
      </w:r>
      <w:r w:rsidRPr="0035027D">
        <w:rPr>
          <w:rFonts w:cs="Times New Roman"/>
          <w:color w:val="000000" w:themeColor="text1"/>
        </w:rPr>
        <w:t>ť</w:t>
      </w:r>
      <w:r w:rsidRPr="0035027D">
        <w:rPr>
          <w:color w:val="000000" w:themeColor="text1"/>
        </w:rPr>
        <w:t xml:space="preserve"> kapacity materských škôl tak, aby naplnili vyššie uvedený cie</w:t>
      </w:r>
      <w:r w:rsidRPr="0035027D">
        <w:rPr>
          <w:rFonts w:cs="Times New Roman"/>
          <w:color w:val="000000" w:themeColor="text1"/>
        </w:rPr>
        <w:t>ľ</w:t>
      </w:r>
      <w:r w:rsidRPr="0035027D">
        <w:rPr>
          <w:color w:val="000000" w:themeColor="text1"/>
        </w:rPr>
        <w:t xml:space="preserve">. </w:t>
      </w:r>
      <w:r w:rsidRPr="0035027D">
        <w:rPr>
          <w:noProof/>
          <w:color w:val="000000" w:themeColor="text1"/>
        </w:rPr>
        <w:t>Financovanie materských škôl je vo ve</w:t>
      </w:r>
      <w:r w:rsidRPr="0035027D">
        <w:rPr>
          <w:rFonts w:cs="Times New Roman"/>
          <w:noProof/>
          <w:color w:val="000000" w:themeColor="text1"/>
        </w:rPr>
        <w:t>ľ</w:t>
      </w:r>
      <w:r w:rsidRPr="0035027D">
        <w:rPr>
          <w:noProof/>
          <w:color w:val="000000" w:themeColor="text1"/>
        </w:rPr>
        <w:t xml:space="preserve">kej </w:t>
      </w:r>
      <w:r w:rsidRPr="0035027D">
        <w:rPr>
          <w:rFonts w:cs="Times New Roman"/>
          <w:noProof/>
          <w:color w:val="000000" w:themeColor="text1"/>
        </w:rPr>
        <w:t>č</w:t>
      </w:r>
      <w:r w:rsidRPr="0035027D">
        <w:rPr>
          <w:noProof/>
          <w:color w:val="000000" w:themeColor="text1"/>
        </w:rPr>
        <w:t>asti zabezpe</w:t>
      </w:r>
      <w:r w:rsidRPr="0035027D">
        <w:rPr>
          <w:rFonts w:cs="Times New Roman"/>
          <w:noProof/>
          <w:color w:val="000000" w:themeColor="text1"/>
        </w:rPr>
        <w:t>č</w:t>
      </w:r>
      <w:r w:rsidRPr="0035027D">
        <w:rPr>
          <w:noProof/>
          <w:color w:val="000000" w:themeColor="text1"/>
        </w:rPr>
        <w:t xml:space="preserve">ované obcami. </w:t>
      </w:r>
      <w:r w:rsidRPr="0035027D">
        <w:rPr>
          <w:szCs w:val="24"/>
        </w:rPr>
        <w:t>Zria</w:t>
      </w:r>
      <w:r w:rsidRPr="0035027D">
        <w:rPr>
          <w:rFonts w:cs="Times New Roman"/>
          <w:szCs w:val="24"/>
        </w:rPr>
        <w:t>ď</w:t>
      </w:r>
      <w:r w:rsidRPr="0035027D">
        <w:rPr>
          <w:szCs w:val="24"/>
        </w:rPr>
        <w:t>ovatelia sa sna</w:t>
      </w:r>
      <w:r w:rsidRPr="0035027D">
        <w:rPr>
          <w:rFonts w:cs="Times New Roman"/>
          <w:szCs w:val="24"/>
        </w:rPr>
        <w:t>ž</w:t>
      </w:r>
      <w:r w:rsidRPr="0035027D">
        <w:rPr>
          <w:szCs w:val="24"/>
        </w:rPr>
        <w:t>ia nepriaznivú situáciu pri prijímaní detí rieši</w:t>
      </w:r>
      <w:r w:rsidRPr="0035027D">
        <w:rPr>
          <w:rFonts w:cs="Times New Roman"/>
          <w:szCs w:val="24"/>
        </w:rPr>
        <w:t>ť</w:t>
      </w:r>
      <w:r w:rsidRPr="0035027D">
        <w:rPr>
          <w:szCs w:val="24"/>
        </w:rPr>
        <w:t xml:space="preserve"> rozširovaním kapacít u</w:t>
      </w:r>
      <w:r w:rsidRPr="0035027D">
        <w:rPr>
          <w:rFonts w:cs="Times New Roman"/>
          <w:szCs w:val="24"/>
        </w:rPr>
        <w:t>ž</w:t>
      </w:r>
      <w:r w:rsidRPr="0035027D">
        <w:rPr>
          <w:szCs w:val="24"/>
        </w:rPr>
        <w:t xml:space="preserve"> existujúcich materských škôl, prípadne adaptáciou vhodných priestorov na triedy materských škôl. Od septembra 2013 bude v platnosti ustanovenie, v zmysle ktorého bude môc</w:t>
      </w:r>
      <w:r w:rsidRPr="0035027D">
        <w:rPr>
          <w:rFonts w:cs="Times New Roman"/>
          <w:szCs w:val="24"/>
        </w:rPr>
        <w:t>ť</w:t>
      </w:r>
      <w:r w:rsidRPr="0035027D">
        <w:rPr>
          <w:szCs w:val="24"/>
        </w:rPr>
        <w:t xml:space="preserve"> riadite</w:t>
      </w:r>
      <w:r w:rsidRPr="0035027D">
        <w:rPr>
          <w:rFonts w:cs="Times New Roman"/>
          <w:szCs w:val="24"/>
        </w:rPr>
        <w:t>ľ</w:t>
      </w:r>
      <w:r w:rsidRPr="0035027D">
        <w:rPr>
          <w:szCs w:val="24"/>
        </w:rPr>
        <w:t xml:space="preserve"> </w:t>
      </w:r>
      <w:r w:rsidR="007062D1" w:rsidRPr="0035027D">
        <w:rPr>
          <w:szCs w:val="24"/>
        </w:rPr>
        <w:t xml:space="preserve">z niektorých dôvodov </w:t>
      </w:r>
      <w:r w:rsidRPr="0035027D">
        <w:rPr>
          <w:szCs w:val="24"/>
        </w:rPr>
        <w:t>zvýši</w:t>
      </w:r>
      <w:r w:rsidRPr="0035027D">
        <w:rPr>
          <w:rFonts w:cs="Times New Roman"/>
          <w:szCs w:val="24"/>
        </w:rPr>
        <w:t>ť</w:t>
      </w:r>
      <w:r w:rsidRPr="0035027D">
        <w:rPr>
          <w:szCs w:val="24"/>
        </w:rPr>
        <w:t xml:space="preserve"> najvyšší po</w:t>
      </w:r>
      <w:r w:rsidRPr="0035027D">
        <w:rPr>
          <w:rFonts w:cs="Times New Roman"/>
          <w:szCs w:val="24"/>
        </w:rPr>
        <w:t>č</w:t>
      </w:r>
      <w:r w:rsidRPr="0035027D">
        <w:rPr>
          <w:szCs w:val="24"/>
        </w:rPr>
        <w:t>et detí.</w:t>
      </w:r>
    </w:p>
    <w:p w:rsidR="00CE2607" w:rsidRPr="0035027D" w:rsidRDefault="00CE2607" w:rsidP="00CE2607">
      <w:pPr>
        <w:spacing w:after="0"/>
        <w:rPr>
          <w:noProof/>
          <w:color w:val="000000" w:themeColor="text1"/>
        </w:rPr>
      </w:pPr>
    </w:p>
    <w:p w:rsidR="00CE2607" w:rsidRPr="0035027D" w:rsidRDefault="00CE2607" w:rsidP="00CE2607">
      <w:pPr>
        <w:spacing w:after="0"/>
        <w:rPr>
          <w:rFonts w:cs="Times New Roman"/>
          <w:b/>
          <w:i/>
        </w:rPr>
      </w:pPr>
      <w:r w:rsidRPr="0035027D">
        <w:rPr>
          <w:rFonts w:cs="Times New Roman"/>
          <w:b/>
          <w:i/>
        </w:rPr>
        <w:t>Pozícia učiteľov</w:t>
      </w:r>
    </w:p>
    <w:p w:rsidR="00CE2607" w:rsidRPr="0035027D" w:rsidRDefault="00CE2607" w:rsidP="00CE2607">
      <w:pPr>
        <w:spacing w:after="0"/>
        <w:rPr>
          <w:rFonts w:cs="Times New Roman"/>
        </w:rPr>
      </w:pPr>
    </w:p>
    <w:p w:rsidR="00CE2607" w:rsidRPr="0035027D" w:rsidRDefault="00CE2607" w:rsidP="00CE2607">
      <w:pPr>
        <w:spacing w:after="0"/>
      </w:pPr>
      <w:r w:rsidRPr="0035027D">
        <w:rPr>
          <w:color w:val="000000" w:themeColor="text1"/>
        </w:rPr>
        <w:t>V školstve pova</w:t>
      </w:r>
      <w:r w:rsidRPr="0035027D">
        <w:rPr>
          <w:rFonts w:cs="Times New Roman"/>
          <w:color w:val="000000" w:themeColor="text1"/>
        </w:rPr>
        <w:t>ž</w:t>
      </w:r>
      <w:r w:rsidRPr="0035027D">
        <w:rPr>
          <w:color w:val="000000" w:themeColor="text1"/>
        </w:rPr>
        <w:t>uje</w:t>
      </w:r>
      <w:r w:rsidRPr="0035027D">
        <w:t xml:space="preserve"> vláda za rozhodujúce zabezpe</w:t>
      </w:r>
      <w:r w:rsidRPr="0035027D">
        <w:rPr>
          <w:rFonts w:cs="Times New Roman"/>
        </w:rPr>
        <w:t>č</w:t>
      </w:r>
      <w:r w:rsidRPr="0035027D">
        <w:t xml:space="preserve">enie výraznejšej úlohy a postavenia </w:t>
      </w:r>
      <w:r w:rsidR="002043E7" w:rsidRPr="0035027D">
        <w:t xml:space="preserve">a ohodnotenia </w:t>
      </w:r>
      <w:r w:rsidRPr="0035027D">
        <w:t>u</w:t>
      </w:r>
      <w:r w:rsidRPr="0035027D">
        <w:rPr>
          <w:rFonts w:cs="Times New Roman"/>
        </w:rPr>
        <w:t>č</w:t>
      </w:r>
      <w:r w:rsidRPr="0035027D">
        <w:t>ite</w:t>
      </w:r>
      <w:r w:rsidRPr="0035027D">
        <w:rPr>
          <w:rFonts w:cs="Times New Roman"/>
        </w:rPr>
        <w:t>ľ</w:t>
      </w:r>
      <w:r w:rsidRPr="0035027D">
        <w:t>ov všetkých stup</w:t>
      </w:r>
      <w:r w:rsidRPr="0035027D">
        <w:rPr>
          <w:rFonts w:cs="Times New Roman"/>
        </w:rPr>
        <w:t>ň</w:t>
      </w:r>
      <w:r w:rsidRPr="0035027D">
        <w:t>ov vzdelávania. Prítomnos</w:t>
      </w:r>
      <w:r w:rsidRPr="0035027D">
        <w:rPr>
          <w:rFonts w:cs="Times New Roman"/>
        </w:rPr>
        <w:t>ť</w:t>
      </w:r>
      <w:r w:rsidRPr="0035027D">
        <w:t xml:space="preserve"> kvalitných u</w:t>
      </w:r>
      <w:r w:rsidRPr="0035027D">
        <w:rPr>
          <w:rFonts w:cs="Times New Roman"/>
        </w:rPr>
        <w:t>č</w:t>
      </w:r>
      <w:r w:rsidRPr="0035027D">
        <w:t>ite</w:t>
      </w:r>
      <w:r w:rsidRPr="0035027D">
        <w:rPr>
          <w:rFonts w:cs="Times New Roman"/>
        </w:rPr>
        <w:t>ľ</w:t>
      </w:r>
      <w:r w:rsidRPr="0035027D">
        <w:t>ov v školstve je podmienená dvoma okolnos</w:t>
      </w:r>
      <w:r w:rsidRPr="0035027D">
        <w:rPr>
          <w:rFonts w:cs="Times New Roman"/>
        </w:rPr>
        <w:t>ť</w:t>
      </w:r>
      <w:r w:rsidRPr="0035027D">
        <w:t>ami. Prvou z nich je príprava pred nástupom na miesto u</w:t>
      </w:r>
      <w:r w:rsidRPr="0035027D">
        <w:rPr>
          <w:rFonts w:cs="Times New Roman"/>
        </w:rPr>
        <w:t>č</w:t>
      </w:r>
      <w:r w:rsidRPr="0035027D">
        <w:t>ite</w:t>
      </w:r>
      <w:r w:rsidRPr="0035027D">
        <w:rPr>
          <w:rFonts w:cs="Times New Roman"/>
        </w:rPr>
        <w:t>ľ</w:t>
      </w:r>
      <w:r w:rsidRPr="0035027D">
        <w:t>a a mo</w:t>
      </w:r>
      <w:r w:rsidRPr="0035027D">
        <w:rPr>
          <w:rFonts w:cs="Times New Roman"/>
        </w:rPr>
        <w:t>ž</w:t>
      </w:r>
      <w:r w:rsidRPr="0035027D">
        <w:t xml:space="preserve">nosti na </w:t>
      </w:r>
      <w:r w:rsidRPr="0035027D">
        <w:rPr>
          <w:rFonts w:cs="Times New Roman"/>
        </w:rPr>
        <w:t>ď</w:t>
      </w:r>
      <w:r w:rsidRPr="0035027D">
        <w:t>alšie zdokona</w:t>
      </w:r>
      <w:r w:rsidRPr="0035027D">
        <w:rPr>
          <w:rFonts w:cs="Times New Roman"/>
        </w:rPr>
        <w:t>ľ</w:t>
      </w:r>
      <w:r w:rsidRPr="0035027D">
        <w:t>ovanie sa po</w:t>
      </w:r>
      <w:r w:rsidRPr="0035027D">
        <w:rPr>
          <w:rFonts w:cs="Times New Roman"/>
        </w:rPr>
        <w:t>č</w:t>
      </w:r>
      <w:r w:rsidRPr="0035027D">
        <w:t>as výkonu povolania. Druhú okolnos</w:t>
      </w:r>
      <w:r w:rsidRPr="0035027D">
        <w:rPr>
          <w:rFonts w:cs="Times New Roman"/>
        </w:rPr>
        <w:t>ť</w:t>
      </w:r>
      <w:r w:rsidRPr="0035027D">
        <w:t xml:space="preserve"> predstavuje ochota pracova</w:t>
      </w:r>
      <w:r w:rsidRPr="0035027D">
        <w:rPr>
          <w:rFonts w:cs="Times New Roman"/>
        </w:rPr>
        <w:t>ť</w:t>
      </w:r>
      <w:r w:rsidRPr="0035027D">
        <w:t xml:space="preserve"> v školstve, ktorá závisí od atraktívnosti povolania u</w:t>
      </w:r>
      <w:r w:rsidRPr="0035027D">
        <w:rPr>
          <w:rFonts w:cs="Times New Roman"/>
        </w:rPr>
        <w:t>č</w:t>
      </w:r>
      <w:r w:rsidRPr="0035027D">
        <w:t>ite</w:t>
      </w:r>
      <w:r w:rsidRPr="0035027D">
        <w:rPr>
          <w:rFonts w:cs="Times New Roman"/>
        </w:rPr>
        <w:t>ľ</w:t>
      </w:r>
      <w:r w:rsidRPr="0035027D">
        <w:t>a danej v prvom rade finan</w:t>
      </w:r>
      <w:r w:rsidRPr="0035027D">
        <w:rPr>
          <w:rFonts w:cs="Times New Roman"/>
        </w:rPr>
        <w:t>č</w:t>
      </w:r>
      <w:r w:rsidRPr="0035027D">
        <w:t>ným ocenením, ale aj pracovným prostredím a spolo</w:t>
      </w:r>
      <w:r w:rsidRPr="0035027D">
        <w:rPr>
          <w:rFonts w:cs="Times New Roman"/>
        </w:rPr>
        <w:t>č</w:t>
      </w:r>
      <w:r w:rsidRPr="0035027D">
        <w:t xml:space="preserve">enským uznaním. </w:t>
      </w:r>
    </w:p>
    <w:p w:rsidR="00CE2607" w:rsidRPr="0035027D" w:rsidRDefault="00CE2607" w:rsidP="00CE2607">
      <w:pPr>
        <w:spacing w:after="0"/>
      </w:pPr>
    </w:p>
    <w:p w:rsidR="00373611" w:rsidRPr="0035027D" w:rsidRDefault="00373611" w:rsidP="00373611">
      <w:pPr>
        <w:spacing w:after="0"/>
      </w:pPr>
      <w:r w:rsidRPr="0035027D">
        <w:t>Pre zlepšenie kvality vzdelávania je nevyhnutné adekvátne platové ohodnotenie u</w:t>
      </w:r>
      <w:r w:rsidRPr="0035027D">
        <w:rPr>
          <w:rFonts w:cs="Times New Roman"/>
        </w:rPr>
        <w:t>č</w:t>
      </w:r>
      <w:r w:rsidRPr="0035027D">
        <w:t>ite</w:t>
      </w:r>
      <w:r w:rsidRPr="0035027D">
        <w:rPr>
          <w:rFonts w:cs="Times New Roman"/>
        </w:rPr>
        <w:t>ľ</w:t>
      </w:r>
      <w:r w:rsidRPr="0035027D">
        <w:t>ov, ktorého významn</w:t>
      </w:r>
      <w:r w:rsidR="00B214E7" w:rsidRPr="0035027D">
        <w:t>ejšou</w:t>
      </w:r>
      <w:r w:rsidRPr="0035027D">
        <w:t xml:space="preserve"> zlo</w:t>
      </w:r>
      <w:r w:rsidRPr="0035027D">
        <w:rPr>
          <w:rFonts w:cs="Times New Roman"/>
        </w:rPr>
        <w:t>ž</w:t>
      </w:r>
      <w:r w:rsidRPr="0035027D">
        <w:t xml:space="preserve">kou bude výkon pedagogickej </w:t>
      </w:r>
      <w:r w:rsidRPr="0035027D">
        <w:rPr>
          <w:rFonts w:cs="Times New Roman"/>
        </w:rPr>
        <w:t>č</w:t>
      </w:r>
      <w:r w:rsidRPr="0035027D">
        <w:t>innosti u</w:t>
      </w:r>
      <w:r w:rsidRPr="0035027D">
        <w:rPr>
          <w:rFonts w:cs="Times New Roman"/>
        </w:rPr>
        <w:t>č</w:t>
      </w:r>
      <w:r w:rsidRPr="0035027D">
        <w:t>ite</w:t>
      </w:r>
      <w:r w:rsidRPr="0035027D">
        <w:rPr>
          <w:rFonts w:cs="Times New Roman"/>
        </w:rPr>
        <w:t>ľ</w:t>
      </w:r>
      <w:r w:rsidRPr="0035027D">
        <w:t>a. Na druhej strane k mo</w:t>
      </w:r>
      <w:r w:rsidRPr="0035027D">
        <w:rPr>
          <w:rFonts w:cs="Times New Roman"/>
        </w:rPr>
        <w:t>ž</w:t>
      </w:r>
      <w:r w:rsidRPr="0035027D">
        <w:t>nostiam zlepšovania finan</w:t>
      </w:r>
      <w:r w:rsidRPr="0035027D">
        <w:rPr>
          <w:rFonts w:cs="Times New Roman"/>
        </w:rPr>
        <w:t>č</w:t>
      </w:r>
      <w:r w:rsidRPr="0035027D">
        <w:t>ného ohodnotenia prispeje aj správne nastavenie po</w:t>
      </w:r>
      <w:r w:rsidRPr="0035027D">
        <w:rPr>
          <w:rFonts w:cs="Times New Roman"/>
        </w:rPr>
        <w:t>č</w:t>
      </w:r>
      <w:r w:rsidRPr="0035027D">
        <w:t>tu u</w:t>
      </w:r>
      <w:r w:rsidRPr="0035027D">
        <w:rPr>
          <w:rFonts w:cs="Times New Roman"/>
        </w:rPr>
        <w:t>č</w:t>
      </w:r>
      <w:r w:rsidRPr="0035027D">
        <w:t>ite</w:t>
      </w:r>
      <w:r w:rsidRPr="0035027D">
        <w:rPr>
          <w:rFonts w:cs="Times New Roman"/>
        </w:rPr>
        <w:t>ľ</w:t>
      </w:r>
      <w:r w:rsidRPr="0035027D">
        <w:t>ov v regionálnom školstve, ktor</w:t>
      </w:r>
      <w:r w:rsidR="00B214E7" w:rsidRPr="0035027D">
        <w:t>é</w:t>
      </w:r>
      <w:r w:rsidRPr="0035027D">
        <w:t xml:space="preserve"> bude reagova</w:t>
      </w:r>
      <w:r w:rsidRPr="0035027D">
        <w:rPr>
          <w:rFonts w:cs="Times New Roman"/>
        </w:rPr>
        <w:t>ť</w:t>
      </w:r>
      <w:r w:rsidRPr="0035027D">
        <w:t xml:space="preserve"> na vývoj demografie. Vypracujú sa profesijné štandardy za</w:t>
      </w:r>
      <w:r w:rsidRPr="0035027D">
        <w:rPr>
          <w:rFonts w:cs="Times New Roman"/>
        </w:rPr>
        <w:t>č</w:t>
      </w:r>
      <w:r w:rsidRPr="0035027D">
        <w:t>ínajúcich u</w:t>
      </w:r>
      <w:r w:rsidRPr="0035027D">
        <w:rPr>
          <w:rFonts w:cs="Times New Roman"/>
        </w:rPr>
        <w:t>č</w:t>
      </w:r>
      <w:r w:rsidRPr="0035027D">
        <w:t>ite</w:t>
      </w:r>
      <w:r w:rsidRPr="0035027D">
        <w:rPr>
          <w:rFonts w:cs="Times New Roman"/>
        </w:rPr>
        <w:t>ľ</w:t>
      </w:r>
      <w:r w:rsidRPr="0035027D">
        <w:t>ov, ktoré budú záväzné pri vypracovávaní štátnych vzdelávacích programov príslušných študijných. Bude zabezpe</w:t>
      </w:r>
      <w:r w:rsidRPr="0035027D">
        <w:rPr>
          <w:rFonts w:cs="Times New Roman"/>
        </w:rPr>
        <w:t>č</w:t>
      </w:r>
      <w:r w:rsidRPr="0035027D">
        <w:t>ený vä</w:t>
      </w:r>
      <w:r w:rsidRPr="0035027D">
        <w:rPr>
          <w:rFonts w:cs="Times New Roman"/>
        </w:rPr>
        <w:t>č</w:t>
      </w:r>
      <w:r w:rsidRPr="0035027D">
        <w:t>ší objem praktického vyu</w:t>
      </w:r>
      <w:r w:rsidRPr="0035027D">
        <w:rPr>
          <w:rFonts w:cs="Times New Roman"/>
        </w:rPr>
        <w:t>č</w:t>
      </w:r>
      <w:r w:rsidRPr="0035027D">
        <w:t>ovania pri príprave budúcich u</w:t>
      </w:r>
      <w:r w:rsidRPr="0035027D">
        <w:rPr>
          <w:rFonts w:cs="Times New Roman"/>
        </w:rPr>
        <w:t>č</w:t>
      </w:r>
      <w:r w:rsidRPr="0035027D">
        <w:t>ite</w:t>
      </w:r>
      <w:r w:rsidRPr="0035027D">
        <w:rPr>
          <w:rFonts w:cs="Times New Roman"/>
        </w:rPr>
        <w:t>ľ</w:t>
      </w:r>
      <w:r w:rsidRPr="0035027D">
        <w:t>ov (pedagogická prax by mala tvori</w:t>
      </w:r>
      <w:r w:rsidRPr="0035027D">
        <w:rPr>
          <w:rFonts w:cs="Times New Roman"/>
        </w:rPr>
        <w:t>ť</w:t>
      </w:r>
      <w:r w:rsidRPr="0035027D">
        <w:t xml:space="preserve"> 20 – 40 % štúdia).</w:t>
      </w:r>
    </w:p>
    <w:p w:rsidR="00CE2607" w:rsidRPr="0035027D" w:rsidRDefault="00CE2607" w:rsidP="00CE2607">
      <w:pPr>
        <w:spacing w:after="0"/>
      </w:pPr>
    </w:p>
    <w:p w:rsidR="00CE2607" w:rsidRPr="0035027D" w:rsidRDefault="00CE2607" w:rsidP="00CE2607">
      <w:pPr>
        <w:spacing w:after="0"/>
        <w:rPr>
          <w:b/>
          <w:i/>
        </w:rPr>
      </w:pPr>
      <w:r w:rsidRPr="0035027D">
        <w:rPr>
          <w:b/>
          <w:i/>
        </w:rPr>
        <w:t>Hodnotenie škôl</w:t>
      </w:r>
    </w:p>
    <w:p w:rsidR="00CE2607" w:rsidRPr="0035027D" w:rsidRDefault="00CE2607" w:rsidP="00CE2607">
      <w:pPr>
        <w:spacing w:after="0"/>
      </w:pPr>
    </w:p>
    <w:p w:rsidR="00373611" w:rsidRPr="0035027D" w:rsidRDefault="00373611" w:rsidP="00373611">
      <w:pPr>
        <w:spacing w:after="0"/>
      </w:pPr>
      <w:r w:rsidRPr="0035027D">
        <w:lastRenderedPageBreak/>
        <w:t>Vláda SR zlepší systém interného aj externého hodnotenia kvality škôl, ktorý bude zameraný na zlepšenie kvality výchovy a vzdelávania a ich riadenia, umo</w:t>
      </w:r>
      <w:r w:rsidRPr="0035027D">
        <w:rPr>
          <w:rFonts w:cs="Times New Roman"/>
        </w:rPr>
        <w:t>ž</w:t>
      </w:r>
      <w:r w:rsidRPr="0035027D">
        <w:t>ní regionálne aj celoslovenské porovnávanie pridanej hodnoty vzdelávania v jednotlivých školách a verejnosti poskytne dôveryhodné a zrozumite</w:t>
      </w:r>
      <w:r w:rsidRPr="0035027D">
        <w:rPr>
          <w:rFonts w:cs="Times New Roman"/>
        </w:rPr>
        <w:t>ľ</w:t>
      </w:r>
      <w:r w:rsidRPr="0035027D">
        <w:t>né informácie o kvalite jednotlivých škôl.</w:t>
      </w:r>
    </w:p>
    <w:p w:rsidR="00373611" w:rsidRPr="0035027D" w:rsidRDefault="00373611" w:rsidP="00373611">
      <w:pPr>
        <w:spacing w:after="0"/>
      </w:pPr>
    </w:p>
    <w:p w:rsidR="00CE2607" w:rsidRPr="0035027D" w:rsidRDefault="00373611" w:rsidP="00373611">
      <w:pPr>
        <w:spacing w:after="0"/>
      </w:pPr>
      <w:r w:rsidRPr="0035027D">
        <w:t>Zabezpe</w:t>
      </w:r>
      <w:r w:rsidRPr="0035027D">
        <w:rPr>
          <w:rFonts w:cs="Times New Roman"/>
        </w:rPr>
        <w:t>č</w:t>
      </w:r>
      <w:r w:rsidRPr="0035027D">
        <w:t>í sa vzájomný súlad externých foriem hodnotenia výsledkov škôl na jednotlivých vzdelávacích stup</w:t>
      </w:r>
      <w:r w:rsidRPr="0035027D">
        <w:rPr>
          <w:rFonts w:cs="Times New Roman"/>
        </w:rPr>
        <w:t>ň</w:t>
      </w:r>
      <w:r w:rsidRPr="0035027D">
        <w:t>och (najmä Testovanie 5, Testovanie 9 a externá maturita) takým spôsobom, aby bolo mo</w:t>
      </w:r>
      <w:r w:rsidRPr="0035027D">
        <w:rPr>
          <w:rFonts w:cs="Times New Roman"/>
        </w:rPr>
        <w:t>ž</w:t>
      </w:r>
      <w:r w:rsidRPr="0035027D">
        <w:t>né vyhodnoti</w:t>
      </w:r>
      <w:r w:rsidRPr="0035027D">
        <w:rPr>
          <w:rFonts w:cs="Times New Roman"/>
        </w:rPr>
        <w:t>ť</w:t>
      </w:r>
      <w:r w:rsidRPr="0035027D">
        <w:t xml:space="preserve"> pridanú hodnotu vzdelávania v jednotlivých školách. Spo</w:t>
      </w:r>
      <w:r w:rsidRPr="0035027D">
        <w:rPr>
          <w:rFonts w:cs="Times New Roman"/>
        </w:rPr>
        <w:t>ľ</w:t>
      </w:r>
      <w:r w:rsidRPr="0035027D">
        <w:t>ahlivé meranie kvality výstupov a výsledkov vzdelávania umo</w:t>
      </w:r>
      <w:r w:rsidRPr="0035027D">
        <w:rPr>
          <w:rFonts w:cs="Times New Roman"/>
        </w:rPr>
        <w:t>ž</w:t>
      </w:r>
      <w:r w:rsidRPr="0035027D">
        <w:t>ní zvýši</w:t>
      </w:r>
      <w:r w:rsidRPr="0035027D">
        <w:rPr>
          <w:rFonts w:cs="Times New Roman"/>
        </w:rPr>
        <w:t>ť</w:t>
      </w:r>
      <w:r w:rsidRPr="0035027D">
        <w:t xml:space="preserve"> autonómiu v riadení materských, základných a stredných škôl a školských zariadení.</w:t>
      </w:r>
    </w:p>
    <w:p w:rsidR="00373611" w:rsidRPr="0035027D" w:rsidRDefault="00373611" w:rsidP="00CE2607">
      <w:pPr>
        <w:pStyle w:val="Odsekzoznamu"/>
        <w:spacing w:after="0" w:line="240" w:lineRule="auto"/>
        <w:ind w:left="0"/>
        <w:contextualSpacing w:val="0"/>
        <w:rPr>
          <w:rFonts w:ascii="Arial Narrow" w:hAnsi="Arial Narrow"/>
        </w:rPr>
      </w:pPr>
    </w:p>
    <w:p w:rsidR="00CE2607" w:rsidRPr="0035027D" w:rsidRDefault="00CE2607" w:rsidP="00CE2607">
      <w:pPr>
        <w:pStyle w:val="Odsekzoznamu"/>
        <w:spacing w:after="0" w:line="240" w:lineRule="auto"/>
        <w:ind w:left="0"/>
        <w:contextualSpacing w:val="0"/>
        <w:rPr>
          <w:rFonts w:ascii="Arial Narrow" w:hAnsi="Arial Narrow"/>
          <w:b/>
          <w:i/>
        </w:rPr>
      </w:pPr>
      <w:r w:rsidRPr="0035027D">
        <w:rPr>
          <w:rFonts w:ascii="Arial Narrow" w:hAnsi="Arial Narrow"/>
          <w:b/>
          <w:i/>
        </w:rPr>
        <w:t>Učebnice</w:t>
      </w:r>
    </w:p>
    <w:p w:rsidR="00CE2607" w:rsidRPr="0035027D" w:rsidRDefault="00CE2607" w:rsidP="00CE2607">
      <w:pPr>
        <w:pStyle w:val="Odsekzoznamu"/>
        <w:spacing w:after="0" w:line="240" w:lineRule="auto"/>
        <w:ind w:left="0"/>
        <w:contextualSpacing w:val="0"/>
        <w:rPr>
          <w:rFonts w:ascii="Arial Narrow" w:hAnsi="Arial Narrow"/>
        </w:rPr>
      </w:pPr>
    </w:p>
    <w:p w:rsidR="00A11260" w:rsidRPr="0035027D" w:rsidRDefault="00A11260" w:rsidP="00A11260">
      <w:pPr>
        <w:spacing w:after="0"/>
        <w:rPr>
          <w:color w:val="000000" w:themeColor="text1"/>
        </w:rPr>
      </w:pPr>
      <w:r w:rsidRPr="0035027D">
        <w:rPr>
          <w:color w:val="000000" w:themeColor="text1"/>
        </w:rPr>
        <w:t>Vláda SR postupne zabezpe</w:t>
      </w:r>
      <w:r w:rsidRPr="0035027D">
        <w:rPr>
          <w:rFonts w:cs="Times New Roman"/>
          <w:color w:val="000000" w:themeColor="text1"/>
        </w:rPr>
        <w:t>č</w:t>
      </w:r>
      <w:r w:rsidRPr="0035027D">
        <w:rPr>
          <w:color w:val="000000" w:themeColor="text1"/>
        </w:rPr>
        <w:t>í, aby boli v základných a stredných školách k dispozícii alternatívne u</w:t>
      </w:r>
      <w:r w:rsidRPr="0035027D">
        <w:rPr>
          <w:rFonts w:cs="Times New Roman"/>
          <w:color w:val="000000" w:themeColor="text1"/>
        </w:rPr>
        <w:t>č</w:t>
      </w:r>
      <w:r w:rsidRPr="0035027D">
        <w:rPr>
          <w:color w:val="000000" w:themeColor="text1"/>
        </w:rPr>
        <w:t>ebnice a u</w:t>
      </w:r>
      <w:r w:rsidRPr="0035027D">
        <w:rPr>
          <w:rFonts w:cs="Times New Roman"/>
          <w:color w:val="000000" w:themeColor="text1"/>
        </w:rPr>
        <w:t>č</w:t>
      </w:r>
      <w:r w:rsidRPr="0035027D">
        <w:rPr>
          <w:color w:val="000000" w:themeColor="text1"/>
        </w:rPr>
        <w:t>ebné texty. U</w:t>
      </w:r>
      <w:r w:rsidRPr="0035027D">
        <w:rPr>
          <w:rFonts w:cs="Times New Roman"/>
          <w:color w:val="000000" w:themeColor="text1"/>
        </w:rPr>
        <w:t>č</w:t>
      </w:r>
      <w:r w:rsidRPr="0035027D">
        <w:rPr>
          <w:color w:val="000000" w:themeColor="text1"/>
        </w:rPr>
        <w:t>itelia a školy budú ma</w:t>
      </w:r>
      <w:r w:rsidRPr="0035027D">
        <w:rPr>
          <w:rFonts w:cs="Times New Roman"/>
          <w:color w:val="000000" w:themeColor="text1"/>
        </w:rPr>
        <w:t>ť</w:t>
      </w:r>
      <w:r w:rsidRPr="0035027D">
        <w:rPr>
          <w:color w:val="000000" w:themeColor="text1"/>
        </w:rPr>
        <w:t xml:space="preserve"> mo</w:t>
      </w:r>
      <w:r w:rsidRPr="0035027D">
        <w:rPr>
          <w:rFonts w:cs="Times New Roman"/>
          <w:color w:val="000000" w:themeColor="text1"/>
        </w:rPr>
        <w:t>ž</w:t>
      </w:r>
      <w:r w:rsidRPr="0035027D">
        <w:rPr>
          <w:color w:val="000000" w:themeColor="text1"/>
        </w:rPr>
        <w:t>nos</w:t>
      </w:r>
      <w:r w:rsidRPr="0035027D">
        <w:rPr>
          <w:rFonts w:cs="Times New Roman"/>
          <w:color w:val="000000" w:themeColor="text1"/>
        </w:rPr>
        <w:t>ť</w:t>
      </w:r>
      <w:r w:rsidRPr="0035027D">
        <w:rPr>
          <w:color w:val="000000" w:themeColor="text1"/>
        </w:rPr>
        <w:t xml:space="preserve"> vybra</w:t>
      </w:r>
      <w:r w:rsidRPr="0035027D">
        <w:rPr>
          <w:rFonts w:cs="Times New Roman"/>
          <w:color w:val="000000" w:themeColor="text1"/>
        </w:rPr>
        <w:t>ť</w:t>
      </w:r>
      <w:r w:rsidRPr="0035027D">
        <w:rPr>
          <w:color w:val="000000" w:themeColor="text1"/>
        </w:rPr>
        <w:t xml:space="preserve"> si u</w:t>
      </w:r>
      <w:r w:rsidRPr="0035027D">
        <w:rPr>
          <w:rFonts w:cs="Times New Roman"/>
          <w:color w:val="000000" w:themeColor="text1"/>
        </w:rPr>
        <w:t>č</w:t>
      </w:r>
      <w:r w:rsidRPr="0035027D">
        <w:rPr>
          <w:color w:val="000000" w:themeColor="text1"/>
        </w:rPr>
        <w:t xml:space="preserve">ebnicu, ktorá najviac vyhovuje vzdelávacím potrebám ich </w:t>
      </w:r>
      <w:r w:rsidRPr="0035027D">
        <w:rPr>
          <w:rFonts w:cs="Times New Roman"/>
          <w:color w:val="000000" w:themeColor="text1"/>
        </w:rPr>
        <w:t>ž</w:t>
      </w:r>
      <w:r w:rsidRPr="0035027D">
        <w:rPr>
          <w:color w:val="000000" w:themeColor="text1"/>
        </w:rPr>
        <w:t>iakov. V rámci systému normatívneho financovania sa vytvorí priestor na nákup u</w:t>
      </w:r>
      <w:r w:rsidRPr="0035027D">
        <w:rPr>
          <w:rFonts w:cs="Times New Roman"/>
          <w:color w:val="000000" w:themeColor="text1"/>
        </w:rPr>
        <w:t>č</w:t>
      </w:r>
      <w:r w:rsidRPr="0035027D">
        <w:rPr>
          <w:color w:val="000000" w:themeColor="text1"/>
        </w:rPr>
        <w:t>ebníc priamo školami. Vytvorí sa centrálny archív digitálneho vzdelávacieho obsahu a zlepšia sa podmienky tvorby a vyu</w:t>
      </w:r>
      <w:r w:rsidRPr="0035027D">
        <w:rPr>
          <w:rFonts w:cs="Times New Roman"/>
          <w:color w:val="000000" w:themeColor="text1"/>
        </w:rPr>
        <w:t>ž</w:t>
      </w:r>
      <w:r w:rsidRPr="0035027D">
        <w:rPr>
          <w:color w:val="000000" w:themeColor="text1"/>
        </w:rPr>
        <w:t>ívania digitálneho obsahu. V kompetencii vlády prechodne zostane právomoc posúdi</w:t>
      </w:r>
      <w:r w:rsidRPr="0035027D">
        <w:rPr>
          <w:rFonts w:cs="Times New Roman"/>
          <w:color w:val="000000" w:themeColor="text1"/>
        </w:rPr>
        <w:t>ť</w:t>
      </w:r>
      <w:r w:rsidRPr="0035027D">
        <w:rPr>
          <w:color w:val="000000" w:themeColor="text1"/>
        </w:rPr>
        <w:t xml:space="preserve"> a potvrdi</w:t>
      </w:r>
      <w:r w:rsidRPr="0035027D">
        <w:rPr>
          <w:rFonts w:cs="Times New Roman"/>
          <w:color w:val="000000" w:themeColor="text1"/>
        </w:rPr>
        <w:t>ť</w:t>
      </w:r>
      <w:r w:rsidRPr="0035027D">
        <w:rPr>
          <w:color w:val="000000" w:themeColor="text1"/>
        </w:rPr>
        <w:t xml:space="preserve"> súlad obsahu u</w:t>
      </w:r>
      <w:r w:rsidRPr="0035027D">
        <w:rPr>
          <w:rFonts w:cs="Times New Roman"/>
          <w:color w:val="000000" w:themeColor="text1"/>
        </w:rPr>
        <w:t>č</w:t>
      </w:r>
      <w:r w:rsidRPr="0035027D">
        <w:rPr>
          <w:color w:val="000000" w:themeColor="text1"/>
        </w:rPr>
        <w:t>ebníc so štátnymi vzdelávacími programami a vedenie Národného registra u</w:t>
      </w:r>
      <w:r w:rsidRPr="0035027D">
        <w:rPr>
          <w:rFonts w:cs="Times New Roman"/>
          <w:color w:val="000000" w:themeColor="text1"/>
        </w:rPr>
        <w:t>č</w:t>
      </w:r>
      <w:r w:rsidRPr="0035027D">
        <w:rPr>
          <w:color w:val="000000" w:themeColor="text1"/>
        </w:rPr>
        <w:t>ebníc. Prioritou v roku 2013 bude aj zabezpe</w:t>
      </w:r>
      <w:r w:rsidRPr="0035027D">
        <w:rPr>
          <w:rFonts w:cs="Times New Roman"/>
          <w:color w:val="000000" w:themeColor="text1"/>
        </w:rPr>
        <w:t>č</w:t>
      </w:r>
      <w:r w:rsidRPr="0035027D">
        <w:rPr>
          <w:color w:val="000000" w:themeColor="text1"/>
        </w:rPr>
        <w:t xml:space="preserve">enie </w:t>
      </w:r>
      <w:r w:rsidRPr="0035027D">
        <w:rPr>
          <w:rFonts w:cs="Times New Roman"/>
          <w:color w:val="000000" w:themeColor="text1"/>
        </w:rPr>
        <w:t>ď</w:t>
      </w:r>
      <w:r w:rsidRPr="0035027D">
        <w:rPr>
          <w:color w:val="000000" w:themeColor="text1"/>
        </w:rPr>
        <w:t>alších licencií na sprístupnenie digitálnych rozmno</w:t>
      </w:r>
      <w:r w:rsidRPr="0035027D">
        <w:rPr>
          <w:rFonts w:cs="Times New Roman"/>
          <w:color w:val="000000" w:themeColor="text1"/>
        </w:rPr>
        <w:t>ž</w:t>
      </w:r>
      <w:r w:rsidRPr="0035027D">
        <w:rPr>
          <w:color w:val="000000" w:themeColor="text1"/>
        </w:rPr>
        <w:t>enín nových reformných u</w:t>
      </w:r>
      <w:r w:rsidRPr="0035027D">
        <w:rPr>
          <w:rFonts w:cs="Times New Roman"/>
          <w:color w:val="000000" w:themeColor="text1"/>
        </w:rPr>
        <w:t>č</w:t>
      </w:r>
      <w:r w:rsidRPr="0035027D">
        <w:rPr>
          <w:color w:val="000000" w:themeColor="text1"/>
        </w:rPr>
        <w:t>ebníc a tie</w:t>
      </w:r>
      <w:r w:rsidRPr="0035027D">
        <w:rPr>
          <w:rFonts w:cs="Times New Roman"/>
          <w:color w:val="000000" w:themeColor="text1"/>
        </w:rPr>
        <w:t>ž</w:t>
      </w:r>
      <w:r w:rsidRPr="0035027D">
        <w:rPr>
          <w:color w:val="000000" w:themeColor="text1"/>
        </w:rPr>
        <w:t xml:space="preserve"> zabezpe</w:t>
      </w:r>
      <w:r w:rsidRPr="0035027D">
        <w:rPr>
          <w:rFonts w:cs="Times New Roman"/>
          <w:color w:val="000000" w:themeColor="text1"/>
        </w:rPr>
        <w:t>č</w:t>
      </w:r>
      <w:r w:rsidRPr="0035027D">
        <w:rPr>
          <w:color w:val="000000" w:themeColor="text1"/>
        </w:rPr>
        <w:t xml:space="preserve">enie elektronických verzií </w:t>
      </w:r>
      <w:r w:rsidRPr="0035027D">
        <w:rPr>
          <w:rFonts w:cs="Times New Roman"/>
          <w:color w:val="000000" w:themeColor="text1"/>
        </w:rPr>
        <w:t>ď</w:t>
      </w:r>
      <w:r w:rsidRPr="0035027D">
        <w:rPr>
          <w:color w:val="000000" w:themeColor="text1"/>
        </w:rPr>
        <w:t>alších nových reformných u</w:t>
      </w:r>
      <w:r w:rsidRPr="0035027D">
        <w:rPr>
          <w:rFonts w:cs="Times New Roman"/>
          <w:color w:val="000000" w:themeColor="text1"/>
        </w:rPr>
        <w:t>č</w:t>
      </w:r>
      <w:r w:rsidRPr="0035027D">
        <w:rPr>
          <w:color w:val="000000" w:themeColor="text1"/>
        </w:rPr>
        <w:t xml:space="preserve">ebníc pre slabozrakých a nevidiacich </w:t>
      </w:r>
      <w:r w:rsidRPr="0035027D">
        <w:rPr>
          <w:rFonts w:cs="Times New Roman"/>
          <w:color w:val="000000" w:themeColor="text1"/>
        </w:rPr>
        <w:t>ž</w:t>
      </w:r>
      <w:r w:rsidRPr="0035027D">
        <w:rPr>
          <w:color w:val="000000" w:themeColor="text1"/>
        </w:rPr>
        <w:t>iakov. V strednodobom horizonte sa posúdi presun kompetencie posudzovania súladu pou</w:t>
      </w:r>
      <w:r w:rsidRPr="0035027D">
        <w:rPr>
          <w:rFonts w:cs="Times New Roman"/>
          <w:color w:val="000000" w:themeColor="text1"/>
        </w:rPr>
        <w:t>ž</w:t>
      </w:r>
      <w:r w:rsidRPr="0035027D">
        <w:rPr>
          <w:color w:val="000000" w:themeColor="text1"/>
        </w:rPr>
        <w:t>ívaných u</w:t>
      </w:r>
      <w:r w:rsidRPr="0035027D">
        <w:rPr>
          <w:rFonts w:cs="Times New Roman"/>
          <w:color w:val="000000" w:themeColor="text1"/>
        </w:rPr>
        <w:t>č</w:t>
      </w:r>
      <w:r w:rsidRPr="0035027D">
        <w:rPr>
          <w:color w:val="000000" w:themeColor="text1"/>
        </w:rPr>
        <w:t>ebníc, u</w:t>
      </w:r>
      <w:r w:rsidRPr="0035027D">
        <w:rPr>
          <w:rFonts w:cs="Times New Roman"/>
          <w:color w:val="000000" w:themeColor="text1"/>
        </w:rPr>
        <w:t>č</w:t>
      </w:r>
      <w:r w:rsidRPr="0035027D">
        <w:rPr>
          <w:color w:val="000000" w:themeColor="text1"/>
        </w:rPr>
        <w:t>ebných textov a pracovných zošitov s cie</w:t>
      </w:r>
      <w:r w:rsidRPr="0035027D">
        <w:rPr>
          <w:rFonts w:cs="Times New Roman"/>
          <w:color w:val="000000" w:themeColor="text1"/>
        </w:rPr>
        <w:t>ľ</w:t>
      </w:r>
      <w:r w:rsidRPr="0035027D">
        <w:rPr>
          <w:color w:val="000000" w:themeColor="text1"/>
        </w:rPr>
        <w:t>mi a princípmi výchovy a vzdelávania a štátnymi vzdelávacími programami na riadite</w:t>
      </w:r>
      <w:r w:rsidRPr="0035027D">
        <w:rPr>
          <w:rFonts w:cs="Times New Roman"/>
          <w:color w:val="000000" w:themeColor="text1"/>
        </w:rPr>
        <w:t>ľ</w:t>
      </w:r>
      <w:r w:rsidRPr="0035027D">
        <w:rPr>
          <w:color w:val="000000" w:themeColor="text1"/>
        </w:rPr>
        <w:t>ov škôl.</w:t>
      </w:r>
    </w:p>
    <w:p w:rsidR="00687C63" w:rsidRPr="0035027D" w:rsidRDefault="00687C63" w:rsidP="00CE2607">
      <w:pPr>
        <w:spacing w:after="0"/>
        <w:rPr>
          <w:color w:val="000000" w:themeColor="text1"/>
        </w:rPr>
      </w:pPr>
    </w:p>
    <w:p w:rsidR="00CE2607" w:rsidRPr="0035027D" w:rsidRDefault="00CE2607" w:rsidP="00CE2607">
      <w:pPr>
        <w:spacing w:after="0"/>
        <w:rPr>
          <w:b/>
          <w:i/>
          <w:color w:val="000000" w:themeColor="text1"/>
        </w:rPr>
      </w:pPr>
      <w:r w:rsidRPr="0035027D">
        <w:rPr>
          <w:b/>
          <w:i/>
          <w:color w:val="000000" w:themeColor="text1"/>
        </w:rPr>
        <w:t>Odborné školy</w:t>
      </w:r>
    </w:p>
    <w:p w:rsidR="00CE2607" w:rsidRPr="0035027D" w:rsidRDefault="00CE2607" w:rsidP="00CE2607">
      <w:pPr>
        <w:spacing w:after="0"/>
        <w:rPr>
          <w:color w:val="000000" w:themeColor="text1"/>
        </w:rPr>
      </w:pPr>
    </w:p>
    <w:p w:rsidR="00A11260" w:rsidRPr="0035027D" w:rsidRDefault="00A11260" w:rsidP="00A11260">
      <w:pPr>
        <w:pStyle w:val="Point0number"/>
        <w:spacing w:before="0" w:after="0"/>
        <w:rPr>
          <w:rFonts w:ascii="Arial Narrow" w:hAnsi="Arial Narrow"/>
          <w:sz w:val="22"/>
          <w:szCs w:val="22"/>
          <w:lang w:val="sk-SK"/>
        </w:rPr>
      </w:pPr>
      <w:r w:rsidRPr="0035027D">
        <w:rPr>
          <w:rFonts w:ascii="Arial Narrow" w:hAnsi="Arial Narrow"/>
          <w:sz w:val="22"/>
          <w:szCs w:val="22"/>
          <w:lang w:val="sk-SK"/>
        </w:rPr>
        <w:t xml:space="preserve">Vláda SR zabezpečí užšie prepojenie odborných škôl s praxou. Najmä upraví kompetencie jednotlivých subjektov zapojených do odborného vzdelávania a prípravy pre trh práce. Zlepší sa zapojenie zamestnávateľov a zamestnávateľských zväzov do systému odborného vzdelávania a prípravy. </w:t>
      </w:r>
      <w:r w:rsidR="00D90E41" w:rsidRPr="0035027D">
        <w:rPr>
          <w:rFonts w:ascii="Arial Narrow" w:hAnsi="Arial Narrow"/>
          <w:sz w:val="22"/>
          <w:szCs w:val="22"/>
          <w:lang w:val="sk-SK"/>
        </w:rPr>
        <w:t>Zapracovaním prvkov duálneho školstva do systému odborného vzdelávania a prípravy v odborných školách sa bude praktické vyučovanie vo väčšej miere vykonávať priamo u zamestnávateľov, čím sa zabezpečí plynulý prechod absolventov do praxe.</w:t>
      </w:r>
      <w:r w:rsidR="00D90E41" w:rsidRPr="0035027D">
        <w:rPr>
          <w:rFonts w:ascii="Arial Narrow" w:hAnsi="Arial Narrow"/>
          <w:color w:val="984807"/>
          <w:lang w:val="sk-SK"/>
        </w:rPr>
        <w:t xml:space="preserve"> </w:t>
      </w:r>
      <w:r w:rsidRPr="0035027D">
        <w:rPr>
          <w:rFonts w:ascii="Arial Narrow" w:hAnsi="Arial Narrow"/>
          <w:sz w:val="22"/>
          <w:szCs w:val="22"/>
          <w:lang w:val="sk-SK"/>
        </w:rPr>
        <w:t>Úprava normatívneho financovania bude prehodnotená tak, aby sa sieť odborných škôl priebežne prispôsobovala požiadavkám trhu práce a potrebám vyššieho vzdelania vo vedomostnej ekonomike.</w:t>
      </w:r>
    </w:p>
    <w:p w:rsidR="00CE2607" w:rsidRPr="0035027D" w:rsidRDefault="00CE2607" w:rsidP="00CE2607">
      <w:pPr>
        <w:spacing w:after="0"/>
        <w:rPr>
          <w:color w:val="000000" w:themeColor="text1"/>
        </w:rPr>
      </w:pPr>
    </w:p>
    <w:p w:rsidR="00CE2607" w:rsidRPr="0035027D" w:rsidRDefault="00CE2607" w:rsidP="00CE2607">
      <w:pPr>
        <w:spacing w:after="0"/>
        <w:rPr>
          <w:color w:val="000000" w:themeColor="text1"/>
        </w:rPr>
      </w:pPr>
    </w:p>
    <w:p w:rsidR="00CE2607" w:rsidRPr="0035027D" w:rsidRDefault="00CE2607" w:rsidP="00CE2607">
      <w:pPr>
        <w:pStyle w:val="Nadpis4"/>
      </w:pPr>
      <w:bookmarkStart w:id="48" w:name="_Toc350524501"/>
      <w:bookmarkStart w:id="49" w:name="_Toc353537826"/>
      <w:bookmarkStart w:id="50" w:name="_Toc353563379"/>
      <w:r w:rsidRPr="0035027D">
        <w:t>Vysoké školstvo a veda</w:t>
      </w:r>
      <w:bookmarkEnd w:id="48"/>
      <w:bookmarkEnd w:id="49"/>
      <w:bookmarkEnd w:id="50"/>
    </w:p>
    <w:p w:rsidR="00CE2607" w:rsidRPr="0035027D" w:rsidRDefault="00CE2607" w:rsidP="00CE2607">
      <w:pPr>
        <w:pStyle w:val="Point0number"/>
        <w:spacing w:before="0" w:after="0"/>
        <w:rPr>
          <w:rFonts w:ascii="Arial Narrow" w:hAnsi="Arial Narrow"/>
          <w:sz w:val="22"/>
          <w:szCs w:val="22"/>
          <w:lang w:val="sk-SK"/>
        </w:rPr>
      </w:pPr>
    </w:p>
    <w:p w:rsidR="00CE2607" w:rsidRPr="0035027D" w:rsidRDefault="00CE2607" w:rsidP="00CE2607">
      <w:pPr>
        <w:pStyle w:val="Point0number"/>
        <w:spacing w:before="0" w:after="0"/>
        <w:rPr>
          <w:rFonts w:ascii="Arial Narrow" w:hAnsi="Arial Narrow"/>
          <w:b/>
          <w:i/>
          <w:sz w:val="22"/>
          <w:szCs w:val="22"/>
          <w:lang w:val="sk-SK"/>
        </w:rPr>
      </w:pPr>
      <w:r w:rsidRPr="0035027D">
        <w:rPr>
          <w:rFonts w:ascii="Arial Narrow" w:hAnsi="Arial Narrow"/>
          <w:b/>
          <w:i/>
          <w:sz w:val="22"/>
          <w:szCs w:val="22"/>
          <w:lang w:val="sk-SK"/>
        </w:rPr>
        <w:t>Financovanie</w:t>
      </w:r>
    </w:p>
    <w:p w:rsidR="00CE2607" w:rsidRPr="0035027D" w:rsidRDefault="00CE2607" w:rsidP="00CE2607">
      <w:pPr>
        <w:pStyle w:val="Point0number"/>
        <w:spacing w:before="0" w:after="0"/>
        <w:rPr>
          <w:rFonts w:ascii="Arial Narrow" w:hAnsi="Arial Narrow"/>
          <w:sz w:val="22"/>
          <w:szCs w:val="22"/>
          <w:lang w:val="sk-SK"/>
        </w:rPr>
      </w:pPr>
    </w:p>
    <w:p w:rsidR="00CE2607" w:rsidRPr="0035027D" w:rsidRDefault="00CE2607" w:rsidP="00CE2607">
      <w:pPr>
        <w:pStyle w:val="Point0number"/>
        <w:spacing w:before="0" w:after="0"/>
        <w:rPr>
          <w:rFonts w:ascii="Arial Narrow" w:hAnsi="Arial Narrow"/>
          <w:sz w:val="22"/>
          <w:szCs w:val="22"/>
          <w:lang w:val="sk-SK"/>
        </w:rPr>
      </w:pPr>
      <w:r w:rsidRPr="0035027D">
        <w:rPr>
          <w:rFonts w:ascii="Arial Narrow" w:hAnsi="Arial Narrow"/>
          <w:sz w:val="22"/>
          <w:szCs w:val="22"/>
          <w:lang w:val="sk-SK"/>
        </w:rPr>
        <w:t>Bude sa pokračovať v úprave financovania vysokých škôl s väčším dôrazom na kvalitatívne výsledky tak, aby vysoké školy neboli motivované k udržiavaniu nekvalitných študentov</w:t>
      </w:r>
      <w:r w:rsidR="00D23B98" w:rsidRPr="0035027D">
        <w:rPr>
          <w:rFonts w:ascii="Arial Narrow" w:hAnsi="Arial Narrow"/>
          <w:sz w:val="22"/>
          <w:szCs w:val="22"/>
          <w:lang w:val="sk-SK"/>
        </w:rPr>
        <w:t>.</w:t>
      </w:r>
      <w:r w:rsidR="00871BAB" w:rsidRPr="0035027D">
        <w:rPr>
          <w:rFonts w:ascii="Arial Narrow" w:hAnsi="Arial Narrow"/>
          <w:sz w:val="22"/>
          <w:szCs w:val="22"/>
          <w:lang w:val="sk-SK"/>
        </w:rPr>
        <w:t xml:space="preserve"> Kým v rozpise dotácií zo štátneho rozpočtu pre verejné vysoké školy došlo v uplynulých rokoch k viacerým úpravám v časti odvodenej od tvorivej činnosti verejnej vysokej školy, v časti odvodenej od vzdelávania pretrváva negatívna motivácia pre verejné vysoké školy ponechávať v systéme študentov, ktorí nemusia dosahovať potrebný akademický výkon. Od roku 2014 bude ministerstvo pri rozpise dotácií zo štátneho rozpočtu presadzovať uplatňovanie takých nástrojov, aby verejné vysoké školy neboli z pohľadu poskytnutej dotácie negatívne postihované za vylúčenie študenta, ktorý nedosahuje uspokojivé študijné výsledky.</w:t>
      </w:r>
    </w:p>
    <w:p w:rsidR="00D23B98" w:rsidRPr="0035027D" w:rsidRDefault="00D23B98" w:rsidP="00CE2607">
      <w:pPr>
        <w:pStyle w:val="Point0number"/>
        <w:spacing w:before="0" w:after="0"/>
        <w:rPr>
          <w:rFonts w:ascii="Arial Narrow" w:hAnsi="Arial Narrow"/>
          <w:sz w:val="22"/>
          <w:szCs w:val="22"/>
          <w:lang w:val="sk-SK"/>
        </w:rPr>
      </w:pPr>
    </w:p>
    <w:p w:rsidR="00CE2607" w:rsidRPr="0035027D" w:rsidRDefault="00CE2607" w:rsidP="00CE2607">
      <w:pPr>
        <w:pStyle w:val="Point0number"/>
        <w:spacing w:before="0" w:after="0"/>
        <w:rPr>
          <w:rFonts w:ascii="Arial Narrow" w:hAnsi="Arial Narrow"/>
          <w:b/>
          <w:i/>
          <w:sz w:val="22"/>
          <w:szCs w:val="22"/>
          <w:lang w:val="sk-SK"/>
        </w:rPr>
      </w:pPr>
      <w:r w:rsidRPr="0035027D">
        <w:rPr>
          <w:rFonts w:ascii="Arial Narrow" w:hAnsi="Arial Narrow"/>
          <w:b/>
          <w:i/>
          <w:sz w:val="22"/>
          <w:szCs w:val="22"/>
          <w:lang w:val="sk-SK"/>
        </w:rPr>
        <w:t>Nová koncepcia ďalšieho rozvoja vysokého školstva</w:t>
      </w:r>
    </w:p>
    <w:p w:rsidR="00CE2607" w:rsidRPr="0035027D" w:rsidRDefault="00CE2607" w:rsidP="00CE2607">
      <w:pPr>
        <w:pStyle w:val="Point0number"/>
        <w:spacing w:before="0" w:after="0"/>
        <w:rPr>
          <w:rFonts w:ascii="Arial Narrow" w:hAnsi="Arial Narrow"/>
          <w:lang w:val="sk-SK"/>
        </w:rPr>
      </w:pPr>
    </w:p>
    <w:p w:rsidR="00CE2607" w:rsidRPr="0035027D" w:rsidRDefault="00CE2607" w:rsidP="00CE2607">
      <w:pPr>
        <w:pStyle w:val="Point0number"/>
        <w:spacing w:before="0" w:after="0"/>
        <w:rPr>
          <w:rFonts w:ascii="Arial Narrow" w:hAnsi="Arial Narrow"/>
          <w:sz w:val="22"/>
          <w:szCs w:val="22"/>
          <w:lang w:val="sk-SK"/>
        </w:rPr>
      </w:pPr>
      <w:r w:rsidRPr="0035027D">
        <w:rPr>
          <w:rFonts w:ascii="Arial Narrow" w:hAnsi="Arial Narrow"/>
          <w:sz w:val="22"/>
          <w:szCs w:val="22"/>
          <w:lang w:val="sk-SK"/>
        </w:rPr>
        <w:t>Na základe správy o plnení Koncepcie ďalšieho rozvoja vysokého školstva na Slovensku pre 21. storočie bude pripravená nová koncepcia pre vysoké školstvo na roky 2013 – 2020 za účasti orgánov reprezentácie vysokých škôl, ako aj zástupcov odborov. Táto koncepcia sa má dotýkať piatich oblastí rozvoja – (i) poskytovatelia vysokoškolského vzdelávania, (</w:t>
      </w:r>
      <w:proofErr w:type="spellStart"/>
      <w:r w:rsidRPr="0035027D">
        <w:rPr>
          <w:rFonts w:ascii="Arial Narrow" w:hAnsi="Arial Narrow"/>
          <w:sz w:val="22"/>
          <w:szCs w:val="22"/>
          <w:lang w:val="sk-SK"/>
        </w:rPr>
        <w:t>ii</w:t>
      </w:r>
      <w:proofErr w:type="spellEnd"/>
      <w:r w:rsidRPr="0035027D">
        <w:rPr>
          <w:rFonts w:ascii="Arial Narrow" w:hAnsi="Arial Narrow"/>
          <w:sz w:val="22"/>
          <w:szCs w:val="22"/>
          <w:lang w:val="sk-SK"/>
        </w:rPr>
        <w:t xml:space="preserve">) systém vysokoškolského vzdelávania a prístup k vysokoškolskému </w:t>
      </w:r>
      <w:r w:rsidRPr="0035027D">
        <w:rPr>
          <w:rFonts w:ascii="Arial Narrow" w:hAnsi="Arial Narrow"/>
          <w:sz w:val="22"/>
          <w:szCs w:val="22"/>
          <w:lang w:val="sk-SK"/>
        </w:rPr>
        <w:lastRenderedPageBreak/>
        <w:t>vzdelávaniu, internacionalizácia vzdelávania, (</w:t>
      </w:r>
      <w:proofErr w:type="spellStart"/>
      <w:r w:rsidRPr="0035027D">
        <w:rPr>
          <w:rFonts w:ascii="Arial Narrow" w:hAnsi="Arial Narrow"/>
          <w:sz w:val="22"/>
          <w:szCs w:val="22"/>
          <w:lang w:val="sk-SK"/>
        </w:rPr>
        <w:t>iii</w:t>
      </w:r>
      <w:proofErr w:type="spellEnd"/>
      <w:r w:rsidRPr="0035027D">
        <w:rPr>
          <w:rFonts w:ascii="Arial Narrow" w:hAnsi="Arial Narrow"/>
          <w:sz w:val="22"/>
          <w:szCs w:val="22"/>
          <w:lang w:val="sk-SK"/>
        </w:rPr>
        <w:t>) zamestnanci vysokých škôl, tvorivá činnosť na vysokých školách, akademické práva a slobody, akademická etika, (</w:t>
      </w:r>
      <w:proofErr w:type="spellStart"/>
      <w:r w:rsidRPr="0035027D">
        <w:rPr>
          <w:rFonts w:ascii="Arial Narrow" w:hAnsi="Arial Narrow"/>
          <w:sz w:val="22"/>
          <w:szCs w:val="22"/>
          <w:lang w:val="sk-SK"/>
        </w:rPr>
        <w:t>iv</w:t>
      </w:r>
      <w:proofErr w:type="spellEnd"/>
      <w:r w:rsidRPr="0035027D">
        <w:rPr>
          <w:rFonts w:ascii="Arial Narrow" w:hAnsi="Arial Narrow"/>
          <w:sz w:val="22"/>
          <w:szCs w:val="22"/>
          <w:lang w:val="sk-SK"/>
        </w:rPr>
        <w:t>) systém zabezpečovania kvality, financovanie vysokých škôl, informačné systémy v oblasti vysokého školstva a (v) internacionalizácia ako prierezová oblasť, ostatné podporné oblasti, oblasti osobitného záujmu. Koncepcia v podobe, v akej bude prerokovaná vládou SR, bude východiskom pre tvorbu nového zákona o vysokých školách.</w:t>
      </w:r>
    </w:p>
    <w:p w:rsidR="00CE2607" w:rsidRPr="0035027D" w:rsidRDefault="00CE2607" w:rsidP="00CE2607">
      <w:pPr>
        <w:pStyle w:val="Point0number"/>
        <w:spacing w:before="0" w:after="0"/>
        <w:rPr>
          <w:rFonts w:ascii="Arial Narrow" w:hAnsi="Arial Narrow"/>
          <w:sz w:val="22"/>
          <w:szCs w:val="22"/>
          <w:lang w:val="sk-SK"/>
        </w:rPr>
      </w:pPr>
    </w:p>
    <w:p w:rsidR="009863D3" w:rsidRPr="0035027D" w:rsidRDefault="009863D3" w:rsidP="00CE2607">
      <w:pPr>
        <w:pStyle w:val="Point0number"/>
        <w:spacing w:before="0" w:after="0"/>
        <w:rPr>
          <w:rFonts w:ascii="Arial Narrow" w:hAnsi="Arial Narrow"/>
          <w:b/>
          <w:sz w:val="22"/>
          <w:szCs w:val="22"/>
          <w:lang w:val="sk-SK"/>
        </w:rPr>
      </w:pPr>
      <w:r w:rsidRPr="0035027D">
        <w:rPr>
          <w:rFonts w:ascii="Arial Narrow" w:hAnsi="Arial Narrow"/>
          <w:b/>
          <w:sz w:val="22"/>
          <w:szCs w:val="22"/>
          <w:lang w:val="sk-SK"/>
        </w:rPr>
        <w:t xml:space="preserve">Akreditácia </w:t>
      </w:r>
    </w:p>
    <w:p w:rsidR="009863D3" w:rsidRPr="0035027D" w:rsidRDefault="009863D3" w:rsidP="00CE2607">
      <w:pPr>
        <w:pStyle w:val="Point0number"/>
        <w:spacing w:before="0" w:after="0"/>
        <w:rPr>
          <w:rFonts w:ascii="Arial Narrow" w:hAnsi="Arial Narrow"/>
          <w:sz w:val="22"/>
          <w:szCs w:val="22"/>
          <w:lang w:val="sk-SK"/>
        </w:rPr>
      </w:pPr>
    </w:p>
    <w:p w:rsidR="00CE2607" w:rsidRPr="0035027D" w:rsidRDefault="00CE2607" w:rsidP="00CE2607">
      <w:pPr>
        <w:pStyle w:val="Point0number"/>
        <w:spacing w:before="0" w:after="0"/>
        <w:rPr>
          <w:rFonts w:ascii="Arial Narrow" w:hAnsi="Arial Narrow"/>
          <w:lang w:val="sk-SK"/>
        </w:rPr>
      </w:pPr>
      <w:r w:rsidRPr="0035027D">
        <w:rPr>
          <w:rFonts w:ascii="Arial Narrow" w:hAnsi="Arial Narrow"/>
          <w:sz w:val="22"/>
          <w:szCs w:val="22"/>
          <w:lang w:val="sk-SK"/>
        </w:rPr>
        <w:t>Koncepcia bude obsahovať najmä reformu akreditácie vysokých škôl a zvýšenie kvality akademických špičiek. Akreditačná komisia bude výraznejšie motivovaná, aby skúmala reálny výkon a kvalitu garantujúceho tímu namiesto ich titulov. Garantovanie štúdia už nebude viazané na jednu osobu, ale na kolektív vysokoškolských učiteľov spĺňajúcich stanovené kritériá. Cieľom je stabilizácia situácie a zabránenie stavu, kedy sa vypadnutím jedného človeka (garanta) môžu znefunkčniť kvalitné študijné programy. Zároveň to zvýši objektívnosť ako aj náročnosť akreditácie, keďže nebude stačiť „kúpiť“ jedného profesora.</w:t>
      </w:r>
      <w:r w:rsidRPr="0035027D">
        <w:rPr>
          <w:rFonts w:ascii="Arial Narrow" w:hAnsi="Arial Narrow"/>
          <w:lang w:val="sk-SK"/>
        </w:rPr>
        <w:t xml:space="preserve"> </w:t>
      </w:r>
    </w:p>
    <w:p w:rsidR="00CE2607" w:rsidRPr="0035027D" w:rsidRDefault="00CE2607" w:rsidP="00CE2607">
      <w:pPr>
        <w:spacing w:after="0"/>
      </w:pPr>
    </w:p>
    <w:p w:rsidR="00CE2607" w:rsidRPr="0035027D" w:rsidRDefault="00CE2607" w:rsidP="00CE2607">
      <w:pPr>
        <w:spacing w:after="0"/>
      </w:pPr>
      <w:r w:rsidRPr="0035027D">
        <w:t>Akreditácia študijného programu (v sú</w:t>
      </w:r>
      <w:r w:rsidRPr="0035027D">
        <w:rPr>
          <w:rFonts w:cs="Times New Roman"/>
        </w:rPr>
        <w:t>č</w:t>
      </w:r>
      <w:r w:rsidRPr="0035027D">
        <w:t>asnosti ich je takmer 8</w:t>
      </w:r>
      <w:r w:rsidR="00250470" w:rsidRPr="0035027D">
        <w:t xml:space="preserve"> </w:t>
      </w:r>
      <w:r w:rsidRPr="0035027D">
        <w:t>000) sa zmení na akreditáciu študijného odboru (v sú</w:t>
      </w:r>
      <w:r w:rsidRPr="0035027D">
        <w:rPr>
          <w:rFonts w:cs="Times New Roman"/>
        </w:rPr>
        <w:t>č</w:t>
      </w:r>
      <w:r w:rsidRPr="0035027D">
        <w:t>asnosti 364), v</w:t>
      </w:r>
      <w:r w:rsidRPr="0035027D">
        <w:rPr>
          <w:rFonts w:cs="Times New Roman"/>
        </w:rPr>
        <w:t>ď</w:t>
      </w:r>
      <w:r w:rsidRPr="0035027D">
        <w:t xml:space="preserve">aka </w:t>
      </w:r>
      <w:r w:rsidRPr="0035027D">
        <w:rPr>
          <w:rFonts w:cs="Times New Roman"/>
        </w:rPr>
        <w:t>č</w:t>
      </w:r>
      <w:r w:rsidRPr="0035027D">
        <w:t>omu bude môc</w:t>
      </w:r>
      <w:r w:rsidRPr="0035027D">
        <w:rPr>
          <w:rFonts w:cs="Times New Roman"/>
        </w:rPr>
        <w:t>ť</w:t>
      </w:r>
      <w:r w:rsidRPr="0035027D">
        <w:t xml:space="preserve"> vysoká škola pru</w:t>
      </w:r>
      <w:r w:rsidRPr="0035027D">
        <w:rPr>
          <w:rFonts w:cs="Times New Roman"/>
        </w:rPr>
        <w:t>ž</w:t>
      </w:r>
      <w:r w:rsidRPr="0035027D">
        <w:t>ne otvára</w:t>
      </w:r>
      <w:r w:rsidRPr="0035027D">
        <w:rPr>
          <w:rFonts w:cs="Times New Roman"/>
        </w:rPr>
        <w:t>ť</w:t>
      </w:r>
      <w:r w:rsidRPr="0035027D">
        <w:t xml:space="preserve"> nové študijné programy v rámci akreditovaného študijného odboru. Sú</w:t>
      </w:r>
      <w:r w:rsidRPr="0035027D">
        <w:rPr>
          <w:rFonts w:cs="Times New Roman"/>
        </w:rPr>
        <w:t>č</w:t>
      </w:r>
      <w:r w:rsidRPr="0035027D">
        <w:t>asne to bude znamena</w:t>
      </w:r>
      <w:r w:rsidRPr="0035027D">
        <w:rPr>
          <w:rFonts w:cs="Times New Roman"/>
        </w:rPr>
        <w:t>ť</w:t>
      </w:r>
      <w:r w:rsidRPr="0035027D">
        <w:t xml:space="preserve"> výrazné zní</w:t>
      </w:r>
      <w:r w:rsidRPr="0035027D">
        <w:rPr>
          <w:rFonts w:cs="Times New Roman"/>
        </w:rPr>
        <w:t>ž</w:t>
      </w:r>
      <w:r w:rsidRPr="0035027D">
        <w:t>enie informa</w:t>
      </w:r>
      <w:r w:rsidRPr="0035027D">
        <w:rPr>
          <w:rFonts w:cs="Times New Roman"/>
        </w:rPr>
        <w:t>č</w:t>
      </w:r>
      <w:r w:rsidRPr="0035027D">
        <w:t>nej nerovnosti a preh</w:t>
      </w:r>
      <w:r w:rsidRPr="0035027D">
        <w:rPr>
          <w:rFonts w:cs="Times New Roman"/>
        </w:rPr>
        <w:t>ĺ</w:t>
      </w:r>
      <w:r w:rsidRPr="0035027D">
        <w:t xml:space="preserve">benie konkurencie. Pre akreditáciu bude rozhodujúce, aby </w:t>
      </w:r>
      <w:r w:rsidRPr="0035027D">
        <w:rPr>
          <w:rFonts w:cs="Times New Roman"/>
        </w:rPr>
        <w:t>č</w:t>
      </w:r>
      <w:r w:rsidRPr="0035027D">
        <w:t>lenovia garantujúceho tímu boli z vedeckého h</w:t>
      </w:r>
      <w:r w:rsidRPr="0035027D">
        <w:rPr>
          <w:rFonts w:cs="Times New Roman"/>
        </w:rPr>
        <w:t>ľ</w:t>
      </w:r>
      <w:r w:rsidRPr="0035027D">
        <w:t>adiska medzinárodne rešpektovanými osobnos</w:t>
      </w:r>
      <w:r w:rsidRPr="0035027D">
        <w:rPr>
          <w:rFonts w:cs="Times New Roman"/>
        </w:rPr>
        <w:t>ť</w:t>
      </w:r>
      <w:r w:rsidRPr="0035027D">
        <w:t>ami. Bude sa skúma</w:t>
      </w:r>
      <w:r w:rsidRPr="0035027D">
        <w:rPr>
          <w:rFonts w:cs="Times New Roman"/>
        </w:rPr>
        <w:t>ť</w:t>
      </w:r>
      <w:r w:rsidRPr="0035027D">
        <w:t xml:space="preserve"> cez porovnávanie (</w:t>
      </w:r>
      <w:proofErr w:type="spellStart"/>
      <w:r w:rsidRPr="0035027D">
        <w:t>benchmarkovanie</w:t>
      </w:r>
      <w:proofErr w:type="spellEnd"/>
      <w:r w:rsidRPr="0035027D">
        <w:t>) publika</w:t>
      </w:r>
      <w:r w:rsidRPr="0035027D">
        <w:rPr>
          <w:rFonts w:cs="Times New Roman"/>
        </w:rPr>
        <w:t>č</w:t>
      </w:r>
      <w:r w:rsidRPr="0035027D">
        <w:t>ných a cita</w:t>
      </w:r>
      <w:r w:rsidRPr="0035027D">
        <w:rPr>
          <w:rFonts w:cs="Times New Roman"/>
        </w:rPr>
        <w:t>č</w:t>
      </w:r>
      <w:r w:rsidRPr="0035027D">
        <w:t xml:space="preserve">ných kritérií s medzinárodnými štandardmi v danom odbore. </w:t>
      </w:r>
    </w:p>
    <w:p w:rsidR="00CE2607" w:rsidRPr="0035027D" w:rsidRDefault="00CE2607" w:rsidP="00CE2607">
      <w:pPr>
        <w:spacing w:after="0"/>
      </w:pPr>
    </w:p>
    <w:p w:rsidR="00CE2607" w:rsidRPr="0035027D" w:rsidRDefault="009863D3" w:rsidP="00CE2607">
      <w:pPr>
        <w:spacing w:after="0"/>
      </w:pPr>
      <w:r w:rsidRPr="0035027D">
        <w:t>Zvá</w:t>
      </w:r>
      <w:r w:rsidRPr="0035027D">
        <w:rPr>
          <w:rFonts w:cs="Times New Roman"/>
        </w:rPr>
        <w:t>ž</w:t>
      </w:r>
      <w:r w:rsidRPr="0035027D">
        <w:t>i sa prechod</w:t>
      </w:r>
      <w:r w:rsidR="00CE2607" w:rsidRPr="0035027D">
        <w:t xml:space="preserve"> na štandardný svetový model a </w:t>
      </w:r>
      <w:r w:rsidR="00CE2607" w:rsidRPr="0035027D">
        <w:rPr>
          <w:rFonts w:cs="Times New Roman"/>
        </w:rPr>
        <w:t>ď</w:t>
      </w:r>
      <w:r w:rsidR="00CE2607" w:rsidRPr="0035027D">
        <w:t>alej neude</w:t>
      </w:r>
      <w:r w:rsidR="00CE2607" w:rsidRPr="0035027D">
        <w:rPr>
          <w:rFonts w:cs="Times New Roman"/>
        </w:rPr>
        <w:t>ľ</w:t>
      </w:r>
      <w:r w:rsidR="00CE2607" w:rsidRPr="0035027D">
        <w:t>ova</w:t>
      </w:r>
      <w:r w:rsidR="00CE2607" w:rsidRPr="0035027D">
        <w:rPr>
          <w:rFonts w:cs="Times New Roman"/>
        </w:rPr>
        <w:t>ť</w:t>
      </w:r>
      <w:r w:rsidR="00CE2607" w:rsidRPr="0035027D">
        <w:t xml:space="preserve"> tituly docent a profesor. Tieto tituly vzh</w:t>
      </w:r>
      <w:r w:rsidR="00CE2607" w:rsidRPr="0035027D">
        <w:rPr>
          <w:rFonts w:cs="Times New Roman"/>
        </w:rPr>
        <w:t>ľ</w:t>
      </w:r>
      <w:r w:rsidR="00CE2607" w:rsidRPr="0035027D">
        <w:t>adom na slabú náro</w:t>
      </w:r>
      <w:r w:rsidR="00CE2607" w:rsidRPr="0035027D">
        <w:rPr>
          <w:rFonts w:cs="Times New Roman"/>
        </w:rPr>
        <w:t>č</w:t>
      </w:r>
      <w:r w:rsidR="00CE2607" w:rsidRPr="0035027D">
        <w:t>nos</w:t>
      </w:r>
      <w:r w:rsidR="00CE2607" w:rsidRPr="0035027D">
        <w:rPr>
          <w:rFonts w:cs="Times New Roman"/>
        </w:rPr>
        <w:t>ť</w:t>
      </w:r>
      <w:r w:rsidR="00CE2607" w:rsidRPr="0035027D">
        <w:t xml:space="preserve"> kritérií pre ich dosiahnutie nemajú dostato</w:t>
      </w:r>
      <w:r w:rsidR="00CE2607" w:rsidRPr="0035027D">
        <w:rPr>
          <w:rFonts w:cs="Times New Roman"/>
        </w:rPr>
        <w:t>č</w:t>
      </w:r>
      <w:r w:rsidR="00CE2607" w:rsidRPr="0035027D">
        <w:t>nú výpovednú hodnotu.</w:t>
      </w:r>
    </w:p>
    <w:p w:rsidR="00445325" w:rsidRPr="0035027D" w:rsidRDefault="00445325" w:rsidP="00445325">
      <w:pPr>
        <w:pStyle w:val="Point0number"/>
        <w:spacing w:before="0" w:after="0"/>
        <w:rPr>
          <w:rFonts w:ascii="Arial Narrow" w:hAnsi="Arial Narrow"/>
          <w:sz w:val="22"/>
          <w:szCs w:val="22"/>
          <w:lang w:val="sk-SK"/>
        </w:rPr>
      </w:pPr>
    </w:p>
    <w:p w:rsidR="00445325" w:rsidRPr="0035027D" w:rsidRDefault="00445325" w:rsidP="00445325">
      <w:pPr>
        <w:tabs>
          <w:tab w:val="left" w:pos="426"/>
        </w:tabs>
        <w:spacing w:after="0"/>
        <w:rPr>
          <w:b/>
          <w:i/>
        </w:rPr>
      </w:pPr>
      <w:r w:rsidRPr="0035027D">
        <w:rPr>
          <w:b/>
          <w:i/>
        </w:rPr>
        <w:t>Veda a výskum</w:t>
      </w:r>
    </w:p>
    <w:p w:rsidR="00445325" w:rsidRPr="0035027D" w:rsidRDefault="00445325" w:rsidP="00445325">
      <w:pPr>
        <w:tabs>
          <w:tab w:val="left" w:pos="426"/>
        </w:tabs>
        <w:spacing w:after="0"/>
      </w:pPr>
    </w:p>
    <w:p w:rsidR="00445325" w:rsidRPr="0035027D" w:rsidRDefault="00445325" w:rsidP="00445325">
      <w:pPr>
        <w:spacing w:after="0"/>
      </w:pPr>
      <w:r w:rsidRPr="0035027D">
        <w:t>Ke</w:t>
      </w:r>
      <w:r w:rsidRPr="0035027D">
        <w:rPr>
          <w:rFonts w:cs="Times New Roman"/>
        </w:rPr>
        <w:t>ďž</w:t>
      </w:r>
      <w:r w:rsidRPr="0035027D">
        <w:t>e oblas</w:t>
      </w:r>
      <w:r w:rsidRPr="0035027D">
        <w:rPr>
          <w:rFonts w:cs="Times New Roman"/>
        </w:rPr>
        <w:t>ť</w:t>
      </w:r>
      <w:r w:rsidRPr="0035027D">
        <w:t xml:space="preserve"> vedy, výskumu a inovácií organiza</w:t>
      </w:r>
      <w:r w:rsidRPr="0035027D">
        <w:rPr>
          <w:rFonts w:cs="Times New Roman"/>
        </w:rPr>
        <w:t>č</w:t>
      </w:r>
      <w:r w:rsidRPr="0035027D">
        <w:t>ne spadá pod viacero rezortov, z h</w:t>
      </w:r>
      <w:r w:rsidRPr="0035027D">
        <w:rPr>
          <w:rFonts w:cs="Times New Roman"/>
        </w:rPr>
        <w:t>ľ</w:t>
      </w:r>
      <w:r w:rsidRPr="0035027D">
        <w:t>adiska efektívneho vyu</w:t>
      </w:r>
      <w:r w:rsidRPr="0035027D">
        <w:rPr>
          <w:rFonts w:cs="Times New Roman"/>
        </w:rPr>
        <w:t>ž</w:t>
      </w:r>
      <w:r w:rsidRPr="0035027D">
        <w:t>ívania prostriedkov je nevyhnutné, aby existovala koordinácia agendy a politík na nadrezortnej úrovni. V nastávajúcom období bude túto úlohu plni</w:t>
      </w:r>
      <w:r w:rsidRPr="0035027D">
        <w:rPr>
          <w:rFonts w:cs="Times New Roman"/>
        </w:rPr>
        <w:t>ť</w:t>
      </w:r>
      <w:r w:rsidRPr="0035027D">
        <w:t xml:space="preserve"> Rada vlády SR pre vedu, techniku a inovácie. Okrem toho funguje exekutívna medzirezortná skupina, ktorá koordinuje a aktívne napomáha kvalitnej implementácii jednotlivých stratégií na ka</w:t>
      </w:r>
      <w:r w:rsidRPr="0035027D">
        <w:rPr>
          <w:rFonts w:cs="Times New Roman"/>
        </w:rPr>
        <w:t>ž</w:t>
      </w:r>
      <w:r w:rsidRPr="0035027D">
        <w:t>dodennej, operatívnej úrovni.</w:t>
      </w:r>
    </w:p>
    <w:p w:rsidR="00445325" w:rsidRPr="0035027D" w:rsidRDefault="00445325" w:rsidP="00445325">
      <w:pPr>
        <w:spacing w:after="0"/>
      </w:pPr>
    </w:p>
    <w:p w:rsidR="00445325" w:rsidRPr="0035027D" w:rsidRDefault="00445325" w:rsidP="00445325">
      <w:pPr>
        <w:spacing w:after="0"/>
      </w:pPr>
      <w:r w:rsidRPr="0035027D">
        <w:t>Novelizáciou zákona o stimuloch pre výskum a vývoj a zákona o organizácii štátnej podpory výskumu a vývoja prejde grantový a podporný systém komplexnou zmenou, ktorá vytvorí nástroje na systematickú podporu ka</w:t>
      </w:r>
      <w:r w:rsidRPr="0035027D">
        <w:rPr>
          <w:rFonts w:cs="Times New Roman"/>
        </w:rPr>
        <w:t>ž</w:t>
      </w:r>
      <w:r w:rsidRPr="0035027D">
        <w:t>dej fázy vedeckého bádania (základný výskum, aplikovaný výskum, experimentálny vývoj v rámci univerzít aj firiem). Vytvoria sa jasné, predvídate</w:t>
      </w:r>
      <w:r w:rsidRPr="0035027D">
        <w:rPr>
          <w:rFonts w:cs="Times New Roman"/>
        </w:rPr>
        <w:t>ľ</w:t>
      </w:r>
      <w:r w:rsidRPr="0035027D">
        <w:t>né a rovnoprávne podmienky financovania aplikovaného výskumu a vývoja vo verejných organizáciách, vrátane SAV, aj súkromných firmách. Model financovania verejných výskumných inštitúcií sa prehodnotí s dôrazom na zvýšenie motivácie týchto organizácií zlepšova</w:t>
      </w:r>
      <w:r w:rsidRPr="0035027D">
        <w:rPr>
          <w:rFonts w:cs="Times New Roman"/>
        </w:rPr>
        <w:t>ť</w:t>
      </w:r>
      <w:r w:rsidRPr="0035027D">
        <w:t xml:space="preserve"> spoluprácu so súkromným sektorom</w:t>
      </w:r>
      <w:r w:rsidR="0071412F" w:rsidRPr="0035027D">
        <w:t>, neziskovými organizáciami</w:t>
      </w:r>
      <w:r w:rsidRPr="0035027D">
        <w:t xml:space="preserve"> a pritiahnu</w:t>
      </w:r>
      <w:r w:rsidRPr="0035027D">
        <w:rPr>
          <w:rFonts w:cs="Times New Roman"/>
        </w:rPr>
        <w:t>ť</w:t>
      </w:r>
      <w:r w:rsidRPr="0035027D">
        <w:t xml:space="preserve"> najkvalitnejších výskumníkov. Nový systém zabezpe</w:t>
      </w:r>
      <w:r w:rsidRPr="0035027D">
        <w:rPr>
          <w:rFonts w:cs="Times New Roman"/>
        </w:rPr>
        <w:t>č</w:t>
      </w:r>
      <w:r w:rsidRPr="0035027D">
        <w:t>í koncentráciu prostriedkov do náro</w:t>
      </w:r>
      <w:r w:rsidRPr="0035027D">
        <w:rPr>
          <w:rFonts w:cs="Times New Roman"/>
        </w:rPr>
        <w:t>č</w:t>
      </w:r>
      <w:r w:rsidRPr="0035027D">
        <w:t>ných kvalitných projektov a povinné zapojenie kvalitných zahrani</w:t>
      </w:r>
      <w:r w:rsidRPr="0035027D">
        <w:rPr>
          <w:rFonts w:cs="Times New Roman"/>
        </w:rPr>
        <w:t>č</w:t>
      </w:r>
      <w:r w:rsidRPr="0035027D">
        <w:t>ných hodnotite</w:t>
      </w:r>
      <w:r w:rsidRPr="0035027D">
        <w:rPr>
          <w:rFonts w:cs="Times New Roman"/>
        </w:rPr>
        <w:t>ľ</w:t>
      </w:r>
      <w:r w:rsidRPr="0035027D">
        <w:t xml:space="preserve">ov do rozhodovania o nich. </w:t>
      </w:r>
    </w:p>
    <w:p w:rsidR="00445325" w:rsidRPr="0035027D" w:rsidRDefault="00445325" w:rsidP="00445325">
      <w:pPr>
        <w:spacing w:after="0"/>
      </w:pPr>
    </w:p>
    <w:p w:rsidR="00445325" w:rsidRPr="0035027D" w:rsidRDefault="00445325" w:rsidP="00445325">
      <w:pPr>
        <w:spacing w:after="0"/>
      </w:pPr>
      <w:r w:rsidRPr="0035027D">
        <w:t>Efektívne vyu</w:t>
      </w:r>
      <w:r w:rsidRPr="0035027D">
        <w:rPr>
          <w:rFonts w:cs="Times New Roman"/>
        </w:rPr>
        <w:t>ž</w:t>
      </w:r>
      <w:r w:rsidRPr="0035027D">
        <w:t>ívanie Štrukturálnych fondov EÚ na financovanie vedy, výskumu a inovácií nie je mo</w:t>
      </w:r>
      <w:r w:rsidRPr="0035027D">
        <w:rPr>
          <w:rFonts w:cs="Times New Roman"/>
        </w:rPr>
        <w:t>ž</w:t>
      </w:r>
      <w:r w:rsidRPr="0035027D">
        <w:t>né bez výrazného zní</w:t>
      </w:r>
      <w:r w:rsidRPr="0035027D">
        <w:rPr>
          <w:rFonts w:cs="Times New Roman"/>
        </w:rPr>
        <w:t>ž</w:t>
      </w:r>
      <w:r w:rsidRPr="0035027D">
        <w:t>enia administratívnej zá</w:t>
      </w:r>
      <w:r w:rsidRPr="0035027D">
        <w:rPr>
          <w:rFonts w:cs="Times New Roman"/>
        </w:rPr>
        <w:t>ť</w:t>
      </w:r>
      <w:r w:rsidRPr="0035027D">
        <w:t>a</w:t>
      </w:r>
      <w:r w:rsidRPr="0035027D">
        <w:rPr>
          <w:rFonts w:cs="Times New Roman"/>
        </w:rPr>
        <w:t>ž</w:t>
      </w:r>
      <w:r w:rsidRPr="0035027D">
        <w:t xml:space="preserve">e ich </w:t>
      </w:r>
      <w:r w:rsidRPr="0035027D">
        <w:rPr>
          <w:rFonts w:cs="Times New Roman"/>
        </w:rPr>
        <w:t>č</w:t>
      </w:r>
      <w:r w:rsidRPr="0035027D">
        <w:t>erpania. Proces e</w:t>
      </w:r>
      <w:r w:rsidR="003B0CE0" w:rsidRPr="0035027D">
        <w:t>valuácie sú</w:t>
      </w:r>
      <w:r w:rsidR="003B0CE0" w:rsidRPr="0035027D">
        <w:rPr>
          <w:rFonts w:cs="Times New Roman"/>
        </w:rPr>
        <w:t>č</w:t>
      </w:r>
      <w:r w:rsidR="003B0CE0" w:rsidRPr="0035027D">
        <w:t>asného programové</w:t>
      </w:r>
      <w:r w:rsidRPr="0035027D">
        <w:t xml:space="preserve">ho obdobia a príprava </w:t>
      </w:r>
      <w:r w:rsidRPr="0035027D">
        <w:rPr>
          <w:rFonts w:cs="Times New Roman"/>
        </w:rPr>
        <w:t>ď</w:t>
      </w:r>
      <w:r w:rsidRPr="0035027D">
        <w:t>alšieho sa prehodnotí tak, aby administrácia štrukturálnych fondov nebola neprimeranou zá</w:t>
      </w:r>
      <w:r w:rsidRPr="0035027D">
        <w:rPr>
          <w:rFonts w:cs="Times New Roman"/>
        </w:rPr>
        <w:t>ť</w:t>
      </w:r>
      <w:r w:rsidRPr="0035027D">
        <w:t>a</w:t>
      </w:r>
      <w:r w:rsidRPr="0035027D">
        <w:rPr>
          <w:rFonts w:cs="Times New Roman"/>
        </w:rPr>
        <w:t>ž</w:t>
      </w:r>
      <w:r w:rsidRPr="0035027D">
        <w:t xml:space="preserve">ou pre vedecké tímy </w:t>
      </w:r>
      <w:r w:rsidRPr="0035027D">
        <w:rPr>
          <w:rFonts w:cs="Times New Roman"/>
        </w:rPr>
        <w:t>č</w:t>
      </w:r>
      <w:r w:rsidRPr="0035027D">
        <w:t xml:space="preserve">erpajúce európsku podporu. </w:t>
      </w:r>
    </w:p>
    <w:p w:rsidR="00445325" w:rsidRPr="0035027D" w:rsidRDefault="00445325" w:rsidP="00445325">
      <w:pPr>
        <w:spacing w:after="0"/>
      </w:pPr>
    </w:p>
    <w:p w:rsidR="00445325" w:rsidRPr="0035027D" w:rsidRDefault="00445325" w:rsidP="00445325">
      <w:pPr>
        <w:spacing w:after="0"/>
      </w:pPr>
      <w:r w:rsidRPr="0035027D">
        <w:t>Pre rast konkurencieschopnosti Slovenska je nevyhnutné, aby efektívne fungoval prenos vedomostí a vedeckých objavov z verejných inštitúcií (</w:t>
      </w:r>
      <w:r w:rsidR="00157D9F" w:rsidRPr="0035027D">
        <w:t xml:space="preserve">verejné výskumné organizácie, </w:t>
      </w:r>
      <w:r w:rsidRPr="0035027D">
        <w:t>univerzity a SAV) do súkromného sektora. Vláda preto zabezpe</w:t>
      </w:r>
      <w:r w:rsidRPr="0035027D">
        <w:rPr>
          <w:rFonts w:cs="Times New Roman"/>
        </w:rPr>
        <w:t>č</w:t>
      </w:r>
      <w:r w:rsidRPr="0035027D">
        <w:t>í stabilné systémové prostredie na podporu transferu vedomostí do praxe. Vytvoria sa pracoviská, ktoré administratívne zabezpe</w:t>
      </w:r>
      <w:r w:rsidRPr="0035027D">
        <w:rPr>
          <w:rFonts w:cs="Times New Roman"/>
        </w:rPr>
        <w:t>č</w:t>
      </w:r>
      <w:r w:rsidRPr="0035027D">
        <w:t>ia kontakt vedecko-výskumných inštitúcií s firmami a výmenu informácií. V </w:t>
      </w:r>
      <w:proofErr w:type="spellStart"/>
      <w:r w:rsidRPr="0035027D">
        <w:t>stredno</w:t>
      </w:r>
      <w:proofErr w:type="spellEnd"/>
      <w:r w:rsidRPr="0035027D">
        <w:t>- a</w:t>
      </w:r>
      <w:r w:rsidRPr="0035027D">
        <w:rPr>
          <w:rFonts w:cs="Times New Roman"/>
        </w:rPr>
        <w:t>ž</w:t>
      </w:r>
      <w:r w:rsidRPr="0035027D">
        <w:t xml:space="preserve"> dlhodobom horizonte vláda podporí fyzické a virtuálne (tematické aj regionálne) sústredenie vedeckých a výskumných inštitúcií. </w:t>
      </w:r>
      <w:r w:rsidRPr="0035027D">
        <w:rPr>
          <w:rFonts w:cs="Times New Roman"/>
        </w:rPr>
        <w:t>Univerzitné vedecké parky združia výskumné pracoviská najlepších slovenských univerzít</w:t>
      </w:r>
      <w:r w:rsidR="007813DA" w:rsidRPr="0035027D">
        <w:rPr>
          <w:rFonts w:cs="Times New Roman"/>
        </w:rPr>
        <w:t>,</w:t>
      </w:r>
      <w:r w:rsidRPr="0035027D">
        <w:rPr>
          <w:rFonts w:cs="Times New Roman"/>
        </w:rPr>
        <w:t xml:space="preserve"> resp. SAV, v ktorých sa realizuje špičkový aplikovaný výskum a výskum v konkrétnych </w:t>
      </w:r>
      <w:r w:rsidRPr="0035027D">
        <w:rPr>
          <w:rFonts w:cs="Times New Roman"/>
        </w:rPr>
        <w:lastRenderedPageBreak/>
        <w:t xml:space="preserve">vybraných témach. Podporia vzájomnú interakciu medzi pracoviskami univerzity, resp. SAV navzájom a s ustálenými aj novými inovatívnymi firmami. Uľahčí sa tak prenos poznatkov z akademickej sféry do hospodárskej a spoločenskej praxe prostredníctvom transferu technológií (licencie, </w:t>
      </w:r>
      <w:proofErr w:type="spellStart"/>
      <w:r w:rsidRPr="0035027D">
        <w:rPr>
          <w:rFonts w:cs="Times New Roman"/>
        </w:rPr>
        <w:t>spin-off</w:t>
      </w:r>
      <w:proofErr w:type="spellEnd"/>
      <w:r w:rsidRPr="0035027D">
        <w:rPr>
          <w:rFonts w:cs="Times New Roman"/>
        </w:rPr>
        <w:t>, alebo iné formy spracovan</w:t>
      </w:r>
      <w:r w:rsidR="00363872" w:rsidRPr="0035027D">
        <w:rPr>
          <w:rFonts w:cs="Times New Roman"/>
        </w:rPr>
        <w:t>ia poznatkov). Akademické centrá</w:t>
      </w:r>
      <w:r w:rsidRPr="0035027D">
        <w:rPr>
          <w:rFonts w:cs="Times New Roman"/>
        </w:rPr>
        <w:t xml:space="preserve"> naopak koncentrujú vedu a základný výskum. Združia špičkové výskumné tímy, ktoré v centrách okrem jednoduchšej výmeny poznatkov s domácimi a zahraničnými výskumníkmi získajú prístup k prístrojovému vybaveniu, ktoré by pri väčšej </w:t>
      </w:r>
      <w:proofErr w:type="spellStart"/>
      <w:r w:rsidRPr="0035027D">
        <w:rPr>
          <w:rFonts w:cs="Times New Roman"/>
        </w:rPr>
        <w:t>disagregácii</w:t>
      </w:r>
      <w:proofErr w:type="spellEnd"/>
      <w:r w:rsidRPr="0035027D">
        <w:rPr>
          <w:rFonts w:cs="Times New Roman"/>
        </w:rPr>
        <w:t xml:space="preserve"> nebolo možné zabezpečiť.</w:t>
      </w:r>
    </w:p>
    <w:p w:rsidR="00445325" w:rsidRPr="0035027D" w:rsidRDefault="00445325" w:rsidP="00445325">
      <w:pPr>
        <w:spacing w:after="0"/>
      </w:pPr>
    </w:p>
    <w:p w:rsidR="00445325" w:rsidRPr="0035027D" w:rsidRDefault="00445325" w:rsidP="00445325">
      <w:pPr>
        <w:spacing w:after="0"/>
      </w:pPr>
      <w:r w:rsidRPr="0035027D">
        <w:t>Okrem inštitucionálneho zabezpe</w:t>
      </w:r>
      <w:r w:rsidRPr="0035027D">
        <w:rPr>
          <w:rFonts w:cs="Times New Roman"/>
        </w:rPr>
        <w:t>č</w:t>
      </w:r>
      <w:r w:rsidRPr="0035027D">
        <w:t>enia bude potrebné vytvori</w:t>
      </w:r>
      <w:r w:rsidRPr="0035027D">
        <w:rPr>
          <w:rFonts w:cs="Times New Roman"/>
        </w:rPr>
        <w:t>ť</w:t>
      </w:r>
      <w:r w:rsidRPr="0035027D">
        <w:t xml:space="preserve"> legislatívne podmienky, ktoré umo</w:t>
      </w:r>
      <w:r w:rsidRPr="0035027D">
        <w:rPr>
          <w:rFonts w:cs="Times New Roman"/>
        </w:rPr>
        <w:t>ž</w:t>
      </w:r>
      <w:r w:rsidRPr="0035027D">
        <w:t>nia lepšiu finan</w:t>
      </w:r>
      <w:r w:rsidRPr="0035027D">
        <w:rPr>
          <w:rFonts w:cs="Times New Roman"/>
        </w:rPr>
        <w:t>č</w:t>
      </w:r>
      <w:r w:rsidRPr="0035027D">
        <w:t>nú, organiza</w:t>
      </w:r>
      <w:r w:rsidRPr="0035027D">
        <w:rPr>
          <w:rFonts w:cs="Times New Roman"/>
        </w:rPr>
        <w:t>č</w:t>
      </w:r>
      <w:r w:rsidRPr="0035027D">
        <w:t xml:space="preserve">nú aj </w:t>
      </w:r>
      <w:r w:rsidRPr="0035027D">
        <w:rPr>
          <w:rFonts w:cs="Times New Roman"/>
        </w:rPr>
        <w:t>ľ</w:t>
      </w:r>
      <w:r w:rsidRPr="0035027D">
        <w:t xml:space="preserve">udsko-kapitálovú spoluprácu súkromného sektora a verejných výskumných organizácií cez partnerstvá, </w:t>
      </w:r>
      <w:proofErr w:type="spellStart"/>
      <w:r w:rsidRPr="0035027D">
        <w:t>joint</w:t>
      </w:r>
      <w:proofErr w:type="spellEnd"/>
      <w:r w:rsidRPr="0035027D">
        <w:t xml:space="preserve"> </w:t>
      </w:r>
      <w:proofErr w:type="spellStart"/>
      <w:r w:rsidRPr="0035027D">
        <w:t>ventures</w:t>
      </w:r>
      <w:proofErr w:type="spellEnd"/>
      <w:r w:rsidRPr="0035027D">
        <w:t xml:space="preserve"> a dlhodobé kontrakty. Prehodnotia sa pravidlá a postupy ochrany duševného vlastníctva s dôrazom na ich efektivitu a predvídate</w:t>
      </w:r>
      <w:r w:rsidRPr="0035027D">
        <w:rPr>
          <w:rFonts w:cs="Times New Roman"/>
        </w:rPr>
        <w:t>ľ</w:t>
      </w:r>
      <w:r w:rsidRPr="0035027D">
        <w:t>nos</w:t>
      </w:r>
      <w:r w:rsidRPr="0035027D">
        <w:rPr>
          <w:rFonts w:cs="Times New Roman"/>
        </w:rPr>
        <w:t>ť</w:t>
      </w:r>
      <w:r w:rsidRPr="0035027D">
        <w:t>. Legislatíva sa upraví tak, aby zjednodušila a jednozna</w:t>
      </w:r>
      <w:r w:rsidRPr="0035027D">
        <w:rPr>
          <w:rFonts w:cs="Times New Roman"/>
        </w:rPr>
        <w:t>č</w:t>
      </w:r>
      <w:r w:rsidRPr="0035027D">
        <w:t>ne upravila ochranu duševného vlastníctva v prostredí akademických inštitúcií a verejných inštitúcií výskumu a vývoja. Predovšetkým by sa takýmto organizáciám malo umo</w:t>
      </w:r>
      <w:r w:rsidRPr="0035027D">
        <w:rPr>
          <w:rFonts w:cs="Times New Roman"/>
        </w:rPr>
        <w:t>ž</w:t>
      </w:r>
      <w:r w:rsidRPr="0035027D">
        <w:t>ni</w:t>
      </w:r>
      <w:r w:rsidRPr="0035027D">
        <w:rPr>
          <w:rFonts w:cs="Times New Roman"/>
        </w:rPr>
        <w:t>ť</w:t>
      </w:r>
      <w:r w:rsidRPr="0035027D">
        <w:t xml:space="preserve"> vlastni</w:t>
      </w:r>
      <w:r w:rsidRPr="0035027D">
        <w:rPr>
          <w:rFonts w:cs="Times New Roman"/>
        </w:rPr>
        <w:t>ť</w:t>
      </w:r>
      <w:r w:rsidRPr="0035027D">
        <w:t xml:space="preserve"> a </w:t>
      </w:r>
      <w:proofErr w:type="spellStart"/>
      <w:r w:rsidRPr="0035027D">
        <w:t>licencova</w:t>
      </w:r>
      <w:r w:rsidRPr="0035027D">
        <w:rPr>
          <w:rFonts w:cs="Times New Roman"/>
        </w:rPr>
        <w:t>ť</w:t>
      </w:r>
      <w:proofErr w:type="spellEnd"/>
      <w:r w:rsidRPr="0035027D">
        <w:t xml:space="preserve"> patenty a ú</w:t>
      </w:r>
      <w:r w:rsidRPr="0035027D">
        <w:rPr>
          <w:rFonts w:cs="Times New Roman"/>
        </w:rPr>
        <w:t>ž</w:t>
      </w:r>
      <w:r w:rsidRPr="0035027D">
        <w:t>itkové vzory, vklada</w:t>
      </w:r>
      <w:r w:rsidRPr="0035027D">
        <w:rPr>
          <w:rFonts w:cs="Times New Roman"/>
        </w:rPr>
        <w:t>ť</w:t>
      </w:r>
      <w:r w:rsidRPr="0035027D">
        <w:t xml:space="preserve"> ich do samostatných právnych subjektov, v ktorých majú majetkovú ú</w:t>
      </w:r>
      <w:r w:rsidRPr="0035027D">
        <w:rPr>
          <w:rFonts w:cs="Times New Roman"/>
        </w:rPr>
        <w:t>č</w:t>
      </w:r>
      <w:r w:rsidRPr="0035027D">
        <w:t>as</w:t>
      </w:r>
      <w:r w:rsidRPr="0035027D">
        <w:rPr>
          <w:rFonts w:cs="Times New Roman"/>
        </w:rPr>
        <w:t>ť</w:t>
      </w:r>
      <w:r w:rsidRPr="0035027D">
        <w:t>, a neobmedzene z nich tvori</w:t>
      </w:r>
      <w:r w:rsidRPr="0035027D">
        <w:rPr>
          <w:rFonts w:cs="Times New Roman"/>
        </w:rPr>
        <w:t>ť</w:t>
      </w:r>
      <w:r w:rsidRPr="0035027D">
        <w:t xml:space="preserve"> zisk.</w:t>
      </w:r>
      <w:r w:rsidR="003A2A4B" w:rsidRPr="0035027D">
        <w:t xml:space="preserve"> Akademické inštitúcie zárove</w:t>
      </w:r>
      <w:r w:rsidR="003A2A4B" w:rsidRPr="0035027D">
        <w:rPr>
          <w:rFonts w:cs="Times New Roman"/>
        </w:rPr>
        <w:t>ň</w:t>
      </w:r>
      <w:r w:rsidR="003A2A4B" w:rsidRPr="0035027D">
        <w:t xml:space="preserve"> zvá</w:t>
      </w:r>
      <w:r w:rsidR="003A2A4B" w:rsidRPr="0035027D">
        <w:rPr>
          <w:rFonts w:cs="Times New Roman"/>
        </w:rPr>
        <w:t>ž</w:t>
      </w:r>
      <w:r w:rsidR="003A2A4B" w:rsidRPr="0035027D">
        <w:t>ia vytvorenie interných predpisov o vyu</w:t>
      </w:r>
      <w:r w:rsidR="003A2A4B" w:rsidRPr="0035027D">
        <w:rPr>
          <w:rFonts w:cs="Times New Roman"/>
        </w:rPr>
        <w:t>ž</w:t>
      </w:r>
      <w:r w:rsidR="003A2A4B" w:rsidRPr="0035027D">
        <w:t>ívaní duševného vlastníctva a zaškolenie svojich pracovníkov pre ich optimálne vyu</w:t>
      </w:r>
      <w:r w:rsidR="003A2A4B" w:rsidRPr="0035027D">
        <w:rPr>
          <w:rFonts w:cs="Times New Roman"/>
        </w:rPr>
        <w:t>ž</w:t>
      </w:r>
      <w:r w:rsidR="003A2A4B" w:rsidRPr="0035027D">
        <w:t>itie.</w:t>
      </w:r>
    </w:p>
    <w:p w:rsidR="00670CA5" w:rsidRDefault="00670CA5" w:rsidP="00445325">
      <w:pPr>
        <w:spacing w:after="0"/>
      </w:pPr>
    </w:p>
    <w:p w:rsidR="001F77AA" w:rsidRPr="0035027D" w:rsidRDefault="001F77AA" w:rsidP="00445325">
      <w:pPr>
        <w:spacing w:after="0"/>
      </w:pPr>
    </w:p>
    <w:p w:rsidR="00445325" w:rsidRPr="0035027D" w:rsidRDefault="00445325" w:rsidP="00445325">
      <w:pPr>
        <w:pStyle w:val="Nadpis4"/>
      </w:pPr>
      <w:bookmarkStart w:id="51" w:name="_Toc350524502"/>
      <w:bookmarkStart w:id="52" w:name="_Toc353563380"/>
      <w:r w:rsidRPr="0035027D">
        <w:t>Ďalšie vzdelávanie</w:t>
      </w:r>
      <w:bookmarkEnd w:id="51"/>
      <w:bookmarkEnd w:id="52"/>
    </w:p>
    <w:p w:rsidR="00445325" w:rsidRPr="0035027D" w:rsidRDefault="00445325" w:rsidP="00445325">
      <w:pPr>
        <w:spacing w:after="0"/>
      </w:pPr>
    </w:p>
    <w:p w:rsidR="0088758A" w:rsidRPr="0035027D" w:rsidRDefault="0088758A" w:rsidP="0088758A">
      <w:pPr>
        <w:spacing w:after="0"/>
      </w:pPr>
      <w:r w:rsidRPr="0035027D">
        <w:t xml:space="preserve">Kvôli rýchlym zmenám na trhu práce sa na jednotlivca </w:t>
      </w:r>
      <w:r w:rsidRPr="0035027D">
        <w:rPr>
          <w:rFonts w:cs="Times New Roman"/>
        </w:rPr>
        <w:t>č</w:t>
      </w:r>
      <w:r w:rsidRPr="0035027D">
        <w:t>asto kladú po</w:t>
      </w:r>
      <w:r w:rsidRPr="0035027D">
        <w:rPr>
          <w:rFonts w:cs="Times New Roman"/>
        </w:rPr>
        <w:t>ž</w:t>
      </w:r>
      <w:r w:rsidRPr="0035027D">
        <w:t xml:space="preserve">iadavky na prehlbovanie vzdelania </w:t>
      </w:r>
      <w:r w:rsidRPr="0035027D">
        <w:rPr>
          <w:rFonts w:cs="Times New Roman"/>
        </w:rPr>
        <w:t>č</w:t>
      </w:r>
      <w:r w:rsidRPr="0035027D">
        <w:t>i zru</w:t>
      </w:r>
      <w:r w:rsidRPr="0035027D">
        <w:rPr>
          <w:rFonts w:cs="Times New Roman"/>
        </w:rPr>
        <w:t>č</w:t>
      </w:r>
      <w:r w:rsidRPr="0035027D">
        <w:t>ností. Cie</w:t>
      </w:r>
      <w:r w:rsidRPr="0035027D">
        <w:rPr>
          <w:rFonts w:cs="Times New Roman"/>
        </w:rPr>
        <w:t>ľ</w:t>
      </w:r>
      <w:r w:rsidRPr="0035027D">
        <w:t>om je vytvorenie fungujúceho systému celo</w:t>
      </w:r>
      <w:r w:rsidRPr="0035027D">
        <w:rPr>
          <w:rFonts w:cs="Times New Roman"/>
        </w:rPr>
        <w:t>ž</w:t>
      </w:r>
      <w:r w:rsidRPr="0035027D">
        <w:t>ivotného vzdelávania a poradenstva. Je dôle</w:t>
      </w:r>
      <w:r w:rsidRPr="0035027D">
        <w:rPr>
          <w:rFonts w:cs="Times New Roman"/>
        </w:rPr>
        <w:t>ž</w:t>
      </w:r>
      <w:r w:rsidRPr="0035027D">
        <w:t>ité najmä definova</w:t>
      </w:r>
      <w:r w:rsidRPr="0035027D">
        <w:rPr>
          <w:rFonts w:cs="Times New Roman"/>
        </w:rPr>
        <w:t>ť</w:t>
      </w:r>
      <w:r w:rsidRPr="0035027D">
        <w:t xml:space="preserve"> po</w:t>
      </w:r>
      <w:r w:rsidRPr="0035027D">
        <w:rPr>
          <w:rFonts w:cs="Times New Roman"/>
        </w:rPr>
        <w:t>ž</w:t>
      </w:r>
      <w:r w:rsidRPr="0035027D">
        <w:t>iadavky na vzdelávacie programy, lektorov a mana</w:t>
      </w:r>
      <w:r w:rsidRPr="0035027D">
        <w:rPr>
          <w:rFonts w:cs="Times New Roman"/>
        </w:rPr>
        <w:t>ž</w:t>
      </w:r>
      <w:r w:rsidRPr="0035027D">
        <w:t>érov a na samotné inštitúcie. Sú</w:t>
      </w:r>
      <w:r w:rsidRPr="0035027D">
        <w:rPr>
          <w:rFonts w:cs="Times New Roman"/>
        </w:rPr>
        <w:t>č</w:t>
      </w:r>
      <w:r w:rsidRPr="0035027D">
        <w:t>asne je potrebné informova</w:t>
      </w:r>
      <w:r w:rsidRPr="0035027D">
        <w:rPr>
          <w:rFonts w:cs="Times New Roman"/>
        </w:rPr>
        <w:t>ť</w:t>
      </w:r>
      <w:r w:rsidRPr="0035027D">
        <w:t xml:space="preserve"> o ponuke vzdelávacích programov a ich výstupov, prípadne zabezpe</w:t>
      </w:r>
      <w:r w:rsidRPr="0035027D">
        <w:rPr>
          <w:rFonts w:cs="Times New Roman"/>
        </w:rPr>
        <w:t>č</w:t>
      </w:r>
      <w:r w:rsidRPr="0035027D">
        <w:t>i</w:t>
      </w:r>
      <w:r w:rsidRPr="0035027D">
        <w:rPr>
          <w:rFonts w:cs="Times New Roman"/>
        </w:rPr>
        <w:t>ť</w:t>
      </w:r>
      <w:r w:rsidRPr="0035027D">
        <w:t xml:space="preserve"> poradenstvo. Významným zdrojom informácií pre zvyšovanie súladu medzi vzdelávaním a trhom práce prinesú historicky prvé a medzinárodne porovnate</w:t>
      </w:r>
      <w:r w:rsidRPr="0035027D">
        <w:rPr>
          <w:rFonts w:cs="Times New Roman"/>
        </w:rPr>
        <w:t>ľ</w:t>
      </w:r>
      <w:r w:rsidRPr="0035027D">
        <w:t>né výsledky prieskumu kompetencií dospelých ob</w:t>
      </w:r>
      <w:r w:rsidRPr="0035027D">
        <w:rPr>
          <w:rFonts w:cs="Times New Roman"/>
        </w:rPr>
        <w:t>č</w:t>
      </w:r>
      <w:r w:rsidRPr="0035027D">
        <w:t>anov PIAAC</w:t>
      </w:r>
      <w:r w:rsidRPr="0035027D">
        <w:rPr>
          <w:vertAlign w:val="superscript"/>
        </w:rPr>
        <w:footnoteReference w:id="3"/>
      </w:r>
      <w:r w:rsidRPr="0035027D">
        <w:t>.</w:t>
      </w:r>
    </w:p>
    <w:p w:rsidR="0088758A" w:rsidRPr="0035027D" w:rsidRDefault="0088758A" w:rsidP="0088758A">
      <w:pPr>
        <w:spacing w:after="0"/>
      </w:pPr>
    </w:p>
    <w:p w:rsidR="0088758A" w:rsidRPr="0035027D" w:rsidRDefault="0088758A" w:rsidP="0088758A">
      <w:pPr>
        <w:spacing w:after="0"/>
      </w:pPr>
      <w:r w:rsidRPr="0035027D">
        <w:t>Za</w:t>
      </w:r>
      <w:r w:rsidRPr="0035027D">
        <w:rPr>
          <w:rFonts w:cs="Times New Roman"/>
        </w:rPr>
        <w:t>č</w:t>
      </w:r>
      <w:r w:rsidRPr="0035027D">
        <w:t>ala sa realizácia národného projektu, ktorý plánuje zabezpe</w:t>
      </w:r>
      <w:r w:rsidRPr="0035027D">
        <w:rPr>
          <w:rFonts w:cs="Times New Roman"/>
        </w:rPr>
        <w:t>č</w:t>
      </w:r>
      <w:r w:rsidRPr="0035027D">
        <w:t>i</w:t>
      </w:r>
      <w:r w:rsidRPr="0035027D">
        <w:rPr>
          <w:rFonts w:cs="Times New Roman"/>
        </w:rPr>
        <w:t>ť</w:t>
      </w:r>
      <w:r w:rsidRPr="0035027D">
        <w:t xml:space="preserve"> kvalitu vzdelávacích programov </w:t>
      </w:r>
      <w:r w:rsidRPr="0035027D">
        <w:rPr>
          <w:rFonts w:cs="Times New Roman"/>
        </w:rPr>
        <w:t>ď</w:t>
      </w:r>
      <w:r w:rsidRPr="0035027D">
        <w:t>alšieho vzdelávania (cie</w:t>
      </w:r>
      <w:r w:rsidRPr="0035027D">
        <w:rPr>
          <w:rFonts w:cs="Times New Roman"/>
        </w:rPr>
        <w:t>ľ</w:t>
      </w:r>
      <w:r w:rsidRPr="0035027D">
        <w:t>, obsah, forma, metódy vzdelávacích programov), kvalitu vzdelávacích inštitúcií (personálne, materiálno – technické a priestorové zabezpe</w:t>
      </w:r>
      <w:r w:rsidRPr="0035027D">
        <w:rPr>
          <w:rFonts w:cs="Times New Roman"/>
        </w:rPr>
        <w:t>č</w:t>
      </w:r>
      <w:r w:rsidRPr="0035027D">
        <w:t>enie a pod.), vytvori</w:t>
      </w:r>
      <w:r w:rsidRPr="0035027D">
        <w:rPr>
          <w:rFonts w:cs="Times New Roman"/>
        </w:rPr>
        <w:t>ť</w:t>
      </w:r>
      <w:r w:rsidRPr="0035027D">
        <w:t xml:space="preserve"> sie</w:t>
      </w:r>
      <w:r w:rsidRPr="0035027D">
        <w:rPr>
          <w:rFonts w:cs="Times New Roman"/>
        </w:rPr>
        <w:t>ť</w:t>
      </w:r>
      <w:r w:rsidRPr="0035027D">
        <w:t xml:space="preserve"> poradenských inštitúcií a najmä zabezpe</w:t>
      </w:r>
      <w:r w:rsidRPr="0035027D">
        <w:rPr>
          <w:rFonts w:cs="Times New Roman"/>
        </w:rPr>
        <w:t>č</w:t>
      </w:r>
      <w:r w:rsidRPr="0035027D">
        <w:t>i</w:t>
      </w:r>
      <w:r w:rsidRPr="0035027D">
        <w:rPr>
          <w:rFonts w:cs="Times New Roman"/>
        </w:rPr>
        <w:t>ť</w:t>
      </w:r>
      <w:r w:rsidRPr="0035027D">
        <w:t xml:space="preserve"> ú</w:t>
      </w:r>
      <w:r w:rsidRPr="0035027D">
        <w:rPr>
          <w:rFonts w:cs="Times New Roman"/>
        </w:rPr>
        <w:t>č</w:t>
      </w:r>
      <w:r w:rsidRPr="0035027D">
        <w:t>as</w:t>
      </w:r>
      <w:r w:rsidRPr="0035027D">
        <w:rPr>
          <w:rFonts w:cs="Times New Roman"/>
        </w:rPr>
        <w:t>ť</w:t>
      </w:r>
      <w:r w:rsidRPr="0035027D">
        <w:t xml:space="preserve"> zamestnávate</w:t>
      </w:r>
      <w:r w:rsidRPr="0035027D">
        <w:rPr>
          <w:rFonts w:cs="Times New Roman"/>
        </w:rPr>
        <w:t>ľ</w:t>
      </w:r>
      <w:r w:rsidRPr="0035027D">
        <w:t xml:space="preserve">ov na </w:t>
      </w:r>
      <w:r w:rsidRPr="0035027D">
        <w:rPr>
          <w:rFonts w:cs="Times New Roman"/>
        </w:rPr>
        <w:t>ď</w:t>
      </w:r>
      <w:r w:rsidRPr="0035027D">
        <w:t>alšom vzdelávaní a poradenstve pre dospelých. Bude sa tie</w:t>
      </w:r>
      <w:r w:rsidRPr="0035027D">
        <w:rPr>
          <w:rFonts w:cs="Times New Roman"/>
        </w:rPr>
        <w:t>ž</w:t>
      </w:r>
      <w:r w:rsidRPr="0035027D">
        <w:t xml:space="preserve"> pokra</w:t>
      </w:r>
      <w:r w:rsidRPr="0035027D">
        <w:rPr>
          <w:rFonts w:cs="Times New Roman"/>
        </w:rPr>
        <w:t>č</w:t>
      </w:r>
      <w:r w:rsidRPr="0035027D">
        <w:t>ova</w:t>
      </w:r>
      <w:r w:rsidRPr="0035027D">
        <w:rPr>
          <w:rFonts w:cs="Times New Roman"/>
        </w:rPr>
        <w:t>ť</w:t>
      </w:r>
      <w:r w:rsidRPr="0035027D">
        <w:t xml:space="preserve"> v legislatívnych úpravách uznávania výsledkov neformálneho vzdelávania tak, aby sa u</w:t>
      </w:r>
      <w:r w:rsidRPr="0035027D">
        <w:rPr>
          <w:rFonts w:cs="Times New Roman"/>
        </w:rPr>
        <w:t>ľ</w:t>
      </w:r>
      <w:r w:rsidRPr="0035027D">
        <w:t>ah</w:t>
      </w:r>
      <w:r w:rsidRPr="0035027D">
        <w:rPr>
          <w:rFonts w:cs="Times New Roman"/>
        </w:rPr>
        <w:t>č</w:t>
      </w:r>
      <w:r w:rsidRPr="0035027D">
        <w:t xml:space="preserve">il prístup dospelých k nadobudnutiu novej kvalifikácie na základe predošlej praxe alebo absolvovania vzdelávacích programov </w:t>
      </w:r>
      <w:r w:rsidRPr="0035027D">
        <w:rPr>
          <w:rFonts w:cs="Times New Roman"/>
        </w:rPr>
        <w:t>ď</w:t>
      </w:r>
      <w:r w:rsidRPr="0035027D">
        <w:t>alšieho vzdelávania.</w:t>
      </w:r>
    </w:p>
    <w:p w:rsidR="00CB20BB" w:rsidRPr="0035027D" w:rsidRDefault="00CB20BB" w:rsidP="00794D1F">
      <w:pPr>
        <w:spacing w:after="0"/>
      </w:pPr>
    </w:p>
    <w:p w:rsidR="00794D1F" w:rsidRPr="0035027D" w:rsidRDefault="00794D1F" w:rsidP="00794D1F">
      <w:pPr>
        <w:spacing w:after="0"/>
      </w:pPr>
    </w:p>
    <w:p w:rsidR="00E044FE" w:rsidRPr="0035027D" w:rsidRDefault="00E044FE" w:rsidP="00E044FE">
      <w:pPr>
        <w:pStyle w:val="Nadpis4"/>
      </w:pPr>
      <w:bookmarkStart w:id="53" w:name="_Toc353563381"/>
      <w:r w:rsidRPr="0035027D">
        <w:t>Inovácie</w:t>
      </w:r>
      <w:bookmarkEnd w:id="53"/>
    </w:p>
    <w:p w:rsidR="00E044FE" w:rsidRPr="0035027D" w:rsidRDefault="00E044FE" w:rsidP="00E044FE">
      <w:pPr>
        <w:spacing w:after="0"/>
      </w:pPr>
    </w:p>
    <w:p w:rsidR="00E044FE" w:rsidRPr="0035027D" w:rsidRDefault="003A2A4B" w:rsidP="00E044FE">
      <w:pPr>
        <w:tabs>
          <w:tab w:val="left" w:pos="426"/>
        </w:tabs>
        <w:spacing w:after="0"/>
        <w:rPr>
          <w:bCs/>
          <w:color w:val="000000"/>
        </w:rPr>
      </w:pPr>
      <w:r w:rsidRPr="0035027D">
        <w:t>Hlavným cie</w:t>
      </w:r>
      <w:r w:rsidRPr="0035027D">
        <w:rPr>
          <w:rFonts w:cs="Times New Roman"/>
        </w:rPr>
        <w:t>ľ</w:t>
      </w:r>
      <w:r w:rsidRPr="0035027D">
        <w:t>om inova</w:t>
      </w:r>
      <w:r w:rsidRPr="0035027D">
        <w:rPr>
          <w:rFonts w:cs="Times New Roman"/>
        </w:rPr>
        <w:t>č</w:t>
      </w:r>
      <w:r w:rsidRPr="0035027D">
        <w:t>ných aktivít je zvyšovanie konkurencieschopnosti výrobkov, výrobných a logistických postupov alebo slu</w:t>
      </w:r>
      <w:r w:rsidRPr="0035027D">
        <w:rPr>
          <w:rFonts w:cs="Times New Roman"/>
        </w:rPr>
        <w:t>ž</w:t>
      </w:r>
      <w:r w:rsidRPr="0035027D">
        <w:t>ieb zavádzaním nových poznatkov s vyu</w:t>
      </w:r>
      <w:r w:rsidRPr="0035027D">
        <w:rPr>
          <w:rFonts w:cs="Times New Roman"/>
        </w:rPr>
        <w:t>ž</w:t>
      </w:r>
      <w:r w:rsidRPr="0035027D">
        <w:t>itím výsledkov domáceho alebo medzinárodného výskumu. Proces inovácie je komplexný a </w:t>
      </w:r>
      <w:r w:rsidRPr="0035027D">
        <w:rPr>
          <w:rFonts w:cs="Times New Roman"/>
        </w:rPr>
        <w:t>č</w:t>
      </w:r>
      <w:r w:rsidRPr="0035027D">
        <w:t>iasto</w:t>
      </w:r>
      <w:r w:rsidRPr="0035027D">
        <w:rPr>
          <w:rFonts w:cs="Times New Roman"/>
        </w:rPr>
        <w:t>č</w:t>
      </w:r>
      <w:r w:rsidRPr="0035027D">
        <w:t>ne alebo úplne zah</w:t>
      </w:r>
      <w:r w:rsidRPr="0035027D">
        <w:rPr>
          <w:rFonts w:cs="Times New Roman"/>
        </w:rPr>
        <w:t>ŕň</w:t>
      </w:r>
      <w:r w:rsidRPr="0035027D">
        <w:t xml:space="preserve">a mnoho </w:t>
      </w:r>
      <w:r w:rsidRPr="0035027D">
        <w:rPr>
          <w:rFonts w:cs="Times New Roman"/>
        </w:rPr>
        <w:t>č</w:t>
      </w:r>
      <w:r w:rsidRPr="0035027D">
        <w:t>inností od výskumu a vývoja produktov a procesov, cez vznik nových firiem, a</w:t>
      </w:r>
      <w:r w:rsidRPr="0035027D">
        <w:rPr>
          <w:rFonts w:cs="Times New Roman"/>
        </w:rPr>
        <w:t>ž</w:t>
      </w:r>
      <w:r w:rsidRPr="0035027D">
        <w:t xml:space="preserve"> po rozvoj existujúceho podnikania. </w:t>
      </w:r>
      <w:r w:rsidRPr="0035027D">
        <w:rPr>
          <w:bCs/>
          <w:color w:val="000000"/>
        </w:rPr>
        <w:t>Vláda preto pripraví Stratégiu inteligentnej špecializácie (S3) SR na roky 2014 – 2020, ktorá na základe analýzy stavu a potrieb hospodárstva ur</w:t>
      </w:r>
      <w:r w:rsidRPr="0035027D">
        <w:rPr>
          <w:rFonts w:cs="Times New Roman"/>
          <w:bCs/>
          <w:color w:val="000000"/>
        </w:rPr>
        <w:t>č</w:t>
      </w:r>
      <w:r w:rsidRPr="0035027D">
        <w:rPr>
          <w:bCs/>
          <w:color w:val="000000"/>
        </w:rPr>
        <w:t>í priority pre rozvoj vedy, výskumu a vývoja na Slovensku a vytvorí sadu navzájom sa dop</w:t>
      </w:r>
      <w:r w:rsidRPr="0035027D">
        <w:rPr>
          <w:rFonts w:cs="Times New Roman"/>
          <w:bCs/>
          <w:color w:val="000000"/>
        </w:rPr>
        <w:t>ĺň</w:t>
      </w:r>
      <w:r w:rsidRPr="0035027D">
        <w:rPr>
          <w:bCs/>
          <w:color w:val="000000"/>
        </w:rPr>
        <w:t>ajúcich opatrení na podporu R&amp;D, inovácií a inova</w:t>
      </w:r>
      <w:r w:rsidRPr="0035027D">
        <w:rPr>
          <w:rFonts w:cs="Times New Roman"/>
          <w:bCs/>
          <w:color w:val="000000"/>
        </w:rPr>
        <w:t>č</w:t>
      </w:r>
      <w:r w:rsidRPr="0035027D">
        <w:rPr>
          <w:bCs/>
          <w:color w:val="000000"/>
        </w:rPr>
        <w:t>ného procesu. Stratégia  bude zárove</w:t>
      </w:r>
      <w:r w:rsidRPr="0035027D">
        <w:rPr>
          <w:rFonts w:cs="Times New Roman"/>
          <w:bCs/>
          <w:color w:val="000000"/>
        </w:rPr>
        <w:t>ň</w:t>
      </w:r>
      <w:r w:rsidRPr="0035027D">
        <w:rPr>
          <w:bCs/>
          <w:color w:val="000000"/>
        </w:rPr>
        <w:t xml:space="preserve"> východiskovým dokumentom v tejto oblasti pre prípravu opera</w:t>
      </w:r>
      <w:r w:rsidRPr="0035027D">
        <w:rPr>
          <w:rFonts w:cs="Times New Roman"/>
          <w:bCs/>
          <w:color w:val="000000"/>
        </w:rPr>
        <w:t>č</w:t>
      </w:r>
      <w:r w:rsidRPr="0035027D">
        <w:rPr>
          <w:bCs/>
          <w:color w:val="000000"/>
        </w:rPr>
        <w:t>ných programov štrukturálnych fondov EÚ na roky 2014 a</w:t>
      </w:r>
      <w:r w:rsidRPr="0035027D">
        <w:rPr>
          <w:rFonts w:cs="Times New Roman"/>
          <w:bCs/>
          <w:color w:val="000000"/>
        </w:rPr>
        <w:t>ž</w:t>
      </w:r>
      <w:r w:rsidRPr="0035027D">
        <w:rPr>
          <w:bCs/>
          <w:color w:val="000000"/>
        </w:rPr>
        <w:t xml:space="preserve"> 2020. </w:t>
      </w:r>
      <w:r w:rsidR="00E044FE" w:rsidRPr="0035027D">
        <w:rPr>
          <w:bCs/>
          <w:color w:val="000000"/>
        </w:rPr>
        <w:t xml:space="preserve"> </w:t>
      </w:r>
    </w:p>
    <w:p w:rsidR="00E044FE" w:rsidRPr="0035027D" w:rsidRDefault="00E044FE" w:rsidP="00E044FE">
      <w:pPr>
        <w:tabs>
          <w:tab w:val="left" w:pos="426"/>
        </w:tabs>
        <w:spacing w:after="0"/>
        <w:rPr>
          <w:bCs/>
          <w:color w:val="000000"/>
        </w:rPr>
      </w:pPr>
    </w:p>
    <w:p w:rsidR="006C7ADB" w:rsidRPr="0035027D" w:rsidRDefault="006C7ADB" w:rsidP="006C7ADB">
      <w:pPr>
        <w:spacing w:after="0"/>
      </w:pPr>
      <w:r w:rsidRPr="0035027D">
        <w:t>Na základe stratégie sa tie</w:t>
      </w:r>
      <w:r w:rsidRPr="0035027D">
        <w:rPr>
          <w:rFonts w:cs="Times New Roman"/>
        </w:rPr>
        <w:t>ž</w:t>
      </w:r>
      <w:r w:rsidRPr="0035027D">
        <w:t xml:space="preserve"> zlepší prostredie pre vznik a rozvoj inovatívnych podnikov. Zabezpe</w:t>
      </w:r>
      <w:r w:rsidRPr="0035027D">
        <w:rPr>
          <w:rFonts w:cs="Times New Roman"/>
        </w:rPr>
        <w:t>č</w:t>
      </w:r>
      <w:r w:rsidRPr="0035027D">
        <w:t>í sa kvalitná administratívna a technická podpora podnikania, exportu a transferu technológií z verejných inštitúcií vedy a výskumu v podnikate</w:t>
      </w:r>
      <w:r w:rsidRPr="0035027D">
        <w:rPr>
          <w:rFonts w:cs="Times New Roman"/>
        </w:rPr>
        <w:t>ľ</w:t>
      </w:r>
      <w:r w:rsidRPr="0035027D">
        <w:t>ských inkubátoroch.</w:t>
      </w:r>
      <w:r w:rsidRPr="0035027D">
        <w:rPr>
          <w:color w:val="1F497D"/>
        </w:rPr>
        <w:t xml:space="preserve"> </w:t>
      </w:r>
      <w:r w:rsidRPr="0035027D">
        <w:t xml:space="preserve">Vzniknú pri univerzitných vedeckých parkoch, vybraných verejných </w:t>
      </w:r>
      <w:r w:rsidRPr="0035027D">
        <w:lastRenderedPageBreak/>
        <w:t>inštitúciách vedy a výskumu a pri </w:t>
      </w:r>
      <w:proofErr w:type="spellStart"/>
      <w:r w:rsidRPr="0035027D">
        <w:t>klastroch</w:t>
      </w:r>
      <w:proofErr w:type="spellEnd"/>
      <w:r w:rsidRPr="0035027D">
        <w:t xml:space="preserve"> firiem. Inkubátory budú pod</w:t>
      </w:r>
      <w:r w:rsidRPr="0035027D">
        <w:rPr>
          <w:rFonts w:cs="Times New Roman"/>
        </w:rPr>
        <w:t>ľ</w:t>
      </w:r>
      <w:r w:rsidRPr="0035027D">
        <w:t>a mo</w:t>
      </w:r>
      <w:r w:rsidRPr="0035027D">
        <w:rPr>
          <w:rFonts w:cs="Times New Roman"/>
        </w:rPr>
        <w:t>ž</w:t>
      </w:r>
      <w:r w:rsidRPr="0035027D">
        <w:t>ností zapojené do medzinárodných sietí. MH SR v spolupráci so SIEA vypracovalo Schému podpory klastrových organizácií. Podporí sa vznik a fungovanie inovatívnych klastrov pomocou finan</w:t>
      </w:r>
      <w:r w:rsidRPr="0035027D">
        <w:rPr>
          <w:rFonts w:cs="Times New Roman"/>
        </w:rPr>
        <w:t>č</w:t>
      </w:r>
      <w:r w:rsidRPr="0035027D">
        <w:t>ných a nefinan</w:t>
      </w:r>
      <w:r w:rsidRPr="0035027D">
        <w:rPr>
          <w:rFonts w:cs="Times New Roman"/>
        </w:rPr>
        <w:t>č</w:t>
      </w:r>
      <w:r w:rsidRPr="0035027D">
        <w:t>ných nástrojov, ktoré budú podporova</w:t>
      </w:r>
      <w:r w:rsidRPr="0035027D">
        <w:rPr>
          <w:rFonts w:cs="Times New Roman"/>
        </w:rPr>
        <w:t>ť</w:t>
      </w:r>
      <w:r w:rsidRPr="0035027D">
        <w:t xml:space="preserve"> zlepšovanie sie</w:t>
      </w:r>
      <w:r w:rsidRPr="0035027D">
        <w:rPr>
          <w:rFonts w:cs="Times New Roman"/>
        </w:rPr>
        <w:t>ť</w:t>
      </w:r>
      <w:r w:rsidRPr="0035027D">
        <w:t xml:space="preserve">ovania, zapájania sa do medzinárodných projektov a zvyšovanie konkurencieschopnosti </w:t>
      </w:r>
      <w:r w:rsidRPr="0035027D">
        <w:rPr>
          <w:rFonts w:cs="Times New Roman"/>
        </w:rPr>
        <w:t>č</w:t>
      </w:r>
      <w:r w:rsidRPr="0035027D">
        <w:t>lenov klastrovej organizácie. Cez medzinárodne úspešný a v mnohých krajinách implementovaný programom podpory malých firiem (v USA nazývaného program SBIR) sa umo</w:t>
      </w:r>
      <w:r w:rsidRPr="0035027D">
        <w:rPr>
          <w:rFonts w:cs="Times New Roman"/>
        </w:rPr>
        <w:t>ž</w:t>
      </w:r>
      <w:r w:rsidRPr="0035027D">
        <w:t>ní experimentálny vývoj a realizácia inovatívnych riešení. Tento program poskytne za</w:t>
      </w:r>
      <w:r w:rsidRPr="0035027D">
        <w:rPr>
          <w:rFonts w:cs="Times New Roman"/>
        </w:rPr>
        <w:t>č</w:t>
      </w:r>
      <w:r w:rsidRPr="0035027D">
        <w:t>ínajúcim podnikom granty pre vypracovanie štúdie uskuto</w:t>
      </w:r>
      <w:r w:rsidRPr="0035027D">
        <w:rPr>
          <w:rFonts w:cs="Times New Roman"/>
        </w:rPr>
        <w:t>č</w:t>
      </w:r>
      <w:r w:rsidRPr="0035027D">
        <w:t>nite</w:t>
      </w:r>
      <w:r w:rsidRPr="0035027D">
        <w:rPr>
          <w:rFonts w:cs="Times New Roman"/>
        </w:rPr>
        <w:t>ľ</w:t>
      </w:r>
      <w:r w:rsidRPr="0035027D">
        <w:t>nosti („</w:t>
      </w:r>
      <w:proofErr w:type="spellStart"/>
      <w:r w:rsidRPr="0035027D">
        <w:t>proof</w:t>
      </w:r>
      <w:proofErr w:type="spellEnd"/>
      <w:r w:rsidRPr="0035027D">
        <w:t xml:space="preserve"> </w:t>
      </w:r>
      <w:proofErr w:type="spellStart"/>
      <w:r w:rsidRPr="0035027D">
        <w:t>of</w:t>
      </w:r>
      <w:proofErr w:type="spellEnd"/>
      <w:r w:rsidRPr="0035027D">
        <w:t xml:space="preserve"> </w:t>
      </w:r>
      <w:proofErr w:type="spellStart"/>
      <w:r w:rsidRPr="0035027D">
        <w:t>concept</w:t>
      </w:r>
      <w:proofErr w:type="spellEnd"/>
      <w:r w:rsidRPr="0035027D">
        <w:t>“) a </w:t>
      </w:r>
      <w:proofErr w:type="spellStart"/>
      <w:r w:rsidRPr="0035027D">
        <w:t>nízkoúro</w:t>
      </w:r>
      <w:r w:rsidRPr="0035027D">
        <w:rPr>
          <w:rFonts w:cs="Times New Roman"/>
        </w:rPr>
        <w:t>č</w:t>
      </w:r>
      <w:r w:rsidRPr="0035027D">
        <w:t>ené</w:t>
      </w:r>
      <w:proofErr w:type="spellEnd"/>
      <w:r w:rsidRPr="0035027D">
        <w:t xml:space="preserve"> finan</w:t>
      </w:r>
      <w:r w:rsidRPr="0035027D">
        <w:rPr>
          <w:rFonts w:cs="Times New Roman"/>
        </w:rPr>
        <w:t>č</w:t>
      </w:r>
      <w:r w:rsidRPr="0035027D">
        <w:t xml:space="preserve">né prostriedky na vývoj prototypu. </w:t>
      </w:r>
    </w:p>
    <w:p w:rsidR="00E044FE" w:rsidRPr="0035027D" w:rsidRDefault="00E044FE" w:rsidP="00E044FE">
      <w:pPr>
        <w:spacing w:after="0"/>
      </w:pPr>
    </w:p>
    <w:p w:rsidR="00E044FE" w:rsidRPr="0035027D" w:rsidRDefault="00335C58" w:rsidP="00E044FE">
      <w:pPr>
        <w:spacing w:after="0"/>
      </w:pPr>
      <w:r w:rsidRPr="0035027D">
        <w:t>Vláda pripravila v spolupráci s Európskym investi</w:t>
      </w:r>
      <w:r w:rsidRPr="0035027D">
        <w:rPr>
          <w:rFonts w:cs="Times New Roman"/>
        </w:rPr>
        <w:t>č</w:t>
      </w:r>
      <w:r w:rsidRPr="0035027D">
        <w:t>ným fondom holdingový fond JEREMIE. Hlavným cie</w:t>
      </w:r>
      <w:r w:rsidRPr="0035027D">
        <w:rPr>
          <w:rFonts w:cs="Times New Roman"/>
        </w:rPr>
        <w:t>ľ</w:t>
      </w:r>
      <w:r w:rsidRPr="0035027D">
        <w:t>om iniciatívy je poskytnutie rizikového kapitálu inovatívnym malým a stredným podnikom (MSP) s dobrým podnikate</w:t>
      </w:r>
      <w:r w:rsidRPr="0035027D">
        <w:rPr>
          <w:rFonts w:cs="Times New Roman"/>
        </w:rPr>
        <w:t>ľ</w:t>
      </w:r>
      <w:r w:rsidRPr="0035027D">
        <w:t>ským plánom a inova</w:t>
      </w:r>
      <w:r w:rsidRPr="0035027D">
        <w:rPr>
          <w:rFonts w:cs="Times New Roman"/>
        </w:rPr>
        <w:t>č</w:t>
      </w:r>
      <w:r w:rsidRPr="0035027D">
        <w:t>nou myšlienkou s komer</w:t>
      </w:r>
      <w:r w:rsidRPr="0035027D">
        <w:rPr>
          <w:rFonts w:cs="Times New Roman"/>
        </w:rPr>
        <w:t>č</w:t>
      </w:r>
      <w:r w:rsidRPr="0035027D">
        <w:t>ným potenciálom. Implementácia JEREMIE v SR zah</w:t>
      </w:r>
      <w:r w:rsidRPr="0035027D">
        <w:rPr>
          <w:rFonts w:cs="Times New Roman"/>
        </w:rPr>
        <w:t>ŕň</w:t>
      </w:r>
      <w:r w:rsidRPr="0035027D">
        <w:t>a dlhové nástroje (bankové záruky a úvery) a kapitálové nástroje (rizikový kapitál). Celkový kapitál fondu v objeme 100 mil. eur bude pou</w:t>
      </w:r>
      <w:r w:rsidRPr="0035027D">
        <w:rPr>
          <w:rFonts w:cs="Times New Roman"/>
        </w:rPr>
        <w:t>ž</w:t>
      </w:r>
      <w:r w:rsidRPr="0035027D">
        <w:t>itý prostredníctvom vybraných finan</w:t>
      </w:r>
      <w:r w:rsidRPr="0035027D">
        <w:rPr>
          <w:rFonts w:cs="Times New Roman"/>
        </w:rPr>
        <w:t>č</w:t>
      </w:r>
      <w:r w:rsidRPr="0035027D">
        <w:t>ných sprostredkovate</w:t>
      </w:r>
      <w:r w:rsidRPr="0035027D">
        <w:rPr>
          <w:rFonts w:cs="Times New Roman"/>
        </w:rPr>
        <w:t>ľ</w:t>
      </w:r>
      <w:r w:rsidRPr="0035027D">
        <w:t>ov (komer</w:t>
      </w:r>
      <w:r w:rsidRPr="0035027D">
        <w:rPr>
          <w:rFonts w:cs="Times New Roman"/>
        </w:rPr>
        <w:t>č</w:t>
      </w:r>
      <w:r w:rsidRPr="0035027D">
        <w:t>né banky, mana</w:t>
      </w:r>
      <w:r w:rsidRPr="0035027D">
        <w:rPr>
          <w:rFonts w:cs="Times New Roman"/>
        </w:rPr>
        <w:t>ž</w:t>
      </w:r>
      <w:r w:rsidRPr="0035027D">
        <w:t>éri fondov rizikového kapitálu). Nástroje rizikového kapitálu sa primárne zameriavajú na podporu aplikovaného výskumu a vývoja a prenosu technologických poznatkov do praxe. MH SR plánuje navýši</w:t>
      </w:r>
      <w:r w:rsidRPr="0035027D">
        <w:rPr>
          <w:rFonts w:cs="Times New Roman"/>
        </w:rPr>
        <w:t>ť</w:t>
      </w:r>
      <w:r w:rsidRPr="0035027D">
        <w:t xml:space="preserve"> príspevok OP </w:t>
      </w:r>
      <w:proofErr w:type="spellStart"/>
      <w:r w:rsidRPr="0035027D">
        <w:t>KaHR</w:t>
      </w:r>
      <w:proofErr w:type="spellEnd"/>
      <w:r w:rsidRPr="0035027D">
        <w:t xml:space="preserve"> v iniciatíve J</w:t>
      </w:r>
      <w:r w:rsidR="00BC763E" w:rsidRPr="0035027D">
        <w:t>EREMIE o dodato</w:t>
      </w:r>
      <w:r w:rsidR="00BC763E" w:rsidRPr="0035027D">
        <w:rPr>
          <w:rFonts w:cs="Times New Roman"/>
        </w:rPr>
        <w:t>č</w:t>
      </w:r>
      <w:r w:rsidR="00BC763E" w:rsidRPr="0035027D">
        <w:t>ných 25 mil. eur</w:t>
      </w:r>
      <w:r w:rsidRPr="0035027D">
        <w:t>.</w:t>
      </w:r>
    </w:p>
    <w:p w:rsidR="00E044FE" w:rsidRPr="0035027D" w:rsidRDefault="00E044FE" w:rsidP="00E044FE">
      <w:pPr>
        <w:spacing w:after="0"/>
        <w:rPr>
          <w:color w:val="1F497D"/>
        </w:rPr>
      </w:pPr>
    </w:p>
    <w:p w:rsidR="00E044FE" w:rsidRPr="0035027D" w:rsidRDefault="00E044FE" w:rsidP="00E044FE">
      <w:pPr>
        <w:tabs>
          <w:tab w:val="left" w:pos="426"/>
        </w:tabs>
        <w:spacing w:after="0"/>
        <w:rPr>
          <w:szCs w:val="28"/>
        </w:rPr>
      </w:pPr>
      <w:r w:rsidRPr="0035027D">
        <w:rPr>
          <w:szCs w:val="28"/>
        </w:rPr>
        <w:t>Aby sa zvýšil sklon podnikov inovova</w:t>
      </w:r>
      <w:r w:rsidRPr="0035027D">
        <w:rPr>
          <w:rFonts w:cs="Times New Roman"/>
          <w:szCs w:val="28"/>
        </w:rPr>
        <w:t>ť</w:t>
      </w:r>
      <w:r w:rsidRPr="0035027D">
        <w:rPr>
          <w:szCs w:val="28"/>
        </w:rPr>
        <w:t>, je dôle</w:t>
      </w:r>
      <w:r w:rsidRPr="0035027D">
        <w:rPr>
          <w:rFonts w:cs="Times New Roman"/>
          <w:szCs w:val="28"/>
        </w:rPr>
        <w:t>ž</w:t>
      </w:r>
      <w:r w:rsidRPr="0035027D">
        <w:rPr>
          <w:szCs w:val="28"/>
        </w:rPr>
        <w:t>ité zapoji</w:t>
      </w:r>
      <w:r w:rsidRPr="0035027D">
        <w:rPr>
          <w:rFonts w:cs="Times New Roman"/>
          <w:szCs w:val="28"/>
        </w:rPr>
        <w:t>ť</w:t>
      </w:r>
      <w:r w:rsidRPr="0035027D">
        <w:rPr>
          <w:szCs w:val="28"/>
        </w:rPr>
        <w:t xml:space="preserve"> firmy vo vä</w:t>
      </w:r>
      <w:r w:rsidRPr="0035027D">
        <w:rPr>
          <w:rFonts w:cs="Times New Roman"/>
          <w:szCs w:val="28"/>
        </w:rPr>
        <w:t>č</w:t>
      </w:r>
      <w:r w:rsidRPr="0035027D">
        <w:rPr>
          <w:szCs w:val="28"/>
        </w:rPr>
        <w:t>šej miere do výskumu a vývoja. Vláda preto implementuje schému inova</w:t>
      </w:r>
      <w:r w:rsidRPr="0035027D">
        <w:rPr>
          <w:rFonts w:cs="Times New Roman"/>
          <w:szCs w:val="28"/>
        </w:rPr>
        <w:t>č</w:t>
      </w:r>
      <w:r w:rsidRPr="0035027D">
        <w:rPr>
          <w:szCs w:val="28"/>
        </w:rPr>
        <w:t xml:space="preserve">ných </w:t>
      </w:r>
      <w:proofErr w:type="spellStart"/>
      <w:r w:rsidRPr="0035027D">
        <w:rPr>
          <w:szCs w:val="28"/>
        </w:rPr>
        <w:t>voucherov</w:t>
      </w:r>
      <w:proofErr w:type="spellEnd"/>
      <w:r w:rsidRPr="0035027D">
        <w:rPr>
          <w:szCs w:val="28"/>
        </w:rPr>
        <w:t>, ktoré budú môc</w:t>
      </w:r>
      <w:r w:rsidRPr="0035027D">
        <w:rPr>
          <w:rFonts w:cs="Times New Roman"/>
          <w:szCs w:val="28"/>
        </w:rPr>
        <w:t>ť</w:t>
      </w:r>
      <w:r w:rsidRPr="0035027D">
        <w:rPr>
          <w:szCs w:val="28"/>
        </w:rPr>
        <w:t xml:space="preserve"> malé a stredné podniky vymeni</w:t>
      </w:r>
      <w:r w:rsidRPr="0035027D">
        <w:rPr>
          <w:rFonts w:cs="Times New Roman"/>
          <w:szCs w:val="28"/>
        </w:rPr>
        <w:t>ť</w:t>
      </w:r>
      <w:r w:rsidRPr="0035027D">
        <w:rPr>
          <w:szCs w:val="28"/>
        </w:rPr>
        <w:t xml:space="preserve"> za ur</w:t>
      </w:r>
      <w:r w:rsidRPr="0035027D">
        <w:rPr>
          <w:rFonts w:cs="Times New Roman"/>
          <w:szCs w:val="28"/>
        </w:rPr>
        <w:t>č</w:t>
      </w:r>
      <w:r w:rsidRPr="0035027D">
        <w:rPr>
          <w:szCs w:val="28"/>
        </w:rPr>
        <w:t>ité mno</w:t>
      </w:r>
      <w:r w:rsidRPr="0035027D">
        <w:rPr>
          <w:rFonts w:cs="Times New Roman"/>
          <w:szCs w:val="28"/>
        </w:rPr>
        <w:t>ž</w:t>
      </w:r>
      <w:r w:rsidRPr="0035027D">
        <w:rPr>
          <w:szCs w:val="28"/>
        </w:rPr>
        <w:t>stvo výskumných a vývojových aktivít v štátnych výskumných inštitúciách. Nástroj bude firmy motivova</w:t>
      </w:r>
      <w:r w:rsidRPr="0035027D">
        <w:rPr>
          <w:rFonts w:cs="Times New Roman"/>
          <w:szCs w:val="28"/>
        </w:rPr>
        <w:t>ť</w:t>
      </w:r>
      <w:r w:rsidRPr="0035027D">
        <w:rPr>
          <w:szCs w:val="28"/>
        </w:rPr>
        <w:t xml:space="preserve"> nadviaza</w:t>
      </w:r>
      <w:r w:rsidRPr="0035027D">
        <w:rPr>
          <w:rFonts w:cs="Times New Roman"/>
          <w:szCs w:val="28"/>
        </w:rPr>
        <w:t>ť</w:t>
      </w:r>
      <w:r w:rsidRPr="0035027D">
        <w:rPr>
          <w:szCs w:val="28"/>
        </w:rPr>
        <w:t xml:space="preserve"> prvotný kontakt so štátnymi vedecko-výskumnými organizáciami a zhodnoti</w:t>
      </w:r>
      <w:r w:rsidRPr="0035027D">
        <w:rPr>
          <w:rFonts w:cs="Times New Roman"/>
          <w:szCs w:val="28"/>
        </w:rPr>
        <w:t>ť</w:t>
      </w:r>
      <w:r w:rsidRPr="0035027D">
        <w:rPr>
          <w:szCs w:val="28"/>
        </w:rPr>
        <w:t xml:space="preserve"> inova</w:t>
      </w:r>
      <w:r w:rsidRPr="0035027D">
        <w:rPr>
          <w:rFonts w:cs="Times New Roman"/>
          <w:szCs w:val="28"/>
        </w:rPr>
        <w:t>č</w:t>
      </w:r>
      <w:r w:rsidRPr="0035027D">
        <w:rPr>
          <w:szCs w:val="28"/>
        </w:rPr>
        <w:t>né mo</w:t>
      </w:r>
      <w:r w:rsidRPr="0035027D">
        <w:rPr>
          <w:rFonts w:cs="Times New Roman"/>
          <w:szCs w:val="28"/>
        </w:rPr>
        <w:t>ž</w:t>
      </w:r>
      <w:r w:rsidRPr="0035027D">
        <w:rPr>
          <w:szCs w:val="28"/>
        </w:rPr>
        <w:t xml:space="preserve">nosti vlastného podnikania. V rámci reformy financovania výskumu a vývoja sa vytvoria podmienky pre rovnocenné zapojenie súkromného sektora ako </w:t>
      </w:r>
      <w:r w:rsidRPr="0035027D">
        <w:rPr>
          <w:rFonts w:cs="Times New Roman"/>
          <w:szCs w:val="28"/>
        </w:rPr>
        <w:t>ž</w:t>
      </w:r>
      <w:r w:rsidRPr="0035027D">
        <w:rPr>
          <w:szCs w:val="28"/>
        </w:rPr>
        <w:t>iadate</w:t>
      </w:r>
      <w:r w:rsidRPr="0035027D">
        <w:rPr>
          <w:rFonts w:cs="Times New Roman"/>
          <w:szCs w:val="28"/>
        </w:rPr>
        <w:t>ľ</w:t>
      </w:r>
      <w:r w:rsidRPr="0035027D">
        <w:rPr>
          <w:szCs w:val="28"/>
        </w:rPr>
        <w:t>a do schém podpory projektov výskumu a vývoja.</w:t>
      </w:r>
    </w:p>
    <w:p w:rsidR="00E044FE" w:rsidRPr="0035027D" w:rsidRDefault="00E044FE" w:rsidP="00E044FE">
      <w:pPr>
        <w:tabs>
          <w:tab w:val="left" w:pos="426"/>
        </w:tabs>
        <w:spacing w:after="0"/>
        <w:rPr>
          <w:szCs w:val="28"/>
        </w:rPr>
      </w:pPr>
    </w:p>
    <w:p w:rsidR="00E044FE" w:rsidRPr="0035027D" w:rsidRDefault="00E044FE" w:rsidP="00E044FE">
      <w:pPr>
        <w:tabs>
          <w:tab w:val="left" w:pos="426"/>
        </w:tabs>
        <w:rPr>
          <w:szCs w:val="28"/>
        </w:rPr>
      </w:pPr>
      <w:r w:rsidRPr="0035027D">
        <w:rPr>
          <w:szCs w:val="28"/>
        </w:rPr>
        <w:t>Vláda podporí rozvoj technicky zameranej pracovnej sily, ktorá je nevyhnutná pre rast inovatívnych a high-tech podnikov. Vzh</w:t>
      </w:r>
      <w:r w:rsidRPr="0035027D">
        <w:rPr>
          <w:rFonts w:cs="Times New Roman"/>
          <w:szCs w:val="28"/>
        </w:rPr>
        <w:t>ľ</w:t>
      </w:r>
      <w:r w:rsidRPr="0035027D">
        <w:rPr>
          <w:szCs w:val="28"/>
        </w:rPr>
        <w:t xml:space="preserve">adom na to, </w:t>
      </w:r>
      <w:r w:rsidRPr="0035027D">
        <w:rPr>
          <w:rFonts w:cs="Times New Roman"/>
          <w:szCs w:val="28"/>
        </w:rPr>
        <w:t>ž</w:t>
      </w:r>
      <w:r w:rsidRPr="0035027D">
        <w:rPr>
          <w:szCs w:val="28"/>
        </w:rPr>
        <w:t>e na Slovensku je relatívne ve</w:t>
      </w:r>
      <w:r w:rsidRPr="0035027D">
        <w:rPr>
          <w:rFonts w:cs="Times New Roman"/>
          <w:szCs w:val="28"/>
        </w:rPr>
        <w:t>ľ</w:t>
      </w:r>
      <w:r w:rsidRPr="0035027D">
        <w:rPr>
          <w:szCs w:val="28"/>
        </w:rPr>
        <w:t>a absolventov technických odborov vysokých škôl, aktivity sa zamerajú predovšetkým na zvýšenie kvality týchto odborov a adekvátne technické vybavenie.</w:t>
      </w:r>
    </w:p>
    <w:p w:rsidR="001D137B" w:rsidRPr="0035027D" w:rsidRDefault="001D137B" w:rsidP="00E044FE">
      <w:pPr>
        <w:tabs>
          <w:tab w:val="left" w:pos="426"/>
        </w:tabs>
        <w:rPr>
          <w:b/>
          <w:szCs w:val="28"/>
        </w:rPr>
      </w:pPr>
    </w:p>
    <w:p w:rsidR="00C50AAE" w:rsidRPr="0035027D" w:rsidRDefault="004C7C8F" w:rsidP="00EC7DAA">
      <w:pPr>
        <w:pStyle w:val="Nadpis3"/>
        <w:ind w:left="0" w:firstLine="0"/>
      </w:pPr>
      <w:bookmarkStart w:id="54" w:name="_Toc353563382"/>
      <w:r w:rsidRPr="0035027D">
        <w:t>Zamestnanosť a sociálna inklúzia</w:t>
      </w:r>
      <w:bookmarkEnd w:id="54"/>
    </w:p>
    <w:p w:rsidR="00A33E5E" w:rsidRPr="0035027D" w:rsidRDefault="00A33E5E" w:rsidP="00771403">
      <w:pPr>
        <w:pStyle w:val="Odsekzoznamu"/>
        <w:tabs>
          <w:tab w:val="left" w:pos="426"/>
        </w:tabs>
        <w:spacing w:after="0"/>
        <w:ind w:left="0"/>
        <w:rPr>
          <w:rFonts w:ascii="Arial Narrow" w:hAnsi="Arial Narrow"/>
          <w:b/>
          <w:sz w:val="24"/>
          <w:szCs w:val="28"/>
        </w:rPr>
      </w:pPr>
    </w:p>
    <w:tbl>
      <w:tblPr>
        <w:tblW w:w="9115" w:type="dxa"/>
        <w:jc w:val="center"/>
        <w:tblInd w:w="55" w:type="dxa"/>
        <w:tblCellMar>
          <w:left w:w="70" w:type="dxa"/>
          <w:right w:w="70" w:type="dxa"/>
        </w:tblCellMar>
        <w:tblLook w:val="04A0" w:firstRow="1" w:lastRow="0" w:firstColumn="1" w:lastColumn="0" w:noHBand="0" w:noVBand="1"/>
      </w:tblPr>
      <w:tblGrid>
        <w:gridCol w:w="3532"/>
        <w:gridCol w:w="368"/>
        <w:gridCol w:w="505"/>
        <w:gridCol w:w="505"/>
        <w:gridCol w:w="505"/>
        <w:gridCol w:w="505"/>
        <w:gridCol w:w="505"/>
        <w:gridCol w:w="505"/>
        <w:gridCol w:w="505"/>
        <w:gridCol w:w="505"/>
        <w:gridCol w:w="569"/>
        <w:gridCol w:w="606"/>
      </w:tblGrid>
      <w:tr w:rsidR="00252E85" w:rsidRPr="0035027D" w:rsidTr="00E044FE">
        <w:trPr>
          <w:trHeight w:val="300"/>
          <w:jc w:val="center"/>
        </w:trPr>
        <w:tc>
          <w:tcPr>
            <w:tcW w:w="9115" w:type="dxa"/>
            <w:gridSpan w:val="12"/>
            <w:tcBorders>
              <w:top w:val="single" w:sz="4" w:space="0" w:color="auto"/>
              <w:left w:val="single" w:sz="4" w:space="0" w:color="auto"/>
              <w:bottom w:val="nil"/>
              <w:right w:val="single" w:sz="4" w:space="0" w:color="auto"/>
            </w:tcBorders>
            <w:shd w:val="clear" w:color="000000" w:fill="000000"/>
            <w:noWrap/>
            <w:vAlign w:val="center"/>
            <w:hideMark/>
          </w:tcPr>
          <w:p w:rsidR="00252E85" w:rsidRPr="0035027D" w:rsidRDefault="00933CC1" w:rsidP="00252E85">
            <w:pPr>
              <w:spacing w:after="0"/>
              <w:jc w:val="left"/>
              <w:rPr>
                <w:rFonts w:cs="Times New Roman"/>
                <w:b/>
                <w:bCs/>
                <w:color w:val="FFFFFF"/>
                <w:sz w:val="20"/>
                <w:szCs w:val="20"/>
              </w:rPr>
            </w:pPr>
            <w:r w:rsidRPr="0035027D">
              <w:rPr>
                <w:rFonts w:cs="Times New Roman"/>
                <w:b/>
                <w:bCs/>
                <w:color w:val="FFFFFF"/>
                <w:sz w:val="20"/>
                <w:szCs w:val="20"/>
              </w:rPr>
              <w:t xml:space="preserve">Tab. 4: </w:t>
            </w:r>
            <w:r w:rsidR="00252E85" w:rsidRPr="0035027D">
              <w:rPr>
                <w:rFonts w:cs="Times New Roman"/>
                <w:b/>
                <w:bCs/>
                <w:color w:val="FFFFFF"/>
                <w:sz w:val="20"/>
                <w:szCs w:val="20"/>
              </w:rPr>
              <w:t>Výsledkové indikátory pre zamestnanosť a sociálnu inklúziu</w:t>
            </w:r>
          </w:p>
        </w:tc>
      </w:tr>
      <w:tr w:rsidR="00A41F46" w:rsidRPr="0035027D" w:rsidTr="00252E85">
        <w:trPr>
          <w:trHeight w:val="510"/>
          <w:jc w:val="center"/>
        </w:trPr>
        <w:tc>
          <w:tcPr>
            <w:tcW w:w="3532" w:type="dxa"/>
            <w:tcBorders>
              <w:top w:val="single" w:sz="4" w:space="0" w:color="auto"/>
              <w:left w:val="single" w:sz="4" w:space="0" w:color="auto"/>
              <w:bottom w:val="single" w:sz="4" w:space="0" w:color="auto"/>
              <w:right w:val="nil"/>
            </w:tcBorders>
            <w:shd w:val="clear" w:color="000000" w:fill="BFBFBF"/>
            <w:noWrap/>
            <w:vAlign w:val="center"/>
            <w:hideMark/>
          </w:tcPr>
          <w:p w:rsidR="00252E85" w:rsidRPr="0035027D" w:rsidRDefault="00252E85" w:rsidP="00252E85">
            <w:pPr>
              <w:spacing w:after="0"/>
              <w:jc w:val="left"/>
              <w:rPr>
                <w:rFonts w:cs="Times New Roman"/>
                <w:b/>
                <w:bCs/>
                <w:color w:val="FFFFFF"/>
                <w:sz w:val="20"/>
                <w:szCs w:val="20"/>
              </w:rPr>
            </w:pPr>
            <w:r w:rsidRPr="0035027D">
              <w:rPr>
                <w:rFonts w:cs="Times New Roman"/>
                <w:b/>
                <w:bCs/>
                <w:color w:val="FFFFFF"/>
                <w:sz w:val="20"/>
                <w:szCs w:val="20"/>
              </w:rPr>
              <w:t> </w:t>
            </w:r>
          </w:p>
        </w:tc>
        <w:tc>
          <w:tcPr>
            <w:tcW w:w="368" w:type="dxa"/>
            <w:tcBorders>
              <w:top w:val="single" w:sz="4" w:space="0" w:color="auto"/>
              <w:left w:val="nil"/>
              <w:bottom w:val="single" w:sz="4" w:space="0" w:color="auto"/>
              <w:right w:val="nil"/>
            </w:tcBorders>
            <w:shd w:val="clear" w:color="000000" w:fill="BFBFBF"/>
            <w:noWrap/>
            <w:vAlign w:val="center"/>
            <w:hideMark/>
          </w:tcPr>
          <w:p w:rsidR="00252E85" w:rsidRPr="0035027D" w:rsidRDefault="00252E85" w:rsidP="00252E85">
            <w:pPr>
              <w:spacing w:after="0"/>
              <w:jc w:val="left"/>
              <w:rPr>
                <w:rFonts w:cs="Times New Roman"/>
                <w:b/>
                <w:bCs/>
                <w:color w:val="FFFFFF"/>
                <w:sz w:val="20"/>
                <w:szCs w:val="20"/>
              </w:rPr>
            </w:pPr>
            <w:r w:rsidRPr="0035027D">
              <w:rPr>
                <w:rFonts w:cs="Times New Roman"/>
                <w:b/>
                <w:bCs/>
                <w:color w:val="FFFFFF"/>
                <w:sz w:val="20"/>
                <w:szCs w:val="20"/>
              </w:rPr>
              <w:t> </w:t>
            </w:r>
          </w:p>
        </w:tc>
        <w:tc>
          <w:tcPr>
            <w:tcW w:w="505" w:type="dxa"/>
            <w:tcBorders>
              <w:top w:val="single" w:sz="4" w:space="0" w:color="auto"/>
              <w:left w:val="single" w:sz="4" w:space="0" w:color="auto"/>
              <w:bottom w:val="single" w:sz="4" w:space="0" w:color="auto"/>
              <w:right w:val="nil"/>
            </w:tcBorders>
            <w:shd w:val="clear" w:color="000000" w:fill="BFBFBF"/>
            <w:noWrap/>
            <w:vAlign w:val="center"/>
            <w:hideMark/>
          </w:tcPr>
          <w:p w:rsidR="00252E85" w:rsidRPr="0035027D" w:rsidRDefault="00252E85" w:rsidP="00252E85">
            <w:pPr>
              <w:spacing w:after="0"/>
              <w:jc w:val="center"/>
              <w:rPr>
                <w:rFonts w:cs="Times New Roman"/>
                <w:b/>
                <w:bCs/>
                <w:color w:val="000000"/>
                <w:sz w:val="20"/>
                <w:szCs w:val="20"/>
              </w:rPr>
            </w:pPr>
            <w:r w:rsidRPr="0035027D">
              <w:rPr>
                <w:rFonts w:cs="Times New Roman"/>
                <w:b/>
                <w:bCs/>
                <w:color w:val="000000"/>
                <w:sz w:val="20"/>
                <w:szCs w:val="20"/>
              </w:rPr>
              <w:t>2004</w:t>
            </w:r>
          </w:p>
        </w:tc>
        <w:tc>
          <w:tcPr>
            <w:tcW w:w="505" w:type="dxa"/>
            <w:tcBorders>
              <w:top w:val="single" w:sz="4" w:space="0" w:color="auto"/>
              <w:left w:val="nil"/>
              <w:bottom w:val="single" w:sz="4" w:space="0" w:color="auto"/>
              <w:right w:val="nil"/>
            </w:tcBorders>
            <w:shd w:val="clear" w:color="000000" w:fill="BFBFBF"/>
            <w:noWrap/>
            <w:vAlign w:val="center"/>
            <w:hideMark/>
          </w:tcPr>
          <w:p w:rsidR="00252E85" w:rsidRPr="0035027D" w:rsidRDefault="00252E85" w:rsidP="00252E85">
            <w:pPr>
              <w:spacing w:after="0"/>
              <w:jc w:val="center"/>
              <w:rPr>
                <w:rFonts w:cs="Times New Roman"/>
                <w:b/>
                <w:bCs/>
                <w:color w:val="000000"/>
                <w:sz w:val="20"/>
                <w:szCs w:val="20"/>
              </w:rPr>
            </w:pPr>
            <w:r w:rsidRPr="0035027D">
              <w:rPr>
                <w:rFonts w:cs="Times New Roman"/>
                <w:b/>
                <w:bCs/>
                <w:color w:val="000000"/>
                <w:sz w:val="20"/>
                <w:szCs w:val="20"/>
              </w:rPr>
              <w:t>2005</w:t>
            </w:r>
          </w:p>
        </w:tc>
        <w:tc>
          <w:tcPr>
            <w:tcW w:w="505" w:type="dxa"/>
            <w:tcBorders>
              <w:top w:val="single" w:sz="4" w:space="0" w:color="auto"/>
              <w:left w:val="nil"/>
              <w:bottom w:val="single" w:sz="4" w:space="0" w:color="auto"/>
              <w:right w:val="nil"/>
            </w:tcBorders>
            <w:shd w:val="clear" w:color="000000" w:fill="BFBFBF"/>
            <w:noWrap/>
            <w:vAlign w:val="center"/>
            <w:hideMark/>
          </w:tcPr>
          <w:p w:rsidR="00252E85" w:rsidRPr="0035027D" w:rsidRDefault="00252E85" w:rsidP="00252E85">
            <w:pPr>
              <w:spacing w:after="0"/>
              <w:jc w:val="center"/>
              <w:rPr>
                <w:rFonts w:cs="Times New Roman"/>
                <w:b/>
                <w:bCs/>
                <w:color w:val="000000"/>
                <w:sz w:val="20"/>
                <w:szCs w:val="20"/>
              </w:rPr>
            </w:pPr>
            <w:r w:rsidRPr="0035027D">
              <w:rPr>
                <w:rFonts w:cs="Times New Roman"/>
                <w:b/>
                <w:bCs/>
                <w:color w:val="000000"/>
                <w:sz w:val="20"/>
                <w:szCs w:val="20"/>
              </w:rPr>
              <w:t>2006</w:t>
            </w:r>
          </w:p>
        </w:tc>
        <w:tc>
          <w:tcPr>
            <w:tcW w:w="505" w:type="dxa"/>
            <w:tcBorders>
              <w:top w:val="single" w:sz="4" w:space="0" w:color="auto"/>
              <w:left w:val="nil"/>
              <w:bottom w:val="single" w:sz="4" w:space="0" w:color="auto"/>
              <w:right w:val="nil"/>
            </w:tcBorders>
            <w:shd w:val="clear" w:color="000000" w:fill="BFBFBF"/>
            <w:noWrap/>
            <w:vAlign w:val="center"/>
            <w:hideMark/>
          </w:tcPr>
          <w:p w:rsidR="00252E85" w:rsidRPr="0035027D" w:rsidRDefault="00252E85" w:rsidP="00252E85">
            <w:pPr>
              <w:spacing w:after="0"/>
              <w:jc w:val="center"/>
              <w:rPr>
                <w:rFonts w:cs="Times New Roman"/>
                <w:b/>
                <w:bCs/>
                <w:color w:val="000000"/>
                <w:sz w:val="20"/>
                <w:szCs w:val="20"/>
              </w:rPr>
            </w:pPr>
            <w:r w:rsidRPr="0035027D">
              <w:rPr>
                <w:rFonts w:cs="Times New Roman"/>
                <w:b/>
                <w:bCs/>
                <w:color w:val="000000"/>
                <w:sz w:val="20"/>
                <w:szCs w:val="20"/>
              </w:rPr>
              <w:t>2007</w:t>
            </w:r>
          </w:p>
        </w:tc>
        <w:tc>
          <w:tcPr>
            <w:tcW w:w="505" w:type="dxa"/>
            <w:tcBorders>
              <w:top w:val="single" w:sz="4" w:space="0" w:color="auto"/>
              <w:left w:val="nil"/>
              <w:bottom w:val="single" w:sz="4" w:space="0" w:color="auto"/>
              <w:right w:val="nil"/>
            </w:tcBorders>
            <w:shd w:val="clear" w:color="000000" w:fill="BFBFBF"/>
            <w:vAlign w:val="center"/>
            <w:hideMark/>
          </w:tcPr>
          <w:p w:rsidR="00252E85" w:rsidRPr="0035027D" w:rsidRDefault="00252E85" w:rsidP="00252E85">
            <w:pPr>
              <w:spacing w:after="0"/>
              <w:jc w:val="center"/>
              <w:rPr>
                <w:rFonts w:cs="Times New Roman"/>
                <w:b/>
                <w:bCs/>
                <w:color w:val="000000"/>
                <w:sz w:val="20"/>
                <w:szCs w:val="20"/>
              </w:rPr>
            </w:pPr>
            <w:r w:rsidRPr="0035027D">
              <w:rPr>
                <w:rFonts w:cs="Times New Roman"/>
                <w:b/>
                <w:bCs/>
                <w:color w:val="000000"/>
                <w:sz w:val="20"/>
                <w:szCs w:val="20"/>
              </w:rPr>
              <w:t>2008</w:t>
            </w:r>
          </w:p>
        </w:tc>
        <w:tc>
          <w:tcPr>
            <w:tcW w:w="505" w:type="dxa"/>
            <w:tcBorders>
              <w:top w:val="single" w:sz="4" w:space="0" w:color="auto"/>
              <w:left w:val="nil"/>
              <w:bottom w:val="single" w:sz="4" w:space="0" w:color="auto"/>
              <w:right w:val="nil"/>
            </w:tcBorders>
            <w:shd w:val="clear" w:color="000000" w:fill="BFBFBF"/>
            <w:vAlign w:val="center"/>
            <w:hideMark/>
          </w:tcPr>
          <w:p w:rsidR="00252E85" w:rsidRPr="0035027D" w:rsidRDefault="00252E85" w:rsidP="00252E85">
            <w:pPr>
              <w:spacing w:after="0"/>
              <w:jc w:val="center"/>
              <w:rPr>
                <w:rFonts w:cs="Times New Roman"/>
                <w:b/>
                <w:bCs/>
                <w:color w:val="000000"/>
                <w:sz w:val="20"/>
                <w:szCs w:val="20"/>
              </w:rPr>
            </w:pPr>
            <w:r w:rsidRPr="0035027D">
              <w:rPr>
                <w:rFonts w:cs="Times New Roman"/>
                <w:b/>
                <w:bCs/>
                <w:color w:val="000000"/>
                <w:sz w:val="20"/>
                <w:szCs w:val="20"/>
              </w:rPr>
              <w:t>2009</w:t>
            </w:r>
          </w:p>
        </w:tc>
        <w:tc>
          <w:tcPr>
            <w:tcW w:w="505" w:type="dxa"/>
            <w:tcBorders>
              <w:top w:val="single" w:sz="4" w:space="0" w:color="auto"/>
              <w:left w:val="nil"/>
              <w:bottom w:val="single" w:sz="4" w:space="0" w:color="auto"/>
              <w:right w:val="nil"/>
            </w:tcBorders>
            <w:shd w:val="clear" w:color="000000" w:fill="BFBFBF"/>
            <w:vAlign w:val="center"/>
            <w:hideMark/>
          </w:tcPr>
          <w:p w:rsidR="00252E85" w:rsidRPr="0035027D" w:rsidRDefault="00252E85" w:rsidP="00252E85">
            <w:pPr>
              <w:spacing w:after="0"/>
              <w:jc w:val="center"/>
              <w:rPr>
                <w:rFonts w:cs="Times New Roman"/>
                <w:b/>
                <w:bCs/>
                <w:color w:val="000000"/>
                <w:sz w:val="20"/>
                <w:szCs w:val="20"/>
              </w:rPr>
            </w:pPr>
            <w:r w:rsidRPr="0035027D">
              <w:rPr>
                <w:rFonts w:cs="Times New Roman"/>
                <w:b/>
                <w:bCs/>
                <w:color w:val="000000"/>
                <w:sz w:val="20"/>
                <w:szCs w:val="20"/>
              </w:rPr>
              <w:t>2010</w:t>
            </w:r>
          </w:p>
        </w:tc>
        <w:tc>
          <w:tcPr>
            <w:tcW w:w="505" w:type="dxa"/>
            <w:tcBorders>
              <w:top w:val="single" w:sz="4" w:space="0" w:color="auto"/>
              <w:left w:val="nil"/>
              <w:bottom w:val="single" w:sz="4" w:space="0" w:color="auto"/>
              <w:right w:val="nil"/>
            </w:tcBorders>
            <w:shd w:val="clear" w:color="000000" w:fill="BFBFBF"/>
            <w:vAlign w:val="center"/>
            <w:hideMark/>
          </w:tcPr>
          <w:p w:rsidR="00252E85" w:rsidRPr="0035027D" w:rsidRDefault="00252E85" w:rsidP="00252E85">
            <w:pPr>
              <w:spacing w:after="0"/>
              <w:jc w:val="center"/>
              <w:rPr>
                <w:rFonts w:cs="Times New Roman"/>
                <w:b/>
                <w:bCs/>
                <w:color w:val="000000"/>
                <w:sz w:val="20"/>
                <w:szCs w:val="20"/>
              </w:rPr>
            </w:pPr>
            <w:r w:rsidRPr="0035027D">
              <w:rPr>
                <w:rFonts w:cs="Times New Roman"/>
                <w:b/>
                <w:bCs/>
                <w:color w:val="000000"/>
                <w:sz w:val="20"/>
                <w:szCs w:val="20"/>
              </w:rPr>
              <w:t>2011</w:t>
            </w:r>
          </w:p>
        </w:tc>
        <w:tc>
          <w:tcPr>
            <w:tcW w:w="569" w:type="dxa"/>
            <w:tcBorders>
              <w:top w:val="single" w:sz="4" w:space="0" w:color="auto"/>
              <w:left w:val="nil"/>
              <w:bottom w:val="single" w:sz="4" w:space="0" w:color="auto"/>
              <w:right w:val="single" w:sz="4" w:space="0" w:color="auto"/>
            </w:tcBorders>
            <w:shd w:val="clear" w:color="000000" w:fill="BFBFBF"/>
            <w:vAlign w:val="center"/>
            <w:hideMark/>
          </w:tcPr>
          <w:p w:rsidR="00252E85" w:rsidRPr="0035027D" w:rsidRDefault="00252E85" w:rsidP="00252E85">
            <w:pPr>
              <w:spacing w:after="0"/>
              <w:jc w:val="center"/>
              <w:rPr>
                <w:rFonts w:cs="Times New Roman"/>
                <w:b/>
                <w:bCs/>
                <w:color w:val="000000"/>
                <w:sz w:val="20"/>
                <w:szCs w:val="20"/>
              </w:rPr>
            </w:pPr>
            <w:r w:rsidRPr="0035027D">
              <w:rPr>
                <w:rFonts w:cs="Times New Roman"/>
                <w:b/>
                <w:bCs/>
                <w:color w:val="000000"/>
                <w:sz w:val="20"/>
                <w:szCs w:val="20"/>
              </w:rPr>
              <w:t>2012</w:t>
            </w:r>
          </w:p>
        </w:tc>
        <w:tc>
          <w:tcPr>
            <w:tcW w:w="606" w:type="dxa"/>
            <w:tcBorders>
              <w:top w:val="single" w:sz="4" w:space="0" w:color="auto"/>
              <w:left w:val="nil"/>
              <w:bottom w:val="single" w:sz="4" w:space="0" w:color="auto"/>
              <w:right w:val="single" w:sz="4" w:space="0" w:color="auto"/>
            </w:tcBorders>
            <w:shd w:val="clear" w:color="000000" w:fill="BFBFBF"/>
            <w:vAlign w:val="center"/>
            <w:hideMark/>
          </w:tcPr>
          <w:p w:rsidR="00252E85" w:rsidRPr="0035027D" w:rsidRDefault="00252E85" w:rsidP="00252E85">
            <w:pPr>
              <w:spacing w:after="0"/>
              <w:jc w:val="left"/>
              <w:rPr>
                <w:rFonts w:cs="Times New Roman"/>
                <w:b/>
                <w:bCs/>
                <w:sz w:val="20"/>
                <w:szCs w:val="20"/>
              </w:rPr>
            </w:pPr>
            <w:r w:rsidRPr="0035027D">
              <w:rPr>
                <w:rFonts w:cs="Times New Roman"/>
                <w:b/>
                <w:bCs/>
                <w:sz w:val="20"/>
                <w:szCs w:val="20"/>
              </w:rPr>
              <w:t>Cieľ 2020</w:t>
            </w:r>
          </w:p>
        </w:tc>
      </w:tr>
      <w:tr w:rsidR="00A41F46" w:rsidRPr="0035027D" w:rsidTr="00252E85">
        <w:trPr>
          <w:trHeight w:val="300"/>
          <w:jc w:val="center"/>
        </w:trPr>
        <w:tc>
          <w:tcPr>
            <w:tcW w:w="3532" w:type="dxa"/>
            <w:tcBorders>
              <w:top w:val="single" w:sz="4" w:space="0" w:color="auto"/>
              <w:left w:val="single" w:sz="4" w:space="0" w:color="auto"/>
              <w:bottom w:val="nil"/>
              <w:right w:val="nil"/>
            </w:tcBorders>
            <w:shd w:val="clear" w:color="auto" w:fill="auto"/>
            <w:noWrap/>
            <w:vAlign w:val="center"/>
            <w:hideMark/>
          </w:tcPr>
          <w:p w:rsidR="00252E85" w:rsidRPr="0035027D" w:rsidRDefault="00252E85" w:rsidP="00252E85">
            <w:pPr>
              <w:spacing w:after="0"/>
              <w:rPr>
                <w:rFonts w:cs="Times New Roman"/>
                <w:b/>
                <w:bCs/>
                <w:color w:val="000000"/>
                <w:sz w:val="20"/>
                <w:szCs w:val="20"/>
              </w:rPr>
            </w:pPr>
            <w:r w:rsidRPr="0035027D">
              <w:rPr>
                <w:rFonts w:cs="Times New Roman"/>
                <w:b/>
                <w:bCs/>
                <w:color w:val="000000"/>
                <w:sz w:val="20"/>
                <w:szCs w:val="20"/>
              </w:rPr>
              <w:t>Miera dlhodobej nezamestnanosti</w:t>
            </w:r>
          </w:p>
        </w:tc>
        <w:tc>
          <w:tcPr>
            <w:tcW w:w="368" w:type="dxa"/>
            <w:tcBorders>
              <w:top w:val="single" w:sz="4" w:space="0" w:color="auto"/>
              <w:left w:val="nil"/>
              <w:bottom w:val="nil"/>
              <w:right w:val="single" w:sz="4" w:space="0" w:color="auto"/>
            </w:tcBorders>
            <w:shd w:val="clear" w:color="auto" w:fill="auto"/>
            <w:noWrap/>
            <w:vAlign w:val="center"/>
            <w:hideMark/>
          </w:tcPr>
          <w:p w:rsidR="00252E85" w:rsidRPr="0035027D" w:rsidRDefault="00252E85" w:rsidP="00252E85">
            <w:pPr>
              <w:spacing w:after="0"/>
              <w:jc w:val="left"/>
              <w:rPr>
                <w:rFonts w:cs="Times New Roman"/>
                <w:b/>
                <w:bCs/>
                <w:color w:val="000000"/>
                <w:sz w:val="20"/>
                <w:szCs w:val="20"/>
              </w:rPr>
            </w:pPr>
            <w:r w:rsidRPr="0035027D">
              <w:rPr>
                <w:rFonts w:cs="Times New Roman"/>
                <w:b/>
                <w:bCs/>
                <w:color w:val="000000"/>
                <w:sz w:val="20"/>
                <w:szCs w:val="20"/>
              </w:rPr>
              <w:t>SK</w:t>
            </w:r>
          </w:p>
        </w:tc>
        <w:tc>
          <w:tcPr>
            <w:tcW w:w="505" w:type="dxa"/>
            <w:tcBorders>
              <w:top w:val="single" w:sz="4" w:space="0" w:color="auto"/>
              <w:left w:val="single" w:sz="4" w:space="0" w:color="auto"/>
              <w:bottom w:val="nil"/>
              <w:right w:val="nil"/>
            </w:tcBorders>
            <w:shd w:val="clear" w:color="auto" w:fill="auto"/>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11,9</w:t>
            </w:r>
          </w:p>
        </w:tc>
        <w:tc>
          <w:tcPr>
            <w:tcW w:w="505" w:type="dxa"/>
            <w:tcBorders>
              <w:top w:val="single" w:sz="4" w:space="0" w:color="auto"/>
              <w:left w:val="nil"/>
              <w:bottom w:val="nil"/>
              <w:right w:val="nil"/>
            </w:tcBorders>
            <w:shd w:val="clear" w:color="auto" w:fill="auto"/>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11,8</w:t>
            </w:r>
          </w:p>
        </w:tc>
        <w:tc>
          <w:tcPr>
            <w:tcW w:w="505" w:type="dxa"/>
            <w:tcBorders>
              <w:top w:val="single" w:sz="4" w:space="0" w:color="auto"/>
              <w:left w:val="nil"/>
              <w:bottom w:val="nil"/>
              <w:right w:val="nil"/>
            </w:tcBorders>
            <w:shd w:val="clear" w:color="auto" w:fill="auto"/>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10,3</w:t>
            </w:r>
          </w:p>
        </w:tc>
        <w:tc>
          <w:tcPr>
            <w:tcW w:w="505" w:type="dxa"/>
            <w:tcBorders>
              <w:top w:val="single" w:sz="4" w:space="0" w:color="auto"/>
              <w:left w:val="nil"/>
              <w:bottom w:val="nil"/>
              <w:right w:val="nil"/>
            </w:tcBorders>
            <w:shd w:val="clear" w:color="auto" w:fill="auto"/>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8,3</w:t>
            </w:r>
          </w:p>
        </w:tc>
        <w:tc>
          <w:tcPr>
            <w:tcW w:w="505" w:type="dxa"/>
            <w:tcBorders>
              <w:top w:val="single" w:sz="4" w:space="0" w:color="auto"/>
              <w:left w:val="nil"/>
              <w:bottom w:val="nil"/>
              <w:right w:val="nil"/>
            </w:tcBorders>
            <w:shd w:val="clear" w:color="auto" w:fill="auto"/>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6,7</w:t>
            </w:r>
          </w:p>
        </w:tc>
        <w:tc>
          <w:tcPr>
            <w:tcW w:w="505" w:type="dxa"/>
            <w:tcBorders>
              <w:top w:val="single" w:sz="4" w:space="0" w:color="auto"/>
              <w:left w:val="nil"/>
              <w:bottom w:val="nil"/>
              <w:right w:val="nil"/>
            </w:tcBorders>
            <w:shd w:val="clear" w:color="auto" w:fill="auto"/>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6,5</w:t>
            </w:r>
          </w:p>
        </w:tc>
        <w:tc>
          <w:tcPr>
            <w:tcW w:w="505" w:type="dxa"/>
            <w:tcBorders>
              <w:top w:val="single" w:sz="4" w:space="0" w:color="auto"/>
              <w:left w:val="nil"/>
              <w:bottom w:val="nil"/>
              <w:right w:val="nil"/>
            </w:tcBorders>
            <w:shd w:val="clear" w:color="auto" w:fill="auto"/>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9,3</w:t>
            </w:r>
          </w:p>
        </w:tc>
        <w:tc>
          <w:tcPr>
            <w:tcW w:w="505" w:type="dxa"/>
            <w:tcBorders>
              <w:top w:val="single" w:sz="4" w:space="0" w:color="auto"/>
              <w:left w:val="nil"/>
              <w:bottom w:val="nil"/>
              <w:right w:val="nil"/>
            </w:tcBorders>
            <w:shd w:val="clear" w:color="auto" w:fill="auto"/>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9,2</w:t>
            </w:r>
          </w:p>
        </w:tc>
        <w:tc>
          <w:tcPr>
            <w:tcW w:w="569" w:type="dxa"/>
            <w:tcBorders>
              <w:top w:val="single" w:sz="4" w:space="0" w:color="auto"/>
              <w:left w:val="nil"/>
              <w:bottom w:val="nil"/>
              <w:right w:val="single" w:sz="4" w:space="0" w:color="auto"/>
            </w:tcBorders>
            <w:shd w:val="clear" w:color="auto" w:fill="auto"/>
            <w:noWrap/>
            <w:vAlign w:val="center"/>
            <w:hideMark/>
          </w:tcPr>
          <w:p w:rsidR="00252E85" w:rsidRPr="0035027D" w:rsidRDefault="00766E2A" w:rsidP="00252E85">
            <w:pPr>
              <w:spacing w:after="0"/>
              <w:jc w:val="center"/>
              <w:rPr>
                <w:rFonts w:cs="Times New Roman"/>
                <w:color w:val="000000"/>
                <w:sz w:val="20"/>
                <w:szCs w:val="20"/>
              </w:rPr>
            </w:pPr>
            <w:r w:rsidRPr="0035027D">
              <w:rPr>
                <w:rFonts w:cs="Times New Roman"/>
                <w:color w:val="000000"/>
                <w:sz w:val="20"/>
                <w:szCs w:val="20"/>
              </w:rPr>
              <w:t>9,4</w:t>
            </w:r>
          </w:p>
        </w:tc>
        <w:tc>
          <w:tcPr>
            <w:tcW w:w="606" w:type="dxa"/>
            <w:tcBorders>
              <w:top w:val="single" w:sz="4" w:space="0" w:color="auto"/>
              <w:left w:val="nil"/>
              <w:bottom w:val="nil"/>
              <w:right w:val="single" w:sz="4" w:space="0" w:color="auto"/>
            </w:tcBorders>
            <w:shd w:val="clear" w:color="auto" w:fill="auto"/>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3</w:t>
            </w:r>
          </w:p>
        </w:tc>
      </w:tr>
      <w:tr w:rsidR="00A41F46" w:rsidRPr="0035027D" w:rsidTr="00252E85">
        <w:trPr>
          <w:trHeight w:val="300"/>
          <w:jc w:val="center"/>
        </w:trPr>
        <w:tc>
          <w:tcPr>
            <w:tcW w:w="3532" w:type="dxa"/>
            <w:tcBorders>
              <w:top w:val="nil"/>
              <w:left w:val="single" w:sz="4" w:space="0" w:color="auto"/>
              <w:bottom w:val="single" w:sz="4" w:space="0" w:color="auto"/>
              <w:right w:val="nil"/>
            </w:tcBorders>
            <w:shd w:val="clear" w:color="auto" w:fill="auto"/>
            <w:noWrap/>
            <w:vAlign w:val="center"/>
            <w:hideMark/>
          </w:tcPr>
          <w:p w:rsidR="00252E85" w:rsidRPr="0035027D" w:rsidRDefault="00252E85" w:rsidP="00252E85">
            <w:pPr>
              <w:spacing w:after="0"/>
              <w:rPr>
                <w:rFonts w:cs="Times New Roman"/>
                <w:color w:val="000000"/>
                <w:sz w:val="20"/>
                <w:szCs w:val="20"/>
              </w:rPr>
            </w:pPr>
            <w:r w:rsidRPr="0035027D">
              <w:rPr>
                <w:rFonts w:cs="Times New Roman"/>
                <w:color w:val="000000"/>
                <w:sz w:val="20"/>
                <w:szCs w:val="20"/>
              </w:rPr>
              <w:t>(% aktívneho obyvateľstva nad 15 rokov)</w:t>
            </w:r>
          </w:p>
        </w:tc>
        <w:tc>
          <w:tcPr>
            <w:tcW w:w="368" w:type="dxa"/>
            <w:tcBorders>
              <w:top w:val="nil"/>
              <w:left w:val="nil"/>
              <w:bottom w:val="single" w:sz="4" w:space="0" w:color="auto"/>
              <w:right w:val="single" w:sz="4" w:space="0" w:color="auto"/>
            </w:tcBorders>
            <w:shd w:val="clear" w:color="auto" w:fill="auto"/>
            <w:noWrap/>
            <w:vAlign w:val="center"/>
            <w:hideMark/>
          </w:tcPr>
          <w:p w:rsidR="00252E85" w:rsidRPr="0035027D" w:rsidRDefault="00252E85" w:rsidP="00252E85">
            <w:pPr>
              <w:spacing w:after="0"/>
              <w:jc w:val="left"/>
              <w:rPr>
                <w:rFonts w:cs="Times New Roman"/>
                <w:b/>
                <w:bCs/>
                <w:color w:val="000000"/>
                <w:sz w:val="20"/>
                <w:szCs w:val="20"/>
              </w:rPr>
            </w:pPr>
            <w:r w:rsidRPr="0035027D">
              <w:rPr>
                <w:rFonts w:cs="Times New Roman"/>
                <w:b/>
                <w:bCs/>
                <w:color w:val="000000"/>
                <w:sz w:val="20"/>
                <w:szCs w:val="20"/>
              </w:rPr>
              <w:t>EÚ</w:t>
            </w:r>
          </w:p>
        </w:tc>
        <w:tc>
          <w:tcPr>
            <w:tcW w:w="505" w:type="dxa"/>
            <w:tcBorders>
              <w:top w:val="nil"/>
              <w:left w:val="single" w:sz="4" w:space="0" w:color="auto"/>
              <w:bottom w:val="single" w:sz="4" w:space="0" w:color="auto"/>
              <w:right w:val="nil"/>
            </w:tcBorders>
            <w:shd w:val="clear" w:color="auto" w:fill="auto"/>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4,3</w:t>
            </w:r>
          </w:p>
        </w:tc>
        <w:tc>
          <w:tcPr>
            <w:tcW w:w="505" w:type="dxa"/>
            <w:tcBorders>
              <w:top w:val="nil"/>
              <w:left w:val="nil"/>
              <w:bottom w:val="single" w:sz="4" w:space="0" w:color="auto"/>
              <w:right w:val="nil"/>
            </w:tcBorders>
            <w:shd w:val="clear" w:color="auto" w:fill="auto"/>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4,1</w:t>
            </w:r>
          </w:p>
        </w:tc>
        <w:tc>
          <w:tcPr>
            <w:tcW w:w="505" w:type="dxa"/>
            <w:tcBorders>
              <w:top w:val="nil"/>
              <w:left w:val="nil"/>
              <w:bottom w:val="single" w:sz="4" w:space="0" w:color="auto"/>
              <w:right w:val="nil"/>
            </w:tcBorders>
            <w:shd w:val="clear" w:color="auto" w:fill="auto"/>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3,7</w:t>
            </w:r>
          </w:p>
        </w:tc>
        <w:tc>
          <w:tcPr>
            <w:tcW w:w="505" w:type="dxa"/>
            <w:tcBorders>
              <w:top w:val="nil"/>
              <w:left w:val="nil"/>
              <w:bottom w:val="single" w:sz="4" w:space="0" w:color="auto"/>
              <w:right w:val="nil"/>
            </w:tcBorders>
            <w:shd w:val="clear" w:color="auto" w:fill="auto"/>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3,1</w:t>
            </w:r>
          </w:p>
        </w:tc>
        <w:tc>
          <w:tcPr>
            <w:tcW w:w="505" w:type="dxa"/>
            <w:tcBorders>
              <w:top w:val="nil"/>
              <w:left w:val="nil"/>
              <w:bottom w:val="single" w:sz="4" w:space="0" w:color="auto"/>
              <w:right w:val="nil"/>
            </w:tcBorders>
            <w:shd w:val="clear" w:color="auto" w:fill="auto"/>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2,6</w:t>
            </w:r>
          </w:p>
        </w:tc>
        <w:tc>
          <w:tcPr>
            <w:tcW w:w="505" w:type="dxa"/>
            <w:tcBorders>
              <w:top w:val="nil"/>
              <w:left w:val="nil"/>
              <w:bottom w:val="single" w:sz="4" w:space="0" w:color="auto"/>
              <w:right w:val="nil"/>
            </w:tcBorders>
            <w:shd w:val="clear" w:color="auto" w:fill="auto"/>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3</w:t>
            </w:r>
          </w:p>
        </w:tc>
        <w:tc>
          <w:tcPr>
            <w:tcW w:w="505" w:type="dxa"/>
            <w:tcBorders>
              <w:top w:val="nil"/>
              <w:left w:val="nil"/>
              <w:bottom w:val="single" w:sz="4" w:space="0" w:color="auto"/>
              <w:right w:val="nil"/>
            </w:tcBorders>
            <w:shd w:val="clear" w:color="auto" w:fill="auto"/>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3,9</w:t>
            </w:r>
          </w:p>
        </w:tc>
        <w:tc>
          <w:tcPr>
            <w:tcW w:w="505" w:type="dxa"/>
            <w:tcBorders>
              <w:top w:val="nil"/>
              <w:left w:val="nil"/>
              <w:bottom w:val="single" w:sz="4" w:space="0" w:color="auto"/>
              <w:right w:val="nil"/>
            </w:tcBorders>
            <w:shd w:val="clear" w:color="auto" w:fill="auto"/>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4,1</w:t>
            </w:r>
          </w:p>
        </w:tc>
        <w:tc>
          <w:tcPr>
            <w:tcW w:w="569" w:type="dxa"/>
            <w:tcBorders>
              <w:top w:val="nil"/>
              <w:left w:val="nil"/>
              <w:bottom w:val="single" w:sz="4" w:space="0" w:color="auto"/>
              <w:right w:val="single" w:sz="4" w:space="0" w:color="auto"/>
            </w:tcBorders>
            <w:shd w:val="clear" w:color="auto" w:fill="auto"/>
            <w:noWrap/>
            <w:vAlign w:val="center"/>
            <w:hideMark/>
          </w:tcPr>
          <w:p w:rsidR="00252E85" w:rsidRPr="0035027D" w:rsidRDefault="00766E2A" w:rsidP="00766E2A">
            <w:pPr>
              <w:spacing w:after="0"/>
              <w:jc w:val="center"/>
              <w:rPr>
                <w:rFonts w:cs="Times New Roman"/>
                <w:color w:val="000000"/>
                <w:sz w:val="20"/>
                <w:szCs w:val="20"/>
              </w:rPr>
            </w:pPr>
            <w:r w:rsidRPr="0035027D">
              <w:rPr>
                <w:rFonts w:cs="Times New Roman"/>
                <w:color w:val="000000"/>
                <w:sz w:val="20"/>
                <w:szCs w:val="20"/>
              </w:rPr>
              <w:t>4,6</w:t>
            </w:r>
            <w:r w:rsidR="00252E85" w:rsidRPr="0035027D">
              <w:rPr>
                <w:rFonts w:cs="Times New Roman"/>
                <w:color w:val="000000"/>
                <w:sz w:val="20"/>
                <w:szCs w:val="20"/>
              </w:rPr>
              <w:t xml:space="preserve"> </w:t>
            </w:r>
          </w:p>
        </w:tc>
        <w:tc>
          <w:tcPr>
            <w:tcW w:w="606" w:type="dxa"/>
            <w:tcBorders>
              <w:top w:val="nil"/>
              <w:left w:val="nil"/>
              <w:bottom w:val="single" w:sz="4" w:space="0" w:color="auto"/>
              <w:right w:val="single" w:sz="4" w:space="0" w:color="auto"/>
            </w:tcBorders>
            <w:shd w:val="clear" w:color="auto" w:fill="auto"/>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w:t>
            </w:r>
          </w:p>
        </w:tc>
      </w:tr>
      <w:tr w:rsidR="00A41F46" w:rsidRPr="0035027D" w:rsidTr="00252E85">
        <w:trPr>
          <w:trHeight w:val="300"/>
          <w:jc w:val="center"/>
        </w:trPr>
        <w:tc>
          <w:tcPr>
            <w:tcW w:w="3532" w:type="dxa"/>
            <w:tcBorders>
              <w:top w:val="single" w:sz="4" w:space="0" w:color="auto"/>
              <w:left w:val="single" w:sz="4" w:space="0" w:color="auto"/>
              <w:bottom w:val="nil"/>
              <w:right w:val="nil"/>
            </w:tcBorders>
            <w:shd w:val="clear" w:color="auto" w:fill="auto"/>
            <w:noWrap/>
            <w:vAlign w:val="center"/>
            <w:hideMark/>
          </w:tcPr>
          <w:p w:rsidR="00252E85" w:rsidRPr="0035027D" w:rsidRDefault="00252E85" w:rsidP="00252E85">
            <w:pPr>
              <w:spacing w:after="0"/>
              <w:jc w:val="left"/>
              <w:rPr>
                <w:rFonts w:cs="Times New Roman"/>
                <w:b/>
                <w:bCs/>
                <w:color w:val="000000"/>
                <w:sz w:val="20"/>
                <w:szCs w:val="20"/>
              </w:rPr>
            </w:pPr>
            <w:r w:rsidRPr="0035027D">
              <w:rPr>
                <w:rFonts w:cs="Times New Roman"/>
                <w:b/>
                <w:bCs/>
                <w:color w:val="000000"/>
                <w:sz w:val="20"/>
                <w:szCs w:val="20"/>
              </w:rPr>
              <w:t>Miera zamestnanosti</w:t>
            </w:r>
          </w:p>
        </w:tc>
        <w:tc>
          <w:tcPr>
            <w:tcW w:w="368" w:type="dxa"/>
            <w:tcBorders>
              <w:top w:val="single" w:sz="4" w:space="0" w:color="auto"/>
              <w:left w:val="nil"/>
              <w:bottom w:val="nil"/>
              <w:right w:val="single" w:sz="4" w:space="0" w:color="auto"/>
            </w:tcBorders>
            <w:shd w:val="clear" w:color="auto" w:fill="auto"/>
            <w:noWrap/>
            <w:vAlign w:val="center"/>
            <w:hideMark/>
          </w:tcPr>
          <w:p w:rsidR="00252E85" w:rsidRPr="0035027D" w:rsidRDefault="00252E85" w:rsidP="00252E85">
            <w:pPr>
              <w:spacing w:after="0"/>
              <w:jc w:val="left"/>
              <w:rPr>
                <w:rFonts w:cs="Times New Roman"/>
                <w:b/>
                <w:bCs/>
                <w:color w:val="000000"/>
                <w:sz w:val="20"/>
                <w:szCs w:val="20"/>
              </w:rPr>
            </w:pPr>
            <w:r w:rsidRPr="0035027D">
              <w:rPr>
                <w:rFonts w:cs="Times New Roman"/>
                <w:b/>
                <w:bCs/>
                <w:color w:val="000000"/>
                <w:sz w:val="20"/>
                <w:szCs w:val="20"/>
              </w:rPr>
              <w:t>SK</w:t>
            </w:r>
          </w:p>
        </w:tc>
        <w:tc>
          <w:tcPr>
            <w:tcW w:w="505" w:type="dxa"/>
            <w:tcBorders>
              <w:top w:val="single" w:sz="4" w:space="0" w:color="auto"/>
              <w:left w:val="single" w:sz="4" w:space="0" w:color="auto"/>
              <w:bottom w:val="nil"/>
              <w:right w:val="nil"/>
            </w:tcBorders>
            <w:shd w:val="clear" w:color="auto" w:fill="auto"/>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63,7</w:t>
            </w:r>
          </w:p>
        </w:tc>
        <w:tc>
          <w:tcPr>
            <w:tcW w:w="505" w:type="dxa"/>
            <w:tcBorders>
              <w:top w:val="single" w:sz="4" w:space="0" w:color="auto"/>
              <w:left w:val="nil"/>
              <w:bottom w:val="nil"/>
              <w:right w:val="nil"/>
            </w:tcBorders>
            <w:shd w:val="clear" w:color="auto" w:fill="auto"/>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64,5</w:t>
            </w:r>
          </w:p>
        </w:tc>
        <w:tc>
          <w:tcPr>
            <w:tcW w:w="505" w:type="dxa"/>
            <w:tcBorders>
              <w:top w:val="single" w:sz="4" w:space="0" w:color="auto"/>
              <w:left w:val="nil"/>
              <w:bottom w:val="nil"/>
              <w:right w:val="nil"/>
            </w:tcBorders>
            <w:shd w:val="clear" w:color="auto" w:fill="auto"/>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66</w:t>
            </w:r>
          </w:p>
        </w:tc>
        <w:tc>
          <w:tcPr>
            <w:tcW w:w="505" w:type="dxa"/>
            <w:tcBorders>
              <w:top w:val="single" w:sz="4" w:space="0" w:color="auto"/>
              <w:left w:val="nil"/>
              <w:bottom w:val="nil"/>
              <w:right w:val="nil"/>
            </w:tcBorders>
            <w:shd w:val="clear" w:color="auto" w:fill="auto"/>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67,2</w:t>
            </w:r>
          </w:p>
        </w:tc>
        <w:tc>
          <w:tcPr>
            <w:tcW w:w="505" w:type="dxa"/>
            <w:tcBorders>
              <w:top w:val="single" w:sz="4" w:space="0" w:color="auto"/>
              <w:left w:val="nil"/>
              <w:bottom w:val="nil"/>
              <w:right w:val="nil"/>
            </w:tcBorders>
            <w:shd w:val="clear" w:color="auto" w:fill="auto"/>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68,8</w:t>
            </w:r>
          </w:p>
        </w:tc>
        <w:tc>
          <w:tcPr>
            <w:tcW w:w="505" w:type="dxa"/>
            <w:tcBorders>
              <w:top w:val="single" w:sz="4" w:space="0" w:color="auto"/>
              <w:left w:val="nil"/>
              <w:bottom w:val="nil"/>
              <w:right w:val="nil"/>
            </w:tcBorders>
            <w:shd w:val="clear" w:color="auto" w:fill="auto"/>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66,4</w:t>
            </w:r>
          </w:p>
        </w:tc>
        <w:tc>
          <w:tcPr>
            <w:tcW w:w="505" w:type="dxa"/>
            <w:tcBorders>
              <w:top w:val="single" w:sz="4" w:space="0" w:color="auto"/>
              <w:left w:val="nil"/>
              <w:bottom w:val="nil"/>
              <w:right w:val="nil"/>
            </w:tcBorders>
            <w:shd w:val="clear" w:color="auto" w:fill="auto"/>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64,6</w:t>
            </w:r>
          </w:p>
        </w:tc>
        <w:tc>
          <w:tcPr>
            <w:tcW w:w="505" w:type="dxa"/>
            <w:tcBorders>
              <w:top w:val="single" w:sz="4" w:space="0" w:color="auto"/>
              <w:left w:val="nil"/>
              <w:bottom w:val="nil"/>
              <w:right w:val="nil"/>
            </w:tcBorders>
            <w:shd w:val="clear" w:color="auto" w:fill="auto"/>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65,1</w:t>
            </w:r>
          </w:p>
        </w:tc>
        <w:tc>
          <w:tcPr>
            <w:tcW w:w="569" w:type="dxa"/>
            <w:tcBorders>
              <w:top w:val="single" w:sz="4" w:space="0" w:color="auto"/>
              <w:left w:val="nil"/>
              <w:bottom w:val="nil"/>
              <w:right w:val="single" w:sz="4" w:space="0" w:color="auto"/>
            </w:tcBorders>
            <w:shd w:val="clear" w:color="auto" w:fill="auto"/>
            <w:noWrap/>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65</w:t>
            </w:r>
            <w:r w:rsidR="00766E2A" w:rsidRPr="0035027D">
              <w:rPr>
                <w:rFonts w:cs="Times New Roman"/>
                <w:color w:val="000000"/>
                <w:sz w:val="20"/>
                <w:szCs w:val="20"/>
              </w:rPr>
              <w:t>,1</w:t>
            </w:r>
          </w:p>
        </w:tc>
        <w:tc>
          <w:tcPr>
            <w:tcW w:w="606" w:type="dxa"/>
            <w:tcBorders>
              <w:top w:val="single" w:sz="4" w:space="0" w:color="auto"/>
              <w:left w:val="nil"/>
              <w:bottom w:val="nil"/>
              <w:right w:val="single" w:sz="4" w:space="0" w:color="auto"/>
            </w:tcBorders>
            <w:shd w:val="clear" w:color="auto" w:fill="auto"/>
            <w:noWrap/>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72</w:t>
            </w:r>
          </w:p>
        </w:tc>
      </w:tr>
      <w:tr w:rsidR="00A41F46" w:rsidRPr="0035027D" w:rsidTr="00252E85">
        <w:trPr>
          <w:trHeight w:val="300"/>
          <w:jc w:val="center"/>
        </w:trPr>
        <w:tc>
          <w:tcPr>
            <w:tcW w:w="3532" w:type="dxa"/>
            <w:tcBorders>
              <w:top w:val="nil"/>
              <w:left w:val="single" w:sz="4" w:space="0" w:color="auto"/>
              <w:bottom w:val="single" w:sz="4" w:space="0" w:color="auto"/>
              <w:right w:val="nil"/>
            </w:tcBorders>
            <w:shd w:val="clear" w:color="auto" w:fill="auto"/>
            <w:noWrap/>
            <w:vAlign w:val="center"/>
            <w:hideMark/>
          </w:tcPr>
          <w:p w:rsidR="00252E85" w:rsidRPr="0035027D" w:rsidRDefault="00252E85" w:rsidP="00252E85">
            <w:pPr>
              <w:spacing w:after="0"/>
              <w:rPr>
                <w:rFonts w:cs="Times New Roman"/>
                <w:color w:val="000000"/>
                <w:sz w:val="20"/>
                <w:szCs w:val="20"/>
              </w:rPr>
            </w:pPr>
            <w:r w:rsidRPr="0035027D">
              <w:rPr>
                <w:rFonts w:cs="Times New Roman"/>
                <w:color w:val="000000"/>
                <w:sz w:val="20"/>
                <w:szCs w:val="20"/>
              </w:rPr>
              <w:t>(% vo vekovej skupine 20 - 64 rokov)</w:t>
            </w:r>
          </w:p>
        </w:tc>
        <w:tc>
          <w:tcPr>
            <w:tcW w:w="368" w:type="dxa"/>
            <w:tcBorders>
              <w:top w:val="nil"/>
              <w:left w:val="nil"/>
              <w:bottom w:val="single" w:sz="4" w:space="0" w:color="auto"/>
              <w:right w:val="single" w:sz="4" w:space="0" w:color="auto"/>
            </w:tcBorders>
            <w:shd w:val="clear" w:color="auto" w:fill="auto"/>
            <w:noWrap/>
            <w:vAlign w:val="center"/>
            <w:hideMark/>
          </w:tcPr>
          <w:p w:rsidR="00252E85" w:rsidRPr="0035027D" w:rsidRDefault="00252E85" w:rsidP="00252E85">
            <w:pPr>
              <w:spacing w:after="0"/>
              <w:jc w:val="left"/>
              <w:rPr>
                <w:rFonts w:cs="Times New Roman"/>
                <w:b/>
                <w:bCs/>
                <w:color w:val="000000"/>
                <w:sz w:val="20"/>
                <w:szCs w:val="20"/>
              </w:rPr>
            </w:pPr>
            <w:r w:rsidRPr="0035027D">
              <w:rPr>
                <w:rFonts w:cs="Times New Roman"/>
                <w:b/>
                <w:bCs/>
                <w:color w:val="000000"/>
                <w:sz w:val="20"/>
                <w:szCs w:val="20"/>
              </w:rPr>
              <w:t>EÚ</w:t>
            </w:r>
          </w:p>
        </w:tc>
        <w:tc>
          <w:tcPr>
            <w:tcW w:w="505" w:type="dxa"/>
            <w:tcBorders>
              <w:top w:val="nil"/>
              <w:left w:val="single" w:sz="4" w:space="0" w:color="auto"/>
              <w:bottom w:val="nil"/>
              <w:right w:val="nil"/>
            </w:tcBorders>
            <w:shd w:val="clear" w:color="auto" w:fill="auto"/>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67,4</w:t>
            </w:r>
          </w:p>
        </w:tc>
        <w:tc>
          <w:tcPr>
            <w:tcW w:w="505" w:type="dxa"/>
            <w:tcBorders>
              <w:top w:val="nil"/>
              <w:left w:val="nil"/>
              <w:bottom w:val="nil"/>
              <w:right w:val="nil"/>
            </w:tcBorders>
            <w:shd w:val="clear" w:color="auto" w:fill="auto"/>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68</w:t>
            </w:r>
          </w:p>
        </w:tc>
        <w:tc>
          <w:tcPr>
            <w:tcW w:w="505" w:type="dxa"/>
            <w:tcBorders>
              <w:top w:val="nil"/>
              <w:left w:val="nil"/>
              <w:bottom w:val="nil"/>
              <w:right w:val="nil"/>
            </w:tcBorders>
            <w:shd w:val="clear" w:color="auto" w:fill="auto"/>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69</w:t>
            </w:r>
          </w:p>
        </w:tc>
        <w:tc>
          <w:tcPr>
            <w:tcW w:w="505" w:type="dxa"/>
            <w:tcBorders>
              <w:top w:val="nil"/>
              <w:left w:val="nil"/>
              <w:bottom w:val="nil"/>
              <w:right w:val="nil"/>
            </w:tcBorders>
            <w:shd w:val="clear" w:color="auto" w:fill="auto"/>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69,9</w:t>
            </w:r>
          </w:p>
        </w:tc>
        <w:tc>
          <w:tcPr>
            <w:tcW w:w="505" w:type="dxa"/>
            <w:tcBorders>
              <w:top w:val="nil"/>
              <w:left w:val="nil"/>
              <w:bottom w:val="nil"/>
              <w:right w:val="nil"/>
            </w:tcBorders>
            <w:shd w:val="clear" w:color="auto" w:fill="auto"/>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70,3</w:t>
            </w:r>
          </w:p>
        </w:tc>
        <w:tc>
          <w:tcPr>
            <w:tcW w:w="505" w:type="dxa"/>
            <w:tcBorders>
              <w:top w:val="nil"/>
              <w:left w:val="nil"/>
              <w:bottom w:val="nil"/>
              <w:right w:val="nil"/>
            </w:tcBorders>
            <w:shd w:val="clear" w:color="auto" w:fill="auto"/>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69</w:t>
            </w:r>
          </w:p>
        </w:tc>
        <w:tc>
          <w:tcPr>
            <w:tcW w:w="505" w:type="dxa"/>
            <w:tcBorders>
              <w:top w:val="nil"/>
              <w:left w:val="nil"/>
              <w:bottom w:val="nil"/>
              <w:right w:val="nil"/>
            </w:tcBorders>
            <w:shd w:val="clear" w:color="auto" w:fill="auto"/>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68,6</w:t>
            </w:r>
          </w:p>
        </w:tc>
        <w:tc>
          <w:tcPr>
            <w:tcW w:w="505" w:type="dxa"/>
            <w:tcBorders>
              <w:top w:val="nil"/>
              <w:left w:val="nil"/>
              <w:bottom w:val="nil"/>
              <w:right w:val="nil"/>
            </w:tcBorders>
            <w:shd w:val="clear" w:color="auto" w:fill="auto"/>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68,6</w:t>
            </w:r>
          </w:p>
        </w:tc>
        <w:tc>
          <w:tcPr>
            <w:tcW w:w="569" w:type="dxa"/>
            <w:tcBorders>
              <w:top w:val="nil"/>
              <w:left w:val="nil"/>
              <w:bottom w:val="nil"/>
              <w:right w:val="single" w:sz="4" w:space="0" w:color="auto"/>
            </w:tcBorders>
            <w:shd w:val="clear" w:color="auto" w:fill="auto"/>
            <w:noWrap/>
            <w:vAlign w:val="center"/>
            <w:hideMark/>
          </w:tcPr>
          <w:p w:rsidR="00252E85" w:rsidRPr="0035027D" w:rsidRDefault="00766E2A" w:rsidP="00252E85">
            <w:pPr>
              <w:spacing w:after="0"/>
              <w:jc w:val="center"/>
              <w:rPr>
                <w:rFonts w:cs="Times New Roman"/>
                <w:color w:val="000000"/>
                <w:sz w:val="20"/>
                <w:szCs w:val="20"/>
              </w:rPr>
            </w:pPr>
            <w:r w:rsidRPr="0035027D">
              <w:rPr>
                <w:rFonts w:cs="Times New Roman"/>
                <w:color w:val="000000"/>
                <w:sz w:val="20"/>
                <w:szCs w:val="20"/>
              </w:rPr>
              <w:t>68,5</w:t>
            </w:r>
            <w:r w:rsidR="00252E85" w:rsidRPr="0035027D">
              <w:rPr>
                <w:rFonts w:cs="Times New Roman"/>
                <w:color w:val="000000"/>
                <w:sz w:val="20"/>
                <w:szCs w:val="20"/>
              </w:rPr>
              <w:t xml:space="preserve"> </w:t>
            </w:r>
          </w:p>
        </w:tc>
        <w:tc>
          <w:tcPr>
            <w:tcW w:w="606" w:type="dxa"/>
            <w:tcBorders>
              <w:top w:val="nil"/>
              <w:left w:val="nil"/>
              <w:bottom w:val="single" w:sz="4" w:space="0" w:color="auto"/>
              <w:right w:val="single" w:sz="4" w:space="0" w:color="auto"/>
            </w:tcBorders>
            <w:shd w:val="clear" w:color="auto" w:fill="auto"/>
            <w:noWrap/>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75</w:t>
            </w:r>
          </w:p>
        </w:tc>
      </w:tr>
      <w:tr w:rsidR="00A41F46" w:rsidRPr="0035027D" w:rsidTr="00252E85">
        <w:trPr>
          <w:trHeight w:val="300"/>
          <w:jc w:val="center"/>
        </w:trPr>
        <w:tc>
          <w:tcPr>
            <w:tcW w:w="3532" w:type="dxa"/>
            <w:tcBorders>
              <w:top w:val="nil"/>
              <w:left w:val="single" w:sz="4" w:space="0" w:color="auto"/>
              <w:bottom w:val="nil"/>
              <w:right w:val="nil"/>
            </w:tcBorders>
            <w:shd w:val="clear" w:color="auto" w:fill="auto"/>
            <w:noWrap/>
            <w:vAlign w:val="center"/>
            <w:hideMark/>
          </w:tcPr>
          <w:p w:rsidR="00252E85" w:rsidRPr="0035027D" w:rsidRDefault="00252E85" w:rsidP="00252E85">
            <w:pPr>
              <w:spacing w:after="0"/>
              <w:jc w:val="left"/>
              <w:rPr>
                <w:rFonts w:cs="Times New Roman"/>
                <w:b/>
                <w:bCs/>
                <w:color w:val="000000"/>
                <w:sz w:val="20"/>
                <w:szCs w:val="20"/>
              </w:rPr>
            </w:pPr>
            <w:r w:rsidRPr="0035027D">
              <w:rPr>
                <w:rFonts w:cs="Times New Roman"/>
                <w:b/>
                <w:bCs/>
                <w:color w:val="000000"/>
                <w:sz w:val="20"/>
                <w:szCs w:val="20"/>
              </w:rPr>
              <w:t>Populácia ohrozená chudobou a vylúčením</w:t>
            </w:r>
          </w:p>
        </w:tc>
        <w:tc>
          <w:tcPr>
            <w:tcW w:w="368" w:type="dxa"/>
            <w:tcBorders>
              <w:top w:val="nil"/>
              <w:left w:val="nil"/>
              <w:bottom w:val="nil"/>
              <w:right w:val="single" w:sz="4" w:space="0" w:color="auto"/>
            </w:tcBorders>
            <w:shd w:val="clear" w:color="auto" w:fill="auto"/>
            <w:noWrap/>
            <w:vAlign w:val="center"/>
            <w:hideMark/>
          </w:tcPr>
          <w:p w:rsidR="00252E85" w:rsidRPr="0035027D" w:rsidRDefault="00252E85" w:rsidP="00252E85">
            <w:pPr>
              <w:spacing w:after="0"/>
              <w:jc w:val="left"/>
              <w:rPr>
                <w:rFonts w:cs="Times New Roman"/>
                <w:b/>
                <w:bCs/>
                <w:color w:val="000000"/>
                <w:sz w:val="20"/>
                <w:szCs w:val="20"/>
              </w:rPr>
            </w:pPr>
            <w:r w:rsidRPr="0035027D">
              <w:rPr>
                <w:rFonts w:cs="Times New Roman"/>
                <w:b/>
                <w:bCs/>
                <w:color w:val="000000"/>
                <w:sz w:val="20"/>
                <w:szCs w:val="20"/>
              </w:rPr>
              <w:t>SK</w:t>
            </w:r>
          </w:p>
        </w:tc>
        <w:tc>
          <w:tcPr>
            <w:tcW w:w="505" w:type="dxa"/>
            <w:tcBorders>
              <w:top w:val="single" w:sz="4" w:space="0" w:color="auto"/>
              <w:left w:val="single" w:sz="4" w:space="0" w:color="auto"/>
              <w:bottom w:val="nil"/>
              <w:right w:val="nil"/>
            </w:tcBorders>
            <w:shd w:val="clear" w:color="auto" w:fill="auto"/>
            <w:noWrap/>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w:t>
            </w:r>
          </w:p>
        </w:tc>
        <w:tc>
          <w:tcPr>
            <w:tcW w:w="505" w:type="dxa"/>
            <w:tcBorders>
              <w:top w:val="single" w:sz="4" w:space="0" w:color="auto"/>
              <w:left w:val="nil"/>
              <w:bottom w:val="nil"/>
              <w:right w:val="nil"/>
            </w:tcBorders>
            <w:shd w:val="clear" w:color="auto" w:fill="auto"/>
            <w:noWrap/>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32</w:t>
            </w:r>
          </w:p>
        </w:tc>
        <w:tc>
          <w:tcPr>
            <w:tcW w:w="505" w:type="dxa"/>
            <w:tcBorders>
              <w:top w:val="single" w:sz="4" w:space="0" w:color="auto"/>
              <w:left w:val="nil"/>
              <w:bottom w:val="nil"/>
              <w:right w:val="nil"/>
            </w:tcBorders>
            <w:shd w:val="clear" w:color="auto" w:fill="auto"/>
            <w:noWrap/>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26,7</w:t>
            </w:r>
          </w:p>
        </w:tc>
        <w:tc>
          <w:tcPr>
            <w:tcW w:w="505" w:type="dxa"/>
            <w:tcBorders>
              <w:top w:val="single" w:sz="4" w:space="0" w:color="auto"/>
              <w:left w:val="nil"/>
              <w:bottom w:val="nil"/>
              <w:right w:val="nil"/>
            </w:tcBorders>
            <w:shd w:val="clear" w:color="auto" w:fill="auto"/>
            <w:noWrap/>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21,3</w:t>
            </w:r>
          </w:p>
        </w:tc>
        <w:tc>
          <w:tcPr>
            <w:tcW w:w="505" w:type="dxa"/>
            <w:tcBorders>
              <w:top w:val="single" w:sz="4" w:space="0" w:color="auto"/>
              <w:left w:val="nil"/>
              <w:bottom w:val="nil"/>
              <w:right w:val="nil"/>
            </w:tcBorders>
            <w:shd w:val="clear" w:color="auto" w:fill="auto"/>
            <w:noWrap/>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20,6</w:t>
            </w:r>
          </w:p>
        </w:tc>
        <w:tc>
          <w:tcPr>
            <w:tcW w:w="505" w:type="dxa"/>
            <w:tcBorders>
              <w:top w:val="single" w:sz="4" w:space="0" w:color="auto"/>
              <w:left w:val="nil"/>
              <w:bottom w:val="nil"/>
              <w:right w:val="nil"/>
            </w:tcBorders>
            <w:shd w:val="clear" w:color="auto" w:fill="auto"/>
            <w:noWrap/>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19,6</w:t>
            </w:r>
          </w:p>
        </w:tc>
        <w:tc>
          <w:tcPr>
            <w:tcW w:w="505" w:type="dxa"/>
            <w:tcBorders>
              <w:top w:val="single" w:sz="4" w:space="0" w:color="auto"/>
              <w:left w:val="nil"/>
              <w:bottom w:val="nil"/>
              <w:right w:val="nil"/>
            </w:tcBorders>
            <w:shd w:val="clear" w:color="auto" w:fill="auto"/>
            <w:noWrap/>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20,6</w:t>
            </w:r>
          </w:p>
        </w:tc>
        <w:tc>
          <w:tcPr>
            <w:tcW w:w="505" w:type="dxa"/>
            <w:tcBorders>
              <w:top w:val="single" w:sz="4" w:space="0" w:color="auto"/>
              <w:left w:val="nil"/>
              <w:bottom w:val="nil"/>
              <w:right w:val="nil"/>
            </w:tcBorders>
            <w:shd w:val="clear" w:color="auto" w:fill="auto"/>
            <w:noWrap/>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20,6</w:t>
            </w:r>
          </w:p>
        </w:tc>
        <w:tc>
          <w:tcPr>
            <w:tcW w:w="569" w:type="dxa"/>
            <w:tcBorders>
              <w:top w:val="single" w:sz="4" w:space="0" w:color="auto"/>
              <w:left w:val="nil"/>
              <w:bottom w:val="nil"/>
              <w:right w:val="single" w:sz="4" w:space="0" w:color="auto"/>
            </w:tcBorders>
            <w:shd w:val="clear" w:color="auto" w:fill="auto"/>
            <w:noWrap/>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 xml:space="preserve"> - </w:t>
            </w:r>
          </w:p>
        </w:tc>
        <w:tc>
          <w:tcPr>
            <w:tcW w:w="606" w:type="dxa"/>
            <w:tcBorders>
              <w:top w:val="nil"/>
              <w:left w:val="nil"/>
              <w:bottom w:val="nil"/>
              <w:right w:val="single" w:sz="4" w:space="0" w:color="auto"/>
            </w:tcBorders>
            <w:shd w:val="clear" w:color="auto" w:fill="auto"/>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17,2</w:t>
            </w:r>
          </w:p>
        </w:tc>
      </w:tr>
      <w:tr w:rsidR="00A41F46" w:rsidRPr="0035027D" w:rsidTr="00252E85">
        <w:trPr>
          <w:trHeight w:val="300"/>
          <w:jc w:val="center"/>
        </w:trPr>
        <w:tc>
          <w:tcPr>
            <w:tcW w:w="3532" w:type="dxa"/>
            <w:tcBorders>
              <w:top w:val="nil"/>
              <w:left w:val="single" w:sz="4" w:space="0" w:color="auto"/>
              <w:bottom w:val="single" w:sz="4" w:space="0" w:color="auto"/>
              <w:right w:val="nil"/>
            </w:tcBorders>
            <w:shd w:val="clear" w:color="auto" w:fill="auto"/>
            <w:noWrap/>
            <w:vAlign w:val="center"/>
            <w:hideMark/>
          </w:tcPr>
          <w:p w:rsidR="00252E85" w:rsidRPr="0035027D" w:rsidRDefault="00252E85" w:rsidP="00252E85">
            <w:pPr>
              <w:spacing w:after="0"/>
              <w:rPr>
                <w:rFonts w:cs="Times New Roman"/>
                <w:color w:val="000000"/>
                <w:sz w:val="20"/>
                <w:szCs w:val="20"/>
              </w:rPr>
            </w:pPr>
            <w:r w:rsidRPr="0035027D">
              <w:rPr>
                <w:rFonts w:cs="Times New Roman"/>
                <w:color w:val="000000"/>
                <w:sz w:val="20"/>
                <w:szCs w:val="20"/>
              </w:rPr>
              <w:t>(% populácie)</w:t>
            </w:r>
          </w:p>
        </w:tc>
        <w:tc>
          <w:tcPr>
            <w:tcW w:w="368" w:type="dxa"/>
            <w:tcBorders>
              <w:top w:val="nil"/>
              <w:left w:val="nil"/>
              <w:bottom w:val="single" w:sz="4" w:space="0" w:color="auto"/>
              <w:right w:val="single" w:sz="4" w:space="0" w:color="auto"/>
            </w:tcBorders>
            <w:shd w:val="clear" w:color="auto" w:fill="auto"/>
            <w:noWrap/>
            <w:vAlign w:val="center"/>
            <w:hideMark/>
          </w:tcPr>
          <w:p w:rsidR="00252E85" w:rsidRPr="0035027D" w:rsidRDefault="00252E85" w:rsidP="00252E85">
            <w:pPr>
              <w:spacing w:after="0"/>
              <w:jc w:val="left"/>
              <w:rPr>
                <w:rFonts w:cs="Times New Roman"/>
                <w:b/>
                <w:bCs/>
                <w:color w:val="000000"/>
                <w:sz w:val="20"/>
                <w:szCs w:val="20"/>
              </w:rPr>
            </w:pPr>
            <w:r w:rsidRPr="0035027D">
              <w:rPr>
                <w:rFonts w:cs="Times New Roman"/>
                <w:b/>
                <w:bCs/>
                <w:color w:val="000000"/>
                <w:sz w:val="20"/>
                <w:szCs w:val="20"/>
              </w:rPr>
              <w:t>EÚ</w:t>
            </w:r>
          </w:p>
        </w:tc>
        <w:tc>
          <w:tcPr>
            <w:tcW w:w="505" w:type="dxa"/>
            <w:tcBorders>
              <w:top w:val="nil"/>
              <w:left w:val="single" w:sz="4" w:space="0" w:color="auto"/>
              <w:bottom w:val="single" w:sz="4" w:space="0" w:color="auto"/>
              <w:right w:val="nil"/>
            </w:tcBorders>
            <w:shd w:val="clear" w:color="auto" w:fill="auto"/>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 xml:space="preserve"> - </w:t>
            </w:r>
          </w:p>
        </w:tc>
        <w:tc>
          <w:tcPr>
            <w:tcW w:w="505" w:type="dxa"/>
            <w:tcBorders>
              <w:top w:val="nil"/>
              <w:left w:val="nil"/>
              <w:bottom w:val="single" w:sz="4" w:space="0" w:color="auto"/>
              <w:right w:val="nil"/>
            </w:tcBorders>
            <w:shd w:val="clear" w:color="auto" w:fill="auto"/>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25,6</w:t>
            </w:r>
          </w:p>
        </w:tc>
        <w:tc>
          <w:tcPr>
            <w:tcW w:w="505" w:type="dxa"/>
            <w:tcBorders>
              <w:top w:val="nil"/>
              <w:left w:val="nil"/>
              <w:bottom w:val="single" w:sz="4" w:space="0" w:color="auto"/>
              <w:right w:val="nil"/>
            </w:tcBorders>
            <w:shd w:val="clear" w:color="auto" w:fill="auto"/>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25,2</w:t>
            </w:r>
          </w:p>
        </w:tc>
        <w:tc>
          <w:tcPr>
            <w:tcW w:w="505" w:type="dxa"/>
            <w:tcBorders>
              <w:top w:val="nil"/>
              <w:left w:val="nil"/>
              <w:bottom w:val="single" w:sz="4" w:space="0" w:color="auto"/>
              <w:right w:val="nil"/>
            </w:tcBorders>
            <w:shd w:val="clear" w:color="auto" w:fill="auto"/>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24,4</w:t>
            </w:r>
          </w:p>
        </w:tc>
        <w:tc>
          <w:tcPr>
            <w:tcW w:w="505" w:type="dxa"/>
            <w:tcBorders>
              <w:top w:val="nil"/>
              <w:left w:val="nil"/>
              <w:bottom w:val="single" w:sz="4" w:space="0" w:color="auto"/>
              <w:right w:val="nil"/>
            </w:tcBorders>
            <w:shd w:val="clear" w:color="auto" w:fill="auto"/>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23,6</w:t>
            </w:r>
          </w:p>
        </w:tc>
        <w:tc>
          <w:tcPr>
            <w:tcW w:w="505" w:type="dxa"/>
            <w:tcBorders>
              <w:top w:val="nil"/>
              <w:left w:val="nil"/>
              <w:bottom w:val="single" w:sz="4" w:space="0" w:color="auto"/>
              <w:right w:val="nil"/>
            </w:tcBorders>
            <w:shd w:val="clear" w:color="auto" w:fill="auto"/>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23,1</w:t>
            </w:r>
          </w:p>
        </w:tc>
        <w:tc>
          <w:tcPr>
            <w:tcW w:w="505" w:type="dxa"/>
            <w:tcBorders>
              <w:top w:val="nil"/>
              <w:left w:val="nil"/>
              <w:bottom w:val="single" w:sz="4" w:space="0" w:color="auto"/>
              <w:right w:val="nil"/>
            </w:tcBorders>
            <w:shd w:val="clear" w:color="auto" w:fill="auto"/>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23,6</w:t>
            </w:r>
          </w:p>
        </w:tc>
        <w:tc>
          <w:tcPr>
            <w:tcW w:w="505" w:type="dxa"/>
            <w:tcBorders>
              <w:top w:val="nil"/>
              <w:left w:val="nil"/>
              <w:bottom w:val="single" w:sz="4" w:space="0" w:color="auto"/>
              <w:right w:val="nil"/>
            </w:tcBorders>
            <w:shd w:val="clear" w:color="auto" w:fill="auto"/>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24,2</w:t>
            </w:r>
          </w:p>
        </w:tc>
        <w:tc>
          <w:tcPr>
            <w:tcW w:w="569" w:type="dxa"/>
            <w:tcBorders>
              <w:top w:val="nil"/>
              <w:left w:val="nil"/>
              <w:bottom w:val="single" w:sz="4" w:space="0" w:color="auto"/>
              <w:right w:val="single" w:sz="4" w:space="0" w:color="auto"/>
            </w:tcBorders>
            <w:shd w:val="clear" w:color="auto" w:fill="auto"/>
            <w:noWrap/>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 xml:space="preserve"> - </w:t>
            </w:r>
          </w:p>
        </w:tc>
        <w:tc>
          <w:tcPr>
            <w:tcW w:w="606" w:type="dxa"/>
            <w:tcBorders>
              <w:top w:val="nil"/>
              <w:left w:val="nil"/>
              <w:bottom w:val="single" w:sz="4" w:space="0" w:color="auto"/>
              <w:right w:val="single" w:sz="4" w:space="0" w:color="auto"/>
            </w:tcBorders>
            <w:shd w:val="clear" w:color="auto" w:fill="auto"/>
            <w:vAlign w:val="center"/>
            <w:hideMark/>
          </w:tcPr>
          <w:p w:rsidR="00252E85" w:rsidRPr="0035027D" w:rsidRDefault="00252E85" w:rsidP="00252E85">
            <w:pPr>
              <w:spacing w:after="0"/>
              <w:jc w:val="center"/>
              <w:rPr>
                <w:rFonts w:cs="Times New Roman"/>
                <w:color w:val="000000"/>
                <w:sz w:val="20"/>
                <w:szCs w:val="20"/>
              </w:rPr>
            </w:pPr>
            <w:r w:rsidRPr="0035027D">
              <w:rPr>
                <w:rFonts w:cs="Times New Roman"/>
                <w:color w:val="000000"/>
                <w:sz w:val="20"/>
                <w:szCs w:val="20"/>
              </w:rPr>
              <w:t>19,4</w:t>
            </w:r>
          </w:p>
        </w:tc>
      </w:tr>
    </w:tbl>
    <w:p w:rsidR="00051AED" w:rsidRPr="0035027D" w:rsidRDefault="00701EC8" w:rsidP="00051AED">
      <w:pPr>
        <w:pStyle w:val="Odsekzoznamu"/>
        <w:tabs>
          <w:tab w:val="left" w:pos="426"/>
        </w:tabs>
        <w:spacing w:before="120" w:after="0" w:line="240" w:lineRule="auto"/>
        <w:ind w:left="0"/>
        <w:contextualSpacing w:val="0"/>
        <w:jc w:val="both"/>
        <w:rPr>
          <w:rFonts w:ascii="Arial Narrow" w:hAnsi="Arial Narrow"/>
        </w:rPr>
      </w:pPr>
      <w:r w:rsidRPr="0035027D">
        <w:rPr>
          <w:rFonts w:ascii="Arial Narrow" w:hAnsi="Arial Narrow"/>
        </w:rPr>
        <w:t>Trh práce patrí dlhodobo medzi hlavné výzvy slovenskej ekonomiky. V porovnaní s inými</w:t>
      </w:r>
      <w:r w:rsidR="00A810CE" w:rsidRPr="0035027D">
        <w:rPr>
          <w:rFonts w:ascii="Arial Narrow" w:hAnsi="Arial Narrow"/>
        </w:rPr>
        <w:t xml:space="preserve"> krajinami EÚ má Slovensko relatívne nízk</w:t>
      </w:r>
      <w:r w:rsidRPr="0035027D">
        <w:rPr>
          <w:rFonts w:ascii="Arial Narrow" w:hAnsi="Arial Narrow"/>
        </w:rPr>
        <w:t xml:space="preserve">u zamestnanosť, najmä mladých, ale aj starších a žien, </w:t>
      </w:r>
      <w:r w:rsidR="00250470" w:rsidRPr="0035027D">
        <w:rPr>
          <w:rFonts w:ascii="Arial Narrow" w:hAnsi="Arial Narrow"/>
        </w:rPr>
        <w:t xml:space="preserve">a </w:t>
      </w:r>
      <w:r w:rsidRPr="0035027D">
        <w:rPr>
          <w:rFonts w:ascii="Arial Narrow" w:hAnsi="Arial Narrow"/>
        </w:rPr>
        <w:t xml:space="preserve">vysokú mieru </w:t>
      </w:r>
      <w:r w:rsidR="00766E2A" w:rsidRPr="0035027D">
        <w:rPr>
          <w:rFonts w:ascii="Arial Narrow" w:hAnsi="Arial Narrow"/>
        </w:rPr>
        <w:t>nezamestnanosti</w:t>
      </w:r>
      <w:r w:rsidRPr="0035027D">
        <w:rPr>
          <w:rFonts w:ascii="Arial Narrow" w:hAnsi="Arial Narrow"/>
        </w:rPr>
        <w:t xml:space="preserve">, v rámci ktorej dominuje dlhodobá nezamestnanosť. </w:t>
      </w:r>
      <w:r w:rsidR="000C5CAB" w:rsidRPr="0035027D">
        <w:rPr>
          <w:rFonts w:ascii="Arial Narrow" w:hAnsi="Arial Narrow"/>
        </w:rPr>
        <w:t>Miera dlhodobej nezamestnanosti</w:t>
      </w:r>
      <w:r w:rsidR="00051AED" w:rsidRPr="0035027D">
        <w:rPr>
          <w:rFonts w:ascii="Arial Narrow" w:hAnsi="Arial Narrow"/>
        </w:rPr>
        <w:t xml:space="preserve"> na Slovensku patrí s </w:t>
      </w:r>
      <w:r w:rsidR="00766E2A" w:rsidRPr="0035027D">
        <w:rPr>
          <w:rFonts w:ascii="Arial Narrow" w:hAnsi="Arial Narrow"/>
        </w:rPr>
        <w:t xml:space="preserve">viac ako </w:t>
      </w:r>
      <w:r w:rsidR="00051AED" w:rsidRPr="0035027D">
        <w:rPr>
          <w:rFonts w:ascii="Arial Narrow" w:hAnsi="Arial Narrow"/>
        </w:rPr>
        <w:t>9 % medzi najvyššie v</w:t>
      </w:r>
      <w:r w:rsidR="00766E2A" w:rsidRPr="0035027D">
        <w:rPr>
          <w:rFonts w:ascii="Arial Narrow" w:hAnsi="Arial Narrow"/>
        </w:rPr>
        <w:t> </w:t>
      </w:r>
      <w:r w:rsidR="00051AED" w:rsidRPr="0035027D">
        <w:rPr>
          <w:rFonts w:ascii="Arial Narrow" w:hAnsi="Arial Narrow"/>
        </w:rPr>
        <w:t>EÚ</w:t>
      </w:r>
      <w:r w:rsidR="00766E2A" w:rsidRPr="0035027D">
        <w:rPr>
          <w:rFonts w:ascii="Arial Narrow" w:hAnsi="Arial Narrow"/>
        </w:rPr>
        <w:t>27</w:t>
      </w:r>
      <w:r w:rsidR="00051AED" w:rsidRPr="0035027D">
        <w:rPr>
          <w:rFonts w:ascii="Arial Narrow" w:hAnsi="Arial Narrow"/>
        </w:rPr>
        <w:t xml:space="preserve">. Vyplýva hlavne z vysokej nezamestnanosti medzi mladými a dlhodobej nezamestnanosti nízko kvalifikovanej pracovnej sily. </w:t>
      </w:r>
    </w:p>
    <w:p w:rsidR="0037297C" w:rsidRPr="0035027D" w:rsidRDefault="0037297C" w:rsidP="0081049D">
      <w:pPr>
        <w:pStyle w:val="Odsekzoznamu"/>
        <w:tabs>
          <w:tab w:val="left" w:pos="426"/>
        </w:tabs>
        <w:spacing w:after="0" w:line="240" w:lineRule="auto"/>
        <w:ind w:left="0"/>
        <w:jc w:val="both"/>
        <w:rPr>
          <w:rFonts w:ascii="Arial Narrow" w:hAnsi="Arial Narrow"/>
        </w:rPr>
      </w:pPr>
    </w:p>
    <w:p w:rsidR="00051AED" w:rsidRPr="0035027D" w:rsidRDefault="00766E2A" w:rsidP="00051AED">
      <w:pPr>
        <w:spacing w:after="0"/>
      </w:pPr>
      <w:r w:rsidRPr="0035027D">
        <w:t>N</w:t>
      </w:r>
      <w:r w:rsidR="00051AED" w:rsidRPr="0035027D">
        <w:t>ezamestnanos</w:t>
      </w:r>
      <w:r w:rsidR="00051AED" w:rsidRPr="0035027D">
        <w:rPr>
          <w:rFonts w:cs="Times New Roman"/>
        </w:rPr>
        <w:t>ť</w:t>
      </w:r>
      <w:r w:rsidR="00051AED" w:rsidRPr="0035027D">
        <w:t xml:space="preserve"> mladých na Slovensku je jedna z najvyšších v EÚ, ke</w:t>
      </w:r>
      <w:r w:rsidR="00051AED" w:rsidRPr="0035027D">
        <w:rPr>
          <w:rFonts w:cs="Times New Roman"/>
        </w:rPr>
        <w:t>ď</w:t>
      </w:r>
      <w:r w:rsidR="00051AED" w:rsidRPr="0035027D">
        <w:t xml:space="preserve"> miera nezamestnanosti tejto skupiny v roku 2012 dosiahla viac ako 3</w:t>
      </w:r>
      <w:r w:rsidRPr="0035027D">
        <w:t>2</w:t>
      </w:r>
      <w:r w:rsidR="00051AED" w:rsidRPr="0035027D">
        <w:t> %. Po zoh</w:t>
      </w:r>
      <w:r w:rsidR="00051AED" w:rsidRPr="0035027D">
        <w:rPr>
          <w:rFonts w:cs="Times New Roman"/>
        </w:rPr>
        <w:t>ľ</w:t>
      </w:r>
      <w:r w:rsidR="00051AED" w:rsidRPr="0035027D">
        <w:t>adnení po</w:t>
      </w:r>
      <w:r w:rsidR="00051AED" w:rsidRPr="0035027D">
        <w:rPr>
          <w:rFonts w:cs="Times New Roman"/>
        </w:rPr>
        <w:t>č</w:t>
      </w:r>
      <w:r w:rsidR="00051AED" w:rsidRPr="0035027D">
        <w:t xml:space="preserve">tu mladých </w:t>
      </w:r>
      <w:r w:rsidR="00051AED" w:rsidRPr="0035027D">
        <w:rPr>
          <w:rFonts w:cs="Times New Roman"/>
        </w:rPr>
        <w:t>ľ</w:t>
      </w:r>
      <w:r w:rsidR="00051AED" w:rsidRPr="0035027D">
        <w:t xml:space="preserve">udí vo vzdelávacom procese, miera neaktivity mladých </w:t>
      </w:r>
      <w:r w:rsidR="00051AED" w:rsidRPr="0035027D">
        <w:rPr>
          <w:rFonts w:cs="Times New Roman"/>
        </w:rPr>
        <w:t>ľ</w:t>
      </w:r>
      <w:r w:rsidR="00051AED" w:rsidRPr="0035027D">
        <w:t xml:space="preserve">udí pod 25 rokov (t. j. tých, ktorí nie sú zamestnaní ani zapojení do procesu vzdelávania alebo odbornej prípravy – tzv. NEET) v roku 2011 predstavovala na Slovensku 13,8 %, </w:t>
      </w:r>
      <w:r w:rsidR="00051AED" w:rsidRPr="0035027D">
        <w:rPr>
          <w:rFonts w:cs="Times New Roman"/>
        </w:rPr>
        <w:t>č</w:t>
      </w:r>
      <w:r w:rsidR="00051AED" w:rsidRPr="0035027D">
        <w:t>o však stále, aj ke</w:t>
      </w:r>
      <w:r w:rsidR="00051AED" w:rsidRPr="0035027D">
        <w:rPr>
          <w:rFonts w:cs="Times New Roman"/>
        </w:rPr>
        <w:t>ď</w:t>
      </w:r>
      <w:r w:rsidR="00051AED" w:rsidRPr="0035027D">
        <w:t xml:space="preserve"> s menej výrazným rozdielom, predstavuje hodnotu nad priemerom EÚ27 a krajín V3 (12,9 % a 11,1 %). Všeobecne je stav </w:t>
      </w:r>
      <w:r w:rsidR="00051AED" w:rsidRPr="0035027D">
        <w:lastRenderedPageBreak/>
        <w:t>nezamestnanosti medzi mladými ovplyvnený nesúladom zru</w:t>
      </w:r>
      <w:r w:rsidR="00051AED" w:rsidRPr="0035027D">
        <w:rPr>
          <w:rFonts w:cs="Times New Roman"/>
        </w:rPr>
        <w:t>č</w:t>
      </w:r>
      <w:r w:rsidR="00051AED" w:rsidRPr="0035027D">
        <w:t>ností a potrebami trhu práce, a momentálne tie</w:t>
      </w:r>
      <w:r w:rsidR="00051AED" w:rsidRPr="0035027D">
        <w:rPr>
          <w:rFonts w:cs="Times New Roman"/>
        </w:rPr>
        <w:t>ž</w:t>
      </w:r>
      <w:r w:rsidR="00051AED" w:rsidRPr="0035027D">
        <w:t xml:space="preserve"> nedostato</w:t>
      </w:r>
      <w:r w:rsidR="00051AED" w:rsidRPr="0035027D">
        <w:rPr>
          <w:rFonts w:cs="Times New Roman"/>
        </w:rPr>
        <w:t>č</w:t>
      </w:r>
      <w:r w:rsidR="00051AED" w:rsidRPr="0035027D">
        <w:t xml:space="preserve">ným dopytom po pracovnej sile. </w:t>
      </w:r>
    </w:p>
    <w:p w:rsidR="00670CA5" w:rsidRPr="0035027D" w:rsidRDefault="00670CA5" w:rsidP="00051AED">
      <w:pPr>
        <w:spacing w:after="0"/>
      </w:pPr>
    </w:p>
    <w:tbl>
      <w:tblPr>
        <w:tblW w:w="9278" w:type="dxa"/>
        <w:tblInd w:w="-68" w:type="dxa"/>
        <w:tblCellMar>
          <w:left w:w="70" w:type="dxa"/>
          <w:right w:w="70" w:type="dxa"/>
        </w:tblCellMar>
        <w:tblLook w:val="0000" w:firstRow="0" w:lastRow="0" w:firstColumn="0" w:lastColumn="0" w:noHBand="0" w:noVBand="0"/>
      </w:tblPr>
      <w:tblGrid>
        <w:gridCol w:w="4451"/>
        <w:gridCol w:w="146"/>
        <w:gridCol w:w="4681"/>
      </w:tblGrid>
      <w:tr w:rsidR="00134EA4" w:rsidRPr="0035027D" w:rsidTr="0081049D">
        <w:trPr>
          <w:trHeight w:val="271"/>
        </w:trPr>
        <w:tc>
          <w:tcPr>
            <w:tcW w:w="4451" w:type="dxa"/>
            <w:tcBorders>
              <w:top w:val="nil"/>
              <w:left w:val="nil"/>
              <w:bottom w:val="nil"/>
              <w:right w:val="nil"/>
            </w:tcBorders>
            <w:shd w:val="clear" w:color="auto" w:fill="000000"/>
            <w:vAlign w:val="center"/>
          </w:tcPr>
          <w:p w:rsidR="00134EA4" w:rsidRPr="0035027D" w:rsidRDefault="00933CC1" w:rsidP="007F2CD6">
            <w:pPr>
              <w:spacing w:after="0"/>
              <w:rPr>
                <w:b/>
                <w:bCs/>
                <w:color w:val="FFFFFF"/>
                <w:sz w:val="18"/>
                <w:szCs w:val="20"/>
              </w:rPr>
            </w:pPr>
            <w:r w:rsidRPr="0035027D">
              <w:rPr>
                <w:b/>
                <w:bCs/>
                <w:color w:val="FFFFFF"/>
                <w:sz w:val="18"/>
                <w:szCs w:val="20"/>
              </w:rPr>
              <w:t xml:space="preserve">Graf 11: </w:t>
            </w:r>
            <w:r w:rsidR="00134EA4" w:rsidRPr="0035027D">
              <w:rPr>
                <w:b/>
                <w:bCs/>
                <w:color w:val="FFFFFF"/>
                <w:sz w:val="18"/>
                <w:szCs w:val="20"/>
              </w:rPr>
              <w:t>Miera nezamestnanosti 15</w:t>
            </w:r>
            <w:r w:rsidR="00882645" w:rsidRPr="0035027D">
              <w:rPr>
                <w:b/>
                <w:bCs/>
                <w:color w:val="FFFFFF"/>
                <w:sz w:val="18"/>
                <w:szCs w:val="20"/>
              </w:rPr>
              <w:t> </w:t>
            </w:r>
            <w:r w:rsidR="00134EA4" w:rsidRPr="0035027D">
              <w:rPr>
                <w:b/>
                <w:bCs/>
                <w:color w:val="FFFFFF"/>
                <w:sz w:val="18"/>
                <w:szCs w:val="20"/>
              </w:rPr>
              <w:t>-</w:t>
            </w:r>
            <w:r w:rsidR="00882645" w:rsidRPr="0035027D">
              <w:rPr>
                <w:b/>
                <w:bCs/>
                <w:color w:val="FFFFFF"/>
                <w:sz w:val="18"/>
                <w:szCs w:val="20"/>
              </w:rPr>
              <w:t> </w:t>
            </w:r>
            <w:r w:rsidR="00134EA4" w:rsidRPr="0035027D">
              <w:rPr>
                <w:b/>
                <w:bCs/>
                <w:color w:val="FFFFFF"/>
                <w:sz w:val="18"/>
                <w:szCs w:val="20"/>
              </w:rPr>
              <w:t>24-roční v</w:t>
            </w:r>
            <w:r w:rsidR="005E1922" w:rsidRPr="0035027D">
              <w:rPr>
                <w:b/>
                <w:bCs/>
                <w:color w:val="FFFFFF"/>
                <w:sz w:val="18"/>
                <w:szCs w:val="20"/>
              </w:rPr>
              <w:t> %</w:t>
            </w:r>
          </w:p>
        </w:tc>
        <w:tc>
          <w:tcPr>
            <w:tcW w:w="146" w:type="dxa"/>
            <w:tcBorders>
              <w:top w:val="nil"/>
              <w:left w:val="nil"/>
              <w:bottom w:val="nil"/>
              <w:right w:val="nil"/>
            </w:tcBorders>
            <w:vAlign w:val="center"/>
          </w:tcPr>
          <w:p w:rsidR="00134EA4" w:rsidRPr="0035027D" w:rsidRDefault="00134EA4" w:rsidP="007F2CD6">
            <w:pPr>
              <w:spacing w:after="0"/>
              <w:rPr>
                <w:b/>
                <w:bCs/>
                <w:color w:val="FFFFFF"/>
                <w:sz w:val="18"/>
                <w:szCs w:val="20"/>
              </w:rPr>
            </w:pPr>
          </w:p>
        </w:tc>
        <w:tc>
          <w:tcPr>
            <w:tcW w:w="4681" w:type="dxa"/>
            <w:tcBorders>
              <w:top w:val="nil"/>
              <w:left w:val="nil"/>
              <w:bottom w:val="nil"/>
              <w:right w:val="nil"/>
            </w:tcBorders>
            <w:shd w:val="clear" w:color="auto" w:fill="000000"/>
            <w:vAlign w:val="center"/>
          </w:tcPr>
          <w:p w:rsidR="00134EA4" w:rsidRPr="0035027D" w:rsidRDefault="00933CC1" w:rsidP="007F2CD6">
            <w:pPr>
              <w:spacing w:after="0"/>
              <w:rPr>
                <w:b/>
                <w:bCs/>
                <w:sz w:val="18"/>
                <w:szCs w:val="20"/>
              </w:rPr>
            </w:pPr>
            <w:r w:rsidRPr="0035027D">
              <w:rPr>
                <w:b/>
                <w:bCs/>
                <w:color w:val="FFFFFF"/>
                <w:sz w:val="18"/>
                <w:szCs w:val="20"/>
              </w:rPr>
              <w:t xml:space="preserve">Graf 12: </w:t>
            </w:r>
            <w:r w:rsidR="00134EA4" w:rsidRPr="0035027D">
              <w:rPr>
                <w:b/>
                <w:bCs/>
                <w:color w:val="FFFFFF"/>
                <w:sz w:val="18"/>
                <w:szCs w:val="20"/>
              </w:rPr>
              <w:t>NEET ukazovateľ (15</w:t>
            </w:r>
            <w:r w:rsidR="00882645" w:rsidRPr="0035027D">
              <w:rPr>
                <w:b/>
                <w:bCs/>
                <w:color w:val="FFFFFF"/>
                <w:sz w:val="18"/>
                <w:szCs w:val="20"/>
              </w:rPr>
              <w:t> </w:t>
            </w:r>
            <w:r w:rsidR="00134EA4" w:rsidRPr="0035027D">
              <w:rPr>
                <w:b/>
                <w:bCs/>
                <w:color w:val="FFFFFF"/>
                <w:sz w:val="18"/>
                <w:szCs w:val="20"/>
              </w:rPr>
              <w:t>-</w:t>
            </w:r>
            <w:r w:rsidR="00882645" w:rsidRPr="0035027D">
              <w:rPr>
                <w:b/>
                <w:bCs/>
                <w:color w:val="FFFFFF"/>
                <w:sz w:val="18"/>
                <w:szCs w:val="20"/>
              </w:rPr>
              <w:t> </w:t>
            </w:r>
            <w:r w:rsidR="00134EA4" w:rsidRPr="0035027D">
              <w:rPr>
                <w:b/>
                <w:bCs/>
                <w:color w:val="FFFFFF"/>
                <w:sz w:val="18"/>
                <w:szCs w:val="20"/>
              </w:rPr>
              <w:t>24 roční mimo pracovného alebo vzdelávacieho procesu) v</w:t>
            </w:r>
            <w:r w:rsidR="005E1922" w:rsidRPr="0035027D">
              <w:rPr>
                <w:b/>
                <w:bCs/>
                <w:color w:val="FFFFFF"/>
                <w:sz w:val="18"/>
                <w:szCs w:val="20"/>
              </w:rPr>
              <w:t> %</w:t>
            </w:r>
          </w:p>
        </w:tc>
      </w:tr>
      <w:tr w:rsidR="00134EA4" w:rsidRPr="0035027D" w:rsidTr="0081049D">
        <w:trPr>
          <w:trHeight w:val="2434"/>
        </w:trPr>
        <w:tc>
          <w:tcPr>
            <w:tcW w:w="4451" w:type="dxa"/>
            <w:tcBorders>
              <w:top w:val="nil"/>
              <w:left w:val="nil"/>
              <w:bottom w:val="single" w:sz="8" w:space="0" w:color="auto"/>
              <w:right w:val="nil"/>
            </w:tcBorders>
          </w:tcPr>
          <w:p w:rsidR="00134EA4" w:rsidRPr="0035027D" w:rsidRDefault="0081049D" w:rsidP="007F2CD6">
            <w:pPr>
              <w:spacing w:after="0"/>
              <w:rPr>
                <w:rFonts w:cs="Garamond"/>
                <w:b/>
                <w:bCs/>
                <w:sz w:val="16"/>
                <w:szCs w:val="16"/>
              </w:rPr>
            </w:pPr>
            <w:r w:rsidRPr="0035027D">
              <w:rPr>
                <w:rFonts w:cs="Garamond"/>
                <w:b/>
                <w:bCs/>
                <w:noProof/>
                <w:sz w:val="16"/>
                <w:szCs w:val="16"/>
              </w:rPr>
              <w:drawing>
                <wp:inline distT="0" distB="0" distL="0" distR="0" wp14:anchorId="678C482C" wp14:editId="0BB9AF8E">
                  <wp:extent cx="2865120" cy="194500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65120" cy="1945005"/>
                          </a:xfrm>
                          <a:prstGeom prst="rect">
                            <a:avLst/>
                          </a:prstGeom>
                          <a:noFill/>
                        </pic:spPr>
                      </pic:pic>
                    </a:graphicData>
                  </a:graphic>
                </wp:inline>
              </w:drawing>
            </w:r>
          </w:p>
        </w:tc>
        <w:tc>
          <w:tcPr>
            <w:tcW w:w="146" w:type="dxa"/>
            <w:tcBorders>
              <w:top w:val="nil"/>
              <w:left w:val="nil"/>
              <w:bottom w:val="nil"/>
              <w:right w:val="nil"/>
            </w:tcBorders>
          </w:tcPr>
          <w:p w:rsidR="00134EA4" w:rsidRPr="0035027D" w:rsidRDefault="00134EA4" w:rsidP="007F2CD6">
            <w:pPr>
              <w:spacing w:after="0"/>
              <w:rPr>
                <w:rFonts w:cs="Garamond"/>
                <w:b/>
                <w:bCs/>
                <w:sz w:val="16"/>
                <w:szCs w:val="16"/>
              </w:rPr>
            </w:pPr>
          </w:p>
        </w:tc>
        <w:tc>
          <w:tcPr>
            <w:tcW w:w="4681" w:type="dxa"/>
            <w:tcBorders>
              <w:top w:val="nil"/>
              <w:left w:val="nil"/>
              <w:bottom w:val="single" w:sz="8" w:space="0" w:color="auto"/>
              <w:right w:val="nil"/>
            </w:tcBorders>
          </w:tcPr>
          <w:p w:rsidR="00134EA4" w:rsidRPr="0035027D" w:rsidRDefault="0081049D" w:rsidP="007F2CD6">
            <w:pPr>
              <w:spacing w:after="0"/>
              <w:rPr>
                <w:rFonts w:cs="Garamond"/>
                <w:b/>
                <w:bCs/>
                <w:sz w:val="16"/>
                <w:szCs w:val="16"/>
              </w:rPr>
            </w:pPr>
            <w:r w:rsidRPr="0035027D">
              <w:rPr>
                <w:rFonts w:cs="Garamond"/>
                <w:b/>
                <w:bCs/>
                <w:noProof/>
                <w:sz w:val="16"/>
                <w:szCs w:val="16"/>
              </w:rPr>
              <w:drawing>
                <wp:inline distT="0" distB="0" distL="0" distR="0" wp14:anchorId="6D909FD1" wp14:editId="60500ED5">
                  <wp:extent cx="3017520" cy="194500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7520" cy="1945005"/>
                          </a:xfrm>
                          <a:prstGeom prst="rect">
                            <a:avLst/>
                          </a:prstGeom>
                          <a:noFill/>
                        </pic:spPr>
                      </pic:pic>
                    </a:graphicData>
                  </a:graphic>
                </wp:inline>
              </w:drawing>
            </w:r>
          </w:p>
        </w:tc>
      </w:tr>
      <w:tr w:rsidR="00134EA4" w:rsidRPr="0035027D" w:rsidTr="0081049D">
        <w:trPr>
          <w:trHeight w:val="425"/>
        </w:trPr>
        <w:tc>
          <w:tcPr>
            <w:tcW w:w="4451" w:type="dxa"/>
            <w:tcBorders>
              <w:top w:val="nil"/>
              <w:left w:val="nil"/>
              <w:bottom w:val="nil"/>
              <w:right w:val="nil"/>
            </w:tcBorders>
          </w:tcPr>
          <w:p w:rsidR="00134EA4" w:rsidRPr="0035027D" w:rsidRDefault="00134EA4" w:rsidP="007F2CD6">
            <w:pPr>
              <w:spacing w:after="0"/>
              <w:jc w:val="right"/>
              <w:rPr>
                <w:i/>
                <w:iCs/>
                <w:sz w:val="16"/>
                <w:szCs w:val="16"/>
              </w:rPr>
            </w:pPr>
            <w:r w:rsidRPr="0035027D">
              <w:rPr>
                <w:i/>
                <w:iCs/>
                <w:sz w:val="16"/>
                <w:szCs w:val="16"/>
              </w:rPr>
              <w:t>Zdroj: Eurostat</w:t>
            </w:r>
            <w:r w:rsidR="0037199A" w:rsidRPr="0035027D">
              <w:rPr>
                <w:i/>
                <w:iCs/>
                <w:sz w:val="16"/>
                <w:szCs w:val="16"/>
              </w:rPr>
              <w:t xml:space="preserve"> </w:t>
            </w:r>
          </w:p>
        </w:tc>
        <w:tc>
          <w:tcPr>
            <w:tcW w:w="146" w:type="dxa"/>
            <w:tcBorders>
              <w:top w:val="nil"/>
              <w:left w:val="nil"/>
              <w:bottom w:val="nil"/>
              <w:right w:val="nil"/>
            </w:tcBorders>
          </w:tcPr>
          <w:p w:rsidR="00134EA4" w:rsidRPr="0035027D" w:rsidRDefault="00134EA4" w:rsidP="007F2CD6">
            <w:pPr>
              <w:spacing w:after="0"/>
              <w:rPr>
                <w:i/>
                <w:iCs/>
                <w:sz w:val="16"/>
                <w:szCs w:val="16"/>
              </w:rPr>
            </w:pPr>
          </w:p>
        </w:tc>
        <w:tc>
          <w:tcPr>
            <w:tcW w:w="4681" w:type="dxa"/>
            <w:tcBorders>
              <w:top w:val="nil"/>
              <w:left w:val="nil"/>
              <w:bottom w:val="nil"/>
              <w:right w:val="nil"/>
            </w:tcBorders>
          </w:tcPr>
          <w:p w:rsidR="00134EA4" w:rsidRPr="0035027D" w:rsidRDefault="00051AED" w:rsidP="007F2CD6">
            <w:pPr>
              <w:spacing w:after="0"/>
              <w:jc w:val="left"/>
              <w:rPr>
                <w:i/>
                <w:iCs/>
                <w:sz w:val="16"/>
                <w:szCs w:val="16"/>
              </w:rPr>
            </w:pPr>
            <w:r w:rsidRPr="0035027D">
              <w:rPr>
                <w:i/>
                <w:iCs/>
                <w:sz w:val="16"/>
                <w:szCs w:val="16"/>
              </w:rPr>
              <w:t xml:space="preserve">Poznámka: NEET - </w:t>
            </w:r>
            <w:proofErr w:type="spellStart"/>
            <w:r w:rsidR="00134EA4" w:rsidRPr="0035027D">
              <w:rPr>
                <w:i/>
                <w:iCs/>
                <w:sz w:val="16"/>
                <w:szCs w:val="16"/>
              </w:rPr>
              <w:t>not</w:t>
            </w:r>
            <w:proofErr w:type="spellEnd"/>
            <w:r w:rsidR="00134EA4" w:rsidRPr="0035027D">
              <w:rPr>
                <w:i/>
                <w:iCs/>
                <w:sz w:val="16"/>
                <w:szCs w:val="16"/>
              </w:rPr>
              <w:t xml:space="preserve"> in </w:t>
            </w:r>
            <w:proofErr w:type="spellStart"/>
            <w:r w:rsidR="00134EA4" w:rsidRPr="0035027D">
              <w:rPr>
                <w:i/>
                <w:iCs/>
                <w:sz w:val="16"/>
                <w:szCs w:val="16"/>
              </w:rPr>
              <w:t>employment</w:t>
            </w:r>
            <w:proofErr w:type="spellEnd"/>
            <w:r w:rsidR="00134EA4" w:rsidRPr="0035027D">
              <w:rPr>
                <w:i/>
                <w:iCs/>
                <w:sz w:val="16"/>
                <w:szCs w:val="16"/>
              </w:rPr>
              <w:t xml:space="preserve">, </w:t>
            </w:r>
            <w:proofErr w:type="spellStart"/>
            <w:r w:rsidR="00134EA4" w:rsidRPr="0035027D">
              <w:rPr>
                <w:i/>
                <w:iCs/>
                <w:sz w:val="16"/>
                <w:szCs w:val="16"/>
              </w:rPr>
              <w:t>education</w:t>
            </w:r>
            <w:proofErr w:type="spellEnd"/>
            <w:r w:rsidR="00134EA4" w:rsidRPr="0035027D">
              <w:rPr>
                <w:i/>
                <w:iCs/>
                <w:sz w:val="16"/>
                <w:szCs w:val="16"/>
              </w:rPr>
              <w:t xml:space="preserve"> and </w:t>
            </w:r>
            <w:proofErr w:type="spellStart"/>
            <w:r w:rsidR="00134EA4" w:rsidRPr="0035027D">
              <w:rPr>
                <w:i/>
                <w:iCs/>
                <w:sz w:val="16"/>
                <w:szCs w:val="16"/>
              </w:rPr>
              <w:t>training</w:t>
            </w:r>
            <w:proofErr w:type="spellEnd"/>
            <w:r w:rsidRPr="0035027D">
              <w:rPr>
                <w:i/>
                <w:iCs/>
                <w:sz w:val="16"/>
                <w:szCs w:val="16"/>
              </w:rPr>
              <w:t>.</w:t>
            </w:r>
            <w:r w:rsidR="00134EA4" w:rsidRPr="0035027D">
              <w:rPr>
                <w:i/>
                <w:iCs/>
                <w:sz w:val="16"/>
                <w:szCs w:val="16"/>
              </w:rPr>
              <w:t xml:space="preserve"> Zdroj: Eurostat </w:t>
            </w:r>
          </w:p>
        </w:tc>
      </w:tr>
    </w:tbl>
    <w:p w:rsidR="00766E2A" w:rsidRPr="0035027D" w:rsidRDefault="00051AED" w:rsidP="00766E2A">
      <w:pPr>
        <w:pStyle w:val="Odsekzoznamu"/>
        <w:tabs>
          <w:tab w:val="left" w:pos="426"/>
        </w:tabs>
        <w:spacing w:before="120" w:after="0" w:line="240" w:lineRule="auto"/>
        <w:ind w:left="0"/>
        <w:contextualSpacing w:val="0"/>
        <w:jc w:val="both"/>
        <w:rPr>
          <w:rFonts w:ascii="Arial Narrow" w:hAnsi="Arial Narrow"/>
        </w:rPr>
      </w:pPr>
      <w:r w:rsidRPr="0035027D">
        <w:rPr>
          <w:rFonts w:ascii="Arial Narrow" w:hAnsi="Arial Narrow"/>
        </w:rPr>
        <w:t xml:space="preserve">Slovensko si do roku 2020 stanovilo cieľ zvýšiť mieru zamestnanosti na 72 % (v roku 2012 dosiahla 65 %). </w:t>
      </w:r>
      <w:r w:rsidR="00292838" w:rsidRPr="0035027D">
        <w:rPr>
          <w:rFonts w:ascii="Arial Narrow" w:hAnsi="Arial Narrow"/>
        </w:rPr>
        <w:t xml:space="preserve"> Riešenie problému nezamestnanosti a následný rast zamestnanosti by mal okrem pozitívneho sociálneho rozmeru aj dôležitý vplyv na výkonnosť ekonomiky cez zvyšovanie účasti pracovnej sily a produktivity. </w:t>
      </w:r>
      <w:r w:rsidR="00766E2A" w:rsidRPr="0035027D">
        <w:rPr>
          <w:rFonts w:ascii="Arial Narrow" w:hAnsi="Arial Narrow"/>
        </w:rPr>
        <w:t xml:space="preserve">Osobitnú pozornosť si vyžaduje integrácia relatívne početných marginalizovaných komunít a nesúlad potrieb trhu práce so vzdelanostnou štruktúrou. Týmto témam sú venované aj iné časti dokumentu, najmä vzdelávanie. </w:t>
      </w:r>
    </w:p>
    <w:p w:rsidR="00766E2A" w:rsidRPr="0035027D" w:rsidRDefault="00766E2A" w:rsidP="00292838">
      <w:pPr>
        <w:pStyle w:val="Odsekzoznamu"/>
        <w:tabs>
          <w:tab w:val="left" w:pos="426"/>
        </w:tabs>
        <w:spacing w:after="0" w:line="240" w:lineRule="auto"/>
        <w:ind w:left="0"/>
        <w:jc w:val="both"/>
        <w:rPr>
          <w:rFonts w:ascii="Arial Narrow" w:hAnsi="Arial Narrow"/>
        </w:rPr>
      </w:pPr>
    </w:p>
    <w:p w:rsidR="00D23B98" w:rsidRPr="0035027D" w:rsidRDefault="00701EC8" w:rsidP="00D23B98">
      <w:pPr>
        <w:pStyle w:val="Odsekzoznamu"/>
        <w:tabs>
          <w:tab w:val="left" w:pos="426"/>
        </w:tabs>
        <w:spacing w:after="0" w:line="240" w:lineRule="auto"/>
        <w:ind w:left="0"/>
        <w:jc w:val="both"/>
        <w:rPr>
          <w:rFonts w:ascii="Arial Narrow" w:hAnsi="Arial Narrow"/>
        </w:rPr>
      </w:pPr>
      <w:r w:rsidRPr="0035027D">
        <w:rPr>
          <w:rFonts w:ascii="Arial Narrow" w:hAnsi="Arial Narrow"/>
        </w:rPr>
        <w:t>S nízkou výkonnosťou trhu práce sa spája zvýšené riziko ohrozenia chudobou</w:t>
      </w:r>
      <w:r w:rsidR="00766E2A" w:rsidRPr="0035027D">
        <w:rPr>
          <w:rFonts w:ascii="Arial Narrow" w:hAnsi="Arial Narrow"/>
        </w:rPr>
        <w:t xml:space="preserve"> a sociálnym vylúčením</w:t>
      </w:r>
      <w:r w:rsidRPr="0035027D">
        <w:rPr>
          <w:rFonts w:ascii="Arial Narrow" w:hAnsi="Arial Narrow"/>
        </w:rPr>
        <w:t>. Na Slovensku je vyše 20 % populácie ohrozených chudobou a sociálnym vylúčením, čo predstavuje hodnotu pod priemerom EÚ27. Vláda sa zaväzuje naďalej znižovať tento podiel k hranici 17 % do roku 2020.</w:t>
      </w:r>
      <w:r w:rsidR="00D23B98" w:rsidRPr="0035027D">
        <w:rPr>
          <w:rFonts w:ascii="Arial Narrow" w:hAnsi="Arial Narrow"/>
        </w:rPr>
        <w:t xml:space="preserve"> Slovensko vynakladá na sociálne dávky v oblasti sociálnej inklúzie a podpory rodín s deťmi porovnateľné finančné prostriedky v pomere k HDP ako susediace krajiny V3, ale výrazne menej ako priemer krajín EÚ27. </w:t>
      </w:r>
    </w:p>
    <w:p w:rsidR="00DF74F7" w:rsidRPr="0035027D" w:rsidRDefault="00DF74F7" w:rsidP="00292838">
      <w:pPr>
        <w:pStyle w:val="Odsekzoznamu"/>
        <w:tabs>
          <w:tab w:val="left" w:pos="426"/>
        </w:tabs>
        <w:spacing w:after="0" w:line="240" w:lineRule="auto"/>
        <w:ind w:left="0"/>
        <w:jc w:val="both"/>
        <w:rPr>
          <w:rFonts w:ascii="Arial Narrow" w:hAnsi="Arial Narrow"/>
        </w:rPr>
      </w:pPr>
    </w:p>
    <w:tbl>
      <w:tblPr>
        <w:tblW w:w="9322" w:type="dxa"/>
        <w:tblInd w:w="-68" w:type="dxa"/>
        <w:tblCellMar>
          <w:left w:w="70" w:type="dxa"/>
          <w:right w:w="70" w:type="dxa"/>
        </w:tblCellMar>
        <w:tblLook w:val="0000" w:firstRow="0" w:lastRow="0" w:firstColumn="0" w:lastColumn="0" w:noHBand="0" w:noVBand="0"/>
      </w:tblPr>
      <w:tblGrid>
        <w:gridCol w:w="4562"/>
        <w:gridCol w:w="146"/>
        <w:gridCol w:w="4614"/>
      </w:tblGrid>
      <w:tr w:rsidR="003C38D1" w:rsidRPr="0035027D" w:rsidTr="00E044FE">
        <w:trPr>
          <w:trHeight w:val="276"/>
        </w:trPr>
        <w:tc>
          <w:tcPr>
            <w:tcW w:w="4514" w:type="dxa"/>
            <w:tcBorders>
              <w:top w:val="nil"/>
              <w:left w:val="nil"/>
              <w:bottom w:val="nil"/>
              <w:right w:val="nil"/>
            </w:tcBorders>
            <w:shd w:val="clear" w:color="auto" w:fill="000000"/>
            <w:vAlign w:val="center"/>
          </w:tcPr>
          <w:p w:rsidR="003C38D1" w:rsidRPr="0035027D" w:rsidRDefault="00933CC1" w:rsidP="002B119A">
            <w:pPr>
              <w:spacing w:after="0"/>
              <w:rPr>
                <w:b/>
                <w:bCs/>
                <w:color w:val="FFFFFF"/>
                <w:sz w:val="18"/>
                <w:szCs w:val="20"/>
              </w:rPr>
            </w:pPr>
            <w:r w:rsidRPr="0035027D">
              <w:rPr>
                <w:b/>
                <w:bCs/>
                <w:color w:val="FFFFFF"/>
                <w:sz w:val="18"/>
                <w:szCs w:val="20"/>
              </w:rPr>
              <w:t xml:space="preserve">Graf 13: </w:t>
            </w:r>
            <w:r w:rsidR="003C38D1" w:rsidRPr="0035027D">
              <w:rPr>
                <w:b/>
                <w:bCs/>
                <w:color w:val="FFFFFF"/>
                <w:sz w:val="18"/>
                <w:szCs w:val="20"/>
              </w:rPr>
              <w:t>Výdavky na sociálne vylúčenie (v</w:t>
            </w:r>
            <w:r w:rsidR="005E1922" w:rsidRPr="0035027D">
              <w:rPr>
                <w:b/>
                <w:bCs/>
                <w:color w:val="FFFFFF"/>
                <w:sz w:val="18"/>
                <w:szCs w:val="20"/>
              </w:rPr>
              <w:t> %</w:t>
            </w:r>
            <w:r w:rsidR="003C38D1" w:rsidRPr="0035027D">
              <w:rPr>
                <w:b/>
                <w:bCs/>
                <w:color w:val="FFFFFF"/>
                <w:sz w:val="18"/>
                <w:szCs w:val="20"/>
              </w:rPr>
              <w:t xml:space="preserve"> HDP)</w:t>
            </w:r>
          </w:p>
        </w:tc>
        <w:tc>
          <w:tcPr>
            <w:tcW w:w="146" w:type="dxa"/>
            <w:tcBorders>
              <w:top w:val="nil"/>
              <w:left w:val="nil"/>
              <w:bottom w:val="nil"/>
              <w:right w:val="nil"/>
            </w:tcBorders>
            <w:vAlign w:val="center"/>
          </w:tcPr>
          <w:p w:rsidR="003C38D1" w:rsidRPr="0035027D" w:rsidRDefault="003C38D1" w:rsidP="002B119A">
            <w:pPr>
              <w:spacing w:after="0"/>
              <w:rPr>
                <w:b/>
                <w:bCs/>
                <w:color w:val="FFFFFF"/>
                <w:sz w:val="18"/>
                <w:szCs w:val="20"/>
              </w:rPr>
            </w:pPr>
          </w:p>
        </w:tc>
        <w:tc>
          <w:tcPr>
            <w:tcW w:w="4662" w:type="dxa"/>
            <w:tcBorders>
              <w:top w:val="nil"/>
              <w:left w:val="nil"/>
              <w:bottom w:val="nil"/>
              <w:right w:val="nil"/>
            </w:tcBorders>
            <w:shd w:val="clear" w:color="auto" w:fill="000000"/>
            <w:vAlign w:val="center"/>
          </w:tcPr>
          <w:p w:rsidR="003C38D1" w:rsidRPr="0035027D" w:rsidRDefault="00933CC1" w:rsidP="002B119A">
            <w:pPr>
              <w:spacing w:after="0"/>
              <w:rPr>
                <w:b/>
                <w:bCs/>
                <w:sz w:val="18"/>
                <w:szCs w:val="20"/>
              </w:rPr>
            </w:pPr>
            <w:r w:rsidRPr="0035027D">
              <w:rPr>
                <w:b/>
                <w:bCs/>
                <w:color w:val="FFFFFF"/>
                <w:sz w:val="18"/>
                <w:szCs w:val="20"/>
              </w:rPr>
              <w:t xml:space="preserve">Graf 14: </w:t>
            </w:r>
            <w:r w:rsidR="00945297" w:rsidRPr="0035027D">
              <w:rPr>
                <w:b/>
                <w:bCs/>
                <w:color w:val="FFFFFF"/>
                <w:sz w:val="18"/>
                <w:szCs w:val="20"/>
              </w:rPr>
              <w:t xml:space="preserve">Výdavky na podporu rodiny a detí </w:t>
            </w:r>
            <w:r w:rsidR="003C38D1" w:rsidRPr="0035027D">
              <w:rPr>
                <w:b/>
                <w:bCs/>
                <w:color w:val="FFFFFF"/>
                <w:sz w:val="18"/>
                <w:szCs w:val="20"/>
              </w:rPr>
              <w:t>(v</w:t>
            </w:r>
            <w:r w:rsidR="005E1922" w:rsidRPr="0035027D">
              <w:rPr>
                <w:b/>
                <w:bCs/>
                <w:color w:val="FFFFFF"/>
                <w:sz w:val="18"/>
                <w:szCs w:val="20"/>
              </w:rPr>
              <w:t> %</w:t>
            </w:r>
            <w:r w:rsidR="003C38D1" w:rsidRPr="0035027D">
              <w:rPr>
                <w:b/>
                <w:bCs/>
                <w:color w:val="FFFFFF"/>
                <w:sz w:val="18"/>
                <w:szCs w:val="20"/>
              </w:rPr>
              <w:t xml:space="preserve"> HDP)</w:t>
            </w:r>
          </w:p>
        </w:tc>
      </w:tr>
      <w:tr w:rsidR="003C38D1" w:rsidRPr="0035027D" w:rsidTr="00E044FE">
        <w:trPr>
          <w:trHeight w:val="2483"/>
        </w:trPr>
        <w:tc>
          <w:tcPr>
            <w:tcW w:w="4514" w:type="dxa"/>
            <w:tcBorders>
              <w:top w:val="nil"/>
              <w:left w:val="nil"/>
              <w:bottom w:val="single" w:sz="8" w:space="0" w:color="auto"/>
              <w:right w:val="nil"/>
            </w:tcBorders>
          </w:tcPr>
          <w:p w:rsidR="003C38D1" w:rsidRPr="0035027D" w:rsidRDefault="002312EB" w:rsidP="002B119A">
            <w:pPr>
              <w:spacing w:after="0"/>
              <w:rPr>
                <w:rFonts w:cs="Garamond"/>
                <w:b/>
                <w:bCs/>
                <w:sz w:val="16"/>
                <w:szCs w:val="16"/>
              </w:rPr>
            </w:pPr>
            <w:r w:rsidRPr="0035027D">
              <w:rPr>
                <w:rFonts w:cs="Garamond"/>
                <w:b/>
                <w:bCs/>
                <w:noProof/>
                <w:sz w:val="16"/>
                <w:szCs w:val="16"/>
              </w:rPr>
              <w:drawing>
                <wp:inline distT="0" distB="0" distL="0" distR="0" wp14:anchorId="7A55EF98" wp14:editId="4DD5A1D7">
                  <wp:extent cx="2808000" cy="1846800"/>
                  <wp:effectExtent l="0" t="0" r="0" b="1270"/>
                  <wp:docPr id="41" name="Obrázok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08000" cy="1846800"/>
                          </a:xfrm>
                          <a:prstGeom prst="rect">
                            <a:avLst/>
                          </a:prstGeom>
                          <a:noFill/>
                        </pic:spPr>
                      </pic:pic>
                    </a:graphicData>
                  </a:graphic>
                </wp:inline>
              </w:drawing>
            </w:r>
          </w:p>
        </w:tc>
        <w:tc>
          <w:tcPr>
            <w:tcW w:w="146" w:type="dxa"/>
            <w:tcBorders>
              <w:top w:val="nil"/>
              <w:left w:val="nil"/>
              <w:bottom w:val="nil"/>
              <w:right w:val="nil"/>
            </w:tcBorders>
          </w:tcPr>
          <w:p w:rsidR="003C38D1" w:rsidRPr="0035027D" w:rsidRDefault="003C38D1" w:rsidP="002B119A">
            <w:pPr>
              <w:spacing w:after="0"/>
              <w:rPr>
                <w:rFonts w:cs="Garamond"/>
                <w:b/>
                <w:bCs/>
                <w:sz w:val="16"/>
                <w:szCs w:val="16"/>
              </w:rPr>
            </w:pPr>
          </w:p>
        </w:tc>
        <w:tc>
          <w:tcPr>
            <w:tcW w:w="4662" w:type="dxa"/>
            <w:tcBorders>
              <w:top w:val="nil"/>
              <w:left w:val="nil"/>
              <w:bottom w:val="single" w:sz="8" w:space="0" w:color="auto"/>
              <w:right w:val="nil"/>
            </w:tcBorders>
          </w:tcPr>
          <w:p w:rsidR="003C38D1" w:rsidRPr="0035027D" w:rsidRDefault="002312EB" w:rsidP="002B119A">
            <w:pPr>
              <w:spacing w:after="0"/>
              <w:rPr>
                <w:rFonts w:cs="Garamond"/>
                <w:b/>
                <w:bCs/>
                <w:sz w:val="16"/>
                <w:szCs w:val="16"/>
              </w:rPr>
            </w:pPr>
            <w:r w:rsidRPr="0035027D">
              <w:rPr>
                <w:rFonts w:cs="Garamond"/>
                <w:b/>
                <w:bCs/>
                <w:noProof/>
                <w:sz w:val="16"/>
                <w:szCs w:val="16"/>
              </w:rPr>
              <w:drawing>
                <wp:inline distT="0" distB="0" distL="0" distR="0" wp14:anchorId="17AE861B" wp14:editId="1D5B7AD9">
                  <wp:extent cx="2808000" cy="1846800"/>
                  <wp:effectExtent l="0" t="0" r="0" b="1270"/>
                  <wp:docPr id="42" name="Obrázok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08000" cy="1846800"/>
                          </a:xfrm>
                          <a:prstGeom prst="rect">
                            <a:avLst/>
                          </a:prstGeom>
                          <a:noFill/>
                        </pic:spPr>
                      </pic:pic>
                    </a:graphicData>
                  </a:graphic>
                </wp:inline>
              </w:drawing>
            </w:r>
          </w:p>
        </w:tc>
      </w:tr>
      <w:tr w:rsidR="006133E0" w:rsidRPr="0035027D" w:rsidTr="00E044FE">
        <w:trPr>
          <w:trHeight w:val="434"/>
        </w:trPr>
        <w:tc>
          <w:tcPr>
            <w:tcW w:w="4514" w:type="dxa"/>
            <w:tcBorders>
              <w:top w:val="nil"/>
              <w:left w:val="nil"/>
              <w:bottom w:val="nil"/>
              <w:right w:val="nil"/>
            </w:tcBorders>
          </w:tcPr>
          <w:p w:rsidR="006133E0" w:rsidRPr="0035027D" w:rsidRDefault="00051AED" w:rsidP="0092375A">
            <w:pPr>
              <w:spacing w:after="0"/>
              <w:jc w:val="left"/>
              <w:rPr>
                <w:i/>
                <w:iCs/>
                <w:sz w:val="16"/>
                <w:szCs w:val="16"/>
              </w:rPr>
            </w:pPr>
            <w:r w:rsidRPr="0035027D">
              <w:rPr>
                <w:i/>
                <w:iCs/>
                <w:sz w:val="16"/>
                <w:szCs w:val="16"/>
              </w:rPr>
              <w:t>Poznámka: od roku 2011 skutočné a rozpočtované výdavky zahŕňajú odhad vecných dávok v oblasti sociálne</w:t>
            </w:r>
            <w:r w:rsidR="0092375A" w:rsidRPr="0035027D">
              <w:rPr>
                <w:i/>
                <w:iCs/>
                <w:sz w:val="16"/>
                <w:szCs w:val="16"/>
              </w:rPr>
              <w:t>j inklúzie</w:t>
            </w:r>
            <w:r w:rsidRPr="0035027D">
              <w:rPr>
                <w:i/>
                <w:iCs/>
                <w:sz w:val="16"/>
                <w:szCs w:val="16"/>
              </w:rPr>
              <w:t xml:space="preserve">.  Zdroj: ESSPROS, Rozpočet verejnej správy na rok 2013 - 2015, ŠÚ SR, ÚPSVR    </w:t>
            </w:r>
          </w:p>
        </w:tc>
        <w:tc>
          <w:tcPr>
            <w:tcW w:w="146" w:type="dxa"/>
            <w:tcBorders>
              <w:top w:val="nil"/>
              <w:left w:val="nil"/>
              <w:bottom w:val="nil"/>
              <w:right w:val="nil"/>
            </w:tcBorders>
          </w:tcPr>
          <w:p w:rsidR="006133E0" w:rsidRPr="0035027D" w:rsidRDefault="006133E0" w:rsidP="00972B37">
            <w:pPr>
              <w:spacing w:after="0"/>
              <w:rPr>
                <w:i/>
                <w:iCs/>
                <w:sz w:val="16"/>
                <w:szCs w:val="16"/>
              </w:rPr>
            </w:pPr>
          </w:p>
        </w:tc>
        <w:tc>
          <w:tcPr>
            <w:tcW w:w="4662" w:type="dxa"/>
            <w:tcBorders>
              <w:top w:val="nil"/>
              <w:left w:val="nil"/>
              <w:bottom w:val="nil"/>
              <w:right w:val="nil"/>
            </w:tcBorders>
          </w:tcPr>
          <w:p w:rsidR="006133E0" w:rsidRPr="0035027D" w:rsidRDefault="00051AED" w:rsidP="00903B43">
            <w:pPr>
              <w:spacing w:after="0"/>
              <w:rPr>
                <w:i/>
                <w:iCs/>
                <w:sz w:val="16"/>
                <w:szCs w:val="16"/>
              </w:rPr>
            </w:pPr>
            <w:r w:rsidRPr="0035027D">
              <w:rPr>
                <w:i/>
                <w:iCs/>
                <w:sz w:val="16"/>
                <w:szCs w:val="16"/>
              </w:rPr>
              <w:t>Poznámka: od roku 2011 skutočné a rozpočtované výdavky nezahŕňajú vecné dávky obcí pre rodiny s deťmi a sociálne služby organizované mestami a obcami.  Zdroj: ESSPROS, Rozpočet verejnej správy na rok 2013 - 2015, ŠÚ SR, ÚIPŠ, ÚPSVR</w:t>
            </w:r>
          </w:p>
        </w:tc>
      </w:tr>
    </w:tbl>
    <w:p w:rsidR="003C38D1" w:rsidRPr="0035027D" w:rsidRDefault="003C38D1" w:rsidP="00292838">
      <w:pPr>
        <w:pStyle w:val="Odsekzoznamu"/>
        <w:tabs>
          <w:tab w:val="left" w:pos="426"/>
        </w:tabs>
        <w:spacing w:after="0" w:line="240" w:lineRule="auto"/>
        <w:ind w:left="0"/>
        <w:jc w:val="both"/>
        <w:rPr>
          <w:rFonts w:ascii="Arial Narrow" w:hAnsi="Arial Narrow"/>
        </w:rPr>
      </w:pPr>
    </w:p>
    <w:p w:rsidR="0081049D" w:rsidRPr="0035027D" w:rsidRDefault="00701EC8" w:rsidP="00292838">
      <w:pPr>
        <w:pStyle w:val="Odsekzoznamu"/>
        <w:tabs>
          <w:tab w:val="left" w:pos="426"/>
        </w:tabs>
        <w:spacing w:after="0" w:line="240" w:lineRule="auto"/>
        <w:ind w:left="0"/>
        <w:jc w:val="both"/>
        <w:rPr>
          <w:rFonts w:ascii="Arial Narrow" w:hAnsi="Arial Narrow"/>
        </w:rPr>
      </w:pPr>
      <w:r w:rsidRPr="0035027D">
        <w:rPr>
          <w:rFonts w:ascii="Arial Narrow" w:hAnsi="Arial Narrow"/>
        </w:rPr>
        <w:t xml:space="preserve">Súčasný stav na trhu práce si vyžaduje adekvátnu reakciu. Vláda SR sa zaväzuje vykonať potrebné kroky na výrazné zlepšenie výkonnosti trhu práce. Hlavnými </w:t>
      </w:r>
      <w:r w:rsidR="00DF74F7" w:rsidRPr="0035027D">
        <w:rPr>
          <w:rFonts w:ascii="Arial Narrow" w:hAnsi="Arial Narrow"/>
        </w:rPr>
        <w:t xml:space="preserve">opatreniami v zamestnanosti a sociálnej inklúzii sú </w:t>
      </w:r>
      <w:r w:rsidR="00292838" w:rsidRPr="0035027D">
        <w:rPr>
          <w:rFonts w:ascii="Arial Narrow" w:hAnsi="Arial Narrow"/>
        </w:rPr>
        <w:t>reform</w:t>
      </w:r>
      <w:r w:rsidR="00DF74F7" w:rsidRPr="0035027D">
        <w:rPr>
          <w:rFonts w:ascii="Arial Narrow" w:hAnsi="Arial Narrow"/>
        </w:rPr>
        <w:t>a</w:t>
      </w:r>
      <w:r w:rsidR="00292838" w:rsidRPr="0035027D">
        <w:rPr>
          <w:rFonts w:ascii="Arial Narrow" w:hAnsi="Arial Narrow"/>
        </w:rPr>
        <w:t xml:space="preserve"> sociálnych dávok, </w:t>
      </w:r>
      <w:r w:rsidRPr="0035027D">
        <w:rPr>
          <w:rFonts w:ascii="Arial Narrow" w:hAnsi="Arial Narrow"/>
        </w:rPr>
        <w:t xml:space="preserve">zlepšenie ich adresnosti, </w:t>
      </w:r>
      <w:r w:rsidR="00292838" w:rsidRPr="0035027D">
        <w:rPr>
          <w:rFonts w:ascii="Arial Narrow" w:hAnsi="Arial Narrow"/>
        </w:rPr>
        <w:t>administratívna implementácia novely zákona o službách zamestnanosti s cieľom efektívnejšej a účinnejšej podpory znevýhodnených uchádzačov. Vláda podporí ekonomickú a sociálnu inklúziu rómskych marginalizovaných komunít a novou legislatívou zvýši dostupnosť a kvalitu sociálnych služieb. Finančnými nástrojmi štátnej politiky bývania sa podporí udržateľnosť bývania pre nízkopríjmové domácnosti</w:t>
      </w:r>
      <w:r w:rsidR="0081049D" w:rsidRPr="0035027D">
        <w:rPr>
          <w:rFonts w:ascii="Arial Narrow" w:hAnsi="Arial Narrow"/>
        </w:rPr>
        <w:t>.</w:t>
      </w:r>
    </w:p>
    <w:p w:rsidR="00F64DFA" w:rsidRPr="0035027D" w:rsidRDefault="00F64DFA" w:rsidP="00292838">
      <w:pPr>
        <w:pStyle w:val="Odsekzoznamu"/>
        <w:tabs>
          <w:tab w:val="left" w:pos="426"/>
        </w:tabs>
        <w:spacing w:after="0" w:line="240" w:lineRule="auto"/>
        <w:ind w:left="0"/>
        <w:jc w:val="both"/>
        <w:rPr>
          <w:rFonts w:ascii="Arial Narrow" w:hAnsi="Arial Narrow"/>
        </w:rPr>
      </w:pPr>
    </w:p>
    <w:p w:rsidR="00F64DFA" w:rsidRPr="0035027D" w:rsidRDefault="006C7ADB" w:rsidP="00F64DFA">
      <w:pPr>
        <w:pStyle w:val="Odsekzoznamu"/>
        <w:tabs>
          <w:tab w:val="left" w:pos="426"/>
        </w:tabs>
        <w:spacing w:after="0" w:line="240" w:lineRule="auto"/>
        <w:ind w:left="0"/>
        <w:jc w:val="both"/>
        <w:rPr>
          <w:rFonts w:ascii="Arial Narrow" w:hAnsi="Arial Narrow"/>
        </w:rPr>
      </w:pPr>
      <w:r w:rsidRPr="0035027D">
        <w:rPr>
          <w:rFonts w:ascii="Arial Narrow" w:hAnsi="Arial Narrow"/>
        </w:rPr>
        <w:t xml:space="preserve">K zamestnanosti významne prispejú aj politiky opísané v ďalších častiach tejto kapitoly NPR. Predovšetkým opatrenia na zlepšenie podnikateľského prostredia, modernizáciu infraštruktúry a zefektívnenie verejnej správy majú potenciál významne prispieť k rozvoju podnikania a tvorbe pracovných miest. </w:t>
      </w:r>
      <w:r w:rsidR="00F64DFA" w:rsidRPr="0035027D">
        <w:rPr>
          <w:rFonts w:ascii="Arial Narrow" w:hAnsi="Arial Narrow"/>
        </w:rPr>
        <w:t>Podobne sa novým finančným nástrojom – Fondom sociálnych fondov rozvojového kapitálu – podporí zamestnanosť a sociálna inklúzia kombinovanou formou návratnej a nenávratnej finančnej podpory podnikania znevýhodnených skupín. Bližší opis fondu sa nachádza v časti Podnikateľské prostredie.</w:t>
      </w:r>
    </w:p>
    <w:p w:rsidR="00A767B7" w:rsidRPr="0035027D" w:rsidRDefault="00A767B7" w:rsidP="00A767B7">
      <w:pPr>
        <w:pStyle w:val="Odsekzoznamu"/>
        <w:tabs>
          <w:tab w:val="left" w:pos="426"/>
        </w:tabs>
        <w:spacing w:after="0" w:line="240" w:lineRule="auto"/>
        <w:ind w:left="0"/>
        <w:jc w:val="both"/>
        <w:rPr>
          <w:rFonts w:ascii="Arial Narrow" w:hAnsi="Arial Narrow"/>
        </w:rPr>
      </w:pPr>
    </w:p>
    <w:p w:rsidR="00A26D3B" w:rsidRPr="0035027D" w:rsidRDefault="00A26D3B" w:rsidP="00A767B7">
      <w:pPr>
        <w:pStyle w:val="Odsekzoznamu"/>
        <w:tabs>
          <w:tab w:val="left" w:pos="426"/>
        </w:tabs>
        <w:spacing w:after="0" w:line="240" w:lineRule="auto"/>
        <w:ind w:left="0"/>
        <w:jc w:val="both"/>
        <w:rPr>
          <w:rFonts w:ascii="Arial Narrow" w:hAnsi="Arial Narrow"/>
        </w:rPr>
      </w:pPr>
    </w:p>
    <w:p w:rsidR="00A767B7" w:rsidRPr="0035027D" w:rsidRDefault="00A767B7" w:rsidP="00C61270">
      <w:pPr>
        <w:pStyle w:val="Nadpis4"/>
      </w:pPr>
      <w:bookmarkStart w:id="55" w:name="_Toc353563383"/>
      <w:r w:rsidRPr="0035027D">
        <w:t>Zamestnanosť</w:t>
      </w:r>
      <w:bookmarkEnd w:id="55"/>
    </w:p>
    <w:p w:rsidR="00A767B7" w:rsidRPr="0035027D" w:rsidRDefault="00A767B7" w:rsidP="00A767B7">
      <w:pPr>
        <w:spacing w:after="0"/>
        <w:rPr>
          <w:b/>
          <w:i/>
        </w:rPr>
      </w:pPr>
    </w:p>
    <w:p w:rsidR="00A767B7" w:rsidRPr="0035027D" w:rsidRDefault="00A767B7" w:rsidP="00A767B7">
      <w:pPr>
        <w:spacing w:after="0"/>
        <w:rPr>
          <w:b/>
          <w:i/>
        </w:rPr>
      </w:pPr>
      <w:r w:rsidRPr="0035027D">
        <w:rPr>
          <w:b/>
          <w:i/>
        </w:rPr>
        <w:t>Aktívne politiky trhu práce</w:t>
      </w:r>
    </w:p>
    <w:p w:rsidR="00A767B7" w:rsidRPr="0035027D" w:rsidRDefault="00A767B7" w:rsidP="00A767B7">
      <w:pPr>
        <w:spacing w:after="0"/>
      </w:pPr>
    </w:p>
    <w:p w:rsidR="0081049D" w:rsidRPr="0035027D" w:rsidRDefault="00903B43" w:rsidP="0081049D">
      <w:pPr>
        <w:spacing w:after="0"/>
      </w:pPr>
      <w:r w:rsidRPr="0035027D">
        <w:t xml:space="preserve">APTP </w:t>
      </w:r>
      <w:r w:rsidR="0081049D" w:rsidRPr="0035027D">
        <w:t>prešli novelizáciou zákona o slu</w:t>
      </w:r>
      <w:r w:rsidR="0081049D" w:rsidRPr="0035027D">
        <w:rPr>
          <w:rFonts w:cs="Times New Roman"/>
        </w:rPr>
        <w:t>ž</w:t>
      </w:r>
      <w:r w:rsidR="0081049D" w:rsidRPr="0035027D">
        <w:t>bách zamestnanosti významnou reformou</w:t>
      </w:r>
      <w:r w:rsidR="007302F0" w:rsidRPr="0035027D">
        <w:t xml:space="preserve"> (popísanou v kapitole 2.1.)</w:t>
      </w:r>
      <w:r w:rsidR="0081049D" w:rsidRPr="0035027D">
        <w:t>. Zmena zákona je však len jedným z krokov, ktoré vláda v tejto oblasti realizuje. Následne bude potrebné interne zjednoti</w:t>
      </w:r>
      <w:r w:rsidR="0081049D" w:rsidRPr="0035027D">
        <w:rPr>
          <w:rFonts w:cs="Times New Roman"/>
        </w:rPr>
        <w:t>ť</w:t>
      </w:r>
      <w:r w:rsidR="0081049D" w:rsidRPr="0035027D">
        <w:t xml:space="preserve"> organiza</w:t>
      </w:r>
      <w:r w:rsidR="0081049D" w:rsidRPr="0035027D">
        <w:rPr>
          <w:rFonts w:cs="Times New Roman"/>
        </w:rPr>
        <w:t>č</w:t>
      </w:r>
      <w:r w:rsidR="0081049D" w:rsidRPr="0035027D">
        <w:t>né štruktúry úradov práce, sociálnych vecí a rodiny (</w:t>
      </w:r>
      <w:r w:rsidRPr="0035027D">
        <w:t xml:space="preserve">úrady </w:t>
      </w:r>
      <w:r w:rsidR="0081049D" w:rsidRPr="0035027D">
        <w:t xml:space="preserve">PSVR), a tým aj poskytovanie </w:t>
      </w:r>
      <w:r w:rsidR="00970EA4" w:rsidRPr="0035027D">
        <w:t>verejných slu</w:t>
      </w:r>
      <w:r w:rsidR="00970EA4" w:rsidRPr="0035027D">
        <w:rPr>
          <w:rFonts w:cs="Times New Roman"/>
        </w:rPr>
        <w:t>ž</w:t>
      </w:r>
      <w:r w:rsidR="00970EA4" w:rsidRPr="0035027D">
        <w:t xml:space="preserve">ieb zamestnanosti </w:t>
      </w:r>
      <w:r w:rsidR="0081049D" w:rsidRPr="0035027D">
        <w:t xml:space="preserve">v rámci celého Slovenska. Zefektívnenie personálnych kapacít úradov </w:t>
      </w:r>
      <w:r w:rsidR="003676EE" w:rsidRPr="0035027D">
        <w:t xml:space="preserve">PSVR </w:t>
      </w:r>
      <w:r w:rsidR="0081049D" w:rsidRPr="0035027D">
        <w:t>umo</w:t>
      </w:r>
      <w:r w:rsidR="0081049D" w:rsidRPr="0035027D">
        <w:rPr>
          <w:rFonts w:cs="Times New Roman"/>
        </w:rPr>
        <w:t>ž</w:t>
      </w:r>
      <w:r w:rsidR="0081049D" w:rsidRPr="0035027D">
        <w:t>ní cielené individualizované slu</w:t>
      </w:r>
      <w:r w:rsidR="0081049D" w:rsidRPr="0035027D">
        <w:rPr>
          <w:rFonts w:cs="Times New Roman"/>
        </w:rPr>
        <w:t>ž</w:t>
      </w:r>
      <w:r w:rsidR="0081049D" w:rsidRPr="0035027D">
        <w:t>by uchádza</w:t>
      </w:r>
      <w:r w:rsidR="0081049D" w:rsidRPr="0035027D">
        <w:rPr>
          <w:rFonts w:cs="Times New Roman"/>
        </w:rPr>
        <w:t>č</w:t>
      </w:r>
      <w:r w:rsidR="0081049D" w:rsidRPr="0035027D">
        <w:t xml:space="preserve">om o zamestnanie v rôznych formách. </w:t>
      </w:r>
    </w:p>
    <w:p w:rsidR="006124C0" w:rsidRPr="0035027D" w:rsidRDefault="006124C0" w:rsidP="0081049D">
      <w:pPr>
        <w:spacing w:after="0"/>
      </w:pPr>
    </w:p>
    <w:p w:rsidR="0081049D" w:rsidRPr="0035027D" w:rsidRDefault="0081049D" w:rsidP="0081049D">
      <w:pPr>
        <w:spacing w:after="0"/>
      </w:pPr>
      <w:r w:rsidRPr="0035027D">
        <w:t>Zmeny obligatórnych príspevkov APTP na fakultatívne si vy</w:t>
      </w:r>
      <w:r w:rsidRPr="0035027D">
        <w:rPr>
          <w:rFonts w:cs="Times New Roman"/>
        </w:rPr>
        <w:t>ž</w:t>
      </w:r>
      <w:r w:rsidRPr="0035027D">
        <w:t xml:space="preserve">iada nový proces </w:t>
      </w:r>
      <w:r w:rsidR="006124C0" w:rsidRPr="0035027D">
        <w:t xml:space="preserve">ich </w:t>
      </w:r>
      <w:r w:rsidRPr="0035027D">
        <w:t>schva</w:t>
      </w:r>
      <w:r w:rsidRPr="0035027D">
        <w:rPr>
          <w:rFonts w:cs="Times New Roman"/>
        </w:rPr>
        <w:t>ľ</w:t>
      </w:r>
      <w:r w:rsidRPr="0035027D">
        <w:t>ovania</w:t>
      </w:r>
      <w:r w:rsidR="006124C0" w:rsidRPr="0035027D">
        <w:t>.</w:t>
      </w:r>
      <w:r w:rsidRPr="0035027D">
        <w:t xml:space="preserve"> </w:t>
      </w:r>
      <w:r w:rsidR="003676EE" w:rsidRPr="0035027D">
        <w:t xml:space="preserve">Budú vypracované </w:t>
      </w:r>
      <w:r w:rsidR="003C38D1" w:rsidRPr="0035027D">
        <w:t>z</w:t>
      </w:r>
      <w:r w:rsidRPr="0035027D">
        <w:t>ásady pou</w:t>
      </w:r>
      <w:r w:rsidRPr="0035027D">
        <w:rPr>
          <w:rFonts w:cs="Times New Roman"/>
        </w:rPr>
        <w:t>ž</w:t>
      </w:r>
      <w:r w:rsidRPr="0035027D">
        <w:t>itia finan</w:t>
      </w:r>
      <w:r w:rsidRPr="0035027D">
        <w:rPr>
          <w:rFonts w:cs="Times New Roman"/>
        </w:rPr>
        <w:t>č</w:t>
      </w:r>
      <w:r w:rsidRPr="0035027D">
        <w:t>ných prostriedkov na uplat</w:t>
      </w:r>
      <w:r w:rsidRPr="0035027D">
        <w:rPr>
          <w:rFonts w:cs="Times New Roman"/>
        </w:rPr>
        <w:t>ň</w:t>
      </w:r>
      <w:r w:rsidRPr="0035027D">
        <w:t>ovanie aktívnych opatrení na trhu práce, na ktoré nie je právny nárok</w:t>
      </w:r>
      <w:r w:rsidR="003C38D1" w:rsidRPr="0035027D">
        <w:t>. B</w:t>
      </w:r>
      <w:r w:rsidRPr="0035027D">
        <w:t>udú obsahova</w:t>
      </w:r>
      <w:r w:rsidR="006124C0" w:rsidRPr="0035027D">
        <w:rPr>
          <w:rFonts w:cs="Times New Roman"/>
        </w:rPr>
        <w:t>ť</w:t>
      </w:r>
      <w:r w:rsidR="006124C0" w:rsidRPr="0035027D">
        <w:t xml:space="preserve"> </w:t>
      </w:r>
      <w:r w:rsidR="007302F0" w:rsidRPr="0035027D">
        <w:t xml:space="preserve">mechanizmus </w:t>
      </w:r>
      <w:r w:rsidR="006124C0" w:rsidRPr="0035027D">
        <w:t>kontrol</w:t>
      </w:r>
      <w:r w:rsidR="007302F0" w:rsidRPr="0035027D">
        <w:t>y</w:t>
      </w:r>
      <w:r w:rsidR="006124C0" w:rsidRPr="0035027D">
        <w:t xml:space="preserve"> ich dodr</w:t>
      </w:r>
      <w:r w:rsidR="006124C0" w:rsidRPr="0035027D">
        <w:rPr>
          <w:rFonts w:cs="Times New Roman"/>
        </w:rPr>
        <w:t>ž</w:t>
      </w:r>
      <w:r w:rsidR="006124C0" w:rsidRPr="0035027D">
        <w:t>iavania</w:t>
      </w:r>
      <w:r w:rsidR="007302F0" w:rsidRPr="0035027D">
        <w:t xml:space="preserve"> </w:t>
      </w:r>
      <w:r w:rsidR="006124C0" w:rsidRPr="0035027D">
        <w:t>a usmernenia</w:t>
      </w:r>
      <w:r w:rsidRPr="0035027D">
        <w:t xml:space="preserve"> k povinnosti zverej</w:t>
      </w:r>
      <w:r w:rsidRPr="0035027D">
        <w:rPr>
          <w:rFonts w:cs="Times New Roman"/>
        </w:rPr>
        <w:t>ň</w:t>
      </w:r>
      <w:r w:rsidRPr="0035027D">
        <w:t>ova</w:t>
      </w:r>
      <w:r w:rsidRPr="0035027D">
        <w:rPr>
          <w:rFonts w:cs="Times New Roman"/>
        </w:rPr>
        <w:t>ť</w:t>
      </w:r>
      <w:r w:rsidRPr="0035027D">
        <w:t xml:space="preserve"> informácie o príspevkoch pod</w:t>
      </w:r>
      <w:r w:rsidRPr="0035027D">
        <w:rPr>
          <w:rFonts w:cs="Times New Roman"/>
        </w:rPr>
        <w:t>ľ</w:t>
      </w:r>
      <w:r w:rsidRPr="0035027D">
        <w:t>a zákona</w:t>
      </w:r>
      <w:r w:rsidR="007302F0" w:rsidRPr="0035027D">
        <w:t>. Proces bude transparentný</w:t>
      </w:r>
      <w:r w:rsidRPr="0035027D">
        <w:t xml:space="preserve"> </w:t>
      </w:r>
      <w:r w:rsidR="007302F0" w:rsidRPr="0035027D">
        <w:t>zverej</w:t>
      </w:r>
      <w:r w:rsidR="007302F0" w:rsidRPr="0035027D">
        <w:rPr>
          <w:rFonts w:cs="Times New Roman"/>
        </w:rPr>
        <w:t>ň</w:t>
      </w:r>
      <w:r w:rsidR="007302F0" w:rsidRPr="0035027D">
        <w:t xml:space="preserve">ovaním odôvodnení </w:t>
      </w:r>
      <w:r w:rsidRPr="0035027D">
        <w:t>na webových sídlach úradov</w:t>
      </w:r>
      <w:r w:rsidR="007302F0" w:rsidRPr="0035027D">
        <w:t xml:space="preserve">, </w:t>
      </w:r>
      <w:r w:rsidR="007302F0" w:rsidRPr="0035027D">
        <w:rPr>
          <w:rFonts w:cs="Times New Roman"/>
        </w:rPr>
        <w:t>č</w:t>
      </w:r>
      <w:r w:rsidR="007302F0" w:rsidRPr="0035027D">
        <w:t>ím sa zamedzí mo</w:t>
      </w:r>
      <w:r w:rsidR="007302F0" w:rsidRPr="0035027D">
        <w:rPr>
          <w:rFonts w:cs="Times New Roman"/>
        </w:rPr>
        <w:t>ž</w:t>
      </w:r>
      <w:r w:rsidR="007302F0" w:rsidRPr="0035027D">
        <w:t>nému riziku klientelizmu a korupcie</w:t>
      </w:r>
      <w:r w:rsidRPr="0035027D">
        <w:t xml:space="preserve">. </w:t>
      </w:r>
      <w:r w:rsidR="006124C0" w:rsidRPr="0035027D">
        <w:t>Schva</w:t>
      </w:r>
      <w:r w:rsidR="006124C0" w:rsidRPr="0035027D">
        <w:rPr>
          <w:rFonts w:cs="Times New Roman"/>
        </w:rPr>
        <w:t>ľ</w:t>
      </w:r>
      <w:r w:rsidR="006124C0" w:rsidRPr="0035027D">
        <w:t>ovanie poskytovania príspevkov budú zabezpe</w:t>
      </w:r>
      <w:r w:rsidR="006124C0" w:rsidRPr="0035027D">
        <w:rPr>
          <w:rFonts w:cs="Times New Roman"/>
        </w:rPr>
        <w:t>č</w:t>
      </w:r>
      <w:r w:rsidR="006124C0" w:rsidRPr="0035027D">
        <w:t>ova</w:t>
      </w:r>
      <w:r w:rsidR="006124C0" w:rsidRPr="0035027D">
        <w:rPr>
          <w:rFonts w:cs="Times New Roman"/>
        </w:rPr>
        <w:t>ť</w:t>
      </w:r>
      <w:r w:rsidR="006124C0" w:rsidRPr="0035027D">
        <w:t xml:space="preserve"> novovzniknuté výbory pre otázky zamestnanosti.</w:t>
      </w:r>
      <w:r w:rsidRPr="0035027D">
        <w:t xml:space="preserve"> </w:t>
      </w:r>
    </w:p>
    <w:p w:rsidR="0081049D" w:rsidRPr="0035027D" w:rsidRDefault="0081049D" w:rsidP="0081049D">
      <w:pPr>
        <w:spacing w:after="0"/>
      </w:pPr>
    </w:p>
    <w:p w:rsidR="003676EE" w:rsidRPr="0035027D" w:rsidRDefault="007302F0" w:rsidP="00A767B7">
      <w:pPr>
        <w:spacing w:after="0"/>
      </w:pPr>
      <w:r w:rsidRPr="0035027D">
        <w:t>Zmeny v APTP a dynamický vývoj na trhu práce si vy</w:t>
      </w:r>
      <w:r w:rsidRPr="0035027D">
        <w:rPr>
          <w:rFonts w:cs="Times New Roman"/>
        </w:rPr>
        <w:t>ž</w:t>
      </w:r>
      <w:r w:rsidRPr="0035027D">
        <w:t>aduje priebe</w:t>
      </w:r>
      <w:r w:rsidRPr="0035027D">
        <w:rPr>
          <w:rFonts w:cs="Times New Roman"/>
        </w:rPr>
        <w:t>ž</w:t>
      </w:r>
      <w:r w:rsidRPr="0035027D">
        <w:t>ný monit</w:t>
      </w:r>
      <w:r w:rsidR="0092375A" w:rsidRPr="0035027D">
        <w:t>oring a vyhodnocovanie jednotliv</w:t>
      </w:r>
      <w:r w:rsidRPr="0035027D">
        <w:t>ých programov tak, aby bola zabezpe</w:t>
      </w:r>
      <w:r w:rsidRPr="0035027D">
        <w:rPr>
          <w:rFonts w:cs="Times New Roman"/>
        </w:rPr>
        <w:t>č</w:t>
      </w:r>
      <w:r w:rsidRPr="0035027D">
        <w:t>ená v</w:t>
      </w:r>
      <w:r w:rsidRPr="0035027D">
        <w:rPr>
          <w:rFonts w:cs="Times New Roman"/>
        </w:rPr>
        <w:t>č</w:t>
      </w:r>
      <w:r w:rsidRPr="0035027D">
        <w:t xml:space="preserve">asná reakcia verejnej politiky. </w:t>
      </w:r>
      <w:r w:rsidR="003676EE" w:rsidRPr="0035027D">
        <w:t>S ú</w:t>
      </w:r>
      <w:r w:rsidR="003676EE" w:rsidRPr="0035027D">
        <w:rPr>
          <w:rFonts w:cs="Times New Roman"/>
        </w:rPr>
        <w:t>č</w:t>
      </w:r>
      <w:r w:rsidR="003676EE" w:rsidRPr="0035027D">
        <w:t>innos</w:t>
      </w:r>
      <w:r w:rsidR="003676EE" w:rsidRPr="0035027D">
        <w:rPr>
          <w:rFonts w:cs="Times New Roman"/>
        </w:rPr>
        <w:t>ť</w:t>
      </w:r>
      <w:r w:rsidR="003676EE" w:rsidRPr="0035027D">
        <w:t>ou novely zákona o slu</w:t>
      </w:r>
      <w:r w:rsidR="003676EE" w:rsidRPr="0035027D">
        <w:rPr>
          <w:rFonts w:cs="Times New Roman"/>
        </w:rPr>
        <w:t>ž</w:t>
      </w:r>
      <w:r w:rsidR="003676EE" w:rsidRPr="0035027D">
        <w:t>bách zamestnanosti bude ÚPSVR na základe vstupov od jednotlivých úradov PSVR vyhodnocova</w:t>
      </w:r>
      <w:r w:rsidR="003676EE" w:rsidRPr="0035027D">
        <w:rPr>
          <w:rFonts w:cs="Times New Roman"/>
        </w:rPr>
        <w:t>ť</w:t>
      </w:r>
      <w:r w:rsidR="003676EE" w:rsidRPr="0035027D">
        <w:t xml:space="preserve"> a pravidelne pripravova</w:t>
      </w:r>
      <w:r w:rsidR="003676EE" w:rsidRPr="0035027D">
        <w:rPr>
          <w:rFonts w:cs="Times New Roman"/>
        </w:rPr>
        <w:t>ť</w:t>
      </w:r>
      <w:r w:rsidR="003676EE" w:rsidRPr="0035027D">
        <w:t xml:space="preserve"> správu o fungovaní APTP. Pre </w:t>
      </w:r>
      <w:r w:rsidR="003676EE" w:rsidRPr="0035027D">
        <w:rPr>
          <w:rFonts w:cs="Times New Roman"/>
        </w:rPr>
        <w:t>ď</w:t>
      </w:r>
      <w:r w:rsidR="003676EE" w:rsidRPr="0035027D">
        <w:t>alšie zefektív</w:t>
      </w:r>
      <w:r w:rsidR="003676EE" w:rsidRPr="0035027D">
        <w:rPr>
          <w:rFonts w:cs="Times New Roman"/>
        </w:rPr>
        <w:t>ň</w:t>
      </w:r>
      <w:r w:rsidR="003676EE" w:rsidRPr="0035027D">
        <w:t>ovanie APTP bude MPSVR hlbšie analyzova</w:t>
      </w:r>
      <w:r w:rsidR="003676EE" w:rsidRPr="0035027D">
        <w:rPr>
          <w:rFonts w:cs="Times New Roman"/>
        </w:rPr>
        <w:t>ť</w:t>
      </w:r>
      <w:r w:rsidR="003676EE" w:rsidRPr="0035027D">
        <w:t xml:space="preserve"> </w:t>
      </w:r>
      <w:r w:rsidR="003676EE" w:rsidRPr="0035027D">
        <w:rPr>
          <w:rFonts w:cs="Times New Roman"/>
        </w:rPr>
        <w:t>č</w:t>
      </w:r>
      <w:r w:rsidR="003676EE" w:rsidRPr="0035027D">
        <w:t>istú ú</w:t>
      </w:r>
      <w:r w:rsidR="003676EE" w:rsidRPr="0035027D">
        <w:rPr>
          <w:rFonts w:cs="Times New Roman"/>
        </w:rPr>
        <w:t>č</w:t>
      </w:r>
      <w:r w:rsidR="003676EE" w:rsidRPr="0035027D">
        <w:t>innos</w:t>
      </w:r>
      <w:r w:rsidR="003676EE" w:rsidRPr="0035027D">
        <w:rPr>
          <w:rFonts w:cs="Times New Roman"/>
        </w:rPr>
        <w:t>ť</w:t>
      </w:r>
      <w:r w:rsidR="003676EE" w:rsidRPr="0035027D">
        <w:t xml:space="preserve"> jednotlivých programov. K plneniu tejto úlohy</w:t>
      </w:r>
      <w:r w:rsidRPr="0035027D">
        <w:t xml:space="preserve"> bude sfinalizovaná individualizovaná centrálna databáza a zabezpe</w:t>
      </w:r>
      <w:r w:rsidRPr="0035027D">
        <w:rPr>
          <w:rFonts w:cs="Times New Roman"/>
        </w:rPr>
        <w:t>č</w:t>
      </w:r>
      <w:r w:rsidRPr="0035027D">
        <w:t xml:space="preserve">ený </w:t>
      </w:r>
      <w:r w:rsidR="0092375A" w:rsidRPr="0035027D">
        <w:t>prí</w:t>
      </w:r>
      <w:r w:rsidRPr="0035027D">
        <w:t>stup k nej.</w:t>
      </w:r>
    </w:p>
    <w:p w:rsidR="00670CA5" w:rsidRPr="0035027D" w:rsidRDefault="00670CA5" w:rsidP="00A767B7">
      <w:pPr>
        <w:spacing w:after="0"/>
      </w:pPr>
    </w:p>
    <w:p w:rsidR="00A767B7" w:rsidRPr="0035027D" w:rsidRDefault="00A767B7" w:rsidP="00A767B7">
      <w:pPr>
        <w:spacing w:after="0"/>
        <w:rPr>
          <w:b/>
          <w:i/>
        </w:rPr>
      </w:pPr>
      <w:r w:rsidRPr="0035027D">
        <w:rPr>
          <w:b/>
          <w:i/>
        </w:rPr>
        <w:t>Podpora zamestnanosti mladých</w:t>
      </w:r>
    </w:p>
    <w:p w:rsidR="00A767B7" w:rsidRPr="0035027D" w:rsidRDefault="00A767B7" w:rsidP="00A767B7">
      <w:pPr>
        <w:spacing w:after="0"/>
      </w:pPr>
    </w:p>
    <w:p w:rsidR="0081049D" w:rsidRPr="0035027D" w:rsidRDefault="00051AED" w:rsidP="0081049D">
      <w:pPr>
        <w:spacing w:after="0"/>
      </w:pPr>
      <w:r w:rsidRPr="0035027D">
        <w:t>Slovensko ako jedna z krajín s najni</w:t>
      </w:r>
      <w:r w:rsidRPr="0035027D">
        <w:rPr>
          <w:rFonts w:cs="Times New Roman"/>
        </w:rPr>
        <w:t>ž</w:t>
      </w:r>
      <w:r w:rsidRPr="0035027D">
        <w:t>šou zamestnanos</w:t>
      </w:r>
      <w:r w:rsidRPr="0035027D">
        <w:rPr>
          <w:rFonts w:cs="Times New Roman"/>
        </w:rPr>
        <w:t>ť</w:t>
      </w:r>
      <w:r w:rsidRPr="0035027D">
        <w:t>ou mladých prešlo v roku 2012 hodnotením EK, ktorého cie</w:t>
      </w:r>
      <w:r w:rsidRPr="0035027D">
        <w:rPr>
          <w:rFonts w:cs="Times New Roman"/>
        </w:rPr>
        <w:t>ľ</w:t>
      </w:r>
      <w:r w:rsidRPr="0035027D">
        <w:t xml:space="preserve">om bola </w:t>
      </w:r>
      <w:proofErr w:type="spellStart"/>
      <w:r w:rsidRPr="0035027D">
        <w:t>realokácia</w:t>
      </w:r>
      <w:proofErr w:type="spellEnd"/>
      <w:r w:rsidRPr="0035027D">
        <w:t xml:space="preserve"> fondov EÚ na riešenie zamestnanosti mladých. Okrem </w:t>
      </w:r>
      <w:r w:rsidRPr="0035027D">
        <w:rPr>
          <w:rFonts w:cs="Times New Roman"/>
        </w:rPr>
        <w:t>ď</w:t>
      </w:r>
      <w:r w:rsidRPr="0035027D">
        <w:t>alších nástrojov APTP sú sú</w:t>
      </w:r>
      <w:r w:rsidRPr="0035027D">
        <w:rPr>
          <w:rFonts w:cs="Times New Roman"/>
        </w:rPr>
        <w:t>č</w:t>
      </w:r>
      <w:r w:rsidRPr="0035027D">
        <w:t>as</w:t>
      </w:r>
      <w:r w:rsidRPr="0035027D">
        <w:rPr>
          <w:rFonts w:cs="Times New Roman"/>
        </w:rPr>
        <w:t>ť</w:t>
      </w:r>
      <w:r w:rsidRPr="0035027D">
        <w:t>ou systému dva projekty</w:t>
      </w:r>
      <w:r w:rsidRPr="0035027D">
        <w:rPr>
          <w:rStyle w:val="Odkaznapoznmkupodiarou"/>
        </w:rPr>
        <w:footnoteReference w:id="4"/>
      </w:r>
      <w:r w:rsidRPr="0035027D">
        <w:t xml:space="preserve"> v rámci Opera</w:t>
      </w:r>
      <w:r w:rsidRPr="0035027D">
        <w:rPr>
          <w:rFonts w:cs="Times New Roman"/>
        </w:rPr>
        <w:t>č</w:t>
      </w:r>
      <w:r w:rsidRPr="0035027D">
        <w:t>ného programu „Zamestnanos</w:t>
      </w:r>
      <w:r w:rsidRPr="0035027D">
        <w:rPr>
          <w:rFonts w:cs="Times New Roman"/>
        </w:rPr>
        <w:t>ť</w:t>
      </w:r>
      <w:r w:rsidRPr="0035027D">
        <w:t xml:space="preserve"> a sociálna inklúzia“ („Podpora vytvárania pracovných miest“ a „Podpora zamestnávania nezamestnaných v samospráve“) financované z ESF zamerané špeciálne na podporu vzniku pracovných miest pre uchádza</w:t>
      </w:r>
      <w:r w:rsidRPr="0035027D">
        <w:rPr>
          <w:rFonts w:cs="Times New Roman"/>
        </w:rPr>
        <w:t>č</w:t>
      </w:r>
      <w:r w:rsidRPr="0035027D">
        <w:t xml:space="preserve">ov do 29 rokov. Podpora sa realizuje financovaním </w:t>
      </w:r>
      <w:r w:rsidRPr="0035027D">
        <w:rPr>
          <w:rFonts w:cs="Times New Roman"/>
        </w:rPr>
        <w:t>č</w:t>
      </w:r>
      <w:r w:rsidRPr="0035027D">
        <w:t>asti nákladov zamestnávate</w:t>
      </w:r>
      <w:r w:rsidRPr="0035027D">
        <w:rPr>
          <w:rFonts w:cs="Times New Roman"/>
        </w:rPr>
        <w:t>ľ</w:t>
      </w:r>
      <w:r w:rsidRPr="0035027D">
        <w:t>a na odvody zamestnancov. Projekty boli spustené v novembri 2012 a budú pokra</w:t>
      </w:r>
      <w:r w:rsidRPr="0035027D">
        <w:rPr>
          <w:rFonts w:cs="Times New Roman"/>
        </w:rPr>
        <w:t>č</w:t>
      </w:r>
      <w:r w:rsidRPr="0035027D">
        <w:t>ova</w:t>
      </w:r>
      <w:r w:rsidRPr="0035027D">
        <w:rPr>
          <w:rFonts w:cs="Times New Roman"/>
        </w:rPr>
        <w:t>ť</w:t>
      </w:r>
      <w:r w:rsidRPr="0035027D">
        <w:t xml:space="preserve"> aj v roku 2013. Do augusta 2015 sa po</w:t>
      </w:r>
      <w:r w:rsidRPr="0035027D">
        <w:rPr>
          <w:rFonts w:cs="Times New Roman"/>
        </w:rPr>
        <w:t>č</w:t>
      </w:r>
      <w:r w:rsidRPr="0035027D">
        <w:t>íta so zdrojmi vo výške 70 miliónov eur z ESF. Zárove</w:t>
      </w:r>
      <w:r w:rsidRPr="0035027D">
        <w:rPr>
          <w:rFonts w:cs="Times New Roman"/>
        </w:rPr>
        <w:t>ň</w:t>
      </w:r>
      <w:r w:rsidRPr="0035027D">
        <w:t xml:space="preserve"> sa v sú</w:t>
      </w:r>
      <w:r w:rsidRPr="0035027D">
        <w:rPr>
          <w:rFonts w:cs="Times New Roman"/>
        </w:rPr>
        <w:t>č</w:t>
      </w:r>
      <w:r w:rsidRPr="0035027D">
        <w:t>asnosti na podporu zamestnanosti mladých realizujú v rámci Opera</w:t>
      </w:r>
      <w:r w:rsidRPr="0035027D">
        <w:rPr>
          <w:rFonts w:cs="Times New Roman"/>
        </w:rPr>
        <w:t>č</w:t>
      </w:r>
      <w:r w:rsidRPr="0035027D">
        <w:t>ného programu „Konkurencieschopnos</w:t>
      </w:r>
      <w:r w:rsidRPr="0035027D">
        <w:rPr>
          <w:rFonts w:cs="Times New Roman"/>
        </w:rPr>
        <w:t>ť</w:t>
      </w:r>
      <w:r w:rsidRPr="0035027D">
        <w:t xml:space="preserve"> a hospodársky rast“</w:t>
      </w:r>
      <w:r w:rsidRPr="0035027D">
        <w:rPr>
          <w:rStyle w:val="Odkaznapoznmkupodiarou"/>
        </w:rPr>
        <w:footnoteReference w:id="5"/>
      </w:r>
      <w:r w:rsidRPr="0035027D">
        <w:t xml:space="preserve"> projekty na zintenzívnenie podpory malých a stredných podnikov, v rámci ktorých je k</w:t>
      </w:r>
      <w:r w:rsidRPr="0035027D">
        <w:rPr>
          <w:rFonts w:cs="Times New Roman"/>
        </w:rPr>
        <w:t>ľ</w:t>
      </w:r>
      <w:r w:rsidRPr="0035027D">
        <w:t>ú</w:t>
      </w:r>
      <w:r w:rsidRPr="0035027D">
        <w:rPr>
          <w:rFonts w:cs="Times New Roman"/>
        </w:rPr>
        <w:t>č</w:t>
      </w:r>
      <w:r w:rsidRPr="0035027D">
        <w:t xml:space="preserve">ovou podmienkou podpora zamestnávania mladých </w:t>
      </w:r>
      <w:r w:rsidRPr="0035027D">
        <w:rPr>
          <w:rFonts w:cs="Times New Roman"/>
        </w:rPr>
        <w:t>ľ</w:t>
      </w:r>
      <w:r w:rsidRPr="0035027D">
        <w:t>udí do 29 rokov. Okrem mladých bude v </w:t>
      </w:r>
      <w:r w:rsidRPr="0035027D">
        <w:rPr>
          <w:rFonts w:cs="Times New Roman"/>
        </w:rPr>
        <w:t>ď</w:t>
      </w:r>
      <w:r w:rsidRPr="0035027D">
        <w:t>alších rokoch podporené zamestnávanie aj starších (nad 50 rokov) znevýhodnených uchádza</w:t>
      </w:r>
      <w:r w:rsidRPr="0035027D">
        <w:rPr>
          <w:rFonts w:cs="Times New Roman"/>
        </w:rPr>
        <w:t>č</w:t>
      </w:r>
      <w:r w:rsidRPr="0035027D">
        <w:t>ov.</w:t>
      </w:r>
    </w:p>
    <w:p w:rsidR="0081049D" w:rsidRPr="0035027D" w:rsidRDefault="0081049D" w:rsidP="0081049D">
      <w:pPr>
        <w:spacing w:after="0"/>
      </w:pPr>
    </w:p>
    <w:p w:rsidR="0081049D" w:rsidRPr="0035027D" w:rsidRDefault="00903B43" w:rsidP="0081049D">
      <w:pPr>
        <w:spacing w:after="0"/>
      </w:pPr>
      <w:r w:rsidRPr="0035027D">
        <w:t>Nástroje APTP a projekty na podporu zamestnanosti mladých budú tvori</w:t>
      </w:r>
      <w:r w:rsidRPr="0035027D">
        <w:rPr>
          <w:rFonts w:cs="Times New Roman"/>
        </w:rPr>
        <w:t>ť</w:t>
      </w:r>
      <w:r w:rsidRPr="0035027D">
        <w:t xml:space="preserve"> sú</w:t>
      </w:r>
      <w:r w:rsidRPr="0035027D">
        <w:rPr>
          <w:rFonts w:cs="Times New Roman"/>
        </w:rPr>
        <w:t>č</w:t>
      </w:r>
      <w:r w:rsidRPr="0035027D">
        <w:t>as</w:t>
      </w:r>
      <w:r w:rsidRPr="0035027D">
        <w:rPr>
          <w:rFonts w:cs="Times New Roman"/>
        </w:rPr>
        <w:t>ť</w:t>
      </w:r>
      <w:r w:rsidRPr="0035027D">
        <w:t xml:space="preserve"> pripravovaného systému záruk pre mladých </w:t>
      </w:r>
      <w:r w:rsidRPr="0035027D">
        <w:rPr>
          <w:rFonts w:cs="Times New Roman"/>
        </w:rPr>
        <w:t>ľ</w:t>
      </w:r>
      <w:r w:rsidRPr="0035027D">
        <w:t xml:space="preserve">udí do 25 rokov. </w:t>
      </w:r>
      <w:r w:rsidRPr="0035027D">
        <w:rPr>
          <w:color w:val="000000"/>
        </w:rPr>
        <w:t>Cie</w:t>
      </w:r>
      <w:r w:rsidRPr="0035027D">
        <w:rPr>
          <w:rFonts w:cs="Times New Roman"/>
          <w:color w:val="000000"/>
        </w:rPr>
        <w:t>ľ</w:t>
      </w:r>
      <w:r w:rsidRPr="0035027D">
        <w:rPr>
          <w:color w:val="000000"/>
        </w:rPr>
        <w:t>om opatrenia je zabezpe</w:t>
      </w:r>
      <w:r w:rsidRPr="0035027D">
        <w:rPr>
          <w:rFonts w:cs="Times New Roman"/>
          <w:color w:val="000000"/>
        </w:rPr>
        <w:t>č</w:t>
      </w:r>
      <w:r w:rsidRPr="0035027D">
        <w:rPr>
          <w:color w:val="000000"/>
        </w:rPr>
        <w:t>i</w:t>
      </w:r>
      <w:r w:rsidRPr="0035027D">
        <w:rPr>
          <w:rFonts w:cs="Times New Roman"/>
          <w:color w:val="000000"/>
        </w:rPr>
        <w:t>ť</w:t>
      </w:r>
      <w:r w:rsidRPr="0035027D">
        <w:rPr>
          <w:color w:val="000000"/>
        </w:rPr>
        <w:t xml:space="preserve">, aby všetci mladí </w:t>
      </w:r>
      <w:r w:rsidRPr="0035027D">
        <w:rPr>
          <w:rFonts w:cs="Times New Roman"/>
          <w:color w:val="000000"/>
        </w:rPr>
        <w:t>ľ</w:t>
      </w:r>
      <w:r w:rsidRPr="0035027D">
        <w:rPr>
          <w:color w:val="000000"/>
        </w:rPr>
        <w:t xml:space="preserve">udia vo veku do 25 rokov dostali kvalitnú ponuku zamestnania, </w:t>
      </w:r>
      <w:r w:rsidRPr="0035027D">
        <w:rPr>
          <w:rFonts w:cs="Times New Roman"/>
          <w:color w:val="000000"/>
        </w:rPr>
        <w:t>ď</w:t>
      </w:r>
      <w:r w:rsidRPr="0035027D">
        <w:rPr>
          <w:color w:val="000000"/>
        </w:rPr>
        <w:t>alšieho vzdelávania, u</w:t>
      </w:r>
      <w:r w:rsidRPr="0035027D">
        <w:rPr>
          <w:rFonts w:cs="Times New Roman"/>
          <w:color w:val="000000"/>
        </w:rPr>
        <w:t>čň</w:t>
      </w:r>
      <w:r w:rsidRPr="0035027D">
        <w:rPr>
          <w:color w:val="000000"/>
        </w:rPr>
        <w:t>ovskej prípravy alebo stá</w:t>
      </w:r>
      <w:r w:rsidRPr="0035027D">
        <w:rPr>
          <w:rFonts w:cs="Times New Roman"/>
          <w:color w:val="000000"/>
        </w:rPr>
        <w:t>ž</w:t>
      </w:r>
      <w:r w:rsidRPr="0035027D">
        <w:rPr>
          <w:color w:val="000000"/>
        </w:rPr>
        <w:t xml:space="preserve">e do štyroch mesiacov po </w:t>
      </w:r>
      <w:r w:rsidRPr="0035027D">
        <w:rPr>
          <w:color w:val="000000"/>
        </w:rPr>
        <w:lastRenderedPageBreak/>
        <w:t>strate zamestnania alebo ukon</w:t>
      </w:r>
      <w:r w:rsidRPr="0035027D">
        <w:rPr>
          <w:rFonts w:cs="Times New Roman"/>
          <w:color w:val="000000"/>
        </w:rPr>
        <w:t>č</w:t>
      </w:r>
      <w:r w:rsidRPr="0035027D">
        <w:rPr>
          <w:color w:val="000000"/>
        </w:rPr>
        <w:t xml:space="preserve">ení formálneho vzdelania. </w:t>
      </w:r>
      <w:r w:rsidRPr="0035027D">
        <w:t>Na dosiahnutie tohto cie</w:t>
      </w:r>
      <w:r w:rsidRPr="0035027D">
        <w:rPr>
          <w:rFonts w:cs="Times New Roman"/>
        </w:rPr>
        <w:t>ľ</w:t>
      </w:r>
      <w:r w:rsidRPr="0035027D">
        <w:t xml:space="preserve">a budú </w:t>
      </w:r>
      <w:r w:rsidR="00E044FE" w:rsidRPr="0035027D">
        <w:t>zabezpe</w:t>
      </w:r>
      <w:r w:rsidR="00E044FE" w:rsidRPr="0035027D">
        <w:rPr>
          <w:rFonts w:cs="Times New Roman"/>
        </w:rPr>
        <w:t>č</w:t>
      </w:r>
      <w:r w:rsidR="00E044FE" w:rsidRPr="0035027D">
        <w:t xml:space="preserve">ené </w:t>
      </w:r>
      <w:r w:rsidRPr="0035027D">
        <w:t>finan</w:t>
      </w:r>
      <w:r w:rsidRPr="0035027D">
        <w:rPr>
          <w:rFonts w:cs="Times New Roman"/>
        </w:rPr>
        <w:t>č</w:t>
      </w:r>
      <w:r w:rsidRPr="0035027D">
        <w:t>né prostriedky prostredníctvom štrukturálnych fondov v novom programovom období 2014</w:t>
      </w:r>
      <w:r w:rsidR="00A40A23" w:rsidRPr="0035027D">
        <w:t> </w:t>
      </w:r>
      <w:r w:rsidRPr="0035027D">
        <w:t>-</w:t>
      </w:r>
      <w:r w:rsidR="00A40A23" w:rsidRPr="0035027D">
        <w:t> </w:t>
      </w:r>
      <w:r w:rsidRPr="0035027D">
        <w:t xml:space="preserve">2020. </w:t>
      </w:r>
      <w:r w:rsidRPr="0035027D">
        <w:rPr>
          <w:color w:val="000000"/>
        </w:rPr>
        <w:t>K</w:t>
      </w:r>
      <w:r w:rsidRPr="0035027D">
        <w:rPr>
          <w:rFonts w:cs="Times New Roman"/>
          <w:color w:val="000000"/>
        </w:rPr>
        <w:t>ľ</w:t>
      </w:r>
      <w:r w:rsidRPr="0035027D">
        <w:rPr>
          <w:color w:val="000000"/>
        </w:rPr>
        <w:t>ú</w:t>
      </w:r>
      <w:r w:rsidRPr="0035027D">
        <w:rPr>
          <w:rFonts w:cs="Times New Roman"/>
          <w:color w:val="000000"/>
        </w:rPr>
        <w:t>č</w:t>
      </w:r>
      <w:r w:rsidRPr="0035027D">
        <w:rPr>
          <w:color w:val="000000"/>
        </w:rPr>
        <w:t>ové aktivity implementácie systému záruk budú zamerané na odborné poradenské slu</w:t>
      </w:r>
      <w:r w:rsidRPr="0035027D">
        <w:rPr>
          <w:rFonts w:cs="Times New Roman"/>
          <w:color w:val="000000"/>
        </w:rPr>
        <w:t>ž</w:t>
      </w:r>
      <w:r w:rsidRPr="0035027D">
        <w:rPr>
          <w:color w:val="000000"/>
        </w:rPr>
        <w:t xml:space="preserve">by úradov PSVR, vytváranie lepšie cielených a individualizovaných </w:t>
      </w:r>
      <w:r w:rsidRPr="0035027D">
        <w:rPr>
          <w:rFonts w:cs="Times New Roman"/>
          <w:color w:val="000000"/>
        </w:rPr>
        <w:t>č</w:t>
      </w:r>
      <w:r w:rsidRPr="0035027D">
        <w:rPr>
          <w:color w:val="000000"/>
        </w:rPr>
        <w:t xml:space="preserve">inností a na ich základe identifikovanie najmä tých mladých </w:t>
      </w:r>
      <w:r w:rsidRPr="0035027D">
        <w:rPr>
          <w:rFonts w:cs="Times New Roman"/>
          <w:color w:val="000000"/>
        </w:rPr>
        <w:t>ľ</w:t>
      </w:r>
      <w:r w:rsidRPr="0035027D">
        <w:rPr>
          <w:color w:val="000000"/>
        </w:rPr>
        <w:t xml:space="preserve">udí, ktorým hrozí, </w:t>
      </w:r>
      <w:r w:rsidRPr="0035027D">
        <w:rPr>
          <w:rFonts w:cs="Times New Roman"/>
          <w:color w:val="000000"/>
        </w:rPr>
        <w:t>ž</w:t>
      </w:r>
      <w:r w:rsidRPr="0035027D">
        <w:rPr>
          <w:color w:val="000000"/>
        </w:rPr>
        <w:t>e si nenájdu zamestnanie ani mo</w:t>
      </w:r>
      <w:r w:rsidRPr="0035027D">
        <w:rPr>
          <w:rFonts w:cs="Times New Roman"/>
          <w:color w:val="000000"/>
        </w:rPr>
        <w:t>ž</w:t>
      </w:r>
      <w:r w:rsidRPr="0035027D">
        <w:rPr>
          <w:color w:val="000000"/>
        </w:rPr>
        <w:t>nos</w:t>
      </w:r>
      <w:r w:rsidRPr="0035027D">
        <w:rPr>
          <w:rFonts w:cs="Times New Roman"/>
          <w:color w:val="000000"/>
        </w:rPr>
        <w:t>ť</w:t>
      </w:r>
      <w:r w:rsidRPr="0035027D">
        <w:rPr>
          <w:color w:val="000000"/>
        </w:rPr>
        <w:t xml:space="preserve"> </w:t>
      </w:r>
      <w:r w:rsidRPr="0035027D">
        <w:rPr>
          <w:rFonts w:cs="Times New Roman"/>
          <w:color w:val="000000"/>
        </w:rPr>
        <w:t>ď</w:t>
      </w:r>
      <w:r w:rsidRPr="0035027D">
        <w:rPr>
          <w:color w:val="000000"/>
        </w:rPr>
        <w:t>alšieho vzdelávania. Pôjde o zabezpe</w:t>
      </w:r>
      <w:r w:rsidRPr="0035027D">
        <w:rPr>
          <w:rFonts w:cs="Times New Roman"/>
          <w:color w:val="000000"/>
        </w:rPr>
        <w:t>č</w:t>
      </w:r>
      <w:r w:rsidRPr="0035027D">
        <w:rPr>
          <w:color w:val="000000"/>
        </w:rPr>
        <w:t>enie všetkých informácií o dostupných slu</w:t>
      </w:r>
      <w:r w:rsidRPr="0035027D">
        <w:rPr>
          <w:rFonts w:cs="Times New Roman"/>
          <w:color w:val="000000"/>
        </w:rPr>
        <w:t>ž</w:t>
      </w:r>
      <w:r w:rsidRPr="0035027D">
        <w:rPr>
          <w:color w:val="000000"/>
        </w:rPr>
        <w:t>bách zamestnanosti a formách podpory, ako napríklad propagovanie, poskytovanie informácií a rád o mo</w:t>
      </w:r>
      <w:r w:rsidRPr="0035027D">
        <w:rPr>
          <w:rFonts w:cs="Times New Roman"/>
          <w:color w:val="000000"/>
        </w:rPr>
        <w:t>ž</w:t>
      </w:r>
      <w:r w:rsidRPr="0035027D">
        <w:rPr>
          <w:color w:val="000000"/>
        </w:rPr>
        <w:t>nostiach zabezpe</w:t>
      </w:r>
      <w:r w:rsidRPr="0035027D">
        <w:rPr>
          <w:rFonts w:cs="Times New Roman"/>
          <w:color w:val="000000"/>
        </w:rPr>
        <w:t>č</w:t>
      </w:r>
      <w:r w:rsidRPr="0035027D">
        <w:rPr>
          <w:color w:val="000000"/>
        </w:rPr>
        <w:t>enia absolvovania prípravy na za</w:t>
      </w:r>
      <w:r w:rsidRPr="0035027D">
        <w:rPr>
          <w:rFonts w:cs="Times New Roman"/>
          <w:color w:val="000000"/>
        </w:rPr>
        <w:t>č</w:t>
      </w:r>
      <w:r w:rsidRPr="0035027D">
        <w:rPr>
          <w:color w:val="000000"/>
        </w:rPr>
        <w:t xml:space="preserve">atie prevádzkovania samostatnej zárobkovej </w:t>
      </w:r>
      <w:r w:rsidRPr="0035027D">
        <w:rPr>
          <w:rFonts w:cs="Times New Roman"/>
          <w:color w:val="000000"/>
        </w:rPr>
        <w:t>č</w:t>
      </w:r>
      <w:r w:rsidRPr="0035027D">
        <w:rPr>
          <w:color w:val="000000"/>
        </w:rPr>
        <w:t>innosti. Pripravia sa projekty, ktorých zámerom bude zlepšenie kvality absolventskej praxe. Zavedie sa aktuálny preh</w:t>
      </w:r>
      <w:r w:rsidRPr="0035027D">
        <w:rPr>
          <w:rFonts w:cs="Times New Roman"/>
          <w:color w:val="000000"/>
        </w:rPr>
        <w:t>ľ</w:t>
      </w:r>
      <w:r w:rsidRPr="0035027D">
        <w:rPr>
          <w:color w:val="000000"/>
        </w:rPr>
        <w:t>ad o pridelených finan</w:t>
      </w:r>
      <w:r w:rsidRPr="0035027D">
        <w:rPr>
          <w:rFonts w:cs="Times New Roman"/>
          <w:color w:val="000000"/>
        </w:rPr>
        <w:t>č</w:t>
      </w:r>
      <w:r w:rsidRPr="0035027D">
        <w:rPr>
          <w:color w:val="000000"/>
        </w:rPr>
        <w:t>ných prostriedkoch na realizáciu systému záruk pre mladých a samostatná informa</w:t>
      </w:r>
      <w:r w:rsidRPr="0035027D">
        <w:rPr>
          <w:rFonts w:cs="Times New Roman"/>
          <w:color w:val="000000"/>
        </w:rPr>
        <w:t>č</w:t>
      </w:r>
      <w:r w:rsidRPr="0035027D">
        <w:rPr>
          <w:color w:val="000000"/>
        </w:rPr>
        <w:t>ná zlo</w:t>
      </w:r>
      <w:r w:rsidRPr="0035027D">
        <w:rPr>
          <w:rFonts w:cs="Times New Roman"/>
          <w:color w:val="000000"/>
        </w:rPr>
        <w:t>ž</w:t>
      </w:r>
      <w:r w:rsidRPr="0035027D">
        <w:rPr>
          <w:color w:val="000000"/>
        </w:rPr>
        <w:t>ka v rámci web</w:t>
      </w:r>
      <w:r w:rsidR="00222B2E" w:rsidRPr="0035027D">
        <w:rPr>
          <w:color w:val="000000"/>
        </w:rPr>
        <w:t>ového</w:t>
      </w:r>
      <w:r w:rsidRPr="0035027D">
        <w:rPr>
          <w:color w:val="000000"/>
        </w:rPr>
        <w:t xml:space="preserve"> sídla ÚPSVR</w:t>
      </w:r>
      <w:r w:rsidR="0081049D" w:rsidRPr="0035027D">
        <w:t>.</w:t>
      </w:r>
    </w:p>
    <w:p w:rsidR="00A767B7" w:rsidRPr="0035027D" w:rsidRDefault="00A767B7" w:rsidP="00A767B7">
      <w:pPr>
        <w:spacing w:after="0"/>
      </w:pPr>
    </w:p>
    <w:p w:rsidR="00A767B7" w:rsidRPr="0035027D" w:rsidRDefault="00A767B7" w:rsidP="00A767B7">
      <w:pPr>
        <w:spacing w:after="0"/>
        <w:rPr>
          <w:b/>
          <w:i/>
        </w:rPr>
      </w:pPr>
      <w:r w:rsidRPr="0035027D">
        <w:rPr>
          <w:b/>
          <w:i/>
        </w:rPr>
        <w:t>Dlhodobá nezamestnanosť</w:t>
      </w:r>
    </w:p>
    <w:p w:rsidR="00A767B7" w:rsidRPr="0035027D" w:rsidRDefault="00A767B7" w:rsidP="00A767B7">
      <w:pPr>
        <w:spacing w:after="0"/>
        <w:rPr>
          <w:b/>
        </w:rPr>
      </w:pPr>
    </w:p>
    <w:p w:rsidR="0081049D" w:rsidRPr="0035027D" w:rsidRDefault="00ED17C8" w:rsidP="0081049D">
      <w:pPr>
        <w:spacing w:after="0"/>
      </w:pPr>
      <w:r w:rsidRPr="0035027D">
        <w:t>Dlhodobá nezamestnanos</w:t>
      </w:r>
      <w:r w:rsidRPr="0035027D">
        <w:rPr>
          <w:rFonts w:cs="Times New Roman"/>
        </w:rPr>
        <w:t>ť</w:t>
      </w:r>
      <w:r w:rsidRPr="0035027D">
        <w:t xml:space="preserve"> </w:t>
      </w:r>
      <w:r w:rsidR="0081049D" w:rsidRPr="0035027D">
        <w:t>predstavuje jeden zo zásadných problémov slovenskej ekonomiky. Medzi hlavné preká</w:t>
      </w:r>
      <w:r w:rsidR="0081049D" w:rsidRPr="0035027D">
        <w:rPr>
          <w:rFonts w:cs="Times New Roman"/>
        </w:rPr>
        <w:t>ž</w:t>
      </w:r>
      <w:r w:rsidR="0081049D" w:rsidRPr="0035027D">
        <w:t>ky pre zlepšenie situácie patrí nesúlad vzdelávania s potrebami trhu práce a</w:t>
      </w:r>
      <w:r w:rsidR="0092375A" w:rsidRPr="0035027D">
        <w:t> da</w:t>
      </w:r>
      <w:r w:rsidR="0092375A" w:rsidRPr="0035027D">
        <w:rPr>
          <w:rFonts w:cs="Times New Roman"/>
        </w:rPr>
        <w:t>ň</w:t>
      </w:r>
      <w:r w:rsidR="0092375A" w:rsidRPr="0035027D">
        <w:t>ovo-</w:t>
      </w:r>
      <w:r w:rsidR="0081049D" w:rsidRPr="0035027D">
        <w:t>odvodové za</w:t>
      </w:r>
      <w:r w:rsidR="0081049D" w:rsidRPr="0035027D">
        <w:rPr>
          <w:rFonts w:cs="Times New Roman"/>
        </w:rPr>
        <w:t>ť</w:t>
      </w:r>
      <w:r w:rsidR="0081049D" w:rsidRPr="0035027D">
        <w:t>a</w:t>
      </w:r>
      <w:r w:rsidR="0081049D" w:rsidRPr="0035027D">
        <w:rPr>
          <w:rFonts w:cs="Times New Roman"/>
        </w:rPr>
        <w:t>ž</w:t>
      </w:r>
      <w:r w:rsidR="0081049D" w:rsidRPr="0035027D">
        <w:t>enie nízkopríjmových pracujúcich. Prvý problém adresuje, okrem opatrení definovaných v </w:t>
      </w:r>
      <w:r w:rsidR="0081049D" w:rsidRPr="0035027D">
        <w:rPr>
          <w:rFonts w:cs="Times New Roman"/>
        </w:rPr>
        <w:t>č</w:t>
      </w:r>
      <w:r w:rsidR="0081049D" w:rsidRPr="0035027D">
        <w:t>asti vzdelávanie, národná sústava povolaní, ktorá predstavuje opatrenie na vytvorenie trvalo udr</w:t>
      </w:r>
      <w:r w:rsidR="0081049D" w:rsidRPr="0035027D">
        <w:rPr>
          <w:rFonts w:cs="Times New Roman"/>
        </w:rPr>
        <w:t>ž</w:t>
      </w:r>
      <w:r w:rsidR="0081049D" w:rsidRPr="0035027D">
        <w:t>ate</w:t>
      </w:r>
      <w:r w:rsidR="0081049D" w:rsidRPr="0035027D">
        <w:rPr>
          <w:rFonts w:cs="Times New Roman"/>
        </w:rPr>
        <w:t>ľ</w:t>
      </w:r>
      <w:r w:rsidR="0081049D" w:rsidRPr="0035027D">
        <w:t>ného systému monitorovania a prognózovania potrieb trhu práce, pretavenie po</w:t>
      </w:r>
      <w:r w:rsidR="0081049D" w:rsidRPr="0035027D">
        <w:rPr>
          <w:rFonts w:cs="Times New Roman"/>
        </w:rPr>
        <w:t>ž</w:t>
      </w:r>
      <w:r w:rsidR="0081049D" w:rsidRPr="0035027D">
        <w:t>iadaviek zamestnávate</w:t>
      </w:r>
      <w:r w:rsidR="0081049D" w:rsidRPr="0035027D">
        <w:rPr>
          <w:rFonts w:cs="Times New Roman"/>
        </w:rPr>
        <w:t>ľ</w:t>
      </w:r>
      <w:r w:rsidR="0081049D" w:rsidRPr="0035027D">
        <w:t>ov do celo</w:t>
      </w:r>
      <w:r w:rsidR="0081049D" w:rsidRPr="0035027D">
        <w:rPr>
          <w:rFonts w:cs="Times New Roman"/>
        </w:rPr>
        <w:t>ž</w:t>
      </w:r>
      <w:r w:rsidR="0081049D" w:rsidRPr="0035027D">
        <w:t>ivotného vzdelávania a prípravy pre trh práce za aktívnej ú</w:t>
      </w:r>
      <w:r w:rsidR="0081049D" w:rsidRPr="0035027D">
        <w:rPr>
          <w:rFonts w:cs="Times New Roman"/>
        </w:rPr>
        <w:t>č</w:t>
      </w:r>
      <w:r w:rsidR="0081049D" w:rsidRPr="0035027D">
        <w:t>asti sociálnych partnerov.</w:t>
      </w:r>
    </w:p>
    <w:p w:rsidR="0081049D" w:rsidRPr="0035027D" w:rsidRDefault="0081049D" w:rsidP="0081049D">
      <w:pPr>
        <w:spacing w:after="0"/>
      </w:pPr>
    </w:p>
    <w:p w:rsidR="00956F80" w:rsidRPr="0035027D" w:rsidRDefault="008A310F" w:rsidP="0081049D">
      <w:pPr>
        <w:spacing w:after="0"/>
      </w:pPr>
      <w:r w:rsidRPr="0035027D">
        <w:t>D</w:t>
      </w:r>
      <w:r w:rsidR="00051AED" w:rsidRPr="0035027D">
        <w:t>a</w:t>
      </w:r>
      <w:r w:rsidR="00051AED" w:rsidRPr="0035027D">
        <w:rPr>
          <w:rFonts w:cs="Times New Roman"/>
        </w:rPr>
        <w:t>ň</w:t>
      </w:r>
      <w:r w:rsidR="00051AED" w:rsidRPr="0035027D">
        <w:t>ovo-odvodové za</w:t>
      </w:r>
      <w:r w:rsidR="00051AED" w:rsidRPr="0035027D">
        <w:rPr>
          <w:rFonts w:cs="Times New Roman"/>
        </w:rPr>
        <w:t>ť</w:t>
      </w:r>
      <w:r w:rsidR="00051AED" w:rsidRPr="0035027D">
        <w:t>a</w:t>
      </w:r>
      <w:r w:rsidR="00051AED" w:rsidRPr="0035027D">
        <w:rPr>
          <w:rFonts w:cs="Times New Roman"/>
        </w:rPr>
        <w:t>ž</w:t>
      </w:r>
      <w:r w:rsidR="00051AED" w:rsidRPr="0035027D">
        <w:t xml:space="preserve">enie nízkopríjmových zamestnancov adresujú </w:t>
      </w:r>
      <w:r w:rsidR="007302F0" w:rsidRPr="0035027D">
        <w:t xml:space="preserve">vyššie spomenuté </w:t>
      </w:r>
      <w:r w:rsidR="00051AED" w:rsidRPr="0035027D">
        <w:t>programy APTP, ktoré dotujú cenu práce súkromným zamestnávate</w:t>
      </w:r>
      <w:r w:rsidR="00051AED" w:rsidRPr="0035027D">
        <w:rPr>
          <w:rFonts w:cs="Times New Roman"/>
        </w:rPr>
        <w:t>ľ</w:t>
      </w:r>
      <w:r w:rsidR="00051AED" w:rsidRPr="0035027D">
        <w:t>om alebo samosprávam, ak zamestnajú znevýhodnených uchádza</w:t>
      </w:r>
      <w:r w:rsidR="00051AED" w:rsidRPr="0035027D">
        <w:rPr>
          <w:rFonts w:cs="Times New Roman"/>
        </w:rPr>
        <w:t>č</w:t>
      </w:r>
      <w:r w:rsidR="00051AED" w:rsidRPr="0035027D">
        <w:t>ov na novovytvorené pracovné miesto. Problém da</w:t>
      </w:r>
      <w:r w:rsidR="00051AED" w:rsidRPr="0035027D">
        <w:rPr>
          <w:rFonts w:cs="Times New Roman"/>
        </w:rPr>
        <w:t>ň</w:t>
      </w:r>
      <w:r w:rsidR="00051AED" w:rsidRPr="0035027D">
        <w:t>ovo-odvodového za</w:t>
      </w:r>
      <w:r w:rsidR="00051AED" w:rsidRPr="0035027D">
        <w:rPr>
          <w:rFonts w:cs="Times New Roman"/>
        </w:rPr>
        <w:t>ť</w:t>
      </w:r>
      <w:r w:rsidR="00051AED" w:rsidRPr="0035027D">
        <w:t>a</w:t>
      </w:r>
      <w:r w:rsidR="00051AED" w:rsidRPr="0035027D">
        <w:rPr>
          <w:rFonts w:cs="Times New Roman"/>
        </w:rPr>
        <w:t>ž</w:t>
      </w:r>
      <w:r w:rsidR="00051AED" w:rsidRPr="0035027D">
        <w:t>enia s</w:t>
      </w:r>
      <w:r w:rsidR="00051AED" w:rsidRPr="0035027D">
        <w:rPr>
          <w:rFonts w:cs="Times New Roman"/>
        </w:rPr>
        <w:t>č</w:t>
      </w:r>
      <w:r w:rsidR="00051AED" w:rsidRPr="0035027D">
        <w:t xml:space="preserve">asti cieli aj príspevok na samostatnú zárobkovú </w:t>
      </w:r>
      <w:r w:rsidR="00051AED" w:rsidRPr="0035027D">
        <w:rPr>
          <w:rFonts w:cs="Times New Roman"/>
        </w:rPr>
        <w:t>č</w:t>
      </w:r>
      <w:r w:rsidR="00051AED" w:rsidRPr="0035027D">
        <w:t>innos</w:t>
      </w:r>
      <w:r w:rsidR="00051AED" w:rsidRPr="0035027D">
        <w:rPr>
          <w:rFonts w:cs="Times New Roman"/>
        </w:rPr>
        <w:t>ť</w:t>
      </w:r>
      <w:r w:rsidR="00051AED" w:rsidRPr="0035027D">
        <w:t>, ktorý podnecuje k </w:t>
      </w:r>
      <w:proofErr w:type="spellStart"/>
      <w:r w:rsidR="00051AED" w:rsidRPr="0035027D">
        <w:t>samozamestnávaniu</w:t>
      </w:r>
      <w:proofErr w:type="spellEnd"/>
      <w:r w:rsidR="00051AED" w:rsidRPr="0035027D">
        <w:t xml:space="preserve"> znevýhodnených uchádza</w:t>
      </w:r>
      <w:r w:rsidR="00051AED" w:rsidRPr="0035027D">
        <w:rPr>
          <w:rFonts w:cs="Times New Roman"/>
        </w:rPr>
        <w:t>č</w:t>
      </w:r>
      <w:r w:rsidR="00051AED" w:rsidRPr="0035027D">
        <w:t>ov</w:t>
      </w:r>
      <w:r w:rsidRPr="0035027D">
        <w:t xml:space="preserve"> o zamestnanie</w:t>
      </w:r>
      <w:r w:rsidR="00051AED" w:rsidRPr="0035027D">
        <w:t>. Výraznejšie zní</w:t>
      </w:r>
      <w:r w:rsidR="00051AED" w:rsidRPr="0035027D">
        <w:rPr>
          <w:rFonts w:cs="Times New Roman"/>
        </w:rPr>
        <w:t>ž</w:t>
      </w:r>
      <w:r w:rsidR="00051AED" w:rsidRPr="0035027D">
        <w:t>enie da</w:t>
      </w:r>
      <w:r w:rsidR="00051AED" w:rsidRPr="0035027D">
        <w:rPr>
          <w:rFonts w:cs="Times New Roman"/>
        </w:rPr>
        <w:t>ň</w:t>
      </w:r>
      <w:r w:rsidR="00051AED" w:rsidRPr="0035027D">
        <w:t>ovo-odvodového za</w:t>
      </w:r>
      <w:r w:rsidR="00051AED" w:rsidRPr="0035027D">
        <w:rPr>
          <w:rFonts w:cs="Times New Roman"/>
        </w:rPr>
        <w:t>ť</w:t>
      </w:r>
      <w:r w:rsidR="00051AED" w:rsidRPr="0035027D">
        <w:t>a</w:t>
      </w:r>
      <w:r w:rsidR="00051AED" w:rsidRPr="0035027D">
        <w:rPr>
          <w:rFonts w:cs="Times New Roman"/>
        </w:rPr>
        <w:t>ž</w:t>
      </w:r>
      <w:r w:rsidR="00051AED" w:rsidRPr="0035027D">
        <w:t>en</w:t>
      </w:r>
      <w:r w:rsidR="002C7101" w:rsidRPr="0035027D">
        <w:t>ia nízkopríjmových zamestnancov</w:t>
      </w:r>
      <w:r w:rsidR="00F24129" w:rsidRPr="0035027D">
        <w:t xml:space="preserve"> </w:t>
      </w:r>
      <w:r w:rsidR="002C7101" w:rsidRPr="0035027D">
        <w:t>napríklad prostredníctvom zrušenia zdravotných odvodov alebo odpustenia zdravotných odvodov nízkopríjmovým zamestnancom</w:t>
      </w:r>
      <w:r w:rsidR="00F24129" w:rsidRPr="0035027D">
        <w:t xml:space="preserve"> </w:t>
      </w:r>
      <w:r w:rsidR="00051AED" w:rsidRPr="0035027D">
        <w:t>by malo pozitívny vplyv na zamestnanos</w:t>
      </w:r>
      <w:r w:rsidR="00051AED" w:rsidRPr="0035027D">
        <w:rPr>
          <w:rFonts w:cs="Times New Roman"/>
        </w:rPr>
        <w:t>ť</w:t>
      </w:r>
      <w:r w:rsidR="00051AED" w:rsidRPr="0035027D">
        <w:t>, no významný negatívny vplyv na verejné financie</w:t>
      </w:r>
      <w:r w:rsidR="007302F0" w:rsidRPr="0035027D">
        <w:t xml:space="preserve"> a je preto mo</w:t>
      </w:r>
      <w:r w:rsidR="007302F0" w:rsidRPr="0035027D">
        <w:rPr>
          <w:rFonts w:cs="Times New Roman"/>
        </w:rPr>
        <w:t>ž</w:t>
      </w:r>
      <w:r w:rsidR="007302F0" w:rsidRPr="0035027D">
        <w:t>né jedine v </w:t>
      </w:r>
      <w:r w:rsidR="00051AED" w:rsidRPr="0035027D">
        <w:t xml:space="preserve"> prípade, </w:t>
      </w:r>
      <w:r w:rsidR="00051AED" w:rsidRPr="0035027D">
        <w:rPr>
          <w:rFonts w:cs="Times New Roman"/>
        </w:rPr>
        <w:t>ž</w:t>
      </w:r>
      <w:r w:rsidR="00051AED" w:rsidRPr="0035027D">
        <w:t>e by došlo ku kompenzácii výpadku inými da</w:t>
      </w:r>
      <w:r w:rsidR="00051AED" w:rsidRPr="0035027D">
        <w:rPr>
          <w:rFonts w:cs="Times New Roman"/>
        </w:rPr>
        <w:t>ň</w:t>
      </w:r>
      <w:r w:rsidR="00051AED" w:rsidRPr="0035027D">
        <w:t>ami. Vláda bude tieto mo</w:t>
      </w:r>
      <w:r w:rsidR="00051AED" w:rsidRPr="0035027D">
        <w:rPr>
          <w:rFonts w:cs="Times New Roman"/>
        </w:rPr>
        <w:t>ž</w:t>
      </w:r>
      <w:r w:rsidR="00051AED" w:rsidRPr="0035027D">
        <w:t>nosti na</w:t>
      </w:r>
      <w:r w:rsidR="00051AED" w:rsidRPr="0035027D">
        <w:rPr>
          <w:rFonts w:cs="Times New Roman"/>
        </w:rPr>
        <w:t>ď</w:t>
      </w:r>
      <w:r w:rsidR="00051AED" w:rsidRPr="0035027D">
        <w:t>alej skúma</w:t>
      </w:r>
      <w:r w:rsidR="00051AED" w:rsidRPr="0035027D">
        <w:rPr>
          <w:rFonts w:cs="Times New Roman"/>
        </w:rPr>
        <w:t>ť</w:t>
      </w:r>
      <w:r w:rsidR="00051AED" w:rsidRPr="0035027D">
        <w:t xml:space="preserve"> a h</w:t>
      </w:r>
      <w:r w:rsidR="00051AED" w:rsidRPr="0035027D">
        <w:rPr>
          <w:rFonts w:cs="Times New Roman"/>
        </w:rPr>
        <w:t>ľ</w:t>
      </w:r>
      <w:r w:rsidR="00051AED" w:rsidRPr="0035027D">
        <w:t>ada</w:t>
      </w:r>
      <w:r w:rsidR="00051AED" w:rsidRPr="0035027D">
        <w:rPr>
          <w:rFonts w:cs="Times New Roman"/>
        </w:rPr>
        <w:t>ť</w:t>
      </w:r>
      <w:r w:rsidR="00051AED" w:rsidRPr="0035027D">
        <w:t xml:space="preserve"> spôsoby aktivácie dlhodobo nezamestnaných a motivácie zamestnávate</w:t>
      </w:r>
      <w:r w:rsidR="00051AED" w:rsidRPr="0035027D">
        <w:rPr>
          <w:rFonts w:cs="Times New Roman"/>
        </w:rPr>
        <w:t>ľ</w:t>
      </w:r>
      <w:r w:rsidR="00051AED" w:rsidRPr="0035027D">
        <w:t>ov prijíma</w:t>
      </w:r>
      <w:r w:rsidR="00051AED" w:rsidRPr="0035027D">
        <w:rPr>
          <w:rFonts w:cs="Times New Roman"/>
        </w:rPr>
        <w:t>ť</w:t>
      </w:r>
      <w:r w:rsidR="00051AED" w:rsidRPr="0035027D">
        <w:t xml:space="preserve"> takýchto uchádza</w:t>
      </w:r>
      <w:r w:rsidR="00051AED" w:rsidRPr="0035027D">
        <w:rPr>
          <w:rFonts w:cs="Times New Roman"/>
        </w:rPr>
        <w:t>č</w:t>
      </w:r>
      <w:r w:rsidR="00051AED" w:rsidRPr="0035027D">
        <w:t>ov o prácu.</w:t>
      </w:r>
    </w:p>
    <w:p w:rsidR="00956F80" w:rsidRPr="0035027D" w:rsidRDefault="00956F80" w:rsidP="00A767B7">
      <w:pPr>
        <w:spacing w:after="0"/>
      </w:pPr>
    </w:p>
    <w:p w:rsidR="001D137B" w:rsidRPr="0035027D" w:rsidRDefault="001D137B" w:rsidP="00A767B7">
      <w:pPr>
        <w:spacing w:after="0"/>
      </w:pPr>
    </w:p>
    <w:p w:rsidR="00A767B7" w:rsidRPr="0035027D" w:rsidRDefault="00A767B7" w:rsidP="00C61270">
      <w:pPr>
        <w:pStyle w:val="Nadpis4"/>
      </w:pPr>
      <w:bookmarkStart w:id="56" w:name="_Toc353563384"/>
      <w:r w:rsidRPr="0035027D">
        <w:t>Sociálna inklúzia</w:t>
      </w:r>
      <w:bookmarkEnd w:id="56"/>
    </w:p>
    <w:p w:rsidR="00A767B7" w:rsidRPr="0035027D" w:rsidRDefault="00A767B7" w:rsidP="00A767B7">
      <w:pPr>
        <w:spacing w:after="0"/>
        <w:rPr>
          <w:b/>
        </w:rPr>
      </w:pPr>
    </w:p>
    <w:p w:rsidR="00A767B7" w:rsidRPr="0035027D" w:rsidRDefault="00A767B7" w:rsidP="00A767B7">
      <w:pPr>
        <w:spacing w:after="0"/>
        <w:rPr>
          <w:b/>
          <w:i/>
        </w:rPr>
      </w:pPr>
      <w:r w:rsidRPr="0035027D">
        <w:rPr>
          <w:b/>
          <w:i/>
        </w:rPr>
        <w:t xml:space="preserve">Reforma sociálnych dávok </w:t>
      </w:r>
    </w:p>
    <w:p w:rsidR="00A767B7" w:rsidRPr="0035027D" w:rsidRDefault="00A767B7" w:rsidP="00A767B7">
      <w:pPr>
        <w:spacing w:after="0"/>
      </w:pPr>
    </w:p>
    <w:p w:rsidR="0093213A" w:rsidRPr="0035027D" w:rsidRDefault="00051AED" w:rsidP="0093213A">
      <w:pPr>
        <w:spacing w:after="0"/>
      </w:pPr>
      <w:r w:rsidRPr="0035027D">
        <w:t>S cie</w:t>
      </w:r>
      <w:r w:rsidRPr="0035027D">
        <w:rPr>
          <w:rFonts w:cs="Times New Roman"/>
        </w:rPr>
        <w:t>ľ</w:t>
      </w:r>
      <w:r w:rsidRPr="0035027D">
        <w:t xml:space="preserve">om </w:t>
      </w:r>
      <w:r w:rsidRPr="0035027D">
        <w:rPr>
          <w:rFonts w:cs="Times New Roman"/>
        </w:rPr>
        <w:t>ď</w:t>
      </w:r>
      <w:r w:rsidRPr="0035027D">
        <w:t>alšieho zvyšovania adresnosti sociálnych dávok a vytvárania pozitívnych motivácií pre poberate</w:t>
      </w:r>
      <w:r w:rsidRPr="0035027D">
        <w:rPr>
          <w:rFonts w:cs="Times New Roman"/>
        </w:rPr>
        <w:t>ľ</w:t>
      </w:r>
      <w:r w:rsidRPr="0035027D">
        <w:t>ov aktivizova</w:t>
      </w:r>
      <w:r w:rsidRPr="0035027D">
        <w:rPr>
          <w:rFonts w:cs="Times New Roman"/>
        </w:rPr>
        <w:t>ť</w:t>
      </w:r>
      <w:r w:rsidRPr="0035027D">
        <w:t xml:space="preserve"> sa na trhu práce bude vláda priebe</w:t>
      </w:r>
      <w:r w:rsidRPr="0035027D">
        <w:rPr>
          <w:rFonts w:cs="Times New Roman"/>
        </w:rPr>
        <w:t>ž</w:t>
      </w:r>
      <w:r w:rsidRPr="0035027D">
        <w:t>ne analyzova</w:t>
      </w:r>
      <w:r w:rsidRPr="0035027D">
        <w:rPr>
          <w:rFonts w:cs="Times New Roman"/>
        </w:rPr>
        <w:t>ť</w:t>
      </w:r>
      <w:r w:rsidRPr="0035027D">
        <w:t xml:space="preserve"> mo</w:t>
      </w:r>
      <w:r w:rsidRPr="0035027D">
        <w:rPr>
          <w:rFonts w:cs="Times New Roman"/>
        </w:rPr>
        <w:t>ž</w:t>
      </w:r>
      <w:r w:rsidRPr="0035027D">
        <w:t>nosti lepšieho a efektívnejšieho cielenia sociálnych dávok. Hlavnou témou v tejto oblasti je v sú</w:t>
      </w:r>
      <w:r w:rsidRPr="0035027D">
        <w:rPr>
          <w:rFonts w:cs="Times New Roman"/>
        </w:rPr>
        <w:t>č</w:t>
      </w:r>
      <w:r w:rsidRPr="0035027D">
        <w:t>asnosti najmä zvyšovanie adresnosti systému štátnych sociálnych dávok na podporu rodín s de</w:t>
      </w:r>
      <w:r w:rsidRPr="0035027D">
        <w:rPr>
          <w:rFonts w:cs="Times New Roman"/>
        </w:rPr>
        <w:t>ť</w:t>
      </w:r>
      <w:r w:rsidRPr="0035027D">
        <w:t>mi</w:t>
      </w:r>
      <w:r w:rsidR="00ED17C8" w:rsidRPr="0035027D">
        <w:t>, ktoré sa z ve</w:t>
      </w:r>
      <w:r w:rsidR="00ED17C8" w:rsidRPr="0035027D">
        <w:rPr>
          <w:rFonts w:cs="Times New Roman"/>
        </w:rPr>
        <w:t>ľ</w:t>
      </w:r>
      <w:r w:rsidR="00ED17C8" w:rsidRPr="0035027D">
        <w:t xml:space="preserve">kej </w:t>
      </w:r>
      <w:r w:rsidR="00ED17C8" w:rsidRPr="0035027D">
        <w:rPr>
          <w:rFonts w:cs="Times New Roman"/>
        </w:rPr>
        <w:t>č</w:t>
      </w:r>
      <w:r w:rsidR="00ED17C8" w:rsidRPr="0035027D">
        <w:t>asti netestujú na príjem</w:t>
      </w:r>
      <w:r w:rsidRPr="0035027D">
        <w:t>. Systém prejde komplexnou revíziou s cie</w:t>
      </w:r>
      <w:r w:rsidRPr="0035027D">
        <w:rPr>
          <w:rFonts w:cs="Times New Roman"/>
        </w:rPr>
        <w:t>ľ</w:t>
      </w:r>
      <w:r w:rsidRPr="0035027D">
        <w:t>om zjednoduši</w:t>
      </w:r>
      <w:r w:rsidRPr="0035027D">
        <w:rPr>
          <w:rFonts w:cs="Times New Roman"/>
        </w:rPr>
        <w:t>ť</w:t>
      </w:r>
      <w:r w:rsidRPr="0035027D">
        <w:t xml:space="preserve"> štátnu sociálnu podporu z h</w:t>
      </w:r>
      <w:r w:rsidRPr="0035027D">
        <w:rPr>
          <w:rFonts w:cs="Times New Roman"/>
        </w:rPr>
        <w:t>ľ</w:t>
      </w:r>
      <w:r w:rsidRPr="0035027D">
        <w:t>adiska po</w:t>
      </w:r>
      <w:r w:rsidRPr="0035027D">
        <w:rPr>
          <w:rFonts w:cs="Times New Roman"/>
        </w:rPr>
        <w:t>č</w:t>
      </w:r>
      <w:r w:rsidRPr="0035027D">
        <w:t>tu dávok a administratívnej náro</w:t>
      </w:r>
      <w:r w:rsidRPr="0035027D">
        <w:rPr>
          <w:rFonts w:cs="Times New Roman"/>
        </w:rPr>
        <w:t>č</w:t>
      </w:r>
      <w:r w:rsidRPr="0035027D">
        <w:t xml:space="preserve">nosti so </w:t>
      </w:r>
      <w:r w:rsidR="00250470" w:rsidRPr="0035027D">
        <w:t xml:space="preserve">zvýšením </w:t>
      </w:r>
      <w:r w:rsidRPr="0035027D">
        <w:t>adresnosti. Vláda v rámci analýzy zvá</w:t>
      </w:r>
      <w:r w:rsidRPr="0035027D">
        <w:rPr>
          <w:rFonts w:cs="Times New Roman"/>
        </w:rPr>
        <w:t>ž</w:t>
      </w:r>
      <w:r w:rsidRPr="0035027D">
        <w:t>i administrat</w:t>
      </w:r>
      <w:r w:rsidR="00DE0751" w:rsidRPr="0035027D">
        <w:t>ívne náklady testovania</w:t>
      </w:r>
      <w:r w:rsidR="00ED17C8" w:rsidRPr="0035027D">
        <w:t xml:space="preserve"> dávok</w:t>
      </w:r>
      <w:r w:rsidR="00DE0751" w:rsidRPr="0035027D">
        <w:t xml:space="preserve">, </w:t>
      </w:r>
      <w:r w:rsidRPr="0035027D">
        <w:t>ako aj mo</w:t>
      </w:r>
      <w:r w:rsidRPr="0035027D">
        <w:rPr>
          <w:rFonts w:cs="Times New Roman"/>
        </w:rPr>
        <w:t>ž</w:t>
      </w:r>
      <w:r w:rsidRPr="0035027D">
        <w:t>né negatívne efekty na solidaritu verejnosti s najchudobnejšími sociálnymi vrstvami, ktoré by mohli by</w:t>
      </w:r>
      <w:r w:rsidRPr="0035027D">
        <w:rPr>
          <w:rFonts w:cs="Times New Roman"/>
        </w:rPr>
        <w:t>ť</w:t>
      </w:r>
      <w:r w:rsidRPr="0035027D">
        <w:t xml:space="preserve"> dôsledkom odstúpenia od univerzálneho princípu podpory rodín s de</w:t>
      </w:r>
      <w:r w:rsidRPr="0035027D">
        <w:rPr>
          <w:rFonts w:cs="Times New Roman"/>
        </w:rPr>
        <w:t>ť</w:t>
      </w:r>
      <w:r w:rsidRPr="0035027D">
        <w:t>mi.</w:t>
      </w:r>
    </w:p>
    <w:p w:rsidR="0081049D" w:rsidRPr="0035027D" w:rsidRDefault="0081049D" w:rsidP="0081049D">
      <w:pPr>
        <w:spacing w:after="0"/>
      </w:pPr>
    </w:p>
    <w:p w:rsidR="0081049D" w:rsidRPr="0035027D" w:rsidRDefault="00510854" w:rsidP="0081049D">
      <w:pPr>
        <w:spacing w:after="0"/>
      </w:pPr>
      <w:r w:rsidRPr="0035027D">
        <w:t>Vypracuje sa nový zákon</w:t>
      </w:r>
      <w:r w:rsidR="0081049D" w:rsidRPr="0035027D">
        <w:t xml:space="preserve"> o pomoci v hmotnej núdzi, ktorého cie</w:t>
      </w:r>
      <w:r w:rsidR="0081049D" w:rsidRPr="0035027D">
        <w:rPr>
          <w:rFonts w:cs="Times New Roman"/>
        </w:rPr>
        <w:t>ľ</w:t>
      </w:r>
      <w:r w:rsidR="0081049D" w:rsidRPr="0035027D">
        <w:t>om je zabezpe</w:t>
      </w:r>
      <w:r w:rsidR="0081049D" w:rsidRPr="0035027D">
        <w:rPr>
          <w:rFonts w:cs="Times New Roman"/>
        </w:rPr>
        <w:t>č</w:t>
      </w:r>
      <w:r w:rsidR="0081049D" w:rsidRPr="0035027D">
        <w:t>i</w:t>
      </w:r>
      <w:r w:rsidR="0081049D" w:rsidRPr="0035027D">
        <w:rPr>
          <w:rFonts w:cs="Times New Roman"/>
        </w:rPr>
        <w:t>ť</w:t>
      </w:r>
      <w:r w:rsidR="0081049D" w:rsidRPr="0035027D">
        <w:t xml:space="preserve"> lepšiu adresnos</w:t>
      </w:r>
      <w:r w:rsidR="0081049D" w:rsidRPr="0035027D">
        <w:rPr>
          <w:rFonts w:cs="Times New Roman"/>
        </w:rPr>
        <w:t>ť</w:t>
      </w:r>
      <w:r w:rsidR="0081049D" w:rsidRPr="0035027D">
        <w:t>, zásluhovos</w:t>
      </w:r>
      <w:r w:rsidR="0081049D" w:rsidRPr="0035027D">
        <w:rPr>
          <w:rFonts w:cs="Times New Roman"/>
        </w:rPr>
        <w:t>ť</w:t>
      </w:r>
      <w:r w:rsidR="0081049D" w:rsidRPr="0035027D">
        <w:t xml:space="preserve"> a odme</w:t>
      </w:r>
      <w:r w:rsidR="0081049D" w:rsidRPr="0035027D">
        <w:rPr>
          <w:rFonts w:cs="Times New Roman"/>
        </w:rPr>
        <w:t>ň</w:t>
      </w:r>
      <w:r w:rsidR="0081049D" w:rsidRPr="0035027D">
        <w:t>ovanie tých, ktorí sa sna</w:t>
      </w:r>
      <w:r w:rsidR="0081049D" w:rsidRPr="0035027D">
        <w:rPr>
          <w:rFonts w:cs="Times New Roman"/>
        </w:rPr>
        <w:t>ž</w:t>
      </w:r>
      <w:r w:rsidR="0081049D" w:rsidRPr="0035027D">
        <w:t>ia zamestna</w:t>
      </w:r>
      <w:r w:rsidR="0081049D" w:rsidRPr="0035027D">
        <w:rPr>
          <w:rFonts w:cs="Times New Roman"/>
        </w:rPr>
        <w:t>ť</w:t>
      </w:r>
      <w:r w:rsidR="0081049D" w:rsidRPr="0035027D">
        <w:t xml:space="preserve"> aj za nízku mzdu alebo sa aktivujú. Zámerom reformy je vytvori</w:t>
      </w:r>
      <w:r w:rsidR="0081049D" w:rsidRPr="0035027D">
        <w:rPr>
          <w:rFonts w:cs="Times New Roman"/>
        </w:rPr>
        <w:t>ť</w:t>
      </w:r>
      <w:r w:rsidR="0081049D" w:rsidRPr="0035027D">
        <w:t xml:space="preserve"> systém, ktorý by v spojitosti s APTP posilnil efekt motivácie poberate</w:t>
      </w:r>
      <w:r w:rsidR="0081049D" w:rsidRPr="0035027D">
        <w:rPr>
          <w:rFonts w:cs="Times New Roman"/>
        </w:rPr>
        <w:t>ľ</w:t>
      </w:r>
      <w:r w:rsidR="0081049D" w:rsidRPr="0035027D">
        <w:t>ov sociálnych dávok nájs</w:t>
      </w:r>
      <w:r w:rsidR="0081049D" w:rsidRPr="0035027D">
        <w:rPr>
          <w:rFonts w:cs="Times New Roman"/>
        </w:rPr>
        <w:t>ť</w:t>
      </w:r>
      <w:r w:rsidR="0081049D" w:rsidRPr="0035027D">
        <w:t xml:space="preserve"> si zamestnanie. Zárove</w:t>
      </w:r>
      <w:r w:rsidR="0081049D" w:rsidRPr="0035027D">
        <w:rPr>
          <w:rFonts w:cs="Times New Roman"/>
        </w:rPr>
        <w:t>ň</w:t>
      </w:r>
      <w:r w:rsidR="0081049D" w:rsidRPr="0035027D">
        <w:t xml:space="preserve"> </w:t>
      </w:r>
      <w:r w:rsidR="00ED17C8" w:rsidRPr="0035027D">
        <w:t>sa</w:t>
      </w:r>
      <w:r w:rsidR="0081049D" w:rsidRPr="0035027D">
        <w:t xml:space="preserve"> zabezpe</w:t>
      </w:r>
      <w:r w:rsidR="0081049D" w:rsidRPr="0035027D">
        <w:rPr>
          <w:rFonts w:cs="Times New Roman"/>
        </w:rPr>
        <w:t>č</w:t>
      </w:r>
      <w:r w:rsidR="0081049D" w:rsidRPr="0035027D">
        <w:t>í efektívnejšie pokrytie najni</w:t>
      </w:r>
      <w:r w:rsidR="0081049D" w:rsidRPr="0035027D">
        <w:rPr>
          <w:rFonts w:cs="Times New Roman"/>
        </w:rPr>
        <w:t>ž</w:t>
      </w:r>
      <w:r w:rsidR="0081049D" w:rsidRPr="0035027D">
        <w:t>ších príjmových skupín obyvate</w:t>
      </w:r>
      <w:r w:rsidR="0081049D" w:rsidRPr="0035027D">
        <w:rPr>
          <w:rFonts w:cs="Times New Roman"/>
        </w:rPr>
        <w:t>ľ</w:t>
      </w:r>
      <w:r w:rsidR="0081049D" w:rsidRPr="0035027D">
        <w:t>stva. Systém pomoci v hmotnej núdzi bude prepojený a harmonizovaný so zmenami v oblasti aktívnych opatrení trhu práce, sociálneho poistenia a ostatných štátnych sociálnych dávok.</w:t>
      </w:r>
    </w:p>
    <w:p w:rsidR="0093213A" w:rsidRPr="0035027D" w:rsidRDefault="0093213A" w:rsidP="00A767B7">
      <w:pPr>
        <w:spacing w:after="0"/>
      </w:pPr>
    </w:p>
    <w:p w:rsidR="00A767B7" w:rsidRPr="0035027D" w:rsidRDefault="00A767B7" w:rsidP="00A767B7">
      <w:pPr>
        <w:spacing w:after="0"/>
        <w:rPr>
          <w:b/>
          <w:i/>
        </w:rPr>
      </w:pPr>
      <w:r w:rsidRPr="0035027D">
        <w:rPr>
          <w:b/>
          <w:i/>
        </w:rPr>
        <w:t>Rovnováha medzi zamestnaním a starostlivosťou o deti</w:t>
      </w:r>
    </w:p>
    <w:p w:rsidR="00A767B7" w:rsidRPr="0035027D" w:rsidRDefault="00A767B7" w:rsidP="00A767B7">
      <w:pPr>
        <w:spacing w:after="0"/>
        <w:rPr>
          <w:b/>
        </w:rPr>
      </w:pPr>
    </w:p>
    <w:p w:rsidR="00903B43" w:rsidRPr="0035027D" w:rsidRDefault="0081049D" w:rsidP="00A767B7">
      <w:pPr>
        <w:spacing w:after="0"/>
      </w:pPr>
      <w:r w:rsidRPr="0035027D">
        <w:lastRenderedPageBreak/>
        <w:t>Príspevok na starostlivos</w:t>
      </w:r>
      <w:r w:rsidRPr="0035027D">
        <w:rPr>
          <w:rFonts w:cs="Times New Roman"/>
        </w:rPr>
        <w:t>ť</w:t>
      </w:r>
      <w:r w:rsidRPr="0035027D">
        <w:t xml:space="preserve"> o die</w:t>
      </w:r>
      <w:r w:rsidRPr="0035027D">
        <w:rPr>
          <w:rFonts w:cs="Times New Roman"/>
        </w:rPr>
        <w:t>ť</w:t>
      </w:r>
      <w:r w:rsidRPr="0035027D">
        <w:t>a financovaný preva</w:t>
      </w:r>
      <w:r w:rsidRPr="0035027D">
        <w:rPr>
          <w:rFonts w:cs="Times New Roman"/>
        </w:rPr>
        <w:t>ž</w:t>
      </w:r>
      <w:r w:rsidRPr="0035027D">
        <w:t xml:space="preserve">ne z prostriedkov ESF sa opätovne zaradí </w:t>
      </w:r>
      <w:r w:rsidR="00250470" w:rsidRPr="0035027D">
        <w:t xml:space="preserve">aj </w:t>
      </w:r>
      <w:r w:rsidRPr="0035027D">
        <w:t xml:space="preserve">na </w:t>
      </w:r>
      <w:r w:rsidRPr="0035027D">
        <w:rPr>
          <w:rFonts w:cs="Times New Roman"/>
        </w:rPr>
        <w:t>ď</w:t>
      </w:r>
      <w:r w:rsidRPr="0035027D">
        <w:t>alšie programové obdobie 2014</w:t>
      </w:r>
      <w:r w:rsidR="00B558D3" w:rsidRPr="0035027D">
        <w:t> </w:t>
      </w:r>
      <w:r w:rsidRPr="0035027D">
        <w:t>-</w:t>
      </w:r>
      <w:r w:rsidR="00B558D3" w:rsidRPr="0035027D">
        <w:t> </w:t>
      </w:r>
      <w:r w:rsidRPr="0035027D">
        <w:t>2020.</w:t>
      </w:r>
      <w:r w:rsidR="0037199A" w:rsidRPr="0035027D">
        <w:t xml:space="preserve"> </w:t>
      </w:r>
      <w:r w:rsidRPr="0035027D">
        <w:t>Príspevkom štát prispieva rodi</w:t>
      </w:r>
      <w:r w:rsidRPr="0035027D">
        <w:rPr>
          <w:rFonts w:cs="Times New Roman"/>
        </w:rPr>
        <w:t>č</w:t>
      </w:r>
      <w:r w:rsidRPr="0035027D">
        <w:t xml:space="preserve">ovi alebo fyzickej osobe, ktorej </w:t>
      </w:r>
      <w:r w:rsidR="00D501FE" w:rsidRPr="0035027D">
        <w:t xml:space="preserve">je </w:t>
      </w:r>
      <w:r w:rsidRPr="0035027D">
        <w:t>die</w:t>
      </w:r>
      <w:r w:rsidRPr="0035027D">
        <w:rPr>
          <w:rFonts w:cs="Times New Roman"/>
        </w:rPr>
        <w:t>ť</w:t>
      </w:r>
      <w:r w:rsidRPr="0035027D">
        <w:t>a zverené do starostlivosti, na výdavky na starostlivos</w:t>
      </w:r>
      <w:r w:rsidRPr="0035027D">
        <w:rPr>
          <w:rFonts w:cs="Times New Roman"/>
        </w:rPr>
        <w:t>ť</w:t>
      </w:r>
      <w:r w:rsidRPr="0035027D">
        <w:t xml:space="preserve"> po</w:t>
      </w:r>
      <w:r w:rsidRPr="0035027D">
        <w:rPr>
          <w:rFonts w:cs="Times New Roman"/>
        </w:rPr>
        <w:t>č</w:t>
      </w:r>
      <w:r w:rsidRPr="0035027D">
        <w:t xml:space="preserve">as zárobkovej </w:t>
      </w:r>
      <w:r w:rsidRPr="0035027D">
        <w:rPr>
          <w:rFonts w:cs="Times New Roman"/>
        </w:rPr>
        <w:t>č</w:t>
      </w:r>
      <w:r w:rsidRPr="0035027D">
        <w:t xml:space="preserve">innosti alebo štúdia. </w:t>
      </w:r>
      <w:r w:rsidR="000C5CAB" w:rsidRPr="0035027D">
        <w:t>V záujme dosiahnutia vyššej efektívnosti príspevku sa uva</w:t>
      </w:r>
      <w:r w:rsidR="000C5CAB" w:rsidRPr="0035027D">
        <w:rPr>
          <w:rFonts w:cs="Times New Roman"/>
        </w:rPr>
        <w:t>ž</w:t>
      </w:r>
      <w:r w:rsidR="000C5CAB" w:rsidRPr="0035027D">
        <w:t>uje o zvýšení jeho sumy a vekovej hranice pre poskytovanie z troch na maximálne pä</w:t>
      </w:r>
      <w:r w:rsidR="000C5CAB" w:rsidRPr="0035027D">
        <w:rPr>
          <w:rFonts w:cs="Times New Roman"/>
        </w:rPr>
        <w:t>ť</w:t>
      </w:r>
      <w:r w:rsidR="000C5CAB" w:rsidRPr="0035027D">
        <w:t xml:space="preserve"> rokov veku die</w:t>
      </w:r>
      <w:r w:rsidR="000C5CAB" w:rsidRPr="0035027D">
        <w:rPr>
          <w:rFonts w:cs="Times New Roman"/>
        </w:rPr>
        <w:t>ť</w:t>
      </w:r>
      <w:r w:rsidR="000C5CAB" w:rsidRPr="0035027D">
        <w:t>a</w:t>
      </w:r>
      <w:r w:rsidR="000C5CAB" w:rsidRPr="0035027D">
        <w:rPr>
          <w:rFonts w:cs="Times New Roman"/>
        </w:rPr>
        <w:t>ť</w:t>
      </w:r>
      <w:r w:rsidR="000C5CAB" w:rsidRPr="0035027D">
        <w:t>a.</w:t>
      </w:r>
      <w:r w:rsidRPr="0035027D">
        <w:t xml:space="preserve"> Zní</w:t>
      </w:r>
      <w:r w:rsidRPr="0035027D">
        <w:rPr>
          <w:rFonts w:cs="Times New Roman"/>
        </w:rPr>
        <w:t>ž</w:t>
      </w:r>
      <w:r w:rsidRPr="0035027D">
        <w:t>ia sa administratívne náklady pre rodi</w:t>
      </w:r>
      <w:r w:rsidRPr="0035027D">
        <w:rPr>
          <w:rFonts w:cs="Times New Roman"/>
        </w:rPr>
        <w:t>č</w:t>
      </w:r>
      <w:r w:rsidRPr="0035027D">
        <w:t>ov aj platite</w:t>
      </w:r>
      <w:r w:rsidRPr="0035027D">
        <w:rPr>
          <w:rFonts w:cs="Times New Roman"/>
        </w:rPr>
        <w:t>ľ</w:t>
      </w:r>
      <w:r w:rsidRPr="0035027D">
        <w:t>ov, a zárove</w:t>
      </w:r>
      <w:r w:rsidRPr="0035027D">
        <w:rPr>
          <w:rFonts w:cs="Times New Roman"/>
        </w:rPr>
        <w:t>ň</w:t>
      </w:r>
      <w:r w:rsidRPr="0035027D">
        <w:t xml:space="preserve"> sa zosúladí poskytovanie rodi</w:t>
      </w:r>
      <w:r w:rsidRPr="0035027D">
        <w:rPr>
          <w:rFonts w:cs="Times New Roman"/>
        </w:rPr>
        <w:t>č</w:t>
      </w:r>
      <w:r w:rsidRPr="0035027D">
        <w:t>ovského príspevku s príspevkom na starostlivos</w:t>
      </w:r>
      <w:r w:rsidRPr="0035027D">
        <w:rPr>
          <w:rFonts w:cs="Times New Roman"/>
        </w:rPr>
        <w:t>ť</w:t>
      </w:r>
      <w:r w:rsidRPr="0035027D">
        <w:t xml:space="preserve">. </w:t>
      </w:r>
    </w:p>
    <w:p w:rsidR="00903B43" w:rsidRPr="0035027D" w:rsidRDefault="00903B43" w:rsidP="00A767B7">
      <w:pPr>
        <w:spacing w:after="0"/>
      </w:pPr>
    </w:p>
    <w:p w:rsidR="0081049D" w:rsidRPr="0035027D" w:rsidRDefault="00903B43" w:rsidP="00A767B7">
      <w:pPr>
        <w:spacing w:after="0"/>
        <w:rPr>
          <w:b/>
        </w:rPr>
      </w:pPr>
      <w:r w:rsidRPr="0035027D">
        <w:t>Súbe</w:t>
      </w:r>
      <w:r w:rsidRPr="0035027D">
        <w:rPr>
          <w:rFonts w:cs="Times New Roman"/>
        </w:rPr>
        <w:t>ž</w:t>
      </w:r>
      <w:r w:rsidRPr="0035027D">
        <w:t>ne je nevyhnutné vytvori</w:t>
      </w:r>
      <w:r w:rsidRPr="0035027D">
        <w:rPr>
          <w:rFonts w:cs="Times New Roman"/>
        </w:rPr>
        <w:t>ť</w:t>
      </w:r>
      <w:r w:rsidRPr="0035027D">
        <w:t xml:space="preserve"> podmienky na zvýšenie dostupnosti kvalitných, udr</w:t>
      </w:r>
      <w:r w:rsidRPr="0035027D">
        <w:rPr>
          <w:rFonts w:cs="Times New Roman"/>
        </w:rPr>
        <w:t>ž</w:t>
      </w:r>
      <w:r w:rsidRPr="0035027D">
        <w:t>ate</w:t>
      </w:r>
      <w:r w:rsidRPr="0035027D">
        <w:rPr>
          <w:rFonts w:cs="Times New Roman"/>
        </w:rPr>
        <w:t>ľ</w:t>
      </w:r>
      <w:r w:rsidRPr="0035027D">
        <w:t>ných a cenovo dostupných zariadení slu</w:t>
      </w:r>
      <w:r w:rsidRPr="0035027D">
        <w:rPr>
          <w:rFonts w:cs="Times New Roman"/>
        </w:rPr>
        <w:t>ž</w:t>
      </w:r>
      <w:r w:rsidRPr="0035027D">
        <w:t>ieb v starostlivosti o deti, najmä jaslí a škôlok, s cie</w:t>
      </w:r>
      <w:r w:rsidRPr="0035027D">
        <w:rPr>
          <w:rFonts w:cs="Times New Roman"/>
        </w:rPr>
        <w:t>ľ</w:t>
      </w:r>
      <w:r w:rsidRPr="0035027D">
        <w:t>om rozšíri</w:t>
      </w:r>
      <w:r w:rsidRPr="0035027D">
        <w:rPr>
          <w:rFonts w:cs="Times New Roman"/>
        </w:rPr>
        <w:t>ť</w:t>
      </w:r>
      <w:r w:rsidRPr="0035027D">
        <w:t xml:space="preserve"> okruh poskytovate</w:t>
      </w:r>
      <w:r w:rsidRPr="0035027D">
        <w:rPr>
          <w:rFonts w:cs="Times New Roman"/>
        </w:rPr>
        <w:t>ľ</w:t>
      </w:r>
      <w:r w:rsidRPr="0035027D">
        <w:t>ov starostlivosti o deti. Bli</w:t>
      </w:r>
      <w:r w:rsidRPr="0035027D">
        <w:rPr>
          <w:rFonts w:cs="Times New Roman"/>
        </w:rPr>
        <w:t>ž</w:t>
      </w:r>
      <w:r w:rsidRPr="0035027D">
        <w:t>šie špecifikovanie podmienok poskytovania finan</w:t>
      </w:r>
      <w:r w:rsidRPr="0035027D">
        <w:rPr>
          <w:rFonts w:cs="Times New Roman"/>
        </w:rPr>
        <w:t>č</w:t>
      </w:r>
      <w:r w:rsidRPr="0035027D">
        <w:t>ných prostriedkov zo štrukturálnych fondov na dosiahnutie uvedeného cie</w:t>
      </w:r>
      <w:r w:rsidRPr="0035027D">
        <w:rPr>
          <w:rFonts w:cs="Times New Roman"/>
        </w:rPr>
        <w:t>ľ</w:t>
      </w:r>
      <w:r w:rsidRPr="0035027D">
        <w:t>a bude uvedené v nových pripravovaných opera</w:t>
      </w:r>
      <w:r w:rsidRPr="0035027D">
        <w:rPr>
          <w:rFonts w:cs="Times New Roman"/>
        </w:rPr>
        <w:t>č</w:t>
      </w:r>
      <w:r w:rsidRPr="0035027D">
        <w:t>ných programoch.</w:t>
      </w:r>
    </w:p>
    <w:p w:rsidR="00903B43" w:rsidRPr="0035027D" w:rsidRDefault="00903B43" w:rsidP="00A767B7">
      <w:pPr>
        <w:spacing w:after="0"/>
        <w:rPr>
          <w:b/>
          <w:i/>
        </w:rPr>
      </w:pPr>
    </w:p>
    <w:p w:rsidR="00A767B7" w:rsidRPr="0035027D" w:rsidRDefault="00A767B7" w:rsidP="00A767B7">
      <w:pPr>
        <w:spacing w:after="0"/>
        <w:rPr>
          <w:i/>
          <w:sz w:val="18"/>
          <w:szCs w:val="18"/>
        </w:rPr>
      </w:pPr>
      <w:r w:rsidRPr="0035027D">
        <w:rPr>
          <w:b/>
          <w:i/>
        </w:rPr>
        <w:t xml:space="preserve">Podpora </w:t>
      </w:r>
      <w:r w:rsidR="00A9180E" w:rsidRPr="0035027D">
        <w:rPr>
          <w:b/>
          <w:i/>
        </w:rPr>
        <w:t xml:space="preserve">marginalizovaných komunít </w:t>
      </w:r>
    </w:p>
    <w:p w:rsidR="00A767B7" w:rsidRPr="0035027D" w:rsidRDefault="00A767B7" w:rsidP="00A767B7">
      <w:pPr>
        <w:spacing w:after="0"/>
        <w:rPr>
          <w:b/>
        </w:rPr>
      </w:pPr>
    </w:p>
    <w:p w:rsidR="0081049D" w:rsidRPr="0035027D" w:rsidRDefault="0081049D" w:rsidP="0081049D">
      <w:pPr>
        <w:spacing w:after="0"/>
      </w:pPr>
      <w:r w:rsidRPr="0035027D">
        <w:t>Podporou komunitných centier sa vytvoria širšie predpoklady pre zlepšenie prístupu zranite</w:t>
      </w:r>
      <w:r w:rsidRPr="0035027D">
        <w:rPr>
          <w:rFonts w:cs="Times New Roman"/>
        </w:rPr>
        <w:t>ľ</w:t>
      </w:r>
      <w:r w:rsidRPr="0035027D">
        <w:t>ných skupín, vrátane rómskych komunít, ku kvalitnému predškolskému a školskému vzdelávaniu. Bude sa pokra</w:t>
      </w:r>
      <w:r w:rsidRPr="0035027D">
        <w:rPr>
          <w:rFonts w:cs="Times New Roman"/>
        </w:rPr>
        <w:t>č</w:t>
      </w:r>
      <w:r w:rsidRPr="0035027D">
        <w:t>ova</w:t>
      </w:r>
      <w:r w:rsidRPr="0035027D">
        <w:rPr>
          <w:rFonts w:cs="Times New Roman"/>
        </w:rPr>
        <w:t>ť</w:t>
      </w:r>
      <w:r w:rsidRPr="0035027D">
        <w:t xml:space="preserve"> v národnom projekte „</w:t>
      </w:r>
      <w:proofErr w:type="spellStart"/>
      <w:r w:rsidR="00051AED" w:rsidRPr="0035027D">
        <w:t>Inkluzívny</w:t>
      </w:r>
      <w:proofErr w:type="spellEnd"/>
      <w:r w:rsidR="00051AED" w:rsidRPr="0035027D">
        <w:t xml:space="preserve"> model vzdelávania na predprimárnom stupni školskej sústavy“ a </w:t>
      </w:r>
      <w:r w:rsidRPr="0035027D">
        <w:t>v príprave tvorby a vydávania u</w:t>
      </w:r>
      <w:r w:rsidRPr="0035027D">
        <w:rPr>
          <w:rFonts w:cs="Times New Roman"/>
        </w:rPr>
        <w:t>č</w:t>
      </w:r>
      <w:r w:rsidRPr="0035027D">
        <w:t>ebníc v rómskom jazyku.</w:t>
      </w:r>
      <w:r w:rsidR="00DF74F7" w:rsidRPr="0035027D">
        <w:t xml:space="preserve"> </w:t>
      </w:r>
      <w:r w:rsidR="00561DCA" w:rsidRPr="0035027D">
        <w:t>Zlepší sa finan</w:t>
      </w:r>
      <w:r w:rsidR="00561DCA" w:rsidRPr="0035027D">
        <w:rPr>
          <w:rFonts w:cs="Times New Roman"/>
        </w:rPr>
        <w:t>č</w:t>
      </w:r>
      <w:r w:rsidR="00561DCA" w:rsidRPr="0035027D">
        <w:t>ná</w:t>
      </w:r>
      <w:r w:rsidRPr="0035027D">
        <w:t xml:space="preserve"> gramotnos</w:t>
      </w:r>
      <w:r w:rsidRPr="0035027D">
        <w:rPr>
          <w:rFonts w:cs="Times New Roman"/>
        </w:rPr>
        <w:t>ť</w:t>
      </w:r>
      <w:r w:rsidRPr="0035027D">
        <w:t xml:space="preserve"> marginalizovaných rómskych skupín</w:t>
      </w:r>
      <w:r w:rsidR="00561DCA" w:rsidRPr="0035027D">
        <w:t xml:space="preserve"> a ich </w:t>
      </w:r>
      <w:r w:rsidRPr="0035027D">
        <w:t>prístup týchto skupín k finan</w:t>
      </w:r>
      <w:r w:rsidRPr="0035027D">
        <w:rPr>
          <w:rFonts w:cs="Times New Roman"/>
        </w:rPr>
        <w:t>č</w:t>
      </w:r>
      <w:r w:rsidRPr="0035027D">
        <w:t>ným slu</w:t>
      </w:r>
      <w:r w:rsidRPr="0035027D">
        <w:rPr>
          <w:rFonts w:cs="Times New Roman"/>
        </w:rPr>
        <w:t>ž</w:t>
      </w:r>
      <w:r w:rsidRPr="0035027D">
        <w:t>bám</w:t>
      </w:r>
      <w:r w:rsidR="00561DCA" w:rsidRPr="0035027D">
        <w:t>. Z</w:t>
      </w:r>
      <w:r w:rsidRPr="0035027D">
        <w:t xml:space="preserve">výši sa ochrana pred </w:t>
      </w:r>
      <w:r w:rsidRPr="0035027D">
        <w:rPr>
          <w:rFonts w:cs="Times New Roman"/>
        </w:rPr>
        <w:t>č</w:t>
      </w:r>
      <w:r w:rsidRPr="0035027D">
        <w:t>innos</w:t>
      </w:r>
      <w:r w:rsidRPr="0035027D">
        <w:rPr>
          <w:rFonts w:cs="Times New Roman"/>
        </w:rPr>
        <w:t>ť</w:t>
      </w:r>
      <w:r w:rsidRPr="0035027D">
        <w:t>ou ú</w:t>
      </w:r>
      <w:r w:rsidRPr="0035027D">
        <w:rPr>
          <w:rFonts w:cs="Times New Roman"/>
        </w:rPr>
        <w:t>ž</w:t>
      </w:r>
      <w:r w:rsidRPr="0035027D">
        <w:t>erníkov a nelegálnymi praktikami úverových spolo</w:t>
      </w:r>
      <w:r w:rsidRPr="0035027D">
        <w:rPr>
          <w:rFonts w:cs="Times New Roman"/>
        </w:rPr>
        <w:t>č</w:t>
      </w:r>
      <w:r w:rsidRPr="0035027D">
        <w:t xml:space="preserve">ností a podporí sa rozvoj </w:t>
      </w:r>
      <w:proofErr w:type="spellStart"/>
      <w:r w:rsidRPr="0035027D">
        <w:t>mikrofinan</w:t>
      </w:r>
      <w:r w:rsidRPr="0035027D">
        <w:rPr>
          <w:rFonts w:cs="Times New Roman"/>
        </w:rPr>
        <w:t>č</w:t>
      </w:r>
      <w:r w:rsidRPr="0035027D">
        <w:t>ných</w:t>
      </w:r>
      <w:proofErr w:type="spellEnd"/>
      <w:r w:rsidRPr="0035027D">
        <w:t xml:space="preserve"> programov v marginalizovaných oblastiach.</w:t>
      </w:r>
    </w:p>
    <w:p w:rsidR="0081049D" w:rsidRPr="0035027D" w:rsidRDefault="0081049D" w:rsidP="0081049D">
      <w:pPr>
        <w:spacing w:after="0"/>
      </w:pPr>
    </w:p>
    <w:p w:rsidR="0081049D" w:rsidRPr="0035027D" w:rsidRDefault="0081049D" w:rsidP="0081049D">
      <w:pPr>
        <w:spacing w:after="0"/>
      </w:pPr>
      <w:r w:rsidRPr="0035027D">
        <w:t>Plnohodnotná ekonomická a sociálna inklúzia Rómov si vy</w:t>
      </w:r>
      <w:r w:rsidRPr="0035027D">
        <w:rPr>
          <w:rFonts w:cs="Times New Roman"/>
        </w:rPr>
        <w:t>ž</w:t>
      </w:r>
      <w:r w:rsidRPr="0035027D">
        <w:t>aduje zmenu postojov vä</w:t>
      </w:r>
      <w:r w:rsidRPr="0035027D">
        <w:rPr>
          <w:rFonts w:cs="Times New Roman"/>
        </w:rPr>
        <w:t>č</w:t>
      </w:r>
      <w:r w:rsidRPr="0035027D">
        <w:t>šiny obyvate</w:t>
      </w:r>
      <w:r w:rsidRPr="0035027D">
        <w:rPr>
          <w:rFonts w:cs="Times New Roman"/>
        </w:rPr>
        <w:t>ľ</w:t>
      </w:r>
      <w:r w:rsidRPr="0035027D">
        <w:t xml:space="preserve">stva aj rómskych komunít. </w:t>
      </w:r>
      <w:r w:rsidR="00561DCA" w:rsidRPr="0035027D">
        <w:rPr>
          <w:rFonts w:cs="Times New Roman"/>
        </w:rPr>
        <w:t>Ď</w:t>
      </w:r>
      <w:r w:rsidR="00561DCA" w:rsidRPr="0035027D">
        <w:t xml:space="preserve">alšie iniciatívy majú ambíciu </w:t>
      </w:r>
      <w:r w:rsidRPr="0035027D">
        <w:t>odstra</w:t>
      </w:r>
      <w:r w:rsidRPr="0035027D">
        <w:rPr>
          <w:rFonts w:cs="Times New Roman"/>
        </w:rPr>
        <w:t>ň</w:t>
      </w:r>
      <w:r w:rsidRPr="0035027D">
        <w:t>ova</w:t>
      </w:r>
      <w:r w:rsidRPr="0035027D">
        <w:rPr>
          <w:rFonts w:cs="Times New Roman"/>
        </w:rPr>
        <w:t>ť</w:t>
      </w:r>
      <w:r w:rsidRPr="0035027D">
        <w:t xml:space="preserve"> </w:t>
      </w:r>
      <w:proofErr w:type="spellStart"/>
      <w:r w:rsidRPr="0035027D">
        <w:t>stigmatizáciu</w:t>
      </w:r>
      <w:proofErr w:type="spellEnd"/>
      <w:r w:rsidRPr="0035027D">
        <w:t xml:space="preserve"> rómskeho obyvate</w:t>
      </w:r>
      <w:r w:rsidRPr="0035027D">
        <w:rPr>
          <w:rFonts w:cs="Times New Roman"/>
        </w:rPr>
        <w:t>ľ</w:t>
      </w:r>
      <w:r w:rsidRPr="0035027D">
        <w:t>stva jeho cieleným za</w:t>
      </w:r>
      <w:r w:rsidRPr="0035027D">
        <w:rPr>
          <w:rFonts w:cs="Times New Roman"/>
        </w:rPr>
        <w:t>č</w:t>
      </w:r>
      <w:r w:rsidRPr="0035027D">
        <w:t>le</w:t>
      </w:r>
      <w:r w:rsidRPr="0035027D">
        <w:rPr>
          <w:rFonts w:cs="Times New Roman"/>
        </w:rPr>
        <w:t>ň</w:t>
      </w:r>
      <w:r w:rsidRPr="0035027D">
        <w:t>ovaním do spolo</w:t>
      </w:r>
      <w:r w:rsidRPr="0035027D">
        <w:rPr>
          <w:rFonts w:cs="Times New Roman"/>
        </w:rPr>
        <w:t>č</w:t>
      </w:r>
      <w:r w:rsidRPr="0035027D">
        <w:t>nosti. Osvetou a výchovou majoritnej populácie má zárove</w:t>
      </w:r>
      <w:r w:rsidRPr="0035027D">
        <w:rPr>
          <w:rFonts w:cs="Times New Roman"/>
        </w:rPr>
        <w:t>ň</w:t>
      </w:r>
      <w:r w:rsidRPr="0035027D">
        <w:t xml:space="preserve"> prispie</w:t>
      </w:r>
      <w:r w:rsidRPr="0035027D">
        <w:rPr>
          <w:rFonts w:cs="Times New Roman"/>
        </w:rPr>
        <w:t>ť</w:t>
      </w:r>
      <w:r w:rsidRPr="0035027D">
        <w:t xml:space="preserve"> k objektívnemu spoznávaniu rómskej populácie a následne aj ich prijatiu. </w:t>
      </w:r>
    </w:p>
    <w:p w:rsidR="0081049D" w:rsidRPr="0035027D" w:rsidRDefault="0081049D" w:rsidP="0081049D">
      <w:pPr>
        <w:spacing w:after="0"/>
      </w:pPr>
    </w:p>
    <w:p w:rsidR="0081049D" w:rsidRPr="0035027D" w:rsidRDefault="0081049D" w:rsidP="0081049D">
      <w:pPr>
        <w:spacing w:after="0"/>
      </w:pPr>
      <w:r w:rsidRPr="0035027D">
        <w:t>Vytvorí sa právne prostredie na zastavenie nárastu po</w:t>
      </w:r>
      <w:r w:rsidRPr="0035027D">
        <w:rPr>
          <w:rFonts w:cs="Times New Roman"/>
        </w:rPr>
        <w:t>č</w:t>
      </w:r>
      <w:r w:rsidRPr="0035027D">
        <w:t>tu rómskych marginalizovaných komunít a postupnú integráciu do spolo</w:t>
      </w:r>
      <w:r w:rsidRPr="0035027D">
        <w:rPr>
          <w:rFonts w:cs="Times New Roman"/>
        </w:rPr>
        <w:t>č</w:t>
      </w:r>
      <w:r w:rsidRPr="0035027D">
        <w:t>nosti na základe princípov zásluhovosti a individuálnej zodpovednosti. Zárove</w:t>
      </w:r>
      <w:r w:rsidRPr="0035027D">
        <w:rPr>
          <w:rFonts w:cs="Times New Roman"/>
        </w:rPr>
        <w:t>ň</w:t>
      </w:r>
      <w:r w:rsidRPr="0035027D">
        <w:t xml:space="preserve"> sa </w:t>
      </w:r>
      <w:r w:rsidR="00561DCA" w:rsidRPr="0035027D">
        <w:t>budú vytvára</w:t>
      </w:r>
      <w:r w:rsidR="00561DCA" w:rsidRPr="0035027D">
        <w:rPr>
          <w:rFonts w:cs="Times New Roman"/>
        </w:rPr>
        <w:t>ť</w:t>
      </w:r>
      <w:r w:rsidRPr="0035027D">
        <w:t xml:space="preserve"> právne podmienky pre eliminovanie genera</w:t>
      </w:r>
      <w:r w:rsidRPr="0035027D">
        <w:rPr>
          <w:rFonts w:cs="Times New Roman"/>
        </w:rPr>
        <w:t>č</w:t>
      </w:r>
      <w:r w:rsidRPr="0035027D">
        <w:t>nej reprodukcie sociálneho vylú</w:t>
      </w:r>
      <w:r w:rsidRPr="0035027D">
        <w:rPr>
          <w:rFonts w:cs="Times New Roman"/>
        </w:rPr>
        <w:t>č</w:t>
      </w:r>
      <w:r w:rsidRPr="0035027D">
        <w:t>enia.</w:t>
      </w:r>
    </w:p>
    <w:p w:rsidR="00292838" w:rsidRPr="0035027D" w:rsidRDefault="00292838" w:rsidP="0081049D">
      <w:pPr>
        <w:spacing w:after="0"/>
      </w:pPr>
    </w:p>
    <w:p w:rsidR="00292838" w:rsidRPr="0035027D" w:rsidRDefault="00292838" w:rsidP="00292838">
      <w:pPr>
        <w:spacing w:after="0"/>
        <w:rPr>
          <w:b/>
          <w:i/>
        </w:rPr>
      </w:pPr>
      <w:r w:rsidRPr="0035027D">
        <w:rPr>
          <w:b/>
          <w:i/>
        </w:rPr>
        <w:t>Rozvoj životných podmienok osôb so zdravotným postihnutím</w:t>
      </w:r>
    </w:p>
    <w:p w:rsidR="00292838" w:rsidRPr="0035027D" w:rsidRDefault="00292838" w:rsidP="00292838">
      <w:pPr>
        <w:spacing w:after="0"/>
      </w:pPr>
    </w:p>
    <w:p w:rsidR="00292838" w:rsidRPr="0035027D" w:rsidRDefault="00292838" w:rsidP="00292838">
      <w:pPr>
        <w:spacing w:after="0"/>
      </w:pPr>
      <w:r w:rsidRPr="0035027D">
        <w:t xml:space="preserve">Bude vypracovaný nový Národný program rozvoja </w:t>
      </w:r>
      <w:r w:rsidRPr="0035027D">
        <w:rPr>
          <w:rFonts w:cs="Times New Roman"/>
        </w:rPr>
        <w:t>ž</w:t>
      </w:r>
      <w:r w:rsidRPr="0035027D">
        <w:t xml:space="preserve">ivotných podmienok osôb so zdravotným postihnutím. Národný program sa </w:t>
      </w:r>
      <w:r w:rsidR="001E69C3" w:rsidRPr="0035027D">
        <w:t>bude orientova</w:t>
      </w:r>
      <w:r w:rsidR="001E69C3" w:rsidRPr="0035027D">
        <w:rPr>
          <w:rFonts w:cs="Times New Roman"/>
        </w:rPr>
        <w:t>ť</w:t>
      </w:r>
      <w:r w:rsidRPr="0035027D">
        <w:t xml:space="preserve"> na zabezpe</w:t>
      </w:r>
      <w:r w:rsidRPr="0035027D">
        <w:rPr>
          <w:rFonts w:cs="Times New Roman"/>
        </w:rPr>
        <w:t>č</w:t>
      </w:r>
      <w:r w:rsidRPr="0035027D">
        <w:t>enie maximálnej úrovne sociálnej inklúzie osôb so zdravotným postihnutím a ich rodín prostredníctvom uplat</w:t>
      </w:r>
      <w:r w:rsidRPr="0035027D">
        <w:rPr>
          <w:rFonts w:cs="Times New Roman"/>
        </w:rPr>
        <w:t>ň</w:t>
      </w:r>
      <w:r w:rsidRPr="0035027D">
        <w:t>ovani</w:t>
      </w:r>
      <w:r w:rsidR="007F35FF" w:rsidRPr="0035027D">
        <w:t>a práv takýchto osôb, vytvárania</w:t>
      </w:r>
      <w:r w:rsidRPr="0035027D">
        <w:t xml:space="preserve"> podmienok pre uplat</w:t>
      </w:r>
      <w:r w:rsidRPr="0035027D">
        <w:rPr>
          <w:rFonts w:cs="Times New Roman"/>
        </w:rPr>
        <w:t>ň</w:t>
      </w:r>
      <w:r w:rsidRPr="0035027D">
        <w:t>ovanie r</w:t>
      </w:r>
      <w:r w:rsidR="007F35FF" w:rsidRPr="0035027D">
        <w:t>ovnosti príle</w:t>
      </w:r>
      <w:r w:rsidR="007F35FF" w:rsidRPr="0035027D">
        <w:rPr>
          <w:rFonts w:cs="Times New Roman"/>
        </w:rPr>
        <w:t>ž</w:t>
      </w:r>
      <w:r w:rsidR="007F35FF" w:rsidRPr="0035027D">
        <w:t>itostí, prijímania</w:t>
      </w:r>
      <w:r w:rsidRPr="0035027D">
        <w:t xml:space="preserve"> opatrení na preven</w:t>
      </w:r>
      <w:r w:rsidR="007F35FF" w:rsidRPr="0035027D">
        <w:t>ciu a prekonávanie znevýhodnení a boja</w:t>
      </w:r>
      <w:r w:rsidRPr="0035027D">
        <w:t xml:space="preserve"> proti diskriminácii na základe zdravotného postihnutia.</w:t>
      </w:r>
    </w:p>
    <w:p w:rsidR="00A767B7" w:rsidRPr="0035027D" w:rsidRDefault="00A767B7" w:rsidP="00A767B7">
      <w:pPr>
        <w:spacing w:after="0"/>
        <w:rPr>
          <w:b/>
        </w:rPr>
      </w:pPr>
    </w:p>
    <w:p w:rsidR="00A767B7" w:rsidRPr="0035027D" w:rsidRDefault="00A767B7" w:rsidP="00A767B7">
      <w:pPr>
        <w:spacing w:after="0"/>
        <w:rPr>
          <w:b/>
          <w:i/>
        </w:rPr>
      </w:pPr>
      <w:r w:rsidRPr="0035027D">
        <w:rPr>
          <w:b/>
          <w:i/>
        </w:rPr>
        <w:t>Dostupnosť a kvalita sociálnych služieb</w:t>
      </w:r>
      <w:r w:rsidR="003E6D03" w:rsidRPr="0035027D">
        <w:rPr>
          <w:b/>
          <w:i/>
        </w:rPr>
        <w:t xml:space="preserve"> a iných opatrení v oblasti sociálnej inklúzie</w:t>
      </w:r>
    </w:p>
    <w:p w:rsidR="00A767B7" w:rsidRPr="0035027D" w:rsidRDefault="00A767B7" w:rsidP="00A767B7">
      <w:pPr>
        <w:spacing w:after="0"/>
      </w:pPr>
    </w:p>
    <w:p w:rsidR="00A767B7" w:rsidRPr="0035027D" w:rsidRDefault="00A9180E" w:rsidP="00A767B7">
      <w:pPr>
        <w:spacing w:after="0"/>
      </w:pPr>
      <w:r w:rsidRPr="0035027D">
        <w:t>Kvalita a dostupnos</w:t>
      </w:r>
      <w:r w:rsidRPr="0035027D">
        <w:rPr>
          <w:rFonts w:cs="Times New Roman"/>
        </w:rPr>
        <w:t>ť</w:t>
      </w:r>
      <w:r w:rsidR="00A767B7" w:rsidRPr="0035027D">
        <w:t xml:space="preserve"> sociálnych slu</w:t>
      </w:r>
      <w:r w:rsidR="00A767B7" w:rsidRPr="0035027D">
        <w:rPr>
          <w:rFonts w:cs="Times New Roman"/>
        </w:rPr>
        <w:t>ž</w:t>
      </w:r>
      <w:r w:rsidR="00A767B7" w:rsidRPr="0035027D">
        <w:t xml:space="preserve">ieb </w:t>
      </w:r>
      <w:r w:rsidRPr="0035027D">
        <w:t xml:space="preserve">sa zlepší </w:t>
      </w:r>
      <w:r w:rsidR="00A767B7" w:rsidRPr="0035027D">
        <w:t>zefektívnením viaczdrojového financovania sociálnych slu</w:t>
      </w:r>
      <w:r w:rsidR="00A767B7" w:rsidRPr="0035027D">
        <w:rPr>
          <w:rFonts w:cs="Times New Roman"/>
        </w:rPr>
        <w:t>ž</w:t>
      </w:r>
      <w:r w:rsidR="00A767B7" w:rsidRPr="0035027D">
        <w:t xml:space="preserve">ieb </w:t>
      </w:r>
      <w:r w:rsidR="00561DCA" w:rsidRPr="0035027D">
        <w:t>a</w:t>
      </w:r>
      <w:r w:rsidR="00A767B7" w:rsidRPr="0035027D">
        <w:t> objektívnym hodnotením kvality poskytovanej sociálnej slu</w:t>
      </w:r>
      <w:r w:rsidR="00A767B7" w:rsidRPr="0035027D">
        <w:rPr>
          <w:rFonts w:cs="Times New Roman"/>
        </w:rPr>
        <w:t>ž</w:t>
      </w:r>
      <w:r w:rsidR="00A767B7" w:rsidRPr="0035027D">
        <w:t>by.</w:t>
      </w:r>
      <w:r w:rsidRPr="0035027D">
        <w:t xml:space="preserve"> </w:t>
      </w:r>
      <w:r w:rsidR="00A767B7" w:rsidRPr="0035027D">
        <w:t>Na</w:t>
      </w:r>
      <w:r w:rsidR="00A767B7" w:rsidRPr="0035027D">
        <w:rPr>
          <w:rFonts w:cs="Times New Roman"/>
        </w:rPr>
        <w:t>ď</w:t>
      </w:r>
      <w:r w:rsidR="00A767B7" w:rsidRPr="0035027D">
        <w:t>alej sa budú plni</w:t>
      </w:r>
      <w:r w:rsidR="00A767B7" w:rsidRPr="0035027D">
        <w:rPr>
          <w:rFonts w:cs="Times New Roman"/>
        </w:rPr>
        <w:t>ť</w:t>
      </w:r>
      <w:r w:rsidR="00A767B7" w:rsidRPr="0035027D">
        <w:t xml:space="preserve"> opatrenia Stratégie </w:t>
      </w:r>
      <w:proofErr w:type="spellStart"/>
      <w:r w:rsidR="00A767B7" w:rsidRPr="0035027D">
        <w:t>deinštitucionalizácie</w:t>
      </w:r>
      <w:proofErr w:type="spellEnd"/>
      <w:r w:rsidR="00A767B7" w:rsidRPr="0035027D">
        <w:t xml:space="preserve"> systému sociálnych slu</w:t>
      </w:r>
      <w:r w:rsidR="00A767B7" w:rsidRPr="0035027D">
        <w:rPr>
          <w:rFonts w:cs="Times New Roman"/>
        </w:rPr>
        <w:t>ž</w:t>
      </w:r>
      <w:r w:rsidR="00A767B7" w:rsidRPr="0035027D">
        <w:t>ieb</w:t>
      </w:r>
      <w:r w:rsidRPr="0035027D">
        <w:t xml:space="preserve"> a náhradnej starostlivosti</w:t>
      </w:r>
      <w:r w:rsidR="008025FC" w:rsidRPr="0035027D">
        <w:t xml:space="preserve"> so zapojením sociálnych partnerov, neziskových organizácií, regionálnej a miestnej samosprávy</w:t>
      </w:r>
      <w:r w:rsidR="00A767B7" w:rsidRPr="0035027D">
        <w:t xml:space="preserve">. Zámerom stratégie je </w:t>
      </w:r>
      <w:r w:rsidR="003E6D03" w:rsidRPr="0035027D">
        <w:t xml:space="preserve">okrem iného </w:t>
      </w:r>
      <w:r w:rsidR="00A767B7" w:rsidRPr="0035027D">
        <w:t xml:space="preserve">náhrada inštitucionálnej izolácie a segregácie </w:t>
      </w:r>
      <w:r w:rsidR="00A767B7" w:rsidRPr="0035027D">
        <w:rPr>
          <w:rFonts w:cs="Times New Roman"/>
        </w:rPr>
        <w:t>ľ</w:t>
      </w:r>
      <w:r w:rsidR="00A767B7" w:rsidRPr="0035027D">
        <w:t>udí v špecializovaných zariadeniach alternatívnym modelom siete spolupracujúcich a navzájom prepojených sociálnych slu</w:t>
      </w:r>
      <w:r w:rsidR="00A767B7" w:rsidRPr="0035027D">
        <w:rPr>
          <w:rFonts w:cs="Times New Roman"/>
        </w:rPr>
        <w:t>ž</w:t>
      </w:r>
      <w:r w:rsidR="00A767B7" w:rsidRPr="0035027D">
        <w:t xml:space="preserve">ieb poskytovaných v integrovaných domácich podmienkach miestnych komunít. </w:t>
      </w:r>
    </w:p>
    <w:p w:rsidR="00A767B7" w:rsidRPr="0035027D" w:rsidRDefault="00A767B7" w:rsidP="00A767B7">
      <w:pPr>
        <w:spacing w:after="0"/>
      </w:pPr>
    </w:p>
    <w:p w:rsidR="00A767B7" w:rsidRPr="0035027D" w:rsidRDefault="00A767B7" w:rsidP="00A767B7">
      <w:pPr>
        <w:spacing w:after="0"/>
      </w:pPr>
      <w:r w:rsidRPr="0035027D">
        <w:t>Novým zákonom sa komplexne upraví sociálna práca tak, aby bola vyu</w:t>
      </w:r>
      <w:r w:rsidRPr="0035027D">
        <w:rPr>
          <w:rFonts w:cs="Times New Roman"/>
        </w:rPr>
        <w:t>ž</w:t>
      </w:r>
      <w:r w:rsidRPr="0035027D">
        <w:t>ite</w:t>
      </w:r>
      <w:r w:rsidRPr="0035027D">
        <w:rPr>
          <w:rFonts w:cs="Times New Roman"/>
        </w:rPr>
        <w:t>ľ</w:t>
      </w:r>
      <w:r w:rsidRPr="0035027D">
        <w:t>ná vo všetkých ob</w:t>
      </w:r>
      <w:r w:rsidR="00A9180E" w:rsidRPr="0035027D">
        <w:t>lastiach, v ktorých sa vykonáva. S</w:t>
      </w:r>
      <w:r w:rsidRPr="0035027D">
        <w:t>tanovia sa podmienky vykonávania sociálnej práce a vytvoria sa podmienky pre profesijné zabezpe</w:t>
      </w:r>
      <w:r w:rsidRPr="0035027D">
        <w:rPr>
          <w:rFonts w:cs="Times New Roman"/>
        </w:rPr>
        <w:t>č</w:t>
      </w:r>
      <w:r w:rsidRPr="0035027D">
        <w:t>enie výkonu sociálnej práce.</w:t>
      </w:r>
    </w:p>
    <w:p w:rsidR="00A767B7" w:rsidRPr="0035027D" w:rsidRDefault="00A767B7" w:rsidP="00A767B7">
      <w:pPr>
        <w:spacing w:after="0"/>
      </w:pPr>
    </w:p>
    <w:p w:rsidR="00A767B7" w:rsidRPr="0035027D" w:rsidRDefault="00A767B7" w:rsidP="00A767B7">
      <w:pPr>
        <w:spacing w:after="0"/>
        <w:rPr>
          <w:b/>
          <w:i/>
        </w:rPr>
      </w:pPr>
      <w:r w:rsidRPr="0035027D">
        <w:rPr>
          <w:b/>
          <w:i/>
        </w:rPr>
        <w:t>Udržateľnosť bývania pre chudobných</w:t>
      </w:r>
    </w:p>
    <w:p w:rsidR="00A767B7" w:rsidRPr="0035027D" w:rsidRDefault="00A767B7" w:rsidP="00A767B7">
      <w:pPr>
        <w:spacing w:after="0"/>
        <w:rPr>
          <w:b/>
        </w:rPr>
      </w:pPr>
    </w:p>
    <w:p w:rsidR="00A767B7" w:rsidRPr="0035027D" w:rsidRDefault="00A767B7" w:rsidP="00A767B7">
      <w:pPr>
        <w:spacing w:after="0"/>
      </w:pPr>
      <w:r w:rsidRPr="0035027D">
        <w:lastRenderedPageBreak/>
        <w:t>V súvislosti s budovaním nájomného bývania sa</w:t>
      </w:r>
      <w:r w:rsidR="00903B43" w:rsidRPr="0035027D">
        <w:t xml:space="preserve"> legislatívnou úpravou</w:t>
      </w:r>
      <w:r w:rsidR="00977BD9" w:rsidRPr="0035027D">
        <w:t xml:space="preserve"> </w:t>
      </w:r>
      <w:r w:rsidRPr="0035027D">
        <w:t>priamo finan</w:t>
      </w:r>
      <w:r w:rsidRPr="0035027D">
        <w:rPr>
          <w:rFonts w:cs="Times New Roman"/>
        </w:rPr>
        <w:t>č</w:t>
      </w:r>
      <w:r w:rsidRPr="0035027D">
        <w:t>ne podporia nízkopríjmové domácnosti za ú</w:t>
      </w:r>
      <w:r w:rsidRPr="0035027D">
        <w:rPr>
          <w:rFonts w:cs="Times New Roman"/>
        </w:rPr>
        <w:t>č</w:t>
      </w:r>
      <w:r w:rsidRPr="0035027D">
        <w:t>elom zní</w:t>
      </w:r>
      <w:r w:rsidRPr="0035027D">
        <w:rPr>
          <w:rFonts w:cs="Times New Roman"/>
        </w:rPr>
        <w:t>ž</w:t>
      </w:r>
      <w:r w:rsidRPr="0035027D">
        <w:t>enia chudoby a sociálneho vylú</w:t>
      </w:r>
      <w:r w:rsidRPr="0035027D">
        <w:rPr>
          <w:rFonts w:cs="Times New Roman"/>
        </w:rPr>
        <w:t>č</w:t>
      </w:r>
      <w:r w:rsidRPr="0035027D">
        <w:t>enia. Rámcové zámery bytovej politiky štátu, ako aj konkrétne úlohy v oblasti rozvoja bývania na obdobie do roku 2015</w:t>
      </w:r>
      <w:r w:rsidR="003875F8" w:rsidRPr="0035027D">
        <w:t>,</w:t>
      </w:r>
      <w:r w:rsidRPr="0035027D">
        <w:t xml:space="preserve"> ur</w:t>
      </w:r>
      <w:r w:rsidRPr="0035027D">
        <w:rPr>
          <w:rFonts w:cs="Times New Roman"/>
        </w:rPr>
        <w:t>č</w:t>
      </w:r>
      <w:r w:rsidRPr="0035027D">
        <w:t>uje „Koncepcia štátnej bytovej politiky do roku 2015“. Zavedenie nástroja je mo</w:t>
      </w:r>
      <w:r w:rsidRPr="0035027D">
        <w:rPr>
          <w:rFonts w:cs="Times New Roman"/>
        </w:rPr>
        <w:t>ž</w:t>
      </w:r>
      <w:r w:rsidRPr="0035027D">
        <w:t>né len v prípade podpory budovania nájomných bytov a zabezpe</w:t>
      </w:r>
      <w:r w:rsidRPr="0035027D">
        <w:rPr>
          <w:rFonts w:cs="Times New Roman"/>
        </w:rPr>
        <w:t>č</w:t>
      </w:r>
      <w:r w:rsidRPr="0035027D">
        <w:t>eni</w:t>
      </w:r>
      <w:r w:rsidR="00903B43" w:rsidRPr="0035027D">
        <w:t>a</w:t>
      </w:r>
      <w:r w:rsidRPr="0035027D">
        <w:t xml:space="preserve"> finan</w:t>
      </w:r>
      <w:r w:rsidRPr="0035027D">
        <w:rPr>
          <w:rFonts w:cs="Times New Roman"/>
        </w:rPr>
        <w:t>č</w:t>
      </w:r>
      <w:r w:rsidRPr="0035027D">
        <w:t>nej podpory prostredníctvom štrukturálnych fondov. Plnenie bytovej politiky prebieha cez Štátny fond roz</w:t>
      </w:r>
      <w:r w:rsidR="003875F8" w:rsidRPr="0035027D">
        <w:t xml:space="preserve">voja bývania, ktorý disponuje </w:t>
      </w:r>
      <w:r w:rsidRPr="0035027D">
        <w:t>rozpo</w:t>
      </w:r>
      <w:r w:rsidRPr="0035027D">
        <w:rPr>
          <w:rFonts w:cs="Times New Roman"/>
        </w:rPr>
        <w:t>č</w:t>
      </w:r>
      <w:r w:rsidRPr="0035027D">
        <w:t>tom na rok 2013 vo výške 176,7 mil. eur (vlastné príjmy) a predpokladaným transferom zo ŠR v sume 66,4 mil. eur, a cez nástroj Výstavba a obnova bytového fondu s rozpo</w:t>
      </w:r>
      <w:r w:rsidRPr="0035027D">
        <w:rPr>
          <w:rFonts w:cs="Times New Roman"/>
        </w:rPr>
        <w:t>č</w:t>
      </w:r>
      <w:r w:rsidRPr="0035027D">
        <w:t xml:space="preserve">tom 25 mil. eur </w:t>
      </w:r>
      <w:r w:rsidR="00A21621" w:rsidRPr="0035027D">
        <w:t xml:space="preserve">na </w:t>
      </w:r>
      <w:r w:rsidRPr="0035027D">
        <w:t xml:space="preserve">rok 2013. </w:t>
      </w:r>
    </w:p>
    <w:p w:rsidR="00A767B7" w:rsidRPr="0035027D" w:rsidRDefault="00A767B7" w:rsidP="00A767B7">
      <w:pPr>
        <w:spacing w:after="0"/>
      </w:pPr>
    </w:p>
    <w:p w:rsidR="00A767B7" w:rsidRPr="0035027D" w:rsidRDefault="00A767B7" w:rsidP="005F2E6A">
      <w:pPr>
        <w:spacing w:after="0"/>
      </w:pPr>
      <w:r w:rsidRPr="0035027D">
        <w:t xml:space="preserve">Zvýšenie dostupnosti bývania pre ohrozené skupiny </w:t>
      </w:r>
      <w:r w:rsidR="00A85D06" w:rsidRPr="0035027D">
        <w:t>je mo</w:t>
      </w:r>
      <w:r w:rsidR="00A85D06" w:rsidRPr="0035027D">
        <w:rPr>
          <w:rFonts w:cs="Times New Roman"/>
        </w:rPr>
        <w:t>ž</w:t>
      </w:r>
      <w:r w:rsidR="00A85D06" w:rsidRPr="0035027D">
        <w:t>né dosiahnu</w:t>
      </w:r>
      <w:r w:rsidR="00A85D06" w:rsidRPr="0035027D">
        <w:rPr>
          <w:rFonts w:cs="Times New Roman"/>
        </w:rPr>
        <w:t>ť</w:t>
      </w:r>
      <w:r w:rsidRPr="0035027D">
        <w:t xml:space="preserve"> aj </w:t>
      </w:r>
      <w:r w:rsidR="005F2E6A" w:rsidRPr="0035027D">
        <w:t>zlepšením</w:t>
      </w:r>
      <w:r w:rsidRPr="0035027D">
        <w:t xml:space="preserve"> adresnos</w:t>
      </w:r>
      <w:r w:rsidR="00A85D06" w:rsidRPr="0035027D">
        <w:t>ti iných typov podpory bývania.</w:t>
      </w:r>
      <w:r w:rsidR="005F2E6A" w:rsidRPr="0035027D">
        <w:t xml:space="preserve"> Vláda posúdi mo</w:t>
      </w:r>
      <w:r w:rsidR="005F2E6A" w:rsidRPr="0035027D">
        <w:rPr>
          <w:rFonts w:cs="Times New Roman"/>
        </w:rPr>
        <w:t>ž</w:t>
      </w:r>
      <w:r w:rsidR="005F2E6A" w:rsidRPr="0035027D">
        <w:t>nos</w:t>
      </w:r>
      <w:r w:rsidR="005F2E6A" w:rsidRPr="0035027D">
        <w:rPr>
          <w:rFonts w:cs="Times New Roman"/>
        </w:rPr>
        <w:t>ť</w:t>
      </w:r>
      <w:r w:rsidR="005F2E6A" w:rsidRPr="0035027D">
        <w:t xml:space="preserve"> </w:t>
      </w:r>
      <w:r w:rsidR="00A85D06" w:rsidRPr="0035027D">
        <w:t>zoh</w:t>
      </w:r>
      <w:r w:rsidR="00A85D06" w:rsidRPr="0035027D">
        <w:rPr>
          <w:rFonts w:cs="Times New Roman"/>
        </w:rPr>
        <w:t>ľ</w:t>
      </w:r>
      <w:r w:rsidR="00A85D06" w:rsidRPr="0035027D">
        <w:t xml:space="preserve">adnenia </w:t>
      </w:r>
      <w:r w:rsidR="005F2E6A" w:rsidRPr="0035027D">
        <w:t>príjmu pri pride</w:t>
      </w:r>
      <w:r w:rsidR="008A310F" w:rsidRPr="0035027D">
        <w:rPr>
          <w:rFonts w:cs="Times New Roman"/>
        </w:rPr>
        <w:t>ľ</w:t>
      </w:r>
      <w:r w:rsidR="005F2E6A" w:rsidRPr="0035027D">
        <w:t xml:space="preserve">ovaní štátnej prémie, podobne </w:t>
      </w:r>
      <w:r w:rsidRPr="0035027D">
        <w:t xml:space="preserve">ako pri </w:t>
      </w:r>
      <w:r w:rsidR="00063805" w:rsidRPr="0035027D">
        <w:t xml:space="preserve">niektorých </w:t>
      </w:r>
      <w:r w:rsidRPr="0035027D">
        <w:t xml:space="preserve">sociálnych dávkach. </w:t>
      </w:r>
      <w:r w:rsidR="00A9180E" w:rsidRPr="0035027D">
        <w:t xml:space="preserve">Vláda bude </w:t>
      </w:r>
      <w:r w:rsidR="00E643A7" w:rsidRPr="0035027D">
        <w:t>tie</w:t>
      </w:r>
      <w:r w:rsidR="00E643A7" w:rsidRPr="0035027D">
        <w:rPr>
          <w:rFonts w:cs="Times New Roman"/>
        </w:rPr>
        <w:t>ž</w:t>
      </w:r>
      <w:r w:rsidR="00E643A7" w:rsidRPr="0035027D">
        <w:t xml:space="preserve"> </w:t>
      </w:r>
      <w:r w:rsidR="00A9180E" w:rsidRPr="0035027D">
        <w:t>analyzova</w:t>
      </w:r>
      <w:r w:rsidR="00A9180E" w:rsidRPr="0035027D">
        <w:rPr>
          <w:rFonts w:cs="Times New Roman"/>
        </w:rPr>
        <w:t>ť</w:t>
      </w:r>
      <w:r w:rsidRPr="0035027D">
        <w:t xml:space="preserve"> </w:t>
      </w:r>
      <w:r w:rsidR="00A9180E" w:rsidRPr="0035027D">
        <w:t>mo</w:t>
      </w:r>
      <w:r w:rsidR="00A9180E" w:rsidRPr="0035027D">
        <w:rPr>
          <w:rFonts w:cs="Times New Roman"/>
        </w:rPr>
        <w:t>ž</w:t>
      </w:r>
      <w:r w:rsidR="00A9180E" w:rsidRPr="0035027D">
        <w:t>nosti</w:t>
      </w:r>
      <w:r w:rsidR="00FE0F7C" w:rsidRPr="0035027D">
        <w:t xml:space="preserve"> zvýšenia </w:t>
      </w:r>
      <w:r w:rsidRPr="0035027D">
        <w:t>adresnosti</w:t>
      </w:r>
      <w:r w:rsidR="00FE0F7C" w:rsidRPr="0035027D">
        <w:t xml:space="preserve"> </w:t>
      </w:r>
      <w:r w:rsidR="00FE0F7C" w:rsidRPr="0035027D">
        <w:rPr>
          <w:rFonts w:cs="Times New Roman"/>
        </w:rPr>
        <w:t>ď</w:t>
      </w:r>
      <w:r w:rsidR="00FE0F7C" w:rsidRPr="0035027D">
        <w:t>alších nástrojov štátnej podpory bývania ako sú bonifikácia</w:t>
      </w:r>
      <w:r w:rsidRPr="0035027D">
        <w:t xml:space="preserve"> hypoték pre mladých</w:t>
      </w:r>
      <w:r w:rsidR="00FE0F7C" w:rsidRPr="0035027D">
        <w:t xml:space="preserve"> a programy Štátneho fondu rozvoja bývania</w:t>
      </w:r>
      <w:r w:rsidRPr="0035027D">
        <w:t>.</w:t>
      </w:r>
    </w:p>
    <w:p w:rsidR="00670CA5" w:rsidRPr="0035027D" w:rsidRDefault="00670CA5" w:rsidP="00561DCA">
      <w:pPr>
        <w:spacing w:after="0"/>
      </w:pPr>
    </w:p>
    <w:p w:rsidR="00561DCA" w:rsidRPr="0035027D" w:rsidRDefault="00561DCA" w:rsidP="00561DCA">
      <w:pPr>
        <w:spacing w:after="0"/>
      </w:pPr>
    </w:p>
    <w:p w:rsidR="00632EDA" w:rsidRPr="0035027D" w:rsidRDefault="00632EDA" w:rsidP="00EC7DAA">
      <w:pPr>
        <w:pStyle w:val="Nadpis3"/>
        <w:ind w:left="0" w:firstLine="0"/>
      </w:pPr>
      <w:bookmarkStart w:id="57" w:name="_Toc353563385"/>
      <w:r w:rsidRPr="0035027D">
        <w:t>Podnikateľské prostredie</w:t>
      </w:r>
      <w:bookmarkEnd w:id="57"/>
    </w:p>
    <w:p w:rsidR="00767212" w:rsidRPr="0035027D" w:rsidRDefault="00767212" w:rsidP="00767212">
      <w:pPr>
        <w:spacing w:after="0"/>
      </w:pPr>
    </w:p>
    <w:tbl>
      <w:tblPr>
        <w:tblW w:w="8760" w:type="dxa"/>
        <w:jc w:val="center"/>
        <w:tblInd w:w="55" w:type="dxa"/>
        <w:tblCellMar>
          <w:left w:w="70" w:type="dxa"/>
          <w:right w:w="70" w:type="dxa"/>
        </w:tblCellMar>
        <w:tblLook w:val="04A0" w:firstRow="1" w:lastRow="0" w:firstColumn="1" w:lastColumn="0" w:noHBand="0" w:noVBand="1"/>
      </w:tblPr>
      <w:tblGrid>
        <w:gridCol w:w="3158"/>
        <w:gridCol w:w="368"/>
        <w:gridCol w:w="529"/>
        <w:gridCol w:w="529"/>
        <w:gridCol w:w="529"/>
        <w:gridCol w:w="529"/>
        <w:gridCol w:w="525"/>
        <w:gridCol w:w="523"/>
        <w:gridCol w:w="521"/>
        <w:gridCol w:w="519"/>
        <w:gridCol w:w="518"/>
        <w:gridCol w:w="517"/>
      </w:tblGrid>
      <w:tr w:rsidR="00FC166B" w:rsidRPr="0035027D" w:rsidTr="00FC166B">
        <w:trPr>
          <w:trHeight w:val="300"/>
          <w:jc w:val="center"/>
        </w:trPr>
        <w:tc>
          <w:tcPr>
            <w:tcW w:w="8760" w:type="dxa"/>
            <w:gridSpan w:val="12"/>
            <w:tcBorders>
              <w:top w:val="nil"/>
              <w:left w:val="single" w:sz="4" w:space="0" w:color="auto"/>
              <w:bottom w:val="single" w:sz="4" w:space="0" w:color="auto"/>
              <w:right w:val="nil"/>
            </w:tcBorders>
            <w:shd w:val="clear" w:color="000000" w:fill="000000"/>
            <w:noWrap/>
            <w:vAlign w:val="center"/>
            <w:hideMark/>
          </w:tcPr>
          <w:p w:rsidR="00FC166B" w:rsidRPr="0035027D" w:rsidRDefault="00D4235C" w:rsidP="00FC166B">
            <w:pPr>
              <w:spacing w:after="0"/>
              <w:jc w:val="left"/>
              <w:rPr>
                <w:rFonts w:cs="Times New Roman"/>
                <w:b/>
                <w:bCs/>
                <w:color w:val="FFFFFF"/>
                <w:sz w:val="20"/>
                <w:szCs w:val="20"/>
              </w:rPr>
            </w:pPr>
            <w:r w:rsidRPr="0035027D">
              <w:rPr>
                <w:rFonts w:cs="Times New Roman"/>
                <w:b/>
                <w:bCs/>
                <w:color w:val="FFFFFF"/>
                <w:sz w:val="20"/>
                <w:szCs w:val="20"/>
              </w:rPr>
              <w:t xml:space="preserve">Tab. 5: </w:t>
            </w:r>
            <w:r w:rsidR="00FC166B" w:rsidRPr="0035027D">
              <w:rPr>
                <w:rFonts w:cs="Times New Roman"/>
                <w:b/>
                <w:bCs/>
                <w:color w:val="FFFFFF"/>
                <w:sz w:val="20"/>
                <w:szCs w:val="20"/>
              </w:rPr>
              <w:t>Výsledkový indikátor pre podnikateľské prostredie</w:t>
            </w:r>
          </w:p>
        </w:tc>
      </w:tr>
      <w:tr w:rsidR="00FC166B" w:rsidRPr="0035027D" w:rsidTr="00FC166B">
        <w:trPr>
          <w:trHeight w:val="510"/>
          <w:jc w:val="center"/>
        </w:trPr>
        <w:tc>
          <w:tcPr>
            <w:tcW w:w="3158" w:type="dxa"/>
            <w:tcBorders>
              <w:top w:val="nil"/>
              <w:left w:val="single" w:sz="4" w:space="0" w:color="auto"/>
              <w:bottom w:val="single" w:sz="4" w:space="0" w:color="auto"/>
              <w:right w:val="nil"/>
            </w:tcBorders>
            <w:shd w:val="clear" w:color="000000" w:fill="BFBFBF"/>
            <w:noWrap/>
            <w:vAlign w:val="center"/>
            <w:hideMark/>
          </w:tcPr>
          <w:p w:rsidR="00FC166B" w:rsidRPr="0035027D" w:rsidRDefault="00FC166B" w:rsidP="00FC166B">
            <w:pPr>
              <w:spacing w:after="0"/>
              <w:jc w:val="left"/>
              <w:rPr>
                <w:rFonts w:cs="Times New Roman"/>
                <w:b/>
                <w:bCs/>
                <w:color w:val="FFFFFF"/>
                <w:sz w:val="20"/>
                <w:szCs w:val="20"/>
              </w:rPr>
            </w:pPr>
            <w:r w:rsidRPr="0035027D">
              <w:rPr>
                <w:rFonts w:cs="Times New Roman"/>
                <w:b/>
                <w:bCs/>
                <w:color w:val="FFFFFF"/>
                <w:sz w:val="20"/>
                <w:szCs w:val="20"/>
              </w:rPr>
              <w:t> </w:t>
            </w:r>
          </w:p>
        </w:tc>
        <w:tc>
          <w:tcPr>
            <w:tcW w:w="312" w:type="dxa"/>
            <w:tcBorders>
              <w:top w:val="nil"/>
              <w:left w:val="nil"/>
              <w:bottom w:val="single" w:sz="4" w:space="0" w:color="auto"/>
              <w:right w:val="nil"/>
            </w:tcBorders>
            <w:shd w:val="clear" w:color="000000" w:fill="BFBFBF"/>
            <w:noWrap/>
            <w:vAlign w:val="center"/>
            <w:hideMark/>
          </w:tcPr>
          <w:p w:rsidR="00FC166B" w:rsidRPr="0035027D" w:rsidRDefault="00FC166B" w:rsidP="00FC166B">
            <w:pPr>
              <w:spacing w:after="0"/>
              <w:jc w:val="left"/>
              <w:rPr>
                <w:rFonts w:cs="Times New Roman"/>
                <w:b/>
                <w:bCs/>
                <w:color w:val="FFFFFF"/>
                <w:sz w:val="20"/>
                <w:szCs w:val="20"/>
              </w:rPr>
            </w:pPr>
            <w:r w:rsidRPr="0035027D">
              <w:rPr>
                <w:rFonts w:cs="Times New Roman"/>
                <w:b/>
                <w:bCs/>
                <w:color w:val="FFFFFF"/>
                <w:sz w:val="20"/>
                <w:szCs w:val="20"/>
              </w:rPr>
              <w:t> </w:t>
            </w:r>
          </w:p>
        </w:tc>
        <w:tc>
          <w:tcPr>
            <w:tcW w:w="529" w:type="dxa"/>
            <w:tcBorders>
              <w:top w:val="nil"/>
              <w:left w:val="single" w:sz="4" w:space="0" w:color="auto"/>
              <w:bottom w:val="single" w:sz="4" w:space="0" w:color="auto"/>
              <w:right w:val="nil"/>
            </w:tcBorders>
            <w:shd w:val="clear" w:color="000000" w:fill="BFBFBF"/>
            <w:noWrap/>
            <w:vAlign w:val="center"/>
            <w:hideMark/>
          </w:tcPr>
          <w:p w:rsidR="00FC166B" w:rsidRPr="0035027D" w:rsidRDefault="00FC166B" w:rsidP="00FC166B">
            <w:pPr>
              <w:spacing w:after="0"/>
              <w:jc w:val="center"/>
              <w:rPr>
                <w:rFonts w:cs="Times New Roman"/>
                <w:b/>
                <w:bCs/>
                <w:color w:val="000000"/>
                <w:sz w:val="20"/>
                <w:szCs w:val="20"/>
              </w:rPr>
            </w:pPr>
            <w:r w:rsidRPr="0035027D">
              <w:rPr>
                <w:rFonts w:cs="Times New Roman"/>
                <w:b/>
                <w:bCs/>
                <w:color w:val="000000"/>
                <w:sz w:val="20"/>
                <w:szCs w:val="20"/>
              </w:rPr>
              <w:t>2004</w:t>
            </w:r>
          </w:p>
        </w:tc>
        <w:tc>
          <w:tcPr>
            <w:tcW w:w="529" w:type="dxa"/>
            <w:tcBorders>
              <w:top w:val="nil"/>
              <w:left w:val="nil"/>
              <w:bottom w:val="single" w:sz="4" w:space="0" w:color="auto"/>
              <w:right w:val="nil"/>
            </w:tcBorders>
            <w:shd w:val="clear" w:color="000000" w:fill="BFBFBF"/>
            <w:noWrap/>
            <w:vAlign w:val="center"/>
            <w:hideMark/>
          </w:tcPr>
          <w:p w:rsidR="00FC166B" w:rsidRPr="0035027D" w:rsidRDefault="00FC166B" w:rsidP="00FC166B">
            <w:pPr>
              <w:spacing w:after="0"/>
              <w:jc w:val="center"/>
              <w:rPr>
                <w:rFonts w:cs="Times New Roman"/>
                <w:b/>
                <w:bCs/>
                <w:color w:val="000000"/>
                <w:sz w:val="20"/>
                <w:szCs w:val="20"/>
              </w:rPr>
            </w:pPr>
            <w:r w:rsidRPr="0035027D">
              <w:rPr>
                <w:rFonts w:cs="Times New Roman"/>
                <w:b/>
                <w:bCs/>
                <w:color w:val="000000"/>
                <w:sz w:val="20"/>
                <w:szCs w:val="20"/>
              </w:rPr>
              <w:t>2005</w:t>
            </w:r>
          </w:p>
        </w:tc>
        <w:tc>
          <w:tcPr>
            <w:tcW w:w="529" w:type="dxa"/>
            <w:tcBorders>
              <w:top w:val="nil"/>
              <w:left w:val="nil"/>
              <w:bottom w:val="single" w:sz="4" w:space="0" w:color="auto"/>
              <w:right w:val="nil"/>
            </w:tcBorders>
            <w:shd w:val="clear" w:color="000000" w:fill="BFBFBF"/>
            <w:noWrap/>
            <w:vAlign w:val="center"/>
            <w:hideMark/>
          </w:tcPr>
          <w:p w:rsidR="00FC166B" w:rsidRPr="0035027D" w:rsidRDefault="00FC166B" w:rsidP="00FC166B">
            <w:pPr>
              <w:spacing w:after="0"/>
              <w:jc w:val="center"/>
              <w:rPr>
                <w:rFonts w:cs="Times New Roman"/>
                <w:b/>
                <w:bCs/>
                <w:color w:val="000000"/>
                <w:sz w:val="20"/>
                <w:szCs w:val="20"/>
              </w:rPr>
            </w:pPr>
            <w:r w:rsidRPr="0035027D">
              <w:rPr>
                <w:rFonts w:cs="Times New Roman"/>
                <w:b/>
                <w:bCs/>
                <w:color w:val="000000"/>
                <w:sz w:val="20"/>
                <w:szCs w:val="20"/>
              </w:rPr>
              <w:t>2006</w:t>
            </w:r>
          </w:p>
        </w:tc>
        <w:tc>
          <w:tcPr>
            <w:tcW w:w="529" w:type="dxa"/>
            <w:tcBorders>
              <w:top w:val="nil"/>
              <w:left w:val="nil"/>
              <w:bottom w:val="single" w:sz="4" w:space="0" w:color="auto"/>
              <w:right w:val="nil"/>
            </w:tcBorders>
            <w:shd w:val="clear" w:color="000000" w:fill="BFBFBF"/>
            <w:noWrap/>
            <w:vAlign w:val="center"/>
            <w:hideMark/>
          </w:tcPr>
          <w:p w:rsidR="00FC166B" w:rsidRPr="0035027D" w:rsidRDefault="00FC166B" w:rsidP="00FC166B">
            <w:pPr>
              <w:spacing w:after="0"/>
              <w:jc w:val="center"/>
              <w:rPr>
                <w:rFonts w:cs="Times New Roman"/>
                <w:b/>
                <w:bCs/>
                <w:color w:val="000000"/>
                <w:sz w:val="20"/>
                <w:szCs w:val="20"/>
              </w:rPr>
            </w:pPr>
            <w:r w:rsidRPr="0035027D">
              <w:rPr>
                <w:rFonts w:cs="Times New Roman"/>
                <w:b/>
                <w:bCs/>
                <w:color w:val="000000"/>
                <w:sz w:val="20"/>
                <w:szCs w:val="20"/>
              </w:rPr>
              <w:t>2007</w:t>
            </w:r>
          </w:p>
        </w:tc>
        <w:tc>
          <w:tcPr>
            <w:tcW w:w="529" w:type="dxa"/>
            <w:tcBorders>
              <w:top w:val="nil"/>
              <w:left w:val="nil"/>
              <w:bottom w:val="single" w:sz="4" w:space="0" w:color="auto"/>
              <w:right w:val="nil"/>
            </w:tcBorders>
            <w:shd w:val="clear" w:color="000000" w:fill="BFBFBF"/>
            <w:vAlign w:val="center"/>
            <w:hideMark/>
          </w:tcPr>
          <w:p w:rsidR="00FC166B" w:rsidRPr="0035027D" w:rsidRDefault="00FC166B" w:rsidP="00FC166B">
            <w:pPr>
              <w:spacing w:after="0"/>
              <w:jc w:val="center"/>
              <w:rPr>
                <w:rFonts w:cs="Times New Roman"/>
                <w:b/>
                <w:bCs/>
                <w:color w:val="000000"/>
                <w:sz w:val="20"/>
                <w:szCs w:val="20"/>
              </w:rPr>
            </w:pPr>
            <w:r w:rsidRPr="0035027D">
              <w:rPr>
                <w:rFonts w:cs="Times New Roman"/>
                <w:b/>
                <w:bCs/>
                <w:color w:val="000000"/>
                <w:sz w:val="20"/>
                <w:szCs w:val="20"/>
              </w:rPr>
              <w:t>2008</w:t>
            </w:r>
          </w:p>
        </w:tc>
        <w:tc>
          <w:tcPr>
            <w:tcW w:w="529" w:type="dxa"/>
            <w:tcBorders>
              <w:top w:val="nil"/>
              <w:left w:val="nil"/>
              <w:bottom w:val="single" w:sz="4" w:space="0" w:color="auto"/>
              <w:right w:val="nil"/>
            </w:tcBorders>
            <w:shd w:val="clear" w:color="000000" w:fill="BFBFBF"/>
            <w:vAlign w:val="center"/>
            <w:hideMark/>
          </w:tcPr>
          <w:p w:rsidR="00FC166B" w:rsidRPr="0035027D" w:rsidRDefault="00FC166B" w:rsidP="00FC166B">
            <w:pPr>
              <w:spacing w:after="0"/>
              <w:jc w:val="center"/>
              <w:rPr>
                <w:rFonts w:cs="Times New Roman"/>
                <w:b/>
                <w:bCs/>
                <w:color w:val="000000"/>
                <w:sz w:val="20"/>
                <w:szCs w:val="20"/>
              </w:rPr>
            </w:pPr>
            <w:r w:rsidRPr="0035027D">
              <w:rPr>
                <w:rFonts w:cs="Times New Roman"/>
                <w:b/>
                <w:bCs/>
                <w:color w:val="000000"/>
                <w:sz w:val="20"/>
                <w:szCs w:val="20"/>
              </w:rPr>
              <w:t>2009</w:t>
            </w:r>
          </w:p>
        </w:tc>
        <w:tc>
          <w:tcPr>
            <w:tcW w:w="529" w:type="dxa"/>
            <w:tcBorders>
              <w:top w:val="nil"/>
              <w:left w:val="nil"/>
              <w:bottom w:val="single" w:sz="4" w:space="0" w:color="auto"/>
              <w:right w:val="nil"/>
            </w:tcBorders>
            <w:shd w:val="clear" w:color="000000" w:fill="BFBFBF"/>
            <w:vAlign w:val="center"/>
            <w:hideMark/>
          </w:tcPr>
          <w:p w:rsidR="00FC166B" w:rsidRPr="0035027D" w:rsidRDefault="00FC166B" w:rsidP="00FC166B">
            <w:pPr>
              <w:spacing w:after="0"/>
              <w:jc w:val="center"/>
              <w:rPr>
                <w:rFonts w:cs="Times New Roman"/>
                <w:b/>
                <w:bCs/>
                <w:color w:val="000000"/>
                <w:sz w:val="20"/>
                <w:szCs w:val="20"/>
              </w:rPr>
            </w:pPr>
            <w:r w:rsidRPr="0035027D">
              <w:rPr>
                <w:rFonts w:cs="Times New Roman"/>
                <w:b/>
                <w:bCs/>
                <w:color w:val="000000"/>
                <w:sz w:val="20"/>
                <w:szCs w:val="20"/>
              </w:rPr>
              <w:t>2010</w:t>
            </w:r>
          </w:p>
        </w:tc>
        <w:tc>
          <w:tcPr>
            <w:tcW w:w="529" w:type="dxa"/>
            <w:tcBorders>
              <w:top w:val="nil"/>
              <w:left w:val="nil"/>
              <w:bottom w:val="single" w:sz="4" w:space="0" w:color="auto"/>
              <w:right w:val="nil"/>
            </w:tcBorders>
            <w:shd w:val="clear" w:color="000000" w:fill="BFBFBF"/>
            <w:vAlign w:val="center"/>
            <w:hideMark/>
          </w:tcPr>
          <w:p w:rsidR="00FC166B" w:rsidRPr="0035027D" w:rsidRDefault="00FC166B" w:rsidP="00FC166B">
            <w:pPr>
              <w:spacing w:after="0"/>
              <w:jc w:val="center"/>
              <w:rPr>
                <w:rFonts w:cs="Times New Roman"/>
                <w:b/>
                <w:bCs/>
                <w:color w:val="000000"/>
                <w:sz w:val="20"/>
                <w:szCs w:val="20"/>
              </w:rPr>
            </w:pPr>
            <w:r w:rsidRPr="0035027D">
              <w:rPr>
                <w:rFonts w:cs="Times New Roman"/>
                <w:b/>
                <w:bCs/>
                <w:color w:val="000000"/>
                <w:sz w:val="20"/>
                <w:szCs w:val="20"/>
              </w:rPr>
              <w:t>2011</w:t>
            </w:r>
          </w:p>
        </w:tc>
        <w:tc>
          <w:tcPr>
            <w:tcW w:w="529" w:type="dxa"/>
            <w:tcBorders>
              <w:top w:val="nil"/>
              <w:left w:val="nil"/>
              <w:bottom w:val="single" w:sz="4" w:space="0" w:color="auto"/>
              <w:right w:val="single" w:sz="4" w:space="0" w:color="auto"/>
            </w:tcBorders>
            <w:shd w:val="clear" w:color="000000" w:fill="BFBFBF"/>
            <w:vAlign w:val="center"/>
            <w:hideMark/>
          </w:tcPr>
          <w:p w:rsidR="00FC166B" w:rsidRPr="0035027D" w:rsidRDefault="00FC166B" w:rsidP="00FC166B">
            <w:pPr>
              <w:spacing w:after="0"/>
              <w:jc w:val="left"/>
              <w:rPr>
                <w:rFonts w:cs="Times New Roman"/>
                <w:b/>
                <w:bCs/>
                <w:sz w:val="20"/>
                <w:szCs w:val="20"/>
              </w:rPr>
            </w:pPr>
            <w:r w:rsidRPr="0035027D">
              <w:rPr>
                <w:rFonts w:cs="Times New Roman"/>
                <w:b/>
                <w:bCs/>
                <w:sz w:val="20"/>
                <w:szCs w:val="20"/>
              </w:rPr>
              <w:t>2012</w:t>
            </w:r>
          </w:p>
        </w:tc>
        <w:tc>
          <w:tcPr>
            <w:tcW w:w="529" w:type="dxa"/>
            <w:tcBorders>
              <w:top w:val="nil"/>
              <w:left w:val="nil"/>
              <w:bottom w:val="single" w:sz="4" w:space="0" w:color="auto"/>
              <w:right w:val="single" w:sz="4" w:space="0" w:color="auto"/>
            </w:tcBorders>
            <w:shd w:val="clear" w:color="000000" w:fill="BFBFBF"/>
            <w:vAlign w:val="center"/>
            <w:hideMark/>
          </w:tcPr>
          <w:p w:rsidR="00FC166B" w:rsidRPr="0035027D" w:rsidRDefault="00FC166B" w:rsidP="00FC166B">
            <w:pPr>
              <w:spacing w:after="0"/>
              <w:jc w:val="left"/>
              <w:rPr>
                <w:rFonts w:cs="Times New Roman"/>
                <w:b/>
                <w:bCs/>
                <w:sz w:val="20"/>
                <w:szCs w:val="20"/>
              </w:rPr>
            </w:pPr>
            <w:r w:rsidRPr="0035027D">
              <w:rPr>
                <w:rFonts w:cs="Times New Roman"/>
                <w:b/>
                <w:bCs/>
                <w:sz w:val="20"/>
                <w:szCs w:val="20"/>
              </w:rPr>
              <w:t>Cieľ 2020</w:t>
            </w:r>
          </w:p>
        </w:tc>
      </w:tr>
      <w:tr w:rsidR="00FC166B" w:rsidRPr="0035027D" w:rsidTr="00FC166B">
        <w:trPr>
          <w:trHeight w:val="300"/>
          <w:jc w:val="center"/>
        </w:trPr>
        <w:tc>
          <w:tcPr>
            <w:tcW w:w="3158" w:type="dxa"/>
            <w:tcBorders>
              <w:top w:val="nil"/>
              <w:left w:val="single" w:sz="4" w:space="0" w:color="auto"/>
              <w:bottom w:val="nil"/>
              <w:right w:val="nil"/>
            </w:tcBorders>
            <w:shd w:val="clear" w:color="auto" w:fill="auto"/>
            <w:noWrap/>
            <w:vAlign w:val="center"/>
            <w:hideMark/>
          </w:tcPr>
          <w:p w:rsidR="00FC166B" w:rsidRPr="0035027D" w:rsidRDefault="00FC166B" w:rsidP="00FC166B">
            <w:pPr>
              <w:spacing w:after="0"/>
              <w:rPr>
                <w:rFonts w:cs="Times New Roman"/>
                <w:b/>
                <w:bCs/>
                <w:color w:val="000000"/>
                <w:sz w:val="20"/>
                <w:szCs w:val="20"/>
              </w:rPr>
            </w:pPr>
            <w:proofErr w:type="spellStart"/>
            <w:r w:rsidRPr="0035027D">
              <w:rPr>
                <w:rFonts w:cs="Times New Roman"/>
                <w:b/>
                <w:bCs/>
                <w:color w:val="000000"/>
                <w:sz w:val="20"/>
                <w:szCs w:val="20"/>
              </w:rPr>
              <w:t>Doing</w:t>
            </w:r>
            <w:proofErr w:type="spellEnd"/>
            <w:r w:rsidRPr="0035027D">
              <w:rPr>
                <w:rFonts w:cs="Times New Roman"/>
                <w:b/>
                <w:bCs/>
                <w:color w:val="000000"/>
                <w:sz w:val="20"/>
                <w:szCs w:val="20"/>
              </w:rPr>
              <w:t xml:space="preserve"> </w:t>
            </w:r>
            <w:proofErr w:type="spellStart"/>
            <w:r w:rsidRPr="0035027D">
              <w:rPr>
                <w:rFonts w:cs="Times New Roman"/>
                <w:b/>
                <w:bCs/>
                <w:color w:val="000000"/>
                <w:sz w:val="20"/>
                <w:szCs w:val="20"/>
              </w:rPr>
              <w:t>Business</w:t>
            </w:r>
            <w:proofErr w:type="spellEnd"/>
          </w:p>
        </w:tc>
        <w:tc>
          <w:tcPr>
            <w:tcW w:w="312" w:type="dxa"/>
            <w:tcBorders>
              <w:top w:val="nil"/>
              <w:left w:val="nil"/>
              <w:bottom w:val="nil"/>
              <w:right w:val="single" w:sz="4" w:space="0" w:color="auto"/>
            </w:tcBorders>
            <w:shd w:val="clear" w:color="auto" w:fill="auto"/>
            <w:noWrap/>
            <w:vAlign w:val="center"/>
            <w:hideMark/>
          </w:tcPr>
          <w:p w:rsidR="00FC166B" w:rsidRPr="0035027D" w:rsidRDefault="00FC166B" w:rsidP="00FC166B">
            <w:pPr>
              <w:spacing w:after="0"/>
              <w:jc w:val="left"/>
              <w:rPr>
                <w:rFonts w:cs="Times New Roman"/>
                <w:b/>
                <w:bCs/>
                <w:color w:val="000000"/>
                <w:sz w:val="20"/>
                <w:szCs w:val="20"/>
              </w:rPr>
            </w:pPr>
            <w:r w:rsidRPr="0035027D">
              <w:rPr>
                <w:rFonts w:cs="Times New Roman"/>
                <w:b/>
                <w:bCs/>
                <w:color w:val="000000"/>
                <w:sz w:val="20"/>
                <w:szCs w:val="20"/>
              </w:rPr>
              <w:t>SK</w:t>
            </w:r>
          </w:p>
        </w:tc>
        <w:tc>
          <w:tcPr>
            <w:tcW w:w="529" w:type="dxa"/>
            <w:tcBorders>
              <w:top w:val="nil"/>
              <w:left w:val="nil"/>
              <w:bottom w:val="nil"/>
              <w:right w:val="nil"/>
            </w:tcBorders>
            <w:shd w:val="clear" w:color="auto" w:fill="auto"/>
            <w:vAlign w:val="center"/>
            <w:hideMark/>
          </w:tcPr>
          <w:p w:rsidR="00FC166B" w:rsidRPr="0035027D" w:rsidRDefault="00FC166B" w:rsidP="00FC166B">
            <w:pPr>
              <w:spacing w:after="0"/>
              <w:jc w:val="center"/>
              <w:rPr>
                <w:rFonts w:cs="Times New Roman"/>
                <w:color w:val="000000"/>
                <w:sz w:val="20"/>
                <w:szCs w:val="20"/>
              </w:rPr>
            </w:pPr>
            <w:r w:rsidRPr="0035027D">
              <w:rPr>
                <w:rFonts w:cs="Times New Roman"/>
                <w:color w:val="000000"/>
                <w:sz w:val="20"/>
                <w:szCs w:val="20"/>
              </w:rPr>
              <w:t>-</w:t>
            </w:r>
          </w:p>
        </w:tc>
        <w:tc>
          <w:tcPr>
            <w:tcW w:w="529" w:type="dxa"/>
            <w:tcBorders>
              <w:top w:val="nil"/>
              <w:left w:val="nil"/>
              <w:bottom w:val="nil"/>
              <w:right w:val="nil"/>
            </w:tcBorders>
            <w:shd w:val="clear" w:color="auto" w:fill="auto"/>
            <w:vAlign w:val="center"/>
            <w:hideMark/>
          </w:tcPr>
          <w:p w:rsidR="00FC166B" w:rsidRPr="0035027D" w:rsidRDefault="00FC166B" w:rsidP="00FC166B">
            <w:pPr>
              <w:spacing w:after="0"/>
              <w:jc w:val="center"/>
              <w:rPr>
                <w:rFonts w:cs="Times New Roman"/>
                <w:color w:val="000000"/>
                <w:sz w:val="20"/>
                <w:szCs w:val="20"/>
              </w:rPr>
            </w:pPr>
            <w:r w:rsidRPr="0035027D">
              <w:rPr>
                <w:rFonts w:cs="Times New Roman"/>
                <w:color w:val="000000"/>
                <w:sz w:val="20"/>
                <w:szCs w:val="20"/>
              </w:rPr>
              <w:t>-</w:t>
            </w:r>
          </w:p>
        </w:tc>
        <w:tc>
          <w:tcPr>
            <w:tcW w:w="529" w:type="dxa"/>
            <w:tcBorders>
              <w:top w:val="nil"/>
              <w:left w:val="nil"/>
              <w:bottom w:val="nil"/>
              <w:right w:val="nil"/>
            </w:tcBorders>
            <w:shd w:val="clear" w:color="auto" w:fill="auto"/>
            <w:vAlign w:val="center"/>
            <w:hideMark/>
          </w:tcPr>
          <w:p w:rsidR="00FC166B" w:rsidRPr="0035027D" w:rsidRDefault="00FC166B" w:rsidP="00FC166B">
            <w:pPr>
              <w:spacing w:after="0"/>
              <w:jc w:val="center"/>
              <w:rPr>
                <w:rFonts w:cs="Times New Roman"/>
                <w:color w:val="000000"/>
                <w:sz w:val="20"/>
                <w:szCs w:val="20"/>
              </w:rPr>
            </w:pPr>
            <w:r w:rsidRPr="0035027D">
              <w:rPr>
                <w:rFonts w:cs="Times New Roman"/>
                <w:color w:val="000000"/>
                <w:sz w:val="20"/>
                <w:szCs w:val="20"/>
              </w:rPr>
              <w:t>-</w:t>
            </w:r>
          </w:p>
        </w:tc>
        <w:tc>
          <w:tcPr>
            <w:tcW w:w="529" w:type="dxa"/>
            <w:tcBorders>
              <w:top w:val="nil"/>
              <w:left w:val="nil"/>
              <w:bottom w:val="nil"/>
              <w:right w:val="nil"/>
            </w:tcBorders>
            <w:shd w:val="clear" w:color="auto" w:fill="auto"/>
            <w:vAlign w:val="center"/>
            <w:hideMark/>
          </w:tcPr>
          <w:p w:rsidR="00FC166B" w:rsidRPr="0035027D" w:rsidRDefault="00FC166B" w:rsidP="00FC166B">
            <w:pPr>
              <w:spacing w:after="0"/>
              <w:jc w:val="center"/>
              <w:rPr>
                <w:rFonts w:cs="Times New Roman"/>
                <w:color w:val="000000"/>
                <w:sz w:val="20"/>
                <w:szCs w:val="20"/>
              </w:rPr>
            </w:pPr>
            <w:r w:rsidRPr="0035027D">
              <w:rPr>
                <w:rFonts w:cs="Times New Roman"/>
                <w:color w:val="000000"/>
                <w:sz w:val="20"/>
                <w:szCs w:val="20"/>
              </w:rPr>
              <w:t>-</w:t>
            </w:r>
          </w:p>
        </w:tc>
        <w:tc>
          <w:tcPr>
            <w:tcW w:w="529" w:type="dxa"/>
            <w:tcBorders>
              <w:top w:val="nil"/>
              <w:left w:val="nil"/>
              <w:bottom w:val="nil"/>
              <w:right w:val="nil"/>
            </w:tcBorders>
            <w:shd w:val="clear" w:color="auto" w:fill="auto"/>
            <w:vAlign w:val="center"/>
            <w:hideMark/>
          </w:tcPr>
          <w:p w:rsidR="00FC166B" w:rsidRPr="0035027D" w:rsidRDefault="00FC166B" w:rsidP="00FC166B">
            <w:pPr>
              <w:spacing w:after="0"/>
              <w:jc w:val="center"/>
              <w:rPr>
                <w:rFonts w:cs="Times New Roman"/>
                <w:color w:val="000000"/>
                <w:sz w:val="20"/>
                <w:szCs w:val="20"/>
              </w:rPr>
            </w:pPr>
            <w:r w:rsidRPr="0035027D">
              <w:rPr>
                <w:rFonts w:cs="Times New Roman"/>
                <w:color w:val="000000"/>
                <w:sz w:val="20"/>
                <w:szCs w:val="20"/>
              </w:rPr>
              <w:t>-</w:t>
            </w:r>
          </w:p>
        </w:tc>
        <w:tc>
          <w:tcPr>
            <w:tcW w:w="529" w:type="dxa"/>
            <w:tcBorders>
              <w:top w:val="nil"/>
              <w:left w:val="nil"/>
              <w:bottom w:val="nil"/>
              <w:right w:val="nil"/>
            </w:tcBorders>
            <w:shd w:val="clear" w:color="auto" w:fill="auto"/>
            <w:vAlign w:val="center"/>
            <w:hideMark/>
          </w:tcPr>
          <w:p w:rsidR="00FC166B" w:rsidRPr="0035027D" w:rsidRDefault="00FC166B" w:rsidP="00FC166B">
            <w:pPr>
              <w:spacing w:after="0"/>
              <w:jc w:val="center"/>
              <w:rPr>
                <w:rFonts w:cs="Times New Roman"/>
                <w:color w:val="000000"/>
                <w:sz w:val="20"/>
                <w:szCs w:val="20"/>
              </w:rPr>
            </w:pPr>
            <w:r w:rsidRPr="0035027D">
              <w:rPr>
                <w:rFonts w:cs="Times New Roman"/>
                <w:color w:val="000000"/>
                <w:sz w:val="20"/>
                <w:szCs w:val="20"/>
              </w:rPr>
              <w:t>40</w:t>
            </w:r>
          </w:p>
        </w:tc>
        <w:tc>
          <w:tcPr>
            <w:tcW w:w="529" w:type="dxa"/>
            <w:tcBorders>
              <w:top w:val="nil"/>
              <w:left w:val="nil"/>
              <w:bottom w:val="nil"/>
              <w:right w:val="nil"/>
            </w:tcBorders>
            <w:shd w:val="clear" w:color="auto" w:fill="auto"/>
            <w:vAlign w:val="center"/>
            <w:hideMark/>
          </w:tcPr>
          <w:p w:rsidR="00FC166B" w:rsidRPr="0035027D" w:rsidRDefault="00FC166B" w:rsidP="00FC166B">
            <w:pPr>
              <w:spacing w:after="0"/>
              <w:jc w:val="center"/>
              <w:rPr>
                <w:rFonts w:cs="Times New Roman"/>
                <w:color w:val="000000"/>
                <w:sz w:val="20"/>
                <w:szCs w:val="20"/>
              </w:rPr>
            </w:pPr>
            <w:r w:rsidRPr="0035027D">
              <w:rPr>
                <w:rFonts w:cs="Times New Roman"/>
                <w:color w:val="000000"/>
                <w:sz w:val="20"/>
                <w:szCs w:val="20"/>
              </w:rPr>
              <w:t>43</w:t>
            </w:r>
          </w:p>
        </w:tc>
        <w:tc>
          <w:tcPr>
            <w:tcW w:w="529" w:type="dxa"/>
            <w:tcBorders>
              <w:top w:val="nil"/>
              <w:left w:val="nil"/>
              <w:bottom w:val="nil"/>
              <w:right w:val="nil"/>
            </w:tcBorders>
            <w:shd w:val="clear" w:color="auto" w:fill="auto"/>
            <w:vAlign w:val="center"/>
            <w:hideMark/>
          </w:tcPr>
          <w:p w:rsidR="00FC166B" w:rsidRPr="0035027D" w:rsidRDefault="00FC166B" w:rsidP="00FC166B">
            <w:pPr>
              <w:spacing w:after="0"/>
              <w:jc w:val="center"/>
              <w:rPr>
                <w:rFonts w:cs="Times New Roman"/>
                <w:color w:val="000000"/>
                <w:sz w:val="20"/>
                <w:szCs w:val="20"/>
              </w:rPr>
            </w:pPr>
            <w:r w:rsidRPr="0035027D">
              <w:rPr>
                <w:rFonts w:cs="Times New Roman"/>
                <w:color w:val="000000"/>
                <w:sz w:val="20"/>
                <w:szCs w:val="20"/>
              </w:rPr>
              <w:t>46</w:t>
            </w:r>
          </w:p>
        </w:tc>
        <w:tc>
          <w:tcPr>
            <w:tcW w:w="529" w:type="dxa"/>
            <w:tcBorders>
              <w:top w:val="nil"/>
              <w:left w:val="nil"/>
              <w:bottom w:val="nil"/>
              <w:right w:val="single" w:sz="4" w:space="0" w:color="auto"/>
            </w:tcBorders>
            <w:shd w:val="clear" w:color="auto" w:fill="auto"/>
            <w:vAlign w:val="center"/>
            <w:hideMark/>
          </w:tcPr>
          <w:p w:rsidR="00FC166B" w:rsidRPr="0035027D" w:rsidRDefault="00FC166B" w:rsidP="00FC166B">
            <w:pPr>
              <w:spacing w:after="0"/>
              <w:jc w:val="center"/>
              <w:rPr>
                <w:rFonts w:cs="Times New Roman"/>
                <w:color w:val="000000"/>
                <w:sz w:val="20"/>
                <w:szCs w:val="20"/>
              </w:rPr>
            </w:pPr>
            <w:r w:rsidRPr="0035027D">
              <w:rPr>
                <w:rFonts w:cs="Times New Roman"/>
                <w:color w:val="000000"/>
                <w:sz w:val="20"/>
                <w:szCs w:val="20"/>
              </w:rPr>
              <w:t>46</w:t>
            </w:r>
          </w:p>
        </w:tc>
        <w:tc>
          <w:tcPr>
            <w:tcW w:w="529" w:type="dxa"/>
            <w:tcBorders>
              <w:top w:val="nil"/>
              <w:left w:val="nil"/>
              <w:bottom w:val="nil"/>
              <w:right w:val="single" w:sz="4" w:space="0" w:color="auto"/>
            </w:tcBorders>
            <w:shd w:val="clear" w:color="auto" w:fill="auto"/>
            <w:vAlign w:val="center"/>
            <w:hideMark/>
          </w:tcPr>
          <w:p w:rsidR="00FC166B" w:rsidRPr="0035027D" w:rsidRDefault="00FC166B" w:rsidP="00FC166B">
            <w:pPr>
              <w:spacing w:after="0"/>
              <w:jc w:val="center"/>
              <w:rPr>
                <w:rFonts w:cs="Times New Roman"/>
                <w:color w:val="000000"/>
                <w:sz w:val="20"/>
                <w:szCs w:val="20"/>
              </w:rPr>
            </w:pPr>
            <w:r w:rsidRPr="0035027D">
              <w:rPr>
                <w:rFonts w:cs="Times New Roman"/>
                <w:color w:val="000000"/>
                <w:sz w:val="20"/>
                <w:szCs w:val="20"/>
              </w:rPr>
              <w:t>15</w:t>
            </w:r>
          </w:p>
        </w:tc>
      </w:tr>
      <w:tr w:rsidR="00FC166B" w:rsidRPr="0035027D" w:rsidTr="00FC166B">
        <w:trPr>
          <w:trHeight w:val="300"/>
          <w:jc w:val="center"/>
        </w:trPr>
        <w:tc>
          <w:tcPr>
            <w:tcW w:w="3158" w:type="dxa"/>
            <w:tcBorders>
              <w:top w:val="nil"/>
              <w:left w:val="single" w:sz="4" w:space="0" w:color="auto"/>
              <w:bottom w:val="single" w:sz="4" w:space="0" w:color="auto"/>
              <w:right w:val="nil"/>
            </w:tcBorders>
            <w:shd w:val="clear" w:color="auto" w:fill="auto"/>
            <w:noWrap/>
            <w:vAlign w:val="center"/>
            <w:hideMark/>
          </w:tcPr>
          <w:p w:rsidR="00FC166B" w:rsidRPr="0035027D" w:rsidRDefault="00FC166B" w:rsidP="00FC166B">
            <w:pPr>
              <w:spacing w:after="0"/>
              <w:rPr>
                <w:rFonts w:cs="Times New Roman"/>
                <w:color w:val="000000"/>
                <w:sz w:val="20"/>
                <w:szCs w:val="20"/>
              </w:rPr>
            </w:pPr>
            <w:r w:rsidRPr="0035027D">
              <w:rPr>
                <w:rFonts w:cs="Times New Roman"/>
                <w:color w:val="000000"/>
                <w:sz w:val="20"/>
                <w:szCs w:val="20"/>
              </w:rPr>
              <w:t>(poradie v rebríčku Svetovej banky)</w:t>
            </w:r>
          </w:p>
        </w:tc>
        <w:tc>
          <w:tcPr>
            <w:tcW w:w="312" w:type="dxa"/>
            <w:tcBorders>
              <w:top w:val="nil"/>
              <w:left w:val="nil"/>
              <w:bottom w:val="single" w:sz="4" w:space="0" w:color="auto"/>
              <w:right w:val="single" w:sz="4" w:space="0" w:color="auto"/>
            </w:tcBorders>
            <w:shd w:val="clear" w:color="auto" w:fill="auto"/>
            <w:noWrap/>
            <w:vAlign w:val="center"/>
            <w:hideMark/>
          </w:tcPr>
          <w:p w:rsidR="00FC166B" w:rsidRPr="0035027D" w:rsidRDefault="00FC166B" w:rsidP="00FC166B">
            <w:pPr>
              <w:spacing w:after="0"/>
              <w:jc w:val="left"/>
              <w:rPr>
                <w:rFonts w:cs="Times New Roman"/>
                <w:b/>
                <w:bCs/>
                <w:color w:val="000000"/>
                <w:sz w:val="20"/>
                <w:szCs w:val="20"/>
              </w:rPr>
            </w:pPr>
            <w:r w:rsidRPr="0035027D">
              <w:rPr>
                <w:rFonts w:cs="Times New Roman"/>
                <w:b/>
                <w:bCs/>
                <w:color w:val="000000"/>
                <w:sz w:val="20"/>
                <w:szCs w:val="20"/>
              </w:rPr>
              <w:t>EÚ</w:t>
            </w:r>
          </w:p>
        </w:tc>
        <w:tc>
          <w:tcPr>
            <w:tcW w:w="529" w:type="dxa"/>
            <w:tcBorders>
              <w:top w:val="nil"/>
              <w:left w:val="nil"/>
              <w:bottom w:val="single" w:sz="4" w:space="0" w:color="auto"/>
              <w:right w:val="nil"/>
            </w:tcBorders>
            <w:shd w:val="clear" w:color="auto" w:fill="auto"/>
            <w:vAlign w:val="center"/>
            <w:hideMark/>
          </w:tcPr>
          <w:p w:rsidR="00FC166B" w:rsidRPr="0035027D" w:rsidRDefault="00FC166B" w:rsidP="00FC166B">
            <w:pPr>
              <w:spacing w:after="0"/>
              <w:jc w:val="center"/>
              <w:rPr>
                <w:rFonts w:cs="Times New Roman"/>
                <w:color w:val="000000"/>
                <w:sz w:val="20"/>
                <w:szCs w:val="20"/>
              </w:rPr>
            </w:pPr>
            <w:r w:rsidRPr="0035027D">
              <w:rPr>
                <w:rFonts w:cs="Times New Roman"/>
                <w:color w:val="000000"/>
                <w:sz w:val="20"/>
                <w:szCs w:val="20"/>
              </w:rPr>
              <w:t>-</w:t>
            </w:r>
          </w:p>
        </w:tc>
        <w:tc>
          <w:tcPr>
            <w:tcW w:w="529" w:type="dxa"/>
            <w:tcBorders>
              <w:top w:val="nil"/>
              <w:left w:val="nil"/>
              <w:bottom w:val="single" w:sz="4" w:space="0" w:color="auto"/>
              <w:right w:val="nil"/>
            </w:tcBorders>
            <w:shd w:val="clear" w:color="auto" w:fill="auto"/>
            <w:vAlign w:val="center"/>
            <w:hideMark/>
          </w:tcPr>
          <w:p w:rsidR="00FC166B" w:rsidRPr="0035027D" w:rsidRDefault="00FC166B" w:rsidP="00FC166B">
            <w:pPr>
              <w:spacing w:after="0"/>
              <w:jc w:val="center"/>
              <w:rPr>
                <w:rFonts w:cs="Times New Roman"/>
                <w:color w:val="000000"/>
                <w:sz w:val="20"/>
                <w:szCs w:val="20"/>
              </w:rPr>
            </w:pPr>
            <w:r w:rsidRPr="0035027D">
              <w:rPr>
                <w:rFonts w:cs="Times New Roman"/>
                <w:color w:val="000000"/>
                <w:sz w:val="20"/>
                <w:szCs w:val="20"/>
              </w:rPr>
              <w:t>-</w:t>
            </w:r>
          </w:p>
        </w:tc>
        <w:tc>
          <w:tcPr>
            <w:tcW w:w="529" w:type="dxa"/>
            <w:tcBorders>
              <w:top w:val="nil"/>
              <w:left w:val="nil"/>
              <w:bottom w:val="single" w:sz="4" w:space="0" w:color="auto"/>
              <w:right w:val="nil"/>
            </w:tcBorders>
            <w:shd w:val="clear" w:color="auto" w:fill="auto"/>
            <w:vAlign w:val="center"/>
            <w:hideMark/>
          </w:tcPr>
          <w:p w:rsidR="00FC166B" w:rsidRPr="0035027D" w:rsidRDefault="00FC166B" w:rsidP="00FC166B">
            <w:pPr>
              <w:spacing w:after="0"/>
              <w:jc w:val="center"/>
              <w:rPr>
                <w:rFonts w:cs="Times New Roman"/>
                <w:color w:val="000000"/>
                <w:sz w:val="20"/>
                <w:szCs w:val="20"/>
              </w:rPr>
            </w:pPr>
            <w:r w:rsidRPr="0035027D">
              <w:rPr>
                <w:rFonts w:cs="Times New Roman"/>
                <w:color w:val="000000"/>
                <w:sz w:val="20"/>
                <w:szCs w:val="20"/>
              </w:rPr>
              <w:t>-</w:t>
            </w:r>
          </w:p>
        </w:tc>
        <w:tc>
          <w:tcPr>
            <w:tcW w:w="529" w:type="dxa"/>
            <w:tcBorders>
              <w:top w:val="nil"/>
              <w:left w:val="nil"/>
              <w:bottom w:val="single" w:sz="4" w:space="0" w:color="auto"/>
              <w:right w:val="nil"/>
            </w:tcBorders>
            <w:shd w:val="clear" w:color="auto" w:fill="auto"/>
            <w:vAlign w:val="center"/>
            <w:hideMark/>
          </w:tcPr>
          <w:p w:rsidR="00FC166B" w:rsidRPr="0035027D" w:rsidRDefault="00FC166B" w:rsidP="00FC166B">
            <w:pPr>
              <w:spacing w:after="0"/>
              <w:jc w:val="center"/>
              <w:rPr>
                <w:rFonts w:cs="Times New Roman"/>
                <w:color w:val="000000"/>
                <w:sz w:val="20"/>
                <w:szCs w:val="20"/>
              </w:rPr>
            </w:pPr>
            <w:r w:rsidRPr="0035027D">
              <w:rPr>
                <w:rFonts w:cs="Times New Roman"/>
                <w:color w:val="000000"/>
                <w:sz w:val="20"/>
                <w:szCs w:val="20"/>
              </w:rPr>
              <w:t>-</w:t>
            </w:r>
          </w:p>
        </w:tc>
        <w:tc>
          <w:tcPr>
            <w:tcW w:w="529" w:type="dxa"/>
            <w:tcBorders>
              <w:top w:val="nil"/>
              <w:left w:val="nil"/>
              <w:bottom w:val="single" w:sz="4" w:space="0" w:color="auto"/>
              <w:right w:val="nil"/>
            </w:tcBorders>
            <w:shd w:val="clear" w:color="auto" w:fill="auto"/>
            <w:vAlign w:val="center"/>
            <w:hideMark/>
          </w:tcPr>
          <w:p w:rsidR="00FC166B" w:rsidRPr="0035027D" w:rsidRDefault="00FC166B" w:rsidP="00FC166B">
            <w:pPr>
              <w:spacing w:after="0"/>
              <w:jc w:val="center"/>
              <w:rPr>
                <w:rFonts w:cs="Times New Roman"/>
                <w:color w:val="000000"/>
                <w:sz w:val="20"/>
                <w:szCs w:val="20"/>
              </w:rPr>
            </w:pPr>
            <w:r w:rsidRPr="0035027D">
              <w:rPr>
                <w:rFonts w:cs="Times New Roman"/>
                <w:color w:val="000000"/>
                <w:sz w:val="20"/>
                <w:szCs w:val="20"/>
              </w:rPr>
              <w:t>-</w:t>
            </w:r>
          </w:p>
        </w:tc>
        <w:tc>
          <w:tcPr>
            <w:tcW w:w="529" w:type="dxa"/>
            <w:tcBorders>
              <w:top w:val="nil"/>
              <w:left w:val="nil"/>
              <w:bottom w:val="single" w:sz="4" w:space="0" w:color="auto"/>
              <w:right w:val="nil"/>
            </w:tcBorders>
            <w:shd w:val="clear" w:color="auto" w:fill="auto"/>
            <w:vAlign w:val="center"/>
            <w:hideMark/>
          </w:tcPr>
          <w:p w:rsidR="00FC166B" w:rsidRPr="0035027D" w:rsidRDefault="00FC166B" w:rsidP="00FC166B">
            <w:pPr>
              <w:spacing w:after="0"/>
              <w:jc w:val="center"/>
              <w:rPr>
                <w:rFonts w:cs="Times New Roman"/>
                <w:color w:val="000000"/>
                <w:sz w:val="20"/>
                <w:szCs w:val="20"/>
              </w:rPr>
            </w:pPr>
            <w:r w:rsidRPr="0035027D">
              <w:rPr>
                <w:rFonts w:cs="Times New Roman"/>
                <w:color w:val="000000"/>
                <w:sz w:val="20"/>
                <w:szCs w:val="20"/>
              </w:rPr>
              <w:t>37,5</w:t>
            </w:r>
          </w:p>
        </w:tc>
        <w:tc>
          <w:tcPr>
            <w:tcW w:w="529" w:type="dxa"/>
            <w:tcBorders>
              <w:top w:val="nil"/>
              <w:left w:val="nil"/>
              <w:bottom w:val="single" w:sz="4" w:space="0" w:color="auto"/>
              <w:right w:val="nil"/>
            </w:tcBorders>
            <w:shd w:val="clear" w:color="auto" w:fill="auto"/>
            <w:vAlign w:val="center"/>
            <w:hideMark/>
          </w:tcPr>
          <w:p w:rsidR="00FC166B" w:rsidRPr="0035027D" w:rsidRDefault="00FC166B" w:rsidP="00FC166B">
            <w:pPr>
              <w:spacing w:after="0"/>
              <w:jc w:val="center"/>
              <w:rPr>
                <w:rFonts w:cs="Times New Roman"/>
                <w:color w:val="000000"/>
                <w:sz w:val="20"/>
                <w:szCs w:val="20"/>
              </w:rPr>
            </w:pPr>
            <w:r w:rsidRPr="0035027D">
              <w:rPr>
                <w:rFonts w:cs="Times New Roman"/>
                <w:color w:val="000000"/>
                <w:sz w:val="20"/>
                <w:szCs w:val="20"/>
              </w:rPr>
              <w:t>37,2</w:t>
            </w:r>
          </w:p>
        </w:tc>
        <w:tc>
          <w:tcPr>
            <w:tcW w:w="529" w:type="dxa"/>
            <w:tcBorders>
              <w:top w:val="nil"/>
              <w:left w:val="nil"/>
              <w:bottom w:val="single" w:sz="4" w:space="0" w:color="auto"/>
              <w:right w:val="nil"/>
            </w:tcBorders>
            <w:shd w:val="clear" w:color="auto" w:fill="auto"/>
            <w:vAlign w:val="center"/>
            <w:hideMark/>
          </w:tcPr>
          <w:p w:rsidR="00FC166B" w:rsidRPr="0035027D" w:rsidRDefault="00FC166B" w:rsidP="00FC166B">
            <w:pPr>
              <w:spacing w:after="0"/>
              <w:jc w:val="center"/>
              <w:rPr>
                <w:rFonts w:cs="Times New Roman"/>
                <w:color w:val="000000"/>
                <w:sz w:val="20"/>
                <w:szCs w:val="20"/>
              </w:rPr>
            </w:pPr>
            <w:r w:rsidRPr="0035027D">
              <w:rPr>
                <w:rFonts w:cs="Times New Roman"/>
                <w:color w:val="000000"/>
                <w:sz w:val="20"/>
                <w:szCs w:val="20"/>
              </w:rPr>
              <w:t>40,3</w:t>
            </w:r>
          </w:p>
        </w:tc>
        <w:tc>
          <w:tcPr>
            <w:tcW w:w="529" w:type="dxa"/>
            <w:tcBorders>
              <w:top w:val="nil"/>
              <w:left w:val="nil"/>
              <w:bottom w:val="single" w:sz="4" w:space="0" w:color="auto"/>
              <w:right w:val="single" w:sz="4" w:space="0" w:color="auto"/>
            </w:tcBorders>
            <w:shd w:val="clear" w:color="auto" w:fill="auto"/>
            <w:vAlign w:val="center"/>
            <w:hideMark/>
          </w:tcPr>
          <w:p w:rsidR="00FC166B" w:rsidRPr="0035027D" w:rsidRDefault="00FC166B" w:rsidP="00FC166B">
            <w:pPr>
              <w:spacing w:after="0"/>
              <w:jc w:val="center"/>
              <w:rPr>
                <w:rFonts w:cs="Times New Roman"/>
                <w:color w:val="000000"/>
                <w:sz w:val="20"/>
                <w:szCs w:val="20"/>
              </w:rPr>
            </w:pPr>
            <w:r w:rsidRPr="0035027D">
              <w:rPr>
                <w:rFonts w:cs="Times New Roman"/>
                <w:color w:val="000000"/>
                <w:sz w:val="20"/>
                <w:szCs w:val="20"/>
              </w:rPr>
              <w:t>40,1</w:t>
            </w:r>
          </w:p>
        </w:tc>
        <w:tc>
          <w:tcPr>
            <w:tcW w:w="529" w:type="dxa"/>
            <w:tcBorders>
              <w:top w:val="nil"/>
              <w:left w:val="nil"/>
              <w:bottom w:val="single" w:sz="4" w:space="0" w:color="auto"/>
              <w:right w:val="single" w:sz="4" w:space="0" w:color="auto"/>
            </w:tcBorders>
            <w:shd w:val="clear" w:color="auto" w:fill="auto"/>
            <w:vAlign w:val="center"/>
            <w:hideMark/>
          </w:tcPr>
          <w:p w:rsidR="00FC166B" w:rsidRPr="0035027D" w:rsidRDefault="00FC166B" w:rsidP="00FC166B">
            <w:pPr>
              <w:spacing w:after="0"/>
              <w:jc w:val="center"/>
              <w:rPr>
                <w:rFonts w:cs="Times New Roman"/>
                <w:color w:val="000000"/>
                <w:sz w:val="20"/>
                <w:szCs w:val="20"/>
              </w:rPr>
            </w:pPr>
            <w:r w:rsidRPr="0035027D">
              <w:rPr>
                <w:rFonts w:cs="Times New Roman"/>
                <w:color w:val="000000"/>
                <w:sz w:val="20"/>
                <w:szCs w:val="20"/>
              </w:rPr>
              <w:t>-</w:t>
            </w:r>
          </w:p>
        </w:tc>
      </w:tr>
    </w:tbl>
    <w:p w:rsidR="00767212" w:rsidRPr="0035027D" w:rsidRDefault="00767212" w:rsidP="00311C38">
      <w:pPr>
        <w:spacing w:after="0"/>
        <w:jc w:val="center"/>
      </w:pPr>
    </w:p>
    <w:p w:rsidR="007E70E1" w:rsidRPr="0035027D" w:rsidRDefault="007E70E1" w:rsidP="007E70E1">
      <w:pPr>
        <w:spacing w:after="0"/>
      </w:pPr>
      <w:r w:rsidRPr="0035027D">
        <w:t>Kvalitné a transparentné podnikate</w:t>
      </w:r>
      <w:r w:rsidRPr="0035027D">
        <w:rPr>
          <w:rFonts w:cs="Times New Roman"/>
        </w:rPr>
        <w:t>ľ</w:t>
      </w:r>
      <w:r w:rsidRPr="0035027D">
        <w:t>ské prostredie je dôle</w:t>
      </w:r>
      <w:r w:rsidRPr="0035027D">
        <w:rPr>
          <w:rFonts w:cs="Times New Roman"/>
        </w:rPr>
        <w:t>ž</w:t>
      </w:r>
      <w:r w:rsidRPr="0035027D">
        <w:t>itým predpokladom pre stabilný a konkurencieschopný trh, vznik nových firiem a prílev investícií. Opatrenia prispievajúce k zlepšeniu podnikate</w:t>
      </w:r>
      <w:r w:rsidRPr="0035027D">
        <w:rPr>
          <w:rFonts w:cs="Times New Roman"/>
        </w:rPr>
        <w:t>ľ</w:t>
      </w:r>
      <w:r w:rsidRPr="0035027D">
        <w:t>ského prostredia majú v kone</w:t>
      </w:r>
      <w:r w:rsidRPr="0035027D">
        <w:rPr>
          <w:rFonts w:cs="Times New Roman"/>
        </w:rPr>
        <w:t>č</w:t>
      </w:r>
      <w:r w:rsidRPr="0035027D">
        <w:t>nom dôsledku pozitívny dopad na zamestnanos</w:t>
      </w:r>
      <w:r w:rsidRPr="0035027D">
        <w:rPr>
          <w:rFonts w:cs="Times New Roman"/>
        </w:rPr>
        <w:t>ť</w:t>
      </w:r>
      <w:r w:rsidRPr="0035027D">
        <w:t>, mzdy, ekonomický rast a celkovú prosperitu krajiny. Slovensko klesá v hodnotení rebrí</w:t>
      </w:r>
      <w:r w:rsidRPr="0035027D">
        <w:rPr>
          <w:rFonts w:cs="Times New Roman"/>
        </w:rPr>
        <w:t>č</w:t>
      </w:r>
      <w:r w:rsidRPr="0035027D">
        <w:t xml:space="preserve">ka Svetovej banky </w:t>
      </w:r>
      <w:proofErr w:type="spellStart"/>
      <w:r w:rsidRPr="0035027D">
        <w:t>Doing</w:t>
      </w:r>
      <w:proofErr w:type="spellEnd"/>
      <w:r w:rsidRPr="0035027D">
        <w:t xml:space="preserve"> </w:t>
      </w:r>
      <w:proofErr w:type="spellStart"/>
      <w:r w:rsidRPr="0035027D">
        <w:t>business</w:t>
      </w:r>
      <w:proofErr w:type="spellEnd"/>
      <w:r w:rsidRPr="0035027D">
        <w:t xml:space="preserve"> u</w:t>
      </w:r>
      <w:r w:rsidRPr="0035027D">
        <w:rPr>
          <w:rFonts w:cs="Times New Roman"/>
        </w:rPr>
        <w:t>ž</w:t>
      </w:r>
      <w:r w:rsidRPr="0035027D">
        <w:t xml:space="preserve"> nieko</w:t>
      </w:r>
      <w:r w:rsidR="00251302" w:rsidRPr="0035027D">
        <w:rPr>
          <w:rFonts w:cs="Times New Roman"/>
        </w:rPr>
        <w:t>ľ</w:t>
      </w:r>
      <w:r w:rsidR="00251302" w:rsidRPr="0035027D">
        <w:t>ko rokov po sebe. Aktuálne 46. </w:t>
      </w:r>
      <w:r w:rsidRPr="0035027D">
        <w:t>miesto nás zara</w:t>
      </w:r>
      <w:r w:rsidRPr="0035027D">
        <w:rPr>
          <w:rFonts w:cs="Times New Roman"/>
        </w:rPr>
        <w:t>ď</w:t>
      </w:r>
      <w:r w:rsidRPr="0035027D">
        <w:t xml:space="preserve">uje pod </w:t>
      </w:r>
      <w:r w:rsidR="00251302" w:rsidRPr="0035027D">
        <w:t>priemerné umiestnenie krajín EÚ</w:t>
      </w:r>
      <w:r w:rsidRPr="0035027D">
        <w:t xml:space="preserve"> (40). </w:t>
      </w:r>
    </w:p>
    <w:p w:rsidR="007E70E1" w:rsidRPr="0035027D" w:rsidRDefault="007E70E1" w:rsidP="007E70E1">
      <w:pPr>
        <w:spacing w:after="0"/>
      </w:pPr>
    </w:p>
    <w:p w:rsidR="007E70E1" w:rsidRPr="0035027D" w:rsidRDefault="007E70E1" w:rsidP="007E70E1">
      <w:pPr>
        <w:spacing w:after="0"/>
      </w:pPr>
      <w:r w:rsidRPr="0035027D">
        <w:t>Je preto nevyhnutné prija</w:t>
      </w:r>
      <w:r w:rsidRPr="0035027D">
        <w:rPr>
          <w:rFonts w:cs="Times New Roman"/>
        </w:rPr>
        <w:t>ť</w:t>
      </w:r>
      <w:r w:rsidRPr="0035027D">
        <w:t xml:space="preserve"> opatrenia na zní</w:t>
      </w:r>
      <w:r w:rsidRPr="0035027D">
        <w:rPr>
          <w:rFonts w:cs="Times New Roman"/>
        </w:rPr>
        <w:t>ž</w:t>
      </w:r>
      <w:r w:rsidRPr="0035027D">
        <w:t>enie administratívneho za</w:t>
      </w:r>
      <w:r w:rsidRPr="0035027D">
        <w:rPr>
          <w:rFonts w:cs="Times New Roman"/>
        </w:rPr>
        <w:t>ť</w:t>
      </w:r>
      <w:r w:rsidRPr="0035027D">
        <w:t>a</w:t>
      </w:r>
      <w:r w:rsidRPr="0035027D">
        <w:rPr>
          <w:rFonts w:cs="Times New Roman"/>
        </w:rPr>
        <w:t>ž</w:t>
      </w:r>
      <w:r w:rsidRPr="0035027D">
        <w:t>enia, uvo</w:t>
      </w:r>
      <w:r w:rsidRPr="0035027D">
        <w:rPr>
          <w:rFonts w:cs="Times New Roman"/>
        </w:rPr>
        <w:t>ľ</w:t>
      </w:r>
      <w:r w:rsidRPr="0035027D">
        <w:t>nenie regulácie a zlepšenie informovanosti firiem. Zlepší sa posudzovanie vplyvov novej aj existujúcej legislatívy na podnikate</w:t>
      </w:r>
      <w:r w:rsidRPr="0035027D">
        <w:rPr>
          <w:rFonts w:cs="Times New Roman"/>
        </w:rPr>
        <w:t>ľ</w:t>
      </w:r>
      <w:r w:rsidRPr="0035027D">
        <w:t>ské prostredie. Vláda zjednoduší získanie stavebného povolenia a zní</w:t>
      </w:r>
      <w:r w:rsidRPr="0035027D">
        <w:rPr>
          <w:rFonts w:cs="Times New Roman"/>
        </w:rPr>
        <w:t>ž</w:t>
      </w:r>
      <w:r w:rsidRPr="0035027D">
        <w:t>i bariéry vstupu v tr</w:t>
      </w:r>
      <w:r w:rsidR="00251302" w:rsidRPr="0035027D">
        <w:t>adi</w:t>
      </w:r>
      <w:r w:rsidR="00251302" w:rsidRPr="0035027D">
        <w:rPr>
          <w:rFonts w:cs="Times New Roman"/>
        </w:rPr>
        <w:t>č</w:t>
      </w:r>
      <w:r w:rsidR="00251302" w:rsidRPr="0035027D">
        <w:t>ne monopolných sektoroch a slobodných povolaniach. K v</w:t>
      </w:r>
      <w:r w:rsidRPr="0035027D">
        <w:t xml:space="preserve">yššej transparentnosti prispeje zavedenie </w:t>
      </w:r>
      <w:proofErr w:type="spellStart"/>
      <w:r w:rsidRPr="0035027D">
        <w:t>insolven</w:t>
      </w:r>
      <w:r w:rsidRPr="0035027D">
        <w:rPr>
          <w:rFonts w:cs="Times New Roman"/>
        </w:rPr>
        <w:t>č</w:t>
      </w:r>
      <w:r w:rsidRPr="0035027D">
        <w:t>ného</w:t>
      </w:r>
      <w:proofErr w:type="spellEnd"/>
      <w:r w:rsidRPr="0035027D">
        <w:t xml:space="preserve"> registra a registra diskvalifikovaných osôb. Rozvoju podnikate</w:t>
      </w:r>
      <w:r w:rsidRPr="0035027D">
        <w:rPr>
          <w:rFonts w:cs="Times New Roman"/>
        </w:rPr>
        <w:t>ľ</w:t>
      </w:r>
      <w:r w:rsidRPr="0035027D">
        <w:t>ského prostredia napomáha aj elektronizácia slu</w:t>
      </w:r>
      <w:r w:rsidRPr="0035027D">
        <w:rPr>
          <w:rFonts w:cs="Times New Roman"/>
        </w:rPr>
        <w:t>ž</w:t>
      </w:r>
      <w:r w:rsidRPr="0035027D">
        <w:t>ieb vlády, budovanie infraštruktúry a skvalit</w:t>
      </w:r>
      <w:r w:rsidRPr="0035027D">
        <w:rPr>
          <w:rFonts w:cs="Times New Roman"/>
        </w:rPr>
        <w:t>ň</w:t>
      </w:r>
      <w:r w:rsidRPr="0035027D">
        <w:t>ovanie verejnej správy.</w:t>
      </w:r>
    </w:p>
    <w:p w:rsidR="007E70E1" w:rsidRPr="0035027D" w:rsidRDefault="007E70E1" w:rsidP="007E70E1">
      <w:pPr>
        <w:spacing w:after="0"/>
      </w:pPr>
    </w:p>
    <w:p w:rsidR="004131FA" w:rsidRPr="0035027D" w:rsidRDefault="00CA16C2" w:rsidP="007E70E1">
      <w:pPr>
        <w:spacing w:after="0"/>
        <w:rPr>
          <w:b/>
          <w:i/>
        </w:rPr>
      </w:pPr>
      <w:r w:rsidRPr="0035027D">
        <w:rPr>
          <w:b/>
          <w:i/>
        </w:rPr>
        <w:t>Financovanie rozvoja podnikania</w:t>
      </w:r>
    </w:p>
    <w:p w:rsidR="00CA16C2" w:rsidRPr="0035027D" w:rsidRDefault="00CA16C2" w:rsidP="007E70E1">
      <w:pPr>
        <w:spacing w:after="0"/>
      </w:pPr>
    </w:p>
    <w:p w:rsidR="00CA16C2" w:rsidRPr="0035027D" w:rsidRDefault="00CA16C2" w:rsidP="00CA16C2">
      <w:pPr>
        <w:pStyle w:val="Obyajntext"/>
        <w:jc w:val="both"/>
        <w:rPr>
          <w:rFonts w:ascii="Arial Narrow" w:hAnsi="Arial Narrow"/>
          <w:bCs/>
        </w:rPr>
      </w:pPr>
      <w:r w:rsidRPr="0035027D">
        <w:rPr>
          <w:rFonts w:ascii="Arial Narrow" w:hAnsi="Arial Narrow"/>
          <w:bCs/>
        </w:rPr>
        <w:t xml:space="preserve">Slovenský fond na podporu rastu poslúži primárne na poskytovanie úverov na financovanie </w:t>
      </w:r>
      <w:r w:rsidRPr="0035027D">
        <w:rPr>
          <w:rFonts w:ascii="Arial Narrow" w:hAnsi="Arial Narrow"/>
        </w:rPr>
        <w:t>nových strategických investícii, najmä v oblasti infraštruktúry a životného prostredia. Účelom fondu je znásobiť efekt verejných investícií z fondov EÚ prostredníctvom tzv. pákového efektu – každé euro priameho kapitálového vkladu z operačných programov do fondu by na seba naviazalo približne 5 eur zo zdrojov domácich i zahraničných súkromných investorov. Slovenský fond na podporu rastu bude patriť mimo sektora verejnej správy a nebude podliehať priamej politickej kontrole, keďže štát bude jeho menšinovým akcionárom.</w:t>
      </w:r>
    </w:p>
    <w:p w:rsidR="00CA16C2" w:rsidRPr="0035027D" w:rsidRDefault="00CA16C2" w:rsidP="00CA16C2">
      <w:pPr>
        <w:pStyle w:val="Obyajntext"/>
        <w:jc w:val="both"/>
        <w:rPr>
          <w:rFonts w:ascii="Arial Narrow" w:hAnsi="Arial Narrow"/>
        </w:rPr>
      </w:pPr>
      <w:r w:rsidRPr="0035027D">
        <w:rPr>
          <w:rFonts w:ascii="Arial Narrow" w:hAnsi="Arial Narrow"/>
        </w:rPr>
        <w:t> </w:t>
      </w:r>
    </w:p>
    <w:p w:rsidR="00CA16C2" w:rsidRPr="0035027D" w:rsidRDefault="00CA16C2" w:rsidP="00CA16C2">
      <w:pPr>
        <w:spacing w:after="0"/>
      </w:pPr>
      <w:r w:rsidRPr="0035027D">
        <w:t xml:space="preserve">Fond </w:t>
      </w:r>
      <w:r w:rsidRPr="0035027D">
        <w:rPr>
          <w:bCs/>
        </w:rPr>
        <w:t xml:space="preserve">sociálnych fondov rozvojového kapitálu </w:t>
      </w:r>
      <w:r w:rsidRPr="0035027D">
        <w:t>by sa mal zamera</w:t>
      </w:r>
      <w:r w:rsidRPr="0035027D">
        <w:rPr>
          <w:rFonts w:cs="Times New Roman"/>
        </w:rPr>
        <w:t>ť</w:t>
      </w:r>
      <w:r w:rsidRPr="0035027D">
        <w:t xml:space="preserve"> na segment ekonomických aktivít, ktoré nie sú stratové, ale neprinášajú komer</w:t>
      </w:r>
      <w:r w:rsidRPr="0035027D">
        <w:rPr>
          <w:rFonts w:cs="Times New Roman"/>
        </w:rPr>
        <w:t>č</w:t>
      </w:r>
      <w:r w:rsidRPr="0035027D">
        <w:t>ne zaujímavú úrove</w:t>
      </w:r>
      <w:r w:rsidRPr="0035027D">
        <w:rPr>
          <w:rFonts w:cs="Times New Roman"/>
        </w:rPr>
        <w:t>ň</w:t>
      </w:r>
      <w:r w:rsidRPr="0035027D">
        <w:t xml:space="preserve"> zisku, a preto o ne be</w:t>
      </w:r>
      <w:r w:rsidRPr="0035027D">
        <w:rPr>
          <w:rFonts w:cs="Times New Roman"/>
        </w:rPr>
        <w:t>ž</w:t>
      </w:r>
      <w:r w:rsidRPr="0035027D">
        <w:t>ní investori dlhodobo nejavia záujem. Obzvláš</w:t>
      </w:r>
      <w:r w:rsidRPr="0035027D">
        <w:rPr>
          <w:rFonts w:cs="Times New Roman"/>
        </w:rPr>
        <w:t>ť</w:t>
      </w:r>
      <w:r w:rsidRPr="0035027D">
        <w:t xml:space="preserve"> sa zameria na aktivity produkujúce trhovo neocenený spolo</w:t>
      </w:r>
      <w:r w:rsidRPr="0035027D">
        <w:rPr>
          <w:rFonts w:cs="Times New Roman"/>
        </w:rPr>
        <w:t>č</w:t>
      </w:r>
      <w:r w:rsidRPr="0035027D">
        <w:t>enský prospech (pozitívnu externalitu). Štátna podpora tomuto segmentu aktivít mô</w:t>
      </w:r>
      <w:r w:rsidRPr="0035027D">
        <w:rPr>
          <w:rFonts w:cs="Times New Roman"/>
        </w:rPr>
        <w:t>ž</w:t>
      </w:r>
      <w:r w:rsidRPr="0035027D">
        <w:t>e vyplni</w:t>
      </w:r>
      <w:r w:rsidRPr="0035027D">
        <w:rPr>
          <w:rFonts w:cs="Times New Roman"/>
        </w:rPr>
        <w:t>ť</w:t>
      </w:r>
      <w:r w:rsidRPr="0035027D">
        <w:t xml:space="preserve"> medzeru na trhu a vytvori</w:t>
      </w:r>
      <w:r w:rsidRPr="0035027D">
        <w:rPr>
          <w:rFonts w:cs="Times New Roman"/>
        </w:rPr>
        <w:t>ť</w:t>
      </w:r>
      <w:r w:rsidRPr="0035027D">
        <w:t xml:space="preserve"> </w:t>
      </w:r>
      <w:r w:rsidRPr="0035027D">
        <w:rPr>
          <w:rFonts w:cs="Times New Roman"/>
        </w:rPr>
        <w:t>ž</w:t>
      </w:r>
      <w:r w:rsidRPr="0035027D">
        <w:t>ivotaschopné podniky, ktoré by po po</w:t>
      </w:r>
      <w:r w:rsidRPr="0035027D">
        <w:rPr>
          <w:rFonts w:cs="Times New Roman"/>
        </w:rPr>
        <w:t>č</w:t>
      </w:r>
      <w:r w:rsidRPr="0035027D">
        <w:t>iato</w:t>
      </w:r>
      <w:r w:rsidRPr="0035027D">
        <w:rPr>
          <w:rFonts w:cs="Times New Roman"/>
        </w:rPr>
        <w:t>č</w:t>
      </w:r>
      <w:r w:rsidRPr="0035027D">
        <w:t>nej podpore u</w:t>
      </w:r>
      <w:r w:rsidRPr="0035027D">
        <w:rPr>
          <w:rFonts w:cs="Times New Roman"/>
        </w:rPr>
        <w:t>ž</w:t>
      </w:r>
      <w:r w:rsidRPr="0035027D">
        <w:t xml:space="preserve"> boli schopné fungova</w:t>
      </w:r>
      <w:r w:rsidRPr="0035027D">
        <w:rPr>
          <w:rFonts w:cs="Times New Roman"/>
        </w:rPr>
        <w:t>ť</w:t>
      </w:r>
      <w:r w:rsidRPr="0035027D">
        <w:t xml:space="preserve"> nezávisle, </w:t>
      </w:r>
      <w:r w:rsidRPr="0035027D">
        <w:rPr>
          <w:rFonts w:cs="Times New Roman"/>
        </w:rPr>
        <w:t>č</w:t>
      </w:r>
      <w:r w:rsidRPr="0035027D">
        <w:t>ím by sa zvýšil hospodársky rast i zamestnanos</w:t>
      </w:r>
      <w:r w:rsidRPr="0035027D">
        <w:rPr>
          <w:rFonts w:cs="Times New Roman"/>
        </w:rPr>
        <w:t>ť</w:t>
      </w:r>
      <w:r w:rsidRPr="0035027D">
        <w:t>. Podobne ako v prípade iných opatrení, základom inštitúcie by mali by</w:t>
      </w:r>
      <w:r w:rsidRPr="0035027D">
        <w:rPr>
          <w:rFonts w:cs="Times New Roman"/>
        </w:rPr>
        <w:t>ť</w:t>
      </w:r>
      <w:r w:rsidRPr="0035027D">
        <w:t xml:space="preserve"> prostriedky z fondov EÚ, ktoré by boli pákovým efektom znásobené súkromnými financiami. Fond by mal poskytova</w:t>
      </w:r>
      <w:r w:rsidRPr="0035027D">
        <w:rPr>
          <w:rFonts w:cs="Times New Roman"/>
        </w:rPr>
        <w:t>ť</w:t>
      </w:r>
      <w:r w:rsidRPr="0035027D">
        <w:t xml:space="preserve"> kombinovanú podporu v podobe grantu spojeného s pô</w:t>
      </w:r>
      <w:r w:rsidRPr="0035027D">
        <w:rPr>
          <w:rFonts w:cs="Times New Roman"/>
        </w:rPr>
        <w:t>ž</w:t>
      </w:r>
      <w:r w:rsidRPr="0035027D">
        <w:t>i</w:t>
      </w:r>
      <w:r w:rsidRPr="0035027D">
        <w:rPr>
          <w:rFonts w:cs="Times New Roman"/>
        </w:rPr>
        <w:t>č</w:t>
      </w:r>
      <w:r w:rsidRPr="0035027D">
        <w:t>kou najmä mikropodnikom so s</w:t>
      </w:r>
      <w:r w:rsidRPr="0035027D">
        <w:rPr>
          <w:rFonts w:cs="Times New Roman"/>
        </w:rPr>
        <w:t>ť</w:t>
      </w:r>
      <w:r w:rsidRPr="0035027D">
        <w:t>a</w:t>
      </w:r>
      <w:r w:rsidRPr="0035027D">
        <w:rPr>
          <w:rFonts w:cs="Times New Roman"/>
        </w:rPr>
        <w:t>ž</w:t>
      </w:r>
      <w:r w:rsidRPr="0035027D">
        <w:t xml:space="preserve">enými prístupom na kreditný trh, </w:t>
      </w:r>
      <w:r w:rsidRPr="0035027D">
        <w:lastRenderedPageBreak/>
        <w:t>so zvláštnym zameraním na spolo</w:t>
      </w:r>
      <w:r w:rsidRPr="0035027D">
        <w:rPr>
          <w:rFonts w:cs="Times New Roman"/>
        </w:rPr>
        <w:t>č</w:t>
      </w:r>
      <w:r w:rsidRPr="0035027D">
        <w:t>ensky prospešné podnikanie. Inštitúcia má potenciál výrazne podpori</w:t>
      </w:r>
      <w:r w:rsidRPr="0035027D">
        <w:rPr>
          <w:rFonts w:cs="Times New Roman"/>
        </w:rPr>
        <w:t>ť</w:t>
      </w:r>
      <w:r w:rsidRPr="0035027D">
        <w:t xml:space="preserve"> rast zamestnanosti najmä v zaostalejších regiónoch Slovenska, ktoré dlhodobo trpia nízkym záujmom investorov.</w:t>
      </w:r>
    </w:p>
    <w:p w:rsidR="00CA16C2" w:rsidRPr="0035027D" w:rsidRDefault="00CA16C2" w:rsidP="007E70E1">
      <w:pPr>
        <w:spacing w:after="0"/>
      </w:pPr>
    </w:p>
    <w:p w:rsidR="00CA16C2" w:rsidRPr="0035027D" w:rsidRDefault="00CA16C2" w:rsidP="00CA16C2">
      <w:pPr>
        <w:pStyle w:val="Bezriadkovania"/>
      </w:pPr>
      <w:r w:rsidRPr="0035027D">
        <w:t>V nasle</w:t>
      </w:r>
      <w:r w:rsidR="00884E96" w:rsidRPr="0035027D">
        <w:t>dujúcom programovom období 2014 – </w:t>
      </w:r>
      <w:r w:rsidRPr="0035027D">
        <w:t>2020 sa predpokladá</w:t>
      </w:r>
      <w:r w:rsidR="00332401" w:rsidRPr="0035027D">
        <w:t xml:space="preserve"> výraznejšia</w:t>
      </w:r>
      <w:r w:rsidRPr="0035027D">
        <w:t xml:space="preserve"> ú</w:t>
      </w:r>
      <w:r w:rsidRPr="0035027D">
        <w:rPr>
          <w:rFonts w:cs="Times New Roman"/>
        </w:rPr>
        <w:t>č</w:t>
      </w:r>
      <w:r w:rsidRPr="0035027D">
        <w:t>as</w:t>
      </w:r>
      <w:r w:rsidRPr="0035027D">
        <w:rPr>
          <w:rFonts w:cs="Times New Roman"/>
        </w:rPr>
        <w:t>ť</w:t>
      </w:r>
      <w:r w:rsidRPr="0035027D">
        <w:t xml:space="preserve"> Slovenskej záru</w:t>
      </w:r>
      <w:r w:rsidRPr="0035027D">
        <w:rPr>
          <w:rFonts w:cs="Times New Roman"/>
        </w:rPr>
        <w:t>č</w:t>
      </w:r>
      <w:r w:rsidRPr="0035027D">
        <w:t xml:space="preserve">nej a rozvojovej banky, a. s. (SZRB) pri </w:t>
      </w:r>
      <w:r w:rsidR="00332401" w:rsidRPr="0035027D">
        <w:t>spravovaní</w:t>
      </w:r>
      <w:r w:rsidRPr="0035027D">
        <w:t xml:space="preserve"> nástrojov </w:t>
      </w:r>
      <w:r w:rsidR="00332401" w:rsidRPr="0035027D">
        <w:t>návratnej pomoci pre malé a stredné podniky</w:t>
      </w:r>
      <w:r w:rsidRPr="0035027D">
        <w:t>. SZRB by mala priamo k dispozícii ur</w:t>
      </w:r>
      <w:r w:rsidRPr="0035027D">
        <w:rPr>
          <w:rFonts w:cs="Times New Roman"/>
        </w:rPr>
        <w:t>č</w:t>
      </w:r>
      <w:r w:rsidRPr="0035027D">
        <w:t>itý objem zdrojov, ktoré by vyu</w:t>
      </w:r>
      <w:r w:rsidRPr="0035027D">
        <w:rPr>
          <w:rFonts w:cs="Times New Roman"/>
        </w:rPr>
        <w:t>ž</w:t>
      </w:r>
      <w:r w:rsidRPr="0035027D">
        <w:t>ívala na poskytovanie úverov a záruk pre MSP v rámci iniciatívy JEREMIE. V prípade vyu</w:t>
      </w:r>
      <w:r w:rsidRPr="0035027D">
        <w:rPr>
          <w:rFonts w:cs="Times New Roman"/>
        </w:rPr>
        <w:t>ž</w:t>
      </w:r>
      <w:r w:rsidRPr="0035027D">
        <w:t>itia zdr</w:t>
      </w:r>
      <w:r w:rsidR="00884E96" w:rsidRPr="0035027D">
        <w:t>ojov v rámci iniciatívy JESSICA</w:t>
      </w:r>
      <w:r w:rsidRPr="0035027D">
        <w:t xml:space="preserve"> by SZRB financovala aj projekty miest a obcí. Týmto spôsobom sa zo SZRB vybuduje banková finan</w:t>
      </w:r>
      <w:r w:rsidRPr="0035027D">
        <w:rPr>
          <w:rFonts w:cs="Times New Roman"/>
        </w:rPr>
        <w:t>č</w:t>
      </w:r>
      <w:r w:rsidRPr="0035027D">
        <w:t>ná inštitúcia, ktorá doká</w:t>
      </w:r>
      <w:r w:rsidRPr="0035027D">
        <w:rPr>
          <w:rFonts w:cs="Times New Roman"/>
        </w:rPr>
        <w:t>ž</w:t>
      </w:r>
      <w:r w:rsidRPr="0035027D">
        <w:t xml:space="preserve">e </w:t>
      </w:r>
      <w:r w:rsidR="00332401" w:rsidRPr="0035027D">
        <w:t>ú</w:t>
      </w:r>
      <w:r w:rsidR="00332401" w:rsidRPr="0035027D">
        <w:rPr>
          <w:rFonts w:cs="Times New Roman"/>
        </w:rPr>
        <w:t>č</w:t>
      </w:r>
      <w:r w:rsidR="00332401" w:rsidRPr="0035027D">
        <w:t>inne</w:t>
      </w:r>
      <w:r w:rsidRPr="0035027D">
        <w:t xml:space="preserve"> plni</w:t>
      </w:r>
      <w:r w:rsidRPr="0035027D">
        <w:rPr>
          <w:rFonts w:cs="Times New Roman"/>
        </w:rPr>
        <w:t>ť</w:t>
      </w:r>
      <w:r w:rsidRPr="0035027D">
        <w:t xml:space="preserve"> ciele </w:t>
      </w:r>
      <w:r w:rsidR="00332401" w:rsidRPr="0035027D">
        <w:t xml:space="preserve">štátu v oblasti </w:t>
      </w:r>
      <w:r w:rsidRPr="0035027D">
        <w:t>hospodárskej politiky.</w:t>
      </w:r>
    </w:p>
    <w:p w:rsidR="004131FA" w:rsidRPr="0035027D" w:rsidRDefault="004131FA" w:rsidP="007E70E1">
      <w:pPr>
        <w:spacing w:after="0"/>
      </w:pPr>
    </w:p>
    <w:p w:rsidR="007E70E1" w:rsidRPr="0035027D" w:rsidRDefault="007E70E1" w:rsidP="007E70E1">
      <w:pPr>
        <w:spacing w:after="0"/>
        <w:rPr>
          <w:b/>
          <w:i/>
        </w:rPr>
      </w:pPr>
      <w:r w:rsidRPr="0035027D">
        <w:rPr>
          <w:b/>
          <w:i/>
        </w:rPr>
        <w:t>Administratívne zaťaženie</w:t>
      </w:r>
    </w:p>
    <w:p w:rsidR="007E70E1" w:rsidRPr="0035027D" w:rsidRDefault="007E70E1" w:rsidP="007E70E1">
      <w:pPr>
        <w:spacing w:after="0"/>
      </w:pPr>
    </w:p>
    <w:p w:rsidR="007E70E1" w:rsidRPr="0035027D" w:rsidRDefault="007E70E1" w:rsidP="00D43A8A">
      <w:pPr>
        <w:spacing w:after="0"/>
      </w:pPr>
      <w:r w:rsidRPr="0035027D">
        <w:t>Slovensko potrebuje uskuto</w:t>
      </w:r>
      <w:r w:rsidRPr="0035027D">
        <w:rPr>
          <w:rFonts w:cs="Times New Roman"/>
        </w:rPr>
        <w:t>č</w:t>
      </w:r>
      <w:r w:rsidRPr="0035027D">
        <w:t>ni</w:t>
      </w:r>
      <w:r w:rsidRPr="0035027D">
        <w:rPr>
          <w:rFonts w:cs="Times New Roman"/>
        </w:rPr>
        <w:t>ť</w:t>
      </w:r>
      <w:r w:rsidRPr="0035027D">
        <w:t xml:space="preserve"> opatrenia smerujúce k zlepšeniu podnikate</w:t>
      </w:r>
      <w:r w:rsidRPr="0035027D">
        <w:rPr>
          <w:rFonts w:cs="Times New Roman"/>
        </w:rPr>
        <w:t>ľ</w:t>
      </w:r>
      <w:r w:rsidRPr="0035027D">
        <w:t xml:space="preserve">ského prostredia. V tomto smere sa zameria na </w:t>
      </w:r>
      <w:r w:rsidRPr="0035027D">
        <w:rPr>
          <w:rFonts w:cs="Times New Roman"/>
        </w:rPr>
        <w:t>ď</w:t>
      </w:r>
      <w:r w:rsidRPr="0035027D">
        <w:t>alšie posilnenie transparentnosti a zní</w:t>
      </w:r>
      <w:r w:rsidRPr="0035027D">
        <w:rPr>
          <w:rFonts w:cs="Times New Roman"/>
        </w:rPr>
        <w:t>ž</w:t>
      </w:r>
      <w:r w:rsidRPr="0035027D">
        <w:t>enie administratívneho za</w:t>
      </w:r>
      <w:r w:rsidRPr="0035027D">
        <w:rPr>
          <w:rFonts w:cs="Times New Roman"/>
        </w:rPr>
        <w:t>ť</w:t>
      </w:r>
      <w:r w:rsidRPr="0035027D">
        <w:t>a</w:t>
      </w:r>
      <w:r w:rsidRPr="0035027D">
        <w:rPr>
          <w:rFonts w:cs="Times New Roman"/>
        </w:rPr>
        <w:t>ž</w:t>
      </w:r>
      <w:r w:rsidRPr="0035027D">
        <w:t>enia.</w:t>
      </w:r>
      <w:r w:rsidR="00D43A8A" w:rsidRPr="0035027D">
        <w:t xml:space="preserve"> Umo</w:t>
      </w:r>
      <w:r w:rsidR="00D43A8A" w:rsidRPr="0035027D">
        <w:rPr>
          <w:rFonts w:cs="Times New Roman"/>
        </w:rPr>
        <w:t>ž</w:t>
      </w:r>
      <w:r w:rsidR="00D43A8A" w:rsidRPr="0035027D">
        <w:t>ní sa vydávanie elektronických výpisov z listu vlastníctva a zabezpe</w:t>
      </w:r>
      <w:r w:rsidR="00D43A8A" w:rsidRPr="0035027D">
        <w:rPr>
          <w:rFonts w:cs="Times New Roman"/>
        </w:rPr>
        <w:t>č</w:t>
      </w:r>
      <w:r w:rsidR="00D43A8A" w:rsidRPr="0035027D">
        <w:t>í sa rozšírenie obsahu katastra nehnute</w:t>
      </w:r>
      <w:r w:rsidR="00D43A8A" w:rsidRPr="0035027D">
        <w:rPr>
          <w:rFonts w:cs="Times New Roman"/>
        </w:rPr>
        <w:t>ľ</w:t>
      </w:r>
      <w:r w:rsidR="00D43A8A" w:rsidRPr="0035027D">
        <w:t>ností o údaje o cenách nehnute</w:t>
      </w:r>
      <w:r w:rsidR="00D43A8A" w:rsidRPr="0035027D">
        <w:rPr>
          <w:rFonts w:cs="Times New Roman"/>
        </w:rPr>
        <w:t>ľ</w:t>
      </w:r>
      <w:r w:rsidR="00D43A8A" w:rsidRPr="0035027D">
        <w:t>ností uvádzaných vo verejných a iných listinách predlo</w:t>
      </w:r>
      <w:r w:rsidR="00D43A8A" w:rsidRPr="0035027D">
        <w:rPr>
          <w:rFonts w:cs="Times New Roman"/>
        </w:rPr>
        <w:t>ž</w:t>
      </w:r>
      <w:r w:rsidR="00D43A8A" w:rsidRPr="0035027D">
        <w:t>ených na zápis do katastra. Vláda okrem toho zjednoduší administratívne vykazovanie podnikov vytvorením komplexného portálového riešenia umo</w:t>
      </w:r>
      <w:r w:rsidR="00D43A8A" w:rsidRPr="0035027D">
        <w:rPr>
          <w:rFonts w:cs="Times New Roman"/>
        </w:rPr>
        <w:t>žň</w:t>
      </w:r>
      <w:r w:rsidR="00D43A8A" w:rsidRPr="0035027D">
        <w:t>ujúceho elektronické hlásenie všetkých nále</w:t>
      </w:r>
      <w:r w:rsidR="00D43A8A" w:rsidRPr="0035027D">
        <w:rPr>
          <w:rFonts w:cs="Times New Roman"/>
        </w:rPr>
        <w:t>ž</w:t>
      </w:r>
      <w:r w:rsidR="00D43A8A" w:rsidRPr="0035027D">
        <w:t>itostí vy</w:t>
      </w:r>
      <w:r w:rsidR="00D43A8A" w:rsidRPr="0035027D">
        <w:rPr>
          <w:rFonts w:cs="Times New Roman"/>
        </w:rPr>
        <w:t>ž</w:t>
      </w:r>
      <w:r w:rsidR="00D43A8A" w:rsidRPr="0035027D">
        <w:t>adovaných od podnikate</w:t>
      </w:r>
      <w:r w:rsidR="00D43A8A" w:rsidRPr="0035027D">
        <w:rPr>
          <w:rFonts w:cs="Times New Roman"/>
        </w:rPr>
        <w:t>ľ</w:t>
      </w:r>
      <w:r w:rsidR="00D43A8A" w:rsidRPr="0035027D">
        <w:t>ských subjektov.</w:t>
      </w:r>
    </w:p>
    <w:p w:rsidR="007E70E1" w:rsidRPr="0035027D" w:rsidRDefault="007E70E1" w:rsidP="007E70E1">
      <w:pPr>
        <w:spacing w:after="0"/>
      </w:pPr>
    </w:p>
    <w:p w:rsidR="008731B6" w:rsidRPr="0035027D" w:rsidRDefault="007E70E1" w:rsidP="008731B6">
      <w:pPr>
        <w:spacing w:after="0"/>
      </w:pPr>
      <w:r w:rsidRPr="0035027D">
        <w:t>Proces registrácie majetku sa zlacní a zrýchli zní</w:t>
      </w:r>
      <w:r w:rsidRPr="0035027D">
        <w:rPr>
          <w:rFonts w:cs="Times New Roman"/>
        </w:rPr>
        <w:t>ž</w:t>
      </w:r>
      <w:r w:rsidRPr="0035027D">
        <w:t>ením po</w:t>
      </w:r>
      <w:r w:rsidRPr="0035027D">
        <w:rPr>
          <w:rFonts w:cs="Times New Roman"/>
        </w:rPr>
        <w:t>č</w:t>
      </w:r>
      <w:r w:rsidRPr="0035027D">
        <w:t xml:space="preserve">tu úkonov. </w:t>
      </w:r>
      <w:r w:rsidRPr="0035027D">
        <w:rPr>
          <w:rFonts w:eastAsia="Calibri"/>
          <w:lang w:eastAsia="en-US"/>
        </w:rPr>
        <w:t>Vláda aktualizuje metodiku posudzovania vplyvov legislatívy na podnikate</w:t>
      </w:r>
      <w:r w:rsidRPr="0035027D">
        <w:rPr>
          <w:rFonts w:eastAsia="Calibri" w:cs="Times New Roman"/>
          <w:lang w:eastAsia="en-US"/>
        </w:rPr>
        <w:t>ľ</w:t>
      </w:r>
      <w:r w:rsidRPr="0035027D">
        <w:rPr>
          <w:rFonts w:eastAsia="Calibri"/>
          <w:lang w:eastAsia="en-US"/>
        </w:rPr>
        <w:t>ské prostredie najmä vyu</w:t>
      </w:r>
      <w:r w:rsidRPr="0035027D">
        <w:rPr>
          <w:rFonts w:eastAsia="Calibri" w:cs="Times New Roman"/>
          <w:lang w:eastAsia="en-US"/>
        </w:rPr>
        <w:t>ž</w:t>
      </w:r>
      <w:r w:rsidRPr="0035027D">
        <w:rPr>
          <w:rFonts w:eastAsia="Calibri"/>
          <w:lang w:eastAsia="en-US"/>
        </w:rPr>
        <w:t>itím príkladov dobrej praxe uplat</w:t>
      </w:r>
      <w:r w:rsidRPr="0035027D">
        <w:rPr>
          <w:rFonts w:eastAsia="Calibri" w:cs="Times New Roman"/>
          <w:lang w:eastAsia="en-US"/>
        </w:rPr>
        <w:t>ň</w:t>
      </w:r>
      <w:r w:rsidRPr="0035027D">
        <w:rPr>
          <w:rFonts w:eastAsia="Calibri"/>
          <w:lang w:eastAsia="en-US"/>
        </w:rPr>
        <w:t>ovaných v iných krajinách vrátane zavedenia systému RIA (</w:t>
      </w:r>
      <w:proofErr w:type="spellStart"/>
      <w:r w:rsidRPr="0035027D">
        <w:rPr>
          <w:rFonts w:eastAsia="Calibri"/>
          <w:lang w:eastAsia="en-US"/>
        </w:rPr>
        <w:t>Regulatory</w:t>
      </w:r>
      <w:proofErr w:type="spellEnd"/>
      <w:r w:rsidRPr="0035027D">
        <w:rPr>
          <w:rFonts w:eastAsia="Calibri"/>
          <w:lang w:eastAsia="en-US"/>
        </w:rPr>
        <w:t xml:space="preserve"> </w:t>
      </w:r>
      <w:proofErr w:type="spellStart"/>
      <w:r w:rsidRPr="0035027D">
        <w:rPr>
          <w:rFonts w:eastAsia="Calibri"/>
          <w:lang w:eastAsia="en-US"/>
        </w:rPr>
        <w:t>Impact</w:t>
      </w:r>
      <w:proofErr w:type="spellEnd"/>
      <w:r w:rsidRPr="0035027D">
        <w:rPr>
          <w:rFonts w:eastAsia="Calibri"/>
          <w:lang w:eastAsia="en-US"/>
        </w:rPr>
        <w:t xml:space="preserve"> </w:t>
      </w:r>
      <w:proofErr w:type="spellStart"/>
      <w:r w:rsidRPr="0035027D">
        <w:rPr>
          <w:rFonts w:eastAsia="Calibri"/>
          <w:lang w:eastAsia="en-US"/>
        </w:rPr>
        <w:t>Assessment</w:t>
      </w:r>
      <w:proofErr w:type="spellEnd"/>
      <w:r w:rsidRPr="0035027D">
        <w:rPr>
          <w:rFonts w:eastAsia="Calibri"/>
          <w:lang w:eastAsia="en-US"/>
        </w:rPr>
        <w:t>) do procesu hodnotenia vplyvov prijímanej legislatívy.</w:t>
      </w:r>
      <w:r w:rsidRPr="0035027D">
        <w:t xml:space="preserve"> Dobudovaním analytických kapacít </w:t>
      </w:r>
      <w:r w:rsidR="00ED60EF" w:rsidRPr="0035027D">
        <w:t>s</w:t>
      </w:r>
      <w:r w:rsidRPr="0035027D">
        <w:t xml:space="preserve">a </w:t>
      </w:r>
      <w:r w:rsidRPr="0035027D">
        <w:rPr>
          <w:rFonts w:cs="Times New Roman"/>
        </w:rPr>
        <w:t>ď</w:t>
      </w:r>
      <w:r w:rsidRPr="0035027D">
        <w:t>alej zlepší kvalita predkladaných zákonov. Vláda sa zameria aj na existujúcu legislatívu. Prehodnotia sa transpozície vybraných európskych právnych aktov, ktoré zavádzajú zmeny s cie</w:t>
      </w:r>
      <w:r w:rsidRPr="0035027D">
        <w:rPr>
          <w:rFonts w:cs="Times New Roman"/>
        </w:rPr>
        <w:t>ľ</w:t>
      </w:r>
      <w:r w:rsidRPr="0035027D">
        <w:t>om zní</w:t>
      </w:r>
      <w:r w:rsidRPr="0035027D">
        <w:rPr>
          <w:rFonts w:cs="Times New Roman"/>
        </w:rPr>
        <w:t>ž</w:t>
      </w:r>
      <w:r w:rsidRPr="0035027D">
        <w:t>i</w:t>
      </w:r>
      <w:r w:rsidRPr="0035027D">
        <w:rPr>
          <w:rFonts w:cs="Times New Roman"/>
        </w:rPr>
        <w:t>ť</w:t>
      </w:r>
      <w:r w:rsidRPr="0035027D">
        <w:t xml:space="preserve"> administratívne </w:t>
      </w:r>
      <w:r w:rsidR="0091795F" w:rsidRPr="0035027D">
        <w:t>za</w:t>
      </w:r>
      <w:r w:rsidR="0091795F" w:rsidRPr="0035027D">
        <w:rPr>
          <w:rFonts w:cs="Times New Roman"/>
        </w:rPr>
        <w:t>ť</w:t>
      </w:r>
      <w:r w:rsidR="0091795F" w:rsidRPr="0035027D">
        <w:t>a</w:t>
      </w:r>
      <w:r w:rsidR="0091795F" w:rsidRPr="0035027D">
        <w:rPr>
          <w:rFonts w:cs="Times New Roman"/>
        </w:rPr>
        <w:t>ž</w:t>
      </w:r>
      <w:r w:rsidR="0091795F" w:rsidRPr="0035027D">
        <w:t>enie európskej legislatívy.</w:t>
      </w:r>
      <w:r w:rsidRPr="0035027D">
        <w:t xml:space="preserve"> Ministerstvo hospodárstva okrem toho spustí verejne dostupný portál pre nahlasovanie duplicitných informa</w:t>
      </w:r>
      <w:r w:rsidRPr="0035027D">
        <w:rPr>
          <w:rFonts w:cs="Times New Roman"/>
        </w:rPr>
        <w:t>č</w:t>
      </w:r>
      <w:r w:rsidRPr="0035027D">
        <w:t>ných povinností vyplývajúcich podnikate</w:t>
      </w:r>
      <w:r w:rsidRPr="0035027D">
        <w:rPr>
          <w:rFonts w:cs="Times New Roman"/>
        </w:rPr>
        <w:t>ľ</w:t>
      </w:r>
      <w:r w:rsidRPr="0035027D">
        <w:t xml:space="preserve">om z legislatívy. </w:t>
      </w:r>
      <w:r w:rsidR="008731B6" w:rsidRPr="0035027D">
        <w:t>V roku 2014 vláda znovu vyhodnotí náklady administratívnej zá</w:t>
      </w:r>
      <w:r w:rsidR="008731B6" w:rsidRPr="0035027D">
        <w:rPr>
          <w:rFonts w:cs="Times New Roman"/>
        </w:rPr>
        <w:t>ť</w:t>
      </w:r>
      <w:r w:rsidR="008731B6" w:rsidRPr="0035027D">
        <w:t>a</w:t>
      </w:r>
      <w:r w:rsidR="008731B6" w:rsidRPr="0035027D">
        <w:rPr>
          <w:rFonts w:cs="Times New Roman"/>
        </w:rPr>
        <w:t>ž</w:t>
      </w:r>
      <w:r w:rsidR="008731B6" w:rsidRPr="0035027D">
        <w:t>e na Slovensku.</w:t>
      </w:r>
    </w:p>
    <w:p w:rsidR="00514A75" w:rsidRPr="0035027D" w:rsidRDefault="00514A75" w:rsidP="007E70E1">
      <w:pPr>
        <w:spacing w:after="0"/>
      </w:pPr>
    </w:p>
    <w:p w:rsidR="007E70E1" w:rsidRPr="0035027D" w:rsidRDefault="007E70E1" w:rsidP="007E70E1">
      <w:pPr>
        <w:spacing w:after="0"/>
        <w:rPr>
          <w:b/>
          <w:i/>
        </w:rPr>
      </w:pPr>
      <w:r w:rsidRPr="0035027D">
        <w:rPr>
          <w:b/>
          <w:i/>
        </w:rPr>
        <w:t>Regulácia</w:t>
      </w:r>
    </w:p>
    <w:p w:rsidR="007E70E1" w:rsidRPr="0035027D" w:rsidRDefault="007E70E1" w:rsidP="007E70E1">
      <w:pPr>
        <w:spacing w:after="0"/>
      </w:pPr>
    </w:p>
    <w:p w:rsidR="007D3271" w:rsidRPr="0035027D" w:rsidRDefault="007D3271" w:rsidP="007D3271">
      <w:pPr>
        <w:spacing w:after="0"/>
      </w:pPr>
      <w:r w:rsidRPr="0035027D">
        <w:t>Vo viacerých odvetviach, ktoré boli tradi</w:t>
      </w:r>
      <w:r w:rsidRPr="0035027D">
        <w:rPr>
          <w:rFonts w:cs="Times New Roman"/>
        </w:rPr>
        <w:t>č</w:t>
      </w:r>
      <w:r w:rsidRPr="0035027D">
        <w:t>ne monopolné, sa v poslednom období za</w:t>
      </w:r>
      <w:r w:rsidRPr="0035027D">
        <w:rPr>
          <w:rFonts w:cs="Times New Roman"/>
        </w:rPr>
        <w:t>č</w:t>
      </w:r>
      <w:r w:rsidRPr="0035027D">
        <w:t>ína objavova</w:t>
      </w:r>
      <w:r w:rsidRPr="0035027D">
        <w:rPr>
          <w:rFonts w:cs="Times New Roman"/>
        </w:rPr>
        <w:t>ť</w:t>
      </w:r>
      <w:r w:rsidRPr="0035027D">
        <w:t xml:space="preserve"> konkurencia. Výraznejší nástup konkurencie bude pomáha</w:t>
      </w:r>
      <w:r w:rsidRPr="0035027D">
        <w:rPr>
          <w:rFonts w:cs="Times New Roman"/>
        </w:rPr>
        <w:t>ť</w:t>
      </w:r>
      <w:r w:rsidRPr="0035027D">
        <w:t xml:space="preserve"> zvyšova</w:t>
      </w:r>
      <w:r w:rsidRPr="0035027D">
        <w:rPr>
          <w:rFonts w:cs="Times New Roman"/>
        </w:rPr>
        <w:t>ť</w:t>
      </w:r>
      <w:r w:rsidRPr="0035027D">
        <w:t xml:space="preserve"> kvalitu slu</w:t>
      </w:r>
      <w:r w:rsidRPr="0035027D">
        <w:rPr>
          <w:rFonts w:cs="Times New Roman"/>
        </w:rPr>
        <w:t>ž</w:t>
      </w:r>
      <w:r w:rsidRPr="0035027D">
        <w:t>ieb a tla</w:t>
      </w:r>
      <w:r w:rsidRPr="0035027D">
        <w:rPr>
          <w:rFonts w:cs="Times New Roman"/>
        </w:rPr>
        <w:t>č</w:t>
      </w:r>
      <w:r w:rsidRPr="0035027D">
        <w:t>i</w:t>
      </w:r>
      <w:r w:rsidRPr="0035027D">
        <w:rPr>
          <w:rFonts w:cs="Times New Roman"/>
        </w:rPr>
        <w:t>ť</w:t>
      </w:r>
      <w:r w:rsidRPr="0035027D">
        <w:t xml:space="preserve"> na zni</w:t>
      </w:r>
      <w:r w:rsidRPr="0035027D">
        <w:rPr>
          <w:rFonts w:cs="Times New Roman"/>
        </w:rPr>
        <w:t>ž</w:t>
      </w:r>
      <w:r w:rsidRPr="0035027D">
        <w:t>ovanie cien v porovnaní s cenami monopolných subjektov. Vláda tento pozitívny trend podporí aj zadefinovaním spôsobov, akými by mali firmy zbiera</w:t>
      </w:r>
      <w:r w:rsidRPr="0035027D">
        <w:rPr>
          <w:rFonts w:cs="Times New Roman"/>
        </w:rPr>
        <w:t>ť</w:t>
      </w:r>
      <w:r w:rsidRPr="0035027D">
        <w:t>, spracováva</w:t>
      </w:r>
      <w:r w:rsidRPr="0035027D">
        <w:rPr>
          <w:rFonts w:cs="Times New Roman"/>
        </w:rPr>
        <w:t>ť</w:t>
      </w:r>
      <w:r w:rsidRPr="0035027D">
        <w:t xml:space="preserve"> a sprístup</w:t>
      </w:r>
      <w:r w:rsidRPr="0035027D">
        <w:rPr>
          <w:rFonts w:cs="Times New Roman"/>
        </w:rPr>
        <w:t>ň</w:t>
      </w:r>
      <w:r w:rsidRPr="0035027D">
        <w:t>ova</w:t>
      </w:r>
      <w:r w:rsidRPr="0035027D">
        <w:rPr>
          <w:rFonts w:cs="Times New Roman"/>
        </w:rPr>
        <w:t>ť</w:t>
      </w:r>
      <w:r w:rsidRPr="0035027D">
        <w:t xml:space="preserve"> informácie o kvalite, poplatkoch, celkových nákladoch a jednotkových cenách produktov. Súbe</w:t>
      </w:r>
      <w:r w:rsidRPr="0035027D">
        <w:rPr>
          <w:rFonts w:cs="Times New Roman"/>
        </w:rPr>
        <w:t>ž</w:t>
      </w:r>
      <w:r w:rsidRPr="0035027D">
        <w:t>ne vykoná analýzu potreby zní</w:t>
      </w:r>
      <w:r w:rsidRPr="0035027D">
        <w:rPr>
          <w:rFonts w:cs="Times New Roman"/>
        </w:rPr>
        <w:t>ž</w:t>
      </w:r>
      <w:r w:rsidRPr="0035027D">
        <w:t>enia regula</w:t>
      </w:r>
      <w:r w:rsidRPr="0035027D">
        <w:rPr>
          <w:rFonts w:cs="Times New Roman"/>
        </w:rPr>
        <w:t>č</w:t>
      </w:r>
      <w:r w:rsidRPr="0035027D">
        <w:t>ného za</w:t>
      </w:r>
      <w:r w:rsidRPr="0035027D">
        <w:rPr>
          <w:rFonts w:cs="Times New Roman"/>
        </w:rPr>
        <w:t>ť</w:t>
      </w:r>
      <w:r w:rsidRPr="0035027D">
        <w:t>a</w:t>
      </w:r>
      <w:r w:rsidRPr="0035027D">
        <w:rPr>
          <w:rFonts w:cs="Times New Roman"/>
        </w:rPr>
        <w:t>ž</w:t>
      </w:r>
      <w:r w:rsidRPr="0035027D">
        <w:t xml:space="preserve">enia a </w:t>
      </w:r>
      <w:r w:rsidRPr="0035027D">
        <w:rPr>
          <w:rFonts w:cs="Times New Roman"/>
        </w:rPr>
        <w:t>ď</w:t>
      </w:r>
      <w:r w:rsidRPr="0035027D">
        <w:t xml:space="preserve">alšej liberalizácie týchto trhov. </w:t>
      </w:r>
      <w:r w:rsidR="00DF11FB" w:rsidRPr="00DF11FB">
        <w:t>Ide napríklad o dodávku plynu, elektriny, telekomunikačných služieb, vrátane internetu a káblovej televízie, ale aj železničnej dopravy alebo poštových služieb</w:t>
      </w:r>
      <w:r w:rsidRPr="0035027D">
        <w:t xml:space="preserve">. V prípade potreby sa úpravou legislatívy </w:t>
      </w:r>
      <w:r w:rsidRPr="00DF11FB">
        <w:t>ď</w:t>
      </w:r>
      <w:r w:rsidRPr="0035027D">
        <w:t>alej zní</w:t>
      </w:r>
      <w:r w:rsidRPr="00DF11FB">
        <w:t>ž</w:t>
      </w:r>
      <w:r w:rsidRPr="0035027D">
        <w:t>ia bariéry pre vstup nových subjektov na tieto trhy. A naopak, tam, kde sa konkuren</w:t>
      </w:r>
      <w:r w:rsidRPr="00DF11FB">
        <w:t>č</w:t>
      </w:r>
      <w:r w:rsidRPr="0035027D">
        <w:t>né prostredie nedoká</w:t>
      </w:r>
      <w:r w:rsidRPr="00DF11FB">
        <w:t>ž</w:t>
      </w:r>
      <w:r w:rsidRPr="0035027D">
        <w:t>e vytvori</w:t>
      </w:r>
      <w:r w:rsidRPr="0035027D">
        <w:rPr>
          <w:rFonts w:cs="Times New Roman"/>
        </w:rPr>
        <w:t>ť</w:t>
      </w:r>
      <w:r w:rsidRPr="0035027D">
        <w:t>, bude vláda SR presadzova</w:t>
      </w:r>
      <w:r w:rsidRPr="0035027D">
        <w:rPr>
          <w:rFonts w:cs="Times New Roman"/>
        </w:rPr>
        <w:t>ť</w:t>
      </w:r>
      <w:r w:rsidRPr="0035027D">
        <w:t xml:space="preserve"> silnú a kvalitnú reguláciu zo strany štátu. Tá by mala zamedzi</w:t>
      </w:r>
      <w:r w:rsidRPr="0035027D">
        <w:rPr>
          <w:rFonts w:cs="Times New Roman"/>
        </w:rPr>
        <w:t>ť</w:t>
      </w:r>
      <w:r w:rsidRPr="0035027D">
        <w:t xml:space="preserve"> monopolným podnikom zneu</w:t>
      </w:r>
      <w:r w:rsidRPr="0035027D">
        <w:rPr>
          <w:rFonts w:cs="Times New Roman"/>
        </w:rPr>
        <w:t>ž</w:t>
      </w:r>
      <w:r w:rsidRPr="0035027D">
        <w:t>íva</w:t>
      </w:r>
      <w:r w:rsidRPr="0035027D">
        <w:rPr>
          <w:rFonts w:cs="Times New Roman"/>
        </w:rPr>
        <w:t>ť</w:t>
      </w:r>
      <w:r w:rsidRPr="0035027D">
        <w:t xml:space="preserve"> svoje dominantné postavenie na danom trhu na úkor ostatných podnikate</w:t>
      </w:r>
      <w:r w:rsidRPr="0035027D">
        <w:rPr>
          <w:rFonts w:cs="Times New Roman"/>
        </w:rPr>
        <w:t>ľ</w:t>
      </w:r>
      <w:r w:rsidRPr="0035027D">
        <w:t>ov a spotrebite</w:t>
      </w:r>
      <w:r w:rsidRPr="0035027D">
        <w:rPr>
          <w:rFonts w:cs="Times New Roman"/>
        </w:rPr>
        <w:t>ľ</w:t>
      </w:r>
      <w:r w:rsidRPr="0035027D">
        <w:t>ov.</w:t>
      </w:r>
    </w:p>
    <w:p w:rsidR="007E70E1" w:rsidRPr="0035027D" w:rsidRDefault="007E70E1" w:rsidP="00794D1F">
      <w:pPr>
        <w:spacing w:after="0"/>
      </w:pPr>
    </w:p>
    <w:p w:rsidR="007E70E1" w:rsidRPr="0035027D" w:rsidRDefault="007E70E1" w:rsidP="007E70E1">
      <w:pPr>
        <w:spacing w:after="0"/>
      </w:pPr>
      <w:r w:rsidRPr="0035027D">
        <w:t>Slobodné povolania sú v sú</w:t>
      </w:r>
      <w:r w:rsidRPr="0035027D">
        <w:rPr>
          <w:rFonts w:cs="Times New Roman"/>
        </w:rPr>
        <w:t>č</w:t>
      </w:r>
      <w:r w:rsidRPr="0035027D">
        <w:t xml:space="preserve">asnosti relatívne prísne regulované, </w:t>
      </w:r>
      <w:r w:rsidRPr="0035027D">
        <w:rPr>
          <w:rFonts w:cs="Times New Roman"/>
        </w:rPr>
        <w:t>č</w:t>
      </w:r>
      <w:r w:rsidRPr="0035027D">
        <w:t>o v niektorých prípadoch deformuje konkurenciu medzi poskytovate</w:t>
      </w:r>
      <w:r w:rsidRPr="0035027D">
        <w:rPr>
          <w:rFonts w:cs="Times New Roman"/>
        </w:rPr>
        <w:t>ľ</w:t>
      </w:r>
      <w:r w:rsidRPr="0035027D">
        <w:t>mi týchto slu</w:t>
      </w:r>
      <w:r w:rsidRPr="0035027D">
        <w:rPr>
          <w:rFonts w:cs="Times New Roman"/>
        </w:rPr>
        <w:t>ž</w:t>
      </w:r>
      <w:r w:rsidRPr="0035027D">
        <w:t>ieb. Je preto dôle</w:t>
      </w:r>
      <w:r w:rsidRPr="0035027D">
        <w:rPr>
          <w:rFonts w:cs="Times New Roman"/>
        </w:rPr>
        <w:t>ž</w:t>
      </w:r>
      <w:r w:rsidRPr="0035027D">
        <w:t>ité identifikova</w:t>
      </w:r>
      <w:r w:rsidRPr="0035027D">
        <w:rPr>
          <w:rFonts w:cs="Times New Roman"/>
        </w:rPr>
        <w:t>ť</w:t>
      </w:r>
      <w:r w:rsidRPr="0035027D">
        <w:t xml:space="preserve"> a odstráni</w:t>
      </w:r>
      <w:r w:rsidRPr="0035027D">
        <w:rPr>
          <w:rFonts w:cs="Times New Roman"/>
        </w:rPr>
        <w:t>ť</w:t>
      </w:r>
      <w:r w:rsidRPr="0035027D">
        <w:t xml:space="preserve"> tie neprimerané regulácie, ktoré predstavujú zbyto</w:t>
      </w:r>
      <w:r w:rsidRPr="0035027D">
        <w:rPr>
          <w:rFonts w:cs="Times New Roman"/>
        </w:rPr>
        <w:t>č</w:t>
      </w:r>
      <w:r w:rsidRPr="0035027D">
        <w:t>nú bariéru rozvoja hospodárskej sú</w:t>
      </w:r>
      <w:r w:rsidRPr="0035027D">
        <w:rPr>
          <w:rFonts w:cs="Times New Roman"/>
        </w:rPr>
        <w:t>ť</w:t>
      </w:r>
      <w:r w:rsidRPr="0035027D">
        <w:t>a</w:t>
      </w:r>
      <w:r w:rsidRPr="0035027D">
        <w:rPr>
          <w:rFonts w:cs="Times New Roman"/>
        </w:rPr>
        <w:t>ž</w:t>
      </w:r>
      <w:r w:rsidRPr="0035027D">
        <w:t xml:space="preserve">e, </w:t>
      </w:r>
      <w:r w:rsidRPr="0035027D">
        <w:rPr>
          <w:rFonts w:cs="Times New Roman"/>
        </w:rPr>
        <w:t>č</w:t>
      </w:r>
      <w:r w:rsidRPr="0035027D">
        <w:t>o negatívne vplýva na cenu a kvalitu poskytovaných slu</w:t>
      </w:r>
      <w:r w:rsidRPr="0035027D">
        <w:rPr>
          <w:rFonts w:cs="Times New Roman"/>
        </w:rPr>
        <w:t>ž</w:t>
      </w:r>
      <w:r w:rsidRPr="0035027D">
        <w:t xml:space="preserve">ieb. Tam, kde je to vhodné, </w:t>
      </w:r>
      <w:r w:rsidR="00C13DB9" w:rsidRPr="0035027D">
        <w:t>je pot</w:t>
      </w:r>
      <w:r w:rsidR="00445325" w:rsidRPr="0035027D">
        <w:t>r</w:t>
      </w:r>
      <w:r w:rsidR="00C13DB9" w:rsidRPr="0035027D">
        <w:t>e</w:t>
      </w:r>
      <w:r w:rsidR="00445325" w:rsidRPr="0035027D">
        <w:t>bné</w:t>
      </w:r>
      <w:r w:rsidRPr="0035027D">
        <w:t xml:space="preserve"> preskúma</w:t>
      </w:r>
      <w:r w:rsidRPr="0035027D">
        <w:rPr>
          <w:rFonts w:cs="Times New Roman"/>
        </w:rPr>
        <w:t>ť</w:t>
      </w:r>
      <w:r w:rsidRPr="0035027D">
        <w:t xml:space="preserve"> mo</w:t>
      </w:r>
      <w:r w:rsidRPr="0035027D">
        <w:rPr>
          <w:rFonts w:cs="Times New Roman"/>
        </w:rPr>
        <w:t>ž</w:t>
      </w:r>
      <w:r w:rsidRPr="0035027D">
        <w:t xml:space="preserve">nosti obmedzenia povinného </w:t>
      </w:r>
      <w:r w:rsidRPr="0035027D">
        <w:rPr>
          <w:rFonts w:cs="Times New Roman"/>
        </w:rPr>
        <w:t>č</w:t>
      </w:r>
      <w:r w:rsidRPr="0035027D">
        <w:t>lenstva v profesijných komorách</w:t>
      </w:r>
      <w:r w:rsidR="00C13DB9" w:rsidRPr="0035027D">
        <w:t>.</w:t>
      </w:r>
      <w:r w:rsidRPr="0035027D">
        <w:t xml:space="preserve"> Pri uvo</w:t>
      </w:r>
      <w:r w:rsidRPr="0035027D">
        <w:rPr>
          <w:rFonts w:cs="Times New Roman"/>
        </w:rPr>
        <w:t>ľň</w:t>
      </w:r>
      <w:r w:rsidRPr="0035027D">
        <w:t xml:space="preserve">ovaní pravidiel </w:t>
      </w:r>
      <w:r w:rsidR="00445325" w:rsidRPr="0035027D">
        <w:t xml:space="preserve">sa bude </w:t>
      </w:r>
      <w:r w:rsidRPr="0035027D">
        <w:t>dba</w:t>
      </w:r>
      <w:r w:rsidRPr="0035027D">
        <w:rPr>
          <w:rFonts w:cs="Times New Roman"/>
        </w:rPr>
        <w:t>ť</w:t>
      </w:r>
      <w:r w:rsidRPr="0035027D">
        <w:t xml:space="preserve"> na zachovanie po</w:t>
      </w:r>
      <w:r w:rsidRPr="0035027D">
        <w:rPr>
          <w:rFonts w:cs="Times New Roman"/>
        </w:rPr>
        <w:t>ž</w:t>
      </w:r>
      <w:r w:rsidRPr="0035027D">
        <w:t>adovaných kvalifika</w:t>
      </w:r>
      <w:r w:rsidRPr="0035027D">
        <w:rPr>
          <w:rFonts w:cs="Times New Roman"/>
        </w:rPr>
        <w:t>č</w:t>
      </w:r>
      <w:r w:rsidRPr="0035027D">
        <w:t>ných štandardov, na zabezpe</w:t>
      </w:r>
      <w:r w:rsidRPr="0035027D">
        <w:rPr>
          <w:rFonts w:cs="Times New Roman"/>
        </w:rPr>
        <w:t>č</w:t>
      </w:r>
      <w:r w:rsidRPr="0035027D">
        <w:t xml:space="preserve">enie kontroly kvality vykonávaných </w:t>
      </w:r>
      <w:r w:rsidRPr="0035027D">
        <w:rPr>
          <w:rFonts w:cs="Times New Roman"/>
        </w:rPr>
        <w:t>č</w:t>
      </w:r>
      <w:r w:rsidRPr="0035027D">
        <w:t>inností a na oc</w:t>
      </w:r>
      <w:r w:rsidR="00C13DB9" w:rsidRPr="0035027D">
        <w:t>hranu právom chránených záujmov</w:t>
      </w:r>
      <w:r w:rsidRPr="0035027D">
        <w:t>.</w:t>
      </w:r>
    </w:p>
    <w:p w:rsidR="007E70E1" w:rsidRPr="0035027D" w:rsidRDefault="007E70E1" w:rsidP="007E70E1">
      <w:pPr>
        <w:spacing w:after="0"/>
      </w:pPr>
    </w:p>
    <w:p w:rsidR="007E70E1" w:rsidRPr="0035027D" w:rsidRDefault="007E70E1" w:rsidP="007E70E1">
      <w:pPr>
        <w:spacing w:after="0"/>
        <w:rPr>
          <w:b/>
          <w:i/>
        </w:rPr>
      </w:pPr>
      <w:r w:rsidRPr="0035027D">
        <w:rPr>
          <w:b/>
          <w:i/>
        </w:rPr>
        <w:t>Transparentnosť podnikateľského prostredia</w:t>
      </w:r>
    </w:p>
    <w:p w:rsidR="007E70E1" w:rsidRPr="0035027D" w:rsidRDefault="007E70E1" w:rsidP="007E70E1">
      <w:pPr>
        <w:spacing w:after="0"/>
        <w:rPr>
          <w:b/>
          <w:i/>
        </w:rPr>
      </w:pPr>
    </w:p>
    <w:p w:rsidR="007E70E1" w:rsidRPr="0035027D" w:rsidRDefault="007E70E1" w:rsidP="007E70E1">
      <w:pPr>
        <w:spacing w:after="0"/>
      </w:pPr>
      <w:r w:rsidRPr="0035027D">
        <w:t>Zavedie sa elektronický insolven</w:t>
      </w:r>
      <w:r w:rsidRPr="0035027D">
        <w:rPr>
          <w:rFonts w:cs="Times New Roman"/>
        </w:rPr>
        <w:t>č</w:t>
      </w:r>
      <w:r w:rsidRPr="0035027D">
        <w:t xml:space="preserve">ný register, </w:t>
      </w:r>
      <w:r w:rsidRPr="0035027D">
        <w:rPr>
          <w:rFonts w:cs="Times New Roman"/>
        </w:rPr>
        <w:t>č</w:t>
      </w:r>
      <w:r w:rsidRPr="0035027D">
        <w:t>ím sa proces uspokojovania majetkových nárokov verite</w:t>
      </w:r>
      <w:r w:rsidRPr="0035027D">
        <w:rPr>
          <w:rFonts w:cs="Times New Roman"/>
        </w:rPr>
        <w:t>ľ</w:t>
      </w:r>
      <w:r w:rsidRPr="0035027D">
        <w:t>ov, medzi ktorými je v nezanedbate</w:t>
      </w:r>
      <w:r w:rsidRPr="0035027D">
        <w:rPr>
          <w:rFonts w:cs="Times New Roman"/>
        </w:rPr>
        <w:t>ľ</w:t>
      </w:r>
      <w:r w:rsidRPr="0035027D">
        <w:t>nej miere pravidelne štát a jeho inštitúcie, výrazne zefektívni, spreh</w:t>
      </w:r>
      <w:r w:rsidRPr="0035027D">
        <w:rPr>
          <w:rFonts w:cs="Times New Roman"/>
        </w:rPr>
        <w:t>ľ</w:t>
      </w:r>
      <w:r w:rsidRPr="0035027D">
        <w:t>adní a v neposlednom rade sa zabezpe</w:t>
      </w:r>
      <w:r w:rsidRPr="0035027D">
        <w:rPr>
          <w:rFonts w:cs="Times New Roman"/>
        </w:rPr>
        <w:t>č</w:t>
      </w:r>
      <w:r w:rsidRPr="0035027D">
        <w:t>í takmer úplná publicita informácií o celom procese a priebehu konkurzného konania. Výsledkom zavedenia registra v zahrani</w:t>
      </w:r>
      <w:r w:rsidRPr="0035027D">
        <w:rPr>
          <w:rFonts w:cs="Times New Roman"/>
        </w:rPr>
        <w:t>č</w:t>
      </w:r>
      <w:r w:rsidRPr="0035027D">
        <w:t>í bolo spravidla zvýšenie vý</w:t>
      </w:r>
      <w:r w:rsidRPr="0035027D">
        <w:rPr>
          <w:rFonts w:cs="Times New Roman"/>
        </w:rPr>
        <w:t>ť</w:t>
      </w:r>
      <w:r w:rsidRPr="0035027D">
        <w:t>a</w:t>
      </w:r>
      <w:r w:rsidRPr="0035027D">
        <w:rPr>
          <w:rFonts w:cs="Times New Roman"/>
        </w:rPr>
        <w:t>ž</w:t>
      </w:r>
      <w:r w:rsidRPr="0035027D">
        <w:t xml:space="preserve">nosti konkurzných konaní. </w:t>
      </w:r>
      <w:r w:rsidRPr="0035027D">
        <w:lastRenderedPageBreak/>
        <w:t>Novou právnou úpravou sa zavedú tie</w:t>
      </w:r>
      <w:r w:rsidRPr="0035027D">
        <w:rPr>
          <w:rFonts w:cs="Times New Roman"/>
        </w:rPr>
        <w:t>ž</w:t>
      </w:r>
      <w:r w:rsidRPr="0035027D">
        <w:t xml:space="preserve"> predvídate</w:t>
      </w:r>
      <w:r w:rsidRPr="0035027D">
        <w:rPr>
          <w:rFonts w:cs="Times New Roman"/>
        </w:rPr>
        <w:t>ľ</w:t>
      </w:r>
      <w:r w:rsidRPr="0035027D">
        <w:t>né a transparentné procesy s ukon</w:t>
      </w:r>
      <w:r w:rsidRPr="0035027D">
        <w:rPr>
          <w:rFonts w:cs="Times New Roman"/>
        </w:rPr>
        <w:t>č</w:t>
      </w:r>
      <w:r w:rsidRPr="0035027D">
        <w:t>ením podnikania a spresní sa zodpovednos</w:t>
      </w:r>
      <w:r w:rsidRPr="0035027D">
        <w:rPr>
          <w:rFonts w:cs="Times New Roman"/>
        </w:rPr>
        <w:t>ť</w:t>
      </w:r>
      <w:r w:rsidRPr="0035027D">
        <w:t xml:space="preserve"> </w:t>
      </w:r>
      <w:r w:rsidRPr="0035027D">
        <w:rPr>
          <w:rFonts w:cs="Times New Roman"/>
        </w:rPr>
        <w:t>č</w:t>
      </w:r>
      <w:r w:rsidRPr="0035027D">
        <w:t>lenov štatutárnych orgánov obchodných spolo</w:t>
      </w:r>
      <w:r w:rsidRPr="0035027D">
        <w:rPr>
          <w:rFonts w:cs="Times New Roman"/>
        </w:rPr>
        <w:t>č</w:t>
      </w:r>
      <w:r w:rsidRPr="0035027D">
        <w:t xml:space="preserve">ností, ktoré zanikajú. </w:t>
      </w:r>
    </w:p>
    <w:p w:rsidR="007E70E1" w:rsidRPr="0035027D" w:rsidRDefault="007E70E1" w:rsidP="007E70E1">
      <w:pPr>
        <w:spacing w:after="0"/>
      </w:pPr>
    </w:p>
    <w:p w:rsidR="007E70E1" w:rsidRPr="0035027D" w:rsidRDefault="007E70E1" w:rsidP="007E70E1">
      <w:pPr>
        <w:spacing w:after="0"/>
      </w:pPr>
      <w:r w:rsidRPr="0035027D">
        <w:t>Sú</w:t>
      </w:r>
      <w:r w:rsidRPr="0035027D">
        <w:rPr>
          <w:rFonts w:cs="Times New Roman"/>
        </w:rPr>
        <w:t>č</w:t>
      </w:r>
      <w:r w:rsidRPr="0035027D">
        <w:t>as</w:t>
      </w:r>
      <w:r w:rsidRPr="0035027D">
        <w:rPr>
          <w:rFonts w:cs="Times New Roman"/>
        </w:rPr>
        <w:t>ť</w:t>
      </w:r>
      <w:r w:rsidRPr="0035027D">
        <w:t xml:space="preserve">ou tejto iniciatívy bude </w:t>
      </w:r>
      <w:r w:rsidR="00790080" w:rsidRPr="0035027D">
        <w:t>zavedenie</w:t>
      </w:r>
      <w:r w:rsidRPr="0035027D">
        <w:t xml:space="preserve"> registra diskvalifikovaných osôb, ke</w:t>
      </w:r>
      <w:r w:rsidRPr="0035027D">
        <w:rPr>
          <w:rFonts w:cs="Times New Roman"/>
        </w:rPr>
        <w:t>ďž</w:t>
      </w:r>
      <w:r w:rsidRPr="0035027D">
        <w:t>e z dlhodobého h</w:t>
      </w:r>
      <w:r w:rsidRPr="0035027D">
        <w:rPr>
          <w:rFonts w:cs="Times New Roman"/>
        </w:rPr>
        <w:t>ľ</w:t>
      </w:r>
      <w:r w:rsidRPr="0035027D">
        <w:t>adiska sa ukazuje sú</w:t>
      </w:r>
      <w:r w:rsidRPr="0035027D">
        <w:rPr>
          <w:rFonts w:cs="Times New Roman"/>
        </w:rPr>
        <w:t>č</w:t>
      </w:r>
      <w:r w:rsidRPr="0035027D">
        <w:t xml:space="preserve">asné riešenie zodpovednosti štatutárnych orgánov, </w:t>
      </w:r>
      <w:r w:rsidRPr="0035027D">
        <w:rPr>
          <w:rFonts w:cs="Times New Roman"/>
        </w:rPr>
        <w:t>č</w:t>
      </w:r>
      <w:r w:rsidRPr="0035027D">
        <w:t>lenov štatutárnych a dozorných orgánov spolo</w:t>
      </w:r>
      <w:r w:rsidRPr="0035027D">
        <w:rPr>
          <w:rFonts w:cs="Times New Roman"/>
        </w:rPr>
        <w:t>č</w:t>
      </w:r>
      <w:r w:rsidRPr="0035027D">
        <w:t>ností ako nedostato</w:t>
      </w:r>
      <w:r w:rsidRPr="0035027D">
        <w:rPr>
          <w:rFonts w:cs="Times New Roman"/>
        </w:rPr>
        <w:t>č</w:t>
      </w:r>
      <w:r w:rsidRPr="0035027D">
        <w:t>né, najmä vzh</w:t>
      </w:r>
      <w:r w:rsidRPr="0035027D">
        <w:rPr>
          <w:rFonts w:cs="Times New Roman"/>
        </w:rPr>
        <w:t>ľ</w:t>
      </w:r>
      <w:r w:rsidRPr="0035027D">
        <w:t>adom na trendy zní</w:t>
      </w:r>
      <w:r w:rsidRPr="0035027D">
        <w:rPr>
          <w:rFonts w:cs="Times New Roman"/>
        </w:rPr>
        <w:t>ž</w:t>
      </w:r>
      <w:r w:rsidRPr="0035027D">
        <w:t>enej dôvery v i</w:t>
      </w:r>
      <w:r w:rsidR="00E70783" w:rsidRPr="0035027D">
        <w:t>nštitút základného imania, ktorý</w:t>
      </w:r>
      <w:r w:rsidRPr="0035027D">
        <w:t xml:space="preserve"> má plni</w:t>
      </w:r>
      <w:r w:rsidRPr="0035027D">
        <w:rPr>
          <w:rFonts w:cs="Times New Roman"/>
        </w:rPr>
        <w:t>ť</w:t>
      </w:r>
      <w:r w:rsidRPr="0035027D">
        <w:t xml:space="preserve"> úlohy vo vz</w:t>
      </w:r>
      <w:r w:rsidRPr="0035027D">
        <w:rPr>
          <w:rFonts w:cs="Times New Roman"/>
        </w:rPr>
        <w:t>ť</w:t>
      </w:r>
      <w:r w:rsidRPr="0035027D">
        <w:t>ahu k ochrane verite</w:t>
      </w:r>
      <w:r w:rsidRPr="0035027D">
        <w:rPr>
          <w:rFonts w:cs="Times New Roman"/>
        </w:rPr>
        <w:t>ľ</w:t>
      </w:r>
      <w:r w:rsidRPr="0035027D">
        <w:t>ov podnikate</w:t>
      </w:r>
      <w:r w:rsidRPr="0035027D">
        <w:rPr>
          <w:rFonts w:cs="Times New Roman"/>
        </w:rPr>
        <w:t>ľ</w:t>
      </w:r>
      <w:r w:rsidRPr="0035027D">
        <w:t>ských subjektov. Pri vytváraní registra diskvalifikácii sa bude vychádza</w:t>
      </w:r>
      <w:r w:rsidRPr="0035027D">
        <w:rPr>
          <w:rFonts w:cs="Times New Roman"/>
        </w:rPr>
        <w:t>ť</w:t>
      </w:r>
      <w:r w:rsidRPr="0035027D">
        <w:t xml:space="preserve"> výlu</w:t>
      </w:r>
      <w:r w:rsidRPr="0035027D">
        <w:rPr>
          <w:rFonts w:cs="Times New Roman"/>
        </w:rPr>
        <w:t>č</w:t>
      </w:r>
      <w:r w:rsidRPr="0035027D">
        <w:t>ne z objektívnych informácií, a to tak, aby sa zamedzilo mo</w:t>
      </w:r>
      <w:r w:rsidRPr="0035027D">
        <w:rPr>
          <w:rFonts w:cs="Times New Roman"/>
        </w:rPr>
        <w:t>ž</w:t>
      </w:r>
      <w:r w:rsidRPr="0035027D">
        <w:t xml:space="preserve">nosti, </w:t>
      </w:r>
      <w:r w:rsidRPr="0035027D">
        <w:rPr>
          <w:rFonts w:cs="Times New Roman"/>
        </w:rPr>
        <w:t>ž</w:t>
      </w:r>
      <w:r w:rsidRPr="0035027D">
        <w:t>e register postihne aj slušných podnikate</w:t>
      </w:r>
      <w:r w:rsidRPr="0035027D">
        <w:rPr>
          <w:rFonts w:cs="Times New Roman"/>
        </w:rPr>
        <w:t>ľ</w:t>
      </w:r>
      <w:r w:rsidRPr="0035027D">
        <w:t>ov.</w:t>
      </w:r>
    </w:p>
    <w:p w:rsidR="007E70E1" w:rsidRPr="0035027D" w:rsidRDefault="007E70E1" w:rsidP="007E70E1">
      <w:pPr>
        <w:spacing w:after="0"/>
        <w:rPr>
          <w:b/>
        </w:rPr>
      </w:pPr>
    </w:p>
    <w:p w:rsidR="00AB10F9" w:rsidRPr="0035027D" w:rsidRDefault="00AB10F9" w:rsidP="00AB10F9">
      <w:pPr>
        <w:spacing w:after="0"/>
      </w:pPr>
      <w:r w:rsidRPr="0035027D">
        <w:t>Vláda zabezpe</w:t>
      </w:r>
      <w:r w:rsidRPr="0035027D">
        <w:rPr>
          <w:rFonts w:cs="Times New Roman"/>
        </w:rPr>
        <w:t>č</w:t>
      </w:r>
      <w:r w:rsidRPr="0035027D">
        <w:t>í novelizáciu príslušných vykonávacích predpisov k zákonu o investi</w:t>
      </w:r>
      <w:r w:rsidRPr="0035027D">
        <w:rPr>
          <w:rFonts w:cs="Times New Roman"/>
        </w:rPr>
        <w:t>č</w:t>
      </w:r>
      <w:r w:rsidRPr="0035027D">
        <w:t>nej pomoci. Ich zámerom bude prostredníctvom rozšírenia povinných vstupných údajov vytvori</w:t>
      </w:r>
      <w:r w:rsidRPr="0035027D">
        <w:rPr>
          <w:rFonts w:cs="Times New Roman"/>
        </w:rPr>
        <w:t>ť</w:t>
      </w:r>
      <w:r w:rsidRPr="0035027D">
        <w:t xml:space="preserve"> nástroj, prostredníctvom ktorého sa výška štátnej pomoci stane predvídate</w:t>
      </w:r>
      <w:r w:rsidRPr="0035027D">
        <w:rPr>
          <w:rFonts w:cs="Times New Roman"/>
        </w:rPr>
        <w:t>ľ</w:t>
      </w:r>
      <w:r w:rsidRPr="0035027D">
        <w:t xml:space="preserve">nejšia v závislosti od objektívnych a vopred známych vstupných hodnôt. </w:t>
      </w:r>
      <w:proofErr w:type="spellStart"/>
      <w:r w:rsidRPr="0035027D">
        <w:t>Stransparentnenie</w:t>
      </w:r>
      <w:proofErr w:type="spellEnd"/>
      <w:r w:rsidRPr="0035027D">
        <w:t xml:space="preserve"> a zjednodušenie pravidiel umo</w:t>
      </w:r>
      <w:r w:rsidRPr="0035027D">
        <w:rPr>
          <w:rFonts w:cs="Times New Roman"/>
        </w:rPr>
        <w:t>ž</w:t>
      </w:r>
      <w:r w:rsidRPr="0035027D">
        <w:t>ní okrem iného zrýchli</w:t>
      </w:r>
      <w:r w:rsidRPr="0035027D">
        <w:rPr>
          <w:rFonts w:cs="Times New Roman"/>
        </w:rPr>
        <w:t>ť</w:t>
      </w:r>
      <w:r w:rsidRPr="0035027D">
        <w:t xml:space="preserve"> proces schválenia pomoci. Takýto postup zní</w:t>
      </w:r>
      <w:r w:rsidRPr="0035027D">
        <w:rPr>
          <w:rFonts w:cs="Times New Roman"/>
        </w:rPr>
        <w:t>ž</w:t>
      </w:r>
      <w:r w:rsidRPr="0035027D">
        <w:t>i riziko potenciálnych investorov a dosiahne tak rovnakú efektívnos</w:t>
      </w:r>
      <w:r w:rsidRPr="0035027D">
        <w:rPr>
          <w:rFonts w:cs="Times New Roman"/>
        </w:rPr>
        <w:t>ť</w:t>
      </w:r>
      <w:r w:rsidRPr="0035027D">
        <w:t xml:space="preserve"> podpory pri ni</w:t>
      </w:r>
      <w:r w:rsidRPr="0035027D">
        <w:rPr>
          <w:rFonts w:cs="Times New Roman"/>
        </w:rPr>
        <w:t>ž</w:t>
      </w:r>
      <w:r w:rsidRPr="0035027D">
        <w:t>ších nákladoch.</w:t>
      </w:r>
    </w:p>
    <w:p w:rsidR="00A9180E" w:rsidRPr="0035027D" w:rsidRDefault="00A9180E" w:rsidP="00794D1F">
      <w:pPr>
        <w:spacing w:after="0"/>
      </w:pPr>
    </w:p>
    <w:p w:rsidR="00EE411C" w:rsidRPr="0035027D" w:rsidRDefault="00EE411C" w:rsidP="00EE411C">
      <w:pPr>
        <w:spacing w:after="0"/>
        <w:rPr>
          <w:b/>
          <w:i/>
        </w:rPr>
      </w:pPr>
      <w:r w:rsidRPr="0035027D">
        <w:rPr>
          <w:b/>
          <w:i/>
        </w:rPr>
        <w:t>Stavebný zákon</w:t>
      </w:r>
    </w:p>
    <w:p w:rsidR="00EE411C" w:rsidRPr="0035027D" w:rsidRDefault="00EE411C" w:rsidP="00EE411C">
      <w:pPr>
        <w:spacing w:after="0"/>
      </w:pPr>
    </w:p>
    <w:p w:rsidR="00EE411C" w:rsidRPr="0035027D" w:rsidRDefault="00A9180E" w:rsidP="00EE411C">
      <w:pPr>
        <w:spacing w:after="0"/>
      </w:pPr>
      <w:r w:rsidRPr="0035027D">
        <w:t>Nový stavebný zákon</w:t>
      </w:r>
      <w:r w:rsidR="00EE411C" w:rsidRPr="0035027D">
        <w:t xml:space="preserve"> </w:t>
      </w:r>
      <w:r w:rsidRPr="0035027D">
        <w:t xml:space="preserve">bude </w:t>
      </w:r>
      <w:r w:rsidR="00EE411C" w:rsidRPr="0035027D">
        <w:t>komplexne rieši</w:t>
      </w:r>
      <w:r w:rsidR="00EE411C" w:rsidRPr="0035027D">
        <w:rPr>
          <w:rFonts w:cs="Times New Roman"/>
        </w:rPr>
        <w:t>ť</w:t>
      </w:r>
      <w:r w:rsidR="00EE411C" w:rsidRPr="0035027D">
        <w:t xml:space="preserve"> celú problematiku územného plánovania a stavebného poriadku. </w:t>
      </w:r>
      <w:r w:rsidRPr="0035027D">
        <w:t>Dôjde k zjednodušeniu a urýchleniu</w:t>
      </w:r>
      <w:r w:rsidR="00EE411C" w:rsidRPr="0035027D">
        <w:t xml:space="preserve"> povo</w:t>
      </w:r>
      <w:r w:rsidR="00EE411C" w:rsidRPr="0035027D">
        <w:rPr>
          <w:rFonts w:cs="Times New Roman"/>
        </w:rPr>
        <w:t>ľ</w:t>
      </w:r>
      <w:r w:rsidR="00EE411C" w:rsidRPr="0035027D">
        <w:t>ovac</w:t>
      </w:r>
      <w:r w:rsidRPr="0035027D">
        <w:t>ích</w:t>
      </w:r>
      <w:r w:rsidR="00EE411C" w:rsidRPr="0035027D">
        <w:t xml:space="preserve"> proces</w:t>
      </w:r>
      <w:r w:rsidRPr="0035027D">
        <w:t>ov</w:t>
      </w:r>
      <w:r w:rsidR="00EE411C" w:rsidRPr="0035027D">
        <w:t xml:space="preserve"> pri zachovaní kvality povo</w:t>
      </w:r>
      <w:r w:rsidR="00EE411C" w:rsidRPr="0035027D">
        <w:rPr>
          <w:rFonts w:cs="Times New Roman"/>
        </w:rPr>
        <w:t>ľ</w:t>
      </w:r>
      <w:r w:rsidR="00EE411C" w:rsidRPr="0035027D">
        <w:t xml:space="preserve">ovaných a realizovaných stavieb. </w:t>
      </w:r>
      <w:r w:rsidR="00EE411C" w:rsidRPr="0035027D">
        <w:rPr>
          <w:rFonts w:eastAsia="Calibri"/>
          <w:lang w:eastAsia="en-US"/>
        </w:rPr>
        <w:t>Najvýznamnejšou zmenou v územnom plánovaní bude povinnos</w:t>
      </w:r>
      <w:r w:rsidR="00EE411C" w:rsidRPr="0035027D">
        <w:rPr>
          <w:rFonts w:eastAsia="Calibri" w:cs="Times New Roman"/>
          <w:lang w:eastAsia="en-US"/>
        </w:rPr>
        <w:t>ť</w:t>
      </w:r>
      <w:r w:rsidR="00EE411C" w:rsidRPr="0035027D">
        <w:rPr>
          <w:rFonts w:eastAsia="Calibri"/>
          <w:lang w:eastAsia="en-US"/>
        </w:rPr>
        <w:t xml:space="preserve"> obcí </w:t>
      </w:r>
      <w:r w:rsidR="00EE411C" w:rsidRPr="0035027D">
        <w:t>ma</w:t>
      </w:r>
      <w:r w:rsidR="00EE411C" w:rsidRPr="0035027D">
        <w:rPr>
          <w:rFonts w:cs="Times New Roman"/>
        </w:rPr>
        <w:t>ť</w:t>
      </w:r>
      <w:r w:rsidR="00EE411C" w:rsidRPr="0035027D">
        <w:t xml:space="preserve"> územný plán bez oh</w:t>
      </w:r>
      <w:r w:rsidR="00EE411C" w:rsidRPr="0035027D">
        <w:rPr>
          <w:rFonts w:cs="Times New Roman"/>
        </w:rPr>
        <w:t>ľ</w:t>
      </w:r>
      <w:r w:rsidR="00EE411C" w:rsidRPr="0035027D">
        <w:t>adu na po</w:t>
      </w:r>
      <w:r w:rsidR="00EE411C" w:rsidRPr="0035027D">
        <w:rPr>
          <w:rFonts w:cs="Times New Roman"/>
        </w:rPr>
        <w:t>č</w:t>
      </w:r>
      <w:r w:rsidR="00EE411C" w:rsidRPr="0035027D">
        <w:t>et obyvate</w:t>
      </w:r>
      <w:r w:rsidR="00EE411C" w:rsidRPr="0035027D">
        <w:rPr>
          <w:rFonts w:cs="Times New Roman"/>
        </w:rPr>
        <w:t>ľ</w:t>
      </w:r>
      <w:r w:rsidR="00EE411C" w:rsidRPr="0035027D">
        <w:t>ov a ve</w:t>
      </w:r>
      <w:r w:rsidR="00EE411C" w:rsidRPr="0035027D">
        <w:rPr>
          <w:rFonts w:cs="Times New Roman"/>
        </w:rPr>
        <w:t>ľ</w:t>
      </w:r>
      <w:r w:rsidR="00EE411C" w:rsidRPr="0035027D">
        <w:t>kos</w:t>
      </w:r>
      <w:r w:rsidR="00EE411C" w:rsidRPr="0035027D">
        <w:rPr>
          <w:rFonts w:cs="Times New Roman"/>
        </w:rPr>
        <w:t>ť</w:t>
      </w:r>
      <w:r w:rsidR="00EE411C" w:rsidRPr="0035027D">
        <w:t xml:space="preserve"> obce. </w:t>
      </w:r>
    </w:p>
    <w:p w:rsidR="00CA4BCD" w:rsidRPr="0035027D" w:rsidRDefault="00CA4BCD" w:rsidP="00EA6BAC">
      <w:pPr>
        <w:spacing w:after="0"/>
      </w:pPr>
    </w:p>
    <w:p w:rsidR="00EA6BAC" w:rsidRPr="0035027D" w:rsidRDefault="00EA6BAC" w:rsidP="00EA6BAC">
      <w:pPr>
        <w:spacing w:after="0"/>
      </w:pPr>
    </w:p>
    <w:p w:rsidR="001B36FE" w:rsidRPr="0035027D" w:rsidRDefault="001B36FE" w:rsidP="009E3DC4">
      <w:pPr>
        <w:pStyle w:val="Nadpis3"/>
        <w:ind w:left="0" w:firstLine="0"/>
      </w:pPr>
      <w:bookmarkStart w:id="58" w:name="_Toc353563386"/>
      <w:r w:rsidRPr="0035027D">
        <w:t>Doprav</w:t>
      </w:r>
      <w:r w:rsidR="0042670B" w:rsidRPr="0035027D">
        <w:t>ná infraštruktúra</w:t>
      </w:r>
      <w:r w:rsidR="00151175" w:rsidRPr="0035027D">
        <w:t xml:space="preserve"> a telekomunikácie</w:t>
      </w:r>
      <w:bookmarkEnd w:id="58"/>
    </w:p>
    <w:p w:rsidR="00151175" w:rsidRPr="0035027D" w:rsidRDefault="00151175" w:rsidP="00151175">
      <w:pPr>
        <w:rPr>
          <w:lang w:eastAsia="en-US"/>
        </w:rPr>
      </w:pPr>
    </w:p>
    <w:p w:rsidR="00AF3723" w:rsidRPr="0035027D" w:rsidRDefault="00AF3723" w:rsidP="00AF3723">
      <w:pPr>
        <w:spacing w:after="0"/>
      </w:pPr>
      <w:r w:rsidRPr="0035027D">
        <w:t>Dynamika rozvoja ekonomiky na Slovensku si vy</w:t>
      </w:r>
      <w:r w:rsidRPr="0035027D">
        <w:rPr>
          <w:rFonts w:cs="Times New Roman"/>
        </w:rPr>
        <w:t>ž</w:t>
      </w:r>
      <w:r w:rsidRPr="0035027D">
        <w:t xml:space="preserve">aduje zodpovedajúci pokrok v budovaní dopravnej infraštruktúry. Jej </w:t>
      </w:r>
      <w:r w:rsidRPr="0035027D">
        <w:rPr>
          <w:rFonts w:cs="Times New Roman"/>
        </w:rPr>
        <w:t>ď</w:t>
      </w:r>
      <w:r w:rsidRPr="0035027D">
        <w:t>alší rozvoj predstavuje významný potenciál pre zni</w:t>
      </w:r>
      <w:r w:rsidRPr="0035027D">
        <w:rPr>
          <w:rFonts w:cs="Times New Roman"/>
        </w:rPr>
        <w:t>ž</w:t>
      </w:r>
      <w:r w:rsidRPr="0035027D">
        <w:t>ovanie medziregionálnych disparít, a tým aj rast a rozvoj zamestnanosti, najmä v regiónoch s vysokou nezamestnanos</w:t>
      </w:r>
      <w:r w:rsidRPr="0035027D">
        <w:rPr>
          <w:rFonts w:cs="Times New Roman"/>
        </w:rPr>
        <w:t>ť</w:t>
      </w:r>
      <w:r w:rsidRPr="0035027D">
        <w:t>ou na východe a juhu Slovenska. Dobrý stav cestnej a </w:t>
      </w:r>
      <w:r w:rsidRPr="0035027D">
        <w:rPr>
          <w:rFonts w:cs="Times New Roman"/>
        </w:rPr>
        <w:t>ž</w:t>
      </w:r>
      <w:r w:rsidRPr="0035027D">
        <w:t>elezni</w:t>
      </w:r>
      <w:r w:rsidRPr="0035027D">
        <w:rPr>
          <w:rFonts w:cs="Times New Roman"/>
        </w:rPr>
        <w:t>č</w:t>
      </w:r>
      <w:r w:rsidRPr="0035027D">
        <w:t>nej siete je dôle</w:t>
      </w:r>
      <w:r w:rsidRPr="0035027D">
        <w:rPr>
          <w:rFonts w:cs="Times New Roman"/>
        </w:rPr>
        <w:t>ž</w:t>
      </w:r>
      <w:r w:rsidRPr="0035027D">
        <w:t xml:space="preserve">itý pre zlepšenie </w:t>
      </w:r>
      <w:r w:rsidRPr="0035027D">
        <w:rPr>
          <w:rFonts w:cs="Times New Roman"/>
        </w:rPr>
        <w:t>č</w:t>
      </w:r>
      <w:r w:rsidRPr="0035027D">
        <w:t>asovej dostupnosti hospodárskych centier a sídel. Je jedným z k</w:t>
      </w:r>
      <w:r w:rsidRPr="0035027D">
        <w:rPr>
          <w:rFonts w:cs="Times New Roman"/>
        </w:rPr>
        <w:t>ľ</w:t>
      </w:r>
      <w:r w:rsidRPr="0035027D">
        <w:t>ú</w:t>
      </w:r>
      <w:r w:rsidRPr="0035027D">
        <w:rPr>
          <w:rFonts w:cs="Times New Roman"/>
        </w:rPr>
        <w:t>č</w:t>
      </w:r>
      <w:r w:rsidRPr="0035027D">
        <w:t xml:space="preserve">ových faktorov pre </w:t>
      </w:r>
      <w:r w:rsidRPr="0035027D">
        <w:rPr>
          <w:rFonts w:cs="Times New Roman"/>
        </w:rPr>
        <w:t>ď</w:t>
      </w:r>
      <w:r w:rsidRPr="0035027D">
        <w:t>alší rozvoj hospodárstva, ke</w:t>
      </w:r>
      <w:r w:rsidRPr="0035027D">
        <w:rPr>
          <w:rFonts w:cs="Times New Roman"/>
        </w:rPr>
        <w:t>ďž</w:t>
      </w:r>
      <w:r w:rsidRPr="0035027D">
        <w:t>e do zna</w:t>
      </w:r>
      <w:r w:rsidRPr="0035027D">
        <w:rPr>
          <w:rFonts w:cs="Times New Roman"/>
        </w:rPr>
        <w:t>č</w:t>
      </w:r>
      <w:r w:rsidRPr="0035027D">
        <w:t>nej miery ovplyv</w:t>
      </w:r>
      <w:r w:rsidRPr="0035027D">
        <w:rPr>
          <w:rFonts w:cs="Times New Roman"/>
        </w:rPr>
        <w:t>ň</w:t>
      </w:r>
      <w:r w:rsidRPr="0035027D">
        <w:t>uje aj mo</w:t>
      </w:r>
      <w:r w:rsidRPr="0035027D">
        <w:rPr>
          <w:rFonts w:cs="Times New Roman"/>
        </w:rPr>
        <w:t>ž</w:t>
      </w:r>
      <w:r w:rsidRPr="0035027D">
        <w:t>nosti zlepšenia konkurencieschopnosti slovenskej ekonomiky.</w:t>
      </w:r>
    </w:p>
    <w:p w:rsidR="00AF3723" w:rsidRPr="0035027D" w:rsidRDefault="00AF3723" w:rsidP="00AF3723">
      <w:pPr>
        <w:spacing w:after="0"/>
      </w:pPr>
    </w:p>
    <w:p w:rsidR="00AF3723" w:rsidRPr="0035027D" w:rsidRDefault="00AF3723" w:rsidP="00AF3723">
      <w:pPr>
        <w:spacing w:after="0"/>
      </w:pPr>
      <w:r w:rsidRPr="0035027D">
        <w:t>Pri raste intenzity cestnej dopravy je potrebné sa venova</w:t>
      </w:r>
      <w:r w:rsidRPr="0035027D">
        <w:rPr>
          <w:rFonts w:cs="Times New Roman"/>
        </w:rPr>
        <w:t>ť</w:t>
      </w:r>
      <w:r w:rsidRPr="0035027D">
        <w:t xml:space="preserve"> otázkam bezpe</w:t>
      </w:r>
      <w:r w:rsidRPr="0035027D">
        <w:rPr>
          <w:rFonts w:cs="Times New Roman"/>
        </w:rPr>
        <w:t>č</w:t>
      </w:r>
      <w:r w:rsidRPr="0035027D">
        <w:t>nosti a komfortu v osobnej doprave, ako aj alternatívnymi spôsobmi prepravy, ako sú verejná osobná a nemotorová doprava. Výzvou pre vládu SR je taktie</w:t>
      </w:r>
      <w:r w:rsidRPr="0035027D">
        <w:rPr>
          <w:rFonts w:cs="Times New Roman"/>
        </w:rPr>
        <w:t>ž</w:t>
      </w:r>
      <w:r w:rsidRPr="0035027D">
        <w:t xml:space="preserve"> riešenie negatívnych externalít cestnej dopravy – dopad na </w:t>
      </w:r>
      <w:r w:rsidRPr="0035027D">
        <w:rPr>
          <w:rFonts w:cs="Times New Roman"/>
        </w:rPr>
        <w:t>ž</w:t>
      </w:r>
      <w:r w:rsidRPr="0035027D">
        <w:t>ivotné prostredie a zdravie ob</w:t>
      </w:r>
      <w:r w:rsidRPr="0035027D">
        <w:rPr>
          <w:rFonts w:cs="Times New Roman"/>
        </w:rPr>
        <w:t>č</w:t>
      </w:r>
      <w:r w:rsidRPr="0035027D">
        <w:t>anov, najmä v prípadoch, kde dôle</w:t>
      </w:r>
      <w:r w:rsidRPr="0035027D">
        <w:rPr>
          <w:rFonts w:cs="Times New Roman"/>
        </w:rPr>
        <w:t>ž</w:t>
      </w:r>
      <w:r w:rsidRPr="0035027D">
        <w:t xml:space="preserve">ité dopravné </w:t>
      </w:r>
      <w:r w:rsidRPr="0035027D">
        <w:rPr>
          <w:rFonts w:cs="Times New Roman"/>
        </w:rPr>
        <w:t>ť</w:t>
      </w:r>
      <w:r w:rsidRPr="0035027D">
        <w:t>ahy prechádzajú intravilánmi obcí. Dosiahnutie týchto cie</w:t>
      </w:r>
      <w:r w:rsidRPr="0035027D">
        <w:rPr>
          <w:rFonts w:cs="Times New Roman"/>
        </w:rPr>
        <w:t>ľ</w:t>
      </w:r>
      <w:r w:rsidRPr="0035027D">
        <w:t>ov si vy</w:t>
      </w:r>
      <w:r w:rsidRPr="0035027D">
        <w:rPr>
          <w:rFonts w:cs="Times New Roman"/>
        </w:rPr>
        <w:t>ž</w:t>
      </w:r>
      <w:r w:rsidRPr="0035027D">
        <w:t>iada objektivizáciu procesu ur</w:t>
      </w:r>
      <w:r w:rsidRPr="0035027D">
        <w:rPr>
          <w:rFonts w:cs="Times New Roman"/>
        </w:rPr>
        <w:t>č</w:t>
      </w:r>
      <w:r w:rsidRPr="0035027D">
        <w:t>ovania priorít výstavby a vä</w:t>
      </w:r>
      <w:r w:rsidRPr="0035027D">
        <w:rPr>
          <w:rFonts w:cs="Times New Roman"/>
        </w:rPr>
        <w:t>č</w:t>
      </w:r>
      <w:r w:rsidRPr="0035027D">
        <w:t>ší tlak na efektívnos</w:t>
      </w:r>
      <w:r w:rsidRPr="0035027D">
        <w:rPr>
          <w:rFonts w:cs="Times New Roman"/>
        </w:rPr>
        <w:t>ť</w:t>
      </w:r>
      <w:r w:rsidRPr="0035027D">
        <w:t xml:space="preserve"> v celom procese investi</w:t>
      </w:r>
      <w:r w:rsidRPr="0035027D">
        <w:rPr>
          <w:rFonts w:cs="Times New Roman"/>
        </w:rPr>
        <w:t>č</w:t>
      </w:r>
      <w:r w:rsidRPr="0035027D">
        <w:t>nej prípravy a zabezpe</w:t>
      </w:r>
      <w:r w:rsidRPr="0035027D">
        <w:rPr>
          <w:rFonts w:cs="Times New Roman"/>
        </w:rPr>
        <w:t>č</w:t>
      </w:r>
      <w:r w:rsidRPr="0035027D">
        <w:t>enie efektívnejšej sú</w:t>
      </w:r>
      <w:r w:rsidRPr="0035027D">
        <w:rPr>
          <w:rFonts w:cs="Times New Roman"/>
        </w:rPr>
        <w:t>ť</w:t>
      </w:r>
      <w:r w:rsidRPr="0035027D">
        <w:t>a</w:t>
      </w:r>
      <w:r w:rsidRPr="0035027D">
        <w:rPr>
          <w:rFonts w:cs="Times New Roman"/>
        </w:rPr>
        <w:t>ž</w:t>
      </w:r>
      <w:r w:rsidRPr="0035027D">
        <w:t>e medzi zhotovite</w:t>
      </w:r>
      <w:r w:rsidRPr="0035027D">
        <w:rPr>
          <w:rFonts w:cs="Times New Roman"/>
        </w:rPr>
        <w:t>ľ</w:t>
      </w:r>
      <w:r w:rsidRPr="0035027D">
        <w:t xml:space="preserve">mi v procese transparentného obstarávania. </w:t>
      </w:r>
    </w:p>
    <w:p w:rsidR="00AF3723" w:rsidRPr="0035027D" w:rsidRDefault="00AF3723" w:rsidP="00AF3723">
      <w:pPr>
        <w:spacing w:after="0"/>
      </w:pPr>
    </w:p>
    <w:p w:rsidR="00AF3723" w:rsidRPr="0035027D" w:rsidRDefault="00ED17C8" w:rsidP="00AF3723">
      <w:pPr>
        <w:spacing w:after="0"/>
      </w:pPr>
      <w:r w:rsidRPr="0035027D">
        <w:t xml:space="preserve">Hlavnými opatreniami </w:t>
      </w:r>
      <w:r w:rsidR="00AF3723" w:rsidRPr="0035027D">
        <w:t>doprav</w:t>
      </w:r>
      <w:r w:rsidRPr="0035027D">
        <w:t>e</w:t>
      </w:r>
      <w:r w:rsidR="00AF3723" w:rsidRPr="0035027D">
        <w:t xml:space="preserve"> sú výstavba chýbajúcich úsekov dia</w:t>
      </w:r>
      <w:r w:rsidR="00AF3723" w:rsidRPr="0035027D">
        <w:rPr>
          <w:rFonts w:cs="Times New Roman"/>
        </w:rPr>
        <w:t>ľ</w:t>
      </w:r>
      <w:r w:rsidR="00AF3723" w:rsidRPr="0035027D">
        <w:t xml:space="preserve">nic a rýchlostných ciest, obnova ciest I. triedy, zlepšovanie </w:t>
      </w:r>
      <w:r w:rsidR="00AF3723" w:rsidRPr="0035027D">
        <w:rPr>
          <w:rFonts w:cs="Times New Roman"/>
        </w:rPr>
        <w:t>ď</w:t>
      </w:r>
      <w:r w:rsidR="00AF3723" w:rsidRPr="0035027D">
        <w:t>alších parametrov cestnej infraštruktúry v záujme vyššej bezpe</w:t>
      </w:r>
      <w:r w:rsidR="00AF3723" w:rsidRPr="0035027D">
        <w:rPr>
          <w:rFonts w:cs="Times New Roman"/>
        </w:rPr>
        <w:t>č</w:t>
      </w:r>
      <w:r w:rsidR="00AF3723" w:rsidRPr="0035027D">
        <w:t>nosti dopravy, zní</w:t>
      </w:r>
      <w:r w:rsidR="00AF3723" w:rsidRPr="0035027D">
        <w:rPr>
          <w:rFonts w:cs="Times New Roman"/>
        </w:rPr>
        <w:t>ž</w:t>
      </w:r>
      <w:r w:rsidR="00AF3723" w:rsidRPr="0035027D">
        <w:t>enie po</w:t>
      </w:r>
      <w:r w:rsidR="00AF3723" w:rsidRPr="0035027D">
        <w:rPr>
          <w:rFonts w:cs="Times New Roman"/>
        </w:rPr>
        <w:t>č</w:t>
      </w:r>
      <w:r w:rsidR="00AF3723" w:rsidRPr="0035027D">
        <w:t xml:space="preserve">tu vozidiel </w:t>
      </w:r>
      <w:proofErr w:type="spellStart"/>
      <w:r w:rsidR="00AF3723" w:rsidRPr="0035027D">
        <w:t>tranzitujúcich</w:t>
      </w:r>
      <w:proofErr w:type="spellEnd"/>
      <w:r w:rsidR="00AF3723" w:rsidRPr="0035027D">
        <w:t xml:space="preserve"> cez mestá a obce a modernizácia </w:t>
      </w:r>
      <w:r w:rsidR="00AF3723" w:rsidRPr="0035027D">
        <w:rPr>
          <w:rFonts w:cs="Times New Roman"/>
        </w:rPr>
        <w:t>ž</w:t>
      </w:r>
      <w:r w:rsidR="00AF3723" w:rsidRPr="0035027D">
        <w:t>elezni</w:t>
      </w:r>
      <w:r w:rsidR="00AF3723" w:rsidRPr="0035027D">
        <w:rPr>
          <w:rFonts w:cs="Times New Roman"/>
        </w:rPr>
        <w:t>č</w:t>
      </w:r>
      <w:r w:rsidR="00AF3723" w:rsidRPr="0035027D">
        <w:t>ných koridorov. Tieto opatrenia sú aj sú</w:t>
      </w:r>
      <w:r w:rsidR="00AF3723" w:rsidRPr="0035027D">
        <w:rPr>
          <w:rFonts w:cs="Times New Roman"/>
        </w:rPr>
        <w:t>č</w:t>
      </w:r>
      <w:r w:rsidR="00AF3723" w:rsidRPr="0035027D">
        <w:t>as</w:t>
      </w:r>
      <w:r w:rsidR="00AF3723" w:rsidRPr="0035027D">
        <w:rPr>
          <w:rFonts w:cs="Times New Roman"/>
        </w:rPr>
        <w:t>ť</w:t>
      </w:r>
      <w:r w:rsidR="00AF3723" w:rsidRPr="0035027D">
        <w:t>ou pripravovaného Strategického plánu rozvoja dopravnej infraštruktúry do roku 2020, ktorý bude dôle</w:t>
      </w:r>
      <w:r w:rsidR="00AF3723" w:rsidRPr="0035027D">
        <w:rPr>
          <w:rFonts w:cs="Times New Roman"/>
        </w:rPr>
        <w:t>ž</w:t>
      </w:r>
      <w:r w:rsidR="00AF3723" w:rsidRPr="0035027D">
        <w:t xml:space="preserve">itým podkladom pre </w:t>
      </w:r>
      <w:r w:rsidR="00AF3723" w:rsidRPr="0035027D">
        <w:rPr>
          <w:rFonts w:cs="Times New Roman"/>
        </w:rPr>
        <w:t>č</w:t>
      </w:r>
      <w:r w:rsidR="00AF3723" w:rsidRPr="0035027D">
        <w:t>erpanie fondov EÚ v programovom období 2014 a</w:t>
      </w:r>
      <w:r w:rsidR="00AF3723" w:rsidRPr="0035027D">
        <w:rPr>
          <w:rFonts w:cs="Times New Roman"/>
        </w:rPr>
        <w:t>ž</w:t>
      </w:r>
      <w:r w:rsidR="00AF3723" w:rsidRPr="0035027D">
        <w:t xml:space="preserve"> 2020. Viac pozornosti je potrebné venova</w:t>
      </w:r>
      <w:r w:rsidR="00AF3723" w:rsidRPr="0035027D">
        <w:rPr>
          <w:rFonts w:cs="Times New Roman"/>
        </w:rPr>
        <w:t>ť</w:t>
      </w:r>
      <w:r w:rsidR="00AF3723" w:rsidRPr="0035027D">
        <w:t xml:space="preserve"> zefektívneniu fungovania verejnej osobnej dopravy, vrátane podpory integrovaných dopravných systémov. Do popredia by sa mali dosta</w:t>
      </w:r>
      <w:r w:rsidR="00AF3723" w:rsidRPr="0035027D">
        <w:rPr>
          <w:rFonts w:cs="Times New Roman"/>
        </w:rPr>
        <w:t>ť</w:t>
      </w:r>
      <w:r w:rsidR="00AF3723" w:rsidRPr="0035027D">
        <w:t xml:space="preserve"> aj otázky trvalo udr</w:t>
      </w:r>
      <w:r w:rsidR="00AF3723" w:rsidRPr="0035027D">
        <w:rPr>
          <w:rFonts w:cs="Times New Roman"/>
        </w:rPr>
        <w:t>ž</w:t>
      </w:r>
      <w:r w:rsidR="00AF3723" w:rsidRPr="0035027D">
        <w:t>ate</w:t>
      </w:r>
      <w:r w:rsidR="00AF3723" w:rsidRPr="0035027D">
        <w:rPr>
          <w:rFonts w:cs="Times New Roman"/>
        </w:rPr>
        <w:t>ľ</w:t>
      </w:r>
      <w:r w:rsidR="00AF3723" w:rsidRPr="0035027D">
        <w:t xml:space="preserve">nej mestskej mobility. V telekomunikáciách </w:t>
      </w:r>
      <w:r w:rsidRPr="0035027D">
        <w:t xml:space="preserve">sa </w:t>
      </w:r>
      <w:r w:rsidR="00AF3723" w:rsidRPr="0035027D">
        <w:t>spoplatn</w:t>
      </w:r>
      <w:r w:rsidRPr="0035027D">
        <w:t>í</w:t>
      </w:r>
      <w:r w:rsidR="00AF3723" w:rsidRPr="0035027D">
        <w:t xml:space="preserve"> vyu</w:t>
      </w:r>
      <w:r w:rsidR="00AF3723" w:rsidRPr="0035027D">
        <w:rPr>
          <w:rFonts w:cs="Times New Roman"/>
        </w:rPr>
        <w:t>ž</w:t>
      </w:r>
      <w:r w:rsidR="00AF3723" w:rsidRPr="0035027D">
        <w:t>ívani</w:t>
      </w:r>
      <w:r w:rsidRPr="0035027D">
        <w:t>e</w:t>
      </w:r>
      <w:r w:rsidR="00AF3723" w:rsidRPr="0035027D">
        <w:t xml:space="preserve"> frekven</w:t>
      </w:r>
      <w:r w:rsidR="00AF3723" w:rsidRPr="0035027D">
        <w:rPr>
          <w:rFonts w:cs="Times New Roman"/>
        </w:rPr>
        <w:t>č</w:t>
      </w:r>
      <w:r w:rsidR="00AF3723" w:rsidRPr="0035027D">
        <w:t>ných pásiem v telekomunika</w:t>
      </w:r>
      <w:r w:rsidR="00AF3723" w:rsidRPr="0035027D">
        <w:rPr>
          <w:rFonts w:cs="Times New Roman"/>
        </w:rPr>
        <w:t>č</w:t>
      </w:r>
      <w:r w:rsidR="00AF3723" w:rsidRPr="0035027D">
        <w:t>ných slu</w:t>
      </w:r>
      <w:r w:rsidR="00AF3723" w:rsidRPr="0035027D">
        <w:rPr>
          <w:rFonts w:cs="Times New Roman"/>
        </w:rPr>
        <w:t>ž</w:t>
      </w:r>
      <w:r w:rsidR="00AF3723" w:rsidRPr="0035027D">
        <w:t xml:space="preserve">bách. </w:t>
      </w:r>
    </w:p>
    <w:p w:rsidR="00AF3723" w:rsidRPr="0035027D" w:rsidRDefault="00AF3723" w:rsidP="00AF3723">
      <w:pPr>
        <w:spacing w:after="0"/>
        <w:rPr>
          <w:b/>
        </w:rPr>
      </w:pPr>
    </w:p>
    <w:p w:rsidR="00AF3723" w:rsidRPr="0035027D" w:rsidRDefault="00AF3723" w:rsidP="00AF3723">
      <w:pPr>
        <w:spacing w:after="0"/>
        <w:rPr>
          <w:b/>
        </w:rPr>
      </w:pPr>
      <w:r w:rsidRPr="0035027D">
        <w:rPr>
          <w:b/>
        </w:rPr>
        <w:t>Cestná a železničná infraštruktúra</w:t>
      </w:r>
    </w:p>
    <w:p w:rsidR="00AF3723" w:rsidRPr="0035027D" w:rsidRDefault="00AF3723" w:rsidP="00AF3723">
      <w:pPr>
        <w:spacing w:after="0"/>
      </w:pPr>
    </w:p>
    <w:p w:rsidR="00ED17C8" w:rsidRPr="0035027D" w:rsidRDefault="00AF3723" w:rsidP="00ED17C8">
      <w:pPr>
        <w:spacing w:after="0"/>
      </w:pPr>
      <w:r w:rsidRPr="0035027D">
        <w:t>Nutnos</w:t>
      </w:r>
      <w:r w:rsidRPr="0035027D">
        <w:rPr>
          <w:rFonts w:cs="Times New Roman"/>
        </w:rPr>
        <w:t>ť</w:t>
      </w:r>
      <w:r w:rsidRPr="0035027D">
        <w:t xml:space="preserve"> </w:t>
      </w:r>
      <w:proofErr w:type="spellStart"/>
      <w:r w:rsidRPr="0035027D">
        <w:t>zlepšo</w:t>
      </w:r>
      <w:r w:rsidR="00ED17C8" w:rsidRPr="0035027D">
        <w:rPr>
          <w:rFonts w:cs="Times New Roman"/>
        </w:rPr>
        <w:t>ť</w:t>
      </w:r>
      <w:proofErr w:type="spellEnd"/>
      <w:r w:rsidRPr="0035027D">
        <w:t xml:space="preserve"> stav cestnej a </w:t>
      </w:r>
      <w:r w:rsidRPr="0035027D">
        <w:rPr>
          <w:rFonts w:cs="Times New Roman"/>
        </w:rPr>
        <w:t>ž</w:t>
      </w:r>
      <w:r w:rsidRPr="0035027D">
        <w:t>elezni</w:t>
      </w:r>
      <w:r w:rsidRPr="0035027D">
        <w:rPr>
          <w:rFonts w:cs="Times New Roman"/>
        </w:rPr>
        <w:t>č</w:t>
      </w:r>
      <w:r w:rsidRPr="0035027D">
        <w:t>nej infraštruktúry na Slovensku sa odrá</w:t>
      </w:r>
      <w:r w:rsidRPr="0035027D">
        <w:rPr>
          <w:rFonts w:cs="Times New Roman"/>
        </w:rPr>
        <w:t>ž</w:t>
      </w:r>
      <w:r w:rsidRPr="0035027D">
        <w:t xml:space="preserve">a v raste zdrojov na jej rozvoj. </w:t>
      </w:r>
      <w:r w:rsidR="00ED17C8" w:rsidRPr="0035027D">
        <w:t>V roku</w:t>
      </w:r>
      <w:r w:rsidRPr="0035027D">
        <w:t xml:space="preserve"> 2013 je na cestnú aj </w:t>
      </w:r>
      <w:r w:rsidRPr="0035027D">
        <w:rPr>
          <w:rFonts w:cs="Times New Roman"/>
        </w:rPr>
        <w:t>ž</w:t>
      </w:r>
      <w:r w:rsidRPr="0035027D">
        <w:t>elezni</w:t>
      </w:r>
      <w:r w:rsidRPr="0035027D">
        <w:rPr>
          <w:rFonts w:cs="Times New Roman"/>
        </w:rPr>
        <w:t>č</w:t>
      </w:r>
      <w:r w:rsidRPr="0035027D">
        <w:t>nú dopravu v rozpo</w:t>
      </w:r>
      <w:r w:rsidRPr="0035027D">
        <w:rPr>
          <w:rFonts w:cs="Times New Roman"/>
        </w:rPr>
        <w:t>č</w:t>
      </w:r>
      <w:r w:rsidRPr="0035027D">
        <w:t>te alokovaná najvyššia suma v histórií, a to aj v</w:t>
      </w:r>
      <w:r w:rsidRPr="0035027D">
        <w:rPr>
          <w:rFonts w:cs="Times New Roman"/>
        </w:rPr>
        <w:t>ď</w:t>
      </w:r>
      <w:r w:rsidRPr="0035027D">
        <w:t>aka markantnému podielu eurofondov.</w:t>
      </w:r>
      <w:r w:rsidR="00ED17C8" w:rsidRPr="0035027D">
        <w:t xml:space="preserve"> Hlavné oblasti nárastu zdrojov v cestnej doprave zodpovedajú prioritným </w:t>
      </w:r>
      <w:r w:rsidR="00ED17C8" w:rsidRPr="0035027D">
        <w:lastRenderedPageBreak/>
        <w:t>problémom - okrem výstavby dia</w:t>
      </w:r>
      <w:r w:rsidR="00ED17C8" w:rsidRPr="0035027D">
        <w:rPr>
          <w:rFonts w:cs="Times New Roman"/>
        </w:rPr>
        <w:t>ľ</w:t>
      </w:r>
      <w:r w:rsidR="00ED17C8" w:rsidRPr="0035027D">
        <w:t>nic a rýchlostných ciest a modernizácie a výstavby ciest prvej triedy sú situované aj do modernizácie a rekonštrukcie kritických a potenciálne nebezpe</w:t>
      </w:r>
      <w:r w:rsidR="00ED17C8" w:rsidRPr="0035027D">
        <w:rPr>
          <w:rFonts w:cs="Times New Roman"/>
        </w:rPr>
        <w:t>č</w:t>
      </w:r>
      <w:r w:rsidR="00ED17C8" w:rsidRPr="0035027D">
        <w:t>ných úsekov cestnej siete (napr. mostov a kri</w:t>
      </w:r>
      <w:r w:rsidR="00ED17C8" w:rsidRPr="0035027D">
        <w:rPr>
          <w:rFonts w:cs="Times New Roman"/>
        </w:rPr>
        <w:t>ž</w:t>
      </w:r>
      <w:r w:rsidR="00ED17C8" w:rsidRPr="0035027D">
        <w:t>ovatiek).</w:t>
      </w:r>
    </w:p>
    <w:p w:rsidR="00AF3723" w:rsidRPr="0035027D" w:rsidRDefault="00AF3723" w:rsidP="00AF3723">
      <w:pPr>
        <w:spacing w:after="0"/>
      </w:pPr>
    </w:p>
    <w:tbl>
      <w:tblPr>
        <w:tblStyle w:val="Mriekatabuky"/>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236"/>
        <w:gridCol w:w="4442"/>
      </w:tblGrid>
      <w:tr w:rsidR="00AF3723" w:rsidRPr="0035027D" w:rsidTr="00D4235C">
        <w:tc>
          <w:tcPr>
            <w:tcW w:w="4536" w:type="dxa"/>
            <w:shd w:val="clear" w:color="auto" w:fill="000000" w:themeFill="text1"/>
          </w:tcPr>
          <w:p w:rsidR="00AF3723" w:rsidRPr="0035027D" w:rsidRDefault="00D4235C" w:rsidP="003676EE">
            <w:pPr>
              <w:spacing w:after="0"/>
              <w:rPr>
                <w:b/>
                <w:color w:val="FFFFFF" w:themeColor="background1"/>
                <w:sz w:val="18"/>
                <w:szCs w:val="20"/>
              </w:rPr>
            </w:pPr>
            <w:r w:rsidRPr="0035027D">
              <w:rPr>
                <w:b/>
                <w:color w:val="FFFFFF" w:themeColor="background1"/>
                <w:sz w:val="18"/>
                <w:szCs w:val="20"/>
              </w:rPr>
              <w:t xml:space="preserve">Graf 15: </w:t>
            </w:r>
            <w:r w:rsidR="00AF3723" w:rsidRPr="0035027D">
              <w:rPr>
                <w:b/>
                <w:color w:val="FFFFFF" w:themeColor="background1"/>
                <w:sz w:val="18"/>
                <w:szCs w:val="20"/>
              </w:rPr>
              <w:t>Výdavky na cestnú infraštruktúru (v mil. eur)</w:t>
            </w:r>
          </w:p>
        </w:tc>
        <w:tc>
          <w:tcPr>
            <w:tcW w:w="236" w:type="dxa"/>
          </w:tcPr>
          <w:p w:rsidR="00AF3723" w:rsidRPr="0035027D" w:rsidRDefault="00AF3723" w:rsidP="003676EE">
            <w:pPr>
              <w:spacing w:after="0"/>
              <w:rPr>
                <w:color w:val="FFFFFF" w:themeColor="background1"/>
                <w:sz w:val="18"/>
                <w:szCs w:val="20"/>
              </w:rPr>
            </w:pPr>
          </w:p>
        </w:tc>
        <w:tc>
          <w:tcPr>
            <w:tcW w:w="4442" w:type="dxa"/>
            <w:shd w:val="clear" w:color="auto" w:fill="000000" w:themeFill="text1"/>
          </w:tcPr>
          <w:p w:rsidR="00AF3723" w:rsidRPr="0035027D" w:rsidRDefault="00D4235C" w:rsidP="003676EE">
            <w:pPr>
              <w:spacing w:after="0"/>
              <w:rPr>
                <w:b/>
                <w:color w:val="FFFFFF" w:themeColor="background1"/>
                <w:sz w:val="18"/>
                <w:szCs w:val="20"/>
              </w:rPr>
            </w:pPr>
            <w:r w:rsidRPr="0035027D">
              <w:rPr>
                <w:b/>
                <w:color w:val="FFFFFF" w:themeColor="background1"/>
                <w:sz w:val="18"/>
                <w:szCs w:val="20"/>
              </w:rPr>
              <w:t xml:space="preserve">Graf 16: </w:t>
            </w:r>
            <w:r w:rsidR="00AF3723" w:rsidRPr="0035027D">
              <w:rPr>
                <w:b/>
                <w:color w:val="FFFFFF" w:themeColor="background1"/>
                <w:sz w:val="18"/>
                <w:szCs w:val="20"/>
              </w:rPr>
              <w:t>Výdavky na výstavbu </w:t>
            </w:r>
            <w:proofErr w:type="spellStart"/>
            <w:r w:rsidR="00AF3723" w:rsidRPr="0035027D">
              <w:rPr>
                <w:b/>
                <w:color w:val="FFFFFF" w:themeColor="background1"/>
                <w:sz w:val="18"/>
                <w:szCs w:val="20"/>
              </w:rPr>
              <w:t>žel</w:t>
            </w:r>
            <w:proofErr w:type="spellEnd"/>
            <w:r w:rsidR="00AF3723" w:rsidRPr="0035027D">
              <w:rPr>
                <w:b/>
                <w:color w:val="FFFFFF" w:themeColor="background1"/>
                <w:sz w:val="18"/>
                <w:szCs w:val="20"/>
              </w:rPr>
              <w:t>. infraštruktúry (v mil. eur)</w:t>
            </w:r>
          </w:p>
        </w:tc>
      </w:tr>
      <w:tr w:rsidR="00AF3723" w:rsidRPr="0035027D" w:rsidTr="00D4235C">
        <w:tc>
          <w:tcPr>
            <w:tcW w:w="4536" w:type="dxa"/>
            <w:tcBorders>
              <w:bottom w:val="single" w:sz="4" w:space="0" w:color="auto"/>
            </w:tcBorders>
          </w:tcPr>
          <w:p w:rsidR="00AF3723" w:rsidRPr="0035027D" w:rsidRDefault="00AF3723" w:rsidP="003676EE">
            <w:pPr>
              <w:spacing w:after="0"/>
            </w:pPr>
            <w:r w:rsidRPr="0035027D">
              <w:rPr>
                <w:noProof/>
              </w:rPr>
              <w:drawing>
                <wp:inline distT="0" distB="0" distL="0" distR="0" wp14:anchorId="5984A3C8" wp14:editId="508C1E66">
                  <wp:extent cx="2688590" cy="1993265"/>
                  <wp:effectExtent l="0" t="0" r="0" b="6985"/>
                  <wp:docPr id="295" name="Obrázok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88590" cy="1993265"/>
                          </a:xfrm>
                          <a:prstGeom prst="rect">
                            <a:avLst/>
                          </a:prstGeom>
                          <a:noFill/>
                        </pic:spPr>
                      </pic:pic>
                    </a:graphicData>
                  </a:graphic>
                </wp:inline>
              </w:drawing>
            </w:r>
          </w:p>
        </w:tc>
        <w:tc>
          <w:tcPr>
            <w:tcW w:w="236" w:type="dxa"/>
          </w:tcPr>
          <w:p w:rsidR="00AF3723" w:rsidRPr="0035027D" w:rsidRDefault="00AF3723" w:rsidP="003676EE">
            <w:pPr>
              <w:spacing w:after="0"/>
            </w:pPr>
          </w:p>
        </w:tc>
        <w:tc>
          <w:tcPr>
            <w:tcW w:w="4442" w:type="dxa"/>
            <w:tcBorders>
              <w:bottom w:val="single" w:sz="4" w:space="0" w:color="auto"/>
            </w:tcBorders>
          </w:tcPr>
          <w:p w:rsidR="00AF3723" w:rsidRPr="0035027D" w:rsidRDefault="00AF3723" w:rsidP="003676EE">
            <w:pPr>
              <w:spacing w:after="0"/>
            </w:pPr>
            <w:r w:rsidRPr="0035027D">
              <w:rPr>
                <w:noProof/>
              </w:rPr>
              <w:drawing>
                <wp:inline distT="0" distB="0" distL="0" distR="0" wp14:anchorId="2A771ABA" wp14:editId="36492C16">
                  <wp:extent cx="2711806" cy="1938528"/>
                  <wp:effectExtent l="0" t="0" r="0" b="5080"/>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13647" cy="1939844"/>
                          </a:xfrm>
                          <a:prstGeom prst="rect">
                            <a:avLst/>
                          </a:prstGeom>
                          <a:noFill/>
                        </pic:spPr>
                      </pic:pic>
                    </a:graphicData>
                  </a:graphic>
                </wp:inline>
              </w:drawing>
            </w:r>
          </w:p>
        </w:tc>
      </w:tr>
      <w:tr w:rsidR="00AF3723" w:rsidRPr="0035027D" w:rsidTr="00D4235C">
        <w:tc>
          <w:tcPr>
            <w:tcW w:w="4536" w:type="dxa"/>
            <w:tcBorders>
              <w:top w:val="single" w:sz="4" w:space="0" w:color="auto"/>
            </w:tcBorders>
            <w:vAlign w:val="bottom"/>
          </w:tcPr>
          <w:p w:rsidR="00AF3723" w:rsidRPr="0035027D" w:rsidRDefault="00AF3723" w:rsidP="003676EE">
            <w:pPr>
              <w:tabs>
                <w:tab w:val="left" w:pos="3015"/>
              </w:tabs>
              <w:spacing w:after="0"/>
              <w:jc w:val="right"/>
              <w:rPr>
                <w:i/>
                <w:sz w:val="16"/>
                <w:szCs w:val="16"/>
              </w:rPr>
            </w:pPr>
            <w:r w:rsidRPr="0035027D">
              <w:rPr>
                <w:i/>
                <w:sz w:val="16"/>
                <w:szCs w:val="16"/>
              </w:rPr>
              <w:t>Zdroj: Rozpočet VS - MF SR, IFP</w:t>
            </w:r>
          </w:p>
        </w:tc>
        <w:tc>
          <w:tcPr>
            <w:tcW w:w="236" w:type="dxa"/>
            <w:vAlign w:val="bottom"/>
          </w:tcPr>
          <w:p w:rsidR="00AF3723" w:rsidRPr="0035027D" w:rsidRDefault="00AF3723" w:rsidP="003676EE">
            <w:pPr>
              <w:spacing w:after="0"/>
            </w:pPr>
          </w:p>
        </w:tc>
        <w:tc>
          <w:tcPr>
            <w:tcW w:w="4442" w:type="dxa"/>
            <w:tcBorders>
              <w:top w:val="single" w:sz="4" w:space="0" w:color="auto"/>
            </w:tcBorders>
            <w:vAlign w:val="bottom"/>
          </w:tcPr>
          <w:p w:rsidR="00AF3723" w:rsidRPr="0035027D" w:rsidRDefault="00AF3723" w:rsidP="003676EE">
            <w:pPr>
              <w:spacing w:after="0"/>
              <w:jc w:val="right"/>
              <w:rPr>
                <w:i/>
              </w:rPr>
            </w:pPr>
            <w:r w:rsidRPr="0035027D">
              <w:rPr>
                <w:i/>
                <w:sz w:val="16"/>
                <w:szCs w:val="16"/>
              </w:rPr>
              <w:t>Zdroj: Rozpočet VS - MF SR, IFP</w:t>
            </w:r>
          </w:p>
        </w:tc>
      </w:tr>
    </w:tbl>
    <w:p w:rsidR="00AF3723" w:rsidRPr="0035027D" w:rsidRDefault="00AF3723" w:rsidP="00AF3723">
      <w:pPr>
        <w:spacing w:after="0"/>
      </w:pPr>
    </w:p>
    <w:p w:rsidR="00AF3723" w:rsidRPr="0035027D" w:rsidRDefault="00AF3723" w:rsidP="00AF3723">
      <w:pPr>
        <w:spacing w:after="0"/>
      </w:pPr>
      <w:r w:rsidRPr="0035027D">
        <w:t>V sú</w:t>
      </w:r>
      <w:r w:rsidRPr="0035027D">
        <w:rPr>
          <w:rFonts w:cs="Times New Roman"/>
        </w:rPr>
        <w:t>č</w:t>
      </w:r>
      <w:r w:rsidRPr="0035027D">
        <w:t>asnosti je rozostavaných 60 km dia</w:t>
      </w:r>
      <w:r w:rsidRPr="0035027D">
        <w:rPr>
          <w:rFonts w:cs="Times New Roman"/>
        </w:rPr>
        <w:t>ľ</w:t>
      </w:r>
      <w:r w:rsidRPr="0035027D">
        <w:t>nic a rýchlostných ciest (úseky hlavného dia</w:t>
      </w:r>
      <w:r w:rsidRPr="0035027D">
        <w:rPr>
          <w:rFonts w:cs="Times New Roman"/>
        </w:rPr>
        <w:t>ľ</w:t>
      </w:r>
      <w:r w:rsidRPr="0035027D">
        <w:t>ni</w:t>
      </w:r>
      <w:r w:rsidRPr="0035027D">
        <w:rPr>
          <w:rFonts w:cs="Times New Roman"/>
        </w:rPr>
        <w:t>č</w:t>
      </w:r>
      <w:r w:rsidRPr="0035027D">
        <w:t xml:space="preserve">ného </w:t>
      </w:r>
      <w:r w:rsidRPr="0035027D">
        <w:rPr>
          <w:rFonts w:cs="Times New Roman"/>
        </w:rPr>
        <w:t>ť</w:t>
      </w:r>
      <w:r w:rsidRPr="0035027D">
        <w:t>ahu D1 a </w:t>
      </w:r>
      <w:proofErr w:type="spellStart"/>
      <w:r w:rsidRPr="0035027D">
        <w:t>rýchlocesty</w:t>
      </w:r>
      <w:proofErr w:type="spellEnd"/>
      <w:r w:rsidRPr="0035027D">
        <w:t> R4). V rokoch 2013 a</w:t>
      </w:r>
      <w:r w:rsidRPr="0035027D">
        <w:rPr>
          <w:rFonts w:cs="Times New Roman"/>
        </w:rPr>
        <w:t>ž</w:t>
      </w:r>
      <w:r w:rsidRPr="0035027D">
        <w:t xml:space="preserve"> 2014 sa plánuje rozbehnú</w:t>
      </w:r>
      <w:r w:rsidRPr="0035027D">
        <w:rPr>
          <w:rFonts w:cs="Times New Roman"/>
        </w:rPr>
        <w:t>ť</w:t>
      </w:r>
      <w:r w:rsidRPr="0035027D">
        <w:t xml:space="preserve"> výstavba </w:t>
      </w:r>
      <w:r w:rsidR="00777E00" w:rsidRPr="0035027D">
        <w:t>pribli</w:t>
      </w:r>
      <w:r w:rsidR="00777E00" w:rsidRPr="0035027D">
        <w:rPr>
          <w:rFonts w:cs="Times New Roman"/>
        </w:rPr>
        <w:t>ž</w:t>
      </w:r>
      <w:r w:rsidR="00777E00" w:rsidRPr="0035027D">
        <w:t xml:space="preserve">ne </w:t>
      </w:r>
      <w:r w:rsidRPr="0035027D">
        <w:t>120 km najpotrebnejších úsekov dia</w:t>
      </w:r>
      <w:r w:rsidRPr="0035027D">
        <w:rPr>
          <w:rFonts w:cs="Times New Roman"/>
        </w:rPr>
        <w:t>ľ</w:t>
      </w:r>
      <w:r w:rsidRPr="0035027D">
        <w:t>nic a rýchlostných ciest. Dokon</w:t>
      </w:r>
      <w:r w:rsidRPr="0035027D">
        <w:rPr>
          <w:rFonts w:cs="Times New Roman"/>
        </w:rPr>
        <w:t>č</w:t>
      </w:r>
      <w:r w:rsidRPr="0035027D">
        <w:t>ených by malo by</w:t>
      </w:r>
      <w:r w:rsidRPr="0035027D">
        <w:rPr>
          <w:rFonts w:cs="Times New Roman"/>
        </w:rPr>
        <w:t>ť</w:t>
      </w:r>
      <w:r w:rsidRPr="0035027D">
        <w:t xml:space="preserve"> v týchto dvoch rokoch vyše 45 km dia</w:t>
      </w:r>
      <w:r w:rsidRPr="0035027D">
        <w:rPr>
          <w:rFonts w:cs="Times New Roman"/>
        </w:rPr>
        <w:t>ľ</w:t>
      </w:r>
      <w:r w:rsidRPr="0035027D">
        <w:t>nic a rýchlostných ciest, v roku 2015 by malo pribudnú</w:t>
      </w:r>
      <w:r w:rsidRPr="0035027D">
        <w:rPr>
          <w:rFonts w:cs="Times New Roman"/>
        </w:rPr>
        <w:t>ť</w:t>
      </w:r>
      <w:r w:rsidRPr="0035027D">
        <w:t xml:space="preserve"> </w:t>
      </w:r>
      <w:r w:rsidRPr="0035027D">
        <w:rPr>
          <w:rFonts w:cs="Times New Roman"/>
        </w:rPr>
        <w:t>ď</w:t>
      </w:r>
      <w:r w:rsidRPr="0035027D">
        <w:t>alších 75 km. Vä</w:t>
      </w:r>
      <w:r w:rsidRPr="0035027D">
        <w:rPr>
          <w:rFonts w:cs="Times New Roman"/>
        </w:rPr>
        <w:t>č</w:t>
      </w:r>
      <w:r w:rsidRPr="0035027D">
        <w:t>šina stavieb je lokalizovaných v regiónoch s ni</w:t>
      </w:r>
      <w:r w:rsidRPr="0035027D">
        <w:rPr>
          <w:rFonts w:cs="Times New Roman"/>
        </w:rPr>
        <w:t>ž</w:t>
      </w:r>
      <w:r w:rsidRPr="0035027D">
        <w:t>šou ekonomickou výkonnos</w:t>
      </w:r>
      <w:r w:rsidRPr="0035027D">
        <w:rPr>
          <w:rFonts w:cs="Times New Roman"/>
        </w:rPr>
        <w:t>ť</w:t>
      </w:r>
      <w:r w:rsidRPr="0035027D">
        <w:t>ou a vysokou mierou nezamestnanosti.</w:t>
      </w:r>
    </w:p>
    <w:p w:rsidR="00ED17C8" w:rsidRPr="0035027D" w:rsidRDefault="00ED17C8" w:rsidP="00ED17C8">
      <w:pPr>
        <w:spacing w:after="0"/>
      </w:pPr>
    </w:p>
    <w:tbl>
      <w:tblPr>
        <w:tblStyle w:val="Mriekatabuky"/>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236"/>
        <w:gridCol w:w="4300"/>
      </w:tblGrid>
      <w:tr w:rsidR="00ED17C8" w:rsidRPr="0035027D" w:rsidTr="00D1646E">
        <w:tc>
          <w:tcPr>
            <w:tcW w:w="4536" w:type="dxa"/>
            <w:shd w:val="clear" w:color="auto" w:fill="000000" w:themeFill="text1"/>
          </w:tcPr>
          <w:p w:rsidR="00ED17C8" w:rsidRPr="0035027D" w:rsidRDefault="00ED17C8" w:rsidP="00D1646E">
            <w:pPr>
              <w:spacing w:after="0"/>
              <w:rPr>
                <w:b/>
                <w:color w:val="FFFFFF" w:themeColor="background1"/>
                <w:sz w:val="18"/>
                <w:szCs w:val="20"/>
              </w:rPr>
            </w:pPr>
            <w:r w:rsidRPr="0035027D">
              <w:rPr>
                <w:b/>
                <w:color w:val="FFFFFF" w:themeColor="background1"/>
                <w:sz w:val="18"/>
                <w:szCs w:val="20"/>
              </w:rPr>
              <w:t>Graf 17: Diaľnice a RC</w:t>
            </w:r>
          </w:p>
        </w:tc>
        <w:tc>
          <w:tcPr>
            <w:tcW w:w="236" w:type="dxa"/>
          </w:tcPr>
          <w:p w:rsidR="00ED17C8" w:rsidRPr="0035027D" w:rsidRDefault="00ED17C8" w:rsidP="00D1646E">
            <w:pPr>
              <w:spacing w:after="0"/>
              <w:rPr>
                <w:color w:val="FFFFFF" w:themeColor="background1"/>
                <w:sz w:val="18"/>
                <w:szCs w:val="20"/>
              </w:rPr>
            </w:pPr>
          </w:p>
        </w:tc>
        <w:tc>
          <w:tcPr>
            <w:tcW w:w="4300" w:type="dxa"/>
            <w:shd w:val="clear" w:color="auto" w:fill="000000" w:themeFill="text1"/>
          </w:tcPr>
          <w:p w:rsidR="00ED17C8" w:rsidRPr="0035027D" w:rsidRDefault="00ED17C8" w:rsidP="00D1646E">
            <w:pPr>
              <w:spacing w:after="0"/>
              <w:rPr>
                <w:b/>
                <w:color w:val="FFFFFF" w:themeColor="background1"/>
                <w:sz w:val="18"/>
                <w:szCs w:val="20"/>
              </w:rPr>
            </w:pPr>
            <w:r w:rsidRPr="0035027D">
              <w:rPr>
                <w:b/>
                <w:color w:val="FFFFFF" w:themeColor="background1"/>
                <w:sz w:val="18"/>
                <w:szCs w:val="20"/>
              </w:rPr>
              <w:t>Graf 18: Cesty I. triedy</w:t>
            </w:r>
          </w:p>
        </w:tc>
      </w:tr>
      <w:tr w:rsidR="00ED17C8" w:rsidRPr="0035027D" w:rsidTr="00D1646E">
        <w:tc>
          <w:tcPr>
            <w:tcW w:w="4536" w:type="dxa"/>
            <w:tcBorders>
              <w:bottom w:val="single" w:sz="4" w:space="0" w:color="auto"/>
            </w:tcBorders>
          </w:tcPr>
          <w:p w:rsidR="00ED17C8" w:rsidRPr="0035027D" w:rsidRDefault="00ED17C8" w:rsidP="00D1646E">
            <w:pPr>
              <w:spacing w:after="0"/>
            </w:pPr>
            <w:r w:rsidRPr="0035027D">
              <w:rPr>
                <w:noProof/>
              </w:rPr>
              <w:drawing>
                <wp:inline distT="0" distB="0" distL="0" distR="0" wp14:anchorId="302D0BA7" wp14:editId="4B24E055">
                  <wp:extent cx="2791942" cy="2314575"/>
                  <wp:effectExtent l="0" t="0" r="8890" b="0"/>
                  <wp:docPr id="303" name="Obrázok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94313" cy="2316541"/>
                          </a:xfrm>
                          <a:prstGeom prst="rect">
                            <a:avLst/>
                          </a:prstGeom>
                          <a:noFill/>
                        </pic:spPr>
                      </pic:pic>
                    </a:graphicData>
                  </a:graphic>
                </wp:inline>
              </w:drawing>
            </w:r>
          </w:p>
        </w:tc>
        <w:tc>
          <w:tcPr>
            <w:tcW w:w="236" w:type="dxa"/>
          </w:tcPr>
          <w:p w:rsidR="00ED17C8" w:rsidRPr="0035027D" w:rsidRDefault="00ED17C8" w:rsidP="00D1646E">
            <w:pPr>
              <w:spacing w:after="0"/>
            </w:pPr>
          </w:p>
        </w:tc>
        <w:tc>
          <w:tcPr>
            <w:tcW w:w="4300" w:type="dxa"/>
            <w:tcBorders>
              <w:bottom w:val="single" w:sz="4" w:space="0" w:color="auto"/>
            </w:tcBorders>
          </w:tcPr>
          <w:p w:rsidR="00ED17C8" w:rsidRPr="0035027D" w:rsidRDefault="00ED17C8" w:rsidP="00D1646E">
            <w:pPr>
              <w:spacing w:after="0"/>
            </w:pPr>
            <w:r w:rsidRPr="0035027D">
              <w:rPr>
                <w:noProof/>
              </w:rPr>
              <w:drawing>
                <wp:anchor distT="0" distB="0" distL="114300" distR="114300" simplePos="0" relativeHeight="251689984" behindDoc="1" locked="0" layoutInCell="1" allowOverlap="1" wp14:anchorId="60BEEE79" wp14:editId="17CF90BF">
                  <wp:simplePos x="0" y="0"/>
                  <wp:positionH relativeFrom="column">
                    <wp:posOffset>-65405</wp:posOffset>
                  </wp:positionH>
                  <wp:positionV relativeFrom="paragraph">
                    <wp:posOffset>1905</wp:posOffset>
                  </wp:positionV>
                  <wp:extent cx="2686050" cy="2228850"/>
                  <wp:effectExtent l="0" t="0" r="0" b="0"/>
                  <wp:wrapTight wrapText="bothSides">
                    <wp:wrapPolygon edited="0">
                      <wp:start x="11949" y="369"/>
                      <wp:lineTo x="3064" y="738"/>
                      <wp:lineTo x="2451" y="923"/>
                      <wp:lineTo x="2604" y="3692"/>
                      <wp:lineTo x="0" y="4246"/>
                      <wp:lineTo x="0" y="5354"/>
                      <wp:lineTo x="19762" y="6646"/>
                      <wp:lineTo x="0" y="7015"/>
                      <wp:lineTo x="0" y="8123"/>
                      <wp:lineTo x="19609" y="9600"/>
                      <wp:lineTo x="0" y="9969"/>
                      <wp:lineTo x="0" y="11077"/>
                      <wp:lineTo x="19762" y="12554"/>
                      <wp:lineTo x="0" y="12738"/>
                      <wp:lineTo x="0" y="13846"/>
                      <wp:lineTo x="19762" y="15508"/>
                      <wp:lineTo x="460" y="15692"/>
                      <wp:lineTo x="460" y="16800"/>
                      <wp:lineTo x="10723" y="18462"/>
                      <wp:lineTo x="1072" y="18462"/>
                      <wp:lineTo x="613" y="19015"/>
                      <wp:lineTo x="1991" y="21231"/>
                      <wp:lineTo x="20068" y="21231"/>
                      <wp:lineTo x="20987" y="18646"/>
                      <wp:lineTo x="21447" y="17908"/>
                      <wp:lineTo x="21294" y="3138"/>
                      <wp:lineTo x="14706" y="738"/>
                      <wp:lineTo x="12715" y="369"/>
                      <wp:lineTo x="11949" y="369"/>
                    </wp:wrapPolygon>
                  </wp:wrapTight>
                  <wp:docPr id="302" name="Graf 30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p>
        </w:tc>
      </w:tr>
      <w:tr w:rsidR="00ED17C8" w:rsidRPr="0035027D" w:rsidTr="00D1646E">
        <w:trPr>
          <w:trHeight w:val="170"/>
        </w:trPr>
        <w:tc>
          <w:tcPr>
            <w:tcW w:w="4536" w:type="dxa"/>
            <w:tcBorders>
              <w:top w:val="single" w:sz="4" w:space="0" w:color="auto"/>
            </w:tcBorders>
            <w:vAlign w:val="bottom"/>
          </w:tcPr>
          <w:p w:rsidR="00ED17C8" w:rsidRPr="0035027D" w:rsidRDefault="00ED17C8" w:rsidP="00D1646E">
            <w:pPr>
              <w:tabs>
                <w:tab w:val="left" w:pos="3015"/>
              </w:tabs>
              <w:spacing w:after="0"/>
              <w:jc w:val="right"/>
              <w:rPr>
                <w:i/>
                <w:sz w:val="16"/>
                <w:szCs w:val="16"/>
              </w:rPr>
            </w:pPr>
            <w:r w:rsidRPr="0035027D">
              <w:rPr>
                <w:i/>
                <w:sz w:val="16"/>
                <w:szCs w:val="16"/>
              </w:rPr>
              <w:t>Zdroj: MF SR, IFP, MDVRR SR</w:t>
            </w:r>
          </w:p>
        </w:tc>
        <w:tc>
          <w:tcPr>
            <w:tcW w:w="236" w:type="dxa"/>
            <w:vAlign w:val="bottom"/>
          </w:tcPr>
          <w:p w:rsidR="00ED17C8" w:rsidRPr="0035027D" w:rsidRDefault="00ED17C8" w:rsidP="00D1646E">
            <w:pPr>
              <w:spacing w:after="0"/>
            </w:pPr>
          </w:p>
        </w:tc>
        <w:tc>
          <w:tcPr>
            <w:tcW w:w="4300" w:type="dxa"/>
            <w:tcBorders>
              <w:top w:val="single" w:sz="4" w:space="0" w:color="auto"/>
            </w:tcBorders>
            <w:vAlign w:val="bottom"/>
          </w:tcPr>
          <w:p w:rsidR="00ED17C8" w:rsidRPr="0035027D" w:rsidRDefault="00ED17C8" w:rsidP="00D1646E">
            <w:pPr>
              <w:spacing w:after="0"/>
              <w:jc w:val="right"/>
              <w:rPr>
                <w:i/>
                <w:sz w:val="16"/>
                <w:szCs w:val="16"/>
              </w:rPr>
            </w:pPr>
            <w:r w:rsidRPr="0035027D">
              <w:rPr>
                <w:i/>
                <w:sz w:val="16"/>
                <w:szCs w:val="16"/>
              </w:rPr>
              <w:t>Zdroj: IFP, SSC, MDVRR SR</w:t>
            </w:r>
          </w:p>
        </w:tc>
      </w:tr>
    </w:tbl>
    <w:p w:rsidR="00ED17C8" w:rsidRPr="0035027D" w:rsidRDefault="00ED17C8" w:rsidP="00ED17C8">
      <w:pPr>
        <w:spacing w:after="0"/>
      </w:pPr>
    </w:p>
    <w:p w:rsidR="00AF3723" w:rsidRPr="0035027D" w:rsidRDefault="00AF3723" w:rsidP="00AF3723">
      <w:pPr>
        <w:spacing w:after="0"/>
      </w:pPr>
      <w:r w:rsidRPr="0035027D">
        <w:t>Vä</w:t>
      </w:r>
      <w:r w:rsidRPr="0035027D">
        <w:rPr>
          <w:rFonts w:cs="Times New Roman"/>
        </w:rPr>
        <w:t>č</w:t>
      </w:r>
      <w:r w:rsidRPr="0035027D">
        <w:t>šiu pozornos</w:t>
      </w:r>
      <w:r w:rsidRPr="0035027D">
        <w:rPr>
          <w:rFonts w:cs="Times New Roman"/>
        </w:rPr>
        <w:t>ť</w:t>
      </w:r>
      <w:r w:rsidRPr="0035027D">
        <w:t>, ako doteraz, je potrebné venova</w:t>
      </w:r>
      <w:r w:rsidRPr="0035027D">
        <w:rPr>
          <w:rFonts w:cs="Times New Roman"/>
        </w:rPr>
        <w:t>ť</w:t>
      </w:r>
      <w:r w:rsidRPr="0035027D">
        <w:t xml:space="preserve"> cestám prvej triedy s cie</w:t>
      </w:r>
      <w:r w:rsidRPr="0035027D">
        <w:rPr>
          <w:rFonts w:cs="Times New Roman"/>
        </w:rPr>
        <w:t>ľ</w:t>
      </w:r>
      <w:r w:rsidRPr="0035027D">
        <w:t>om zabezpe</w:t>
      </w:r>
      <w:r w:rsidRPr="0035027D">
        <w:rPr>
          <w:rFonts w:cs="Times New Roman"/>
        </w:rPr>
        <w:t>č</w:t>
      </w:r>
      <w:r w:rsidRPr="0035027D">
        <w:t>i</w:t>
      </w:r>
      <w:r w:rsidRPr="0035027D">
        <w:rPr>
          <w:rFonts w:cs="Times New Roman"/>
        </w:rPr>
        <w:t>ť</w:t>
      </w:r>
      <w:r w:rsidRPr="0035027D">
        <w:t xml:space="preserve"> ich </w:t>
      </w:r>
      <w:r w:rsidR="00D31D1C" w:rsidRPr="0035027D">
        <w:t>modernizáciu a</w:t>
      </w:r>
      <w:r w:rsidRPr="0035027D">
        <w:t xml:space="preserve"> rozvoj, nako</w:t>
      </w:r>
      <w:r w:rsidRPr="0035027D">
        <w:rPr>
          <w:rFonts w:cs="Times New Roman"/>
        </w:rPr>
        <w:t>ľ</w:t>
      </w:r>
      <w:r w:rsidRPr="0035027D">
        <w:t xml:space="preserve">ko sa od roku 2000 zvýšil podiel komunikácií v nevyhovujúcom stave 2,5 násobne. Z hodnotiacich údajov Slovenskej správy ciest z roku 2012 vyplýva, </w:t>
      </w:r>
      <w:r w:rsidRPr="0035027D">
        <w:rPr>
          <w:rFonts w:cs="Times New Roman"/>
        </w:rPr>
        <w:t>ž</w:t>
      </w:r>
      <w:r w:rsidRPr="0035027D">
        <w:t xml:space="preserve">e 44 % ciest prvej triedy je v nevyhovujúcom stave. V havarijnom stave je </w:t>
      </w:r>
      <w:r w:rsidRPr="0035027D">
        <w:rPr>
          <w:rFonts w:cs="Times New Roman"/>
        </w:rPr>
        <w:t>ď</w:t>
      </w:r>
      <w:r w:rsidRPr="0035027D">
        <w:t>alších 5 %. Cesty I. triedy obsluhujú takmer polovicu všetkej dopravy na Slovensku. Spolu má by</w:t>
      </w:r>
      <w:r w:rsidRPr="0035027D">
        <w:rPr>
          <w:rFonts w:cs="Times New Roman"/>
        </w:rPr>
        <w:t>ť</w:t>
      </w:r>
      <w:r w:rsidRPr="0035027D">
        <w:t xml:space="preserve"> v priebehu rokov 2011 a</w:t>
      </w:r>
      <w:r w:rsidRPr="0035027D">
        <w:rPr>
          <w:rFonts w:cs="Times New Roman"/>
        </w:rPr>
        <w:t>ž</w:t>
      </w:r>
      <w:r w:rsidRPr="0035027D">
        <w:t xml:space="preserve"> 2016 obnovená viac ako štvrtina siete ciest I. triedy.</w:t>
      </w:r>
    </w:p>
    <w:p w:rsidR="00AF3723" w:rsidRPr="0035027D" w:rsidRDefault="00AF3723" w:rsidP="00AF3723">
      <w:pPr>
        <w:spacing w:after="0"/>
      </w:pPr>
    </w:p>
    <w:p w:rsidR="00AF3723" w:rsidRPr="0035027D" w:rsidRDefault="00AF3723" w:rsidP="00AF3723">
      <w:pPr>
        <w:spacing w:after="0"/>
      </w:pPr>
      <w:r w:rsidRPr="0035027D">
        <w:t>S cie</w:t>
      </w:r>
      <w:r w:rsidRPr="0035027D">
        <w:rPr>
          <w:rFonts w:cs="Times New Roman"/>
        </w:rPr>
        <w:t>ľ</w:t>
      </w:r>
      <w:r w:rsidRPr="0035027D">
        <w:t>om zvýši</w:t>
      </w:r>
      <w:r w:rsidRPr="0035027D">
        <w:rPr>
          <w:rFonts w:cs="Times New Roman"/>
        </w:rPr>
        <w:t>ť</w:t>
      </w:r>
      <w:r w:rsidRPr="0035027D">
        <w:t xml:space="preserve"> bezpe</w:t>
      </w:r>
      <w:r w:rsidRPr="0035027D">
        <w:rPr>
          <w:rFonts w:cs="Times New Roman"/>
        </w:rPr>
        <w:t>č</w:t>
      </w:r>
      <w:r w:rsidRPr="0035027D">
        <w:t>nos</w:t>
      </w:r>
      <w:r w:rsidRPr="0035027D">
        <w:rPr>
          <w:rFonts w:cs="Times New Roman"/>
        </w:rPr>
        <w:t>ť</w:t>
      </w:r>
      <w:r w:rsidRPr="0035027D">
        <w:t xml:space="preserve"> a komfort cestnej prepravy je tie</w:t>
      </w:r>
      <w:r w:rsidRPr="0035027D">
        <w:rPr>
          <w:rFonts w:cs="Times New Roman"/>
        </w:rPr>
        <w:t>ž</w:t>
      </w:r>
      <w:r w:rsidRPr="0035027D">
        <w:t xml:space="preserve"> potrebné zamera</w:t>
      </w:r>
      <w:r w:rsidRPr="0035027D">
        <w:rPr>
          <w:rFonts w:cs="Times New Roman"/>
        </w:rPr>
        <w:t>ť</w:t>
      </w:r>
      <w:r w:rsidRPr="0035027D">
        <w:t xml:space="preserve"> sa na zlepšovanie </w:t>
      </w:r>
      <w:r w:rsidRPr="0035027D">
        <w:rPr>
          <w:rFonts w:cs="Times New Roman"/>
        </w:rPr>
        <w:t>ď</w:t>
      </w:r>
      <w:r w:rsidRPr="0035027D">
        <w:t>alších parametrov cestnej infraštruktúry ako budovanie obchvatov miest a obcí, výstavbu prelo</w:t>
      </w:r>
      <w:r w:rsidRPr="0035027D">
        <w:rPr>
          <w:rFonts w:cs="Times New Roman"/>
        </w:rPr>
        <w:t>ž</w:t>
      </w:r>
      <w:r w:rsidRPr="0035027D">
        <w:t>iek, okru</w:t>
      </w:r>
      <w:r w:rsidRPr="0035027D">
        <w:rPr>
          <w:rFonts w:cs="Times New Roman"/>
        </w:rPr>
        <w:t>ž</w:t>
      </w:r>
      <w:r w:rsidRPr="0035027D">
        <w:t>ných kri</w:t>
      </w:r>
      <w:r w:rsidRPr="0035027D">
        <w:rPr>
          <w:rFonts w:cs="Times New Roman"/>
        </w:rPr>
        <w:t>ž</w:t>
      </w:r>
      <w:r w:rsidRPr="0035027D">
        <w:t>ovatiek, prestavbu kri</w:t>
      </w:r>
      <w:r w:rsidRPr="0035027D">
        <w:rPr>
          <w:rFonts w:cs="Times New Roman"/>
        </w:rPr>
        <w:t>ž</w:t>
      </w:r>
      <w:r w:rsidRPr="0035027D">
        <w:t>ovatiek (postupné budovanie prídavných pruhov) a mostov a na odstra</w:t>
      </w:r>
      <w:r w:rsidRPr="0035027D">
        <w:rPr>
          <w:rFonts w:cs="Times New Roman"/>
        </w:rPr>
        <w:t>ň</w:t>
      </w:r>
      <w:r w:rsidRPr="0035027D">
        <w:t>ovanie nebezpe</w:t>
      </w:r>
      <w:r w:rsidRPr="0035027D">
        <w:rPr>
          <w:rFonts w:cs="Times New Roman"/>
        </w:rPr>
        <w:t>č</w:t>
      </w:r>
      <w:r w:rsidRPr="0035027D">
        <w:t>ných miest – tzv. kritických nehodových lokalít. Podobne sa budú upravova</w:t>
      </w:r>
      <w:r w:rsidRPr="0035027D">
        <w:rPr>
          <w:rFonts w:cs="Times New Roman"/>
        </w:rPr>
        <w:t>ť</w:t>
      </w:r>
      <w:r w:rsidRPr="0035027D">
        <w:t xml:space="preserve"> šírkové parametre, polomery, rozh</w:t>
      </w:r>
      <w:r w:rsidRPr="0035027D">
        <w:rPr>
          <w:rFonts w:cs="Times New Roman"/>
        </w:rPr>
        <w:t>ľ</w:t>
      </w:r>
      <w:r w:rsidRPr="0035027D">
        <w:t>adové pomery s cie</w:t>
      </w:r>
      <w:r w:rsidRPr="0035027D">
        <w:rPr>
          <w:rFonts w:cs="Times New Roman"/>
        </w:rPr>
        <w:t>ľ</w:t>
      </w:r>
      <w:r w:rsidRPr="0035027D">
        <w:t>om homogenity trasy, ako aj budova</w:t>
      </w:r>
      <w:r w:rsidRPr="0035027D">
        <w:rPr>
          <w:rFonts w:cs="Times New Roman"/>
        </w:rPr>
        <w:t>ť</w:t>
      </w:r>
      <w:r w:rsidRPr="0035027D">
        <w:t xml:space="preserve"> protihlukové opatrenia ciest a </w:t>
      </w:r>
      <w:r w:rsidRPr="0035027D">
        <w:lastRenderedPageBreak/>
        <w:t>protipovod</w:t>
      </w:r>
      <w:r w:rsidRPr="0035027D">
        <w:rPr>
          <w:rFonts w:cs="Times New Roman"/>
        </w:rPr>
        <w:t>ň</w:t>
      </w:r>
      <w:r w:rsidRPr="0035027D">
        <w:t>ové opatrenia mostov a ciest. Pozitívne by malo prispie</w:t>
      </w:r>
      <w:r w:rsidRPr="0035027D">
        <w:rPr>
          <w:rFonts w:cs="Times New Roman"/>
        </w:rPr>
        <w:t>ť</w:t>
      </w:r>
      <w:r w:rsidRPr="0035027D">
        <w:t xml:space="preserve"> aj prebiehajúce zavádzanie inteligentných dopravných systémov.</w:t>
      </w:r>
    </w:p>
    <w:p w:rsidR="00AF3723" w:rsidRPr="0035027D" w:rsidRDefault="00AF3723" w:rsidP="00AF3723">
      <w:pPr>
        <w:spacing w:after="0"/>
      </w:pPr>
    </w:p>
    <w:p w:rsidR="00AF3723" w:rsidRPr="0035027D" w:rsidRDefault="00AF3723" w:rsidP="00AF3723">
      <w:pPr>
        <w:spacing w:after="0"/>
      </w:pPr>
      <w:r w:rsidRPr="0035027D">
        <w:t>Je potrebné posilni</w:t>
      </w:r>
      <w:r w:rsidRPr="0035027D">
        <w:rPr>
          <w:rFonts w:cs="Times New Roman"/>
        </w:rPr>
        <w:t>ť</w:t>
      </w:r>
      <w:r w:rsidRPr="0035027D">
        <w:t xml:space="preserve"> kvalitu a kapacitu </w:t>
      </w:r>
      <w:r w:rsidRPr="0035027D">
        <w:rPr>
          <w:rFonts w:cs="Times New Roman"/>
        </w:rPr>
        <w:t>ž</w:t>
      </w:r>
      <w:r w:rsidRPr="0035027D">
        <w:t>elezni</w:t>
      </w:r>
      <w:r w:rsidRPr="0035027D">
        <w:rPr>
          <w:rFonts w:cs="Times New Roman"/>
        </w:rPr>
        <w:t>č</w:t>
      </w:r>
      <w:r w:rsidRPr="0035027D">
        <w:t>nej dopravy, ktorá zaostáva za cestnou dopravou. Po</w:t>
      </w:r>
      <w:r w:rsidRPr="0035027D">
        <w:rPr>
          <w:rFonts w:cs="Times New Roman"/>
        </w:rPr>
        <w:t>č</w:t>
      </w:r>
      <w:r w:rsidRPr="0035027D">
        <w:t xml:space="preserve">et </w:t>
      </w:r>
      <w:r w:rsidRPr="0035027D">
        <w:rPr>
          <w:rFonts w:cs="Times New Roman"/>
        </w:rPr>
        <w:t>ž</w:t>
      </w:r>
      <w:r w:rsidRPr="0035027D">
        <w:t>eleznicami prepravených cestujúcich na 1000 obyvate</w:t>
      </w:r>
      <w:r w:rsidRPr="0035027D">
        <w:rPr>
          <w:rFonts w:cs="Times New Roman"/>
        </w:rPr>
        <w:t>ľ</w:t>
      </w:r>
      <w:r w:rsidRPr="0035027D">
        <w:t>ov sa u nás pohybuje v 10-násobne ni</w:t>
      </w:r>
      <w:r w:rsidRPr="0035027D">
        <w:rPr>
          <w:rFonts w:cs="Times New Roman"/>
        </w:rPr>
        <w:t>ž</w:t>
      </w:r>
      <w:r w:rsidRPr="0035027D">
        <w:t xml:space="preserve">ších hodnotách ako priemer EÚ. SR si uvedomuje, </w:t>
      </w:r>
      <w:r w:rsidRPr="0035027D">
        <w:rPr>
          <w:rFonts w:cs="Times New Roman"/>
        </w:rPr>
        <w:t>ž</w:t>
      </w:r>
      <w:r w:rsidRPr="0035027D">
        <w:t>e za ú</w:t>
      </w:r>
      <w:r w:rsidRPr="0035027D">
        <w:rPr>
          <w:rFonts w:cs="Times New Roman"/>
        </w:rPr>
        <w:t>č</w:t>
      </w:r>
      <w:r w:rsidRPr="0035027D">
        <w:t>elom zvýšenia efektivity vynakladaných zdrojov, zní</w:t>
      </w:r>
      <w:r w:rsidRPr="0035027D">
        <w:rPr>
          <w:rFonts w:cs="Times New Roman"/>
        </w:rPr>
        <w:t>ž</w:t>
      </w:r>
      <w:r w:rsidRPr="0035027D">
        <w:t xml:space="preserve">enia negatívnych dopadov dopravy na </w:t>
      </w:r>
      <w:r w:rsidRPr="0035027D">
        <w:rPr>
          <w:rFonts w:cs="Times New Roman"/>
        </w:rPr>
        <w:t>ž</w:t>
      </w:r>
      <w:r w:rsidRPr="0035027D">
        <w:t>ivotné prostredie a od</w:t>
      </w:r>
      <w:r w:rsidRPr="0035027D">
        <w:rPr>
          <w:rFonts w:cs="Times New Roman"/>
        </w:rPr>
        <w:t>ľ</w:t>
      </w:r>
      <w:r w:rsidRPr="0035027D">
        <w:t>ah</w:t>
      </w:r>
      <w:r w:rsidRPr="0035027D">
        <w:rPr>
          <w:rFonts w:cs="Times New Roman"/>
        </w:rPr>
        <w:t>č</w:t>
      </w:r>
      <w:r w:rsidRPr="0035027D">
        <w:t>enia cestných komunikácií, je potrebné zvýši</w:t>
      </w:r>
      <w:r w:rsidRPr="0035027D">
        <w:rPr>
          <w:rFonts w:cs="Times New Roman"/>
        </w:rPr>
        <w:t>ť</w:t>
      </w:r>
      <w:r w:rsidRPr="0035027D">
        <w:t xml:space="preserve"> váhu </w:t>
      </w:r>
      <w:r w:rsidRPr="0035027D">
        <w:rPr>
          <w:rFonts w:cs="Times New Roman"/>
        </w:rPr>
        <w:t>ž</w:t>
      </w:r>
      <w:r w:rsidRPr="0035027D">
        <w:t>elezníc v sektore dopravy.</w:t>
      </w:r>
    </w:p>
    <w:p w:rsidR="00AF3723" w:rsidRPr="0035027D" w:rsidRDefault="00AF3723" w:rsidP="00AF3723">
      <w:pPr>
        <w:spacing w:after="0"/>
      </w:pPr>
    </w:p>
    <w:p w:rsidR="00AF3723" w:rsidRPr="0035027D" w:rsidRDefault="00AF3723" w:rsidP="0088735B">
      <w:r w:rsidRPr="0035027D">
        <w:t>V súlade zo zámermi európskej politiky zmierni</w:t>
      </w:r>
      <w:r w:rsidRPr="0035027D">
        <w:rPr>
          <w:rFonts w:cs="Times New Roman"/>
        </w:rPr>
        <w:t>ť</w:t>
      </w:r>
      <w:r w:rsidRPr="0035027D">
        <w:t xml:space="preserve"> pre</w:t>
      </w:r>
      <w:r w:rsidRPr="0035027D">
        <w:rPr>
          <w:rFonts w:cs="Times New Roman"/>
        </w:rPr>
        <w:t>ť</w:t>
      </w:r>
      <w:r w:rsidRPr="0035027D">
        <w:t>a</w:t>
      </w:r>
      <w:r w:rsidRPr="0035027D">
        <w:rPr>
          <w:rFonts w:cs="Times New Roman"/>
        </w:rPr>
        <w:t>ž</w:t>
      </w:r>
      <w:r w:rsidRPr="0035027D">
        <w:t xml:space="preserve">enie cestnej infraštruktúry presunom dopravných výkonov na </w:t>
      </w:r>
      <w:r w:rsidRPr="0035027D">
        <w:rPr>
          <w:rFonts w:cs="Times New Roman"/>
        </w:rPr>
        <w:t>ž</w:t>
      </w:r>
      <w:r w:rsidRPr="0035027D">
        <w:t>eleznice, pokra</w:t>
      </w:r>
      <w:r w:rsidRPr="0035027D">
        <w:rPr>
          <w:rFonts w:cs="Times New Roman"/>
        </w:rPr>
        <w:t>č</w:t>
      </w:r>
      <w:r w:rsidRPr="0035027D">
        <w:t xml:space="preserve">ujú rozsiahle investície do modernizácie </w:t>
      </w:r>
      <w:r w:rsidRPr="0035027D">
        <w:rPr>
          <w:rFonts w:cs="Times New Roman"/>
        </w:rPr>
        <w:t>ž</w:t>
      </w:r>
      <w:r w:rsidRPr="0035027D">
        <w:t>elezni</w:t>
      </w:r>
      <w:r w:rsidRPr="0035027D">
        <w:rPr>
          <w:rFonts w:cs="Times New Roman"/>
        </w:rPr>
        <w:t>č</w:t>
      </w:r>
      <w:r w:rsidRPr="0035027D">
        <w:t xml:space="preserve">ných koridorov. </w:t>
      </w:r>
      <w:r w:rsidR="0088735B" w:rsidRPr="0035027D">
        <w:t xml:space="preserve">Projekt obnovy parku </w:t>
      </w:r>
      <w:r w:rsidR="0088735B" w:rsidRPr="0035027D">
        <w:rPr>
          <w:rFonts w:cs="Times New Roman"/>
        </w:rPr>
        <w:t>Ž</w:t>
      </w:r>
      <w:r w:rsidR="0088735B" w:rsidRPr="0035027D">
        <w:t xml:space="preserve">KV </w:t>
      </w:r>
      <w:r w:rsidR="0088735B" w:rsidRPr="0035027D">
        <w:rPr>
          <w:rFonts w:cs="Times New Roman"/>
        </w:rPr>
        <w:t>Ž</w:t>
      </w:r>
      <w:r w:rsidR="0088735B" w:rsidRPr="0035027D">
        <w:t>elezni</w:t>
      </w:r>
      <w:r w:rsidR="0088735B" w:rsidRPr="0035027D">
        <w:rPr>
          <w:rFonts w:cs="Times New Roman"/>
        </w:rPr>
        <w:t>č</w:t>
      </w:r>
      <w:r w:rsidR="0088735B" w:rsidRPr="0035027D">
        <w:t>nej spolo</w:t>
      </w:r>
      <w:r w:rsidR="0088735B" w:rsidRPr="0035027D">
        <w:rPr>
          <w:rFonts w:cs="Times New Roman"/>
        </w:rPr>
        <w:t>č</w:t>
      </w:r>
      <w:r w:rsidR="0088735B" w:rsidRPr="0035027D">
        <w:t xml:space="preserve">nosti Slovensko, a.s. pre prímestskú a medziregionálnu verejnú </w:t>
      </w:r>
      <w:r w:rsidR="0088735B" w:rsidRPr="0035027D">
        <w:rPr>
          <w:rFonts w:cs="Times New Roman"/>
        </w:rPr>
        <w:t>ž</w:t>
      </w:r>
      <w:r w:rsidR="0088735B" w:rsidRPr="0035027D">
        <w:t>elezni</w:t>
      </w:r>
      <w:r w:rsidR="0088735B" w:rsidRPr="0035027D">
        <w:rPr>
          <w:rFonts w:cs="Times New Roman"/>
        </w:rPr>
        <w:t>č</w:t>
      </w:r>
      <w:r w:rsidR="0088735B" w:rsidRPr="0035027D">
        <w:t>nú osobnú dopravu SR</w:t>
      </w:r>
      <w:r w:rsidRPr="0035027D">
        <w:t xml:space="preserve"> s podporou európskych fondov na obnovu vozidlového parku, ktorý za</w:t>
      </w:r>
      <w:r w:rsidRPr="0035027D">
        <w:rPr>
          <w:rFonts w:cs="Times New Roman"/>
        </w:rPr>
        <w:t>č</w:t>
      </w:r>
      <w:r w:rsidRPr="0035027D">
        <w:t>al v roku 2010, by mal skon</w:t>
      </w:r>
      <w:r w:rsidRPr="0035027D">
        <w:rPr>
          <w:rFonts w:cs="Times New Roman"/>
        </w:rPr>
        <w:t>č</w:t>
      </w:r>
      <w:r w:rsidRPr="0035027D">
        <w:t>i</w:t>
      </w:r>
      <w:r w:rsidRPr="0035027D">
        <w:rPr>
          <w:rFonts w:cs="Times New Roman"/>
        </w:rPr>
        <w:t>ť</w:t>
      </w:r>
      <w:r w:rsidRPr="0035027D">
        <w:t xml:space="preserve"> tento rok. Vymení sa spolu pätina súprav v regionálnej a prímestskej </w:t>
      </w:r>
      <w:r w:rsidRPr="0035027D">
        <w:rPr>
          <w:rFonts w:cs="Times New Roman"/>
        </w:rPr>
        <w:t>ž</w:t>
      </w:r>
      <w:r w:rsidRPr="0035027D">
        <w:t>elezni</w:t>
      </w:r>
      <w:r w:rsidRPr="0035027D">
        <w:rPr>
          <w:rFonts w:cs="Times New Roman"/>
        </w:rPr>
        <w:t>č</w:t>
      </w:r>
      <w:r w:rsidRPr="0035027D">
        <w:t>nej osobnej doprave. V nasledujúcich troch rokoch by malo by</w:t>
      </w:r>
      <w:r w:rsidRPr="0035027D">
        <w:rPr>
          <w:rFonts w:cs="Times New Roman"/>
        </w:rPr>
        <w:t>ť</w:t>
      </w:r>
      <w:r w:rsidRPr="0035027D">
        <w:t xml:space="preserve"> zmodernizovaných 60 km </w:t>
      </w:r>
      <w:r w:rsidRPr="0035027D">
        <w:rPr>
          <w:rFonts w:cs="Times New Roman"/>
        </w:rPr>
        <w:t>ž</w:t>
      </w:r>
      <w:r w:rsidRPr="0035027D">
        <w:t>elezni</w:t>
      </w:r>
      <w:r w:rsidRPr="0035027D">
        <w:rPr>
          <w:rFonts w:cs="Times New Roman"/>
        </w:rPr>
        <w:t>č</w:t>
      </w:r>
      <w:r w:rsidRPr="0035027D">
        <w:t>ných tratí, rozbehnú</w:t>
      </w:r>
      <w:r w:rsidRPr="0035027D">
        <w:rPr>
          <w:rFonts w:cs="Times New Roman"/>
        </w:rPr>
        <w:t>ť</w:t>
      </w:r>
      <w:r w:rsidRPr="0035027D">
        <w:t xml:space="preserve"> sa má modernizácia </w:t>
      </w:r>
      <w:r w:rsidRPr="0035027D">
        <w:rPr>
          <w:rFonts w:cs="Times New Roman"/>
        </w:rPr>
        <w:t>ď</w:t>
      </w:r>
      <w:r w:rsidRPr="0035027D">
        <w:t>alších 67 km. MDVRR SR vypracovalo podrobnú analýzu vyu</w:t>
      </w:r>
      <w:r w:rsidRPr="0035027D">
        <w:rPr>
          <w:rFonts w:cs="Times New Roman"/>
        </w:rPr>
        <w:t>ž</w:t>
      </w:r>
      <w:r w:rsidRPr="0035027D">
        <w:t xml:space="preserve">itia jednotlivých úsekov </w:t>
      </w:r>
      <w:r w:rsidRPr="0035027D">
        <w:rPr>
          <w:rFonts w:cs="Times New Roman"/>
        </w:rPr>
        <w:t>ž</w:t>
      </w:r>
      <w:r w:rsidRPr="0035027D">
        <w:t>elezni</w:t>
      </w:r>
      <w:r w:rsidRPr="0035027D">
        <w:rPr>
          <w:rFonts w:cs="Times New Roman"/>
        </w:rPr>
        <w:t>č</w:t>
      </w:r>
      <w:r w:rsidRPr="0035027D">
        <w:t>nej prepravy, ktorá mala za úlohu identifikova</w:t>
      </w:r>
      <w:r w:rsidRPr="0035027D">
        <w:rPr>
          <w:rFonts w:cs="Times New Roman"/>
        </w:rPr>
        <w:t>ť</w:t>
      </w:r>
      <w:r w:rsidRPr="0035027D">
        <w:t xml:space="preserve"> neefektívne úseky. Výsledky poskytnú priestor na stanovenie priorít v </w:t>
      </w:r>
      <w:r w:rsidRPr="0035027D">
        <w:rPr>
          <w:rFonts w:cs="Times New Roman"/>
        </w:rPr>
        <w:t>ž</w:t>
      </w:r>
      <w:r w:rsidRPr="0035027D">
        <w:t>elezni</w:t>
      </w:r>
      <w:r w:rsidRPr="0035027D">
        <w:rPr>
          <w:rFonts w:cs="Times New Roman"/>
        </w:rPr>
        <w:t>č</w:t>
      </w:r>
      <w:r w:rsidRPr="0035027D">
        <w:t xml:space="preserve">nej doprave a racionalizáciu </w:t>
      </w:r>
      <w:r w:rsidRPr="0035027D">
        <w:rPr>
          <w:rFonts w:cs="Times New Roman"/>
        </w:rPr>
        <w:t>ž</w:t>
      </w:r>
      <w:r w:rsidRPr="0035027D">
        <w:t>elezni</w:t>
      </w:r>
      <w:r w:rsidRPr="0035027D">
        <w:rPr>
          <w:rFonts w:cs="Times New Roman"/>
        </w:rPr>
        <w:t>č</w:t>
      </w:r>
      <w:r w:rsidRPr="0035027D">
        <w:t>nej siete.</w:t>
      </w:r>
    </w:p>
    <w:p w:rsidR="00AF3723" w:rsidRPr="0035027D" w:rsidRDefault="00AF3723" w:rsidP="00AF3723">
      <w:pPr>
        <w:spacing w:after="0"/>
      </w:pPr>
    </w:p>
    <w:p w:rsidR="00AF3723" w:rsidRPr="0035027D" w:rsidRDefault="00AF3723" w:rsidP="00AF3723">
      <w:pPr>
        <w:spacing w:after="0"/>
        <w:rPr>
          <w:b/>
          <w:i/>
        </w:rPr>
      </w:pPr>
      <w:r w:rsidRPr="0035027D">
        <w:rPr>
          <w:b/>
          <w:i/>
        </w:rPr>
        <w:t>Verejná osobná doprava a mestská mobilita</w:t>
      </w:r>
    </w:p>
    <w:p w:rsidR="00AF3723" w:rsidRPr="0035027D" w:rsidRDefault="00AF3723" w:rsidP="00AF3723">
      <w:pPr>
        <w:spacing w:after="0"/>
      </w:pPr>
    </w:p>
    <w:p w:rsidR="00AF3723" w:rsidRPr="0035027D" w:rsidRDefault="00AF3723" w:rsidP="00AF3723">
      <w:pPr>
        <w:spacing w:after="0"/>
      </w:pPr>
      <w:r w:rsidRPr="0035027D">
        <w:t>Vláda SR zvýši efektívnos</w:t>
      </w:r>
      <w:r w:rsidRPr="0035027D">
        <w:rPr>
          <w:rFonts w:cs="Times New Roman"/>
        </w:rPr>
        <w:t>ť</w:t>
      </w:r>
      <w:r w:rsidRPr="0035027D">
        <w:t xml:space="preserve"> verejnej osobnej dopravy a zlepší obsluhy územia SR verejnou osobnou dopravou odstránením súbehov medzi prímestskou autobusovou a </w:t>
      </w:r>
      <w:r w:rsidRPr="0035027D">
        <w:rPr>
          <w:rFonts w:cs="Times New Roman"/>
        </w:rPr>
        <w:t>ž</w:t>
      </w:r>
      <w:r w:rsidRPr="0035027D">
        <w:t>elezni</w:t>
      </w:r>
      <w:r w:rsidRPr="0035027D">
        <w:rPr>
          <w:rFonts w:cs="Times New Roman"/>
        </w:rPr>
        <w:t>č</w:t>
      </w:r>
      <w:r w:rsidRPr="0035027D">
        <w:t xml:space="preserve">nou regionálnou osobnou dopravou a posilnením nadväzností autobusov na </w:t>
      </w:r>
      <w:r w:rsidRPr="0035027D">
        <w:rPr>
          <w:rFonts w:cs="Times New Roman"/>
        </w:rPr>
        <w:t>ž</w:t>
      </w:r>
      <w:r w:rsidRPr="0035027D">
        <w:t>elezni</w:t>
      </w:r>
      <w:r w:rsidRPr="0035027D">
        <w:rPr>
          <w:rFonts w:cs="Times New Roman"/>
        </w:rPr>
        <w:t>č</w:t>
      </w:r>
      <w:r w:rsidRPr="0035027D">
        <w:t>nú dopravu - vzájomným previazaním obidvoch módov do jednotného systému. Vláda SR uva</w:t>
      </w:r>
      <w:r w:rsidRPr="0035027D">
        <w:rPr>
          <w:rFonts w:cs="Times New Roman"/>
        </w:rPr>
        <w:t>ž</w:t>
      </w:r>
      <w:r w:rsidRPr="0035027D">
        <w:t>uje nad zavedením zákona o dopravnej autorite, ktorá bude zabezpe</w:t>
      </w:r>
      <w:r w:rsidRPr="0035027D">
        <w:rPr>
          <w:rFonts w:cs="Times New Roman"/>
        </w:rPr>
        <w:t>č</w:t>
      </w:r>
      <w:r w:rsidRPr="0035027D">
        <w:t>ova</w:t>
      </w:r>
      <w:r w:rsidRPr="0035027D">
        <w:rPr>
          <w:rFonts w:cs="Times New Roman"/>
        </w:rPr>
        <w:t>ť</w:t>
      </w:r>
      <w:r w:rsidRPr="0035027D">
        <w:t xml:space="preserve"> plynulé, funk</w:t>
      </w:r>
      <w:r w:rsidRPr="0035027D">
        <w:rPr>
          <w:rFonts w:cs="Times New Roman"/>
        </w:rPr>
        <w:t>č</w:t>
      </w:r>
      <w:r w:rsidRPr="0035027D">
        <w:t>né a hospodárne strategické plánovanie dopravy v rámci SR. Rozpo</w:t>
      </w:r>
      <w:r w:rsidRPr="0035027D">
        <w:rPr>
          <w:rFonts w:cs="Times New Roman"/>
        </w:rPr>
        <w:t>č</w:t>
      </w:r>
      <w:r w:rsidRPr="0035027D">
        <w:t>et na takéto opatrenie ešte nie je vy</w:t>
      </w:r>
      <w:r w:rsidRPr="0035027D">
        <w:rPr>
          <w:rFonts w:cs="Times New Roman"/>
        </w:rPr>
        <w:t>č</w:t>
      </w:r>
      <w:r w:rsidRPr="0035027D">
        <w:t>íslený, ale predpokladá sa financovanie na princípe poplatkov od ú</w:t>
      </w:r>
      <w:r w:rsidRPr="0035027D">
        <w:rPr>
          <w:rFonts w:cs="Times New Roman"/>
        </w:rPr>
        <w:t>č</w:t>
      </w:r>
      <w:r w:rsidRPr="0035027D">
        <w:t>astníkov trhu.</w:t>
      </w:r>
    </w:p>
    <w:p w:rsidR="00AF3723" w:rsidRPr="0035027D" w:rsidRDefault="00AF3723" w:rsidP="00AF3723">
      <w:pPr>
        <w:spacing w:after="0"/>
      </w:pPr>
    </w:p>
    <w:p w:rsidR="00AF3723" w:rsidRPr="0035027D" w:rsidRDefault="00AF3723" w:rsidP="00AF3723">
      <w:pPr>
        <w:spacing w:after="0"/>
      </w:pPr>
      <w:r w:rsidRPr="0035027D">
        <w:t xml:space="preserve">V rámci podpory nemotorovej dopravy pripravuje MDVRR SR stratégiu rozvoja </w:t>
      </w:r>
      <w:proofErr w:type="spellStart"/>
      <w:r w:rsidRPr="0035027D">
        <w:t>cyklodopravy</w:t>
      </w:r>
      <w:proofErr w:type="spellEnd"/>
      <w:r w:rsidRPr="0035027D">
        <w:t>, ktorej opatrenia zah</w:t>
      </w:r>
      <w:r w:rsidRPr="0035027D">
        <w:rPr>
          <w:rFonts w:cs="Times New Roman"/>
        </w:rPr>
        <w:t>ŕň</w:t>
      </w:r>
      <w:r w:rsidRPr="0035027D">
        <w:t>ajú vybudovanie 1000 km cyklotrás do roku 2020, zmeny noriem a technických predpisov a vytvorenie trvalého finan</w:t>
      </w:r>
      <w:r w:rsidRPr="0035027D">
        <w:rPr>
          <w:rFonts w:cs="Times New Roman"/>
        </w:rPr>
        <w:t>č</w:t>
      </w:r>
      <w:r w:rsidRPr="0035027D">
        <w:t xml:space="preserve">ného mechanizmu z európskych fondov a samospráv. </w:t>
      </w:r>
      <w:proofErr w:type="spellStart"/>
      <w:r w:rsidRPr="0035027D">
        <w:t>Prepokladaný</w:t>
      </w:r>
      <w:proofErr w:type="spellEnd"/>
      <w:r w:rsidRPr="0035027D">
        <w:t xml:space="preserve"> rozpo</w:t>
      </w:r>
      <w:r w:rsidRPr="0035027D">
        <w:rPr>
          <w:rFonts w:cs="Times New Roman"/>
        </w:rPr>
        <w:t>č</w:t>
      </w:r>
      <w:r w:rsidRPr="0035027D">
        <w:t>et na roky 2014 - 2016 tvorí pribli</w:t>
      </w:r>
      <w:r w:rsidRPr="0035027D">
        <w:rPr>
          <w:rFonts w:cs="Times New Roman"/>
        </w:rPr>
        <w:t>ž</w:t>
      </w:r>
      <w:r w:rsidRPr="0035027D">
        <w:t xml:space="preserve">ne 45 mil. eur. </w:t>
      </w:r>
    </w:p>
    <w:p w:rsidR="009F086D" w:rsidRPr="0035027D" w:rsidRDefault="009F086D" w:rsidP="009E3DC4">
      <w:pPr>
        <w:spacing w:after="0"/>
      </w:pPr>
    </w:p>
    <w:p w:rsidR="00767212" w:rsidRPr="0035027D" w:rsidRDefault="006501B0" w:rsidP="00767212">
      <w:pPr>
        <w:spacing w:after="0"/>
        <w:rPr>
          <w:b/>
          <w:i/>
        </w:rPr>
      </w:pPr>
      <w:r w:rsidRPr="0035027D">
        <w:rPr>
          <w:b/>
          <w:i/>
        </w:rPr>
        <w:t xml:space="preserve">Telekomunikácie </w:t>
      </w:r>
    </w:p>
    <w:p w:rsidR="006501B0" w:rsidRPr="0035027D" w:rsidRDefault="006501B0" w:rsidP="00767212">
      <w:pPr>
        <w:spacing w:after="0"/>
        <w:rPr>
          <w:b/>
        </w:rPr>
      </w:pPr>
    </w:p>
    <w:p w:rsidR="00A9180E" w:rsidRPr="0035027D" w:rsidRDefault="00F01F18" w:rsidP="00F01F18">
      <w:pPr>
        <w:spacing w:after="0"/>
      </w:pPr>
      <w:r w:rsidRPr="0035027D">
        <w:t>Pre zvýšenie konkurencieschopnosti krajiny treba rozvíja</w:t>
      </w:r>
      <w:r w:rsidRPr="0035027D">
        <w:rPr>
          <w:rFonts w:cs="Times New Roman"/>
        </w:rPr>
        <w:t>ť</w:t>
      </w:r>
      <w:r w:rsidRPr="0035027D">
        <w:t xml:space="preserve"> aj oblas</w:t>
      </w:r>
      <w:r w:rsidRPr="0035027D">
        <w:rPr>
          <w:rFonts w:cs="Times New Roman"/>
        </w:rPr>
        <w:t>ť</w:t>
      </w:r>
      <w:r w:rsidRPr="0035027D">
        <w:t xml:space="preserve"> elektronických komunikácií, predovšetkým pre širokopásmový prístup k internetu. Telekomunika</w:t>
      </w:r>
      <w:r w:rsidRPr="0035027D">
        <w:rPr>
          <w:rFonts w:cs="Times New Roman"/>
        </w:rPr>
        <w:t>č</w:t>
      </w:r>
      <w:r w:rsidRPr="0035027D">
        <w:t xml:space="preserve">ný úrad, ako nezávislý národný regulátor a cenový orgán v oblasti elektronických komunikácií, </w:t>
      </w:r>
      <w:r w:rsidR="00ED17C8" w:rsidRPr="0035027D">
        <w:t>uskuto</w:t>
      </w:r>
      <w:r w:rsidR="00ED17C8" w:rsidRPr="0035027D">
        <w:rPr>
          <w:rFonts w:cs="Times New Roman"/>
        </w:rPr>
        <w:t>č</w:t>
      </w:r>
      <w:r w:rsidR="00ED17C8" w:rsidRPr="0035027D">
        <w:t>ní</w:t>
      </w:r>
      <w:r w:rsidRPr="0035027D">
        <w:t xml:space="preserve"> elektronickú aukciu na pridelenie frekvencií v pásmach 800 MHz, 1800 MHz a 2,6 GHz. Tento krok bude, okrem pozitívneho vplyvu na štátny rozpo</w:t>
      </w:r>
      <w:r w:rsidRPr="0035027D">
        <w:rPr>
          <w:rFonts w:cs="Times New Roman"/>
        </w:rPr>
        <w:t>č</w:t>
      </w:r>
      <w:r w:rsidRPr="0035027D">
        <w:t>et (štátny rozpo</w:t>
      </w:r>
      <w:r w:rsidRPr="0035027D">
        <w:rPr>
          <w:rFonts w:cs="Times New Roman"/>
        </w:rPr>
        <w:t>č</w:t>
      </w:r>
      <w:r w:rsidRPr="0035027D">
        <w:t>et predpokladá z tzv. digitálnej dividendy príjem 130 mil. eur)</w:t>
      </w:r>
      <w:r w:rsidR="00ED17C8" w:rsidRPr="0035027D">
        <w:t>,</w:t>
      </w:r>
      <w:r w:rsidRPr="0035027D">
        <w:t xml:space="preserve"> znamena</w:t>
      </w:r>
      <w:r w:rsidRPr="0035027D">
        <w:rPr>
          <w:rFonts w:cs="Times New Roman"/>
        </w:rPr>
        <w:t>ť</w:t>
      </w:r>
      <w:r w:rsidRPr="0035027D">
        <w:t xml:space="preserve"> aj vytvorenie podmienok pre posilnenie konkurencie v sektore, ke</w:t>
      </w:r>
      <w:r w:rsidRPr="0035027D">
        <w:rPr>
          <w:rFonts w:cs="Times New Roman"/>
        </w:rPr>
        <w:t>ďž</w:t>
      </w:r>
      <w:r w:rsidRPr="0035027D">
        <w:t xml:space="preserve">e vytvára priestor pre potenciálny vstup </w:t>
      </w:r>
      <w:r w:rsidRPr="0035027D">
        <w:rPr>
          <w:rFonts w:cs="Times New Roman"/>
        </w:rPr>
        <w:t>ď</w:t>
      </w:r>
      <w:r w:rsidRPr="0035027D">
        <w:t>alším operátorom na slovenský trh.</w:t>
      </w:r>
    </w:p>
    <w:p w:rsidR="00E65C63" w:rsidRPr="0035027D" w:rsidRDefault="00E65C63" w:rsidP="009E3DC4">
      <w:pPr>
        <w:spacing w:after="0"/>
      </w:pPr>
    </w:p>
    <w:p w:rsidR="00632EDA" w:rsidRPr="0035027D" w:rsidRDefault="007E1570" w:rsidP="00EC7DAA">
      <w:pPr>
        <w:pStyle w:val="Nadpis3"/>
        <w:ind w:left="0" w:firstLine="0"/>
      </w:pPr>
      <w:bookmarkStart w:id="59" w:name="_Toc353563387"/>
      <w:r w:rsidRPr="0035027D">
        <w:t>Modernizácia verejnej správy</w:t>
      </w:r>
      <w:bookmarkEnd w:id="59"/>
    </w:p>
    <w:p w:rsidR="007E1570" w:rsidRPr="0035027D" w:rsidRDefault="007E1570" w:rsidP="00A9180E">
      <w:pPr>
        <w:spacing w:after="0"/>
      </w:pPr>
    </w:p>
    <w:tbl>
      <w:tblPr>
        <w:tblW w:w="8360" w:type="dxa"/>
        <w:jc w:val="center"/>
        <w:tblInd w:w="55" w:type="dxa"/>
        <w:tblCellMar>
          <w:left w:w="70" w:type="dxa"/>
          <w:right w:w="70" w:type="dxa"/>
        </w:tblCellMar>
        <w:tblLook w:val="04A0" w:firstRow="1" w:lastRow="0" w:firstColumn="1" w:lastColumn="0" w:noHBand="0" w:noVBand="1"/>
      </w:tblPr>
      <w:tblGrid>
        <w:gridCol w:w="3155"/>
        <w:gridCol w:w="507"/>
        <w:gridCol w:w="522"/>
        <w:gridCol w:w="522"/>
        <w:gridCol w:w="522"/>
        <w:gridCol w:w="522"/>
        <w:gridCol w:w="522"/>
        <w:gridCol w:w="522"/>
        <w:gridCol w:w="522"/>
        <w:gridCol w:w="522"/>
        <w:gridCol w:w="522"/>
      </w:tblGrid>
      <w:tr w:rsidR="004F2171" w:rsidRPr="0035027D" w:rsidTr="004F2171">
        <w:trPr>
          <w:trHeight w:val="300"/>
          <w:jc w:val="center"/>
        </w:trPr>
        <w:tc>
          <w:tcPr>
            <w:tcW w:w="8360" w:type="dxa"/>
            <w:gridSpan w:val="11"/>
            <w:tcBorders>
              <w:top w:val="single" w:sz="4" w:space="0" w:color="auto"/>
              <w:left w:val="single" w:sz="4" w:space="0" w:color="auto"/>
              <w:bottom w:val="single" w:sz="4" w:space="0" w:color="auto"/>
              <w:right w:val="nil"/>
            </w:tcBorders>
            <w:shd w:val="clear" w:color="000000" w:fill="000000"/>
            <w:noWrap/>
            <w:vAlign w:val="center"/>
            <w:hideMark/>
          </w:tcPr>
          <w:p w:rsidR="004F2171" w:rsidRPr="0035027D" w:rsidRDefault="00D4235C" w:rsidP="004F2171">
            <w:pPr>
              <w:spacing w:after="0"/>
              <w:jc w:val="left"/>
              <w:rPr>
                <w:rFonts w:cs="Times New Roman"/>
                <w:b/>
                <w:bCs/>
                <w:color w:val="FFFFFF"/>
                <w:sz w:val="20"/>
                <w:szCs w:val="20"/>
              </w:rPr>
            </w:pPr>
            <w:r w:rsidRPr="0035027D">
              <w:rPr>
                <w:rFonts w:cs="Times New Roman"/>
                <w:b/>
                <w:bCs/>
                <w:color w:val="FFFFFF"/>
                <w:sz w:val="20"/>
                <w:szCs w:val="20"/>
              </w:rPr>
              <w:t xml:space="preserve">Tab. 6: </w:t>
            </w:r>
            <w:r w:rsidR="004F2171" w:rsidRPr="0035027D">
              <w:rPr>
                <w:rFonts w:cs="Times New Roman"/>
                <w:b/>
                <w:bCs/>
                <w:color w:val="FFFFFF"/>
                <w:sz w:val="20"/>
                <w:szCs w:val="20"/>
              </w:rPr>
              <w:t>Výsledkový indikátor pre modernizáciu verejnej správy</w:t>
            </w:r>
          </w:p>
        </w:tc>
      </w:tr>
      <w:tr w:rsidR="004F2171" w:rsidRPr="0035027D" w:rsidTr="004F2171">
        <w:trPr>
          <w:trHeight w:val="510"/>
          <w:jc w:val="center"/>
        </w:trPr>
        <w:tc>
          <w:tcPr>
            <w:tcW w:w="3155" w:type="dxa"/>
            <w:tcBorders>
              <w:top w:val="nil"/>
              <w:left w:val="single" w:sz="4" w:space="0" w:color="auto"/>
              <w:bottom w:val="nil"/>
              <w:right w:val="nil"/>
            </w:tcBorders>
            <w:shd w:val="clear" w:color="000000" w:fill="BFBFBF"/>
            <w:noWrap/>
            <w:vAlign w:val="center"/>
            <w:hideMark/>
          </w:tcPr>
          <w:p w:rsidR="004F2171" w:rsidRPr="0035027D" w:rsidRDefault="004F2171" w:rsidP="004F2171">
            <w:pPr>
              <w:spacing w:after="0"/>
              <w:jc w:val="left"/>
              <w:rPr>
                <w:rFonts w:cs="Times New Roman"/>
                <w:b/>
                <w:bCs/>
                <w:color w:val="FFFFFF"/>
                <w:sz w:val="20"/>
                <w:szCs w:val="20"/>
              </w:rPr>
            </w:pPr>
            <w:r w:rsidRPr="0035027D">
              <w:rPr>
                <w:rFonts w:cs="Times New Roman"/>
                <w:b/>
                <w:bCs/>
                <w:color w:val="FFFFFF"/>
                <w:sz w:val="20"/>
                <w:szCs w:val="20"/>
              </w:rPr>
              <w:t> </w:t>
            </w:r>
          </w:p>
        </w:tc>
        <w:tc>
          <w:tcPr>
            <w:tcW w:w="507" w:type="dxa"/>
            <w:tcBorders>
              <w:top w:val="nil"/>
              <w:left w:val="nil"/>
              <w:bottom w:val="nil"/>
              <w:right w:val="nil"/>
            </w:tcBorders>
            <w:shd w:val="clear" w:color="000000" w:fill="BFBFBF"/>
            <w:noWrap/>
            <w:vAlign w:val="center"/>
            <w:hideMark/>
          </w:tcPr>
          <w:p w:rsidR="004F2171" w:rsidRPr="0035027D" w:rsidRDefault="004F2171" w:rsidP="004F2171">
            <w:pPr>
              <w:spacing w:after="0"/>
              <w:jc w:val="left"/>
              <w:rPr>
                <w:rFonts w:cs="Times New Roman"/>
                <w:b/>
                <w:bCs/>
                <w:color w:val="FFFFFF"/>
                <w:sz w:val="20"/>
                <w:szCs w:val="20"/>
              </w:rPr>
            </w:pPr>
            <w:r w:rsidRPr="0035027D">
              <w:rPr>
                <w:rFonts w:cs="Times New Roman"/>
                <w:b/>
                <w:bCs/>
                <w:color w:val="FFFFFF"/>
                <w:sz w:val="20"/>
                <w:szCs w:val="20"/>
              </w:rPr>
              <w:t> </w:t>
            </w:r>
          </w:p>
        </w:tc>
        <w:tc>
          <w:tcPr>
            <w:tcW w:w="522" w:type="dxa"/>
            <w:tcBorders>
              <w:top w:val="nil"/>
              <w:left w:val="single" w:sz="4" w:space="0" w:color="auto"/>
              <w:bottom w:val="nil"/>
              <w:right w:val="nil"/>
            </w:tcBorders>
            <w:shd w:val="clear" w:color="000000" w:fill="BFBFBF"/>
            <w:noWrap/>
            <w:vAlign w:val="center"/>
            <w:hideMark/>
          </w:tcPr>
          <w:p w:rsidR="004F2171" w:rsidRPr="0035027D" w:rsidRDefault="004F2171" w:rsidP="004F2171">
            <w:pPr>
              <w:spacing w:after="0"/>
              <w:jc w:val="center"/>
              <w:rPr>
                <w:rFonts w:cs="Times New Roman"/>
                <w:b/>
                <w:bCs/>
                <w:color w:val="000000"/>
                <w:sz w:val="20"/>
                <w:szCs w:val="20"/>
              </w:rPr>
            </w:pPr>
            <w:r w:rsidRPr="0035027D">
              <w:rPr>
                <w:rFonts w:cs="Times New Roman"/>
                <w:b/>
                <w:bCs/>
                <w:color w:val="000000"/>
                <w:sz w:val="20"/>
                <w:szCs w:val="20"/>
              </w:rPr>
              <w:t>2004</w:t>
            </w:r>
          </w:p>
        </w:tc>
        <w:tc>
          <w:tcPr>
            <w:tcW w:w="522" w:type="dxa"/>
            <w:tcBorders>
              <w:top w:val="nil"/>
              <w:left w:val="nil"/>
              <w:bottom w:val="nil"/>
              <w:right w:val="nil"/>
            </w:tcBorders>
            <w:shd w:val="clear" w:color="000000" w:fill="BFBFBF"/>
            <w:noWrap/>
            <w:vAlign w:val="center"/>
            <w:hideMark/>
          </w:tcPr>
          <w:p w:rsidR="004F2171" w:rsidRPr="0035027D" w:rsidRDefault="004F2171" w:rsidP="004F2171">
            <w:pPr>
              <w:spacing w:after="0"/>
              <w:jc w:val="center"/>
              <w:rPr>
                <w:rFonts w:cs="Times New Roman"/>
                <w:b/>
                <w:bCs/>
                <w:color w:val="000000"/>
                <w:sz w:val="20"/>
                <w:szCs w:val="20"/>
              </w:rPr>
            </w:pPr>
            <w:r w:rsidRPr="0035027D">
              <w:rPr>
                <w:rFonts w:cs="Times New Roman"/>
                <w:b/>
                <w:bCs/>
                <w:color w:val="000000"/>
                <w:sz w:val="20"/>
                <w:szCs w:val="20"/>
              </w:rPr>
              <w:t>2005</w:t>
            </w:r>
          </w:p>
        </w:tc>
        <w:tc>
          <w:tcPr>
            <w:tcW w:w="522" w:type="dxa"/>
            <w:tcBorders>
              <w:top w:val="nil"/>
              <w:left w:val="nil"/>
              <w:bottom w:val="nil"/>
              <w:right w:val="nil"/>
            </w:tcBorders>
            <w:shd w:val="clear" w:color="000000" w:fill="BFBFBF"/>
            <w:noWrap/>
            <w:vAlign w:val="center"/>
            <w:hideMark/>
          </w:tcPr>
          <w:p w:rsidR="004F2171" w:rsidRPr="0035027D" w:rsidRDefault="004F2171" w:rsidP="004F2171">
            <w:pPr>
              <w:spacing w:after="0"/>
              <w:jc w:val="center"/>
              <w:rPr>
                <w:rFonts w:cs="Times New Roman"/>
                <w:b/>
                <w:bCs/>
                <w:color w:val="000000"/>
                <w:sz w:val="20"/>
                <w:szCs w:val="20"/>
              </w:rPr>
            </w:pPr>
            <w:r w:rsidRPr="0035027D">
              <w:rPr>
                <w:rFonts w:cs="Times New Roman"/>
                <w:b/>
                <w:bCs/>
                <w:color w:val="000000"/>
                <w:sz w:val="20"/>
                <w:szCs w:val="20"/>
              </w:rPr>
              <w:t>2006</w:t>
            </w:r>
          </w:p>
        </w:tc>
        <w:tc>
          <w:tcPr>
            <w:tcW w:w="522" w:type="dxa"/>
            <w:tcBorders>
              <w:top w:val="nil"/>
              <w:left w:val="nil"/>
              <w:bottom w:val="nil"/>
              <w:right w:val="nil"/>
            </w:tcBorders>
            <w:shd w:val="clear" w:color="000000" w:fill="BFBFBF"/>
            <w:noWrap/>
            <w:vAlign w:val="center"/>
            <w:hideMark/>
          </w:tcPr>
          <w:p w:rsidR="004F2171" w:rsidRPr="0035027D" w:rsidRDefault="004F2171" w:rsidP="004F2171">
            <w:pPr>
              <w:spacing w:after="0"/>
              <w:jc w:val="center"/>
              <w:rPr>
                <w:rFonts w:cs="Times New Roman"/>
                <w:b/>
                <w:bCs/>
                <w:color w:val="000000"/>
                <w:sz w:val="20"/>
                <w:szCs w:val="20"/>
              </w:rPr>
            </w:pPr>
            <w:r w:rsidRPr="0035027D">
              <w:rPr>
                <w:rFonts w:cs="Times New Roman"/>
                <w:b/>
                <w:bCs/>
                <w:color w:val="000000"/>
                <w:sz w:val="20"/>
                <w:szCs w:val="20"/>
              </w:rPr>
              <w:t>2007</w:t>
            </w:r>
          </w:p>
        </w:tc>
        <w:tc>
          <w:tcPr>
            <w:tcW w:w="522" w:type="dxa"/>
            <w:tcBorders>
              <w:top w:val="nil"/>
              <w:left w:val="nil"/>
              <w:bottom w:val="nil"/>
              <w:right w:val="nil"/>
            </w:tcBorders>
            <w:shd w:val="clear" w:color="000000" w:fill="BFBFBF"/>
            <w:vAlign w:val="center"/>
            <w:hideMark/>
          </w:tcPr>
          <w:p w:rsidR="004F2171" w:rsidRPr="0035027D" w:rsidRDefault="004F2171" w:rsidP="004F2171">
            <w:pPr>
              <w:spacing w:after="0"/>
              <w:jc w:val="center"/>
              <w:rPr>
                <w:rFonts w:cs="Times New Roman"/>
                <w:b/>
                <w:bCs/>
                <w:color w:val="000000"/>
                <w:sz w:val="20"/>
                <w:szCs w:val="20"/>
              </w:rPr>
            </w:pPr>
            <w:r w:rsidRPr="0035027D">
              <w:rPr>
                <w:rFonts w:cs="Times New Roman"/>
                <w:b/>
                <w:bCs/>
                <w:color w:val="000000"/>
                <w:sz w:val="20"/>
                <w:szCs w:val="20"/>
              </w:rPr>
              <w:t>2008</w:t>
            </w:r>
          </w:p>
        </w:tc>
        <w:tc>
          <w:tcPr>
            <w:tcW w:w="522" w:type="dxa"/>
            <w:tcBorders>
              <w:top w:val="nil"/>
              <w:left w:val="nil"/>
              <w:bottom w:val="nil"/>
              <w:right w:val="nil"/>
            </w:tcBorders>
            <w:shd w:val="clear" w:color="000000" w:fill="BFBFBF"/>
            <w:vAlign w:val="center"/>
            <w:hideMark/>
          </w:tcPr>
          <w:p w:rsidR="004F2171" w:rsidRPr="0035027D" w:rsidRDefault="004F2171" w:rsidP="004F2171">
            <w:pPr>
              <w:spacing w:after="0"/>
              <w:jc w:val="center"/>
              <w:rPr>
                <w:rFonts w:cs="Times New Roman"/>
                <w:b/>
                <w:bCs/>
                <w:color w:val="000000"/>
                <w:sz w:val="20"/>
                <w:szCs w:val="20"/>
              </w:rPr>
            </w:pPr>
            <w:r w:rsidRPr="0035027D">
              <w:rPr>
                <w:rFonts w:cs="Times New Roman"/>
                <w:b/>
                <w:bCs/>
                <w:color w:val="000000"/>
                <w:sz w:val="20"/>
                <w:szCs w:val="20"/>
              </w:rPr>
              <w:t>2009</w:t>
            </w:r>
          </w:p>
        </w:tc>
        <w:tc>
          <w:tcPr>
            <w:tcW w:w="522" w:type="dxa"/>
            <w:tcBorders>
              <w:top w:val="nil"/>
              <w:left w:val="nil"/>
              <w:bottom w:val="nil"/>
              <w:right w:val="nil"/>
            </w:tcBorders>
            <w:shd w:val="clear" w:color="000000" w:fill="BFBFBF"/>
            <w:vAlign w:val="center"/>
            <w:hideMark/>
          </w:tcPr>
          <w:p w:rsidR="004F2171" w:rsidRPr="0035027D" w:rsidRDefault="004F2171" w:rsidP="004F2171">
            <w:pPr>
              <w:spacing w:after="0"/>
              <w:jc w:val="center"/>
              <w:rPr>
                <w:rFonts w:cs="Times New Roman"/>
                <w:b/>
                <w:bCs/>
                <w:color w:val="000000"/>
                <w:sz w:val="20"/>
                <w:szCs w:val="20"/>
              </w:rPr>
            </w:pPr>
            <w:r w:rsidRPr="0035027D">
              <w:rPr>
                <w:rFonts w:cs="Times New Roman"/>
                <w:b/>
                <w:bCs/>
                <w:color w:val="000000"/>
                <w:sz w:val="20"/>
                <w:szCs w:val="20"/>
              </w:rPr>
              <w:t>2010</w:t>
            </w:r>
          </w:p>
        </w:tc>
        <w:tc>
          <w:tcPr>
            <w:tcW w:w="522" w:type="dxa"/>
            <w:tcBorders>
              <w:top w:val="nil"/>
              <w:left w:val="nil"/>
              <w:bottom w:val="nil"/>
              <w:right w:val="single" w:sz="4" w:space="0" w:color="auto"/>
            </w:tcBorders>
            <w:shd w:val="clear" w:color="000000" w:fill="BFBFBF"/>
            <w:vAlign w:val="center"/>
            <w:hideMark/>
          </w:tcPr>
          <w:p w:rsidR="004F2171" w:rsidRPr="0035027D" w:rsidRDefault="004F2171" w:rsidP="004F2171">
            <w:pPr>
              <w:spacing w:after="0"/>
              <w:jc w:val="center"/>
              <w:rPr>
                <w:rFonts w:cs="Times New Roman"/>
                <w:b/>
                <w:bCs/>
                <w:color w:val="000000"/>
                <w:sz w:val="20"/>
                <w:szCs w:val="20"/>
              </w:rPr>
            </w:pPr>
            <w:r w:rsidRPr="0035027D">
              <w:rPr>
                <w:rFonts w:cs="Times New Roman"/>
                <w:b/>
                <w:bCs/>
                <w:color w:val="000000"/>
                <w:sz w:val="20"/>
                <w:szCs w:val="20"/>
              </w:rPr>
              <w:t>2011</w:t>
            </w:r>
          </w:p>
        </w:tc>
        <w:tc>
          <w:tcPr>
            <w:tcW w:w="522" w:type="dxa"/>
            <w:tcBorders>
              <w:top w:val="nil"/>
              <w:left w:val="nil"/>
              <w:bottom w:val="nil"/>
              <w:right w:val="single" w:sz="4" w:space="0" w:color="auto"/>
            </w:tcBorders>
            <w:shd w:val="clear" w:color="000000" w:fill="BFBFBF"/>
            <w:vAlign w:val="center"/>
            <w:hideMark/>
          </w:tcPr>
          <w:p w:rsidR="004F2171" w:rsidRPr="0035027D" w:rsidRDefault="004F2171" w:rsidP="004F2171">
            <w:pPr>
              <w:spacing w:after="0"/>
              <w:jc w:val="left"/>
              <w:rPr>
                <w:rFonts w:cs="Times New Roman"/>
                <w:b/>
                <w:bCs/>
                <w:sz w:val="20"/>
                <w:szCs w:val="20"/>
              </w:rPr>
            </w:pPr>
            <w:r w:rsidRPr="0035027D">
              <w:rPr>
                <w:rFonts w:cs="Times New Roman"/>
                <w:b/>
                <w:bCs/>
                <w:sz w:val="20"/>
                <w:szCs w:val="20"/>
              </w:rPr>
              <w:t>Cieľ 2020</w:t>
            </w:r>
          </w:p>
        </w:tc>
      </w:tr>
      <w:tr w:rsidR="004F2171" w:rsidRPr="0035027D" w:rsidTr="004F2171">
        <w:trPr>
          <w:trHeight w:val="300"/>
          <w:jc w:val="center"/>
        </w:trPr>
        <w:tc>
          <w:tcPr>
            <w:tcW w:w="3155" w:type="dxa"/>
            <w:tcBorders>
              <w:top w:val="single" w:sz="4" w:space="0" w:color="auto"/>
              <w:left w:val="single" w:sz="4" w:space="0" w:color="auto"/>
              <w:bottom w:val="nil"/>
              <w:right w:val="nil"/>
            </w:tcBorders>
            <w:shd w:val="clear" w:color="auto" w:fill="auto"/>
            <w:noWrap/>
            <w:vAlign w:val="center"/>
            <w:hideMark/>
          </w:tcPr>
          <w:p w:rsidR="004F2171" w:rsidRPr="0035027D" w:rsidRDefault="004F2171" w:rsidP="004F2171">
            <w:pPr>
              <w:spacing w:after="0"/>
              <w:jc w:val="left"/>
              <w:rPr>
                <w:rFonts w:cs="Times New Roman"/>
                <w:b/>
                <w:bCs/>
                <w:color w:val="000000"/>
                <w:sz w:val="20"/>
                <w:szCs w:val="20"/>
              </w:rPr>
            </w:pPr>
            <w:r w:rsidRPr="0035027D">
              <w:rPr>
                <w:rFonts w:cs="Times New Roman"/>
                <w:b/>
                <w:bCs/>
                <w:color w:val="000000"/>
                <w:sz w:val="20"/>
                <w:szCs w:val="20"/>
              </w:rPr>
              <w:t>E-government index</w:t>
            </w:r>
          </w:p>
        </w:tc>
        <w:tc>
          <w:tcPr>
            <w:tcW w:w="507" w:type="dxa"/>
            <w:tcBorders>
              <w:top w:val="single" w:sz="4" w:space="0" w:color="auto"/>
              <w:left w:val="nil"/>
              <w:bottom w:val="nil"/>
              <w:right w:val="nil"/>
            </w:tcBorders>
            <w:shd w:val="clear" w:color="auto" w:fill="auto"/>
            <w:noWrap/>
            <w:vAlign w:val="center"/>
            <w:hideMark/>
          </w:tcPr>
          <w:p w:rsidR="004F2171" w:rsidRPr="0035027D" w:rsidRDefault="004F2171" w:rsidP="004F2171">
            <w:pPr>
              <w:spacing w:after="0"/>
              <w:jc w:val="left"/>
              <w:rPr>
                <w:rFonts w:cs="Times New Roman"/>
                <w:b/>
                <w:bCs/>
                <w:color w:val="000000"/>
                <w:sz w:val="20"/>
                <w:szCs w:val="20"/>
              </w:rPr>
            </w:pPr>
            <w:r w:rsidRPr="0035027D">
              <w:rPr>
                <w:rFonts w:cs="Times New Roman"/>
                <w:b/>
                <w:bCs/>
                <w:color w:val="000000"/>
                <w:sz w:val="20"/>
                <w:szCs w:val="20"/>
              </w:rPr>
              <w:t>SK</w:t>
            </w:r>
          </w:p>
        </w:tc>
        <w:tc>
          <w:tcPr>
            <w:tcW w:w="522" w:type="dxa"/>
            <w:tcBorders>
              <w:top w:val="single" w:sz="4" w:space="0" w:color="auto"/>
              <w:left w:val="single" w:sz="4" w:space="0" w:color="auto"/>
              <w:bottom w:val="nil"/>
              <w:right w:val="nil"/>
            </w:tcBorders>
            <w:shd w:val="clear" w:color="auto" w:fill="auto"/>
            <w:vAlign w:val="center"/>
            <w:hideMark/>
          </w:tcPr>
          <w:p w:rsidR="004F2171" w:rsidRPr="0035027D" w:rsidRDefault="004F2171" w:rsidP="004F2171">
            <w:pPr>
              <w:spacing w:after="0"/>
              <w:jc w:val="center"/>
              <w:rPr>
                <w:rFonts w:cs="Times New Roman"/>
                <w:color w:val="000000"/>
                <w:sz w:val="20"/>
                <w:szCs w:val="20"/>
              </w:rPr>
            </w:pPr>
            <w:r w:rsidRPr="0035027D">
              <w:rPr>
                <w:rFonts w:cs="Times New Roman"/>
                <w:color w:val="000000"/>
                <w:sz w:val="20"/>
                <w:szCs w:val="20"/>
              </w:rPr>
              <w:t>25,5</w:t>
            </w:r>
          </w:p>
        </w:tc>
        <w:tc>
          <w:tcPr>
            <w:tcW w:w="522" w:type="dxa"/>
            <w:tcBorders>
              <w:top w:val="single" w:sz="4" w:space="0" w:color="auto"/>
              <w:left w:val="nil"/>
              <w:bottom w:val="nil"/>
              <w:right w:val="nil"/>
            </w:tcBorders>
            <w:shd w:val="clear" w:color="auto" w:fill="auto"/>
            <w:vAlign w:val="center"/>
            <w:hideMark/>
          </w:tcPr>
          <w:p w:rsidR="004F2171" w:rsidRPr="0035027D" w:rsidRDefault="004F2171" w:rsidP="004F2171">
            <w:pPr>
              <w:spacing w:after="0"/>
              <w:jc w:val="center"/>
              <w:rPr>
                <w:rFonts w:cs="Times New Roman"/>
                <w:color w:val="000000"/>
                <w:sz w:val="20"/>
                <w:szCs w:val="20"/>
              </w:rPr>
            </w:pPr>
            <w:r w:rsidRPr="0035027D">
              <w:rPr>
                <w:rFonts w:cs="Times New Roman"/>
                <w:color w:val="000000"/>
                <w:sz w:val="20"/>
                <w:szCs w:val="20"/>
              </w:rPr>
              <w:t>-</w:t>
            </w:r>
          </w:p>
        </w:tc>
        <w:tc>
          <w:tcPr>
            <w:tcW w:w="522" w:type="dxa"/>
            <w:tcBorders>
              <w:top w:val="single" w:sz="4" w:space="0" w:color="auto"/>
              <w:left w:val="nil"/>
              <w:bottom w:val="nil"/>
              <w:right w:val="nil"/>
            </w:tcBorders>
            <w:shd w:val="clear" w:color="auto" w:fill="auto"/>
            <w:vAlign w:val="center"/>
            <w:hideMark/>
          </w:tcPr>
          <w:p w:rsidR="004F2171" w:rsidRPr="0035027D" w:rsidRDefault="004F2171" w:rsidP="004F2171">
            <w:pPr>
              <w:spacing w:after="0"/>
              <w:jc w:val="center"/>
              <w:rPr>
                <w:rFonts w:cs="Times New Roman"/>
                <w:color w:val="000000"/>
                <w:sz w:val="20"/>
                <w:szCs w:val="20"/>
              </w:rPr>
            </w:pPr>
            <w:r w:rsidRPr="0035027D">
              <w:rPr>
                <w:rFonts w:cs="Times New Roman"/>
                <w:color w:val="000000"/>
                <w:sz w:val="20"/>
                <w:szCs w:val="20"/>
              </w:rPr>
              <w:t>37,3</w:t>
            </w:r>
          </w:p>
        </w:tc>
        <w:tc>
          <w:tcPr>
            <w:tcW w:w="522" w:type="dxa"/>
            <w:tcBorders>
              <w:top w:val="single" w:sz="4" w:space="0" w:color="auto"/>
              <w:left w:val="nil"/>
              <w:bottom w:val="nil"/>
              <w:right w:val="nil"/>
            </w:tcBorders>
            <w:shd w:val="clear" w:color="auto" w:fill="auto"/>
            <w:vAlign w:val="center"/>
            <w:hideMark/>
          </w:tcPr>
          <w:p w:rsidR="004F2171" w:rsidRPr="0035027D" w:rsidRDefault="004F2171" w:rsidP="004F2171">
            <w:pPr>
              <w:spacing w:after="0"/>
              <w:jc w:val="center"/>
              <w:rPr>
                <w:rFonts w:cs="Times New Roman"/>
                <w:color w:val="000000"/>
                <w:sz w:val="20"/>
                <w:szCs w:val="20"/>
              </w:rPr>
            </w:pPr>
            <w:r w:rsidRPr="0035027D">
              <w:rPr>
                <w:rFonts w:cs="Times New Roman"/>
                <w:color w:val="000000"/>
                <w:sz w:val="20"/>
                <w:szCs w:val="20"/>
              </w:rPr>
              <w:t>42,3</w:t>
            </w:r>
          </w:p>
        </w:tc>
        <w:tc>
          <w:tcPr>
            <w:tcW w:w="522" w:type="dxa"/>
            <w:tcBorders>
              <w:top w:val="single" w:sz="4" w:space="0" w:color="auto"/>
              <w:left w:val="nil"/>
              <w:bottom w:val="nil"/>
              <w:right w:val="nil"/>
            </w:tcBorders>
            <w:shd w:val="clear" w:color="auto" w:fill="auto"/>
            <w:vAlign w:val="center"/>
            <w:hideMark/>
          </w:tcPr>
          <w:p w:rsidR="004F2171" w:rsidRPr="0035027D" w:rsidRDefault="004F2171" w:rsidP="004F2171">
            <w:pPr>
              <w:spacing w:after="0"/>
              <w:jc w:val="center"/>
              <w:rPr>
                <w:rFonts w:cs="Times New Roman"/>
                <w:color w:val="000000"/>
                <w:sz w:val="20"/>
                <w:szCs w:val="20"/>
              </w:rPr>
            </w:pPr>
            <w:r w:rsidRPr="0035027D">
              <w:rPr>
                <w:rFonts w:cs="Times New Roman"/>
                <w:color w:val="000000"/>
                <w:sz w:val="20"/>
                <w:szCs w:val="20"/>
              </w:rPr>
              <w:t>-</w:t>
            </w:r>
          </w:p>
        </w:tc>
        <w:tc>
          <w:tcPr>
            <w:tcW w:w="522" w:type="dxa"/>
            <w:tcBorders>
              <w:top w:val="single" w:sz="4" w:space="0" w:color="auto"/>
              <w:left w:val="nil"/>
              <w:bottom w:val="nil"/>
              <w:right w:val="nil"/>
            </w:tcBorders>
            <w:shd w:val="clear" w:color="auto" w:fill="auto"/>
            <w:vAlign w:val="center"/>
            <w:hideMark/>
          </w:tcPr>
          <w:p w:rsidR="004F2171" w:rsidRPr="0035027D" w:rsidRDefault="004F2171" w:rsidP="004F2171">
            <w:pPr>
              <w:spacing w:after="0"/>
              <w:jc w:val="center"/>
              <w:rPr>
                <w:rFonts w:cs="Times New Roman"/>
                <w:color w:val="000000"/>
                <w:sz w:val="20"/>
                <w:szCs w:val="20"/>
              </w:rPr>
            </w:pPr>
            <w:r w:rsidRPr="0035027D">
              <w:rPr>
                <w:rFonts w:cs="Times New Roman"/>
                <w:color w:val="000000"/>
                <w:sz w:val="20"/>
                <w:szCs w:val="20"/>
              </w:rPr>
              <w:t>58,6</w:t>
            </w:r>
          </w:p>
        </w:tc>
        <w:tc>
          <w:tcPr>
            <w:tcW w:w="522" w:type="dxa"/>
            <w:tcBorders>
              <w:top w:val="single" w:sz="4" w:space="0" w:color="auto"/>
              <w:left w:val="nil"/>
              <w:bottom w:val="nil"/>
              <w:right w:val="nil"/>
            </w:tcBorders>
            <w:shd w:val="clear" w:color="auto" w:fill="auto"/>
            <w:vAlign w:val="center"/>
            <w:hideMark/>
          </w:tcPr>
          <w:p w:rsidR="004F2171" w:rsidRPr="0035027D" w:rsidRDefault="004F2171" w:rsidP="004F2171">
            <w:pPr>
              <w:spacing w:after="0"/>
              <w:jc w:val="center"/>
              <w:rPr>
                <w:rFonts w:cs="Times New Roman"/>
                <w:color w:val="000000"/>
                <w:sz w:val="20"/>
                <w:szCs w:val="20"/>
              </w:rPr>
            </w:pPr>
            <w:r w:rsidRPr="0035027D">
              <w:rPr>
                <w:rFonts w:cs="Times New Roman"/>
                <w:color w:val="000000"/>
                <w:sz w:val="20"/>
                <w:szCs w:val="20"/>
              </w:rPr>
              <w:t>62</w:t>
            </w:r>
          </w:p>
        </w:tc>
        <w:tc>
          <w:tcPr>
            <w:tcW w:w="522" w:type="dxa"/>
            <w:tcBorders>
              <w:top w:val="single" w:sz="4" w:space="0" w:color="auto"/>
              <w:left w:val="nil"/>
              <w:bottom w:val="nil"/>
              <w:right w:val="single" w:sz="4" w:space="0" w:color="auto"/>
            </w:tcBorders>
            <w:shd w:val="clear" w:color="auto" w:fill="auto"/>
            <w:vAlign w:val="center"/>
            <w:hideMark/>
          </w:tcPr>
          <w:p w:rsidR="004F2171" w:rsidRPr="0035027D" w:rsidRDefault="004F2171" w:rsidP="004F2171">
            <w:pPr>
              <w:spacing w:after="0"/>
              <w:jc w:val="center"/>
              <w:rPr>
                <w:rFonts w:cs="Times New Roman"/>
                <w:color w:val="000000"/>
                <w:sz w:val="20"/>
                <w:szCs w:val="20"/>
              </w:rPr>
            </w:pPr>
            <w:r w:rsidRPr="0035027D">
              <w:rPr>
                <w:rFonts w:cs="Times New Roman"/>
                <w:color w:val="000000"/>
                <w:sz w:val="20"/>
                <w:szCs w:val="20"/>
              </w:rPr>
              <w:t xml:space="preserve"> - </w:t>
            </w:r>
          </w:p>
        </w:tc>
        <w:tc>
          <w:tcPr>
            <w:tcW w:w="522" w:type="dxa"/>
            <w:tcBorders>
              <w:top w:val="single" w:sz="4" w:space="0" w:color="auto"/>
              <w:left w:val="nil"/>
              <w:bottom w:val="nil"/>
              <w:right w:val="single" w:sz="4" w:space="0" w:color="auto"/>
            </w:tcBorders>
            <w:shd w:val="clear" w:color="auto" w:fill="auto"/>
            <w:vAlign w:val="center"/>
            <w:hideMark/>
          </w:tcPr>
          <w:p w:rsidR="004F2171" w:rsidRPr="0035027D" w:rsidRDefault="004F2171" w:rsidP="004F2171">
            <w:pPr>
              <w:spacing w:after="0"/>
              <w:jc w:val="center"/>
              <w:rPr>
                <w:rFonts w:cs="Times New Roman"/>
                <w:color w:val="000000"/>
                <w:sz w:val="20"/>
                <w:szCs w:val="20"/>
              </w:rPr>
            </w:pPr>
            <w:r w:rsidRPr="0035027D">
              <w:rPr>
                <w:rFonts w:cs="Times New Roman"/>
                <w:color w:val="000000"/>
                <w:sz w:val="20"/>
                <w:szCs w:val="20"/>
              </w:rPr>
              <w:t>90</w:t>
            </w:r>
          </w:p>
        </w:tc>
      </w:tr>
      <w:tr w:rsidR="004F2171" w:rsidRPr="0035027D" w:rsidTr="004F2171">
        <w:trPr>
          <w:trHeight w:val="300"/>
          <w:jc w:val="center"/>
        </w:trPr>
        <w:tc>
          <w:tcPr>
            <w:tcW w:w="3155" w:type="dxa"/>
            <w:tcBorders>
              <w:top w:val="nil"/>
              <w:left w:val="single" w:sz="4" w:space="0" w:color="auto"/>
              <w:bottom w:val="single" w:sz="4" w:space="0" w:color="auto"/>
              <w:right w:val="nil"/>
            </w:tcBorders>
            <w:shd w:val="clear" w:color="auto" w:fill="auto"/>
            <w:noWrap/>
            <w:vAlign w:val="center"/>
            <w:hideMark/>
          </w:tcPr>
          <w:p w:rsidR="004F2171" w:rsidRPr="0035027D" w:rsidRDefault="004F2171" w:rsidP="004F2171">
            <w:pPr>
              <w:spacing w:after="0"/>
              <w:rPr>
                <w:rFonts w:cs="Times New Roman"/>
                <w:color w:val="000000"/>
                <w:sz w:val="20"/>
                <w:szCs w:val="20"/>
              </w:rPr>
            </w:pPr>
            <w:r w:rsidRPr="0035027D">
              <w:rPr>
                <w:rFonts w:cs="Times New Roman"/>
                <w:color w:val="000000"/>
                <w:sz w:val="20"/>
                <w:szCs w:val="20"/>
              </w:rPr>
              <w:t>(%)</w:t>
            </w:r>
          </w:p>
        </w:tc>
        <w:tc>
          <w:tcPr>
            <w:tcW w:w="507" w:type="dxa"/>
            <w:tcBorders>
              <w:top w:val="nil"/>
              <w:left w:val="nil"/>
              <w:bottom w:val="single" w:sz="4" w:space="0" w:color="auto"/>
              <w:right w:val="nil"/>
            </w:tcBorders>
            <w:shd w:val="clear" w:color="auto" w:fill="auto"/>
            <w:noWrap/>
            <w:vAlign w:val="center"/>
            <w:hideMark/>
          </w:tcPr>
          <w:p w:rsidR="004F2171" w:rsidRPr="0035027D" w:rsidRDefault="004F2171" w:rsidP="004F2171">
            <w:pPr>
              <w:spacing w:after="0"/>
              <w:jc w:val="left"/>
              <w:rPr>
                <w:rFonts w:cs="Times New Roman"/>
                <w:b/>
                <w:bCs/>
                <w:color w:val="000000"/>
                <w:sz w:val="20"/>
                <w:szCs w:val="20"/>
              </w:rPr>
            </w:pPr>
            <w:r w:rsidRPr="0035027D">
              <w:rPr>
                <w:rFonts w:cs="Times New Roman"/>
                <w:b/>
                <w:bCs/>
                <w:color w:val="000000"/>
                <w:sz w:val="20"/>
                <w:szCs w:val="20"/>
              </w:rPr>
              <w:t>EÚ</w:t>
            </w:r>
          </w:p>
        </w:tc>
        <w:tc>
          <w:tcPr>
            <w:tcW w:w="522" w:type="dxa"/>
            <w:tcBorders>
              <w:top w:val="nil"/>
              <w:left w:val="single" w:sz="4" w:space="0" w:color="auto"/>
              <w:bottom w:val="single" w:sz="4" w:space="0" w:color="auto"/>
              <w:right w:val="nil"/>
            </w:tcBorders>
            <w:shd w:val="clear" w:color="auto" w:fill="auto"/>
            <w:vAlign w:val="center"/>
            <w:hideMark/>
          </w:tcPr>
          <w:p w:rsidR="004F2171" w:rsidRPr="0035027D" w:rsidRDefault="004F2171" w:rsidP="004F2171">
            <w:pPr>
              <w:spacing w:after="0"/>
              <w:jc w:val="center"/>
              <w:rPr>
                <w:rFonts w:cs="Times New Roman"/>
                <w:color w:val="000000"/>
                <w:sz w:val="20"/>
                <w:szCs w:val="20"/>
              </w:rPr>
            </w:pPr>
            <w:r w:rsidRPr="0035027D">
              <w:rPr>
                <w:rFonts w:cs="Times New Roman"/>
                <w:color w:val="000000"/>
                <w:sz w:val="20"/>
                <w:szCs w:val="20"/>
              </w:rPr>
              <w:t>-</w:t>
            </w:r>
          </w:p>
        </w:tc>
        <w:tc>
          <w:tcPr>
            <w:tcW w:w="522" w:type="dxa"/>
            <w:tcBorders>
              <w:top w:val="nil"/>
              <w:left w:val="nil"/>
              <w:bottom w:val="single" w:sz="4" w:space="0" w:color="auto"/>
              <w:right w:val="nil"/>
            </w:tcBorders>
            <w:shd w:val="clear" w:color="auto" w:fill="auto"/>
            <w:vAlign w:val="center"/>
            <w:hideMark/>
          </w:tcPr>
          <w:p w:rsidR="004F2171" w:rsidRPr="0035027D" w:rsidRDefault="004F2171" w:rsidP="004F2171">
            <w:pPr>
              <w:spacing w:after="0"/>
              <w:jc w:val="center"/>
              <w:rPr>
                <w:rFonts w:cs="Times New Roman"/>
                <w:color w:val="000000"/>
                <w:sz w:val="20"/>
                <w:szCs w:val="20"/>
              </w:rPr>
            </w:pPr>
            <w:r w:rsidRPr="0035027D">
              <w:rPr>
                <w:rFonts w:cs="Times New Roman"/>
                <w:color w:val="000000"/>
                <w:sz w:val="20"/>
                <w:szCs w:val="20"/>
              </w:rPr>
              <w:t>-</w:t>
            </w:r>
          </w:p>
        </w:tc>
        <w:tc>
          <w:tcPr>
            <w:tcW w:w="522" w:type="dxa"/>
            <w:tcBorders>
              <w:top w:val="nil"/>
              <w:left w:val="nil"/>
              <w:bottom w:val="single" w:sz="4" w:space="0" w:color="auto"/>
              <w:right w:val="nil"/>
            </w:tcBorders>
            <w:shd w:val="clear" w:color="auto" w:fill="auto"/>
            <w:vAlign w:val="center"/>
            <w:hideMark/>
          </w:tcPr>
          <w:p w:rsidR="004F2171" w:rsidRPr="0035027D" w:rsidRDefault="004F2171" w:rsidP="004F2171">
            <w:pPr>
              <w:spacing w:after="0"/>
              <w:jc w:val="center"/>
              <w:rPr>
                <w:rFonts w:cs="Times New Roman"/>
                <w:color w:val="000000"/>
                <w:sz w:val="20"/>
                <w:szCs w:val="20"/>
              </w:rPr>
            </w:pPr>
            <w:r w:rsidRPr="0035027D">
              <w:rPr>
                <w:rFonts w:cs="Times New Roman"/>
                <w:color w:val="000000"/>
                <w:sz w:val="20"/>
                <w:szCs w:val="20"/>
              </w:rPr>
              <w:t>47</w:t>
            </w:r>
          </w:p>
        </w:tc>
        <w:tc>
          <w:tcPr>
            <w:tcW w:w="522" w:type="dxa"/>
            <w:tcBorders>
              <w:top w:val="nil"/>
              <w:left w:val="nil"/>
              <w:bottom w:val="single" w:sz="4" w:space="0" w:color="auto"/>
              <w:right w:val="nil"/>
            </w:tcBorders>
            <w:shd w:val="clear" w:color="auto" w:fill="auto"/>
            <w:vAlign w:val="center"/>
            <w:hideMark/>
          </w:tcPr>
          <w:p w:rsidR="004F2171" w:rsidRPr="0035027D" w:rsidRDefault="004F2171" w:rsidP="004F2171">
            <w:pPr>
              <w:spacing w:after="0"/>
              <w:jc w:val="center"/>
              <w:rPr>
                <w:rFonts w:cs="Times New Roman"/>
                <w:color w:val="000000"/>
                <w:sz w:val="20"/>
                <w:szCs w:val="20"/>
              </w:rPr>
            </w:pPr>
            <w:r w:rsidRPr="0035027D">
              <w:rPr>
                <w:rFonts w:cs="Times New Roman"/>
                <w:color w:val="000000"/>
                <w:sz w:val="20"/>
                <w:szCs w:val="20"/>
              </w:rPr>
              <w:t>52,9</w:t>
            </w:r>
          </w:p>
        </w:tc>
        <w:tc>
          <w:tcPr>
            <w:tcW w:w="522" w:type="dxa"/>
            <w:tcBorders>
              <w:top w:val="nil"/>
              <w:left w:val="nil"/>
              <w:bottom w:val="single" w:sz="4" w:space="0" w:color="auto"/>
              <w:right w:val="nil"/>
            </w:tcBorders>
            <w:shd w:val="clear" w:color="auto" w:fill="auto"/>
            <w:vAlign w:val="center"/>
            <w:hideMark/>
          </w:tcPr>
          <w:p w:rsidR="004F2171" w:rsidRPr="0035027D" w:rsidRDefault="004F2171" w:rsidP="004F2171">
            <w:pPr>
              <w:spacing w:after="0"/>
              <w:jc w:val="center"/>
              <w:rPr>
                <w:rFonts w:cs="Times New Roman"/>
                <w:color w:val="000000"/>
                <w:sz w:val="20"/>
                <w:szCs w:val="20"/>
              </w:rPr>
            </w:pPr>
            <w:r w:rsidRPr="0035027D">
              <w:rPr>
                <w:rFonts w:cs="Times New Roman"/>
                <w:color w:val="000000"/>
                <w:sz w:val="20"/>
                <w:szCs w:val="20"/>
              </w:rPr>
              <w:t>-</w:t>
            </w:r>
          </w:p>
        </w:tc>
        <w:tc>
          <w:tcPr>
            <w:tcW w:w="522" w:type="dxa"/>
            <w:tcBorders>
              <w:top w:val="nil"/>
              <w:left w:val="nil"/>
              <w:bottom w:val="single" w:sz="4" w:space="0" w:color="auto"/>
              <w:right w:val="nil"/>
            </w:tcBorders>
            <w:shd w:val="clear" w:color="auto" w:fill="auto"/>
            <w:vAlign w:val="center"/>
            <w:hideMark/>
          </w:tcPr>
          <w:p w:rsidR="004F2171" w:rsidRPr="0035027D" w:rsidRDefault="004F2171" w:rsidP="004F2171">
            <w:pPr>
              <w:spacing w:after="0"/>
              <w:jc w:val="center"/>
              <w:rPr>
                <w:rFonts w:cs="Times New Roman"/>
                <w:color w:val="000000"/>
                <w:sz w:val="20"/>
                <w:szCs w:val="20"/>
              </w:rPr>
            </w:pPr>
            <w:r w:rsidRPr="0035027D">
              <w:rPr>
                <w:rFonts w:cs="Times New Roman"/>
                <w:color w:val="000000"/>
                <w:sz w:val="20"/>
                <w:szCs w:val="20"/>
              </w:rPr>
              <w:t>61,4</w:t>
            </w:r>
          </w:p>
        </w:tc>
        <w:tc>
          <w:tcPr>
            <w:tcW w:w="522" w:type="dxa"/>
            <w:tcBorders>
              <w:top w:val="nil"/>
              <w:left w:val="nil"/>
              <w:bottom w:val="single" w:sz="4" w:space="0" w:color="auto"/>
              <w:right w:val="nil"/>
            </w:tcBorders>
            <w:shd w:val="clear" w:color="auto" w:fill="auto"/>
            <w:vAlign w:val="center"/>
            <w:hideMark/>
          </w:tcPr>
          <w:p w:rsidR="004F2171" w:rsidRPr="0035027D" w:rsidRDefault="004F2171" w:rsidP="004F2171">
            <w:pPr>
              <w:spacing w:after="0"/>
              <w:jc w:val="center"/>
              <w:rPr>
                <w:rFonts w:cs="Times New Roman"/>
                <w:color w:val="000000"/>
                <w:sz w:val="20"/>
                <w:szCs w:val="20"/>
              </w:rPr>
            </w:pPr>
            <w:r w:rsidRPr="0035027D">
              <w:rPr>
                <w:rFonts w:cs="Times New Roman"/>
                <w:color w:val="000000"/>
                <w:sz w:val="20"/>
                <w:szCs w:val="20"/>
              </w:rPr>
              <w:t>69,1</w:t>
            </w:r>
          </w:p>
        </w:tc>
        <w:tc>
          <w:tcPr>
            <w:tcW w:w="522" w:type="dxa"/>
            <w:tcBorders>
              <w:top w:val="nil"/>
              <w:left w:val="nil"/>
              <w:bottom w:val="single" w:sz="4" w:space="0" w:color="auto"/>
              <w:right w:val="single" w:sz="4" w:space="0" w:color="auto"/>
            </w:tcBorders>
            <w:shd w:val="clear" w:color="auto" w:fill="auto"/>
            <w:vAlign w:val="center"/>
            <w:hideMark/>
          </w:tcPr>
          <w:p w:rsidR="004F2171" w:rsidRPr="0035027D" w:rsidRDefault="004F2171" w:rsidP="004F2171">
            <w:pPr>
              <w:spacing w:after="0"/>
              <w:jc w:val="center"/>
              <w:rPr>
                <w:rFonts w:cs="Times New Roman"/>
                <w:color w:val="000000"/>
                <w:sz w:val="20"/>
                <w:szCs w:val="20"/>
              </w:rPr>
            </w:pPr>
            <w:r w:rsidRPr="0035027D">
              <w:rPr>
                <w:rFonts w:cs="Times New Roman"/>
                <w:color w:val="000000"/>
                <w:sz w:val="20"/>
                <w:szCs w:val="20"/>
              </w:rPr>
              <w:t xml:space="preserve"> - </w:t>
            </w:r>
          </w:p>
        </w:tc>
        <w:tc>
          <w:tcPr>
            <w:tcW w:w="522" w:type="dxa"/>
            <w:tcBorders>
              <w:top w:val="nil"/>
              <w:left w:val="nil"/>
              <w:bottom w:val="single" w:sz="4" w:space="0" w:color="auto"/>
              <w:right w:val="single" w:sz="4" w:space="0" w:color="auto"/>
            </w:tcBorders>
            <w:shd w:val="clear" w:color="auto" w:fill="auto"/>
            <w:vAlign w:val="center"/>
            <w:hideMark/>
          </w:tcPr>
          <w:p w:rsidR="004F2171" w:rsidRPr="0035027D" w:rsidRDefault="004F2171" w:rsidP="004F2171">
            <w:pPr>
              <w:spacing w:after="0"/>
              <w:jc w:val="center"/>
              <w:rPr>
                <w:rFonts w:cs="Times New Roman"/>
                <w:color w:val="000000"/>
                <w:sz w:val="20"/>
                <w:szCs w:val="20"/>
              </w:rPr>
            </w:pPr>
            <w:r w:rsidRPr="0035027D">
              <w:rPr>
                <w:rFonts w:cs="Times New Roman"/>
                <w:color w:val="000000"/>
                <w:sz w:val="20"/>
                <w:szCs w:val="20"/>
              </w:rPr>
              <w:t>-</w:t>
            </w:r>
          </w:p>
        </w:tc>
      </w:tr>
    </w:tbl>
    <w:p w:rsidR="004F2171" w:rsidRPr="0035027D" w:rsidRDefault="004F2171" w:rsidP="00A9180E">
      <w:pPr>
        <w:spacing w:after="0"/>
      </w:pPr>
    </w:p>
    <w:p w:rsidR="001F77AA" w:rsidRPr="001F77AA" w:rsidRDefault="001F77AA" w:rsidP="001F77AA">
      <w:pPr>
        <w:spacing w:after="0"/>
      </w:pPr>
      <w:r w:rsidRPr="001F77AA">
        <w:t xml:space="preserve">Významným nástrojom dosiahnutia potrebných zmien, ktoré budú viesť k zásadnému zefektívneniu štátu vo všetkých jeho rozmeroch, bude modernizácia verejnej správy. Globálnym cieľom činnosti vlády pri riadení verejnej správy bude „Skvalitnenie činnosti subjektov verejnej správy a verejných služieb za účelom podpory </w:t>
      </w:r>
      <w:r w:rsidRPr="001F77AA">
        <w:lastRenderedPageBreak/>
        <w:t>sociálno-ekonomického rastu Slovenskej republiky a zvýšenia kvalitatívnych parametrov života občanov. Piliermi tohto cieľa budú ekonomizácia, informatizácia a personálny rozvoj vo všetkých štruktúrach verejnej správy“. To si vyžiada systematicky skvalitňovať  právny rámec verejnej správy a dbať na zásadu,  že občan a uspokojenie jeho životných potrieb musí byť stredobodom pozornosti organizovania výkonu verejnej správy.</w:t>
      </w:r>
    </w:p>
    <w:p w:rsidR="001F77AA" w:rsidRPr="001F77AA" w:rsidRDefault="001F77AA" w:rsidP="001F77AA">
      <w:pPr>
        <w:spacing w:after="0"/>
      </w:pPr>
    </w:p>
    <w:p w:rsidR="001F77AA" w:rsidRDefault="001F77AA" w:rsidP="001F77AA">
      <w:pPr>
        <w:spacing w:after="0"/>
      </w:pPr>
      <w:r w:rsidRPr="001F77AA">
        <w:t xml:space="preserve">Modernizácia štátnej správy prebehne reformou ESO zameranou na optimalizáciu úradov, čo by malo priniesť úsporu verejných financií, zefektívniť činnosti a priniesť lepšie služby občanom a podnikateľom. Jedným z nástrojov je elektronizácia a posilňovať sa budú analytické kapacity v štátnej správe. </w:t>
      </w:r>
    </w:p>
    <w:p w:rsidR="001F77AA" w:rsidRPr="001F77AA" w:rsidRDefault="001F77AA" w:rsidP="001F77AA">
      <w:pPr>
        <w:spacing w:after="0"/>
      </w:pPr>
    </w:p>
    <w:p w:rsidR="001F77AA" w:rsidRPr="001F77AA" w:rsidRDefault="001F77AA" w:rsidP="001F77AA">
      <w:pPr>
        <w:spacing w:after="0"/>
      </w:pPr>
      <w:r w:rsidRPr="001F77AA">
        <w:t xml:space="preserve">Vláda SR  bude viesť permanentný dialóg so samosprávnymi orgánmi s cieľom nájsť cesty ku  skvalitneniu verejnej správy v pôsobnosti samosprávnych orgánov na miestnej a krajskej úrovni. V kontexte rozpracovanej „Koncepcie modernizácie územnej samosprávy“ vláda podporí vybudovanie siete „Spoločných obecných úradovní“ a ich vybavenie informačnými a komunikačnými technológiami. Tieto by mali vytvoriť základnú sieť  pre komunikáciu „občan – úrad“ na miestnej úrovni. Zároveň by mali prispeli k racionalizácii a k skvalitneniu činnosti  miestnej samosprávy. </w:t>
      </w:r>
    </w:p>
    <w:p w:rsidR="00D47426" w:rsidRPr="0035027D" w:rsidRDefault="00D47426" w:rsidP="00474700">
      <w:pPr>
        <w:spacing w:after="0"/>
        <w:rPr>
          <w:b/>
          <w:i/>
        </w:rPr>
      </w:pPr>
    </w:p>
    <w:p w:rsidR="00AF5BC2" w:rsidRPr="0035027D" w:rsidRDefault="00AF5BC2" w:rsidP="00474700">
      <w:pPr>
        <w:spacing w:after="0"/>
        <w:rPr>
          <w:b/>
          <w:i/>
        </w:rPr>
      </w:pPr>
      <w:r w:rsidRPr="0035027D">
        <w:rPr>
          <w:b/>
          <w:i/>
        </w:rPr>
        <w:t>Pokračovanie ESO – Efektívna, spoľahlivá a otvorená verejná správa</w:t>
      </w:r>
    </w:p>
    <w:p w:rsidR="00AF5BC2" w:rsidRPr="0035027D" w:rsidRDefault="00AF5BC2" w:rsidP="00474700">
      <w:pPr>
        <w:spacing w:after="0"/>
      </w:pPr>
    </w:p>
    <w:p w:rsidR="00671AEE" w:rsidRPr="0035027D" w:rsidRDefault="00671AEE" w:rsidP="00474700">
      <w:pPr>
        <w:spacing w:after="0"/>
      </w:pPr>
      <w:r w:rsidRPr="0035027D">
        <w:t>Vláda SR bude na</w:t>
      </w:r>
      <w:r w:rsidRPr="0035027D">
        <w:rPr>
          <w:rFonts w:cs="Times New Roman"/>
        </w:rPr>
        <w:t>ď</w:t>
      </w:r>
      <w:r w:rsidRPr="0035027D">
        <w:t>alej prehodnocova</w:t>
      </w:r>
      <w:r w:rsidRPr="0035027D">
        <w:rPr>
          <w:rFonts w:cs="Times New Roman"/>
        </w:rPr>
        <w:t>ť</w:t>
      </w:r>
      <w:r w:rsidRPr="0035027D">
        <w:t xml:space="preserve"> sú</w:t>
      </w:r>
      <w:r w:rsidRPr="0035027D">
        <w:rPr>
          <w:rFonts w:cs="Times New Roman"/>
        </w:rPr>
        <w:t>č</w:t>
      </w:r>
      <w:r w:rsidRPr="0035027D">
        <w:t>asnú štruktúru orgánov štátnej správy s cie</w:t>
      </w:r>
      <w:r w:rsidRPr="0035027D">
        <w:rPr>
          <w:rFonts w:cs="Times New Roman"/>
        </w:rPr>
        <w:t>ľ</w:t>
      </w:r>
      <w:r w:rsidRPr="0035027D">
        <w:t>om zefektívni</w:t>
      </w:r>
      <w:r w:rsidRPr="0035027D">
        <w:rPr>
          <w:rFonts w:cs="Times New Roman"/>
        </w:rPr>
        <w:t>ť</w:t>
      </w:r>
      <w:r w:rsidRPr="0035027D">
        <w:t xml:space="preserve"> ich </w:t>
      </w:r>
      <w:r w:rsidRPr="0035027D">
        <w:rPr>
          <w:rFonts w:cs="Times New Roman"/>
        </w:rPr>
        <w:t>č</w:t>
      </w:r>
      <w:r w:rsidRPr="0035027D">
        <w:t>innos</w:t>
      </w:r>
      <w:r w:rsidRPr="0035027D">
        <w:rPr>
          <w:rFonts w:cs="Times New Roman"/>
        </w:rPr>
        <w:t>ť</w:t>
      </w:r>
      <w:r w:rsidRPr="0035027D">
        <w:t xml:space="preserve"> a prispie</w:t>
      </w:r>
      <w:r w:rsidRPr="0035027D">
        <w:rPr>
          <w:rFonts w:cs="Times New Roman"/>
        </w:rPr>
        <w:t>ť</w:t>
      </w:r>
      <w:r w:rsidRPr="0035027D">
        <w:t xml:space="preserve"> k zni</w:t>
      </w:r>
      <w:r w:rsidRPr="0035027D">
        <w:rPr>
          <w:rFonts w:cs="Times New Roman"/>
        </w:rPr>
        <w:t>ž</w:t>
      </w:r>
      <w:r w:rsidRPr="0035027D">
        <w:t xml:space="preserve">ovaniu výdavkov vynakladaných na ich </w:t>
      </w:r>
      <w:r w:rsidRPr="0035027D">
        <w:rPr>
          <w:rFonts w:cs="Times New Roman"/>
        </w:rPr>
        <w:t>č</w:t>
      </w:r>
      <w:r w:rsidRPr="0035027D">
        <w:t>innos</w:t>
      </w:r>
      <w:r w:rsidRPr="0035027D">
        <w:rPr>
          <w:rFonts w:cs="Times New Roman"/>
        </w:rPr>
        <w:t>ť</w:t>
      </w:r>
      <w:r w:rsidRPr="0035027D">
        <w:t>. V tejto oblasti sa odhaduje úspora v rokoch 2013</w:t>
      </w:r>
      <w:r w:rsidR="005A0084" w:rsidRPr="0035027D">
        <w:t> - </w:t>
      </w:r>
      <w:r w:rsidRPr="0035027D">
        <w:t>2016 vo verejnej správe na 513 mil.</w:t>
      </w:r>
      <w:r w:rsidR="0032332B" w:rsidRPr="0035027D">
        <w:t xml:space="preserve"> eur</w:t>
      </w:r>
      <w:r w:rsidRPr="0035027D">
        <w:t>, z toho v roku 2013 v hodnote 130 mil.</w:t>
      </w:r>
      <w:r w:rsidR="005A0084" w:rsidRPr="0035027D">
        <w:t xml:space="preserve"> eur,</w:t>
      </w:r>
      <w:r w:rsidRPr="0035027D">
        <w:t xml:space="preserve"> a najvýraznejšia v roku 2014 v hodnote 173 mil.</w:t>
      </w:r>
      <w:r w:rsidR="005A0084" w:rsidRPr="0035027D">
        <w:t xml:space="preserve"> eur.</w:t>
      </w:r>
      <w:r w:rsidR="0037199A" w:rsidRPr="0035027D">
        <w:t xml:space="preserve"> </w:t>
      </w:r>
      <w:r w:rsidRPr="0035027D">
        <w:t>Za obdobie rokov 2013 a 2014 sa zní</w:t>
      </w:r>
      <w:r w:rsidRPr="0035027D">
        <w:rPr>
          <w:rFonts w:cs="Times New Roman"/>
        </w:rPr>
        <w:t>ž</w:t>
      </w:r>
      <w:r w:rsidRPr="0035027D">
        <w:t>i po</w:t>
      </w:r>
      <w:r w:rsidRPr="0035027D">
        <w:rPr>
          <w:rFonts w:cs="Times New Roman"/>
        </w:rPr>
        <w:t>č</w:t>
      </w:r>
      <w:r w:rsidRPr="0035027D">
        <w:t>et úradov špecializovanej štátnej správy a inšpekcií</w:t>
      </w:r>
      <w:r w:rsidR="0037199A" w:rsidRPr="0035027D">
        <w:t xml:space="preserve"> </w:t>
      </w:r>
      <w:r w:rsidRPr="0035027D">
        <w:t>o 483, z toho 244 rozpo</w:t>
      </w:r>
      <w:r w:rsidRPr="0035027D">
        <w:rPr>
          <w:rFonts w:cs="Times New Roman"/>
        </w:rPr>
        <w:t>č</w:t>
      </w:r>
      <w:r w:rsidRPr="0035027D">
        <w:t xml:space="preserve">tových organizácií štátu. </w:t>
      </w:r>
    </w:p>
    <w:p w:rsidR="00671AEE" w:rsidRPr="0035027D" w:rsidRDefault="00671AEE" w:rsidP="00474700">
      <w:pPr>
        <w:spacing w:after="0"/>
      </w:pPr>
    </w:p>
    <w:p w:rsidR="00671AEE" w:rsidRPr="0035027D" w:rsidRDefault="00671AEE" w:rsidP="00474700">
      <w:pPr>
        <w:spacing w:after="0"/>
      </w:pPr>
      <w:r w:rsidRPr="0035027D">
        <w:t>V rámci 2. etapy programu ESO</w:t>
      </w:r>
      <w:r w:rsidR="000141BA" w:rsidRPr="0035027D">
        <w:t xml:space="preserve"> vláda komplexne reštrukturalizuje</w:t>
      </w:r>
      <w:r w:rsidRPr="0035027D">
        <w:t xml:space="preserve"> vybran</w:t>
      </w:r>
      <w:r w:rsidR="000141BA" w:rsidRPr="0035027D">
        <w:t>é</w:t>
      </w:r>
      <w:r w:rsidRPr="0035027D">
        <w:t xml:space="preserve"> úrad</w:t>
      </w:r>
      <w:r w:rsidR="000141BA" w:rsidRPr="0035027D">
        <w:t>y</w:t>
      </w:r>
      <w:r w:rsidR="00933FCA" w:rsidRPr="0035027D">
        <w:t xml:space="preserve"> štátnej správy. Do konca roku</w:t>
      </w:r>
      <w:r w:rsidRPr="0035027D">
        <w:t xml:space="preserve"> 2013 dôjde k zrušeniu a následnej integrácii pôsobnosti subjektov špecializovanej miestnej štátnej správy do jedného úradu m</w:t>
      </w:r>
      <w:r w:rsidR="0032332B" w:rsidRPr="0035027D">
        <w:t>iestnej štátnej správy. Dôle</w:t>
      </w:r>
      <w:r w:rsidR="0032332B" w:rsidRPr="0035027D">
        <w:rPr>
          <w:rFonts w:cs="Times New Roman"/>
        </w:rPr>
        <w:t>ž</w:t>
      </w:r>
      <w:r w:rsidR="0032332B" w:rsidRPr="0035027D">
        <w:t>itým cie</w:t>
      </w:r>
      <w:r w:rsidR="0032332B" w:rsidRPr="0035027D">
        <w:rPr>
          <w:rFonts w:cs="Times New Roman"/>
        </w:rPr>
        <w:t>ľ</w:t>
      </w:r>
      <w:r w:rsidR="0032332B" w:rsidRPr="0035027D">
        <w:t>om je nielen zachovanie</w:t>
      </w:r>
      <w:r w:rsidR="00FB3816" w:rsidRPr="0035027D">
        <w:t>,</w:t>
      </w:r>
      <w:r w:rsidR="0032332B" w:rsidRPr="0035027D">
        <w:t xml:space="preserve"> ale</w:t>
      </w:r>
      <w:r w:rsidR="00FB3816" w:rsidRPr="0035027D">
        <w:t xml:space="preserve"> aj zlepšenie funkcií štátu. Spájanie úradov teda</w:t>
      </w:r>
      <w:r w:rsidR="0032332B" w:rsidRPr="0035027D">
        <w:t xml:space="preserve"> </w:t>
      </w:r>
      <w:r w:rsidR="00FB3816" w:rsidRPr="0035027D">
        <w:t>ne</w:t>
      </w:r>
      <w:r w:rsidR="0032332B" w:rsidRPr="0035027D">
        <w:t>bude znamena</w:t>
      </w:r>
      <w:r w:rsidR="0032332B" w:rsidRPr="0035027D">
        <w:rPr>
          <w:rFonts w:cs="Times New Roman"/>
        </w:rPr>
        <w:t>ť</w:t>
      </w:r>
      <w:r w:rsidR="0032332B" w:rsidRPr="0035027D">
        <w:t xml:space="preserve"> len </w:t>
      </w:r>
      <w:r w:rsidRPr="0035027D">
        <w:t xml:space="preserve">odstránenie </w:t>
      </w:r>
      <w:proofErr w:type="spellStart"/>
      <w:r w:rsidRPr="0035027D">
        <w:t>multiplicít</w:t>
      </w:r>
      <w:proofErr w:type="spellEnd"/>
      <w:r w:rsidRPr="0035027D">
        <w:t xml:space="preserve"> pri výkone </w:t>
      </w:r>
      <w:r w:rsidRPr="0035027D">
        <w:rPr>
          <w:rFonts w:cs="Times New Roman"/>
        </w:rPr>
        <w:t>č</w:t>
      </w:r>
      <w:r w:rsidRPr="0035027D">
        <w:t xml:space="preserve">inností. </w:t>
      </w:r>
      <w:r w:rsidR="00FB3816" w:rsidRPr="0035027D">
        <w:t>Nová</w:t>
      </w:r>
      <w:r w:rsidRPr="0035027D">
        <w:t xml:space="preserve"> štruktúra zachová odborné a personálne riadenie a zodpovednos</w:t>
      </w:r>
      <w:r w:rsidRPr="0035027D">
        <w:rPr>
          <w:rFonts w:cs="Times New Roman"/>
        </w:rPr>
        <w:t>ť</w:t>
      </w:r>
      <w:r w:rsidRPr="0035027D">
        <w:t xml:space="preserve"> odvetvových ústredných orgánov štátnej správy. </w:t>
      </w:r>
      <w:r w:rsidR="00AF5BC2" w:rsidRPr="0035027D">
        <w:t>Zjednoduší sa kontakt vybudovaním</w:t>
      </w:r>
      <w:r w:rsidRPr="0035027D">
        <w:t xml:space="preserve"> kontaktn</w:t>
      </w:r>
      <w:r w:rsidR="00AF5BC2" w:rsidRPr="0035027D">
        <w:t>ých</w:t>
      </w:r>
      <w:r w:rsidRPr="0035027D">
        <w:t xml:space="preserve"> administratívn</w:t>
      </w:r>
      <w:r w:rsidR="00AF5BC2" w:rsidRPr="0035027D">
        <w:t>ych miest ob</w:t>
      </w:r>
      <w:r w:rsidR="00AF5BC2" w:rsidRPr="0035027D">
        <w:rPr>
          <w:rFonts w:cs="Times New Roman"/>
        </w:rPr>
        <w:t>č</w:t>
      </w:r>
      <w:r w:rsidR="00AF5BC2" w:rsidRPr="0035027D">
        <w:t xml:space="preserve">anov, kde </w:t>
      </w:r>
      <w:r w:rsidRPr="0035027D">
        <w:t>ob</w:t>
      </w:r>
      <w:r w:rsidRPr="0035027D">
        <w:rPr>
          <w:rFonts w:cs="Times New Roman"/>
        </w:rPr>
        <w:t>č</w:t>
      </w:r>
      <w:r w:rsidRPr="0035027D">
        <w:t>an</w:t>
      </w:r>
      <w:r w:rsidR="00AF5BC2" w:rsidRPr="0035027D">
        <w:t>ia aj podnikatelia vybavia</w:t>
      </w:r>
      <w:r w:rsidRPr="0035027D">
        <w:t xml:space="preserve"> všetky špecializované procedúry na jednom mieste jednoducho a s minimálnymi nákladmi.</w:t>
      </w:r>
    </w:p>
    <w:p w:rsidR="00671AEE" w:rsidRPr="0035027D" w:rsidRDefault="00671AEE" w:rsidP="00474700">
      <w:pPr>
        <w:spacing w:after="0"/>
      </w:pPr>
    </w:p>
    <w:p w:rsidR="00671AEE" w:rsidRPr="0035027D" w:rsidRDefault="00671AEE" w:rsidP="00474700">
      <w:pPr>
        <w:spacing w:after="0"/>
      </w:pPr>
      <w:r w:rsidRPr="0035027D">
        <w:t>V </w:t>
      </w:r>
      <w:r w:rsidRPr="0035027D">
        <w:rPr>
          <w:rFonts w:cs="Times New Roman"/>
        </w:rPr>
        <w:t>ď</w:t>
      </w:r>
      <w:r w:rsidRPr="0035027D">
        <w:t>alšej etape prebehne fáza optimalizácie procesov výkonu verejnej moci a proces optimalizácie podporných procesov v rámci integrovanej miestnej štátnej správy. Dôjde k racionalizácii správy majetku štátu, integrované úrady a kontaktné miesta ob</w:t>
      </w:r>
      <w:r w:rsidRPr="0035027D">
        <w:rPr>
          <w:rFonts w:cs="Times New Roman"/>
        </w:rPr>
        <w:t>č</w:t>
      </w:r>
      <w:r w:rsidRPr="0035027D">
        <w:t>anov sa umiestnia do budov vo výhradnom vlastníctve štátu. Na základe auditu verejnej správy vláda prehodnotí aktuálny model preneseného výkonu funkcií štátu na ostatné zlo</w:t>
      </w:r>
      <w:r w:rsidRPr="0035027D">
        <w:rPr>
          <w:rFonts w:cs="Times New Roman"/>
        </w:rPr>
        <w:t>ž</w:t>
      </w:r>
      <w:r w:rsidRPr="0035027D">
        <w:t>ky spolo</w:t>
      </w:r>
      <w:r w:rsidRPr="0035027D">
        <w:rPr>
          <w:rFonts w:cs="Times New Roman"/>
        </w:rPr>
        <w:t>č</w:t>
      </w:r>
      <w:r w:rsidRPr="0035027D">
        <w:t>nosti.</w:t>
      </w:r>
    </w:p>
    <w:p w:rsidR="00671AEE" w:rsidRPr="0035027D" w:rsidRDefault="00671AEE" w:rsidP="00474700">
      <w:pPr>
        <w:spacing w:after="0"/>
      </w:pPr>
    </w:p>
    <w:p w:rsidR="00671AEE" w:rsidRPr="0035027D" w:rsidRDefault="00671AEE" w:rsidP="001D137B">
      <w:pPr>
        <w:spacing w:after="0"/>
      </w:pPr>
      <w:r w:rsidRPr="0035027D">
        <w:t>Vláda SR jasne zadefinuje ciele, víziu a misiu pre štátnu slu</w:t>
      </w:r>
      <w:r w:rsidRPr="0035027D">
        <w:rPr>
          <w:rFonts w:cs="Times New Roman"/>
        </w:rPr>
        <w:t>ž</w:t>
      </w:r>
      <w:r w:rsidRPr="0035027D">
        <w:t>bu ako cel</w:t>
      </w:r>
      <w:r w:rsidR="00AF5BC2" w:rsidRPr="0035027D">
        <w:t>ku</w:t>
      </w:r>
      <w:r w:rsidRPr="0035027D">
        <w:t>, ako aj pre jednotlivé ministerstvá. Dobrá prax zo zahrani</w:t>
      </w:r>
      <w:r w:rsidRPr="0035027D">
        <w:rPr>
          <w:rFonts w:cs="Times New Roman"/>
        </w:rPr>
        <w:t>č</w:t>
      </w:r>
      <w:r w:rsidRPr="0035027D">
        <w:t xml:space="preserve">ia ponúka viaceré príklady: </w:t>
      </w:r>
      <w:proofErr w:type="spellStart"/>
      <w:r w:rsidRPr="0035027D">
        <w:t>redizajn</w:t>
      </w:r>
      <w:proofErr w:type="spellEnd"/>
      <w:r w:rsidRPr="0035027D">
        <w:t xml:space="preserve"> existujúcich procesov s dôrazom na merate</w:t>
      </w:r>
      <w:r w:rsidRPr="0035027D">
        <w:rPr>
          <w:rFonts w:cs="Times New Roman"/>
        </w:rPr>
        <w:t>ľ</w:t>
      </w:r>
      <w:r w:rsidRPr="0035027D">
        <w:t>nos</w:t>
      </w:r>
      <w:r w:rsidRPr="0035027D">
        <w:rPr>
          <w:rFonts w:cs="Times New Roman"/>
        </w:rPr>
        <w:t>ť</w:t>
      </w:r>
      <w:r w:rsidRPr="0035027D">
        <w:t>, zavedenie ind</w:t>
      </w:r>
      <w:r w:rsidR="00BC234F" w:rsidRPr="0035027D">
        <w:t>ikátorov výkonnosti, centrálne najímanie</w:t>
      </w:r>
      <w:r w:rsidRPr="0035027D">
        <w:t>, umo</w:t>
      </w:r>
      <w:r w:rsidRPr="0035027D">
        <w:rPr>
          <w:rFonts w:cs="Times New Roman"/>
        </w:rPr>
        <w:t>ž</w:t>
      </w:r>
      <w:r w:rsidRPr="0035027D">
        <w:t xml:space="preserve">nenie flexibilnej pracovnej doby a miesta, </w:t>
      </w:r>
      <w:r w:rsidRPr="0035027D">
        <w:rPr>
          <w:rFonts w:cs="Times New Roman"/>
        </w:rPr>
        <w:t>č</w:t>
      </w:r>
      <w:r w:rsidRPr="0035027D">
        <w:t>i strategického rozvíjania talentov formou kvalitného interného vzdelávania.</w:t>
      </w:r>
    </w:p>
    <w:p w:rsidR="001D137B" w:rsidRPr="0035027D" w:rsidRDefault="001D137B" w:rsidP="00CD2AB0">
      <w:pPr>
        <w:spacing w:after="0"/>
        <w:rPr>
          <w:bCs/>
        </w:rPr>
      </w:pPr>
    </w:p>
    <w:p w:rsidR="00CD2AB0" w:rsidRPr="0035027D" w:rsidRDefault="00CD2AB0" w:rsidP="00CD2AB0">
      <w:pPr>
        <w:spacing w:after="0"/>
        <w:rPr>
          <w:b/>
          <w:i/>
        </w:rPr>
      </w:pPr>
      <w:r w:rsidRPr="0035027D">
        <w:rPr>
          <w:b/>
          <w:i/>
        </w:rPr>
        <w:t>Analytické kapacity</w:t>
      </w:r>
    </w:p>
    <w:p w:rsidR="00CD2AB0" w:rsidRPr="0035027D" w:rsidRDefault="00CD2AB0" w:rsidP="00CD2AB0">
      <w:pPr>
        <w:spacing w:after="0"/>
        <w:rPr>
          <w:bCs/>
        </w:rPr>
      </w:pPr>
    </w:p>
    <w:p w:rsidR="00CD2AB0" w:rsidRPr="0035027D" w:rsidRDefault="00CD2AB0" w:rsidP="00CD2AB0">
      <w:pPr>
        <w:spacing w:after="0"/>
        <w:rPr>
          <w:bCs/>
        </w:rPr>
      </w:pPr>
      <w:r w:rsidRPr="0035027D">
        <w:rPr>
          <w:bCs/>
        </w:rPr>
        <w:t>Jedným z pozitívnych efektov reformy štátnej správy by malo by</w:t>
      </w:r>
      <w:r w:rsidRPr="0035027D">
        <w:rPr>
          <w:rFonts w:cs="Times New Roman"/>
          <w:bCs/>
        </w:rPr>
        <w:t>ť</w:t>
      </w:r>
      <w:r w:rsidRPr="0035027D">
        <w:rPr>
          <w:bCs/>
        </w:rPr>
        <w:t xml:space="preserve">, </w:t>
      </w:r>
      <w:r w:rsidRPr="0035027D">
        <w:rPr>
          <w:rFonts w:cs="Times New Roman"/>
          <w:bCs/>
        </w:rPr>
        <w:t>ž</w:t>
      </w:r>
      <w:r w:rsidRPr="0035027D">
        <w:rPr>
          <w:bCs/>
        </w:rPr>
        <w:t>e sa stane atraktívnym miestom pre prácu pre najlepších odborníkov na Slovensku. S cie</w:t>
      </w:r>
      <w:r w:rsidRPr="0035027D">
        <w:rPr>
          <w:rFonts w:cs="Times New Roman"/>
          <w:bCs/>
        </w:rPr>
        <w:t>ľ</w:t>
      </w:r>
      <w:r w:rsidRPr="0035027D">
        <w:rPr>
          <w:bCs/>
        </w:rPr>
        <w:t>om posilni</w:t>
      </w:r>
      <w:r w:rsidRPr="0035027D">
        <w:rPr>
          <w:rFonts w:cs="Times New Roman"/>
          <w:bCs/>
        </w:rPr>
        <w:t>ť</w:t>
      </w:r>
      <w:r w:rsidRPr="0035027D">
        <w:rPr>
          <w:bCs/>
        </w:rPr>
        <w:t xml:space="preserve"> analytické kapacity štátu a zvýši</w:t>
      </w:r>
      <w:r w:rsidRPr="0035027D">
        <w:rPr>
          <w:rFonts w:cs="Times New Roman"/>
          <w:bCs/>
        </w:rPr>
        <w:t>ť</w:t>
      </w:r>
      <w:r w:rsidRPr="0035027D">
        <w:rPr>
          <w:bCs/>
        </w:rPr>
        <w:t xml:space="preserve"> kvalitu fungovania verejnej správy je potrebné, aby v štátnej správe pracovalo nieko</w:t>
      </w:r>
      <w:r w:rsidRPr="0035027D">
        <w:rPr>
          <w:rFonts w:cs="Times New Roman"/>
          <w:bCs/>
        </w:rPr>
        <w:t>ľ</w:t>
      </w:r>
      <w:r w:rsidRPr="0035027D">
        <w:rPr>
          <w:bCs/>
        </w:rPr>
        <w:t>ko desiatok najlepších odborníkov. Jedným z krokov týmto smerom sú analytické útvary, ktoré sa za</w:t>
      </w:r>
      <w:r w:rsidRPr="0035027D">
        <w:rPr>
          <w:rFonts w:cs="Times New Roman"/>
          <w:bCs/>
        </w:rPr>
        <w:t>č</w:t>
      </w:r>
      <w:r w:rsidRPr="0035027D">
        <w:rPr>
          <w:bCs/>
        </w:rPr>
        <w:t>ali vytvára</w:t>
      </w:r>
      <w:r w:rsidRPr="0035027D">
        <w:rPr>
          <w:rFonts w:cs="Times New Roman"/>
          <w:bCs/>
        </w:rPr>
        <w:t>ť</w:t>
      </w:r>
      <w:r w:rsidRPr="0035027D">
        <w:rPr>
          <w:bCs/>
        </w:rPr>
        <w:t xml:space="preserve"> na k</w:t>
      </w:r>
      <w:r w:rsidRPr="0035027D">
        <w:rPr>
          <w:rFonts w:cs="Times New Roman"/>
          <w:bCs/>
        </w:rPr>
        <w:t>ľ</w:t>
      </w:r>
      <w:r w:rsidRPr="0035027D">
        <w:rPr>
          <w:bCs/>
        </w:rPr>
        <w:t>ú</w:t>
      </w:r>
      <w:r w:rsidRPr="0035027D">
        <w:rPr>
          <w:rFonts w:cs="Times New Roman"/>
          <w:bCs/>
        </w:rPr>
        <w:t>č</w:t>
      </w:r>
      <w:r w:rsidRPr="0035027D">
        <w:rPr>
          <w:bCs/>
        </w:rPr>
        <w:t>ových rezortoch. Ich úlohou je rozpracovanie navrhnutých opatrení a ich prepojenie na rozpo</w:t>
      </w:r>
      <w:r w:rsidRPr="0035027D">
        <w:rPr>
          <w:rFonts w:cs="Times New Roman"/>
          <w:bCs/>
        </w:rPr>
        <w:t>č</w:t>
      </w:r>
      <w:r w:rsidRPr="0035027D">
        <w:rPr>
          <w:bCs/>
        </w:rPr>
        <w:t>et, monitoring a hodnotenie. Mali by existova</w:t>
      </w:r>
      <w:r w:rsidRPr="0035027D">
        <w:rPr>
          <w:rFonts w:cs="Times New Roman"/>
          <w:bCs/>
        </w:rPr>
        <w:t>ť</w:t>
      </w:r>
      <w:r w:rsidRPr="0035027D">
        <w:rPr>
          <w:bCs/>
        </w:rPr>
        <w:t xml:space="preserve"> minimálne na všetkých ekonomických a sociálnych ministerstvách.</w:t>
      </w:r>
      <w:r w:rsidR="001D5E28" w:rsidRPr="0035027D">
        <w:rPr>
          <w:bCs/>
        </w:rPr>
        <w:t xml:space="preserve"> </w:t>
      </w:r>
      <w:r w:rsidRPr="0035027D">
        <w:rPr>
          <w:bCs/>
        </w:rPr>
        <w:t>Vláda bude pokra</w:t>
      </w:r>
      <w:r w:rsidRPr="0035027D">
        <w:rPr>
          <w:rFonts w:cs="Times New Roman"/>
          <w:bCs/>
        </w:rPr>
        <w:t>č</w:t>
      </w:r>
      <w:r w:rsidRPr="0035027D">
        <w:rPr>
          <w:bCs/>
        </w:rPr>
        <w:t>ova</w:t>
      </w:r>
      <w:r w:rsidRPr="0035027D">
        <w:rPr>
          <w:rFonts w:cs="Times New Roman"/>
          <w:bCs/>
        </w:rPr>
        <w:t>ť</w:t>
      </w:r>
      <w:r w:rsidRPr="0035027D">
        <w:rPr>
          <w:bCs/>
        </w:rPr>
        <w:t xml:space="preserve"> v posil</w:t>
      </w:r>
      <w:r w:rsidRPr="0035027D">
        <w:rPr>
          <w:rFonts w:cs="Times New Roman"/>
          <w:bCs/>
        </w:rPr>
        <w:t>ň</w:t>
      </w:r>
      <w:r w:rsidRPr="0035027D">
        <w:rPr>
          <w:bCs/>
        </w:rPr>
        <w:t xml:space="preserve">ovaní </w:t>
      </w:r>
      <w:r w:rsidR="001D5E28" w:rsidRPr="0035027D">
        <w:rPr>
          <w:bCs/>
        </w:rPr>
        <w:t xml:space="preserve">existujúcich útvarov </w:t>
      </w:r>
      <w:r w:rsidRPr="0035027D">
        <w:rPr>
          <w:bCs/>
        </w:rPr>
        <w:t xml:space="preserve">a budovaní </w:t>
      </w:r>
      <w:r w:rsidR="001D5E28" w:rsidRPr="0035027D">
        <w:rPr>
          <w:rFonts w:cs="Times New Roman"/>
          <w:bCs/>
        </w:rPr>
        <w:t>ď</w:t>
      </w:r>
      <w:r w:rsidR="001D5E28" w:rsidRPr="0035027D">
        <w:rPr>
          <w:bCs/>
        </w:rPr>
        <w:t xml:space="preserve">alších </w:t>
      </w:r>
      <w:r w:rsidRPr="0035027D">
        <w:rPr>
          <w:bCs/>
        </w:rPr>
        <w:t xml:space="preserve">aj na ostatných ministerstvách. </w:t>
      </w:r>
    </w:p>
    <w:p w:rsidR="001D5E28" w:rsidRPr="0035027D" w:rsidRDefault="001D5E28" w:rsidP="00CD2AB0">
      <w:pPr>
        <w:spacing w:after="0"/>
        <w:rPr>
          <w:bCs/>
        </w:rPr>
      </w:pPr>
    </w:p>
    <w:p w:rsidR="00CD2AB0" w:rsidRPr="0035027D" w:rsidRDefault="00CD2AB0" w:rsidP="00CD2AB0">
      <w:pPr>
        <w:spacing w:after="0"/>
        <w:rPr>
          <w:bCs/>
        </w:rPr>
      </w:pPr>
      <w:r w:rsidRPr="0035027D">
        <w:rPr>
          <w:bCs/>
        </w:rPr>
        <w:t xml:space="preserve">Pre potreby systematického budovania kapacít </w:t>
      </w:r>
      <w:r w:rsidR="00E80A1C" w:rsidRPr="0035027D">
        <w:rPr>
          <w:bCs/>
        </w:rPr>
        <w:t xml:space="preserve">v štátnej správe </w:t>
      </w:r>
      <w:r w:rsidRPr="0035027D">
        <w:rPr>
          <w:bCs/>
        </w:rPr>
        <w:t xml:space="preserve">sa </w:t>
      </w:r>
      <w:r w:rsidR="00AF5BC2" w:rsidRPr="0035027D">
        <w:rPr>
          <w:bCs/>
        </w:rPr>
        <w:t>zavedie</w:t>
      </w:r>
      <w:r w:rsidR="00284874" w:rsidRPr="0035027D">
        <w:rPr>
          <w:bCs/>
        </w:rPr>
        <w:t xml:space="preserve"> </w:t>
      </w:r>
      <w:r w:rsidR="00AF5BC2" w:rsidRPr="0035027D">
        <w:rPr>
          <w:bCs/>
        </w:rPr>
        <w:t>štipendijný program</w:t>
      </w:r>
      <w:r w:rsidR="00284874" w:rsidRPr="0035027D">
        <w:rPr>
          <w:bCs/>
        </w:rPr>
        <w:t>, ktorý</w:t>
      </w:r>
      <w:r w:rsidRPr="0035027D">
        <w:rPr>
          <w:bCs/>
        </w:rPr>
        <w:t xml:space="preserve"> </w:t>
      </w:r>
      <w:r w:rsidR="00284874" w:rsidRPr="0035027D">
        <w:rPr>
          <w:bCs/>
        </w:rPr>
        <w:t>f</w:t>
      </w:r>
      <w:r w:rsidRPr="0035027D">
        <w:rPr>
          <w:bCs/>
        </w:rPr>
        <w:t>inan</w:t>
      </w:r>
      <w:r w:rsidRPr="0035027D">
        <w:rPr>
          <w:rFonts w:cs="Times New Roman"/>
          <w:bCs/>
        </w:rPr>
        <w:t>č</w:t>
      </w:r>
      <w:r w:rsidRPr="0035027D">
        <w:rPr>
          <w:bCs/>
        </w:rPr>
        <w:t>ne podporí štúdium na renomovaných zahrani</w:t>
      </w:r>
      <w:r w:rsidRPr="0035027D">
        <w:rPr>
          <w:rFonts w:cs="Times New Roman"/>
          <w:bCs/>
        </w:rPr>
        <w:t>č</w:t>
      </w:r>
      <w:r w:rsidRPr="0035027D">
        <w:rPr>
          <w:bCs/>
        </w:rPr>
        <w:t xml:space="preserve">ných univerzitách vybraným </w:t>
      </w:r>
      <w:r w:rsidR="00284874" w:rsidRPr="0035027D">
        <w:rPr>
          <w:bCs/>
        </w:rPr>
        <w:t>uchádza</w:t>
      </w:r>
      <w:r w:rsidR="00284874" w:rsidRPr="0035027D">
        <w:rPr>
          <w:rFonts w:cs="Times New Roman"/>
          <w:bCs/>
        </w:rPr>
        <w:t>č</w:t>
      </w:r>
      <w:r w:rsidR="00284874" w:rsidRPr="0035027D">
        <w:rPr>
          <w:bCs/>
        </w:rPr>
        <w:t>om</w:t>
      </w:r>
      <w:r w:rsidRPr="0035027D">
        <w:rPr>
          <w:bCs/>
        </w:rPr>
        <w:t xml:space="preserve">. </w:t>
      </w:r>
      <w:r w:rsidR="001D5E28" w:rsidRPr="0035027D">
        <w:rPr>
          <w:bCs/>
        </w:rPr>
        <w:t xml:space="preserve">Ako protihodnotu sa absolventi na </w:t>
      </w:r>
      <w:r w:rsidRPr="0035027D">
        <w:rPr>
          <w:bCs/>
        </w:rPr>
        <w:t xml:space="preserve">istý </w:t>
      </w:r>
      <w:r w:rsidRPr="0035027D">
        <w:rPr>
          <w:rFonts w:cs="Times New Roman"/>
          <w:bCs/>
        </w:rPr>
        <w:t>č</w:t>
      </w:r>
      <w:r w:rsidRPr="0035027D">
        <w:rPr>
          <w:bCs/>
        </w:rPr>
        <w:t xml:space="preserve">as </w:t>
      </w:r>
      <w:r w:rsidR="001D5E28" w:rsidRPr="0035027D">
        <w:rPr>
          <w:bCs/>
        </w:rPr>
        <w:t>zavia</w:t>
      </w:r>
      <w:r w:rsidR="001D5E28" w:rsidRPr="0035027D">
        <w:rPr>
          <w:rFonts w:cs="Times New Roman"/>
          <w:bCs/>
        </w:rPr>
        <w:t>ž</w:t>
      </w:r>
      <w:r w:rsidR="001D5E28" w:rsidRPr="0035027D">
        <w:rPr>
          <w:bCs/>
        </w:rPr>
        <w:t xml:space="preserve">u </w:t>
      </w:r>
      <w:r w:rsidRPr="0035027D">
        <w:rPr>
          <w:bCs/>
        </w:rPr>
        <w:t>pracova</w:t>
      </w:r>
      <w:r w:rsidRPr="0035027D">
        <w:rPr>
          <w:rFonts w:cs="Times New Roman"/>
          <w:bCs/>
        </w:rPr>
        <w:t>ť</w:t>
      </w:r>
      <w:r w:rsidRPr="0035027D">
        <w:rPr>
          <w:bCs/>
        </w:rPr>
        <w:t xml:space="preserve"> vo verejnej správe, </w:t>
      </w:r>
      <w:r w:rsidRPr="0035027D">
        <w:rPr>
          <w:rFonts w:cs="Times New Roman"/>
          <w:bCs/>
        </w:rPr>
        <w:t>č</w:t>
      </w:r>
      <w:r w:rsidRPr="0035027D">
        <w:rPr>
          <w:bCs/>
        </w:rPr>
        <w:t>o v kone</w:t>
      </w:r>
      <w:r w:rsidRPr="0035027D">
        <w:rPr>
          <w:rFonts w:cs="Times New Roman"/>
          <w:bCs/>
        </w:rPr>
        <w:t>č</w:t>
      </w:r>
      <w:r w:rsidRPr="0035027D">
        <w:rPr>
          <w:bCs/>
        </w:rPr>
        <w:t xml:space="preserve">nom dôsledku posilní vysokokvalifikované </w:t>
      </w:r>
      <w:r w:rsidRPr="0035027D">
        <w:rPr>
          <w:bCs/>
        </w:rPr>
        <w:lastRenderedPageBreak/>
        <w:t>odborné kapacity. K skvalit</w:t>
      </w:r>
      <w:r w:rsidRPr="0035027D">
        <w:rPr>
          <w:rFonts w:cs="Times New Roman"/>
          <w:bCs/>
        </w:rPr>
        <w:t>ň</w:t>
      </w:r>
      <w:r w:rsidRPr="0035027D">
        <w:rPr>
          <w:bCs/>
        </w:rPr>
        <w:t>ovaniu analytických jednotiek prispeje aj mo</w:t>
      </w:r>
      <w:r w:rsidRPr="0035027D">
        <w:rPr>
          <w:rFonts w:cs="Times New Roman"/>
          <w:bCs/>
        </w:rPr>
        <w:t>ž</w:t>
      </w:r>
      <w:r w:rsidRPr="0035027D">
        <w:rPr>
          <w:bCs/>
        </w:rPr>
        <w:t>nos</w:t>
      </w:r>
      <w:r w:rsidRPr="0035027D">
        <w:rPr>
          <w:rFonts w:cs="Times New Roman"/>
          <w:bCs/>
        </w:rPr>
        <w:t>ť</w:t>
      </w:r>
      <w:r w:rsidRPr="0035027D">
        <w:rPr>
          <w:bCs/>
        </w:rPr>
        <w:t xml:space="preserve"> odborných kurzov a stá</w:t>
      </w:r>
      <w:r w:rsidRPr="0035027D">
        <w:rPr>
          <w:rFonts w:cs="Times New Roman"/>
          <w:bCs/>
        </w:rPr>
        <w:t>ž</w:t>
      </w:r>
      <w:r w:rsidRPr="0035027D">
        <w:rPr>
          <w:bCs/>
        </w:rPr>
        <w:t>í financovaných z</w:t>
      </w:r>
      <w:r w:rsidR="001D5E28" w:rsidRPr="0035027D">
        <w:rPr>
          <w:bCs/>
        </w:rPr>
        <w:t> fondov EÚ</w:t>
      </w:r>
      <w:r w:rsidRPr="0035027D">
        <w:rPr>
          <w:bCs/>
        </w:rPr>
        <w:t>.</w:t>
      </w:r>
    </w:p>
    <w:p w:rsidR="00632EDA" w:rsidRPr="0035027D" w:rsidRDefault="00632EDA" w:rsidP="00632EDA">
      <w:pPr>
        <w:spacing w:after="0"/>
        <w:rPr>
          <w:rFonts w:cs="Times New Roman"/>
          <w:b/>
          <w:lang w:eastAsia="en-US"/>
        </w:rPr>
      </w:pPr>
    </w:p>
    <w:p w:rsidR="008E40AB" w:rsidRPr="0035027D" w:rsidRDefault="008E40AB" w:rsidP="00AF5BC2">
      <w:pPr>
        <w:spacing w:after="0"/>
        <w:rPr>
          <w:b/>
          <w:i/>
        </w:rPr>
      </w:pPr>
      <w:bookmarkStart w:id="60" w:name="_Toc320096512"/>
      <w:bookmarkStart w:id="61" w:name="_Toc320096652"/>
      <w:bookmarkStart w:id="62" w:name="_Toc323298444"/>
      <w:bookmarkStart w:id="63" w:name="_Toc326222748"/>
      <w:r w:rsidRPr="0035027D">
        <w:rPr>
          <w:b/>
          <w:i/>
        </w:rPr>
        <w:t>Elektronická verejná správa</w:t>
      </w:r>
      <w:bookmarkEnd w:id="60"/>
      <w:bookmarkEnd w:id="61"/>
      <w:bookmarkEnd w:id="62"/>
      <w:bookmarkEnd w:id="63"/>
    </w:p>
    <w:p w:rsidR="008E40AB" w:rsidRPr="0035027D" w:rsidRDefault="008E40AB" w:rsidP="008E40AB">
      <w:pPr>
        <w:spacing w:after="0"/>
        <w:rPr>
          <w:bCs/>
        </w:rPr>
      </w:pPr>
    </w:p>
    <w:p w:rsidR="00671AEE" w:rsidRPr="0035027D" w:rsidRDefault="00671AEE" w:rsidP="00671AEE">
      <w:pPr>
        <w:autoSpaceDE w:val="0"/>
        <w:autoSpaceDN w:val="0"/>
        <w:spacing w:after="0"/>
      </w:pPr>
      <w:r w:rsidRPr="0035027D">
        <w:t>Elektronická verejná správa umo</w:t>
      </w:r>
      <w:r w:rsidRPr="0035027D">
        <w:rPr>
          <w:rFonts w:cs="Times New Roman"/>
        </w:rPr>
        <w:t>žň</w:t>
      </w:r>
      <w:r w:rsidRPr="0035027D">
        <w:t>uje ob</w:t>
      </w:r>
      <w:r w:rsidRPr="0035027D">
        <w:rPr>
          <w:rFonts w:cs="Times New Roman"/>
        </w:rPr>
        <w:t>č</w:t>
      </w:r>
      <w:r w:rsidRPr="0035027D">
        <w:t>anom a podnikate</w:t>
      </w:r>
      <w:r w:rsidRPr="0035027D">
        <w:rPr>
          <w:rFonts w:cs="Times New Roman"/>
        </w:rPr>
        <w:t>ľ</w:t>
      </w:r>
      <w:r w:rsidRPr="0035027D">
        <w:t>om prístup k informáciám a slu</w:t>
      </w:r>
      <w:r w:rsidRPr="0035027D">
        <w:rPr>
          <w:rFonts w:cs="Times New Roman"/>
        </w:rPr>
        <w:t>ž</w:t>
      </w:r>
      <w:r w:rsidRPr="0035027D">
        <w:t>bám, pri</w:t>
      </w:r>
      <w:r w:rsidRPr="0035027D">
        <w:rPr>
          <w:rFonts w:cs="Times New Roman"/>
        </w:rPr>
        <w:t>č</w:t>
      </w:r>
      <w:r w:rsidRPr="0035027D">
        <w:t>om najvýraznejším prínosom je zefektívnenie výkonu verejnej správy, zní</w:t>
      </w:r>
      <w:r w:rsidRPr="0035027D">
        <w:rPr>
          <w:rFonts w:cs="Times New Roman"/>
        </w:rPr>
        <w:t>ž</w:t>
      </w:r>
      <w:r w:rsidRPr="0035027D">
        <w:t>enie administratívneho za</w:t>
      </w:r>
      <w:r w:rsidRPr="0035027D">
        <w:rPr>
          <w:rFonts w:cs="Times New Roman"/>
        </w:rPr>
        <w:t>ť</w:t>
      </w:r>
      <w:r w:rsidRPr="0035027D">
        <w:t>a</w:t>
      </w:r>
      <w:r w:rsidRPr="0035027D">
        <w:rPr>
          <w:rFonts w:cs="Times New Roman"/>
        </w:rPr>
        <w:t>ž</w:t>
      </w:r>
      <w:r w:rsidRPr="0035027D">
        <w:t>enia jednotlivcov a podnikate</w:t>
      </w:r>
      <w:r w:rsidRPr="0035027D">
        <w:rPr>
          <w:rFonts w:cs="Times New Roman"/>
        </w:rPr>
        <w:t>ľ</w:t>
      </w:r>
      <w:r w:rsidRPr="0035027D">
        <w:t xml:space="preserve">ov pri komunikácii s verejnou správou a zvyšovanie transparentnosti verejnej správy. </w:t>
      </w:r>
    </w:p>
    <w:p w:rsidR="00671AEE" w:rsidRPr="0035027D" w:rsidRDefault="00671AEE" w:rsidP="00671AEE">
      <w:pPr>
        <w:autoSpaceDE w:val="0"/>
        <w:autoSpaceDN w:val="0"/>
        <w:spacing w:after="0"/>
      </w:pPr>
    </w:p>
    <w:p w:rsidR="00671AEE" w:rsidRPr="0035027D" w:rsidRDefault="00671AEE" w:rsidP="00671AEE">
      <w:pPr>
        <w:autoSpaceDE w:val="0"/>
        <w:autoSpaceDN w:val="0"/>
        <w:spacing w:after="0"/>
      </w:pPr>
      <w:r w:rsidRPr="0035027D">
        <w:t>Dôle</w:t>
      </w:r>
      <w:r w:rsidRPr="0035027D">
        <w:rPr>
          <w:rFonts w:cs="Times New Roman"/>
        </w:rPr>
        <w:t>ž</w:t>
      </w:r>
      <w:r w:rsidRPr="0035027D">
        <w:t>itou úlohou sú</w:t>
      </w:r>
      <w:r w:rsidRPr="0035027D">
        <w:rPr>
          <w:rFonts w:cs="Times New Roman"/>
        </w:rPr>
        <w:t>č</w:t>
      </w:r>
      <w:r w:rsidRPr="0035027D">
        <w:t>asného obdobia je vytvorenie legislatívneho rámca a zadefinovanie podmienok pre všeobecný elektronický prístup k základným verejným slu</w:t>
      </w:r>
      <w:r w:rsidRPr="0035027D">
        <w:rPr>
          <w:rFonts w:cs="Times New Roman"/>
        </w:rPr>
        <w:t>ž</w:t>
      </w:r>
      <w:r w:rsidRPr="0035027D">
        <w:t>bám s navzájom prepojenými registrami verejnej správy a umo</w:t>
      </w:r>
      <w:r w:rsidRPr="0035027D">
        <w:rPr>
          <w:rFonts w:cs="Times New Roman"/>
        </w:rPr>
        <w:t>ž</w:t>
      </w:r>
      <w:r w:rsidRPr="0035027D">
        <w:t>nenie úplnej elektronickej výmeny údajov medzi ob</w:t>
      </w:r>
      <w:r w:rsidRPr="0035027D">
        <w:rPr>
          <w:rFonts w:cs="Times New Roman"/>
        </w:rPr>
        <w:t>č</w:t>
      </w:r>
      <w:r w:rsidRPr="0035027D">
        <w:t>anmi, verejným a súkromným sektorom. Bude prijatý zákon o elektronickej verejnej správe a o registroch verejnej správy, ktorý ustanoví všeobecnú právnu úpravu spôsobu výkonu verejnej moci elektronickou cestou. Tým umo</w:t>
      </w:r>
      <w:r w:rsidRPr="0035027D">
        <w:rPr>
          <w:rFonts w:cs="Times New Roman"/>
        </w:rPr>
        <w:t>ž</w:t>
      </w:r>
      <w:r w:rsidRPr="0035027D">
        <w:t>ní realizáciu elektronických slu</w:t>
      </w:r>
      <w:r w:rsidRPr="0035027D">
        <w:rPr>
          <w:rFonts w:cs="Times New Roman"/>
        </w:rPr>
        <w:t>ž</w:t>
      </w:r>
      <w:r w:rsidRPr="0035027D">
        <w:t xml:space="preserve">ieb orgánov verejnej moci jednotným spôsobom. </w:t>
      </w:r>
    </w:p>
    <w:p w:rsidR="00671AEE" w:rsidRPr="0035027D" w:rsidRDefault="00671AEE" w:rsidP="00671AEE">
      <w:pPr>
        <w:autoSpaceDE w:val="0"/>
        <w:autoSpaceDN w:val="0"/>
        <w:spacing w:after="0"/>
      </w:pPr>
    </w:p>
    <w:p w:rsidR="00671AEE" w:rsidRPr="0035027D" w:rsidRDefault="00671AEE" w:rsidP="00671AEE">
      <w:pPr>
        <w:autoSpaceDE w:val="0"/>
        <w:autoSpaceDN w:val="0"/>
        <w:spacing w:after="0"/>
      </w:pPr>
      <w:r w:rsidRPr="0035027D">
        <w:t>Primeraná pozornos</w:t>
      </w:r>
      <w:r w:rsidRPr="0035027D">
        <w:rPr>
          <w:rFonts w:cs="Times New Roman"/>
        </w:rPr>
        <w:t>ť</w:t>
      </w:r>
      <w:r w:rsidRPr="0035027D">
        <w:t xml:space="preserve"> bude venovaná zabezpe</w:t>
      </w:r>
      <w:r w:rsidRPr="0035027D">
        <w:rPr>
          <w:rFonts w:cs="Times New Roman"/>
        </w:rPr>
        <w:t>č</w:t>
      </w:r>
      <w:r w:rsidRPr="0035027D">
        <w:t>eniu informa</w:t>
      </w:r>
      <w:r w:rsidRPr="0035027D">
        <w:rPr>
          <w:rFonts w:cs="Times New Roman"/>
        </w:rPr>
        <w:t>č</w:t>
      </w:r>
      <w:r w:rsidRPr="0035027D">
        <w:t>nej bezpe</w:t>
      </w:r>
      <w:r w:rsidRPr="0035027D">
        <w:rPr>
          <w:rFonts w:cs="Times New Roman"/>
        </w:rPr>
        <w:t>č</w:t>
      </w:r>
      <w:r w:rsidRPr="0035027D">
        <w:t>nosti. Medzi najcitlivejšie oblasti patria oblasti sektorov kritickej infraštruktúry, bankovníctva, energetiky, dopravy, zdravotníctva, elektronických komunikácií a verejnej správy. Cie</w:t>
      </w:r>
      <w:r w:rsidRPr="0035027D">
        <w:rPr>
          <w:rFonts w:cs="Times New Roman"/>
        </w:rPr>
        <w:t>ľ</w:t>
      </w:r>
      <w:r w:rsidRPr="0035027D">
        <w:t>om je preto zvýši</w:t>
      </w:r>
      <w:r w:rsidRPr="0035027D">
        <w:rPr>
          <w:rFonts w:cs="Times New Roman"/>
        </w:rPr>
        <w:t>ť</w:t>
      </w:r>
      <w:r w:rsidRPr="0035027D">
        <w:t xml:space="preserve"> úrove</w:t>
      </w:r>
      <w:r w:rsidRPr="0035027D">
        <w:rPr>
          <w:rFonts w:cs="Times New Roman"/>
        </w:rPr>
        <w:t>ň</w:t>
      </w:r>
      <w:r w:rsidRPr="0035027D">
        <w:t xml:space="preserve"> ochrany vo</w:t>
      </w:r>
      <w:r w:rsidRPr="0035027D">
        <w:rPr>
          <w:rFonts w:cs="Times New Roman"/>
        </w:rPr>
        <w:t>č</w:t>
      </w:r>
      <w:r w:rsidRPr="0035027D">
        <w:t>i incidentom, rizikám a hrozbám v oblasti sie</w:t>
      </w:r>
      <w:r w:rsidRPr="0035027D">
        <w:rPr>
          <w:rFonts w:cs="Times New Roman"/>
        </w:rPr>
        <w:t>ť</w:t>
      </w:r>
      <w:r w:rsidRPr="0035027D">
        <w:t>ovej a informa</w:t>
      </w:r>
      <w:r w:rsidRPr="0035027D">
        <w:rPr>
          <w:rFonts w:cs="Times New Roman"/>
        </w:rPr>
        <w:t>č</w:t>
      </w:r>
      <w:r w:rsidRPr="0035027D">
        <w:t>nej bezpe</w:t>
      </w:r>
      <w:r w:rsidRPr="0035027D">
        <w:rPr>
          <w:rFonts w:cs="Times New Roman"/>
        </w:rPr>
        <w:t>č</w:t>
      </w:r>
      <w:r w:rsidRPr="0035027D">
        <w:t>nosti v SR. Návrh zákona o informa</w:t>
      </w:r>
      <w:r w:rsidRPr="0035027D">
        <w:rPr>
          <w:rFonts w:cs="Times New Roman"/>
        </w:rPr>
        <w:t>č</w:t>
      </w:r>
      <w:r w:rsidRPr="0035027D">
        <w:t>nej bezpe</w:t>
      </w:r>
      <w:r w:rsidRPr="0035027D">
        <w:rPr>
          <w:rFonts w:cs="Times New Roman"/>
        </w:rPr>
        <w:t>č</w:t>
      </w:r>
      <w:r w:rsidRPr="0035027D">
        <w:t>nosti zjednotí po</w:t>
      </w:r>
      <w:r w:rsidRPr="0035027D">
        <w:rPr>
          <w:rFonts w:cs="Times New Roman"/>
        </w:rPr>
        <w:t>ž</w:t>
      </w:r>
      <w:r w:rsidRPr="0035027D">
        <w:t>iadavky a kompetencie, ktoré sa týkajú bezpe</w:t>
      </w:r>
      <w:r w:rsidRPr="0035027D">
        <w:rPr>
          <w:rFonts w:cs="Times New Roman"/>
        </w:rPr>
        <w:t>č</w:t>
      </w:r>
      <w:r w:rsidRPr="0035027D">
        <w:t>nosti informa</w:t>
      </w:r>
      <w:r w:rsidRPr="0035027D">
        <w:rPr>
          <w:rFonts w:cs="Times New Roman"/>
        </w:rPr>
        <w:t>č</w:t>
      </w:r>
      <w:r w:rsidRPr="0035027D">
        <w:t>no-komunika</w:t>
      </w:r>
      <w:r w:rsidRPr="0035027D">
        <w:rPr>
          <w:rFonts w:cs="Times New Roman"/>
        </w:rPr>
        <w:t>č</w:t>
      </w:r>
      <w:r w:rsidRPr="0035027D">
        <w:t xml:space="preserve">ných technológií. </w:t>
      </w:r>
    </w:p>
    <w:p w:rsidR="00671AEE" w:rsidRPr="0035027D" w:rsidRDefault="00671AEE" w:rsidP="00671AEE">
      <w:pPr>
        <w:autoSpaceDE w:val="0"/>
        <w:autoSpaceDN w:val="0"/>
        <w:spacing w:after="0"/>
      </w:pPr>
    </w:p>
    <w:p w:rsidR="00671AEE" w:rsidRPr="0035027D" w:rsidRDefault="00671AEE" w:rsidP="00671AEE">
      <w:pPr>
        <w:autoSpaceDE w:val="0"/>
        <w:autoSpaceDN w:val="0"/>
        <w:spacing w:after="0"/>
      </w:pPr>
      <w:r w:rsidRPr="0035027D">
        <w:t>Príjmu sa opatrenia prispievajúce k efektívnemu budovaniu integrovaného informa</w:t>
      </w:r>
      <w:r w:rsidRPr="0035027D">
        <w:rPr>
          <w:rFonts w:cs="Times New Roman"/>
        </w:rPr>
        <w:t>č</w:t>
      </w:r>
      <w:r w:rsidRPr="0035027D">
        <w:t>ného systému verejnej správy a zlepšeniu sú</w:t>
      </w:r>
      <w:r w:rsidRPr="0035027D">
        <w:rPr>
          <w:rFonts w:cs="Times New Roman"/>
        </w:rPr>
        <w:t>č</w:t>
      </w:r>
      <w:r w:rsidRPr="0035027D">
        <w:t>innosti jeho slu</w:t>
      </w:r>
      <w:r w:rsidRPr="0035027D">
        <w:rPr>
          <w:rFonts w:cs="Times New Roman"/>
        </w:rPr>
        <w:t>ž</w:t>
      </w:r>
      <w:r w:rsidRPr="0035027D">
        <w:t>ieb. Z h</w:t>
      </w:r>
      <w:r w:rsidRPr="0035027D">
        <w:rPr>
          <w:rFonts w:cs="Times New Roman"/>
        </w:rPr>
        <w:t>ľ</w:t>
      </w:r>
      <w:r w:rsidRPr="0035027D">
        <w:t>adiska vzájomnej kooperácie informa</w:t>
      </w:r>
      <w:r w:rsidRPr="0035027D">
        <w:rPr>
          <w:rFonts w:cs="Times New Roman"/>
        </w:rPr>
        <w:t>č</w:t>
      </w:r>
      <w:r w:rsidRPr="0035027D">
        <w:t>ných systémov je potrebné zefektívni</w:t>
      </w:r>
      <w:r w:rsidRPr="0035027D">
        <w:rPr>
          <w:rFonts w:cs="Times New Roman"/>
        </w:rPr>
        <w:t>ť</w:t>
      </w:r>
      <w:r w:rsidRPr="0035027D">
        <w:t xml:space="preserve"> a zjednoduši</w:t>
      </w:r>
      <w:r w:rsidRPr="0035027D">
        <w:rPr>
          <w:rFonts w:cs="Times New Roman"/>
        </w:rPr>
        <w:t>ť</w:t>
      </w:r>
      <w:r w:rsidRPr="0035027D">
        <w:t xml:space="preserve"> prepájanie informa</w:t>
      </w:r>
      <w:r w:rsidRPr="0035027D">
        <w:rPr>
          <w:rFonts w:cs="Times New Roman"/>
        </w:rPr>
        <w:t>č</w:t>
      </w:r>
      <w:r w:rsidRPr="0035027D">
        <w:t>ných systémov jednotlivých úsekov verejnej správy na úrovni štátnej správy aj samosprávy. Implementované štandardy vytvárajú v širšom kontexte priaznivý dopad na obyvate</w:t>
      </w:r>
      <w:r w:rsidRPr="0035027D">
        <w:rPr>
          <w:rFonts w:cs="Times New Roman"/>
        </w:rPr>
        <w:t>ľ</w:t>
      </w:r>
      <w:r w:rsidRPr="0035027D">
        <w:t xml:space="preserve">ov v zmysle zvýšenej úrovne kvality </w:t>
      </w:r>
      <w:r w:rsidRPr="0035027D">
        <w:rPr>
          <w:rFonts w:cs="Times New Roman"/>
        </w:rPr>
        <w:t>ž</w:t>
      </w:r>
      <w:r w:rsidRPr="0035027D">
        <w:t>ivota a umo</w:t>
      </w:r>
      <w:r w:rsidRPr="0035027D">
        <w:rPr>
          <w:rFonts w:cs="Times New Roman"/>
        </w:rPr>
        <w:t>žň</w:t>
      </w:r>
      <w:r w:rsidRPr="0035027D">
        <w:t>ujú efektívnejšie riadenie informatizácie spolo</w:t>
      </w:r>
      <w:r w:rsidRPr="0035027D">
        <w:rPr>
          <w:rFonts w:cs="Times New Roman"/>
        </w:rPr>
        <w:t>č</w:t>
      </w:r>
      <w:r w:rsidRPr="0035027D">
        <w:t>nosti.</w:t>
      </w:r>
    </w:p>
    <w:p w:rsidR="00671AEE" w:rsidRPr="0035027D" w:rsidRDefault="00671AEE" w:rsidP="00671AEE">
      <w:pPr>
        <w:autoSpaceDE w:val="0"/>
        <w:autoSpaceDN w:val="0"/>
        <w:spacing w:after="0"/>
      </w:pPr>
    </w:p>
    <w:p w:rsidR="001F77AA" w:rsidRPr="0035027D" w:rsidRDefault="001F77AA" w:rsidP="001F77AA">
      <w:pPr>
        <w:keepNext/>
        <w:spacing w:after="0"/>
        <w:outlineLvl w:val="0"/>
        <w:rPr>
          <w:bCs/>
          <w:kern w:val="36"/>
        </w:rPr>
      </w:pPr>
      <w:r w:rsidRPr="0035027D">
        <w:rPr>
          <w:bCs/>
          <w:kern w:val="36"/>
        </w:rPr>
        <w:t>Pre zabezpe</w:t>
      </w:r>
      <w:r w:rsidRPr="0035027D">
        <w:rPr>
          <w:rFonts w:cs="Times New Roman"/>
          <w:bCs/>
          <w:kern w:val="36"/>
        </w:rPr>
        <w:t>č</w:t>
      </w:r>
      <w:r w:rsidRPr="0035027D">
        <w:rPr>
          <w:bCs/>
          <w:kern w:val="36"/>
        </w:rPr>
        <w:t>enie prevádzky existujúcich informa</w:t>
      </w:r>
      <w:r w:rsidRPr="0035027D">
        <w:rPr>
          <w:rFonts w:cs="Times New Roman"/>
          <w:bCs/>
          <w:kern w:val="36"/>
        </w:rPr>
        <w:t>č</w:t>
      </w:r>
      <w:r w:rsidRPr="0035027D">
        <w:rPr>
          <w:bCs/>
          <w:kern w:val="36"/>
        </w:rPr>
        <w:t xml:space="preserve">ných systémov verejnej správy, ako aj ich inovácie, resp. vývoja </w:t>
      </w:r>
      <w:r w:rsidRPr="0035027D">
        <w:rPr>
          <w:rFonts w:cs="Times New Roman"/>
          <w:bCs/>
          <w:kern w:val="36"/>
        </w:rPr>
        <w:t>ď</w:t>
      </w:r>
      <w:r w:rsidRPr="0035027D">
        <w:rPr>
          <w:bCs/>
          <w:kern w:val="36"/>
        </w:rPr>
        <w:t>alších systémov na úsekoch v pôsobnosti subjektov integrovanej miestnej štátnej správy je potrebné vybudova</w:t>
      </w:r>
      <w:r w:rsidRPr="0035027D">
        <w:rPr>
          <w:rFonts w:cs="Times New Roman"/>
          <w:bCs/>
          <w:kern w:val="36"/>
        </w:rPr>
        <w:t>ť</w:t>
      </w:r>
      <w:r w:rsidRPr="0035027D">
        <w:rPr>
          <w:bCs/>
          <w:kern w:val="36"/>
        </w:rPr>
        <w:t xml:space="preserve"> primerane výkonnú a bezpe</w:t>
      </w:r>
      <w:r w:rsidRPr="0035027D">
        <w:rPr>
          <w:rFonts w:cs="Times New Roman"/>
          <w:bCs/>
          <w:kern w:val="36"/>
        </w:rPr>
        <w:t>č</w:t>
      </w:r>
      <w:r w:rsidRPr="0035027D">
        <w:rPr>
          <w:bCs/>
          <w:kern w:val="36"/>
        </w:rPr>
        <w:t>nú integrovanú komunika</w:t>
      </w:r>
      <w:r w:rsidRPr="0035027D">
        <w:rPr>
          <w:rFonts w:cs="Times New Roman"/>
          <w:bCs/>
          <w:kern w:val="36"/>
        </w:rPr>
        <w:t>č</w:t>
      </w:r>
      <w:r w:rsidRPr="0035027D">
        <w:rPr>
          <w:bCs/>
          <w:kern w:val="36"/>
        </w:rPr>
        <w:t>nú a technologickú infraštruktúru miestnej štátnej správy, ako aj samosprávy (najmä pre prenesený výkon štátnej správy). Táto infraštruktúra je nevyhnutná aj pre efektívne poskytovanie slu</w:t>
      </w:r>
      <w:r w:rsidRPr="0035027D">
        <w:rPr>
          <w:rFonts w:cs="Times New Roman"/>
          <w:bCs/>
          <w:kern w:val="36"/>
        </w:rPr>
        <w:t>ž</w:t>
      </w:r>
      <w:r w:rsidRPr="0035027D">
        <w:rPr>
          <w:bCs/>
          <w:kern w:val="36"/>
        </w:rPr>
        <w:t>ieb na kontaktných administratívnych miestach ob</w:t>
      </w:r>
      <w:r w:rsidRPr="0035027D">
        <w:rPr>
          <w:rFonts w:cs="Times New Roman"/>
          <w:bCs/>
          <w:kern w:val="36"/>
        </w:rPr>
        <w:t>č</w:t>
      </w:r>
      <w:r w:rsidRPr="0035027D">
        <w:rPr>
          <w:bCs/>
          <w:kern w:val="36"/>
        </w:rPr>
        <w:t>anov.</w:t>
      </w:r>
    </w:p>
    <w:p w:rsidR="001F77AA" w:rsidRDefault="001F77AA" w:rsidP="005C33C0">
      <w:pPr>
        <w:autoSpaceDE w:val="0"/>
        <w:autoSpaceDN w:val="0"/>
        <w:spacing w:after="0"/>
      </w:pPr>
    </w:p>
    <w:p w:rsidR="00671AEE" w:rsidRPr="0035027D" w:rsidRDefault="00671AEE" w:rsidP="005C33C0">
      <w:pPr>
        <w:autoSpaceDE w:val="0"/>
        <w:autoSpaceDN w:val="0"/>
        <w:spacing w:after="0"/>
      </w:pPr>
      <w:r w:rsidRPr="0035027D">
        <w:t>Verejné slu</w:t>
      </w:r>
      <w:r w:rsidRPr="0035027D">
        <w:rPr>
          <w:rFonts w:cs="Times New Roman"/>
        </w:rPr>
        <w:t>ž</w:t>
      </w:r>
      <w:r w:rsidRPr="0035027D">
        <w:t>by budú dostupné viacerými elektronickými kanálmi, podporený bude najmä rozvoj funkcionalít Ústredného portálu verejnej správy. Posilnia sa aktivity v oblasti elektronickej štátnej správy, elektronickej kultúry, elektronického vzdelávania, elektronickej inklúzie a elektronického zdravotníctva. Pri implementácii elektronických slu</w:t>
      </w:r>
      <w:r w:rsidRPr="0035027D">
        <w:rPr>
          <w:rFonts w:cs="Times New Roman"/>
        </w:rPr>
        <w:t>ž</w:t>
      </w:r>
      <w:r w:rsidRPr="0035027D">
        <w:t>ieb poskytovaných jednotlivými orgánmi verejnej správy sa bude postupova</w:t>
      </w:r>
      <w:r w:rsidRPr="0035027D">
        <w:rPr>
          <w:rFonts w:cs="Times New Roman"/>
        </w:rPr>
        <w:t>ť</w:t>
      </w:r>
      <w:r w:rsidRPr="0035027D">
        <w:t xml:space="preserve"> v súlade s prioritami a harmonogramom Opera</w:t>
      </w:r>
      <w:r w:rsidRPr="0035027D">
        <w:rPr>
          <w:rFonts w:cs="Times New Roman"/>
        </w:rPr>
        <w:t>č</w:t>
      </w:r>
      <w:r w:rsidRPr="0035027D">
        <w:t>ného programu informatizácia spolo</w:t>
      </w:r>
      <w:r w:rsidRPr="0035027D">
        <w:rPr>
          <w:rFonts w:cs="Times New Roman"/>
        </w:rPr>
        <w:t>č</w:t>
      </w:r>
      <w:r w:rsidRPr="0035027D">
        <w:t xml:space="preserve">nosti. </w:t>
      </w:r>
    </w:p>
    <w:p w:rsidR="00D47426" w:rsidRPr="0035027D" w:rsidRDefault="00D47426" w:rsidP="002275ED">
      <w:pPr>
        <w:keepNext/>
        <w:spacing w:after="0"/>
        <w:outlineLvl w:val="0"/>
        <w:rPr>
          <w:bCs/>
          <w:kern w:val="36"/>
        </w:rPr>
      </w:pPr>
    </w:p>
    <w:p w:rsidR="00671AEE" w:rsidRPr="0035027D" w:rsidRDefault="00671AEE" w:rsidP="005C33C0">
      <w:pPr>
        <w:autoSpaceDE w:val="0"/>
        <w:autoSpaceDN w:val="0"/>
        <w:spacing w:after="0"/>
      </w:pPr>
      <w:r w:rsidRPr="0035027D">
        <w:t>Uvedie sa do prevádzky informa</w:t>
      </w:r>
      <w:r w:rsidRPr="0035027D">
        <w:rPr>
          <w:rFonts w:cs="Times New Roman"/>
        </w:rPr>
        <w:t>č</w:t>
      </w:r>
      <w:r w:rsidRPr="0035027D">
        <w:t>ný systém Integrovaných obslu</w:t>
      </w:r>
      <w:r w:rsidRPr="0035027D">
        <w:rPr>
          <w:rFonts w:cs="Times New Roman"/>
        </w:rPr>
        <w:t>ž</w:t>
      </w:r>
      <w:r w:rsidRPr="0035027D">
        <w:t>ných miest (IOM), ktorý umo</w:t>
      </w:r>
      <w:r w:rsidRPr="0035027D">
        <w:rPr>
          <w:rFonts w:cs="Times New Roman"/>
        </w:rPr>
        <w:t>ž</w:t>
      </w:r>
      <w:r w:rsidRPr="0035027D">
        <w:t>ní vyu</w:t>
      </w:r>
      <w:r w:rsidRPr="0035027D">
        <w:rPr>
          <w:rFonts w:cs="Times New Roman"/>
        </w:rPr>
        <w:t>ž</w:t>
      </w:r>
      <w:r w:rsidRPr="0035027D">
        <w:t>ívanie elektronických slu</w:t>
      </w:r>
      <w:r w:rsidRPr="0035027D">
        <w:rPr>
          <w:rFonts w:cs="Times New Roman"/>
        </w:rPr>
        <w:t>ž</w:t>
      </w:r>
      <w:r w:rsidRPr="0035027D">
        <w:t>ieb verejnej správy s dostupnos</w:t>
      </w:r>
      <w:r w:rsidRPr="0035027D">
        <w:rPr>
          <w:rFonts w:cs="Times New Roman"/>
        </w:rPr>
        <w:t>ť</w:t>
      </w:r>
      <w:r w:rsidRPr="0035027D">
        <w:t>ou pre minimálne 8</w:t>
      </w:r>
      <w:r w:rsidR="005E1922" w:rsidRPr="0035027D">
        <w:t>5 %</w:t>
      </w:r>
      <w:r w:rsidRPr="0035027D">
        <w:t xml:space="preserve"> obyvate</w:t>
      </w:r>
      <w:r w:rsidRPr="0035027D">
        <w:rPr>
          <w:rFonts w:cs="Times New Roman"/>
        </w:rPr>
        <w:t>ľ</w:t>
      </w:r>
      <w:r w:rsidRPr="0035027D">
        <w:t>ov SR. K hlavným slu</w:t>
      </w:r>
      <w:r w:rsidRPr="0035027D">
        <w:rPr>
          <w:rFonts w:cs="Times New Roman"/>
        </w:rPr>
        <w:t>ž</w:t>
      </w:r>
      <w:r w:rsidRPr="0035027D">
        <w:t>bám, ktoré budú IOM zabezpe</w:t>
      </w:r>
      <w:r w:rsidRPr="0035027D">
        <w:rPr>
          <w:rFonts w:cs="Times New Roman"/>
        </w:rPr>
        <w:t>č</w:t>
      </w:r>
      <w:r w:rsidRPr="0035027D">
        <w:t>ova</w:t>
      </w:r>
      <w:r w:rsidRPr="0035027D">
        <w:rPr>
          <w:rFonts w:cs="Times New Roman"/>
        </w:rPr>
        <w:t>ť</w:t>
      </w:r>
      <w:r w:rsidRPr="0035027D">
        <w:t>, b</w:t>
      </w:r>
      <w:r w:rsidR="001D4DDD" w:rsidRPr="0035027D">
        <w:t>ude</w:t>
      </w:r>
      <w:r w:rsidRPr="0035027D">
        <w:t xml:space="preserve"> patri</w:t>
      </w:r>
      <w:r w:rsidRPr="0035027D">
        <w:rPr>
          <w:rFonts w:cs="Times New Roman"/>
        </w:rPr>
        <w:t>ť</w:t>
      </w:r>
      <w:r w:rsidRPr="0035027D">
        <w:t xml:space="preserve"> zabezpe</w:t>
      </w:r>
      <w:r w:rsidRPr="0035027D">
        <w:rPr>
          <w:rFonts w:cs="Times New Roman"/>
        </w:rPr>
        <w:t>č</w:t>
      </w:r>
      <w:r w:rsidRPr="0035027D">
        <w:t>enie prístupu k elektronickým slu</w:t>
      </w:r>
      <w:r w:rsidRPr="0035027D">
        <w:rPr>
          <w:rFonts w:cs="Times New Roman"/>
        </w:rPr>
        <w:t>ž</w:t>
      </w:r>
      <w:r w:rsidRPr="0035027D">
        <w:t xml:space="preserve">bám verejnej správy povinných osôb (najmä podávanie návrhov, </w:t>
      </w:r>
      <w:r w:rsidRPr="0035027D">
        <w:rPr>
          <w:rFonts w:cs="Times New Roman"/>
        </w:rPr>
        <w:t>ž</w:t>
      </w:r>
      <w:r w:rsidRPr="0035027D">
        <w:t>iadostí a iných podaní) a získanie výstupu zo spracovania podania, prípadne iných dokumentov, potvrdení alebo informácií.</w:t>
      </w:r>
    </w:p>
    <w:p w:rsidR="008256D9" w:rsidRPr="0035027D" w:rsidRDefault="008256D9" w:rsidP="005C33C0">
      <w:pPr>
        <w:autoSpaceDE w:val="0"/>
        <w:autoSpaceDN w:val="0"/>
        <w:spacing w:after="0"/>
      </w:pPr>
    </w:p>
    <w:p w:rsidR="008256D9" w:rsidRPr="0035027D" w:rsidRDefault="008256D9" w:rsidP="005C33C0">
      <w:pPr>
        <w:autoSpaceDE w:val="0"/>
        <w:autoSpaceDN w:val="0"/>
        <w:spacing w:after="0"/>
      </w:pPr>
      <w:r w:rsidRPr="0035027D">
        <w:t>Tento rok sa rozbi</w:t>
      </w:r>
      <w:r w:rsidR="001D4DDD" w:rsidRPr="0035027D">
        <w:t>eha projekt elektronizácie</w:t>
      </w:r>
      <w:r w:rsidRPr="0035027D">
        <w:t xml:space="preserve"> stavebného poriadku, územného plánovania a regionálneho rozvoja (</w:t>
      </w:r>
      <w:proofErr w:type="spellStart"/>
      <w:r w:rsidRPr="0035027D">
        <w:t>e-STAK</w:t>
      </w:r>
      <w:proofErr w:type="spellEnd"/>
      <w:r w:rsidRPr="0035027D">
        <w:t>). Cie</w:t>
      </w:r>
      <w:r w:rsidRPr="0035027D">
        <w:rPr>
          <w:rFonts w:cs="Times New Roman"/>
        </w:rPr>
        <w:t>ľ</w:t>
      </w:r>
      <w:r w:rsidRPr="0035027D">
        <w:t>om je pripravi</w:t>
      </w:r>
      <w:r w:rsidRPr="0035027D">
        <w:rPr>
          <w:rFonts w:cs="Times New Roman"/>
        </w:rPr>
        <w:t>ť</w:t>
      </w:r>
      <w:r w:rsidRPr="0035027D">
        <w:t xml:space="preserve"> a uvies</w:t>
      </w:r>
      <w:r w:rsidRPr="0035027D">
        <w:rPr>
          <w:rFonts w:cs="Times New Roman"/>
        </w:rPr>
        <w:t>ť</w:t>
      </w:r>
      <w:r w:rsidRPr="0035027D">
        <w:t xml:space="preserve"> do praxe program elektronizácie </w:t>
      </w:r>
      <w:r w:rsidRPr="0035027D">
        <w:rPr>
          <w:rFonts w:cs="Times New Roman"/>
        </w:rPr>
        <w:t>č</w:t>
      </w:r>
      <w:r w:rsidRPr="0035027D">
        <w:t>innosti stavebných úradov, druhostup</w:t>
      </w:r>
      <w:r w:rsidRPr="0035027D">
        <w:rPr>
          <w:rFonts w:cs="Times New Roman"/>
        </w:rPr>
        <w:t>ň</w:t>
      </w:r>
      <w:r w:rsidRPr="0035027D">
        <w:t>ových odvolacích orgánov a MDVRR SR tak, aby ob</w:t>
      </w:r>
      <w:r w:rsidRPr="0035027D">
        <w:rPr>
          <w:rFonts w:cs="Times New Roman"/>
        </w:rPr>
        <w:t>č</w:t>
      </w:r>
      <w:r w:rsidRPr="0035027D">
        <w:t xml:space="preserve">ania a podnikatelia vybavili elektronickou formou celý proces od podania </w:t>
      </w:r>
      <w:r w:rsidRPr="0035027D">
        <w:rPr>
          <w:rFonts w:cs="Times New Roman"/>
        </w:rPr>
        <w:t>ž</w:t>
      </w:r>
      <w:r w:rsidRPr="0035027D">
        <w:t>iadosti a</w:t>
      </w:r>
      <w:r w:rsidRPr="0035027D">
        <w:rPr>
          <w:rFonts w:cs="Times New Roman"/>
        </w:rPr>
        <w:t>ž</w:t>
      </w:r>
      <w:r w:rsidRPr="0035027D">
        <w:t xml:space="preserve"> po vydanie právoplatného rozhodnutia pod</w:t>
      </w:r>
      <w:r w:rsidRPr="0035027D">
        <w:rPr>
          <w:rFonts w:cs="Times New Roman"/>
        </w:rPr>
        <w:t>ľ</w:t>
      </w:r>
      <w:r w:rsidRPr="0035027D">
        <w:t>a stavebného zákona.</w:t>
      </w:r>
    </w:p>
    <w:p w:rsidR="00427F28" w:rsidRPr="0035027D" w:rsidRDefault="00427F28" w:rsidP="005C33C0">
      <w:pPr>
        <w:autoSpaceDE w:val="0"/>
        <w:autoSpaceDN w:val="0"/>
        <w:spacing w:after="0"/>
      </w:pPr>
    </w:p>
    <w:p w:rsidR="005C33C0" w:rsidRPr="0035027D" w:rsidRDefault="005C33C0" w:rsidP="005C33C0">
      <w:pPr>
        <w:autoSpaceDE w:val="0"/>
        <w:autoSpaceDN w:val="0"/>
        <w:spacing w:after="0"/>
      </w:pPr>
    </w:p>
    <w:p w:rsidR="00C50760" w:rsidRPr="0035027D" w:rsidRDefault="004C7C8F" w:rsidP="00EC7DAA">
      <w:pPr>
        <w:pStyle w:val="Nadpis3"/>
        <w:ind w:left="0" w:firstLine="0"/>
      </w:pPr>
      <w:bookmarkStart w:id="64" w:name="_Toc353563388"/>
      <w:r w:rsidRPr="0035027D">
        <w:t>Transparentné prostredie a vymožiteľnosť práva</w:t>
      </w:r>
      <w:bookmarkEnd w:id="64"/>
    </w:p>
    <w:p w:rsidR="00F13446" w:rsidRPr="0035027D" w:rsidRDefault="00F13446" w:rsidP="00F13446">
      <w:pPr>
        <w:tabs>
          <w:tab w:val="left" w:pos="426"/>
        </w:tabs>
        <w:rPr>
          <w:rFonts w:eastAsiaTheme="minorHAnsi" w:cs="Arial"/>
          <w:b/>
          <w:bCs/>
          <w:color w:val="000000"/>
        </w:rPr>
      </w:pPr>
    </w:p>
    <w:tbl>
      <w:tblPr>
        <w:tblW w:w="8360" w:type="dxa"/>
        <w:jc w:val="center"/>
        <w:tblInd w:w="55" w:type="dxa"/>
        <w:tblCellMar>
          <w:left w:w="70" w:type="dxa"/>
          <w:right w:w="70" w:type="dxa"/>
        </w:tblCellMar>
        <w:tblLook w:val="04A0" w:firstRow="1" w:lastRow="0" w:firstColumn="1" w:lastColumn="0" w:noHBand="0" w:noVBand="1"/>
      </w:tblPr>
      <w:tblGrid>
        <w:gridCol w:w="2107"/>
        <w:gridCol w:w="736"/>
        <w:gridCol w:w="613"/>
        <w:gridCol w:w="613"/>
        <w:gridCol w:w="613"/>
        <w:gridCol w:w="613"/>
        <w:gridCol w:w="613"/>
        <w:gridCol w:w="613"/>
        <w:gridCol w:w="613"/>
        <w:gridCol w:w="613"/>
        <w:gridCol w:w="613"/>
      </w:tblGrid>
      <w:tr w:rsidR="0051087D" w:rsidRPr="0035027D" w:rsidTr="0051087D">
        <w:trPr>
          <w:trHeight w:val="300"/>
          <w:jc w:val="center"/>
        </w:trPr>
        <w:tc>
          <w:tcPr>
            <w:tcW w:w="8360" w:type="dxa"/>
            <w:gridSpan w:val="11"/>
            <w:tcBorders>
              <w:top w:val="single" w:sz="4" w:space="0" w:color="auto"/>
              <w:left w:val="single" w:sz="4" w:space="0" w:color="auto"/>
              <w:bottom w:val="single" w:sz="4" w:space="0" w:color="auto"/>
              <w:right w:val="nil"/>
            </w:tcBorders>
            <w:shd w:val="clear" w:color="000000" w:fill="000000"/>
            <w:noWrap/>
            <w:vAlign w:val="center"/>
            <w:hideMark/>
          </w:tcPr>
          <w:p w:rsidR="0051087D" w:rsidRPr="0035027D" w:rsidRDefault="00D4235C" w:rsidP="0051087D">
            <w:pPr>
              <w:spacing w:after="0"/>
              <w:jc w:val="left"/>
              <w:rPr>
                <w:rFonts w:cs="Times New Roman"/>
                <w:b/>
                <w:bCs/>
                <w:color w:val="FFFFFF"/>
                <w:sz w:val="20"/>
                <w:szCs w:val="20"/>
              </w:rPr>
            </w:pPr>
            <w:r w:rsidRPr="0035027D">
              <w:rPr>
                <w:rFonts w:cs="Times New Roman"/>
                <w:b/>
                <w:bCs/>
                <w:color w:val="FFFFFF"/>
                <w:sz w:val="20"/>
                <w:szCs w:val="20"/>
              </w:rPr>
              <w:lastRenderedPageBreak/>
              <w:t xml:space="preserve">Tab. 7: </w:t>
            </w:r>
            <w:r w:rsidR="0051087D" w:rsidRPr="0035027D">
              <w:rPr>
                <w:rFonts w:cs="Times New Roman"/>
                <w:b/>
                <w:bCs/>
                <w:color w:val="FFFFFF"/>
                <w:sz w:val="20"/>
                <w:szCs w:val="20"/>
              </w:rPr>
              <w:t>Výsledkový indikátor pre transparentné prostredie a vymožiteľnosť práva</w:t>
            </w:r>
          </w:p>
        </w:tc>
      </w:tr>
      <w:tr w:rsidR="0051087D" w:rsidRPr="0035027D" w:rsidTr="0051087D">
        <w:trPr>
          <w:trHeight w:val="510"/>
          <w:jc w:val="center"/>
        </w:trPr>
        <w:tc>
          <w:tcPr>
            <w:tcW w:w="2107" w:type="dxa"/>
            <w:tcBorders>
              <w:top w:val="nil"/>
              <w:left w:val="single" w:sz="4" w:space="0" w:color="auto"/>
              <w:bottom w:val="single" w:sz="4" w:space="0" w:color="auto"/>
              <w:right w:val="nil"/>
            </w:tcBorders>
            <w:shd w:val="clear" w:color="000000" w:fill="BFBFBF"/>
            <w:noWrap/>
            <w:vAlign w:val="center"/>
            <w:hideMark/>
          </w:tcPr>
          <w:p w:rsidR="0051087D" w:rsidRPr="0035027D" w:rsidRDefault="0051087D" w:rsidP="0051087D">
            <w:pPr>
              <w:spacing w:after="0"/>
              <w:jc w:val="left"/>
              <w:rPr>
                <w:rFonts w:cs="Times New Roman"/>
                <w:b/>
                <w:bCs/>
                <w:color w:val="FFFFFF"/>
                <w:sz w:val="20"/>
                <w:szCs w:val="20"/>
              </w:rPr>
            </w:pPr>
            <w:r w:rsidRPr="0035027D">
              <w:rPr>
                <w:rFonts w:cs="Times New Roman"/>
                <w:b/>
                <w:bCs/>
                <w:color w:val="FFFFFF"/>
                <w:sz w:val="20"/>
                <w:szCs w:val="20"/>
              </w:rPr>
              <w:t> </w:t>
            </w:r>
          </w:p>
        </w:tc>
        <w:tc>
          <w:tcPr>
            <w:tcW w:w="736" w:type="dxa"/>
            <w:tcBorders>
              <w:top w:val="nil"/>
              <w:left w:val="nil"/>
              <w:bottom w:val="single" w:sz="4" w:space="0" w:color="auto"/>
              <w:right w:val="nil"/>
            </w:tcBorders>
            <w:shd w:val="clear" w:color="000000" w:fill="BFBFBF"/>
            <w:noWrap/>
            <w:vAlign w:val="center"/>
            <w:hideMark/>
          </w:tcPr>
          <w:p w:rsidR="0051087D" w:rsidRPr="0035027D" w:rsidRDefault="0051087D" w:rsidP="0051087D">
            <w:pPr>
              <w:spacing w:after="0"/>
              <w:jc w:val="left"/>
              <w:rPr>
                <w:rFonts w:cs="Times New Roman"/>
                <w:b/>
                <w:bCs/>
                <w:color w:val="FFFFFF"/>
                <w:sz w:val="20"/>
                <w:szCs w:val="20"/>
              </w:rPr>
            </w:pPr>
            <w:r w:rsidRPr="0035027D">
              <w:rPr>
                <w:rFonts w:cs="Times New Roman"/>
                <w:b/>
                <w:bCs/>
                <w:color w:val="FFFFFF"/>
                <w:sz w:val="20"/>
                <w:szCs w:val="20"/>
              </w:rPr>
              <w:t> </w:t>
            </w:r>
          </w:p>
        </w:tc>
        <w:tc>
          <w:tcPr>
            <w:tcW w:w="613" w:type="dxa"/>
            <w:tcBorders>
              <w:top w:val="nil"/>
              <w:left w:val="single" w:sz="4" w:space="0" w:color="auto"/>
              <w:bottom w:val="single" w:sz="4" w:space="0" w:color="auto"/>
              <w:right w:val="nil"/>
            </w:tcBorders>
            <w:shd w:val="clear" w:color="000000" w:fill="BFBFBF"/>
            <w:noWrap/>
            <w:vAlign w:val="center"/>
            <w:hideMark/>
          </w:tcPr>
          <w:p w:rsidR="0051087D" w:rsidRPr="0035027D" w:rsidRDefault="0051087D" w:rsidP="0051087D">
            <w:pPr>
              <w:spacing w:after="0"/>
              <w:jc w:val="center"/>
              <w:rPr>
                <w:rFonts w:cs="Times New Roman"/>
                <w:b/>
                <w:bCs/>
                <w:color w:val="000000"/>
                <w:sz w:val="20"/>
                <w:szCs w:val="20"/>
              </w:rPr>
            </w:pPr>
            <w:r w:rsidRPr="0035027D">
              <w:rPr>
                <w:rFonts w:cs="Times New Roman"/>
                <w:b/>
                <w:bCs/>
                <w:color w:val="000000"/>
                <w:sz w:val="20"/>
                <w:szCs w:val="20"/>
              </w:rPr>
              <w:t>2004</w:t>
            </w:r>
          </w:p>
        </w:tc>
        <w:tc>
          <w:tcPr>
            <w:tcW w:w="613" w:type="dxa"/>
            <w:tcBorders>
              <w:top w:val="nil"/>
              <w:left w:val="nil"/>
              <w:bottom w:val="single" w:sz="4" w:space="0" w:color="auto"/>
              <w:right w:val="nil"/>
            </w:tcBorders>
            <w:shd w:val="clear" w:color="000000" w:fill="BFBFBF"/>
            <w:noWrap/>
            <w:vAlign w:val="center"/>
            <w:hideMark/>
          </w:tcPr>
          <w:p w:rsidR="0051087D" w:rsidRPr="0035027D" w:rsidRDefault="0051087D" w:rsidP="0051087D">
            <w:pPr>
              <w:spacing w:after="0"/>
              <w:jc w:val="center"/>
              <w:rPr>
                <w:rFonts w:cs="Times New Roman"/>
                <w:b/>
                <w:bCs/>
                <w:color w:val="000000"/>
                <w:sz w:val="20"/>
                <w:szCs w:val="20"/>
              </w:rPr>
            </w:pPr>
            <w:r w:rsidRPr="0035027D">
              <w:rPr>
                <w:rFonts w:cs="Times New Roman"/>
                <w:b/>
                <w:bCs/>
                <w:color w:val="000000"/>
                <w:sz w:val="20"/>
                <w:szCs w:val="20"/>
              </w:rPr>
              <w:t>2005</w:t>
            </w:r>
          </w:p>
        </w:tc>
        <w:tc>
          <w:tcPr>
            <w:tcW w:w="613" w:type="dxa"/>
            <w:tcBorders>
              <w:top w:val="nil"/>
              <w:left w:val="nil"/>
              <w:bottom w:val="single" w:sz="4" w:space="0" w:color="auto"/>
              <w:right w:val="nil"/>
            </w:tcBorders>
            <w:shd w:val="clear" w:color="000000" w:fill="BFBFBF"/>
            <w:noWrap/>
            <w:vAlign w:val="center"/>
            <w:hideMark/>
          </w:tcPr>
          <w:p w:rsidR="0051087D" w:rsidRPr="0035027D" w:rsidRDefault="0051087D" w:rsidP="0051087D">
            <w:pPr>
              <w:spacing w:after="0"/>
              <w:jc w:val="center"/>
              <w:rPr>
                <w:rFonts w:cs="Times New Roman"/>
                <w:b/>
                <w:bCs/>
                <w:color w:val="000000"/>
                <w:sz w:val="20"/>
                <w:szCs w:val="20"/>
              </w:rPr>
            </w:pPr>
            <w:r w:rsidRPr="0035027D">
              <w:rPr>
                <w:rFonts w:cs="Times New Roman"/>
                <w:b/>
                <w:bCs/>
                <w:color w:val="000000"/>
                <w:sz w:val="20"/>
                <w:szCs w:val="20"/>
              </w:rPr>
              <w:t>2006</w:t>
            </w:r>
          </w:p>
        </w:tc>
        <w:tc>
          <w:tcPr>
            <w:tcW w:w="613" w:type="dxa"/>
            <w:tcBorders>
              <w:top w:val="nil"/>
              <w:left w:val="nil"/>
              <w:bottom w:val="single" w:sz="4" w:space="0" w:color="auto"/>
              <w:right w:val="nil"/>
            </w:tcBorders>
            <w:shd w:val="clear" w:color="000000" w:fill="BFBFBF"/>
            <w:noWrap/>
            <w:vAlign w:val="center"/>
            <w:hideMark/>
          </w:tcPr>
          <w:p w:rsidR="0051087D" w:rsidRPr="0035027D" w:rsidRDefault="0051087D" w:rsidP="0051087D">
            <w:pPr>
              <w:spacing w:after="0"/>
              <w:jc w:val="center"/>
              <w:rPr>
                <w:rFonts w:cs="Times New Roman"/>
                <w:b/>
                <w:bCs/>
                <w:color w:val="000000"/>
                <w:sz w:val="20"/>
                <w:szCs w:val="20"/>
              </w:rPr>
            </w:pPr>
            <w:r w:rsidRPr="0035027D">
              <w:rPr>
                <w:rFonts w:cs="Times New Roman"/>
                <w:b/>
                <w:bCs/>
                <w:color w:val="000000"/>
                <w:sz w:val="20"/>
                <w:szCs w:val="20"/>
              </w:rPr>
              <w:t>2007</w:t>
            </w:r>
          </w:p>
        </w:tc>
        <w:tc>
          <w:tcPr>
            <w:tcW w:w="613" w:type="dxa"/>
            <w:tcBorders>
              <w:top w:val="nil"/>
              <w:left w:val="nil"/>
              <w:bottom w:val="single" w:sz="4" w:space="0" w:color="auto"/>
              <w:right w:val="nil"/>
            </w:tcBorders>
            <w:shd w:val="clear" w:color="000000" w:fill="BFBFBF"/>
            <w:vAlign w:val="center"/>
            <w:hideMark/>
          </w:tcPr>
          <w:p w:rsidR="0051087D" w:rsidRPr="0035027D" w:rsidRDefault="0051087D" w:rsidP="0051087D">
            <w:pPr>
              <w:spacing w:after="0"/>
              <w:jc w:val="center"/>
              <w:rPr>
                <w:rFonts w:cs="Times New Roman"/>
                <w:b/>
                <w:bCs/>
                <w:color w:val="000000"/>
                <w:sz w:val="20"/>
                <w:szCs w:val="20"/>
              </w:rPr>
            </w:pPr>
            <w:r w:rsidRPr="0035027D">
              <w:rPr>
                <w:rFonts w:cs="Times New Roman"/>
                <w:b/>
                <w:bCs/>
                <w:color w:val="000000"/>
                <w:sz w:val="20"/>
                <w:szCs w:val="20"/>
              </w:rPr>
              <w:t>2008</w:t>
            </w:r>
          </w:p>
        </w:tc>
        <w:tc>
          <w:tcPr>
            <w:tcW w:w="613" w:type="dxa"/>
            <w:tcBorders>
              <w:top w:val="nil"/>
              <w:left w:val="nil"/>
              <w:bottom w:val="single" w:sz="4" w:space="0" w:color="auto"/>
              <w:right w:val="nil"/>
            </w:tcBorders>
            <w:shd w:val="clear" w:color="000000" w:fill="BFBFBF"/>
            <w:vAlign w:val="center"/>
            <w:hideMark/>
          </w:tcPr>
          <w:p w:rsidR="0051087D" w:rsidRPr="0035027D" w:rsidRDefault="0051087D" w:rsidP="0051087D">
            <w:pPr>
              <w:spacing w:after="0"/>
              <w:jc w:val="center"/>
              <w:rPr>
                <w:rFonts w:cs="Times New Roman"/>
                <w:b/>
                <w:bCs/>
                <w:color w:val="000000"/>
                <w:sz w:val="20"/>
                <w:szCs w:val="20"/>
              </w:rPr>
            </w:pPr>
            <w:r w:rsidRPr="0035027D">
              <w:rPr>
                <w:rFonts w:cs="Times New Roman"/>
                <w:b/>
                <w:bCs/>
                <w:color w:val="000000"/>
                <w:sz w:val="20"/>
                <w:szCs w:val="20"/>
              </w:rPr>
              <w:t>2009</w:t>
            </w:r>
          </w:p>
        </w:tc>
        <w:tc>
          <w:tcPr>
            <w:tcW w:w="613" w:type="dxa"/>
            <w:tcBorders>
              <w:top w:val="nil"/>
              <w:left w:val="nil"/>
              <w:bottom w:val="single" w:sz="4" w:space="0" w:color="auto"/>
              <w:right w:val="nil"/>
            </w:tcBorders>
            <w:shd w:val="clear" w:color="000000" w:fill="BFBFBF"/>
            <w:vAlign w:val="center"/>
            <w:hideMark/>
          </w:tcPr>
          <w:p w:rsidR="0051087D" w:rsidRPr="0035027D" w:rsidRDefault="0051087D" w:rsidP="0051087D">
            <w:pPr>
              <w:spacing w:after="0"/>
              <w:jc w:val="center"/>
              <w:rPr>
                <w:rFonts w:cs="Times New Roman"/>
                <w:b/>
                <w:bCs/>
                <w:color w:val="000000"/>
                <w:sz w:val="20"/>
                <w:szCs w:val="20"/>
              </w:rPr>
            </w:pPr>
            <w:r w:rsidRPr="0035027D">
              <w:rPr>
                <w:rFonts w:cs="Times New Roman"/>
                <w:b/>
                <w:bCs/>
                <w:color w:val="000000"/>
                <w:sz w:val="20"/>
                <w:szCs w:val="20"/>
              </w:rPr>
              <w:t>2010</w:t>
            </w:r>
          </w:p>
        </w:tc>
        <w:tc>
          <w:tcPr>
            <w:tcW w:w="613" w:type="dxa"/>
            <w:tcBorders>
              <w:top w:val="nil"/>
              <w:left w:val="nil"/>
              <w:bottom w:val="single" w:sz="4" w:space="0" w:color="auto"/>
              <w:right w:val="single" w:sz="4" w:space="0" w:color="auto"/>
            </w:tcBorders>
            <w:shd w:val="clear" w:color="000000" w:fill="BFBFBF"/>
            <w:vAlign w:val="center"/>
            <w:hideMark/>
          </w:tcPr>
          <w:p w:rsidR="0051087D" w:rsidRPr="0035027D" w:rsidRDefault="0051087D" w:rsidP="0051087D">
            <w:pPr>
              <w:spacing w:after="0"/>
              <w:jc w:val="center"/>
              <w:rPr>
                <w:rFonts w:cs="Times New Roman"/>
                <w:b/>
                <w:bCs/>
                <w:color w:val="000000"/>
                <w:sz w:val="20"/>
                <w:szCs w:val="20"/>
              </w:rPr>
            </w:pPr>
            <w:r w:rsidRPr="0035027D">
              <w:rPr>
                <w:rFonts w:cs="Times New Roman"/>
                <w:b/>
                <w:bCs/>
                <w:color w:val="000000"/>
                <w:sz w:val="20"/>
                <w:szCs w:val="20"/>
              </w:rPr>
              <w:t>2011</w:t>
            </w:r>
          </w:p>
        </w:tc>
        <w:tc>
          <w:tcPr>
            <w:tcW w:w="613" w:type="dxa"/>
            <w:tcBorders>
              <w:top w:val="nil"/>
              <w:left w:val="nil"/>
              <w:bottom w:val="single" w:sz="4" w:space="0" w:color="auto"/>
              <w:right w:val="single" w:sz="4" w:space="0" w:color="auto"/>
            </w:tcBorders>
            <w:shd w:val="clear" w:color="000000" w:fill="BFBFBF"/>
            <w:vAlign w:val="center"/>
            <w:hideMark/>
          </w:tcPr>
          <w:p w:rsidR="0051087D" w:rsidRPr="0035027D" w:rsidRDefault="0051087D" w:rsidP="0051087D">
            <w:pPr>
              <w:spacing w:after="0"/>
              <w:jc w:val="left"/>
              <w:rPr>
                <w:rFonts w:cs="Times New Roman"/>
                <w:b/>
                <w:bCs/>
                <w:sz w:val="20"/>
                <w:szCs w:val="20"/>
              </w:rPr>
            </w:pPr>
            <w:r w:rsidRPr="0035027D">
              <w:rPr>
                <w:rFonts w:cs="Times New Roman"/>
                <w:b/>
                <w:bCs/>
                <w:sz w:val="20"/>
                <w:szCs w:val="20"/>
              </w:rPr>
              <w:t>Cieľ 2020</w:t>
            </w:r>
          </w:p>
        </w:tc>
      </w:tr>
      <w:tr w:rsidR="0051087D" w:rsidRPr="0035027D" w:rsidTr="0051087D">
        <w:trPr>
          <w:trHeight w:val="300"/>
          <w:jc w:val="center"/>
        </w:trPr>
        <w:tc>
          <w:tcPr>
            <w:tcW w:w="2107" w:type="dxa"/>
            <w:tcBorders>
              <w:top w:val="nil"/>
              <w:left w:val="single" w:sz="4" w:space="0" w:color="auto"/>
              <w:bottom w:val="nil"/>
              <w:right w:val="nil"/>
            </w:tcBorders>
            <w:shd w:val="clear" w:color="auto" w:fill="auto"/>
            <w:noWrap/>
            <w:vAlign w:val="center"/>
            <w:hideMark/>
          </w:tcPr>
          <w:p w:rsidR="0051087D" w:rsidRPr="0035027D" w:rsidRDefault="0051087D" w:rsidP="0051087D">
            <w:pPr>
              <w:spacing w:after="0"/>
              <w:rPr>
                <w:rFonts w:cs="Times New Roman"/>
                <w:b/>
                <w:bCs/>
                <w:color w:val="000000"/>
                <w:sz w:val="20"/>
                <w:szCs w:val="20"/>
              </w:rPr>
            </w:pPr>
            <w:r w:rsidRPr="0035027D">
              <w:rPr>
                <w:rFonts w:cs="Times New Roman"/>
                <w:b/>
                <w:bCs/>
                <w:color w:val="000000"/>
                <w:sz w:val="20"/>
                <w:szCs w:val="20"/>
              </w:rPr>
              <w:t>Korupcia</w:t>
            </w:r>
          </w:p>
        </w:tc>
        <w:tc>
          <w:tcPr>
            <w:tcW w:w="736" w:type="dxa"/>
            <w:tcBorders>
              <w:top w:val="nil"/>
              <w:left w:val="nil"/>
              <w:bottom w:val="nil"/>
              <w:right w:val="single" w:sz="4" w:space="0" w:color="auto"/>
            </w:tcBorders>
            <w:shd w:val="clear" w:color="auto" w:fill="auto"/>
            <w:noWrap/>
            <w:vAlign w:val="center"/>
            <w:hideMark/>
          </w:tcPr>
          <w:p w:rsidR="0051087D" w:rsidRPr="0035027D" w:rsidRDefault="0051087D" w:rsidP="0051087D">
            <w:pPr>
              <w:spacing w:after="0"/>
              <w:jc w:val="left"/>
              <w:rPr>
                <w:rFonts w:cs="Times New Roman"/>
                <w:b/>
                <w:bCs/>
                <w:color w:val="000000"/>
                <w:sz w:val="20"/>
                <w:szCs w:val="20"/>
              </w:rPr>
            </w:pPr>
            <w:r w:rsidRPr="0035027D">
              <w:rPr>
                <w:rFonts w:cs="Times New Roman"/>
                <w:b/>
                <w:bCs/>
                <w:color w:val="000000"/>
                <w:sz w:val="20"/>
                <w:szCs w:val="20"/>
              </w:rPr>
              <w:t>SK</w:t>
            </w:r>
          </w:p>
        </w:tc>
        <w:tc>
          <w:tcPr>
            <w:tcW w:w="613" w:type="dxa"/>
            <w:tcBorders>
              <w:top w:val="nil"/>
              <w:left w:val="nil"/>
              <w:bottom w:val="nil"/>
              <w:right w:val="nil"/>
            </w:tcBorders>
            <w:shd w:val="clear" w:color="auto" w:fill="auto"/>
            <w:vAlign w:val="center"/>
            <w:hideMark/>
          </w:tcPr>
          <w:p w:rsidR="0051087D" w:rsidRPr="0035027D" w:rsidRDefault="0051087D" w:rsidP="0051087D">
            <w:pPr>
              <w:spacing w:after="0"/>
              <w:jc w:val="center"/>
              <w:rPr>
                <w:rFonts w:cs="Times New Roman"/>
                <w:color w:val="000000"/>
                <w:sz w:val="20"/>
                <w:szCs w:val="20"/>
              </w:rPr>
            </w:pPr>
            <w:r w:rsidRPr="0035027D">
              <w:rPr>
                <w:rFonts w:cs="Times New Roman"/>
                <w:color w:val="000000"/>
                <w:sz w:val="20"/>
                <w:szCs w:val="20"/>
              </w:rPr>
              <w:t>-</w:t>
            </w:r>
          </w:p>
        </w:tc>
        <w:tc>
          <w:tcPr>
            <w:tcW w:w="613" w:type="dxa"/>
            <w:tcBorders>
              <w:top w:val="nil"/>
              <w:left w:val="nil"/>
              <w:bottom w:val="nil"/>
              <w:right w:val="nil"/>
            </w:tcBorders>
            <w:shd w:val="clear" w:color="auto" w:fill="auto"/>
            <w:vAlign w:val="center"/>
            <w:hideMark/>
          </w:tcPr>
          <w:p w:rsidR="0051087D" w:rsidRPr="0035027D" w:rsidRDefault="0051087D" w:rsidP="0051087D">
            <w:pPr>
              <w:spacing w:after="0"/>
              <w:jc w:val="center"/>
              <w:rPr>
                <w:rFonts w:cs="Times New Roman"/>
                <w:color w:val="000000"/>
                <w:sz w:val="20"/>
                <w:szCs w:val="20"/>
              </w:rPr>
            </w:pPr>
            <w:r w:rsidRPr="0035027D">
              <w:rPr>
                <w:rFonts w:cs="Times New Roman"/>
                <w:color w:val="000000"/>
                <w:sz w:val="20"/>
                <w:szCs w:val="20"/>
              </w:rPr>
              <w:t>59</w:t>
            </w:r>
          </w:p>
        </w:tc>
        <w:tc>
          <w:tcPr>
            <w:tcW w:w="613" w:type="dxa"/>
            <w:tcBorders>
              <w:top w:val="nil"/>
              <w:left w:val="nil"/>
              <w:bottom w:val="nil"/>
              <w:right w:val="nil"/>
            </w:tcBorders>
            <w:shd w:val="clear" w:color="auto" w:fill="auto"/>
            <w:vAlign w:val="center"/>
            <w:hideMark/>
          </w:tcPr>
          <w:p w:rsidR="0051087D" w:rsidRPr="0035027D" w:rsidRDefault="0051087D" w:rsidP="0051087D">
            <w:pPr>
              <w:spacing w:after="0"/>
              <w:jc w:val="center"/>
              <w:rPr>
                <w:rFonts w:cs="Times New Roman"/>
                <w:color w:val="000000"/>
                <w:sz w:val="20"/>
                <w:szCs w:val="20"/>
              </w:rPr>
            </w:pPr>
            <w:r w:rsidRPr="0035027D">
              <w:rPr>
                <w:rFonts w:cs="Times New Roman"/>
                <w:color w:val="000000"/>
                <w:sz w:val="20"/>
                <w:szCs w:val="20"/>
              </w:rPr>
              <w:t>-</w:t>
            </w:r>
          </w:p>
        </w:tc>
        <w:tc>
          <w:tcPr>
            <w:tcW w:w="613" w:type="dxa"/>
            <w:tcBorders>
              <w:top w:val="nil"/>
              <w:left w:val="nil"/>
              <w:bottom w:val="nil"/>
              <w:right w:val="nil"/>
            </w:tcBorders>
            <w:shd w:val="clear" w:color="auto" w:fill="auto"/>
            <w:vAlign w:val="center"/>
            <w:hideMark/>
          </w:tcPr>
          <w:p w:rsidR="0051087D" w:rsidRPr="0035027D" w:rsidRDefault="0051087D" w:rsidP="0051087D">
            <w:pPr>
              <w:spacing w:after="0"/>
              <w:jc w:val="center"/>
              <w:rPr>
                <w:rFonts w:cs="Times New Roman"/>
                <w:color w:val="000000"/>
                <w:sz w:val="20"/>
                <w:szCs w:val="20"/>
              </w:rPr>
            </w:pPr>
            <w:r w:rsidRPr="0035027D">
              <w:rPr>
                <w:rFonts w:cs="Times New Roman"/>
                <w:color w:val="000000"/>
                <w:sz w:val="20"/>
                <w:szCs w:val="20"/>
              </w:rPr>
              <w:t>59</w:t>
            </w:r>
          </w:p>
        </w:tc>
        <w:tc>
          <w:tcPr>
            <w:tcW w:w="613" w:type="dxa"/>
            <w:tcBorders>
              <w:top w:val="nil"/>
              <w:left w:val="nil"/>
              <w:bottom w:val="nil"/>
              <w:right w:val="nil"/>
            </w:tcBorders>
            <w:shd w:val="clear" w:color="auto" w:fill="auto"/>
            <w:vAlign w:val="center"/>
            <w:hideMark/>
          </w:tcPr>
          <w:p w:rsidR="0051087D" w:rsidRPr="0035027D" w:rsidRDefault="0051087D" w:rsidP="0051087D">
            <w:pPr>
              <w:spacing w:after="0"/>
              <w:jc w:val="center"/>
              <w:rPr>
                <w:rFonts w:cs="Times New Roman"/>
                <w:color w:val="000000"/>
                <w:sz w:val="20"/>
                <w:szCs w:val="20"/>
              </w:rPr>
            </w:pPr>
            <w:r w:rsidRPr="0035027D">
              <w:rPr>
                <w:rFonts w:cs="Times New Roman"/>
                <w:color w:val="000000"/>
                <w:sz w:val="20"/>
                <w:szCs w:val="20"/>
              </w:rPr>
              <w:t>-</w:t>
            </w:r>
          </w:p>
        </w:tc>
        <w:tc>
          <w:tcPr>
            <w:tcW w:w="613" w:type="dxa"/>
            <w:tcBorders>
              <w:top w:val="nil"/>
              <w:left w:val="nil"/>
              <w:bottom w:val="nil"/>
              <w:right w:val="nil"/>
            </w:tcBorders>
            <w:shd w:val="clear" w:color="auto" w:fill="auto"/>
            <w:vAlign w:val="center"/>
            <w:hideMark/>
          </w:tcPr>
          <w:p w:rsidR="0051087D" w:rsidRPr="0035027D" w:rsidRDefault="0051087D" w:rsidP="0051087D">
            <w:pPr>
              <w:spacing w:after="0"/>
              <w:jc w:val="center"/>
              <w:rPr>
                <w:rFonts w:cs="Times New Roman"/>
                <w:color w:val="000000"/>
                <w:sz w:val="20"/>
                <w:szCs w:val="20"/>
              </w:rPr>
            </w:pPr>
            <w:r w:rsidRPr="0035027D">
              <w:rPr>
                <w:rFonts w:cs="Times New Roman"/>
                <w:color w:val="000000"/>
                <w:sz w:val="20"/>
                <w:szCs w:val="20"/>
              </w:rPr>
              <w:t>61</w:t>
            </w:r>
          </w:p>
        </w:tc>
        <w:tc>
          <w:tcPr>
            <w:tcW w:w="613" w:type="dxa"/>
            <w:tcBorders>
              <w:top w:val="nil"/>
              <w:left w:val="nil"/>
              <w:bottom w:val="nil"/>
              <w:right w:val="nil"/>
            </w:tcBorders>
            <w:shd w:val="clear" w:color="auto" w:fill="auto"/>
            <w:vAlign w:val="center"/>
            <w:hideMark/>
          </w:tcPr>
          <w:p w:rsidR="0051087D" w:rsidRPr="0035027D" w:rsidRDefault="0051087D" w:rsidP="0051087D">
            <w:pPr>
              <w:spacing w:after="0"/>
              <w:jc w:val="center"/>
              <w:rPr>
                <w:rFonts w:cs="Times New Roman"/>
                <w:color w:val="000000"/>
                <w:sz w:val="20"/>
                <w:szCs w:val="20"/>
              </w:rPr>
            </w:pPr>
            <w:r w:rsidRPr="0035027D">
              <w:rPr>
                <w:rFonts w:cs="Times New Roman"/>
                <w:color w:val="000000"/>
                <w:sz w:val="20"/>
                <w:szCs w:val="20"/>
              </w:rPr>
              <w:t>-</w:t>
            </w:r>
          </w:p>
        </w:tc>
        <w:tc>
          <w:tcPr>
            <w:tcW w:w="613" w:type="dxa"/>
            <w:tcBorders>
              <w:top w:val="nil"/>
              <w:left w:val="nil"/>
              <w:bottom w:val="nil"/>
              <w:right w:val="nil"/>
            </w:tcBorders>
            <w:shd w:val="clear" w:color="auto" w:fill="auto"/>
            <w:vAlign w:val="center"/>
            <w:hideMark/>
          </w:tcPr>
          <w:p w:rsidR="0051087D" w:rsidRPr="0035027D" w:rsidRDefault="0051087D" w:rsidP="0051087D">
            <w:pPr>
              <w:spacing w:after="0"/>
              <w:jc w:val="center"/>
              <w:rPr>
                <w:rFonts w:cs="Times New Roman"/>
                <w:color w:val="000000"/>
                <w:sz w:val="20"/>
                <w:szCs w:val="20"/>
              </w:rPr>
            </w:pPr>
            <w:r w:rsidRPr="0035027D">
              <w:rPr>
                <w:rFonts w:cs="Times New Roman"/>
                <w:color w:val="000000"/>
                <w:sz w:val="20"/>
                <w:szCs w:val="20"/>
              </w:rPr>
              <w:t>56</w:t>
            </w:r>
          </w:p>
        </w:tc>
        <w:tc>
          <w:tcPr>
            <w:tcW w:w="613" w:type="dxa"/>
            <w:tcBorders>
              <w:top w:val="nil"/>
              <w:left w:val="single" w:sz="4" w:space="0" w:color="auto"/>
              <w:bottom w:val="nil"/>
              <w:right w:val="single" w:sz="4" w:space="0" w:color="auto"/>
            </w:tcBorders>
            <w:shd w:val="clear" w:color="auto" w:fill="auto"/>
            <w:vAlign w:val="center"/>
            <w:hideMark/>
          </w:tcPr>
          <w:p w:rsidR="0051087D" w:rsidRPr="0035027D" w:rsidRDefault="00667A2B" w:rsidP="0051087D">
            <w:pPr>
              <w:spacing w:after="0"/>
              <w:jc w:val="center"/>
              <w:rPr>
                <w:rFonts w:cs="Times New Roman"/>
                <w:color w:val="000000"/>
                <w:sz w:val="20"/>
                <w:szCs w:val="20"/>
              </w:rPr>
            </w:pPr>
            <w:r w:rsidRPr="0035027D">
              <w:rPr>
                <w:rFonts w:cs="Times New Roman"/>
                <w:color w:val="000000"/>
                <w:sz w:val="20"/>
                <w:szCs w:val="20"/>
              </w:rPr>
              <w:t>8</w:t>
            </w:r>
            <w:r w:rsidR="0051087D" w:rsidRPr="0035027D">
              <w:rPr>
                <w:rFonts w:cs="Times New Roman"/>
                <w:color w:val="000000"/>
                <w:sz w:val="20"/>
                <w:szCs w:val="20"/>
              </w:rPr>
              <w:t>0</w:t>
            </w:r>
          </w:p>
        </w:tc>
      </w:tr>
      <w:tr w:rsidR="0051087D" w:rsidRPr="0035027D" w:rsidTr="0051087D">
        <w:trPr>
          <w:trHeight w:val="300"/>
          <w:jc w:val="center"/>
        </w:trPr>
        <w:tc>
          <w:tcPr>
            <w:tcW w:w="2107" w:type="dxa"/>
            <w:tcBorders>
              <w:top w:val="nil"/>
              <w:left w:val="single" w:sz="4" w:space="0" w:color="auto"/>
              <w:bottom w:val="single" w:sz="4" w:space="0" w:color="auto"/>
              <w:right w:val="nil"/>
            </w:tcBorders>
            <w:shd w:val="clear" w:color="auto" w:fill="auto"/>
            <w:noWrap/>
            <w:vAlign w:val="center"/>
            <w:hideMark/>
          </w:tcPr>
          <w:p w:rsidR="0051087D" w:rsidRPr="0035027D" w:rsidRDefault="0051087D" w:rsidP="0051087D">
            <w:pPr>
              <w:spacing w:after="0"/>
              <w:rPr>
                <w:rFonts w:cs="Times New Roman"/>
                <w:color w:val="000000"/>
                <w:sz w:val="20"/>
                <w:szCs w:val="20"/>
              </w:rPr>
            </w:pPr>
            <w:r w:rsidRPr="0035027D">
              <w:rPr>
                <w:rFonts w:cs="Times New Roman"/>
                <w:color w:val="000000"/>
                <w:sz w:val="20"/>
                <w:szCs w:val="20"/>
              </w:rPr>
              <w:t>(%)</w:t>
            </w:r>
          </w:p>
        </w:tc>
        <w:tc>
          <w:tcPr>
            <w:tcW w:w="736" w:type="dxa"/>
            <w:tcBorders>
              <w:top w:val="nil"/>
              <w:left w:val="nil"/>
              <w:bottom w:val="single" w:sz="4" w:space="0" w:color="auto"/>
              <w:right w:val="single" w:sz="4" w:space="0" w:color="auto"/>
            </w:tcBorders>
            <w:shd w:val="clear" w:color="auto" w:fill="auto"/>
            <w:noWrap/>
            <w:vAlign w:val="center"/>
            <w:hideMark/>
          </w:tcPr>
          <w:p w:rsidR="0051087D" w:rsidRPr="0035027D" w:rsidRDefault="0051087D" w:rsidP="0051087D">
            <w:pPr>
              <w:spacing w:after="0"/>
              <w:jc w:val="left"/>
              <w:rPr>
                <w:rFonts w:cs="Times New Roman"/>
                <w:b/>
                <w:bCs/>
                <w:color w:val="000000"/>
                <w:sz w:val="20"/>
                <w:szCs w:val="20"/>
              </w:rPr>
            </w:pPr>
            <w:r w:rsidRPr="0035027D">
              <w:rPr>
                <w:rFonts w:cs="Times New Roman"/>
                <w:b/>
                <w:bCs/>
                <w:color w:val="000000"/>
                <w:sz w:val="20"/>
                <w:szCs w:val="20"/>
              </w:rPr>
              <w:t>EÚ</w:t>
            </w:r>
          </w:p>
        </w:tc>
        <w:tc>
          <w:tcPr>
            <w:tcW w:w="613" w:type="dxa"/>
            <w:tcBorders>
              <w:top w:val="nil"/>
              <w:left w:val="nil"/>
              <w:bottom w:val="single" w:sz="4" w:space="0" w:color="auto"/>
              <w:right w:val="nil"/>
            </w:tcBorders>
            <w:shd w:val="clear" w:color="auto" w:fill="auto"/>
            <w:vAlign w:val="center"/>
            <w:hideMark/>
          </w:tcPr>
          <w:p w:rsidR="0051087D" w:rsidRPr="0035027D" w:rsidRDefault="0051087D" w:rsidP="0051087D">
            <w:pPr>
              <w:spacing w:after="0"/>
              <w:jc w:val="center"/>
              <w:rPr>
                <w:rFonts w:cs="Times New Roman"/>
                <w:color w:val="000000"/>
                <w:sz w:val="20"/>
                <w:szCs w:val="20"/>
              </w:rPr>
            </w:pPr>
            <w:r w:rsidRPr="0035027D">
              <w:rPr>
                <w:rFonts w:cs="Times New Roman"/>
                <w:color w:val="000000"/>
                <w:sz w:val="20"/>
                <w:szCs w:val="20"/>
              </w:rPr>
              <w:t>-</w:t>
            </w:r>
          </w:p>
        </w:tc>
        <w:tc>
          <w:tcPr>
            <w:tcW w:w="613" w:type="dxa"/>
            <w:tcBorders>
              <w:top w:val="nil"/>
              <w:left w:val="nil"/>
              <w:bottom w:val="single" w:sz="4" w:space="0" w:color="auto"/>
              <w:right w:val="nil"/>
            </w:tcBorders>
            <w:shd w:val="clear" w:color="auto" w:fill="auto"/>
            <w:vAlign w:val="center"/>
            <w:hideMark/>
          </w:tcPr>
          <w:p w:rsidR="0051087D" w:rsidRPr="0035027D" w:rsidRDefault="0051087D" w:rsidP="0051087D">
            <w:pPr>
              <w:spacing w:after="0"/>
              <w:jc w:val="center"/>
              <w:rPr>
                <w:rFonts w:cs="Times New Roman"/>
                <w:color w:val="000000"/>
                <w:sz w:val="20"/>
                <w:szCs w:val="20"/>
              </w:rPr>
            </w:pPr>
            <w:r w:rsidRPr="0035027D">
              <w:rPr>
                <w:rFonts w:cs="Times New Roman"/>
                <w:color w:val="000000"/>
                <w:sz w:val="20"/>
                <w:szCs w:val="20"/>
              </w:rPr>
              <w:t>67</w:t>
            </w:r>
          </w:p>
        </w:tc>
        <w:tc>
          <w:tcPr>
            <w:tcW w:w="613" w:type="dxa"/>
            <w:tcBorders>
              <w:top w:val="nil"/>
              <w:left w:val="nil"/>
              <w:bottom w:val="single" w:sz="4" w:space="0" w:color="auto"/>
              <w:right w:val="nil"/>
            </w:tcBorders>
            <w:shd w:val="clear" w:color="auto" w:fill="auto"/>
            <w:vAlign w:val="center"/>
            <w:hideMark/>
          </w:tcPr>
          <w:p w:rsidR="0051087D" w:rsidRPr="0035027D" w:rsidRDefault="0051087D" w:rsidP="0051087D">
            <w:pPr>
              <w:spacing w:after="0"/>
              <w:jc w:val="center"/>
              <w:rPr>
                <w:rFonts w:cs="Times New Roman"/>
                <w:color w:val="000000"/>
                <w:sz w:val="20"/>
                <w:szCs w:val="20"/>
              </w:rPr>
            </w:pPr>
            <w:r w:rsidRPr="0035027D">
              <w:rPr>
                <w:rFonts w:cs="Times New Roman"/>
                <w:color w:val="000000"/>
                <w:sz w:val="20"/>
                <w:szCs w:val="20"/>
              </w:rPr>
              <w:t>-</w:t>
            </w:r>
          </w:p>
        </w:tc>
        <w:tc>
          <w:tcPr>
            <w:tcW w:w="613" w:type="dxa"/>
            <w:tcBorders>
              <w:top w:val="nil"/>
              <w:left w:val="nil"/>
              <w:bottom w:val="single" w:sz="4" w:space="0" w:color="auto"/>
              <w:right w:val="nil"/>
            </w:tcBorders>
            <w:shd w:val="clear" w:color="auto" w:fill="auto"/>
            <w:vAlign w:val="center"/>
            <w:hideMark/>
          </w:tcPr>
          <w:p w:rsidR="0051087D" w:rsidRPr="0035027D" w:rsidRDefault="0051087D" w:rsidP="0051087D">
            <w:pPr>
              <w:spacing w:after="0"/>
              <w:jc w:val="center"/>
              <w:rPr>
                <w:rFonts w:cs="Times New Roman"/>
                <w:color w:val="000000"/>
                <w:sz w:val="20"/>
                <w:szCs w:val="20"/>
              </w:rPr>
            </w:pPr>
            <w:r w:rsidRPr="0035027D">
              <w:rPr>
                <w:rFonts w:cs="Times New Roman"/>
                <w:color w:val="000000"/>
                <w:sz w:val="20"/>
                <w:szCs w:val="20"/>
              </w:rPr>
              <w:t>78</w:t>
            </w:r>
          </w:p>
        </w:tc>
        <w:tc>
          <w:tcPr>
            <w:tcW w:w="613" w:type="dxa"/>
            <w:tcBorders>
              <w:top w:val="nil"/>
              <w:left w:val="nil"/>
              <w:bottom w:val="single" w:sz="4" w:space="0" w:color="auto"/>
              <w:right w:val="nil"/>
            </w:tcBorders>
            <w:shd w:val="clear" w:color="auto" w:fill="auto"/>
            <w:vAlign w:val="center"/>
            <w:hideMark/>
          </w:tcPr>
          <w:p w:rsidR="0051087D" w:rsidRPr="0035027D" w:rsidRDefault="0051087D" w:rsidP="0051087D">
            <w:pPr>
              <w:spacing w:after="0"/>
              <w:jc w:val="center"/>
              <w:rPr>
                <w:rFonts w:cs="Times New Roman"/>
                <w:color w:val="000000"/>
                <w:sz w:val="20"/>
                <w:szCs w:val="20"/>
              </w:rPr>
            </w:pPr>
            <w:r w:rsidRPr="0035027D">
              <w:rPr>
                <w:rFonts w:cs="Times New Roman"/>
                <w:color w:val="000000"/>
                <w:sz w:val="20"/>
                <w:szCs w:val="20"/>
              </w:rPr>
              <w:t>-</w:t>
            </w:r>
          </w:p>
        </w:tc>
        <w:tc>
          <w:tcPr>
            <w:tcW w:w="613" w:type="dxa"/>
            <w:tcBorders>
              <w:top w:val="nil"/>
              <w:left w:val="nil"/>
              <w:bottom w:val="single" w:sz="4" w:space="0" w:color="auto"/>
              <w:right w:val="nil"/>
            </w:tcBorders>
            <w:shd w:val="clear" w:color="auto" w:fill="auto"/>
            <w:vAlign w:val="center"/>
            <w:hideMark/>
          </w:tcPr>
          <w:p w:rsidR="0051087D" w:rsidRPr="0035027D" w:rsidRDefault="0051087D" w:rsidP="0051087D">
            <w:pPr>
              <w:spacing w:after="0"/>
              <w:jc w:val="center"/>
              <w:rPr>
                <w:rFonts w:cs="Times New Roman"/>
                <w:color w:val="000000"/>
                <w:sz w:val="20"/>
                <w:szCs w:val="20"/>
              </w:rPr>
            </w:pPr>
            <w:r w:rsidRPr="0035027D">
              <w:rPr>
                <w:rFonts w:cs="Times New Roman"/>
                <w:color w:val="000000"/>
                <w:sz w:val="20"/>
                <w:szCs w:val="20"/>
              </w:rPr>
              <w:t>80</w:t>
            </w:r>
          </w:p>
        </w:tc>
        <w:tc>
          <w:tcPr>
            <w:tcW w:w="613" w:type="dxa"/>
            <w:tcBorders>
              <w:top w:val="nil"/>
              <w:left w:val="nil"/>
              <w:bottom w:val="single" w:sz="4" w:space="0" w:color="auto"/>
              <w:right w:val="nil"/>
            </w:tcBorders>
            <w:shd w:val="clear" w:color="auto" w:fill="auto"/>
            <w:vAlign w:val="center"/>
            <w:hideMark/>
          </w:tcPr>
          <w:p w:rsidR="0051087D" w:rsidRPr="0035027D" w:rsidRDefault="0051087D" w:rsidP="0051087D">
            <w:pPr>
              <w:spacing w:after="0"/>
              <w:jc w:val="center"/>
              <w:rPr>
                <w:rFonts w:cs="Times New Roman"/>
                <w:color w:val="000000"/>
                <w:sz w:val="20"/>
                <w:szCs w:val="20"/>
              </w:rPr>
            </w:pPr>
            <w:r w:rsidRPr="0035027D">
              <w:rPr>
                <w:rFonts w:cs="Times New Roman"/>
                <w:color w:val="000000"/>
                <w:sz w:val="20"/>
                <w:szCs w:val="20"/>
              </w:rPr>
              <w:t>-</w:t>
            </w:r>
          </w:p>
        </w:tc>
        <w:tc>
          <w:tcPr>
            <w:tcW w:w="613" w:type="dxa"/>
            <w:tcBorders>
              <w:top w:val="nil"/>
              <w:left w:val="nil"/>
              <w:bottom w:val="single" w:sz="4" w:space="0" w:color="auto"/>
              <w:right w:val="nil"/>
            </w:tcBorders>
            <w:shd w:val="clear" w:color="auto" w:fill="auto"/>
            <w:vAlign w:val="center"/>
            <w:hideMark/>
          </w:tcPr>
          <w:p w:rsidR="0051087D" w:rsidRPr="0035027D" w:rsidRDefault="0051087D" w:rsidP="0051087D">
            <w:pPr>
              <w:spacing w:after="0"/>
              <w:jc w:val="center"/>
              <w:rPr>
                <w:rFonts w:cs="Times New Roman"/>
                <w:color w:val="000000"/>
                <w:sz w:val="20"/>
                <w:szCs w:val="20"/>
              </w:rPr>
            </w:pPr>
            <w:r w:rsidRPr="0035027D">
              <w:rPr>
                <w:rFonts w:cs="Times New Roman"/>
                <w:color w:val="000000"/>
                <w:sz w:val="20"/>
                <w:szCs w:val="20"/>
              </w:rPr>
              <w:t>77</w:t>
            </w:r>
          </w:p>
        </w:tc>
        <w:tc>
          <w:tcPr>
            <w:tcW w:w="613" w:type="dxa"/>
            <w:tcBorders>
              <w:top w:val="nil"/>
              <w:left w:val="single" w:sz="4" w:space="0" w:color="auto"/>
              <w:bottom w:val="single" w:sz="4" w:space="0" w:color="auto"/>
              <w:right w:val="single" w:sz="4" w:space="0" w:color="auto"/>
            </w:tcBorders>
            <w:shd w:val="clear" w:color="auto" w:fill="auto"/>
            <w:vAlign w:val="center"/>
            <w:hideMark/>
          </w:tcPr>
          <w:p w:rsidR="0051087D" w:rsidRPr="0035027D" w:rsidRDefault="0051087D" w:rsidP="0051087D">
            <w:pPr>
              <w:spacing w:after="0"/>
              <w:jc w:val="center"/>
              <w:rPr>
                <w:rFonts w:cs="Times New Roman"/>
                <w:color w:val="000000"/>
                <w:sz w:val="20"/>
                <w:szCs w:val="20"/>
              </w:rPr>
            </w:pPr>
            <w:r w:rsidRPr="0035027D">
              <w:rPr>
                <w:rFonts w:cs="Times New Roman"/>
                <w:color w:val="000000"/>
                <w:sz w:val="20"/>
                <w:szCs w:val="20"/>
              </w:rPr>
              <w:t>-</w:t>
            </w:r>
          </w:p>
        </w:tc>
      </w:tr>
    </w:tbl>
    <w:p w:rsidR="00F13446" w:rsidRPr="0035027D" w:rsidRDefault="00F13446" w:rsidP="00E10B19">
      <w:pPr>
        <w:autoSpaceDE w:val="0"/>
        <w:autoSpaceDN w:val="0"/>
        <w:adjustRightInd w:val="0"/>
        <w:spacing w:after="0"/>
        <w:jc w:val="left"/>
      </w:pPr>
    </w:p>
    <w:p w:rsidR="00E10B19" w:rsidRPr="0035027D" w:rsidRDefault="00E10B19" w:rsidP="006D6AEF">
      <w:pPr>
        <w:autoSpaceDE w:val="0"/>
        <w:autoSpaceDN w:val="0"/>
        <w:adjustRightInd w:val="0"/>
        <w:spacing w:after="0"/>
      </w:pPr>
    </w:p>
    <w:p w:rsidR="006D6AEF" w:rsidRPr="0035027D" w:rsidRDefault="006D6AEF" w:rsidP="006D6AEF">
      <w:pPr>
        <w:autoSpaceDE w:val="0"/>
        <w:autoSpaceDN w:val="0"/>
        <w:adjustRightInd w:val="0"/>
        <w:spacing w:after="0"/>
      </w:pPr>
      <w:r w:rsidRPr="0035027D">
        <w:t>Transparentné a nekorup</w:t>
      </w:r>
      <w:r w:rsidRPr="0035027D">
        <w:rPr>
          <w:rFonts w:cs="Times New Roman"/>
        </w:rPr>
        <w:t>č</w:t>
      </w:r>
      <w:r w:rsidRPr="0035027D">
        <w:t>né prostredie posil</w:t>
      </w:r>
      <w:r w:rsidRPr="0035027D">
        <w:rPr>
          <w:rFonts w:cs="Times New Roman"/>
        </w:rPr>
        <w:t>ň</w:t>
      </w:r>
      <w:r w:rsidRPr="0035027D">
        <w:t>uje efektívnos</w:t>
      </w:r>
      <w:r w:rsidRPr="0035027D">
        <w:rPr>
          <w:rFonts w:cs="Times New Roman"/>
        </w:rPr>
        <w:t>ť</w:t>
      </w:r>
      <w:r w:rsidRPr="0035027D">
        <w:t>, hospodársky rast, prispieva k rovnosti šancí v ekonomike a v kone</w:t>
      </w:r>
      <w:r w:rsidRPr="0035027D">
        <w:rPr>
          <w:rFonts w:cs="Times New Roman"/>
        </w:rPr>
        <w:t>č</w:t>
      </w:r>
      <w:r w:rsidRPr="0035027D">
        <w:t>nom dôsledku zvyšuje blahobyt. Efektívny boj s korupciou si vy</w:t>
      </w:r>
      <w:r w:rsidRPr="0035027D">
        <w:rPr>
          <w:rFonts w:cs="Times New Roman"/>
        </w:rPr>
        <w:t>ž</w:t>
      </w:r>
      <w:r w:rsidRPr="0035027D">
        <w:t>aduje zvýšenie transparentnosti a zú</w:t>
      </w:r>
      <w:r w:rsidRPr="0035027D">
        <w:rPr>
          <w:rFonts w:cs="Times New Roman"/>
        </w:rPr>
        <w:t>ž</w:t>
      </w:r>
      <w:r w:rsidRPr="0035027D">
        <w:t>enie priestoru pre nekalé aktivity pri akomko</w:t>
      </w:r>
      <w:r w:rsidRPr="0035027D">
        <w:rPr>
          <w:rFonts w:cs="Times New Roman"/>
        </w:rPr>
        <w:t>ľ</w:t>
      </w:r>
      <w:r w:rsidRPr="0035027D">
        <w:t>vek nakladaní s majetkom štátu, verejných inštitúcií a samospráv.</w:t>
      </w:r>
      <w:r w:rsidR="00977BD9" w:rsidRPr="0035027D">
        <w:t xml:space="preserve"> </w:t>
      </w:r>
      <w:r w:rsidRPr="0035027D">
        <w:t>Vývoj korupcie na Slovensku</w:t>
      </w:r>
      <w:r w:rsidR="00936B52" w:rsidRPr="0035027D">
        <w:t>,</w:t>
      </w:r>
      <w:r w:rsidRPr="0035027D">
        <w:t xml:space="preserve"> </w:t>
      </w:r>
      <w:r w:rsidRPr="0035027D">
        <w:rPr>
          <w:rFonts w:cs="Times New Roman"/>
        </w:rPr>
        <w:t>ž</w:t>
      </w:r>
      <w:r w:rsidRPr="0035027D">
        <w:t>ia</w:t>
      </w:r>
      <w:r w:rsidRPr="0035027D">
        <w:rPr>
          <w:rFonts w:cs="Times New Roman"/>
        </w:rPr>
        <w:t>ľ</w:t>
      </w:r>
      <w:r w:rsidR="00936B52" w:rsidRPr="0035027D">
        <w:t>,</w:t>
      </w:r>
      <w:r w:rsidRPr="0035027D">
        <w:t xml:space="preserve"> nasledoval opa</w:t>
      </w:r>
      <w:r w:rsidRPr="0035027D">
        <w:rPr>
          <w:rFonts w:cs="Times New Roman"/>
        </w:rPr>
        <w:t>č</w:t>
      </w:r>
      <w:r w:rsidRPr="0035027D">
        <w:t>ný trend ako v ostatných krajinách EÚ, od roku 2005 sme sa v tomto ukazovateli transparentnosti mierne zhoršili. Výdavky na slovenské súdnictvo boli v roku 2012 so 45 eurami na jedného obyvate</w:t>
      </w:r>
      <w:r w:rsidRPr="0035027D">
        <w:rPr>
          <w:rFonts w:cs="Times New Roman"/>
        </w:rPr>
        <w:t>ľ</w:t>
      </w:r>
      <w:r w:rsidRPr="0035027D">
        <w:t>a zhruba na rovnakej úrovni</w:t>
      </w:r>
      <w:r w:rsidR="00936B52" w:rsidRPr="0035027D">
        <w:t>,</w:t>
      </w:r>
      <w:r w:rsidRPr="0035027D">
        <w:t xml:space="preserve"> akú v priemere dosiahli krajiny V3. Na roky 2013 a</w:t>
      </w:r>
      <w:r w:rsidRPr="0035027D">
        <w:rPr>
          <w:rFonts w:cs="Times New Roman"/>
        </w:rPr>
        <w:t>ž</w:t>
      </w:r>
      <w:r w:rsidRPr="0035027D">
        <w:t xml:space="preserve"> 2015 je na súdy rozpo</w:t>
      </w:r>
      <w:r w:rsidRPr="0035027D">
        <w:rPr>
          <w:rFonts w:cs="Times New Roman"/>
        </w:rPr>
        <w:t>č</w:t>
      </w:r>
      <w:r w:rsidRPr="0035027D">
        <w:t>tovaný kontinuálny nárast zdrojov.</w:t>
      </w:r>
    </w:p>
    <w:p w:rsidR="00E10B19" w:rsidRPr="0035027D" w:rsidRDefault="00E10B19" w:rsidP="006D6AEF">
      <w:pPr>
        <w:autoSpaceDE w:val="0"/>
        <w:autoSpaceDN w:val="0"/>
        <w:adjustRightInd w:val="0"/>
        <w:spacing w:after="0"/>
      </w:pPr>
    </w:p>
    <w:p w:rsidR="006D6AEF" w:rsidRPr="0035027D" w:rsidRDefault="006D6AEF" w:rsidP="006D6AEF">
      <w:pPr>
        <w:autoSpaceDE w:val="0"/>
        <w:autoSpaceDN w:val="0"/>
        <w:adjustRightInd w:val="0"/>
        <w:spacing w:after="0"/>
      </w:pPr>
      <w:r w:rsidRPr="0035027D">
        <w:t>S cie</w:t>
      </w:r>
      <w:r w:rsidRPr="0035027D">
        <w:rPr>
          <w:rFonts w:cs="Times New Roman"/>
        </w:rPr>
        <w:t>ľ</w:t>
      </w:r>
      <w:r w:rsidRPr="0035027D">
        <w:t>om dosahova</w:t>
      </w:r>
      <w:r w:rsidRPr="0035027D">
        <w:rPr>
          <w:rFonts w:cs="Times New Roman"/>
        </w:rPr>
        <w:t>ť</w:t>
      </w:r>
      <w:r w:rsidRPr="0035027D">
        <w:t xml:space="preserve"> úrove</w:t>
      </w:r>
      <w:r w:rsidRPr="0035027D">
        <w:rPr>
          <w:rFonts w:cs="Times New Roman"/>
        </w:rPr>
        <w:t>ň</w:t>
      </w:r>
      <w:r w:rsidRPr="0035027D">
        <w:t xml:space="preserve"> vnímania korupcie pri</w:t>
      </w:r>
      <w:r w:rsidR="00F571FA" w:rsidRPr="0035027D">
        <w:t>bli</w:t>
      </w:r>
      <w:r w:rsidR="00F571FA" w:rsidRPr="0035027D">
        <w:rPr>
          <w:rFonts w:cs="Times New Roman"/>
        </w:rPr>
        <w:t>ž</w:t>
      </w:r>
      <w:r w:rsidR="00F571FA" w:rsidRPr="0035027D">
        <w:t>ujúcu sa priemeru krajín EÚ</w:t>
      </w:r>
      <w:r w:rsidRPr="0035027D">
        <w:t xml:space="preserve"> bude vláda SR pokra</w:t>
      </w:r>
      <w:r w:rsidRPr="0035027D">
        <w:rPr>
          <w:rFonts w:cs="Times New Roman"/>
        </w:rPr>
        <w:t>č</w:t>
      </w:r>
      <w:r w:rsidRPr="0035027D">
        <w:t>ova</w:t>
      </w:r>
      <w:r w:rsidRPr="0035027D">
        <w:rPr>
          <w:rFonts w:cs="Times New Roman"/>
        </w:rPr>
        <w:t>ť</w:t>
      </w:r>
      <w:r w:rsidRPr="0035027D">
        <w:t xml:space="preserve"> v implementácii a prijímaní </w:t>
      </w:r>
      <w:r w:rsidRPr="0035027D">
        <w:rPr>
          <w:rFonts w:cs="Times New Roman"/>
        </w:rPr>
        <w:t>ď</w:t>
      </w:r>
      <w:r w:rsidRPr="0035027D">
        <w:t>alších opatrení smerujúcich k zni</w:t>
      </w:r>
      <w:r w:rsidRPr="0035027D">
        <w:rPr>
          <w:rFonts w:cs="Times New Roman"/>
        </w:rPr>
        <w:t>ž</w:t>
      </w:r>
      <w:r w:rsidRPr="0035027D">
        <w:t>ovaniu korupcie</w:t>
      </w:r>
      <w:r w:rsidR="00F571FA" w:rsidRPr="0035027D">
        <w:t>, zvyšovaniu efektívnosti súdov</w:t>
      </w:r>
      <w:r w:rsidRPr="0035027D">
        <w:t xml:space="preserve"> a k </w:t>
      </w:r>
      <w:r w:rsidRPr="0035027D">
        <w:rPr>
          <w:rFonts w:cs="Times New Roman"/>
        </w:rPr>
        <w:t>č</w:t>
      </w:r>
      <w:r w:rsidRPr="0035027D">
        <w:t>o najvýraznejšiemu zjednodušeniu a u</w:t>
      </w:r>
      <w:r w:rsidRPr="0035027D">
        <w:rPr>
          <w:rFonts w:cs="Times New Roman"/>
        </w:rPr>
        <w:t>ľ</w:t>
      </w:r>
      <w:r w:rsidRPr="0035027D">
        <w:t>ah</w:t>
      </w:r>
      <w:r w:rsidRPr="0035027D">
        <w:rPr>
          <w:rFonts w:cs="Times New Roman"/>
        </w:rPr>
        <w:t>č</w:t>
      </w:r>
      <w:r w:rsidRPr="0035027D">
        <w:t>eniu procesov v oblasti vymo</w:t>
      </w:r>
      <w:r w:rsidRPr="0035027D">
        <w:rPr>
          <w:rFonts w:cs="Times New Roman"/>
        </w:rPr>
        <w:t>ž</w:t>
      </w:r>
      <w:r w:rsidRPr="0035027D">
        <w:t>ite</w:t>
      </w:r>
      <w:r w:rsidRPr="0035027D">
        <w:rPr>
          <w:rFonts w:cs="Times New Roman"/>
        </w:rPr>
        <w:t>ľ</w:t>
      </w:r>
      <w:r w:rsidRPr="0035027D">
        <w:t>nosti práva prostredníctvom elektronizácie.</w:t>
      </w:r>
    </w:p>
    <w:p w:rsidR="006D6AEF" w:rsidRPr="0035027D" w:rsidRDefault="006D6AEF" w:rsidP="006D6AEF">
      <w:pPr>
        <w:autoSpaceDE w:val="0"/>
        <w:autoSpaceDN w:val="0"/>
        <w:adjustRightInd w:val="0"/>
        <w:spacing w:after="0"/>
      </w:pPr>
    </w:p>
    <w:p w:rsidR="00693DC8" w:rsidRPr="0035027D" w:rsidRDefault="00693DC8" w:rsidP="006D6AEF">
      <w:pPr>
        <w:autoSpaceDE w:val="0"/>
        <w:autoSpaceDN w:val="0"/>
        <w:adjustRightInd w:val="0"/>
        <w:spacing w:after="0"/>
        <w:rPr>
          <w:b/>
          <w:i/>
        </w:rPr>
      </w:pPr>
      <w:r w:rsidRPr="0035027D">
        <w:rPr>
          <w:b/>
          <w:i/>
        </w:rPr>
        <w:t>Efektívnejšie súdy</w:t>
      </w:r>
    </w:p>
    <w:p w:rsidR="00693DC8" w:rsidRPr="0035027D" w:rsidRDefault="00693DC8" w:rsidP="006D6AEF">
      <w:pPr>
        <w:autoSpaceDE w:val="0"/>
        <w:autoSpaceDN w:val="0"/>
        <w:adjustRightInd w:val="0"/>
        <w:spacing w:after="0"/>
        <w:rPr>
          <w:b/>
        </w:rPr>
      </w:pPr>
    </w:p>
    <w:p w:rsidR="008F1368" w:rsidRPr="0035027D" w:rsidRDefault="006D6AEF" w:rsidP="006D6AEF">
      <w:pPr>
        <w:autoSpaceDE w:val="0"/>
        <w:autoSpaceDN w:val="0"/>
        <w:adjustRightInd w:val="0"/>
        <w:spacing w:after="0"/>
      </w:pPr>
      <w:r w:rsidRPr="0035027D">
        <w:t>Vláda SR pripraví pravidlá, ktoré prispejú k urýchleniu súdneho konania a zefektív</w:t>
      </w:r>
      <w:r w:rsidR="00E10B19" w:rsidRPr="0035027D">
        <w:t>ne</w:t>
      </w:r>
      <w:r w:rsidRPr="0035027D">
        <w:t>ni</w:t>
      </w:r>
      <w:r w:rsidR="00E10B19" w:rsidRPr="0035027D">
        <w:t>u</w:t>
      </w:r>
      <w:r w:rsidRPr="0035027D">
        <w:t xml:space="preserve"> prác</w:t>
      </w:r>
      <w:r w:rsidR="00E10B19" w:rsidRPr="0035027D">
        <w:t>e</w:t>
      </w:r>
      <w:r w:rsidRPr="0035027D">
        <w:t xml:space="preserve"> súdov tak, aby sa </w:t>
      </w:r>
      <w:r w:rsidRPr="0035027D">
        <w:rPr>
          <w:rFonts w:cs="Times New Roman"/>
        </w:rPr>
        <w:t>ľ</w:t>
      </w:r>
      <w:r w:rsidRPr="0035027D">
        <w:t>udia mohli domôc</w:t>
      </w:r>
      <w:r w:rsidRPr="0035027D">
        <w:rPr>
          <w:rFonts w:cs="Times New Roman"/>
        </w:rPr>
        <w:t>ť</w:t>
      </w:r>
      <w:r w:rsidRPr="0035027D">
        <w:t xml:space="preserve"> svojich práv v primeranom </w:t>
      </w:r>
      <w:r w:rsidRPr="0035027D">
        <w:rPr>
          <w:rFonts w:cs="Times New Roman"/>
        </w:rPr>
        <w:t>č</w:t>
      </w:r>
      <w:r w:rsidRPr="0035027D">
        <w:t>ase a na správnom mieste. Konkrétne pôjde o podstatnú revíziu Ob</w:t>
      </w:r>
      <w:r w:rsidRPr="0035027D">
        <w:rPr>
          <w:rFonts w:cs="Times New Roman"/>
        </w:rPr>
        <w:t>č</w:t>
      </w:r>
      <w:r w:rsidRPr="0035027D">
        <w:t>ianskeho súdneho poriadku, ktorej sú</w:t>
      </w:r>
      <w:r w:rsidRPr="0035027D">
        <w:rPr>
          <w:rFonts w:cs="Times New Roman"/>
        </w:rPr>
        <w:t>č</w:t>
      </w:r>
      <w:r w:rsidRPr="0035027D">
        <w:t>as</w:t>
      </w:r>
      <w:r w:rsidRPr="0035027D">
        <w:rPr>
          <w:rFonts w:cs="Times New Roman"/>
        </w:rPr>
        <w:t>ť</w:t>
      </w:r>
      <w:r w:rsidRPr="0035027D">
        <w:t xml:space="preserve">ou bude aj vytvorenie osobitných pravidiel pre nesporovú agendu a precizovanie úpravy súdneho preskúmavania rozhodnutí správnych orgánov. </w:t>
      </w:r>
      <w:r w:rsidR="008F1368" w:rsidRPr="0035027D">
        <w:t>Rekodifikácia civilného procesu sa zameriava najmä na zefektívnenie komunikácie s dotknutými subjektmi, zrýchlenie procesu odbremenením sudcov rozdelením decíznych právomocí a zamedzenie prie</w:t>
      </w:r>
      <w:r w:rsidR="008F1368" w:rsidRPr="0035027D">
        <w:rPr>
          <w:rFonts w:cs="Times New Roman"/>
        </w:rPr>
        <w:t>ť</w:t>
      </w:r>
      <w:r w:rsidR="008F1368" w:rsidRPr="0035027D">
        <w:t>ahom pre neú</w:t>
      </w:r>
      <w:r w:rsidR="008F1368" w:rsidRPr="0035027D">
        <w:rPr>
          <w:rFonts w:cs="Times New Roman"/>
        </w:rPr>
        <w:t>č</w:t>
      </w:r>
      <w:r w:rsidR="008F1368" w:rsidRPr="0035027D">
        <w:t>as</w:t>
      </w:r>
      <w:r w:rsidR="008F1368" w:rsidRPr="0035027D">
        <w:rPr>
          <w:rFonts w:cs="Times New Roman"/>
        </w:rPr>
        <w:t>ť</w:t>
      </w:r>
      <w:r w:rsidR="008F1368" w:rsidRPr="0035027D">
        <w:t xml:space="preserve"> na pojednávaní. </w:t>
      </w:r>
    </w:p>
    <w:p w:rsidR="002275ED" w:rsidRPr="0035027D" w:rsidRDefault="002275ED" w:rsidP="006D6AEF">
      <w:pPr>
        <w:autoSpaceDE w:val="0"/>
        <w:autoSpaceDN w:val="0"/>
        <w:adjustRightInd w:val="0"/>
        <w:spacing w:after="0"/>
      </w:pPr>
    </w:p>
    <w:p w:rsidR="00693DC8" w:rsidRPr="0035027D" w:rsidRDefault="00693DC8" w:rsidP="006D6AEF">
      <w:pPr>
        <w:autoSpaceDE w:val="0"/>
        <w:autoSpaceDN w:val="0"/>
        <w:adjustRightInd w:val="0"/>
        <w:spacing w:after="0"/>
        <w:rPr>
          <w:b/>
          <w:i/>
        </w:rPr>
      </w:pPr>
      <w:r w:rsidRPr="0035027D">
        <w:rPr>
          <w:b/>
          <w:i/>
        </w:rPr>
        <w:t xml:space="preserve">Elektronizácia </w:t>
      </w:r>
    </w:p>
    <w:p w:rsidR="00693DC8" w:rsidRPr="0035027D" w:rsidRDefault="00693DC8" w:rsidP="008F1368">
      <w:pPr>
        <w:autoSpaceDE w:val="0"/>
        <w:autoSpaceDN w:val="0"/>
        <w:adjustRightInd w:val="0"/>
        <w:spacing w:after="0"/>
      </w:pPr>
    </w:p>
    <w:p w:rsidR="008F1368" w:rsidRPr="0035027D" w:rsidRDefault="006D6AEF" w:rsidP="008F1368">
      <w:pPr>
        <w:autoSpaceDE w:val="0"/>
        <w:autoSpaceDN w:val="0"/>
        <w:adjustRightInd w:val="0"/>
        <w:spacing w:after="0"/>
      </w:pPr>
      <w:r w:rsidRPr="0035027D">
        <w:t>K urýchleniu súdnych konaní, okrem schválených zmien v procesných kódexoch, prispeje aj elektronizácia súdnictva, ktorá sa priebe</w:t>
      </w:r>
      <w:r w:rsidRPr="0035027D">
        <w:rPr>
          <w:rFonts w:cs="Times New Roman"/>
        </w:rPr>
        <w:t>ž</w:t>
      </w:r>
      <w:r w:rsidRPr="0035027D">
        <w:t>ne realizuje a pozostáva z viacerých podprojektov.</w:t>
      </w:r>
      <w:r w:rsidR="00C77DBA" w:rsidRPr="0035027D">
        <w:t xml:space="preserve"> Viacerými projektmi sa </w:t>
      </w:r>
      <w:proofErr w:type="spellStart"/>
      <w:r w:rsidR="00C77DBA" w:rsidRPr="0035027D">
        <w:t>elektronizuje</w:t>
      </w:r>
      <w:proofErr w:type="spellEnd"/>
      <w:r w:rsidR="00C77DBA" w:rsidRPr="0035027D">
        <w:t xml:space="preserve"> súdny spis, zbierka zákonov, insolven</w:t>
      </w:r>
      <w:r w:rsidR="00C77DBA" w:rsidRPr="0035027D">
        <w:rPr>
          <w:rFonts w:cs="Times New Roman"/>
        </w:rPr>
        <w:t>č</w:t>
      </w:r>
      <w:r w:rsidR="00C77DBA" w:rsidRPr="0035027D">
        <w:t xml:space="preserve">ný register, register diskvalifikovaných osôb a monitoring obvinených a odsúdených. </w:t>
      </w:r>
      <w:r w:rsidRPr="0035027D">
        <w:t>Niektoré projekty sú financované z rozpo</w:t>
      </w:r>
      <w:r w:rsidRPr="0035027D">
        <w:rPr>
          <w:rFonts w:cs="Times New Roman"/>
        </w:rPr>
        <w:t>č</w:t>
      </w:r>
      <w:r w:rsidRPr="0035027D">
        <w:t>tových prostriedkov, zvyšok bude financovaný z prostriedkov Švaj</w:t>
      </w:r>
      <w:r w:rsidRPr="0035027D">
        <w:rPr>
          <w:rFonts w:cs="Times New Roman"/>
        </w:rPr>
        <w:t>č</w:t>
      </w:r>
      <w:r w:rsidRPr="0035027D">
        <w:t>iarskeho finan</w:t>
      </w:r>
      <w:r w:rsidRPr="0035027D">
        <w:rPr>
          <w:rFonts w:cs="Times New Roman"/>
        </w:rPr>
        <w:t>č</w:t>
      </w:r>
      <w:r w:rsidRPr="0035027D">
        <w:t xml:space="preserve">ného mechanizmu. </w:t>
      </w:r>
    </w:p>
    <w:p w:rsidR="00693DC8" w:rsidRPr="0035027D" w:rsidRDefault="00693DC8" w:rsidP="008F1368">
      <w:pPr>
        <w:autoSpaceDE w:val="0"/>
        <w:autoSpaceDN w:val="0"/>
        <w:adjustRightInd w:val="0"/>
        <w:spacing w:after="0"/>
      </w:pPr>
    </w:p>
    <w:p w:rsidR="00693DC8" w:rsidRPr="0035027D" w:rsidRDefault="00693DC8" w:rsidP="008F1368">
      <w:pPr>
        <w:autoSpaceDE w:val="0"/>
        <w:autoSpaceDN w:val="0"/>
        <w:adjustRightInd w:val="0"/>
        <w:spacing w:after="0"/>
      </w:pPr>
      <w:r w:rsidRPr="0035027D">
        <w:t>V súlade s harmonogramom bude pokra</w:t>
      </w:r>
      <w:r w:rsidRPr="0035027D">
        <w:rPr>
          <w:rFonts w:cs="Times New Roman"/>
        </w:rPr>
        <w:t>č</w:t>
      </w:r>
      <w:r w:rsidRPr="0035027D">
        <w:t>ova</w:t>
      </w:r>
      <w:r w:rsidRPr="0035027D">
        <w:rPr>
          <w:rFonts w:cs="Times New Roman"/>
        </w:rPr>
        <w:t>ť</w:t>
      </w:r>
      <w:r w:rsidRPr="0035027D">
        <w:t xml:space="preserve"> príprava právne záväznej elektronickej podoby Zbierky zákonov ako oficiálneho zdroja práva na Slovensku a príprava pre zavedenie elektronického súdneho spisu. </w:t>
      </w:r>
      <w:r w:rsidR="008F1368" w:rsidRPr="0035027D">
        <w:t>Elektronický súdny spis umo</w:t>
      </w:r>
      <w:r w:rsidR="008F1368" w:rsidRPr="0035027D">
        <w:rPr>
          <w:rFonts w:cs="Times New Roman"/>
        </w:rPr>
        <w:t>ž</w:t>
      </w:r>
      <w:r w:rsidR="008F1368" w:rsidRPr="0035027D">
        <w:t>n</w:t>
      </w:r>
      <w:r w:rsidRPr="0035027D">
        <w:t>í</w:t>
      </w:r>
      <w:r w:rsidR="008F1368" w:rsidRPr="0035027D">
        <w:t xml:space="preserve"> vedenie súdneho spisu po</w:t>
      </w:r>
      <w:r w:rsidR="008F1368" w:rsidRPr="0035027D">
        <w:rPr>
          <w:rFonts w:cs="Times New Roman"/>
        </w:rPr>
        <w:t>č</w:t>
      </w:r>
      <w:r w:rsidR="008F1368" w:rsidRPr="0035027D">
        <w:t xml:space="preserve">as celého jeho </w:t>
      </w:r>
      <w:r w:rsidR="008F1368" w:rsidRPr="0035027D">
        <w:rPr>
          <w:rFonts w:cs="Times New Roman"/>
        </w:rPr>
        <w:t>ž</w:t>
      </w:r>
      <w:r w:rsidR="008F1368" w:rsidRPr="0035027D">
        <w:t xml:space="preserve">ivotného cyklu v plne elektronickej podobe. Elektronická zbierka zákonov </w:t>
      </w:r>
      <w:r w:rsidRPr="0035027D">
        <w:t>zabezpe</w:t>
      </w:r>
      <w:r w:rsidRPr="0035027D">
        <w:rPr>
          <w:rFonts w:cs="Times New Roman"/>
        </w:rPr>
        <w:t>č</w:t>
      </w:r>
      <w:r w:rsidRPr="0035027D">
        <w:t xml:space="preserve">í </w:t>
      </w:r>
      <w:r w:rsidR="008F1368" w:rsidRPr="0035027D">
        <w:t>efektívnejš</w:t>
      </w:r>
      <w:r w:rsidRPr="0035027D">
        <w:t>í</w:t>
      </w:r>
      <w:r w:rsidR="008F1368" w:rsidRPr="0035027D">
        <w:t xml:space="preserve"> prístup k prame</w:t>
      </w:r>
      <w:r w:rsidR="008F1368" w:rsidRPr="0035027D">
        <w:rPr>
          <w:rFonts w:cs="Times New Roman"/>
        </w:rPr>
        <w:t>ň</w:t>
      </w:r>
      <w:r w:rsidR="008F1368" w:rsidRPr="0035027D">
        <w:t>om platného práva pre adresátov práva a</w:t>
      </w:r>
      <w:r w:rsidRPr="0035027D">
        <w:t> umo</w:t>
      </w:r>
      <w:r w:rsidRPr="0035027D">
        <w:rPr>
          <w:rFonts w:cs="Times New Roman"/>
        </w:rPr>
        <w:t>ž</w:t>
      </w:r>
      <w:r w:rsidRPr="0035027D">
        <w:t xml:space="preserve">ní </w:t>
      </w:r>
      <w:r w:rsidR="008F1368" w:rsidRPr="0035027D">
        <w:t>zavádzanie nových nástrojov na automatizáciu komunikácie a výmeny dokumentov v rámci procesu tvorby legislatívy. Opatrenie prispeje k stabilite a preh</w:t>
      </w:r>
      <w:r w:rsidR="008F1368" w:rsidRPr="0035027D">
        <w:rPr>
          <w:rFonts w:cs="Times New Roman"/>
        </w:rPr>
        <w:t>ľ</w:t>
      </w:r>
      <w:r w:rsidR="008F1368" w:rsidRPr="0035027D">
        <w:t xml:space="preserve">adnosti právneho poriadku </w:t>
      </w:r>
      <w:r w:rsidRPr="0035027D">
        <w:t>SR</w:t>
      </w:r>
      <w:r w:rsidR="008F1368" w:rsidRPr="0035027D">
        <w:t xml:space="preserve">. </w:t>
      </w:r>
    </w:p>
    <w:p w:rsidR="00693DC8" w:rsidRPr="0035027D" w:rsidRDefault="00693DC8" w:rsidP="008F1368">
      <w:pPr>
        <w:autoSpaceDE w:val="0"/>
        <w:autoSpaceDN w:val="0"/>
        <w:adjustRightInd w:val="0"/>
        <w:spacing w:after="0"/>
      </w:pPr>
    </w:p>
    <w:p w:rsidR="008F1368" w:rsidRPr="0035027D" w:rsidRDefault="008F1368" w:rsidP="008F1368">
      <w:pPr>
        <w:autoSpaceDE w:val="0"/>
        <w:autoSpaceDN w:val="0"/>
        <w:adjustRightInd w:val="0"/>
        <w:spacing w:after="0"/>
      </w:pPr>
      <w:r w:rsidRPr="0035027D">
        <w:t xml:space="preserve">Zavedenie </w:t>
      </w:r>
      <w:proofErr w:type="spellStart"/>
      <w:r w:rsidRPr="0035027D">
        <w:t>insolven</w:t>
      </w:r>
      <w:r w:rsidRPr="0035027D">
        <w:rPr>
          <w:rFonts w:cs="Times New Roman"/>
        </w:rPr>
        <w:t>č</w:t>
      </w:r>
      <w:r w:rsidRPr="0035027D">
        <w:t>ného</w:t>
      </w:r>
      <w:proofErr w:type="spellEnd"/>
      <w:r w:rsidRPr="0035027D">
        <w:t xml:space="preserve"> registra povedie k uspokojovaniu majetkových nárokov verite</w:t>
      </w:r>
      <w:r w:rsidRPr="0035027D">
        <w:rPr>
          <w:rFonts w:cs="Times New Roman"/>
        </w:rPr>
        <w:t>ľ</w:t>
      </w:r>
      <w:r w:rsidRPr="0035027D">
        <w:t>ov a takmer k úplnej publicite informácií o celom priebehu konkurzného a reštrukturaliza</w:t>
      </w:r>
      <w:r w:rsidRPr="0035027D">
        <w:rPr>
          <w:rFonts w:cs="Times New Roman"/>
        </w:rPr>
        <w:t>č</w:t>
      </w:r>
      <w:r w:rsidRPr="0035027D">
        <w:t>ného konania, ktorá je v sú</w:t>
      </w:r>
      <w:r w:rsidRPr="0035027D">
        <w:rPr>
          <w:rFonts w:cs="Times New Roman"/>
        </w:rPr>
        <w:t>č</w:t>
      </w:r>
      <w:r w:rsidRPr="0035027D">
        <w:t>asnosti nedostato</w:t>
      </w:r>
      <w:r w:rsidRPr="0035027D">
        <w:rPr>
          <w:rFonts w:cs="Times New Roman"/>
        </w:rPr>
        <w:t>č</w:t>
      </w:r>
      <w:r w:rsidRPr="0035027D">
        <w:t>ná. Toto opatrenie tie</w:t>
      </w:r>
      <w:r w:rsidRPr="0035027D">
        <w:rPr>
          <w:rFonts w:cs="Times New Roman"/>
        </w:rPr>
        <w:t>ž</w:t>
      </w:r>
      <w:r w:rsidRPr="0035027D">
        <w:t xml:space="preserve"> zní</w:t>
      </w:r>
      <w:r w:rsidRPr="0035027D">
        <w:rPr>
          <w:rFonts w:cs="Times New Roman"/>
        </w:rPr>
        <w:t>ž</w:t>
      </w:r>
      <w:r w:rsidR="00693DC8" w:rsidRPr="0035027D">
        <w:t>i</w:t>
      </w:r>
      <w:r w:rsidRPr="0035027D">
        <w:t xml:space="preserve"> náklady na sledovanie takýchto konaní. Registrom diskvalifikácií budú eliminované napr. osoby (firmy), ktoré porušujú da</w:t>
      </w:r>
      <w:r w:rsidRPr="0035027D">
        <w:rPr>
          <w:rFonts w:cs="Times New Roman"/>
        </w:rPr>
        <w:t>ň</w:t>
      </w:r>
      <w:r w:rsidRPr="0035027D">
        <w:t>ovo-odvodové</w:t>
      </w:r>
      <w:r w:rsidR="00693DC8" w:rsidRPr="0035027D">
        <w:t>, konkurzné alebo obchodné</w:t>
      </w:r>
      <w:r w:rsidRPr="0035027D">
        <w:t xml:space="preserve"> predpisy. Opatrenie bude plni</w:t>
      </w:r>
      <w:r w:rsidRPr="0035027D">
        <w:rPr>
          <w:rFonts w:cs="Times New Roman"/>
        </w:rPr>
        <w:t>ť</w:t>
      </w:r>
      <w:r w:rsidRPr="0035027D">
        <w:t xml:space="preserve"> aj preventívnu funkciu tým, </w:t>
      </w:r>
      <w:r w:rsidRPr="0035027D">
        <w:rPr>
          <w:rFonts w:cs="Times New Roman"/>
        </w:rPr>
        <w:t>ž</w:t>
      </w:r>
      <w:r w:rsidRPr="0035027D">
        <w:t>e umo</w:t>
      </w:r>
      <w:r w:rsidRPr="0035027D">
        <w:rPr>
          <w:rFonts w:cs="Times New Roman"/>
        </w:rPr>
        <w:t>ž</w:t>
      </w:r>
      <w:r w:rsidRPr="0035027D">
        <w:t>ní podnikate</w:t>
      </w:r>
      <w:r w:rsidRPr="0035027D">
        <w:rPr>
          <w:rFonts w:cs="Times New Roman"/>
        </w:rPr>
        <w:t>ľ</w:t>
      </w:r>
      <w:r w:rsidRPr="0035027D">
        <w:t>ským subjektom overi</w:t>
      </w:r>
      <w:r w:rsidRPr="0035027D">
        <w:rPr>
          <w:rFonts w:cs="Times New Roman"/>
        </w:rPr>
        <w:t>ť</w:t>
      </w:r>
      <w:r w:rsidRPr="0035027D">
        <w:t xml:space="preserve"> si svojich budúcich obchodných partnerov.</w:t>
      </w:r>
    </w:p>
    <w:p w:rsidR="00204317" w:rsidRPr="0035027D" w:rsidRDefault="00204317" w:rsidP="006D6AEF">
      <w:pPr>
        <w:autoSpaceDE w:val="0"/>
        <w:autoSpaceDN w:val="0"/>
        <w:adjustRightInd w:val="0"/>
        <w:spacing w:after="0"/>
      </w:pPr>
    </w:p>
    <w:p w:rsidR="00204317" w:rsidRPr="0035027D" w:rsidRDefault="00204317" w:rsidP="006D6AEF">
      <w:pPr>
        <w:autoSpaceDE w:val="0"/>
        <w:autoSpaceDN w:val="0"/>
        <w:adjustRightInd w:val="0"/>
        <w:spacing w:after="0"/>
        <w:rPr>
          <w:b/>
          <w:i/>
        </w:rPr>
      </w:pPr>
      <w:r w:rsidRPr="0035027D">
        <w:rPr>
          <w:b/>
          <w:i/>
        </w:rPr>
        <w:t>Exekúcie a verejné obstarávanie</w:t>
      </w:r>
    </w:p>
    <w:p w:rsidR="00204317" w:rsidRPr="0035027D" w:rsidRDefault="00204317" w:rsidP="006D6AEF">
      <w:pPr>
        <w:autoSpaceDE w:val="0"/>
        <w:autoSpaceDN w:val="0"/>
        <w:adjustRightInd w:val="0"/>
        <w:spacing w:after="0"/>
        <w:rPr>
          <w:b/>
        </w:rPr>
      </w:pPr>
    </w:p>
    <w:p w:rsidR="006D6AEF" w:rsidRPr="0035027D" w:rsidRDefault="00693DC8" w:rsidP="00E520DA">
      <w:pPr>
        <w:autoSpaceDE w:val="0"/>
        <w:autoSpaceDN w:val="0"/>
        <w:adjustRightInd w:val="0"/>
        <w:spacing w:after="0"/>
      </w:pPr>
      <w:r w:rsidRPr="0035027D">
        <w:lastRenderedPageBreak/>
        <w:t>P</w:t>
      </w:r>
      <w:r w:rsidR="00CC7D78" w:rsidRPr="0035027D">
        <w:t xml:space="preserve">rebehne aj novelizácia </w:t>
      </w:r>
      <w:r w:rsidR="00204317" w:rsidRPr="0035027D">
        <w:t>e</w:t>
      </w:r>
      <w:r w:rsidR="00CC7D78" w:rsidRPr="0035027D">
        <w:t>xeku</w:t>
      </w:r>
      <w:r w:rsidR="00CC7D78" w:rsidRPr="0035027D">
        <w:rPr>
          <w:rFonts w:cs="Times New Roman"/>
        </w:rPr>
        <w:t>č</w:t>
      </w:r>
      <w:r w:rsidR="00CC7D78" w:rsidRPr="0035027D">
        <w:t xml:space="preserve">ného poriadku. </w:t>
      </w:r>
      <w:r w:rsidR="008F1368" w:rsidRPr="0035027D">
        <w:t xml:space="preserve">Komplexná novela upraví </w:t>
      </w:r>
      <w:proofErr w:type="spellStart"/>
      <w:r w:rsidR="008F1368" w:rsidRPr="0035027D">
        <w:t>statusové</w:t>
      </w:r>
      <w:proofErr w:type="spellEnd"/>
      <w:r w:rsidR="008F1368" w:rsidRPr="0035027D">
        <w:t xml:space="preserve"> </w:t>
      </w:r>
      <w:r w:rsidR="00204317" w:rsidRPr="0035027D">
        <w:t xml:space="preserve">aj procesné </w:t>
      </w:r>
      <w:r w:rsidR="008F1368" w:rsidRPr="0035027D">
        <w:t>otázky. Základným cie</w:t>
      </w:r>
      <w:r w:rsidR="008F1368" w:rsidRPr="0035027D">
        <w:rPr>
          <w:rFonts w:cs="Times New Roman"/>
        </w:rPr>
        <w:t>ľ</w:t>
      </w:r>
      <w:r w:rsidR="008F1368" w:rsidRPr="0035027D">
        <w:t>om je zamedzi</w:t>
      </w:r>
      <w:r w:rsidR="008F1368" w:rsidRPr="0035027D">
        <w:rPr>
          <w:rFonts w:cs="Times New Roman"/>
        </w:rPr>
        <w:t>ť</w:t>
      </w:r>
      <w:r w:rsidR="008F1368" w:rsidRPr="0035027D">
        <w:t xml:space="preserve"> predl</w:t>
      </w:r>
      <w:r w:rsidR="008F1368" w:rsidRPr="0035027D">
        <w:rPr>
          <w:rFonts w:cs="Times New Roman"/>
        </w:rPr>
        <w:t>ž</w:t>
      </w:r>
      <w:r w:rsidR="008F1368" w:rsidRPr="0035027D">
        <w:t>ovaniu faktického vymo</w:t>
      </w:r>
      <w:r w:rsidR="008F1368" w:rsidRPr="0035027D">
        <w:rPr>
          <w:rFonts w:cs="Times New Roman"/>
        </w:rPr>
        <w:t>ž</w:t>
      </w:r>
      <w:r w:rsidR="008F1368" w:rsidRPr="0035027D">
        <w:t>enia judikovanej poh</w:t>
      </w:r>
      <w:r w:rsidR="008F1368" w:rsidRPr="0035027D">
        <w:rPr>
          <w:rFonts w:cs="Times New Roman"/>
        </w:rPr>
        <w:t>ľ</w:t>
      </w:r>
      <w:r w:rsidR="008F1368" w:rsidRPr="0035027D">
        <w:t xml:space="preserve">adávky. </w:t>
      </w:r>
      <w:r w:rsidR="006D6AEF" w:rsidRPr="0035027D">
        <w:t>Zárove</w:t>
      </w:r>
      <w:r w:rsidR="006D6AEF" w:rsidRPr="0035027D">
        <w:rPr>
          <w:rFonts w:cs="Times New Roman"/>
        </w:rPr>
        <w:t>ň</w:t>
      </w:r>
      <w:r w:rsidR="006D6AEF" w:rsidRPr="0035027D">
        <w:t xml:space="preserve"> bude vláda</w:t>
      </w:r>
      <w:r w:rsidR="00204317" w:rsidRPr="0035027D">
        <w:t xml:space="preserve"> SR</w:t>
      </w:r>
      <w:r w:rsidR="006D6AEF" w:rsidRPr="0035027D">
        <w:t xml:space="preserve"> dozera</w:t>
      </w:r>
      <w:r w:rsidR="006D6AEF" w:rsidRPr="0035027D">
        <w:rPr>
          <w:rFonts w:cs="Times New Roman"/>
        </w:rPr>
        <w:t>ť</w:t>
      </w:r>
      <w:r w:rsidR="006D6AEF" w:rsidRPr="0035027D">
        <w:t xml:space="preserve"> a vyhodnocova</w:t>
      </w:r>
      <w:r w:rsidR="006D6AEF" w:rsidRPr="0035027D">
        <w:rPr>
          <w:rFonts w:cs="Times New Roman"/>
        </w:rPr>
        <w:t>ť</w:t>
      </w:r>
      <w:r w:rsidR="006D6AEF" w:rsidRPr="0035027D">
        <w:t xml:space="preserve"> uplatnenie novely zákona o verejnom obstarávaní v praxi.</w:t>
      </w:r>
    </w:p>
    <w:p w:rsidR="006D6AEF" w:rsidRPr="0035027D" w:rsidRDefault="006D6AEF" w:rsidP="006D6AEF">
      <w:pPr>
        <w:autoSpaceDE w:val="0"/>
        <w:autoSpaceDN w:val="0"/>
        <w:adjustRightInd w:val="0"/>
        <w:spacing w:after="0"/>
      </w:pPr>
    </w:p>
    <w:p w:rsidR="00F13446" w:rsidRPr="0035027D" w:rsidRDefault="00F13446" w:rsidP="006D6AEF">
      <w:pPr>
        <w:autoSpaceDE w:val="0"/>
        <w:autoSpaceDN w:val="0"/>
        <w:adjustRightInd w:val="0"/>
        <w:spacing w:after="0"/>
      </w:pPr>
    </w:p>
    <w:p w:rsidR="007D0119" w:rsidRPr="0035027D" w:rsidRDefault="007D0119" w:rsidP="00EC7DAA">
      <w:pPr>
        <w:pStyle w:val="Nadpis3"/>
        <w:ind w:left="0" w:firstLine="0"/>
      </w:pPr>
      <w:bookmarkStart w:id="65" w:name="_Toc353563389"/>
      <w:r w:rsidRPr="0035027D">
        <w:t>Zdravie</w:t>
      </w:r>
      <w:bookmarkEnd w:id="65"/>
    </w:p>
    <w:p w:rsidR="007D0119" w:rsidRPr="0035027D" w:rsidRDefault="007D0119" w:rsidP="00133C85">
      <w:pPr>
        <w:pStyle w:val="Odsekzoznamu"/>
        <w:tabs>
          <w:tab w:val="left" w:pos="2835"/>
        </w:tabs>
        <w:spacing w:after="0"/>
        <w:ind w:left="0"/>
        <w:jc w:val="both"/>
        <w:rPr>
          <w:rFonts w:ascii="Arial Narrow" w:hAnsi="Arial Narrow"/>
          <w:b/>
          <w:sz w:val="24"/>
          <w:szCs w:val="28"/>
        </w:rPr>
      </w:pPr>
    </w:p>
    <w:tbl>
      <w:tblPr>
        <w:tblW w:w="8360" w:type="dxa"/>
        <w:jc w:val="center"/>
        <w:tblInd w:w="55" w:type="dxa"/>
        <w:tblCellMar>
          <w:left w:w="70" w:type="dxa"/>
          <w:right w:w="70" w:type="dxa"/>
        </w:tblCellMar>
        <w:tblLook w:val="04A0" w:firstRow="1" w:lastRow="0" w:firstColumn="1" w:lastColumn="0" w:noHBand="0" w:noVBand="1"/>
      </w:tblPr>
      <w:tblGrid>
        <w:gridCol w:w="3692"/>
        <w:gridCol w:w="368"/>
        <w:gridCol w:w="505"/>
        <w:gridCol w:w="505"/>
        <w:gridCol w:w="505"/>
        <w:gridCol w:w="505"/>
        <w:gridCol w:w="505"/>
        <w:gridCol w:w="505"/>
        <w:gridCol w:w="505"/>
        <w:gridCol w:w="505"/>
        <w:gridCol w:w="505"/>
      </w:tblGrid>
      <w:tr w:rsidR="005753BB" w:rsidRPr="0035027D" w:rsidTr="005753BB">
        <w:trPr>
          <w:trHeight w:val="300"/>
          <w:jc w:val="center"/>
        </w:trPr>
        <w:tc>
          <w:tcPr>
            <w:tcW w:w="8360" w:type="dxa"/>
            <w:gridSpan w:val="11"/>
            <w:tcBorders>
              <w:top w:val="single" w:sz="4" w:space="0" w:color="auto"/>
              <w:left w:val="single" w:sz="4" w:space="0" w:color="auto"/>
              <w:bottom w:val="single" w:sz="4" w:space="0" w:color="auto"/>
              <w:right w:val="nil"/>
            </w:tcBorders>
            <w:shd w:val="clear" w:color="000000" w:fill="000000"/>
            <w:noWrap/>
            <w:vAlign w:val="center"/>
            <w:hideMark/>
          </w:tcPr>
          <w:p w:rsidR="005753BB" w:rsidRPr="0035027D" w:rsidRDefault="00D4235C" w:rsidP="005753BB">
            <w:pPr>
              <w:spacing w:after="0"/>
              <w:jc w:val="left"/>
              <w:rPr>
                <w:rFonts w:cs="Times New Roman"/>
                <w:b/>
                <w:bCs/>
                <w:color w:val="FFFFFF"/>
                <w:sz w:val="20"/>
                <w:szCs w:val="20"/>
              </w:rPr>
            </w:pPr>
            <w:r w:rsidRPr="0035027D">
              <w:rPr>
                <w:rFonts w:cs="Times New Roman"/>
                <w:b/>
                <w:bCs/>
                <w:color w:val="FFFFFF"/>
                <w:sz w:val="20"/>
                <w:szCs w:val="20"/>
              </w:rPr>
              <w:t xml:space="preserve">Tab. 8: </w:t>
            </w:r>
            <w:r w:rsidR="005753BB" w:rsidRPr="0035027D">
              <w:rPr>
                <w:rFonts w:cs="Times New Roman"/>
                <w:b/>
                <w:bCs/>
                <w:color w:val="FFFFFF"/>
                <w:sz w:val="20"/>
                <w:szCs w:val="20"/>
              </w:rPr>
              <w:t>Výsledkový indikátor pre zdravie</w:t>
            </w:r>
          </w:p>
        </w:tc>
      </w:tr>
      <w:tr w:rsidR="005753BB" w:rsidRPr="0035027D" w:rsidTr="005753BB">
        <w:trPr>
          <w:trHeight w:val="510"/>
          <w:jc w:val="center"/>
        </w:trPr>
        <w:tc>
          <w:tcPr>
            <w:tcW w:w="3692" w:type="dxa"/>
            <w:tcBorders>
              <w:top w:val="nil"/>
              <w:left w:val="single" w:sz="4" w:space="0" w:color="auto"/>
              <w:bottom w:val="single" w:sz="4" w:space="0" w:color="auto"/>
              <w:right w:val="nil"/>
            </w:tcBorders>
            <w:shd w:val="clear" w:color="000000" w:fill="BFBFBF"/>
            <w:noWrap/>
            <w:vAlign w:val="center"/>
            <w:hideMark/>
          </w:tcPr>
          <w:p w:rsidR="005753BB" w:rsidRPr="0035027D" w:rsidRDefault="005753BB" w:rsidP="005753BB">
            <w:pPr>
              <w:spacing w:after="0"/>
              <w:jc w:val="left"/>
              <w:rPr>
                <w:rFonts w:cs="Times New Roman"/>
                <w:b/>
                <w:bCs/>
                <w:color w:val="FFFFFF"/>
                <w:sz w:val="20"/>
                <w:szCs w:val="20"/>
              </w:rPr>
            </w:pPr>
            <w:r w:rsidRPr="0035027D">
              <w:rPr>
                <w:rFonts w:cs="Times New Roman"/>
                <w:b/>
                <w:bCs/>
                <w:color w:val="FFFFFF"/>
                <w:sz w:val="20"/>
                <w:szCs w:val="20"/>
              </w:rPr>
              <w:t> </w:t>
            </w:r>
          </w:p>
        </w:tc>
        <w:tc>
          <w:tcPr>
            <w:tcW w:w="348" w:type="dxa"/>
            <w:tcBorders>
              <w:top w:val="nil"/>
              <w:left w:val="nil"/>
              <w:bottom w:val="single" w:sz="4" w:space="0" w:color="auto"/>
              <w:right w:val="nil"/>
            </w:tcBorders>
            <w:shd w:val="clear" w:color="000000" w:fill="BFBFBF"/>
            <w:noWrap/>
            <w:vAlign w:val="center"/>
            <w:hideMark/>
          </w:tcPr>
          <w:p w:rsidR="005753BB" w:rsidRPr="0035027D" w:rsidRDefault="005753BB" w:rsidP="005753BB">
            <w:pPr>
              <w:spacing w:after="0"/>
              <w:jc w:val="left"/>
              <w:rPr>
                <w:rFonts w:cs="Times New Roman"/>
                <w:b/>
                <w:bCs/>
                <w:color w:val="FFFFFF"/>
                <w:sz w:val="20"/>
                <w:szCs w:val="20"/>
              </w:rPr>
            </w:pPr>
            <w:r w:rsidRPr="0035027D">
              <w:rPr>
                <w:rFonts w:cs="Times New Roman"/>
                <w:b/>
                <w:bCs/>
                <w:color w:val="FFFFFF"/>
                <w:sz w:val="20"/>
                <w:szCs w:val="20"/>
              </w:rPr>
              <w:t> </w:t>
            </w:r>
          </w:p>
        </w:tc>
        <w:tc>
          <w:tcPr>
            <w:tcW w:w="480" w:type="dxa"/>
            <w:tcBorders>
              <w:top w:val="nil"/>
              <w:left w:val="single" w:sz="4" w:space="0" w:color="auto"/>
              <w:bottom w:val="single" w:sz="4" w:space="0" w:color="auto"/>
              <w:right w:val="nil"/>
            </w:tcBorders>
            <w:shd w:val="clear" w:color="000000" w:fill="BFBFBF"/>
            <w:noWrap/>
            <w:vAlign w:val="center"/>
            <w:hideMark/>
          </w:tcPr>
          <w:p w:rsidR="005753BB" w:rsidRPr="0035027D" w:rsidRDefault="005753BB" w:rsidP="005753BB">
            <w:pPr>
              <w:spacing w:after="0"/>
              <w:jc w:val="center"/>
              <w:rPr>
                <w:rFonts w:cs="Times New Roman"/>
                <w:b/>
                <w:bCs/>
                <w:color w:val="000000"/>
                <w:sz w:val="20"/>
                <w:szCs w:val="20"/>
              </w:rPr>
            </w:pPr>
            <w:r w:rsidRPr="0035027D">
              <w:rPr>
                <w:rFonts w:cs="Times New Roman"/>
                <w:b/>
                <w:bCs/>
                <w:color w:val="000000"/>
                <w:sz w:val="20"/>
                <w:szCs w:val="20"/>
              </w:rPr>
              <w:t>2004</w:t>
            </w:r>
          </w:p>
        </w:tc>
        <w:tc>
          <w:tcPr>
            <w:tcW w:w="480" w:type="dxa"/>
            <w:tcBorders>
              <w:top w:val="nil"/>
              <w:left w:val="nil"/>
              <w:bottom w:val="single" w:sz="4" w:space="0" w:color="auto"/>
              <w:right w:val="nil"/>
            </w:tcBorders>
            <w:shd w:val="clear" w:color="000000" w:fill="BFBFBF"/>
            <w:noWrap/>
            <w:vAlign w:val="center"/>
            <w:hideMark/>
          </w:tcPr>
          <w:p w:rsidR="005753BB" w:rsidRPr="0035027D" w:rsidRDefault="005753BB" w:rsidP="005753BB">
            <w:pPr>
              <w:spacing w:after="0"/>
              <w:jc w:val="center"/>
              <w:rPr>
                <w:rFonts w:cs="Times New Roman"/>
                <w:b/>
                <w:bCs/>
                <w:color w:val="000000"/>
                <w:sz w:val="20"/>
                <w:szCs w:val="20"/>
              </w:rPr>
            </w:pPr>
            <w:r w:rsidRPr="0035027D">
              <w:rPr>
                <w:rFonts w:cs="Times New Roman"/>
                <w:b/>
                <w:bCs/>
                <w:color w:val="000000"/>
                <w:sz w:val="20"/>
                <w:szCs w:val="20"/>
              </w:rPr>
              <w:t>2005</w:t>
            </w:r>
          </w:p>
        </w:tc>
        <w:tc>
          <w:tcPr>
            <w:tcW w:w="480" w:type="dxa"/>
            <w:tcBorders>
              <w:top w:val="nil"/>
              <w:left w:val="nil"/>
              <w:bottom w:val="single" w:sz="4" w:space="0" w:color="auto"/>
              <w:right w:val="nil"/>
            </w:tcBorders>
            <w:shd w:val="clear" w:color="000000" w:fill="BFBFBF"/>
            <w:noWrap/>
            <w:vAlign w:val="center"/>
            <w:hideMark/>
          </w:tcPr>
          <w:p w:rsidR="005753BB" w:rsidRPr="0035027D" w:rsidRDefault="005753BB" w:rsidP="005753BB">
            <w:pPr>
              <w:spacing w:after="0"/>
              <w:jc w:val="center"/>
              <w:rPr>
                <w:rFonts w:cs="Times New Roman"/>
                <w:b/>
                <w:bCs/>
                <w:color w:val="000000"/>
                <w:sz w:val="20"/>
                <w:szCs w:val="20"/>
              </w:rPr>
            </w:pPr>
            <w:r w:rsidRPr="0035027D">
              <w:rPr>
                <w:rFonts w:cs="Times New Roman"/>
                <w:b/>
                <w:bCs/>
                <w:color w:val="000000"/>
                <w:sz w:val="20"/>
                <w:szCs w:val="20"/>
              </w:rPr>
              <w:t>2006</w:t>
            </w:r>
          </w:p>
        </w:tc>
        <w:tc>
          <w:tcPr>
            <w:tcW w:w="480" w:type="dxa"/>
            <w:tcBorders>
              <w:top w:val="nil"/>
              <w:left w:val="nil"/>
              <w:bottom w:val="single" w:sz="4" w:space="0" w:color="auto"/>
              <w:right w:val="nil"/>
            </w:tcBorders>
            <w:shd w:val="clear" w:color="000000" w:fill="BFBFBF"/>
            <w:noWrap/>
            <w:vAlign w:val="center"/>
            <w:hideMark/>
          </w:tcPr>
          <w:p w:rsidR="005753BB" w:rsidRPr="0035027D" w:rsidRDefault="005753BB" w:rsidP="005753BB">
            <w:pPr>
              <w:spacing w:after="0"/>
              <w:jc w:val="center"/>
              <w:rPr>
                <w:rFonts w:cs="Times New Roman"/>
                <w:b/>
                <w:bCs/>
                <w:color w:val="000000"/>
                <w:sz w:val="20"/>
                <w:szCs w:val="20"/>
              </w:rPr>
            </w:pPr>
            <w:r w:rsidRPr="0035027D">
              <w:rPr>
                <w:rFonts w:cs="Times New Roman"/>
                <w:b/>
                <w:bCs/>
                <w:color w:val="000000"/>
                <w:sz w:val="20"/>
                <w:szCs w:val="20"/>
              </w:rPr>
              <w:t>2007</w:t>
            </w:r>
          </w:p>
        </w:tc>
        <w:tc>
          <w:tcPr>
            <w:tcW w:w="480" w:type="dxa"/>
            <w:tcBorders>
              <w:top w:val="nil"/>
              <w:left w:val="nil"/>
              <w:bottom w:val="single" w:sz="4" w:space="0" w:color="auto"/>
              <w:right w:val="nil"/>
            </w:tcBorders>
            <w:shd w:val="clear" w:color="000000" w:fill="BFBFBF"/>
            <w:vAlign w:val="center"/>
            <w:hideMark/>
          </w:tcPr>
          <w:p w:rsidR="005753BB" w:rsidRPr="0035027D" w:rsidRDefault="005753BB" w:rsidP="005753BB">
            <w:pPr>
              <w:spacing w:after="0"/>
              <w:jc w:val="center"/>
              <w:rPr>
                <w:rFonts w:cs="Times New Roman"/>
                <w:b/>
                <w:bCs/>
                <w:color w:val="000000"/>
                <w:sz w:val="20"/>
                <w:szCs w:val="20"/>
              </w:rPr>
            </w:pPr>
            <w:r w:rsidRPr="0035027D">
              <w:rPr>
                <w:rFonts w:cs="Times New Roman"/>
                <w:b/>
                <w:bCs/>
                <w:color w:val="000000"/>
                <w:sz w:val="20"/>
                <w:szCs w:val="20"/>
              </w:rPr>
              <w:t>2008</w:t>
            </w:r>
          </w:p>
        </w:tc>
        <w:tc>
          <w:tcPr>
            <w:tcW w:w="480" w:type="dxa"/>
            <w:tcBorders>
              <w:top w:val="nil"/>
              <w:left w:val="nil"/>
              <w:bottom w:val="single" w:sz="4" w:space="0" w:color="auto"/>
              <w:right w:val="nil"/>
            </w:tcBorders>
            <w:shd w:val="clear" w:color="000000" w:fill="BFBFBF"/>
            <w:vAlign w:val="center"/>
            <w:hideMark/>
          </w:tcPr>
          <w:p w:rsidR="005753BB" w:rsidRPr="0035027D" w:rsidRDefault="005753BB" w:rsidP="005753BB">
            <w:pPr>
              <w:spacing w:after="0"/>
              <w:jc w:val="center"/>
              <w:rPr>
                <w:rFonts w:cs="Times New Roman"/>
                <w:b/>
                <w:bCs/>
                <w:color w:val="000000"/>
                <w:sz w:val="20"/>
                <w:szCs w:val="20"/>
              </w:rPr>
            </w:pPr>
            <w:r w:rsidRPr="0035027D">
              <w:rPr>
                <w:rFonts w:cs="Times New Roman"/>
                <w:b/>
                <w:bCs/>
                <w:color w:val="000000"/>
                <w:sz w:val="20"/>
                <w:szCs w:val="20"/>
              </w:rPr>
              <w:t>2009</w:t>
            </w:r>
          </w:p>
        </w:tc>
        <w:tc>
          <w:tcPr>
            <w:tcW w:w="480" w:type="dxa"/>
            <w:tcBorders>
              <w:top w:val="nil"/>
              <w:left w:val="nil"/>
              <w:bottom w:val="single" w:sz="4" w:space="0" w:color="auto"/>
              <w:right w:val="nil"/>
            </w:tcBorders>
            <w:shd w:val="clear" w:color="000000" w:fill="BFBFBF"/>
            <w:vAlign w:val="center"/>
            <w:hideMark/>
          </w:tcPr>
          <w:p w:rsidR="005753BB" w:rsidRPr="0035027D" w:rsidRDefault="005753BB" w:rsidP="005753BB">
            <w:pPr>
              <w:spacing w:after="0"/>
              <w:jc w:val="center"/>
              <w:rPr>
                <w:rFonts w:cs="Times New Roman"/>
                <w:b/>
                <w:bCs/>
                <w:color w:val="000000"/>
                <w:sz w:val="20"/>
                <w:szCs w:val="20"/>
              </w:rPr>
            </w:pPr>
            <w:r w:rsidRPr="0035027D">
              <w:rPr>
                <w:rFonts w:cs="Times New Roman"/>
                <w:b/>
                <w:bCs/>
                <w:color w:val="000000"/>
                <w:sz w:val="20"/>
                <w:szCs w:val="20"/>
              </w:rPr>
              <w:t>2010</w:t>
            </w:r>
          </w:p>
        </w:tc>
        <w:tc>
          <w:tcPr>
            <w:tcW w:w="480" w:type="dxa"/>
            <w:tcBorders>
              <w:top w:val="nil"/>
              <w:left w:val="nil"/>
              <w:bottom w:val="single" w:sz="4" w:space="0" w:color="auto"/>
              <w:right w:val="single" w:sz="4" w:space="0" w:color="auto"/>
            </w:tcBorders>
            <w:shd w:val="clear" w:color="000000" w:fill="BFBFBF"/>
            <w:vAlign w:val="center"/>
            <w:hideMark/>
          </w:tcPr>
          <w:p w:rsidR="005753BB" w:rsidRPr="0035027D" w:rsidRDefault="005753BB" w:rsidP="005753BB">
            <w:pPr>
              <w:spacing w:after="0"/>
              <w:jc w:val="center"/>
              <w:rPr>
                <w:rFonts w:cs="Times New Roman"/>
                <w:b/>
                <w:bCs/>
                <w:color w:val="000000"/>
                <w:sz w:val="20"/>
                <w:szCs w:val="20"/>
              </w:rPr>
            </w:pPr>
            <w:r w:rsidRPr="0035027D">
              <w:rPr>
                <w:rFonts w:cs="Times New Roman"/>
                <w:b/>
                <w:bCs/>
                <w:color w:val="000000"/>
                <w:sz w:val="20"/>
                <w:szCs w:val="20"/>
              </w:rPr>
              <w:t>2011</w:t>
            </w:r>
          </w:p>
        </w:tc>
        <w:tc>
          <w:tcPr>
            <w:tcW w:w="480" w:type="dxa"/>
            <w:tcBorders>
              <w:top w:val="nil"/>
              <w:left w:val="nil"/>
              <w:bottom w:val="single" w:sz="4" w:space="0" w:color="auto"/>
              <w:right w:val="single" w:sz="4" w:space="0" w:color="auto"/>
            </w:tcBorders>
            <w:shd w:val="clear" w:color="000000" w:fill="BFBFBF"/>
            <w:vAlign w:val="center"/>
            <w:hideMark/>
          </w:tcPr>
          <w:p w:rsidR="005753BB" w:rsidRPr="0035027D" w:rsidRDefault="005753BB" w:rsidP="005753BB">
            <w:pPr>
              <w:spacing w:after="0"/>
              <w:jc w:val="left"/>
              <w:rPr>
                <w:rFonts w:cs="Times New Roman"/>
                <w:b/>
                <w:bCs/>
                <w:sz w:val="20"/>
                <w:szCs w:val="20"/>
              </w:rPr>
            </w:pPr>
            <w:r w:rsidRPr="0035027D">
              <w:rPr>
                <w:rFonts w:cs="Times New Roman"/>
                <w:b/>
                <w:bCs/>
                <w:sz w:val="20"/>
                <w:szCs w:val="20"/>
              </w:rPr>
              <w:t>Cieľ 2020</w:t>
            </w:r>
          </w:p>
        </w:tc>
      </w:tr>
      <w:tr w:rsidR="005753BB" w:rsidRPr="0035027D" w:rsidTr="005753BB">
        <w:trPr>
          <w:trHeight w:val="300"/>
          <w:jc w:val="center"/>
        </w:trPr>
        <w:tc>
          <w:tcPr>
            <w:tcW w:w="3692" w:type="dxa"/>
            <w:tcBorders>
              <w:top w:val="nil"/>
              <w:left w:val="single" w:sz="4" w:space="0" w:color="auto"/>
              <w:bottom w:val="nil"/>
              <w:right w:val="nil"/>
            </w:tcBorders>
            <w:shd w:val="clear" w:color="auto" w:fill="auto"/>
            <w:noWrap/>
            <w:vAlign w:val="center"/>
            <w:hideMark/>
          </w:tcPr>
          <w:p w:rsidR="005753BB" w:rsidRPr="0035027D" w:rsidRDefault="005753BB" w:rsidP="005753BB">
            <w:pPr>
              <w:spacing w:after="0"/>
              <w:rPr>
                <w:rFonts w:cs="Times New Roman"/>
                <w:b/>
                <w:bCs/>
                <w:color w:val="000000"/>
                <w:sz w:val="20"/>
                <w:szCs w:val="20"/>
              </w:rPr>
            </w:pPr>
            <w:r w:rsidRPr="0035027D">
              <w:rPr>
                <w:rFonts w:cs="Times New Roman"/>
                <w:b/>
                <w:bCs/>
                <w:color w:val="000000"/>
                <w:sz w:val="20"/>
                <w:szCs w:val="20"/>
              </w:rPr>
              <w:t>Roky zdravého života</w:t>
            </w:r>
          </w:p>
        </w:tc>
        <w:tc>
          <w:tcPr>
            <w:tcW w:w="348" w:type="dxa"/>
            <w:tcBorders>
              <w:top w:val="nil"/>
              <w:left w:val="nil"/>
              <w:bottom w:val="nil"/>
              <w:right w:val="single" w:sz="4" w:space="0" w:color="auto"/>
            </w:tcBorders>
            <w:shd w:val="clear" w:color="auto" w:fill="auto"/>
            <w:noWrap/>
            <w:vAlign w:val="center"/>
            <w:hideMark/>
          </w:tcPr>
          <w:p w:rsidR="005753BB" w:rsidRPr="0035027D" w:rsidRDefault="005753BB" w:rsidP="005753BB">
            <w:pPr>
              <w:spacing w:after="0"/>
              <w:jc w:val="left"/>
              <w:rPr>
                <w:rFonts w:cs="Times New Roman"/>
                <w:b/>
                <w:bCs/>
                <w:color w:val="000000"/>
                <w:sz w:val="20"/>
                <w:szCs w:val="20"/>
              </w:rPr>
            </w:pPr>
            <w:r w:rsidRPr="0035027D">
              <w:rPr>
                <w:rFonts w:cs="Times New Roman"/>
                <w:b/>
                <w:bCs/>
                <w:color w:val="000000"/>
                <w:sz w:val="20"/>
                <w:szCs w:val="20"/>
              </w:rPr>
              <w:t>SK</w:t>
            </w:r>
          </w:p>
        </w:tc>
        <w:tc>
          <w:tcPr>
            <w:tcW w:w="480" w:type="dxa"/>
            <w:tcBorders>
              <w:top w:val="nil"/>
              <w:left w:val="nil"/>
              <w:bottom w:val="nil"/>
              <w:right w:val="nil"/>
            </w:tcBorders>
            <w:shd w:val="clear" w:color="auto" w:fill="auto"/>
            <w:vAlign w:val="center"/>
            <w:hideMark/>
          </w:tcPr>
          <w:p w:rsidR="005753BB" w:rsidRPr="0035027D" w:rsidRDefault="005753BB" w:rsidP="005753BB">
            <w:pPr>
              <w:spacing w:after="0"/>
              <w:jc w:val="center"/>
              <w:rPr>
                <w:rFonts w:cs="Times New Roman"/>
                <w:color w:val="000000"/>
                <w:sz w:val="20"/>
                <w:szCs w:val="20"/>
              </w:rPr>
            </w:pPr>
            <w:r w:rsidRPr="0035027D">
              <w:rPr>
                <w:rFonts w:cs="Times New Roman"/>
                <w:color w:val="000000"/>
                <w:sz w:val="20"/>
                <w:szCs w:val="20"/>
              </w:rPr>
              <w:t>-</w:t>
            </w:r>
          </w:p>
        </w:tc>
        <w:tc>
          <w:tcPr>
            <w:tcW w:w="480" w:type="dxa"/>
            <w:tcBorders>
              <w:top w:val="nil"/>
              <w:left w:val="nil"/>
              <w:bottom w:val="nil"/>
              <w:right w:val="nil"/>
            </w:tcBorders>
            <w:shd w:val="clear" w:color="auto" w:fill="auto"/>
            <w:vAlign w:val="center"/>
            <w:hideMark/>
          </w:tcPr>
          <w:p w:rsidR="005753BB" w:rsidRPr="0035027D" w:rsidRDefault="005753BB" w:rsidP="005753BB">
            <w:pPr>
              <w:spacing w:after="0"/>
              <w:jc w:val="center"/>
              <w:rPr>
                <w:rFonts w:cs="Times New Roman"/>
                <w:color w:val="000000"/>
                <w:sz w:val="20"/>
                <w:szCs w:val="20"/>
              </w:rPr>
            </w:pPr>
            <w:r w:rsidRPr="0035027D">
              <w:rPr>
                <w:rFonts w:cs="Times New Roman"/>
                <w:color w:val="000000"/>
                <w:sz w:val="20"/>
                <w:szCs w:val="20"/>
              </w:rPr>
              <w:t>55,9</w:t>
            </w:r>
          </w:p>
        </w:tc>
        <w:tc>
          <w:tcPr>
            <w:tcW w:w="480" w:type="dxa"/>
            <w:tcBorders>
              <w:top w:val="nil"/>
              <w:left w:val="nil"/>
              <w:bottom w:val="nil"/>
              <w:right w:val="nil"/>
            </w:tcBorders>
            <w:shd w:val="clear" w:color="auto" w:fill="auto"/>
            <w:vAlign w:val="center"/>
            <w:hideMark/>
          </w:tcPr>
          <w:p w:rsidR="005753BB" w:rsidRPr="0035027D" w:rsidRDefault="005753BB" w:rsidP="005753BB">
            <w:pPr>
              <w:spacing w:after="0"/>
              <w:jc w:val="center"/>
              <w:rPr>
                <w:rFonts w:cs="Times New Roman"/>
                <w:color w:val="000000"/>
                <w:sz w:val="20"/>
                <w:szCs w:val="20"/>
              </w:rPr>
            </w:pPr>
            <w:r w:rsidRPr="0035027D">
              <w:rPr>
                <w:rFonts w:cs="Times New Roman"/>
                <w:color w:val="000000"/>
                <w:sz w:val="20"/>
                <w:szCs w:val="20"/>
              </w:rPr>
              <w:t>54,5</w:t>
            </w:r>
          </w:p>
        </w:tc>
        <w:tc>
          <w:tcPr>
            <w:tcW w:w="480" w:type="dxa"/>
            <w:tcBorders>
              <w:top w:val="nil"/>
              <w:left w:val="nil"/>
              <w:bottom w:val="nil"/>
              <w:right w:val="nil"/>
            </w:tcBorders>
            <w:shd w:val="clear" w:color="auto" w:fill="auto"/>
            <w:vAlign w:val="center"/>
            <w:hideMark/>
          </w:tcPr>
          <w:p w:rsidR="005753BB" w:rsidRPr="0035027D" w:rsidRDefault="005753BB" w:rsidP="005753BB">
            <w:pPr>
              <w:spacing w:after="0"/>
              <w:jc w:val="center"/>
              <w:rPr>
                <w:rFonts w:cs="Times New Roman"/>
                <w:color w:val="000000"/>
                <w:sz w:val="20"/>
                <w:szCs w:val="20"/>
              </w:rPr>
            </w:pPr>
            <w:r w:rsidRPr="0035027D">
              <w:rPr>
                <w:rFonts w:cs="Times New Roman"/>
                <w:color w:val="000000"/>
                <w:sz w:val="20"/>
                <w:szCs w:val="20"/>
              </w:rPr>
              <w:t>55,8</w:t>
            </w:r>
          </w:p>
        </w:tc>
        <w:tc>
          <w:tcPr>
            <w:tcW w:w="480" w:type="dxa"/>
            <w:tcBorders>
              <w:top w:val="nil"/>
              <w:left w:val="nil"/>
              <w:bottom w:val="nil"/>
              <w:right w:val="nil"/>
            </w:tcBorders>
            <w:shd w:val="clear" w:color="auto" w:fill="auto"/>
            <w:vAlign w:val="center"/>
            <w:hideMark/>
          </w:tcPr>
          <w:p w:rsidR="005753BB" w:rsidRPr="0035027D" w:rsidRDefault="005753BB" w:rsidP="005753BB">
            <w:pPr>
              <w:spacing w:after="0"/>
              <w:jc w:val="center"/>
              <w:rPr>
                <w:rFonts w:cs="Times New Roman"/>
                <w:color w:val="000000"/>
                <w:sz w:val="20"/>
                <w:szCs w:val="20"/>
              </w:rPr>
            </w:pPr>
            <w:r w:rsidRPr="0035027D">
              <w:rPr>
                <w:rFonts w:cs="Times New Roman"/>
                <w:color w:val="000000"/>
                <w:sz w:val="20"/>
                <w:szCs w:val="20"/>
              </w:rPr>
              <w:t>52,3</w:t>
            </w:r>
          </w:p>
        </w:tc>
        <w:tc>
          <w:tcPr>
            <w:tcW w:w="480" w:type="dxa"/>
            <w:tcBorders>
              <w:top w:val="nil"/>
              <w:left w:val="nil"/>
              <w:bottom w:val="nil"/>
              <w:right w:val="nil"/>
            </w:tcBorders>
            <w:shd w:val="clear" w:color="auto" w:fill="auto"/>
            <w:vAlign w:val="center"/>
            <w:hideMark/>
          </w:tcPr>
          <w:p w:rsidR="005753BB" w:rsidRPr="0035027D" w:rsidRDefault="005753BB" w:rsidP="005753BB">
            <w:pPr>
              <w:spacing w:after="0"/>
              <w:jc w:val="center"/>
              <w:rPr>
                <w:rFonts w:cs="Times New Roman"/>
                <w:color w:val="000000"/>
                <w:sz w:val="20"/>
                <w:szCs w:val="20"/>
              </w:rPr>
            </w:pPr>
            <w:r w:rsidRPr="0035027D">
              <w:rPr>
                <w:rFonts w:cs="Times New Roman"/>
                <w:color w:val="000000"/>
                <w:sz w:val="20"/>
                <w:szCs w:val="20"/>
              </w:rPr>
              <w:t>52,5</w:t>
            </w:r>
          </w:p>
        </w:tc>
        <w:tc>
          <w:tcPr>
            <w:tcW w:w="480" w:type="dxa"/>
            <w:tcBorders>
              <w:top w:val="nil"/>
              <w:left w:val="nil"/>
              <w:bottom w:val="nil"/>
              <w:right w:val="nil"/>
            </w:tcBorders>
            <w:shd w:val="clear" w:color="auto" w:fill="auto"/>
            <w:vAlign w:val="center"/>
            <w:hideMark/>
          </w:tcPr>
          <w:p w:rsidR="005753BB" w:rsidRPr="0035027D" w:rsidRDefault="005753BB" w:rsidP="005753BB">
            <w:pPr>
              <w:spacing w:after="0"/>
              <w:jc w:val="center"/>
              <w:rPr>
                <w:rFonts w:cs="Times New Roman"/>
                <w:color w:val="000000"/>
                <w:sz w:val="20"/>
                <w:szCs w:val="20"/>
              </w:rPr>
            </w:pPr>
            <w:r w:rsidRPr="0035027D">
              <w:rPr>
                <w:rFonts w:cs="Times New Roman"/>
                <w:color w:val="000000"/>
                <w:sz w:val="20"/>
                <w:szCs w:val="20"/>
              </w:rPr>
              <w:t>52,3</w:t>
            </w:r>
          </w:p>
        </w:tc>
        <w:tc>
          <w:tcPr>
            <w:tcW w:w="480" w:type="dxa"/>
            <w:tcBorders>
              <w:top w:val="nil"/>
              <w:left w:val="nil"/>
              <w:bottom w:val="nil"/>
              <w:right w:val="nil"/>
            </w:tcBorders>
            <w:shd w:val="clear" w:color="auto" w:fill="auto"/>
            <w:vAlign w:val="center"/>
            <w:hideMark/>
          </w:tcPr>
          <w:p w:rsidR="005753BB" w:rsidRPr="0035027D" w:rsidRDefault="005753BB" w:rsidP="005753BB">
            <w:pPr>
              <w:spacing w:after="0"/>
              <w:jc w:val="center"/>
              <w:rPr>
                <w:rFonts w:cs="Times New Roman"/>
                <w:color w:val="000000"/>
                <w:sz w:val="20"/>
                <w:szCs w:val="20"/>
              </w:rPr>
            </w:pPr>
            <w:r w:rsidRPr="0035027D">
              <w:rPr>
                <w:rFonts w:cs="Times New Roman"/>
                <w:color w:val="000000"/>
                <w:sz w:val="20"/>
                <w:szCs w:val="20"/>
              </w:rPr>
              <w:t>52,2</w:t>
            </w:r>
          </w:p>
        </w:tc>
        <w:tc>
          <w:tcPr>
            <w:tcW w:w="480" w:type="dxa"/>
            <w:tcBorders>
              <w:top w:val="nil"/>
              <w:left w:val="single" w:sz="8" w:space="0" w:color="auto"/>
              <w:bottom w:val="nil"/>
              <w:right w:val="single" w:sz="8" w:space="0" w:color="auto"/>
            </w:tcBorders>
            <w:shd w:val="clear" w:color="auto" w:fill="auto"/>
            <w:vAlign w:val="center"/>
            <w:hideMark/>
          </w:tcPr>
          <w:p w:rsidR="005753BB" w:rsidRPr="0035027D" w:rsidRDefault="005753BB" w:rsidP="005753BB">
            <w:pPr>
              <w:spacing w:after="0"/>
              <w:jc w:val="center"/>
              <w:rPr>
                <w:rFonts w:cs="Times New Roman"/>
                <w:color w:val="000000"/>
                <w:sz w:val="20"/>
                <w:szCs w:val="20"/>
              </w:rPr>
            </w:pPr>
            <w:r w:rsidRPr="0035027D">
              <w:rPr>
                <w:rFonts w:cs="Times New Roman"/>
                <w:color w:val="000000"/>
                <w:sz w:val="20"/>
                <w:szCs w:val="20"/>
              </w:rPr>
              <w:t>60</w:t>
            </w:r>
          </w:p>
        </w:tc>
      </w:tr>
      <w:tr w:rsidR="005753BB" w:rsidRPr="0035027D" w:rsidTr="005753BB">
        <w:trPr>
          <w:trHeight w:val="315"/>
          <w:jc w:val="center"/>
        </w:trPr>
        <w:tc>
          <w:tcPr>
            <w:tcW w:w="3692" w:type="dxa"/>
            <w:tcBorders>
              <w:top w:val="nil"/>
              <w:left w:val="single" w:sz="4" w:space="0" w:color="auto"/>
              <w:bottom w:val="single" w:sz="4" w:space="0" w:color="auto"/>
              <w:right w:val="nil"/>
            </w:tcBorders>
            <w:shd w:val="clear" w:color="auto" w:fill="auto"/>
            <w:noWrap/>
            <w:vAlign w:val="center"/>
            <w:hideMark/>
          </w:tcPr>
          <w:p w:rsidR="005753BB" w:rsidRPr="0035027D" w:rsidRDefault="005753BB" w:rsidP="005753BB">
            <w:pPr>
              <w:spacing w:after="0"/>
              <w:rPr>
                <w:rFonts w:cs="Times New Roman"/>
                <w:color w:val="000000"/>
                <w:sz w:val="20"/>
                <w:szCs w:val="20"/>
              </w:rPr>
            </w:pPr>
            <w:r w:rsidRPr="0035027D">
              <w:rPr>
                <w:rFonts w:cs="Times New Roman"/>
                <w:color w:val="000000"/>
                <w:sz w:val="20"/>
                <w:szCs w:val="20"/>
              </w:rPr>
              <w:t>(očakávaný počet rokov pri narodení)</w:t>
            </w:r>
          </w:p>
        </w:tc>
        <w:tc>
          <w:tcPr>
            <w:tcW w:w="348" w:type="dxa"/>
            <w:tcBorders>
              <w:top w:val="nil"/>
              <w:left w:val="nil"/>
              <w:bottom w:val="single" w:sz="4" w:space="0" w:color="auto"/>
              <w:right w:val="single" w:sz="4" w:space="0" w:color="auto"/>
            </w:tcBorders>
            <w:shd w:val="clear" w:color="auto" w:fill="auto"/>
            <w:noWrap/>
            <w:vAlign w:val="center"/>
            <w:hideMark/>
          </w:tcPr>
          <w:p w:rsidR="005753BB" w:rsidRPr="0035027D" w:rsidRDefault="005753BB" w:rsidP="005753BB">
            <w:pPr>
              <w:spacing w:after="0"/>
              <w:jc w:val="left"/>
              <w:rPr>
                <w:rFonts w:cs="Times New Roman"/>
                <w:b/>
                <w:bCs/>
                <w:color w:val="000000"/>
                <w:sz w:val="20"/>
                <w:szCs w:val="20"/>
              </w:rPr>
            </w:pPr>
            <w:r w:rsidRPr="0035027D">
              <w:rPr>
                <w:rFonts w:cs="Times New Roman"/>
                <w:b/>
                <w:bCs/>
                <w:color w:val="000000"/>
                <w:sz w:val="20"/>
                <w:szCs w:val="20"/>
              </w:rPr>
              <w:t>EÚ</w:t>
            </w:r>
          </w:p>
        </w:tc>
        <w:tc>
          <w:tcPr>
            <w:tcW w:w="480" w:type="dxa"/>
            <w:tcBorders>
              <w:top w:val="nil"/>
              <w:left w:val="nil"/>
              <w:bottom w:val="single" w:sz="4" w:space="0" w:color="auto"/>
              <w:right w:val="nil"/>
            </w:tcBorders>
            <w:shd w:val="clear" w:color="auto" w:fill="auto"/>
            <w:vAlign w:val="center"/>
            <w:hideMark/>
          </w:tcPr>
          <w:p w:rsidR="005753BB" w:rsidRPr="0035027D" w:rsidRDefault="005753BB" w:rsidP="005753BB">
            <w:pPr>
              <w:spacing w:after="0"/>
              <w:jc w:val="center"/>
              <w:rPr>
                <w:rFonts w:cs="Times New Roman"/>
                <w:color w:val="000000"/>
                <w:sz w:val="20"/>
                <w:szCs w:val="20"/>
              </w:rPr>
            </w:pPr>
            <w:r w:rsidRPr="0035027D">
              <w:rPr>
                <w:rFonts w:cs="Times New Roman"/>
                <w:color w:val="000000"/>
                <w:sz w:val="20"/>
                <w:szCs w:val="20"/>
              </w:rPr>
              <w:t>-</w:t>
            </w:r>
          </w:p>
        </w:tc>
        <w:tc>
          <w:tcPr>
            <w:tcW w:w="480" w:type="dxa"/>
            <w:tcBorders>
              <w:top w:val="nil"/>
              <w:left w:val="nil"/>
              <w:bottom w:val="single" w:sz="4" w:space="0" w:color="auto"/>
              <w:right w:val="nil"/>
            </w:tcBorders>
            <w:shd w:val="clear" w:color="auto" w:fill="auto"/>
            <w:vAlign w:val="center"/>
            <w:hideMark/>
          </w:tcPr>
          <w:p w:rsidR="005753BB" w:rsidRPr="0035027D" w:rsidRDefault="005753BB" w:rsidP="005753BB">
            <w:pPr>
              <w:spacing w:after="0"/>
              <w:jc w:val="center"/>
              <w:rPr>
                <w:rFonts w:cs="Times New Roman"/>
                <w:color w:val="000000"/>
                <w:sz w:val="20"/>
                <w:szCs w:val="20"/>
              </w:rPr>
            </w:pPr>
            <w:r w:rsidRPr="0035027D">
              <w:rPr>
                <w:rFonts w:cs="Times New Roman"/>
                <w:color w:val="000000"/>
                <w:sz w:val="20"/>
                <w:szCs w:val="20"/>
              </w:rPr>
              <w:t>61,8</w:t>
            </w:r>
          </w:p>
        </w:tc>
        <w:tc>
          <w:tcPr>
            <w:tcW w:w="480" w:type="dxa"/>
            <w:tcBorders>
              <w:top w:val="nil"/>
              <w:left w:val="nil"/>
              <w:bottom w:val="single" w:sz="4" w:space="0" w:color="auto"/>
              <w:right w:val="nil"/>
            </w:tcBorders>
            <w:shd w:val="clear" w:color="auto" w:fill="auto"/>
            <w:vAlign w:val="center"/>
            <w:hideMark/>
          </w:tcPr>
          <w:p w:rsidR="005753BB" w:rsidRPr="0035027D" w:rsidRDefault="005753BB" w:rsidP="005753BB">
            <w:pPr>
              <w:spacing w:after="0"/>
              <w:jc w:val="center"/>
              <w:rPr>
                <w:rFonts w:cs="Times New Roman"/>
                <w:color w:val="000000"/>
                <w:sz w:val="20"/>
                <w:szCs w:val="20"/>
              </w:rPr>
            </w:pPr>
            <w:r w:rsidRPr="0035027D">
              <w:rPr>
                <w:rFonts w:cs="Times New Roman"/>
                <w:color w:val="000000"/>
                <w:sz w:val="20"/>
                <w:szCs w:val="20"/>
              </w:rPr>
              <w:t>62,1</w:t>
            </w:r>
          </w:p>
        </w:tc>
        <w:tc>
          <w:tcPr>
            <w:tcW w:w="480" w:type="dxa"/>
            <w:tcBorders>
              <w:top w:val="nil"/>
              <w:left w:val="nil"/>
              <w:bottom w:val="single" w:sz="4" w:space="0" w:color="auto"/>
              <w:right w:val="nil"/>
            </w:tcBorders>
            <w:shd w:val="clear" w:color="auto" w:fill="auto"/>
            <w:vAlign w:val="center"/>
            <w:hideMark/>
          </w:tcPr>
          <w:p w:rsidR="005753BB" w:rsidRPr="0035027D" w:rsidRDefault="005753BB" w:rsidP="005753BB">
            <w:pPr>
              <w:spacing w:after="0"/>
              <w:jc w:val="center"/>
              <w:rPr>
                <w:rFonts w:cs="Times New Roman"/>
                <w:color w:val="000000"/>
                <w:sz w:val="20"/>
                <w:szCs w:val="20"/>
              </w:rPr>
            </w:pPr>
            <w:r w:rsidRPr="0035027D">
              <w:rPr>
                <w:rFonts w:cs="Times New Roman"/>
                <w:color w:val="000000"/>
                <w:sz w:val="20"/>
                <w:szCs w:val="20"/>
              </w:rPr>
              <w:t>62,1</w:t>
            </w:r>
          </w:p>
        </w:tc>
        <w:tc>
          <w:tcPr>
            <w:tcW w:w="480" w:type="dxa"/>
            <w:tcBorders>
              <w:top w:val="nil"/>
              <w:left w:val="nil"/>
              <w:bottom w:val="single" w:sz="4" w:space="0" w:color="auto"/>
              <w:right w:val="nil"/>
            </w:tcBorders>
            <w:shd w:val="clear" w:color="auto" w:fill="auto"/>
            <w:vAlign w:val="center"/>
            <w:hideMark/>
          </w:tcPr>
          <w:p w:rsidR="005753BB" w:rsidRPr="0035027D" w:rsidRDefault="005753BB" w:rsidP="005753BB">
            <w:pPr>
              <w:spacing w:after="0"/>
              <w:jc w:val="center"/>
              <w:rPr>
                <w:rFonts w:cs="Times New Roman"/>
                <w:color w:val="000000"/>
                <w:sz w:val="20"/>
                <w:szCs w:val="20"/>
              </w:rPr>
            </w:pPr>
            <w:r w:rsidRPr="0035027D">
              <w:rPr>
                <w:rFonts w:cs="Times New Roman"/>
                <w:color w:val="000000"/>
                <w:sz w:val="20"/>
                <w:szCs w:val="20"/>
              </w:rPr>
              <w:t>61,6</w:t>
            </w:r>
          </w:p>
        </w:tc>
        <w:tc>
          <w:tcPr>
            <w:tcW w:w="480" w:type="dxa"/>
            <w:tcBorders>
              <w:top w:val="nil"/>
              <w:left w:val="nil"/>
              <w:bottom w:val="single" w:sz="4" w:space="0" w:color="auto"/>
              <w:right w:val="nil"/>
            </w:tcBorders>
            <w:shd w:val="clear" w:color="auto" w:fill="auto"/>
            <w:vAlign w:val="center"/>
            <w:hideMark/>
          </w:tcPr>
          <w:p w:rsidR="005753BB" w:rsidRPr="0035027D" w:rsidRDefault="005753BB" w:rsidP="005753BB">
            <w:pPr>
              <w:spacing w:after="0"/>
              <w:jc w:val="center"/>
              <w:rPr>
                <w:rFonts w:cs="Times New Roman"/>
                <w:color w:val="000000"/>
                <w:sz w:val="20"/>
                <w:szCs w:val="20"/>
              </w:rPr>
            </w:pPr>
            <w:r w:rsidRPr="0035027D">
              <w:rPr>
                <w:rFonts w:cs="Times New Roman"/>
                <w:color w:val="000000"/>
                <w:sz w:val="20"/>
                <w:szCs w:val="20"/>
              </w:rPr>
              <w:t>61,6</w:t>
            </w:r>
          </w:p>
        </w:tc>
        <w:tc>
          <w:tcPr>
            <w:tcW w:w="480" w:type="dxa"/>
            <w:tcBorders>
              <w:top w:val="nil"/>
              <w:left w:val="nil"/>
              <w:bottom w:val="single" w:sz="4" w:space="0" w:color="auto"/>
              <w:right w:val="nil"/>
            </w:tcBorders>
            <w:shd w:val="clear" w:color="auto" w:fill="auto"/>
            <w:vAlign w:val="center"/>
            <w:hideMark/>
          </w:tcPr>
          <w:p w:rsidR="005753BB" w:rsidRPr="0035027D" w:rsidRDefault="005753BB" w:rsidP="005753BB">
            <w:pPr>
              <w:spacing w:after="0"/>
              <w:jc w:val="center"/>
              <w:rPr>
                <w:rFonts w:cs="Times New Roman"/>
                <w:color w:val="000000"/>
                <w:sz w:val="20"/>
                <w:szCs w:val="20"/>
              </w:rPr>
            </w:pPr>
            <w:r w:rsidRPr="0035027D">
              <w:rPr>
                <w:rFonts w:cs="Times New Roman"/>
                <w:color w:val="000000"/>
                <w:sz w:val="20"/>
                <w:szCs w:val="20"/>
              </w:rPr>
              <w:t>62,1</w:t>
            </w:r>
          </w:p>
        </w:tc>
        <w:tc>
          <w:tcPr>
            <w:tcW w:w="480" w:type="dxa"/>
            <w:tcBorders>
              <w:top w:val="nil"/>
              <w:left w:val="nil"/>
              <w:bottom w:val="single" w:sz="4" w:space="0" w:color="auto"/>
              <w:right w:val="nil"/>
            </w:tcBorders>
            <w:shd w:val="clear" w:color="auto" w:fill="auto"/>
            <w:vAlign w:val="center"/>
            <w:hideMark/>
          </w:tcPr>
          <w:p w:rsidR="005753BB" w:rsidRPr="0035027D" w:rsidRDefault="005753BB" w:rsidP="005753BB">
            <w:pPr>
              <w:spacing w:after="0"/>
              <w:jc w:val="center"/>
              <w:rPr>
                <w:rFonts w:cs="Times New Roman"/>
                <w:color w:val="000000"/>
                <w:sz w:val="20"/>
                <w:szCs w:val="20"/>
              </w:rPr>
            </w:pPr>
            <w:r w:rsidRPr="0035027D">
              <w:rPr>
                <w:rFonts w:cs="Times New Roman"/>
                <w:color w:val="000000"/>
                <w:sz w:val="20"/>
                <w:szCs w:val="20"/>
              </w:rPr>
              <w:t>61,8</w:t>
            </w:r>
          </w:p>
        </w:tc>
        <w:tc>
          <w:tcPr>
            <w:tcW w:w="480" w:type="dxa"/>
            <w:tcBorders>
              <w:top w:val="nil"/>
              <w:left w:val="single" w:sz="8" w:space="0" w:color="auto"/>
              <w:bottom w:val="single" w:sz="8" w:space="0" w:color="auto"/>
              <w:right w:val="single" w:sz="8" w:space="0" w:color="auto"/>
            </w:tcBorders>
            <w:shd w:val="clear" w:color="auto" w:fill="auto"/>
            <w:vAlign w:val="center"/>
            <w:hideMark/>
          </w:tcPr>
          <w:p w:rsidR="005753BB" w:rsidRPr="0035027D" w:rsidRDefault="005753BB" w:rsidP="005753BB">
            <w:pPr>
              <w:spacing w:after="0"/>
              <w:jc w:val="center"/>
              <w:rPr>
                <w:rFonts w:cs="Times New Roman"/>
                <w:color w:val="000000"/>
                <w:sz w:val="20"/>
                <w:szCs w:val="20"/>
              </w:rPr>
            </w:pPr>
            <w:r w:rsidRPr="0035027D">
              <w:rPr>
                <w:rFonts w:cs="Times New Roman"/>
                <w:color w:val="000000"/>
                <w:sz w:val="20"/>
                <w:szCs w:val="20"/>
              </w:rPr>
              <w:t>-</w:t>
            </w:r>
          </w:p>
        </w:tc>
      </w:tr>
    </w:tbl>
    <w:p w:rsidR="00351FC9" w:rsidRPr="0035027D" w:rsidRDefault="00351FC9" w:rsidP="00FB54FF">
      <w:pPr>
        <w:pStyle w:val="Odsekzoznamu"/>
        <w:tabs>
          <w:tab w:val="left" w:pos="2835"/>
        </w:tabs>
        <w:spacing w:after="0"/>
        <w:ind w:left="0"/>
        <w:jc w:val="both"/>
        <w:rPr>
          <w:rFonts w:ascii="Arial Narrow" w:hAnsi="Arial Narrow"/>
          <w:b/>
          <w:sz w:val="24"/>
          <w:szCs w:val="28"/>
        </w:rPr>
      </w:pPr>
    </w:p>
    <w:p w:rsidR="0039750E" w:rsidRPr="0035027D" w:rsidRDefault="0039750E" w:rsidP="0039750E">
      <w:pPr>
        <w:pStyle w:val="Odsekzoznamu"/>
        <w:spacing w:after="0" w:line="240" w:lineRule="auto"/>
        <w:ind w:left="0"/>
        <w:jc w:val="both"/>
        <w:rPr>
          <w:rFonts w:ascii="Arial Narrow" w:hAnsi="Arial Narrow"/>
        </w:rPr>
      </w:pPr>
      <w:r w:rsidRPr="0035027D">
        <w:rPr>
          <w:rFonts w:ascii="Arial Narrow" w:hAnsi="Arial Narrow"/>
        </w:rPr>
        <w:t xml:space="preserve">Zdravotný stav obyvateľstva ovplyvňuje rovnosť šancí a produktivitu v krajine, je preto dôležité udržiavať systém poskytovania zdravotnej starostlivosti na takej úrovni, aby čo najlepšie napĺňal svoju funkciu. Verejné zdroje v slovenskom zdravotníctve boli v roku 2011 vo výške 760 eur na jedného obyvateľa, teda približne 6 % HDP. Výdavky štátu boli o 0.3% HDP nižšie oproti priemeru krajín EÚ, no mierne prevyšovali priemer V3. V uplynulých rokoch rástli výdavky podstatne rýchlejšie než v krajinách s podobnou úrovňou HDP na obyvateľa. EK očakáva, že Slovensko bude medzi krajinami s najvýraznejším rastom starnutia populácie, čo bude ďalej zvyšovať náklady na zdravotníctvo. </w:t>
      </w:r>
    </w:p>
    <w:p w:rsidR="0039750E" w:rsidRPr="0035027D" w:rsidRDefault="0039750E" w:rsidP="0039750E">
      <w:pPr>
        <w:pStyle w:val="Odsekzoznamu"/>
        <w:spacing w:after="0" w:line="240" w:lineRule="auto"/>
        <w:ind w:left="0"/>
        <w:jc w:val="both"/>
        <w:rPr>
          <w:rFonts w:ascii="Arial Narrow" w:hAnsi="Arial Narrow"/>
        </w:rPr>
      </w:pPr>
    </w:p>
    <w:p w:rsidR="0039750E" w:rsidRPr="0035027D" w:rsidRDefault="0039750E" w:rsidP="0039750E">
      <w:pPr>
        <w:pStyle w:val="Odsekzoznamu"/>
        <w:spacing w:after="0" w:line="240" w:lineRule="auto"/>
        <w:ind w:left="0"/>
        <w:jc w:val="both"/>
        <w:rPr>
          <w:rFonts w:ascii="Arial Narrow" w:hAnsi="Arial Narrow"/>
        </w:rPr>
      </w:pPr>
      <w:r w:rsidRPr="0035027D">
        <w:rPr>
          <w:rFonts w:ascii="Arial Narrow" w:hAnsi="Arial Narrow"/>
        </w:rPr>
        <w:t>Rýchly rast zdrojov sa neprejavil na výsledkoch zdravotníctva v dostatočnej miere. Zatiaľ čo krajiny V3 dokázali v posledných rokoch takmer vymazať náskok krajín EÚ v počte rokov zdravého života, Slovensko stále zaostáva s takmer desaťročným rozdielom za EÚ a V3.</w:t>
      </w:r>
    </w:p>
    <w:p w:rsidR="0039750E" w:rsidRPr="0035027D" w:rsidRDefault="0039750E" w:rsidP="0039750E">
      <w:pPr>
        <w:pStyle w:val="Odsekzoznamu"/>
        <w:spacing w:after="0" w:line="240" w:lineRule="auto"/>
        <w:ind w:left="0"/>
        <w:jc w:val="both"/>
        <w:rPr>
          <w:rFonts w:ascii="Arial Narrow" w:hAnsi="Arial Narrow"/>
        </w:rPr>
      </w:pPr>
    </w:p>
    <w:p w:rsidR="0039750E" w:rsidRPr="0035027D" w:rsidRDefault="0039750E" w:rsidP="0039750E">
      <w:pPr>
        <w:pStyle w:val="Odsekzoznamu"/>
        <w:spacing w:after="0" w:line="240" w:lineRule="auto"/>
        <w:ind w:left="0"/>
        <w:jc w:val="both"/>
        <w:rPr>
          <w:rFonts w:ascii="Arial Narrow" w:hAnsi="Arial Narrow"/>
        </w:rPr>
      </w:pPr>
    </w:p>
    <w:tbl>
      <w:tblPr>
        <w:tblStyle w:val="Mriekatabuky"/>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236"/>
        <w:gridCol w:w="4333"/>
      </w:tblGrid>
      <w:tr w:rsidR="0039750E" w:rsidRPr="0035027D" w:rsidTr="00F52B7B">
        <w:tc>
          <w:tcPr>
            <w:tcW w:w="4503" w:type="dxa"/>
            <w:shd w:val="clear" w:color="auto" w:fill="000000" w:themeFill="text1"/>
          </w:tcPr>
          <w:p w:rsidR="0039750E" w:rsidRPr="0035027D" w:rsidRDefault="0039750E" w:rsidP="00F52B7B">
            <w:pPr>
              <w:pStyle w:val="Odsekzoznamu"/>
              <w:spacing w:after="0" w:line="240" w:lineRule="auto"/>
              <w:ind w:left="0"/>
              <w:rPr>
                <w:rFonts w:ascii="Arial Narrow" w:hAnsi="Arial Narrow"/>
                <w:color w:val="FFFFFF" w:themeColor="background1"/>
                <w:sz w:val="18"/>
                <w:szCs w:val="20"/>
              </w:rPr>
            </w:pPr>
            <w:r w:rsidRPr="0035027D">
              <w:rPr>
                <w:rFonts w:ascii="Arial Narrow" w:hAnsi="Arial Narrow"/>
                <w:b/>
                <w:color w:val="FFFFFF" w:themeColor="background1"/>
                <w:sz w:val="18"/>
                <w:szCs w:val="20"/>
              </w:rPr>
              <w:t>Graf 19: Výdavky na zdravotníctvo (v % HDP)</w:t>
            </w:r>
          </w:p>
        </w:tc>
        <w:tc>
          <w:tcPr>
            <w:tcW w:w="236" w:type="dxa"/>
            <w:shd w:val="clear" w:color="auto" w:fill="FFFFFF" w:themeFill="background1"/>
          </w:tcPr>
          <w:p w:rsidR="0039750E" w:rsidRPr="0035027D" w:rsidRDefault="0039750E" w:rsidP="00F52B7B">
            <w:pPr>
              <w:pStyle w:val="Odsekzoznamu"/>
              <w:spacing w:after="0" w:line="240" w:lineRule="auto"/>
              <w:ind w:left="0"/>
              <w:rPr>
                <w:rFonts w:ascii="Arial Narrow" w:hAnsi="Arial Narrow"/>
                <w:color w:val="FFFFFF" w:themeColor="background1"/>
                <w:sz w:val="18"/>
                <w:szCs w:val="20"/>
              </w:rPr>
            </w:pPr>
          </w:p>
        </w:tc>
        <w:tc>
          <w:tcPr>
            <w:tcW w:w="4333" w:type="dxa"/>
            <w:shd w:val="clear" w:color="auto" w:fill="000000" w:themeFill="text1"/>
          </w:tcPr>
          <w:p w:rsidR="0039750E" w:rsidRPr="0035027D" w:rsidRDefault="0039750E" w:rsidP="00F52B7B">
            <w:pPr>
              <w:pStyle w:val="Odsekzoznamu"/>
              <w:spacing w:after="0" w:line="240" w:lineRule="auto"/>
              <w:ind w:left="0"/>
              <w:rPr>
                <w:rFonts w:ascii="Arial Narrow" w:hAnsi="Arial Narrow"/>
                <w:color w:val="FFFFFF" w:themeColor="background1"/>
                <w:sz w:val="18"/>
                <w:szCs w:val="20"/>
              </w:rPr>
            </w:pPr>
            <w:r w:rsidRPr="0035027D">
              <w:rPr>
                <w:rFonts w:ascii="Arial Narrow" w:hAnsi="Arial Narrow"/>
                <w:b/>
                <w:color w:val="FFFFFF" w:themeColor="background1"/>
                <w:sz w:val="18"/>
                <w:szCs w:val="20"/>
              </w:rPr>
              <w:t>Graf 20: Priemerný ročný rast výdavkov 1998 - 2010</w:t>
            </w:r>
          </w:p>
        </w:tc>
      </w:tr>
      <w:tr w:rsidR="0039750E" w:rsidRPr="0035027D" w:rsidTr="00F52B7B">
        <w:tc>
          <w:tcPr>
            <w:tcW w:w="4503" w:type="dxa"/>
            <w:tcBorders>
              <w:bottom w:val="single" w:sz="4" w:space="0" w:color="auto"/>
            </w:tcBorders>
          </w:tcPr>
          <w:p w:rsidR="0039750E" w:rsidRPr="0035027D" w:rsidRDefault="0039750E" w:rsidP="00F52B7B">
            <w:pPr>
              <w:pStyle w:val="Odsekzoznamu"/>
              <w:spacing w:after="0" w:line="240" w:lineRule="auto"/>
              <w:ind w:left="0"/>
              <w:jc w:val="both"/>
              <w:rPr>
                <w:rFonts w:ascii="Arial Narrow" w:hAnsi="Arial Narrow"/>
              </w:rPr>
            </w:pPr>
            <w:r w:rsidRPr="0035027D">
              <w:rPr>
                <w:rFonts w:ascii="Arial Narrow" w:hAnsi="Arial Narrow"/>
                <w:noProof/>
                <w:lang w:eastAsia="sk-SK"/>
              </w:rPr>
              <w:drawing>
                <wp:inline distT="0" distB="0" distL="0" distR="0" wp14:anchorId="54D7F65C" wp14:editId="7C13005C">
                  <wp:extent cx="2373792" cy="1804946"/>
                  <wp:effectExtent l="0" t="0" r="7620" b="5080"/>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80237" cy="1809847"/>
                          </a:xfrm>
                          <a:prstGeom prst="rect">
                            <a:avLst/>
                          </a:prstGeom>
                          <a:noFill/>
                        </pic:spPr>
                      </pic:pic>
                    </a:graphicData>
                  </a:graphic>
                </wp:inline>
              </w:drawing>
            </w:r>
          </w:p>
        </w:tc>
        <w:tc>
          <w:tcPr>
            <w:tcW w:w="236" w:type="dxa"/>
          </w:tcPr>
          <w:p w:rsidR="0039750E" w:rsidRPr="0035027D" w:rsidRDefault="0039750E" w:rsidP="00F52B7B">
            <w:pPr>
              <w:pStyle w:val="Odsekzoznamu"/>
              <w:spacing w:after="0" w:line="240" w:lineRule="auto"/>
              <w:ind w:left="0"/>
              <w:jc w:val="both"/>
              <w:rPr>
                <w:rFonts w:ascii="Arial Narrow" w:hAnsi="Arial Narrow"/>
              </w:rPr>
            </w:pPr>
          </w:p>
        </w:tc>
        <w:tc>
          <w:tcPr>
            <w:tcW w:w="4333" w:type="dxa"/>
            <w:tcBorders>
              <w:bottom w:val="single" w:sz="4" w:space="0" w:color="auto"/>
            </w:tcBorders>
          </w:tcPr>
          <w:p w:rsidR="0039750E" w:rsidRPr="0035027D" w:rsidRDefault="0039750E" w:rsidP="00F52B7B">
            <w:pPr>
              <w:pStyle w:val="Odsekzoznamu"/>
              <w:spacing w:after="0" w:line="240" w:lineRule="auto"/>
              <w:ind w:left="0"/>
              <w:jc w:val="both"/>
              <w:rPr>
                <w:rFonts w:ascii="Arial Narrow" w:hAnsi="Arial Narrow"/>
              </w:rPr>
            </w:pPr>
            <w:r w:rsidRPr="0035027D">
              <w:rPr>
                <w:rFonts w:ascii="Arial Narrow" w:hAnsi="Arial Narrow"/>
                <w:noProof/>
                <w:lang w:eastAsia="sk-SK"/>
              </w:rPr>
              <w:drawing>
                <wp:inline distT="0" distB="0" distL="0" distR="0" wp14:anchorId="222DD77B" wp14:editId="53B040D4">
                  <wp:extent cx="2619882" cy="1802921"/>
                  <wp:effectExtent l="0" t="0" r="9525" b="6985"/>
                  <wp:docPr id="50" name="Obrázo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21280" cy="1803883"/>
                          </a:xfrm>
                          <a:prstGeom prst="rect">
                            <a:avLst/>
                          </a:prstGeom>
                          <a:noFill/>
                        </pic:spPr>
                      </pic:pic>
                    </a:graphicData>
                  </a:graphic>
                </wp:inline>
              </w:drawing>
            </w:r>
          </w:p>
        </w:tc>
      </w:tr>
      <w:tr w:rsidR="0039750E" w:rsidRPr="0035027D" w:rsidTr="00F52B7B">
        <w:tc>
          <w:tcPr>
            <w:tcW w:w="4503" w:type="dxa"/>
            <w:tcBorders>
              <w:top w:val="single" w:sz="4" w:space="0" w:color="auto"/>
            </w:tcBorders>
          </w:tcPr>
          <w:p w:rsidR="0039750E" w:rsidRPr="0035027D" w:rsidRDefault="0039750E" w:rsidP="00F52B7B">
            <w:pPr>
              <w:pStyle w:val="Odsekzoznamu"/>
              <w:spacing w:after="0" w:line="240" w:lineRule="auto"/>
              <w:ind w:left="0"/>
              <w:jc w:val="right"/>
              <w:rPr>
                <w:rFonts w:ascii="Arial Narrow" w:hAnsi="Arial Narrow"/>
                <w:sz w:val="18"/>
              </w:rPr>
            </w:pPr>
            <w:r w:rsidRPr="0035027D">
              <w:rPr>
                <w:rFonts w:ascii="Arial Narrow" w:hAnsi="Arial Narrow"/>
                <w:i/>
                <w:sz w:val="18"/>
                <w:szCs w:val="16"/>
              </w:rPr>
              <w:t>Zdroj: Eurostat</w:t>
            </w:r>
          </w:p>
        </w:tc>
        <w:tc>
          <w:tcPr>
            <w:tcW w:w="236" w:type="dxa"/>
          </w:tcPr>
          <w:p w:rsidR="0039750E" w:rsidRPr="0035027D" w:rsidRDefault="0039750E" w:rsidP="00F52B7B">
            <w:pPr>
              <w:pStyle w:val="Odsekzoznamu"/>
              <w:spacing w:after="0" w:line="240" w:lineRule="auto"/>
              <w:ind w:left="0"/>
              <w:jc w:val="right"/>
              <w:rPr>
                <w:rFonts w:ascii="Arial Narrow" w:hAnsi="Arial Narrow"/>
                <w:sz w:val="18"/>
              </w:rPr>
            </w:pPr>
          </w:p>
        </w:tc>
        <w:tc>
          <w:tcPr>
            <w:tcW w:w="4333" w:type="dxa"/>
            <w:tcBorders>
              <w:top w:val="single" w:sz="4" w:space="0" w:color="auto"/>
            </w:tcBorders>
          </w:tcPr>
          <w:p w:rsidR="0039750E" w:rsidRPr="0035027D" w:rsidRDefault="0039750E" w:rsidP="00F52B7B">
            <w:pPr>
              <w:pStyle w:val="Odsekzoznamu"/>
              <w:spacing w:after="0" w:line="240" w:lineRule="auto"/>
              <w:ind w:left="0"/>
              <w:jc w:val="right"/>
              <w:rPr>
                <w:rFonts w:ascii="Arial Narrow" w:hAnsi="Arial Narrow"/>
                <w:sz w:val="18"/>
              </w:rPr>
            </w:pPr>
            <w:r w:rsidRPr="0035027D">
              <w:rPr>
                <w:rFonts w:ascii="Arial Narrow" w:hAnsi="Arial Narrow"/>
                <w:i/>
                <w:sz w:val="18"/>
                <w:szCs w:val="16"/>
              </w:rPr>
              <w:t>Zdroj: MF SR</w:t>
            </w:r>
          </w:p>
        </w:tc>
      </w:tr>
    </w:tbl>
    <w:p w:rsidR="0039750E" w:rsidRPr="0035027D" w:rsidRDefault="0039750E" w:rsidP="0039750E">
      <w:pPr>
        <w:pStyle w:val="Odsekzoznamu"/>
        <w:spacing w:after="0" w:line="240" w:lineRule="auto"/>
        <w:ind w:left="0"/>
        <w:jc w:val="both"/>
        <w:rPr>
          <w:rFonts w:ascii="Arial Narrow" w:hAnsi="Arial Narrow"/>
        </w:rPr>
      </w:pPr>
    </w:p>
    <w:p w:rsidR="0039750E" w:rsidRPr="0035027D" w:rsidRDefault="0039750E" w:rsidP="0039750E">
      <w:pPr>
        <w:pStyle w:val="Odsekzoznamu"/>
        <w:spacing w:after="0" w:line="240" w:lineRule="auto"/>
        <w:ind w:left="0"/>
        <w:jc w:val="both"/>
        <w:rPr>
          <w:rFonts w:ascii="Arial Narrow" w:hAnsi="Arial Narrow"/>
        </w:rPr>
      </w:pPr>
      <w:r w:rsidRPr="0035027D">
        <w:rPr>
          <w:rFonts w:ascii="Arial Narrow" w:hAnsi="Arial Narrow"/>
        </w:rPr>
        <w:t>Rýchly rast výdavkov na zdravotnú starostlivosť v spojitosti s relatívne pomalým rastom očakávanej dĺžky života obyvateľov SR znamená znižujúcu sa efektívnosť vynakladania zdrojov v zdravotníctve. Zatiaľ čo Slovensko sa zhruba do roku 2003 pohybovalo na úrovni priemernej efektívnosti krajín OECD, po tomto roku nastal jej výrazný pokles. V súčasnosti by sa obyvateľstvo Slovenskej republiky mohlo pri nezmenenej výške výdavkov dožívať až o dva roky dlhšie.</w:t>
      </w:r>
    </w:p>
    <w:p w:rsidR="0039750E" w:rsidRPr="0035027D" w:rsidRDefault="0039750E" w:rsidP="0039750E">
      <w:pPr>
        <w:pStyle w:val="Odsekzoznamu"/>
        <w:spacing w:after="0" w:line="240" w:lineRule="auto"/>
        <w:ind w:left="0"/>
        <w:jc w:val="both"/>
        <w:rPr>
          <w:rFonts w:ascii="Arial Narrow" w:hAnsi="Arial Narrow"/>
        </w:rPr>
      </w:pPr>
    </w:p>
    <w:tbl>
      <w:tblPr>
        <w:tblStyle w:val="Mriekatabuky"/>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210"/>
      </w:tblGrid>
      <w:tr w:rsidR="0039750E" w:rsidRPr="0035027D" w:rsidTr="00F52B7B">
        <w:trPr>
          <w:trHeight w:val="366"/>
          <w:jc w:val="center"/>
        </w:trPr>
        <w:tc>
          <w:tcPr>
            <w:tcW w:w="8210" w:type="dxa"/>
            <w:shd w:val="clear" w:color="auto" w:fill="000000" w:themeFill="text1"/>
            <w:vAlign w:val="center"/>
          </w:tcPr>
          <w:p w:rsidR="0039750E" w:rsidRPr="0035027D" w:rsidRDefault="0039750E" w:rsidP="00F52B7B">
            <w:pPr>
              <w:spacing w:after="0"/>
              <w:rPr>
                <w:b/>
              </w:rPr>
            </w:pPr>
            <w:r w:rsidRPr="0035027D">
              <w:rPr>
                <w:b/>
                <w:color w:val="FFFFFF" w:themeColor="background1"/>
              </w:rPr>
              <w:t>Graf 21: Efektívnosť slovenského zdravotníctva</w:t>
            </w:r>
          </w:p>
        </w:tc>
      </w:tr>
      <w:tr w:rsidR="0039750E" w:rsidRPr="0035027D" w:rsidTr="00F52B7B">
        <w:tblPrEx>
          <w:tblCellMar>
            <w:left w:w="70" w:type="dxa"/>
            <w:right w:w="70" w:type="dxa"/>
          </w:tblCellMar>
        </w:tblPrEx>
        <w:trPr>
          <w:trHeight w:val="3898"/>
          <w:jc w:val="center"/>
        </w:trPr>
        <w:tc>
          <w:tcPr>
            <w:tcW w:w="8210" w:type="dxa"/>
            <w:vAlign w:val="bottom"/>
          </w:tcPr>
          <w:p w:rsidR="0039750E" w:rsidRPr="0035027D" w:rsidRDefault="0039750E" w:rsidP="00F52B7B">
            <w:pPr>
              <w:spacing w:after="0"/>
              <w:jc w:val="center"/>
            </w:pPr>
            <w:r w:rsidRPr="0035027D">
              <w:rPr>
                <w:noProof/>
              </w:rPr>
              <w:lastRenderedPageBreak/>
              <w:drawing>
                <wp:inline distT="0" distB="0" distL="0" distR="0" wp14:anchorId="530469AE" wp14:editId="6B5723BB">
                  <wp:extent cx="4667250" cy="2524125"/>
                  <wp:effectExtent l="0" t="0" r="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r w:rsidR="0039750E" w:rsidRPr="0035027D" w:rsidTr="00F52B7B">
        <w:trPr>
          <w:trHeight w:val="128"/>
          <w:jc w:val="center"/>
        </w:trPr>
        <w:tc>
          <w:tcPr>
            <w:tcW w:w="8210" w:type="dxa"/>
            <w:vAlign w:val="bottom"/>
          </w:tcPr>
          <w:p w:rsidR="0039750E" w:rsidRPr="0035027D" w:rsidRDefault="0039750E" w:rsidP="00F52B7B">
            <w:pPr>
              <w:spacing w:after="0"/>
              <w:jc w:val="right"/>
              <w:rPr>
                <w:i/>
                <w:sz w:val="16"/>
                <w:szCs w:val="16"/>
              </w:rPr>
            </w:pPr>
            <w:r w:rsidRPr="0035027D">
              <w:rPr>
                <w:i/>
                <w:sz w:val="16"/>
                <w:szCs w:val="16"/>
              </w:rPr>
              <w:t>Zdroj: IFP, OECD</w:t>
            </w:r>
          </w:p>
        </w:tc>
      </w:tr>
    </w:tbl>
    <w:p w:rsidR="0039750E" w:rsidRPr="0035027D" w:rsidRDefault="0039750E" w:rsidP="0039750E">
      <w:pPr>
        <w:pStyle w:val="Odsekzoznamu"/>
        <w:spacing w:after="0"/>
        <w:ind w:left="0"/>
        <w:jc w:val="both"/>
        <w:rPr>
          <w:rFonts w:ascii="Arial Narrow" w:hAnsi="Arial Narrow"/>
        </w:rPr>
      </w:pPr>
    </w:p>
    <w:p w:rsidR="0039750E" w:rsidRPr="00EE27C2" w:rsidRDefault="0039750E" w:rsidP="0039750E">
      <w:pPr>
        <w:pStyle w:val="Odsekzoznamu"/>
        <w:spacing w:after="0" w:line="240" w:lineRule="auto"/>
        <w:ind w:left="0"/>
        <w:jc w:val="both"/>
        <w:rPr>
          <w:rFonts w:ascii="Arial Narrow" w:hAnsi="Arial Narrow"/>
        </w:rPr>
      </w:pPr>
      <w:r w:rsidRPr="00EE27C2">
        <w:rPr>
          <w:rFonts w:ascii="Arial Narrow" w:hAnsi="Arial Narrow"/>
        </w:rPr>
        <w:t>Vláda SR preto prijme opatrenia pre dosiahnutie čo najvyššej efektívnosti bez ohrozenia dostupnosti a kvality liečby. Dôležitými témami sú krátkodobá aj dlhodobá finančná udržateľnosť financovania zdravotníctva. Opatrenia sa zamerajú na zastavenie zadlžovania nemocníc, optimalizáciu ich siete a investície do nových, efektívnejších nemocníc. Zavedie sa integrovaný model poskytovania zdravotnej starostlivosti, zjednotia sa liečebné postupy, zlepší sa informovanosť pacientov zverejňovaním indikátorov kvality a čakacích listín, zavedie sa unitárny systém zdravotného poistenia, platby za diagnostickú skupinu a pokračovať bude lieková reforma.</w:t>
      </w:r>
    </w:p>
    <w:p w:rsidR="0039750E" w:rsidRDefault="0039750E" w:rsidP="0039750E">
      <w:pPr>
        <w:pStyle w:val="Odsekzoznamu"/>
        <w:spacing w:after="0" w:line="240" w:lineRule="auto"/>
        <w:ind w:left="0"/>
        <w:jc w:val="both"/>
        <w:rPr>
          <w:rFonts w:ascii="Arial Narrow" w:hAnsi="Arial Narrow"/>
        </w:rPr>
      </w:pPr>
    </w:p>
    <w:p w:rsidR="0039750E" w:rsidRPr="0039750E" w:rsidRDefault="0039750E" w:rsidP="0039750E">
      <w:pPr>
        <w:pStyle w:val="Odsekzoznamu"/>
        <w:spacing w:after="0" w:line="240" w:lineRule="auto"/>
        <w:ind w:left="0"/>
        <w:jc w:val="both"/>
        <w:rPr>
          <w:rFonts w:ascii="Arial Narrow" w:hAnsi="Arial Narrow"/>
        </w:rPr>
      </w:pPr>
      <w:r w:rsidRPr="0039750E">
        <w:rPr>
          <w:rFonts w:ascii="Arial Narrow" w:hAnsi="Arial Narrow"/>
        </w:rPr>
        <w:t>Vláda posilní systém verejného zdravotníctva a štátneho zdravotného dozoru. Pripraví strategické materiály, vrátane zámeru na postupnú tvorbu komplexného prístupu starostlivosti o zdravie občanov, národných programov podpory zdravia a preventívnych programov v najdôležitejších oblastiach. Vysoká kvalita, dostupnosť a efektivita zdravotnej starostlivosti a súvisiacich služieb je  nevyhnutnou podmienkou spokojnosti a dôvery občanov v systém organizácie, riadenia, dôslednej kontroly a samotného výkonu poskytovania zdravotnej starostlivosti. Snahou vlády bude, aby sa na celom území SR poskytovala zdravotná starostlivosť na úrovni súčasných poznatkov medicíny a manažmentu zdravotných systémov.</w:t>
      </w:r>
    </w:p>
    <w:p w:rsidR="0039750E" w:rsidRPr="00EE27C2" w:rsidRDefault="0039750E" w:rsidP="0039750E">
      <w:pPr>
        <w:pStyle w:val="Odsekzoznamu"/>
        <w:spacing w:after="0" w:line="240" w:lineRule="auto"/>
        <w:ind w:left="0"/>
        <w:jc w:val="both"/>
        <w:rPr>
          <w:rFonts w:ascii="Arial Narrow" w:hAnsi="Arial Narrow"/>
        </w:rPr>
      </w:pPr>
    </w:p>
    <w:p w:rsidR="0039750E" w:rsidRPr="00EE27C2" w:rsidRDefault="0039750E" w:rsidP="0039750E">
      <w:pPr>
        <w:pStyle w:val="Odsekzoznamu"/>
        <w:spacing w:after="0" w:line="240" w:lineRule="auto"/>
        <w:ind w:left="0"/>
        <w:jc w:val="both"/>
        <w:rPr>
          <w:rFonts w:ascii="Arial Narrow" w:hAnsi="Arial Narrow"/>
          <w:b/>
          <w:i/>
        </w:rPr>
      </w:pPr>
      <w:r w:rsidRPr="00EE27C2">
        <w:rPr>
          <w:rFonts w:ascii="Arial Narrow" w:hAnsi="Arial Narrow"/>
          <w:b/>
          <w:i/>
        </w:rPr>
        <w:t>Zlepšenie finančného riadenia a hospodárenia poskytovateľov</w:t>
      </w:r>
    </w:p>
    <w:p w:rsidR="0039750E" w:rsidRPr="00EE27C2" w:rsidRDefault="0039750E" w:rsidP="0039750E">
      <w:pPr>
        <w:pStyle w:val="Odsekzoznamu"/>
        <w:spacing w:after="0" w:line="240" w:lineRule="auto"/>
        <w:ind w:left="0"/>
        <w:jc w:val="both"/>
        <w:rPr>
          <w:rFonts w:ascii="Arial Narrow" w:hAnsi="Arial Narrow"/>
        </w:rPr>
      </w:pPr>
    </w:p>
    <w:p w:rsidR="0039750E" w:rsidRPr="00EE27C2" w:rsidRDefault="0039750E" w:rsidP="0039750E">
      <w:pPr>
        <w:pStyle w:val="Odsekzoznamu"/>
        <w:spacing w:after="0" w:line="240" w:lineRule="auto"/>
        <w:ind w:left="0"/>
        <w:jc w:val="both"/>
        <w:rPr>
          <w:rFonts w:ascii="Arial Narrow" w:hAnsi="Arial Narrow"/>
        </w:rPr>
      </w:pPr>
      <w:r w:rsidRPr="00EE27C2">
        <w:rPr>
          <w:rFonts w:ascii="Arial Narrow" w:hAnsi="Arial Narrow"/>
        </w:rPr>
        <w:t>Vláda SR sa zaväzuje, že v zdravotníckych zariadeniach, kde figuruje ako zriaďovateľ MZ SR bude v priemere dosiahnutý vyrovnaný hospodársky výsledok bez dodatočnej finančnej pomoci zo štátneho rozpočtu spolu s výrazným znížením ich zadlženosti. Opatrenia smerujúce k zefektívneniu využívania zdrojov z poisťovní a vlastných príjmov zabezpečia vyrovnané hospodárenie nemocníc do roku 2015.</w:t>
      </w:r>
    </w:p>
    <w:p w:rsidR="0039750E" w:rsidRPr="00EE27C2" w:rsidRDefault="0039750E" w:rsidP="0039750E">
      <w:pPr>
        <w:pStyle w:val="Odsekzoznamu"/>
        <w:spacing w:after="0" w:line="240" w:lineRule="auto"/>
        <w:ind w:left="0"/>
        <w:jc w:val="both"/>
        <w:rPr>
          <w:rFonts w:ascii="Arial Narrow" w:hAnsi="Arial Narrow"/>
        </w:rPr>
      </w:pPr>
    </w:p>
    <w:p w:rsidR="0039750E" w:rsidRPr="00EE27C2" w:rsidRDefault="0039750E" w:rsidP="0039750E">
      <w:pPr>
        <w:pStyle w:val="Odsekzoznamu"/>
        <w:spacing w:after="0" w:line="240" w:lineRule="auto"/>
        <w:ind w:left="0"/>
        <w:jc w:val="both"/>
        <w:rPr>
          <w:rFonts w:ascii="Arial Narrow" w:hAnsi="Arial Narrow"/>
        </w:rPr>
      </w:pPr>
      <w:r w:rsidRPr="00EE27C2">
        <w:rPr>
          <w:rFonts w:ascii="Arial Narrow" w:hAnsi="Arial Narrow"/>
        </w:rPr>
        <w:t>Finančné riadenie nemocníc je potrebné nastaviť tak, aby bol odmeňovaný výkon a zvyšovanie efektívnosti. Pred naviazaním odmeňovania riadiacich zamestnancov na výkonnosť však bude nutné zabezpečiť systematický zber, sledovanie a vyhodnocovanie príslušných ukazovateľov. Správne nastavené finančné riadenie nemocníc môže výrazne prispieť k zastaveniu ich zadlžovania a teda zlepšeniu efektívnosti vynakladaných zdrojov.</w:t>
      </w:r>
    </w:p>
    <w:p w:rsidR="0039750E" w:rsidRPr="00EE27C2" w:rsidRDefault="0039750E" w:rsidP="0039750E">
      <w:pPr>
        <w:pStyle w:val="Odsekzoznamu"/>
        <w:spacing w:after="0" w:line="240" w:lineRule="auto"/>
        <w:ind w:left="0"/>
        <w:jc w:val="both"/>
        <w:rPr>
          <w:rFonts w:ascii="Arial Narrow" w:hAnsi="Arial Narrow"/>
        </w:rPr>
      </w:pPr>
    </w:p>
    <w:p w:rsidR="0039750E" w:rsidRPr="00EE27C2" w:rsidRDefault="0039750E" w:rsidP="0039750E">
      <w:pPr>
        <w:spacing w:after="0"/>
      </w:pPr>
      <w:r w:rsidRPr="00EE27C2">
        <w:t>Úspory pri obstarávaní energetických surovín, materiálov, slu</w:t>
      </w:r>
      <w:r w:rsidRPr="00EE27C2">
        <w:rPr>
          <w:rFonts w:cs="Times New Roman"/>
        </w:rPr>
        <w:t>ž</w:t>
      </w:r>
      <w:r w:rsidRPr="00EE27C2">
        <w:t>ieb a ostatných nemocnicami vyu</w:t>
      </w:r>
      <w:r w:rsidRPr="00EE27C2">
        <w:rPr>
          <w:rFonts w:cs="Times New Roman"/>
        </w:rPr>
        <w:t>ž</w:t>
      </w:r>
      <w:r w:rsidRPr="00EE27C2">
        <w:t>ívaných vstupov sú dosiahnute</w:t>
      </w:r>
      <w:r w:rsidRPr="00EE27C2">
        <w:rPr>
          <w:rFonts w:cs="Times New Roman"/>
        </w:rPr>
        <w:t>ľ</w:t>
      </w:r>
      <w:r w:rsidRPr="00EE27C2">
        <w:t>né centralizáciou nákupu na úrove</w:t>
      </w:r>
      <w:r w:rsidRPr="00EE27C2">
        <w:rPr>
          <w:rFonts w:cs="Times New Roman"/>
        </w:rPr>
        <w:t>ň</w:t>
      </w:r>
      <w:r w:rsidRPr="00EE27C2">
        <w:t xml:space="preserve"> riadite</w:t>
      </w:r>
      <w:r w:rsidRPr="00EE27C2">
        <w:rPr>
          <w:rFonts w:cs="Times New Roman"/>
        </w:rPr>
        <w:t>ľ</w:t>
      </w:r>
      <w:r w:rsidRPr="00EE27C2">
        <w:t>stva nemocnice. Zavedenie centrálneho obstarávania prinesie mo</w:t>
      </w:r>
      <w:r w:rsidRPr="00EE27C2">
        <w:rPr>
          <w:rFonts w:cs="Times New Roman"/>
        </w:rPr>
        <w:t>ž</w:t>
      </w:r>
      <w:r w:rsidRPr="00EE27C2">
        <w:t>nos</w:t>
      </w:r>
      <w:r w:rsidRPr="00EE27C2">
        <w:rPr>
          <w:rFonts w:cs="Times New Roman"/>
        </w:rPr>
        <w:t>ť</w:t>
      </w:r>
      <w:r w:rsidRPr="00EE27C2">
        <w:t xml:space="preserve"> efektívnejšie vynaklada</w:t>
      </w:r>
      <w:r w:rsidRPr="00EE27C2">
        <w:rPr>
          <w:rFonts w:cs="Times New Roman"/>
        </w:rPr>
        <w:t>ť</w:t>
      </w:r>
      <w:r w:rsidRPr="00EE27C2">
        <w:t xml:space="preserve"> finan</w:t>
      </w:r>
      <w:r w:rsidRPr="00EE27C2">
        <w:rPr>
          <w:rFonts w:cs="Times New Roman"/>
        </w:rPr>
        <w:t>č</w:t>
      </w:r>
      <w:r w:rsidRPr="00EE27C2">
        <w:t>né prostriedky nemocníc bez ohrozenia lie</w:t>
      </w:r>
      <w:r w:rsidRPr="00EE27C2">
        <w:rPr>
          <w:rFonts w:cs="Times New Roman"/>
        </w:rPr>
        <w:t>č</w:t>
      </w:r>
      <w:r w:rsidRPr="00EE27C2">
        <w:t>by pacienta. Riadenie nemocníc sa tie</w:t>
      </w:r>
      <w:r w:rsidRPr="00EE27C2">
        <w:rPr>
          <w:rFonts w:cs="Times New Roman"/>
        </w:rPr>
        <w:t>ž</w:t>
      </w:r>
      <w:r w:rsidRPr="00EE27C2">
        <w:t xml:space="preserve"> zameria na prevádzkové úspory obmedzením procesných a personálnych duplicít.</w:t>
      </w:r>
    </w:p>
    <w:p w:rsidR="0039750E" w:rsidRPr="00EE27C2" w:rsidRDefault="0039750E" w:rsidP="0039750E">
      <w:pPr>
        <w:spacing w:after="0"/>
        <w:rPr>
          <w:b/>
        </w:rPr>
      </w:pPr>
    </w:p>
    <w:p w:rsidR="0039750E" w:rsidRPr="00EE27C2" w:rsidRDefault="0039750E" w:rsidP="0039750E">
      <w:pPr>
        <w:pStyle w:val="Odsekzoznamu"/>
        <w:spacing w:after="0" w:line="240" w:lineRule="auto"/>
        <w:ind w:left="0"/>
        <w:jc w:val="both"/>
        <w:rPr>
          <w:rFonts w:ascii="Arial Narrow" w:hAnsi="Arial Narrow"/>
        </w:rPr>
      </w:pPr>
      <w:r w:rsidRPr="00EE27C2">
        <w:rPr>
          <w:rFonts w:ascii="Arial Narrow" w:hAnsi="Arial Narrow"/>
        </w:rPr>
        <w:t>Po prijatí opatrení na zastavenie zadlžovania nemocníc sa budú nasledovne realizovať investície do oblasti akútnych lôžkových zariadení, ktoré nahradia niektor</w:t>
      </w:r>
      <w:r>
        <w:rPr>
          <w:rFonts w:ascii="Arial Narrow" w:hAnsi="Arial Narrow"/>
        </w:rPr>
        <w:t>é</w:t>
      </w:r>
      <w:r w:rsidRPr="00EE27C2">
        <w:rPr>
          <w:rFonts w:ascii="Arial Narrow" w:hAnsi="Arial Narrow"/>
        </w:rPr>
        <w:t xml:space="preserve"> zastarané, najmenej efektívne zariadenia. Zároveň bude vláda systematicky podporovať vytvorenie siete rehabilitačných zariadení a zariadení dlhodobej starostlivosti vrátane vytvorenia legislatívnych podmienok</w:t>
      </w:r>
      <w:r w:rsidRPr="00EE27C2">
        <w:rPr>
          <w:rFonts w:ascii="Arial Narrow" w:hAnsi="Arial Narrow" w:cs="Calibri"/>
        </w:rPr>
        <w:t>.</w:t>
      </w:r>
      <w:r w:rsidRPr="00EE27C2">
        <w:rPr>
          <w:rFonts w:ascii="Arial Narrow" w:hAnsi="Arial Narrow"/>
        </w:rPr>
        <w:t xml:space="preserve"> Investície do výstavby nových a rekonštrukcie existujúcich zariadení budú realizované bez dodatočného vplyvu na verejné financie.</w:t>
      </w:r>
    </w:p>
    <w:p w:rsidR="0039750E" w:rsidRPr="00EE27C2" w:rsidRDefault="0039750E" w:rsidP="0039750E">
      <w:pPr>
        <w:pStyle w:val="Odsekzoznamu"/>
        <w:spacing w:after="0" w:line="240" w:lineRule="auto"/>
        <w:ind w:left="0"/>
        <w:jc w:val="both"/>
        <w:rPr>
          <w:rFonts w:ascii="Arial Narrow" w:hAnsi="Arial Narrow"/>
        </w:rPr>
      </w:pPr>
    </w:p>
    <w:p w:rsidR="0039750E" w:rsidRPr="00EE27C2" w:rsidRDefault="0039750E" w:rsidP="0039750E">
      <w:pPr>
        <w:pStyle w:val="Odsekzoznamu"/>
        <w:spacing w:after="0" w:line="240" w:lineRule="auto"/>
        <w:ind w:left="0"/>
        <w:jc w:val="both"/>
        <w:rPr>
          <w:rFonts w:ascii="Arial Narrow" w:hAnsi="Arial Narrow"/>
          <w:b/>
          <w:i/>
        </w:rPr>
      </w:pPr>
      <w:r w:rsidRPr="00EE27C2">
        <w:rPr>
          <w:rFonts w:ascii="Arial Narrow" w:hAnsi="Arial Narrow"/>
          <w:b/>
          <w:i/>
        </w:rPr>
        <w:t>Zlepšenie dlhodobej udržateľnosti financovania zdravotníctva</w:t>
      </w:r>
    </w:p>
    <w:p w:rsidR="0039750E" w:rsidRPr="00EE27C2" w:rsidRDefault="0039750E" w:rsidP="0039750E">
      <w:pPr>
        <w:pStyle w:val="Odsekzoznamu"/>
        <w:spacing w:after="0" w:line="240" w:lineRule="auto"/>
        <w:ind w:left="0"/>
        <w:jc w:val="both"/>
        <w:rPr>
          <w:rFonts w:ascii="Arial Narrow" w:hAnsi="Arial Narrow"/>
        </w:rPr>
      </w:pPr>
    </w:p>
    <w:p w:rsidR="0039750E" w:rsidRPr="00EE27C2" w:rsidRDefault="0039750E" w:rsidP="0039750E">
      <w:pPr>
        <w:pStyle w:val="Odsekzoznamu"/>
        <w:spacing w:after="0" w:line="240" w:lineRule="auto"/>
        <w:ind w:left="0"/>
        <w:jc w:val="both"/>
        <w:rPr>
          <w:rFonts w:ascii="Arial Narrow" w:hAnsi="Arial Narrow"/>
        </w:rPr>
      </w:pPr>
      <w:r w:rsidRPr="00EE27C2">
        <w:rPr>
          <w:rFonts w:ascii="Arial Narrow" w:hAnsi="Arial Narrow"/>
        </w:rPr>
        <w:t>Čoraz dôležitejšou témou sa stáva dlhodobá ud</w:t>
      </w:r>
      <w:r>
        <w:rPr>
          <w:rFonts w:ascii="Arial Narrow" w:hAnsi="Arial Narrow"/>
        </w:rPr>
        <w:t>r</w:t>
      </w:r>
      <w:r w:rsidRPr="00EE27C2">
        <w:rPr>
          <w:rFonts w:ascii="Arial Narrow" w:hAnsi="Arial Narrow"/>
        </w:rPr>
        <w:t xml:space="preserve">žateľnosť financovania zdravotníctva a dlhodobej starostlivosti v súvislosti so starnutím populácie, čomu je nevyhnutné venovať náležitú pozornosť. Jedným z krokov na stabilizáciu financovania je zavedenie integrovaného modelu poskytovania zdravotnej starostlivosti. Posilní sa pozícia všeobecných ambulantných lekárov, čím sa obmedzí drahšia liečba v nemocniciach a u špecialistov. Program pripraví novú generáciu všeobecných lekárov, ktorých prínos sa prejaví v zlepšenom manažmente procesu liečby. Okrem iného sa zavedie povinná prax študentov medicíny v ambulanciách už počas vysokoškolského štúdia. Po absolvovaní vzdelávacieho programu bude začínajúci doktor zaviazaný odpracovať určitý počet rokov v ambulancii na Slovensku. Financovanie bude zabezpečené zo zdrojov EÚ. Významnou súčasťou integrovaného modelu poskytovania zdravotnej starostlivosti je zavedenie elektronizácie zdravotníctva do praxe - </w:t>
      </w:r>
      <w:proofErr w:type="spellStart"/>
      <w:r w:rsidRPr="00EE27C2">
        <w:rPr>
          <w:rFonts w:ascii="Arial Narrow" w:hAnsi="Arial Narrow"/>
        </w:rPr>
        <w:t>eHealth</w:t>
      </w:r>
      <w:proofErr w:type="spellEnd"/>
      <w:r w:rsidRPr="00EE27C2">
        <w:rPr>
          <w:rFonts w:ascii="Arial Narrow" w:hAnsi="Arial Narrow"/>
        </w:rPr>
        <w:t xml:space="preserve">. </w:t>
      </w:r>
    </w:p>
    <w:p w:rsidR="0039750E" w:rsidRPr="00EE27C2" w:rsidRDefault="0039750E" w:rsidP="0039750E">
      <w:pPr>
        <w:pStyle w:val="Odsekzoznamu"/>
        <w:spacing w:after="0" w:line="240" w:lineRule="auto"/>
        <w:ind w:left="0"/>
        <w:jc w:val="both"/>
        <w:rPr>
          <w:rFonts w:ascii="Arial Narrow" w:hAnsi="Arial Narrow"/>
        </w:rPr>
      </w:pPr>
    </w:p>
    <w:p w:rsidR="0039750E" w:rsidRPr="00EE27C2" w:rsidRDefault="0039750E" w:rsidP="0039750E">
      <w:pPr>
        <w:pStyle w:val="Odsekzoznamu"/>
        <w:spacing w:after="0" w:line="240" w:lineRule="auto"/>
        <w:ind w:left="0"/>
        <w:jc w:val="both"/>
        <w:rPr>
          <w:rFonts w:ascii="Arial Narrow" w:hAnsi="Arial Narrow"/>
          <w:b/>
          <w:i/>
        </w:rPr>
      </w:pPr>
      <w:r w:rsidRPr="00EE27C2">
        <w:rPr>
          <w:rFonts w:ascii="Arial Narrow" w:hAnsi="Arial Narrow"/>
          <w:b/>
          <w:i/>
        </w:rPr>
        <w:t>Zjednotenie liečebných postupov</w:t>
      </w:r>
    </w:p>
    <w:p w:rsidR="0039750E" w:rsidRPr="00EE27C2" w:rsidRDefault="0039750E" w:rsidP="0039750E">
      <w:pPr>
        <w:pStyle w:val="Odsekzoznamu"/>
        <w:spacing w:after="0" w:line="240" w:lineRule="auto"/>
        <w:ind w:left="0"/>
        <w:jc w:val="both"/>
        <w:rPr>
          <w:rFonts w:ascii="Arial Narrow" w:hAnsi="Arial Narrow"/>
        </w:rPr>
      </w:pPr>
    </w:p>
    <w:p w:rsidR="0039750E" w:rsidRPr="00EE27C2" w:rsidRDefault="0039750E" w:rsidP="0039750E">
      <w:pPr>
        <w:pStyle w:val="Odsekzoznamu"/>
        <w:spacing w:after="0" w:line="240" w:lineRule="auto"/>
        <w:ind w:left="0"/>
        <w:jc w:val="both"/>
        <w:rPr>
          <w:rFonts w:ascii="Arial Narrow" w:hAnsi="Arial Narrow"/>
        </w:rPr>
      </w:pPr>
      <w:r w:rsidRPr="00EE27C2">
        <w:rPr>
          <w:rFonts w:ascii="Arial Narrow" w:hAnsi="Arial Narrow"/>
        </w:rPr>
        <w:t xml:space="preserve">Jednotné liečebné postupy využívajúce najlepšiu prax sú bežnou rukoväťou pracovníkov v zdravotných systémoch rozvinutých krajín. Zjednotenie nebude brániť preberaniu inovatívnych liečebných postupov a zároveň sa zachová priestor pre experimentálnu liečbu. Rozdiely v postupoch liečby pacienta negatívne vplývajú na chod systému poskytovania zdravotnej starostlivosti. Rôznymi postupmi sa stráca prehľadnosť v procese liečby, čo zvyšuje náročnosť posudzovania prípadov revíznymi lekármi a spôsobuje záťaž pre zdravotné poisťovne pri rozhodovaní o platbách. Nejednotné postupy rovnako sťažujú plánovanie využitia kapacít liečebných zariadení, čím prispievajú k vzniku neefektívnosti v systéme. </w:t>
      </w:r>
    </w:p>
    <w:p w:rsidR="0039750E" w:rsidRPr="00EE27C2" w:rsidRDefault="0039750E" w:rsidP="0039750E">
      <w:pPr>
        <w:spacing w:after="0"/>
        <w:rPr>
          <w:b/>
        </w:rPr>
      </w:pPr>
    </w:p>
    <w:p w:rsidR="0039750E" w:rsidRPr="00EE27C2" w:rsidRDefault="0039750E" w:rsidP="0039750E">
      <w:pPr>
        <w:pStyle w:val="Default"/>
        <w:spacing w:after="0"/>
        <w:jc w:val="both"/>
        <w:rPr>
          <w:b/>
          <w:bCs/>
          <w:i/>
          <w:iCs/>
          <w:sz w:val="22"/>
          <w:szCs w:val="22"/>
        </w:rPr>
      </w:pPr>
      <w:r w:rsidRPr="00EE27C2">
        <w:rPr>
          <w:b/>
          <w:bCs/>
          <w:i/>
          <w:iCs/>
          <w:sz w:val="22"/>
          <w:szCs w:val="22"/>
        </w:rPr>
        <w:t xml:space="preserve">Informovanosť pacientov o kvalite a dostupnosť zdravotnej starostlivosti </w:t>
      </w:r>
    </w:p>
    <w:p w:rsidR="0039750E" w:rsidRPr="00EE27C2" w:rsidRDefault="0039750E" w:rsidP="0039750E">
      <w:pPr>
        <w:pStyle w:val="Default"/>
        <w:spacing w:after="0"/>
        <w:jc w:val="both"/>
        <w:rPr>
          <w:sz w:val="22"/>
          <w:szCs w:val="22"/>
        </w:rPr>
      </w:pPr>
    </w:p>
    <w:p w:rsidR="0039750E" w:rsidRPr="00EE27C2" w:rsidRDefault="0039750E" w:rsidP="0039750E">
      <w:pPr>
        <w:pStyle w:val="Odsekzoznamu"/>
        <w:spacing w:after="0" w:line="240" w:lineRule="auto"/>
        <w:ind w:left="0"/>
        <w:jc w:val="both"/>
        <w:rPr>
          <w:rFonts w:ascii="Arial Narrow" w:hAnsi="Arial Narrow"/>
        </w:rPr>
      </w:pPr>
      <w:r w:rsidRPr="00EE27C2">
        <w:rPr>
          <w:rFonts w:ascii="Arial Narrow" w:hAnsi="Arial Narrow"/>
        </w:rPr>
        <w:t>Vláda SR bude podporovať zvyšovanie kvality v zdravotníctve prostredníctvom zavedenia zrozumiteľného systému merania kvality a akreditácie poskytovateľov vrátane nemocníc. Prijme nový rozšírený zoznam indikátorov kvality a zadefinuje ich aj pre ďalšie medicínske odbory a terapeutické a diagnostické výkony. Hodnoty indikátorov kvality poskytovateľov zdravotnej starostlivosti budú nastavené tak, aby na rozdiel od súčasného stavu skutočne a zmysluplne diferencovali poskytovateľov. Hodnoty indikátorov ako aj rebríčky kvality poskytovateľov zdravotnej starostlivosti budú zverejnené minimálne raz ročne v užívateľsky prijateľnej podobe s cieľom zvýšiť informovanosť pacientov. Raz za tri roky bude zoznam indikátorov revidovaný.</w:t>
      </w:r>
    </w:p>
    <w:p w:rsidR="0039750E" w:rsidRPr="00EE27C2" w:rsidRDefault="0039750E" w:rsidP="0039750E">
      <w:pPr>
        <w:pStyle w:val="Odsekzoznamu"/>
        <w:spacing w:after="0" w:line="240" w:lineRule="auto"/>
        <w:ind w:left="0"/>
        <w:jc w:val="both"/>
        <w:rPr>
          <w:rFonts w:ascii="Arial Narrow" w:hAnsi="Arial Narrow"/>
        </w:rPr>
      </w:pPr>
    </w:p>
    <w:p w:rsidR="0039750E" w:rsidRPr="00EE27C2" w:rsidRDefault="0039750E" w:rsidP="0039750E">
      <w:pPr>
        <w:pStyle w:val="Odsekzoznamu"/>
        <w:spacing w:after="0" w:line="240" w:lineRule="auto"/>
        <w:ind w:left="0"/>
        <w:jc w:val="both"/>
        <w:rPr>
          <w:rFonts w:ascii="Arial Narrow" w:hAnsi="Arial Narrow"/>
        </w:rPr>
      </w:pPr>
      <w:r w:rsidRPr="00EE27C2">
        <w:rPr>
          <w:rFonts w:ascii="Arial Narrow" w:hAnsi="Arial Narrow"/>
        </w:rPr>
        <w:t xml:space="preserve">Zvýši sa transparentnosť zaraďovania poistencov na poskytnutie plánovanej zdravotnej starostlivosti do zoznamu zdravotnej poisťovne. Čakacie listiny budú vytvorené pre tie diagnostické a terapeutické výkony, ktoré budú poskytnuté viac než 3 mesiace od indikácie. Čakacie lehoty budú poisťovne povinné zverejňovať podľa jednotlivých poskytovateľov, čím sa umožní ich porovnateľnosť. </w:t>
      </w:r>
    </w:p>
    <w:p w:rsidR="0039750E" w:rsidRPr="00EE27C2" w:rsidRDefault="0039750E" w:rsidP="0039750E">
      <w:pPr>
        <w:pStyle w:val="Odsekzoznamu"/>
        <w:spacing w:after="0" w:line="240" w:lineRule="auto"/>
        <w:ind w:left="0"/>
        <w:jc w:val="both"/>
        <w:rPr>
          <w:rFonts w:ascii="Arial Narrow" w:hAnsi="Arial Narrow"/>
        </w:rPr>
      </w:pPr>
    </w:p>
    <w:p w:rsidR="0039750E" w:rsidRPr="00EE27C2" w:rsidRDefault="0039750E" w:rsidP="0039750E">
      <w:pPr>
        <w:pStyle w:val="Default"/>
        <w:spacing w:after="0"/>
        <w:jc w:val="both"/>
        <w:rPr>
          <w:b/>
          <w:bCs/>
          <w:i/>
          <w:iCs/>
          <w:sz w:val="22"/>
          <w:szCs w:val="22"/>
        </w:rPr>
      </w:pPr>
      <w:r w:rsidRPr="00EE27C2">
        <w:rPr>
          <w:b/>
          <w:bCs/>
          <w:i/>
          <w:iCs/>
          <w:sz w:val="22"/>
          <w:szCs w:val="22"/>
        </w:rPr>
        <w:t xml:space="preserve">Zavedenie platieb za diagnostickú skupinu (DRG) </w:t>
      </w:r>
    </w:p>
    <w:p w:rsidR="0039750E" w:rsidRPr="00EE27C2" w:rsidRDefault="0039750E" w:rsidP="0039750E">
      <w:pPr>
        <w:pStyle w:val="Default"/>
        <w:spacing w:after="0"/>
        <w:jc w:val="both"/>
        <w:rPr>
          <w:bCs/>
          <w:iCs/>
          <w:sz w:val="22"/>
          <w:szCs w:val="22"/>
        </w:rPr>
      </w:pPr>
    </w:p>
    <w:p w:rsidR="0039750E" w:rsidRPr="00EE27C2" w:rsidRDefault="0039750E" w:rsidP="0039750E">
      <w:pPr>
        <w:pStyle w:val="Odsekzoznamu"/>
        <w:spacing w:after="0" w:line="240" w:lineRule="auto"/>
        <w:ind w:left="0"/>
        <w:jc w:val="both"/>
        <w:rPr>
          <w:rFonts w:ascii="Arial Narrow" w:hAnsi="Arial Narrow"/>
        </w:rPr>
      </w:pPr>
      <w:r w:rsidRPr="00EE27C2">
        <w:rPr>
          <w:rFonts w:ascii="Arial Narrow" w:hAnsi="Arial Narrow"/>
        </w:rPr>
        <w:t>Zavedenie platieb podľa diagnostických skupín (DRG) umožní identifikovať vnútorné rezervy zdrojov verejného zdravotného poistenia, zvýši transparentnosť vzťahov medzi poisťovňami a nemocnicami a umožní ich zmysluplné a efektívne riadenie. Systém DRG pridelí každému prípadu hospitalizácie dopredu stanovený podiel financií na základe diagnózy, poskytnutých výkonov, veku, pohlavia, prítomnosti iných ochorení či komplikácií, a ďalších pozorovateľných kritérií. Každá nemocnica tak bude dostávať za rovnaký štandardný výkon s rovnakou kvalitou pri rovnakej diagnóze rovnaký objem peňazí od zdravotnej poisťovne. Platbou za diagnózu sa zavedie transparentný systém financovania zdravotnej starostlivosti pre lôžkové zdravotnícke zariadenia, čím sa pristúpi k spravodlivejšiemu financovaniu u jednotlivých poskytovateľov zdravotnej starostlivosti. Vytvorením jednotnej platformy financovania poskytovaných nemocničných služieb formou DRG systému sa prispeje k možnosti porovnávania poskytovanej zdravotnej starostlivosti v jednotlivých zdravotníckych zariadeniach a získa sa širší rozsah informácií pre rozhodovanie a kontrolu. Predpokladaný začiatok vykazovania podľa DRG a zverejňovania výsledkov je jeseň roku 2013, ako platobný mechanizmus by mal DRG začať slúžiť od januára 2016.</w:t>
      </w:r>
    </w:p>
    <w:p w:rsidR="0039750E" w:rsidRPr="00EE27C2" w:rsidRDefault="0039750E" w:rsidP="0039750E">
      <w:pPr>
        <w:pStyle w:val="Odsekzoznamu"/>
        <w:spacing w:after="0" w:line="240" w:lineRule="auto"/>
        <w:ind w:left="0"/>
        <w:jc w:val="both"/>
        <w:rPr>
          <w:rFonts w:ascii="Arial Narrow" w:hAnsi="Arial Narrow"/>
        </w:rPr>
      </w:pPr>
    </w:p>
    <w:p w:rsidR="0039750E" w:rsidRPr="00EE27C2" w:rsidRDefault="0039750E" w:rsidP="0039750E">
      <w:pPr>
        <w:pStyle w:val="Odsekzoznamu"/>
        <w:spacing w:after="0" w:line="240" w:lineRule="auto"/>
        <w:ind w:left="0"/>
        <w:jc w:val="both"/>
        <w:rPr>
          <w:rFonts w:ascii="Arial Narrow" w:hAnsi="Arial Narrow"/>
          <w:b/>
          <w:i/>
        </w:rPr>
      </w:pPr>
      <w:r w:rsidRPr="00EE27C2">
        <w:rPr>
          <w:rFonts w:ascii="Arial Narrow" w:hAnsi="Arial Narrow"/>
          <w:b/>
          <w:i/>
        </w:rPr>
        <w:t>Zavedenie unitárneho systému verejného zdravotného poistenia</w:t>
      </w:r>
    </w:p>
    <w:p w:rsidR="0039750E" w:rsidRPr="00EE27C2" w:rsidRDefault="0039750E" w:rsidP="0039750E">
      <w:pPr>
        <w:pStyle w:val="Odsekzoznamu"/>
        <w:spacing w:after="0" w:line="240" w:lineRule="auto"/>
        <w:ind w:left="0"/>
        <w:jc w:val="both"/>
        <w:rPr>
          <w:rFonts w:ascii="Arial Narrow" w:hAnsi="Arial Narrow"/>
          <w:b/>
        </w:rPr>
      </w:pPr>
    </w:p>
    <w:p w:rsidR="0039750E" w:rsidRPr="00EE27C2" w:rsidRDefault="0039750E" w:rsidP="0039750E">
      <w:pPr>
        <w:pStyle w:val="Odsekzoznamu"/>
        <w:spacing w:after="0" w:line="240" w:lineRule="auto"/>
        <w:ind w:left="0"/>
        <w:jc w:val="both"/>
        <w:rPr>
          <w:rFonts w:ascii="Arial Narrow" w:hAnsi="Arial Narrow"/>
        </w:rPr>
      </w:pPr>
      <w:r w:rsidRPr="00EE27C2">
        <w:rPr>
          <w:rFonts w:ascii="Arial Narrow" w:hAnsi="Arial Narrow"/>
        </w:rPr>
        <w:t xml:space="preserve">Zavedenie unitárneho systému je jedným z opatrení, ktoré majú potenciál výrazne zvýšiť efektívnosť vynakladania zdrojov v zdravotníctve. Súčasné nastavenie systému, medzi pólmi monopolu a konkurenčného prostredia, nie je z hľadiska trhovej štruktúry optimálne. </w:t>
      </w:r>
      <w:proofErr w:type="spellStart"/>
      <w:r w:rsidRPr="00EE27C2">
        <w:rPr>
          <w:rFonts w:ascii="Arial Narrow" w:hAnsi="Arial Narrow"/>
        </w:rPr>
        <w:t>Oligopolná</w:t>
      </w:r>
      <w:proofErr w:type="spellEnd"/>
      <w:r w:rsidRPr="00EE27C2">
        <w:rPr>
          <w:rFonts w:ascii="Arial Narrow" w:hAnsi="Arial Narrow"/>
        </w:rPr>
        <w:t xml:space="preserve"> štruktúra trhu verejného zdravotného poistenia na Slovensku podnecuje zdravotné poisťovne k správaniu, ktoré nie je v súlade s maximalizáciou efektívnosti využívania zdrojov. </w:t>
      </w:r>
    </w:p>
    <w:p w:rsidR="0039750E" w:rsidRPr="00EE27C2" w:rsidRDefault="0039750E" w:rsidP="0039750E">
      <w:pPr>
        <w:pStyle w:val="Odsekzoznamu"/>
        <w:spacing w:after="0" w:line="240" w:lineRule="auto"/>
        <w:ind w:left="0"/>
        <w:jc w:val="both"/>
        <w:rPr>
          <w:rFonts w:ascii="Arial Narrow" w:hAnsi="Arial Narrow"/>
        </w:rPr>
      </w:pPr>
    </w:p>
    <w:p w:rsidR="0039750E" w:rsidRPr="00EE27C2" w:rsidRDefault="0039750E" w:rsidP="0039750E">
      <w:pPr>
        <w:pStyle w:val="Default"/>
        <w:spacing w:after="0"/>
        <w:jc w:val="both"/>
        <w:rPr>
          <w:b/>
          <w:bCs/>
          <w:i/>
          <w:iCs/>
          <w:sz w:val="22"/>
          <w:szCs w:val="22"/>
        </w:rPr>
      </w:pPr>
      <w:r w:rsidRPr="00EE27C2">
        <w:rPr>
          <w:b/>
          <w:bCs/>
          <w:i/>
          <w:iCs/>
          <w:sz w:val="22"/>
          <w:szCs w:val="22"/>
        </w:rPr>
        <w:t xml:space="preserve">Lieková politika </w:t>
      </w:r>
    </w:p>
    <w:p w:rsidR="0039750E" w:rsidRPr="00EE27C2" w:rsidRDefault="0039750E" w:rsidP="0039750E">
      <w:pPr>
        <w:pStyle w:val="Default"/>
        <w:spacing w:after="0"/>
        <w:jc w:val="both"/>
        <w:rPr>
          <w:b/>
          <w:bCs/>
          <w:i/>
          <w:iCs/>
          <w:sz w:val="22"/>
          <w:szCs w:val="22"/>
        </w:rPr>
      </w:pPr>
    </w:p>
    <w:p w:rsidR="0039750E" w:rsidRPr="00EE27C2" w:rsidRDefault="0039750E" w:rsidP="0039750E">
      <w:pPr>
        <w:pStyle w:val="Default"/>
        <w:spacing w:after="0"/>
        <w:jc w:val="both"/>
        <w:rPr>
          <w:b/>
          <w:bCs/>
          <w:i/>
          <w:iCs/>
          <w:sz w:val="22"/>
          <w:szCs w:val="22"/>
        </w:rPr>
      </w:pPr>
      <w:r w:rsidRPr="00EE27C2">
        <w:rPr>
          <w:sz w:val="22"/>
          <w:szCs w:val="22"/>
        </w:rPr>
        <w:t xml:space="preserve">Po schválení liekovej reformy, ktorá zavádza najmä generickú </w:t>
      </w:r>
      <w:proofErr w:type="spellStart"/>
      <w:r w:rsidRPr="00EE27C2">
        <w:rPr>
          <w:sz w:val="22"/>
          <w:szCs w:val="22"/>
        </w:rPr>
        <w:t>preskripciu</w:t>
      </w:r>
      <w:proofErr w:type="spellEnd"/>
      <w:r w:rsidRPr="00EE27C2">
        <w:rPr>
          <w:sz w:val="22"/>
          <w:szCs w:val="22"/>
        </w:rPr>
        <w:t xml:space="preserve">, pravidlá do procesu stanovovania výšky úhrad z verejného zdravotného poistenia, sprísňuje tvorbu cien liekov a definuje zásady transparentnosti orgánov liekovej politiky bude vláda skúmať a vyhodnocovať účinnosť prijatých opatrení. MZ SR posúdi primeranosť výšky úhrad zdravotných poisťovní u relevantných skupín liekov hradených z verejného zdravotného poistenia na základe </w:t>
      </w:r>
      <w:proofErr w:type="spellStart"/>
      <w:r w:rsidRPr="00EE27C2">
        <w:rPr>
          <w:sz w:val="22"/>
          <w:szCs w:val="22"/>
        </w:rPr>
        <w:t>farmakoekonomických</w:t>
      </w:r>
      <w:proofErr w:type="spellEnd"/>
      <w:r w:rsidRPr="00EE27C2">
        <w:rPr>
          <w:sz w:val="22"/>
          <w:szCs w:val="22"/>
        </w:rPr>
        <w:t xml:space="preserve"> kritérií. </w:t>
      </w:r>
    </w:p>
    <w:p w:rsidR="0039750E" w:rsidRPr="00EE27C2" w:rsidRDefault="0039750E" w:rsidP="0039750E">
      <w:pPr>
        <w:pStyle w:val="Odsekzoznamu"/>
        <w:spacing w:after="0" w:line="240" w:lineRule="auto"/>
        <w:ind w:left="0"/>
        <w:jc w:val="both"/>
        <w:rPr>
          <w:rFonts w:ascii="Arial Narrow" w:hAnsi="Arial Narrow"/>
        </w:rPr>
      </w:pPr>
    </w:p>
    <w:p w:rsidR="00DE7B0E" w:rsidRPr="0035027D" w:rsidRDefault="0039750E" w:rsidP="0039750E">
      <w:pPr>
        <w:spacing w:after="0"/>
        <w:rPr>
          <w:rFonts w:cs="Arial"/>
          <w:sz w:val="20"/>
          <w:szCs w:val="20"/>
        </w:rPr>
      </w:pPr>
      <w:r w:rsidRPr="00EE27C2">
        <w:t>Vláda SR ďalej zvýši transparentnosť procesu kategorizácie a </w:t>
      </w:r>
      <w:proofErr w:type="spellStart"/>
      <w:r w:rsidRPr="00EE27C2">
        <w:t>farmakoekonomického</w:t>
      </w:r>
      <w:proofErr w:type="spellEnd"/>
      <w:r w:rsidRPr="00EE27C2">
        <w:t xml:space="preserve"> posudzovania zverejňovaním odborných odporúčaní prijatých poradnými orgánmi na webovom sídle MZ SR. Cieľom zverejňovania je v čo možno najvyššej miere zamedziť subjektívnemu rozhodovaniu. Zefektívnenie nákupu liekov, zdravotníckych pomôcok a dietetických potravín sa zvýši posilnením inštitút verejného obstarávania v štátnych zdravotníckych zariadeniach.</w:t>
      </w:r>
    </w:p>
    <w:p w:rsidR="00CA47A1" w:rsidRPr="0035027D" w:rsidRDefault="00CA47A1" w:rsidP="003920D7">
      <w:pPr>
        <w:pStyle w:val="Odsekzoznamu"/>
        <w:spacing w:after="0" w:line="240" w:lineRule="auto"/>
        <w:ind w:left="0"/>
        <w:jc w:val="both"/>
        <w:rPr>
          <w:rFonts w:ascii="Arial Narrow" w:hAnsi="Arial Narrow"/>
        </w:rPr>
      </w:pPr>
    </w:p>
    <w:p w:rsidR="00ED17C8" w:rsidRPr="0035027D" w:rsidRDefault="00ED17C8" w:rsidP="00ED17C8">
      <w:pPr>
        <w:pStyle w:val="Odsekzoznamu"/>
        <w:spacing w:after="0" w:line="240" w:lineRule="auto"/>
        <w:ind w:left="0"/>
        <w:jc w:val="both"/>
        <w:rPr>
          <w:rFonts w:ascii="Arial Narrow" w:hAnsi="Arial Narrow"/>
        </w:rPr>
      </w:pPr>
    </w:p>
    <w:p w:rsidR="00C50AAE" w:rsidRPr="0035027D" w:rsidRDefault="004C7C8F" w:rsidP="00EC7DAA">
      <w:pPr>
        <w:pStyle w:val="Nadpis3"/>
        <w:ind w:left="0" w:firstLine="0"/>
      </w:pPr>
      <w:bookmarkStart w:id="66" w:name="_Toc353563390"/>
      <w:r w:rsidRPr="0035027D">
        <w:t>Environmentálna udržateľnosť a</w:t>
      </w:r>
      <w:r w:rsidR="001E66E0" w:rsidRPr="0035027D">
        <w:t> </w:t>
      </w:r>
      <w:r w:rsidRPr="0035027D">
        <w:t>energetika</w:t>
      </w:r>
      <w:bookmarkEnd w:id="66"/>
    </w:p>
    <w:bookmarkEnd w:id="36"/>
    <w:bookmarkEnd w:id="37"/>
    <w:bookmarkEnd w:id="38"/>
    <w:bookmarkEnd w:id="39"/>
    <w:p w:rsidR="004B1C7A" w:rsidRPr="0035027D" w:rsidRDefault="004B1C7A" w:rsidP="004B1C7A">
      <w:pPr>
        <w:tabs>
          <w:tab w:val="left" w:pos="426"/>
        </w:tabs>
        <w:spacing w:after="0"/>
      </w:pPr>
    </w:p>
    <w:tbl>
      <w:tblPr>
        <w:tblW w:w="8653" w:type="dxa"/>
        <w:jc w:val="center"/>
        <w:tblInd w:w="55" w:type="dxa"/>
        <w:tblCellMar>
          <w:left w:w="70" w:type="dxa"/>
          <w:right w:w="70" w:type="dxa"/>
        </w:tblCellMar>
        <w:tblLook w:val="04A0" w:firstRow="1" w:lastRow="0" w:firstColumn="1" w:lastColumn="0" w:noHBand="0" w:noVBand="1"/>
      </w:tblPr>
      <w:tblGrid>
        <w:gridCol w:w="3740"/>
        <w:gridCol w:w="368"/>
        <w:gridCol w:w="505"/>
        <w:gridCol w:w="505"/>
        <w:gridCol w:w="505"/>
        <w:gridCol w:w="505"/>
        <w:gridCol w:w="505"/>
        <w:gridCol w:w="530"/>
        <w:gridCol w:w="505"/>
        <w:gridCol w:w="524"/>
        <w:gridCol w:w="505"/>
      </w:tblGrid>
      <w:tr w:rsidR="00F50583" w:rsidRPr="0035027D" w:rsidTr="00892CCD">
        <w:trPr>
          <w:trHeight w:val="300"/>
          <w:jc w:val="center"/>
        </w:trPr>
        <w:tc>
          <w:tcPr>
            <w:tcW w:w="8653" w:type="dxa"/>
            <w:gridSpan w:val="11"/>
            <w:tcBorders>
              <w:top w:val="single" w:sz="4" w:space="0" w:color="auto"/>
              <w:left w:val="single" w:sz="4" w:space="0" w:color="auto"/>
              <w:bottom w:val="single" w:sz="4" w:space="0" w:color="auto"/>
              <w:right w:val="nil"/>
            </w:tcBorders>
            <w:shd w:val="clear" w:color="000000" w:fill="000000"/>
            <w:noWrap/>
            <w:vAlign w:val="center"/>
            <w:hideMark/>
          </w:tcPr>
          <w:p w:rsidR="00F50583" w:rsidRPr="0035027D" w:rsidRDefault="00D4235C" w:rsidP="00F50583">
            <w:pPr>
              <w:spacing w:after="0"/>
              <w:jc w:val="left"/>
              <w:rPr>
                <w:rFonts w:cs="Times New Roman"/>
                <w:b/>
                <w:bCs/>
                <w:color w:val="FFFFFF"/>
                <w:sz w:val="20"/>
                <w:szCs w:val="20"/>
              </w:rPr>
            </w:pPr>
            <w:r w:rsidRPr="0035027D">
              <w:rPr>
                <w:rFonts w:cs="Times New Roman"/>
                <w:b/>
                <w:bCs/>
                <w:color w:val="FFFFFF"/>
                <w:sz w:val="20"/>
                <w:szCs w:val="20"/>
              </w:rPr>
              <w:t xml:space="preserve">Tab. 9: </w:t>
            </w:r>
            <w:r w:rsidR="00F50583" w:rsidRPr="0035027D">
              <w:rPr>
                <w:rFonts w:cs="Times New Roman"/>
                <w:b/>
                <w:bCs/>
                <w:color w:val="FFFFFF"/>
                <w:sz w:val="20"/>
                <w:szCs w:val="20"/>
              </w:rPr>
              <w:t>Výsledkové indikátory pre environmentálnu udržateľnosť a</w:t>
            </w:r>
            <w:r w:rsidR="003920D7" w:rsidRPr="0035027D">
              <w:rPr>
                <w:rFonts w:cs="Times New Roman"/>
                <w:b/>
                <w:bCs/>
                <w:color w:val="FFFFFF"/>
                <w:sz w:val="20"/>
                <w:szCs w:val="20"/>
              </w:rPr>
              <w:t> </w:t>
            </w:r>
            <w:r w:rsidR="00F50583" w:rsidRPr="0035027D">
              <w:rPr>
                <w:rFonts w:cs="Times New Roman"/>
                <w:b/>
                <w:bCs/>
                <w:color w:val="FFFFFF"/>
                <w:sz w:val="20"/>
                <w:szCs w:val="20"/>
              </w:rPr>
              <w:t>energetiku</w:t>
            </w:r>
          </w:p>
        </w:tc>
      </w:tr>
      <w:tr w:rsidR="00A41F46" w:rsidRPr="0035027D" w:rsidTr="00F50583">
        <w:trPr>
          <w:trHeight w:val="510"/>
          <w:jc w:val="center"/>
        </w:trPr>
        <w:tc>
          <w:tcPr>
            <w:tcW w:w="3740" w:type="dxa"/>
            <w:tcBorders>
              <w:top w:val="nil"/>
              <w:left w:val="single" w:sz="4" w:space="0" w:color="auto"/>
              <w:bottom w:val="single" w:sz="4" w:space="0" w:color="auto"/>
              <w:right w:val="nil"/>
            </w:tcBorders>
            <w:shd w:val="clear" w:color="000000" w:fill="BFBFBF"/>
            <w:noWrap/>
            <w:vAlign w:val="center"/>
            <w:hideMark/>
          </w:tcPr>
          <w:p w:rsidR="00F50583" w:rsidRPr="0035027D" w:rsidRDefault="00F50583" w:rsidP="00F50583">
            <w:pPr>
              <w:spacing w:after="0"/>
              <w:jc w:val="left"/>
              <w:rPr>
                <w:rFonts w:cs="Times New Roman"/>
                <w:b/>
                <w:bCs/>
                <w:color w:val="FFFFFF"/>
                <w:sz w:val="20"/>
                <w:szCs w:val="20"/>
              </w:rPr>
            </w:pPr>
            <w:r w:rsidRPr="0035027D">
              <w:rPr>
                <w:rFonts w:cs="Times New Roman"/>
                <w:b/>
                <w:bCs/>
                <w:color w:val="FFFFFF"/>
                <w:sz w:val="20"/>
                <w:szCs w:val="20"/>
              </w:rPr>
              <w:t> </w:t>
            </w:r>
          </w:p>
        </w:tc>
        <w:tc>
          <w:tcPr>
            <w:tcW w:w="368" w:type="dxa"/>
            <w:tcBorders>
              <w:top w:val="nil"/>
              <w:left w:val="nil"/>
              <w:bottom w:val="single" w:sz="4" w:space="0" w:color="auto"/>
              <w:right w:val="nil"/>
            </w:tcBorders>
            <w:shd w:val="clear" w:color="000000" w:fill="BFBFBF"/>
            <w:noWrap/>
            <w:vAlign w:val="center"/>
            <w:hideMark/>
          </w:tcPr>
          <w:p w:rsidR="00F50583" w:rsidRPr="0035027D" w:rsidRDefault="00F50583" w:rsidP="00F50583">
            <w:pPr>
              <w:spacing w:after="0"/>
              <w:jc w:val="left"/>
              <w:rPr>
                <w:rFonts w:cs="Times New Roman"/>
                <w:b/>
                <w:bCs/>
                <w:color w:val="FFFFFF"/>
                <w:sz w:val="20"/>
                <w:szCs w:val="20"/>
              </w:rPr>
            </w:pPr>
            <w:r w:rsidRPr="0035027D">
              <w:rPr>
                <w:rFonts w:cs="Times New Roman"/>
                <w:b/>
                <w:bCs/>
                <w:color w:val="FFFFFF"/>
                <w:sz w:val="20"/>
                <w:szCs w:val="20"/>
              </w:rPr>
              <w:t> </w:t>
            </w:r>
          </w:p>
        </w:tc>
        <w:tc>
          <w:tcPr>
            <w:tcW w:w="505" w:type="dxa"/>
            <w:tcBorders>
              <w:top w:val="nil"/>
              <w:left w:val="single" w:sz="4" w:space="0" w:color="auto"/>
              <w:bottom w:val="single" w:sz="4" w:space="0" w:color="auto"/>
              <w:right w:val="nil"/>
            </w:tcBorders>
            <w:shd w:val="clear" w:color="000000" w:fill="BFBFBF"/>
            <w:noWrap/>
            <w:vAlign w:val="center"/>
            <w:hideMark/>
          </w:tcPr>
          <w:p w:rsidR="00F50583" w:rsidRPr="0035027D" w:rsidRDefault="00F50583" w:rsidP="00F50583">
            <w:pPr>
              <w:spacing w:after="0"/>
              <w:jc w:val="center"/>
              <w:rPr>
                <w:rFonts w:cs="Times New Roman"/>
                <w:b/>
                <w:bCs/>
                <w:color w:val="000000"/>
                <w:sz w:val="20"/>
                <w:szCs w:val="20"/>
              </w:rPr>
            </w:pPr>
            <w:r w:rsidRPr="0035027D">
              <w:rPr>
                <w:rFonts w:cs="Times New Roman"/>
                <w:b/>
                <w:bCs/>
                <w:color w:val="000000"/>
                <w:sz w:val="20"/>
                <w:szCs w:val="20"/>
              </w:rPr>
              <w:t>2004</w:t>
            </w:r>
          </w:p>
        </w:tc>
        <w:tc>
          <w:tcPr>
            <w:tcW w:w="505" w:type="dxa"/>
            <w:tcBorders>
              <w:top w:val="nil"/>
              <w:left w:val="nil"/>
              <w:bottom w:val="single" w:sz="4" w:space="0" w:color="auto"/>
              <w:right w:val="nil"/>
            </w:tcBorders>
            <w:shd w:val="clear" w:color="000000" w:fill="BFBFBF"/>
            <w:noWrap/>
            <w:vAlign w:val="center"/>
            <w:hideMark/>
          </w:tcPr>
          <w:p w:rsidR="00F50583" w:rsidRPr="0035027D" w:rsidRDefault="00F50583" w:rsidP="00F50583">
            <w:pPr>
              <w:spacing w:after="0"/>
              <w:jc w:val="center"/>
              <w:rPr>
                <w:rFonts w:cs="Times New Roman"/>
                <w:b/>
                <w:bCs/>
                <w:color w:val="000000"/>
                <w:sz w:val="20"/>
                <w:szCs w:val="20"/>
              </w:rPr>
            </w:pPr>
            <w:r w:rsidRPr="0035027D">
              <w:rPr>
                <w:rFonts w:cs="Times New Roman"/>
                <w:b/>
                <w:bCs/>
                <w:color w:val="000000"/>
                <w:sz w:val="20"/>
                <w:szCs w:val="20"/>
              </w:rPr>
              <w:t>2005</w:t>
            </w:r>
          </w:p>
        </w:tc>
        <w:tc>
          <w:tcPr>
            <w:tcW w:w="505" w:type="dxa"/>
            <w:tcBorders>
              <w:top w:val="nil"/>
              <w:left w:val="nil"/>
              <w:bottom w:val="single" w:sz="4" w:space="0" w:color="auto"/>
              <w:right w:val="nil"/>
            </w:tcBorders>
            <w:shd w:val="clear" w:color="000000" w:fill="BFBFBF"/>
            <w:noWrap/>
            <w:vAlign w:val="center"/>
            <w:hideMark/>
          </w:tcPr>
          <w:p w:rsidR="00F50583" w:rsidRPr="0035027D" w:rsidRDefault="00F50583" w:rsidP="00F50583">
            <w:pPr>
              <w:spacing w:after="0"/>
              <w:jc w:val="center"/>
              <w:rPr>
                <w:rFonts w:cs="Times New Roman"/>
                <w:b/>
                <w:bCs/>
                <w:color w:val="000000"/>
                <w:sz w:val="20"/>
                <w:szCs w:val="20"/>
              </w:rPr>
            </w:pPr>
            <w:r w:rsidRPr="0035027D">
              <w:rPr>
                <w:rFonts w:cs="Times New Roman"/>
                <w:b/>
                <w:bCs/>
                <w:color w:val="000000"/>
                <w:sz w:val="20"/>
                <w:szCs w:val="20"/>
              </w:rPr>
              <w:t>2006</w:t>
            </w:r>
          </w:p>
        </w:tc>
        <w:tc>
          <w:tcPr>
            <w:tcW w:w="505" w:type="dxa"/>
            <w:tcBorders>
              <w:top w:val="nil"/>
              <w:left w:val="nil"/>
              <w:bottom w:val="single" w:sz="4" w:space="0" w:color="auto"/>
              <w:right w:val="nil"/>
            </w:tcBorders>
            <w:shd w:val="clear" w:color="000000" w:fill="BFBFBF"/>
            <w:noWrap/>
            <w:vAlign w:val="center"/>
            <w:hideMark/>
          </w:tcPr>
          <w:p w:rsidR="00F50583" w:rsidRPr="0035027D" w:rsidRDefault="00F50583" w:rsidP="00F50583">
            <w:pPr>
              <w:spacing w:after="0"/>
              <w:jc w:val="center"/>
              <w:rPr>
                <w:rFonts w:cs="Times New Roman"/>
                <w:b/>
                <w:bCs/>
                <w:color w:val="000000"/>
                <w:sz w:val="20"/>
                <w:szCs w:val="20"/>
              </w:rPr>
            </w:pPr>
            <w:r w:rsidRPr="0035027D">
              <w:rPr>
                <w:rFonts w:cs="Times New Roman"/>
                <w:b/>
                <w:bCs/>
                <w:color w:val="000000"/>
                <w:sz w:val="20"/>
                <w:szCs w:val="20"/>
              </w:rPr>
              <w:t>2007</w:t>
            </w:r>
          </w:p>
        </w:tc>
        <w:tc>
          <w:tcPr>
            <w:tcW w:w="505" w:type="dxa"/>
            <w:tcBorders>
              <w:top w:val="nil"/>
              <w:left w:val="nil"/>
              <w:bottom w:val="single" w:sz="4" w:space="0" w:color="auto"/>
              <w:right w:val="nil"/>
            </w:tcBorders>
            <w:shd w:val="clear" w:color="000000" w:fill="BFBFBF"/>
            <w:vAlign w:val="center"/>
            <w:hideMark/>
          </w:tcPr>
          <w:p w:rsidR="00F50583" w:rsidRPr="0035027D" w:rsidRDefault="00F50583" w:rsidP="00F50583">
            <w:pPr>
              <w:spacing w:after="0"/>
              <w:jc w:val="center"/>
              <w:rPr>
                <w:rFonts w:cs="Times New Roman"/>
                <w:b/>
                <w:bCs/>
                <w:color w:val="000000"/>
                <w:sz w:val="20"/>
                <w:szCs w:val="20"/>
              </w:rPr>
            </w:pPr>
            <w:r w:rsidRPr="0035027D">
              <w:rPr>
                <w:rFonts w:cs="Times New Roman"/>
                <w:b/>
                <w:bCs/>
                <w:color w:val="000000"/>
                <w:sz w:val="20"/>
                <w:szCs w:val="20"/>
              </w:rPr>
              <w:t>2008</w:t>
            </w:r>
          </w:p>
        </w:tc>
        <w:tc>
          <w:tcPr>
            <w:tcW w:w="530" w:type="dxa"/>
            <w:tcBorders>
              <w:top w:val="nil"/>
              <w:left w:val="nil"/>
              <w:bottom w:val="single" w:sz="4" w:space="0" w:color="auto"/>
              <w:right w:val="nil"/>
            </w:tcBorders>
            <w:shd w:val="clear" w:color="000000" w:fill="BFBFBF"/>
            <w:vAlign w:val="center"/>
            <w:hideMark/>
          </w:tcPr>
          <w:p w:rsidR="00F50583" w:rsidRPr="0035027D" w:rsidRDefault="00F50583" w:rsidP="00F50583">
            <w:pPr>
              <w:spacing w:after="0"/>
              <w:jc w:val="center"/>
              <w:rPr>
                <w:rFonts w:cs="Times New Roman"/>
                <w:b/>
                <w:bCs/>
                <w:color w:val="000000"/>
                <w:sz w:val="20"/>
                <w:szCs w:val="20"/>
              </w:rPr>
            </w:pPr>
            <w:r w:rsidRPr="0035027D">
              <w:rPr>
                <w:rFonts w:cs="Times New Roman"/>
                <w:b/>
                <w:bCs/>
                <w:color w:val="000000"/>
                <w:sz w:val="20"/>
                <w:szCs w:val="20"/>
              </w:rPr>
              <w:t>2009</w:t>
            </w:r>
          </w:p>
        </w:tc>
        <w:tc>
          <w:tcPr>
            <w:tcW w:w="480" w:type="dxa"/>
            <w:tcBorders>
              <w:top w:val="nil"/>
              <w:left w:val="nil"/>
              <w:bottom w:val="single" w:sz="4" w:space="0" w:color="auto"/>
              <w:right w:val="nil"/>
            </w:tcBorders>
            <w:shd w:val="clear" w:color="000000" w:fill="BFBFBF"/>
            <w:vAlign w:val="center"/>
            <w:hideMark/>
          </w:tcPr>
          <w:p w:rsidR="00F50583" w:rsidRPr="0035027D" w:rsidRDefault="00F50583" w:rsidP="00F50583">
            <w:pPr>
              <w:spacing w:after="0"/>
              <w:jc w:val="center"/>
              <w:rPr>
                <w:rFonts w:cs="Times New Roman"/>
                <w:b/>
                <w:bCs/>
                <w:color w:val="000000"/>
                <w:sz w:val="20"/>
                <w:szCs w:val="20"/>
              </w:rPr>
            </w:pPr>
            <w:r w:rsidRPr="0035027D">
              <w:rPr>
                <w:rFonts w:cs="Times New Roman"/>
                <w:b/>
                <w:bCs/>
                <w:color w:val="000000"/>
                <w:sz w:val="20"/>
                <w:szCs w:val="20"/>
              </w:rPr>
              <w:t>2010</w:t>
            </w:r>
          </w:p>
        </w:tc>
        <w:tc>
          <w:tcPr>
            <w:tcW w:w="505" w:type="dxa"/>
            <w:tcBorders>
              <w:top w:val="nil"/>
              <w:left w:val="nil"/>
              <w:bottom w:val="single" w:sz="4" w:space="0" w:color="auto"/>
              <w:right w:val="single" w:sz="4" w:space="0" w:color="auto"/>
            </w:tcBorders>
            <w:shd w:val="clear" w:color="000000" w:fill="BFBFBF"/>
            <w:vAlign w:val="center"/>
            <w:hideMark/>
          </w:tcPr>
          <w:p w:rsidR="00F50583" w:rsidRPr="0035027D" w:rsidRDefault="00F50583" w:rsidP="00F50583">
            <w:pPr>
              <w:spacing w:after="0"/>
              <w:jc w:val="center"/>
              <w:rPr>
                <w:rFonts w:cs="Times New Roman"/>
                <w:b/>
                <w:bCs/>
                <w:color w:val="000000"/>
                <w:sz w:val="20"/>
                <w:szCs w:val="20"/>
              </w:rPr>
            </w:pPr>
            <w:r w:rsidRPr="0035027D">
              <w:rPr>
                <w:rFonts w:cs="Times New Roman"/>
                <w:b/>
                <w:bCs/>
                <w:color w:val="000000"/>
                <w:sz w:val="20"/>
                <w:szCs w:val="20"/>
              </w:rPr>
              <w:t>2011</w:t>
            </w:r>
          </w:p>
        </w:tc>
        <w:tc>
          <w:tcPr>
            <w:tcW w:w="505" w:type="dxa"/>
            <w:tcBorders>
              <w:top w:val="nil"/>
              <w:left w:val="nil"/>
              <w:bottom w:val="single" w:sz="4" w:space="0" w:color="auto"/>
              <w:right w:val="single" w:sz="4" w:space="0" w:color="auto"/>
            </w:tcBorders>
            <w:shd w:val="clear" w:color="000000" w:fill="BFBFBF"/>
            <w:vAlign w:val="center"/>
            <w:hideMark/>
          </w:tcPr>
          <w:p w:rsidR="00F50583" w:rsidRPr="0035027D" w:rsidRDefault="00F50583" w:rsidP="00F50583">
            <w:pPr>
              <w:spacing w:after="0"/>
              <w:jc w:val="left"/>
              <w:rPr>
                <w:rFonts w:cs="Times New Roman"/>
                <w:b/>
                <w:bCs/>
                <w:sz w:val="20"/>
                <w:szCs w:val="20"/>
              </w:rPr>
            </w:pPr>
            <w:r w:rsidRPr="0035027D">
              <w:rPr>
                <w:rFonts w:cs="Times New Roman"/>
                <w:b/>
                <w:bCs/>
                <w:sz w:val="20"/>
                <w:szCs w:val="20"/>
              </w:rPr>
              <w:t>Cieľ 2020</w:t>
            </w:r>
          </w:p>
        </w:tc>
      </w:tr>
      <w:tr w:rsidR="00F50583" w:rsidRPr="0035027D" w:rsidTr="00F50583">
        <w:trPr>
          <w:trHeight w:val="300"/>
          <w:jc w:val="center"/>
        </w:trPr>
        <w:tc>
          <w:tcPr>
            <w:tcW w:w="3740" w:type="dxa"/>
            <w:tcBorders>
              <w:top w:val="nil"/>
              <w:left w:val="single" w:sz="4" w:space="0" w:color="auto"/>
              <w:bottom w:val="nil"/>
              <w:right w:val="nil"/>
            </w:tcBorders>
            <w:shd w:val="clear" w:color="auto" w:fill="auto"/>
            <w:noWrap/>
            <w:vAlign w:val="center"/>
            <w:hideMark/>
          </w:tcPr>
          <w:p w:rsidR="00F50583" w:rsidRPr="0035027D" w:rsidRDefault="00F50583" w:rsidP="00F50583">
            <w:pPr>
              <w:spacing w:after="0"/>
              <w:rPr>
                <w:rFonts w:cs="Times New Roman"/>
                <w:b/>
                <w:bCs/>
                <w:color w:val="000000"/>
                <w:sz w:val="20"/>
                <w:szCs w:val="20"/>
              </w:rPr>
            </w:pPr>
            <w:r w:rsidRPr="0035027D">
              <w:rPr>
                <w:rFonts w:cs="Times New Roman"/>
                <w:b/>
                <w:bCs/>
                <w:color w:val="000000"/>
                <w:sz w:val="20"/>
                <w:szCs w:val="20"/>
              </w:rPr>
              <w:t>Emisie skleníkových plynov mimo ETS</w:t>
            </w:r>
          </w:p>
        </w:tc>
        <w:tc>
          <w:tcPr>
            <w:tcW w:w="368" w:type="dxa"/>
            <w:tcBorders>
              <w:top w:val="nil"/>
              <w:left w:val="nil"/>
              <w:bottom w:val="nil"/>
              <w:right w:val="single" w:sz="4" w:space="0" w:color="auto"/>
            </w:tcBorders>
            <w:shd w:val="clear" w:color="auto" w:fill="auto"/>
            <w:noWrap/>
            <w:vAlign w:val="center"/>
            <w:hideMark/>
          </w:tcPr>
          <w:p w:rsidR="00F50583" w:rsidRPr="0035027D" w:rsidRDefault="00F50583" w:rsidP="00F50583">
            <w:pPr>
              <w:spacing w:after="0"/>
              <w:jc w:val="left"/>
              <w:rPr>
                <w:rFonts w:cs="Times New Roman"/>
                <w:b/>
                <w:bCs/>
                <w:color w:val="000000"/>
                <w:sz w:val="20"/>
                <w:szCs w:val="20"/>
              </w:rPr>
            </w:pPr>
            <w:r w:rsidRPr="0035027D">
              <w:rPr>
                <w:rFonts w:cs="Times New Roman"/>
                <w:b/>
                <w:bCs/>
                <w:color w:val="000000"/>
                <w:sz w:val="20"/>
                <w:szCs w:val="20"/>
              </w:rPr>
              <w:t>SK</w:t>
            </w:r>
          </w:p>
        </w:tc>
        <w:tc>
          <w:tcPr>
            <w:tcW w:w="505" w:type="dxa"/>
            <w:tcBorders>
              <w:top w:val="nil"/>
              <w:left w:val="nil"/>
              <w:bottom w:val="nil"/>
              <w:right w:val="nil"/>
            </w:tcBorders>
            <w:shd w:val="clear" w:color="auto" w:fill="auto"/>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w:t>
            </w:r>
          </w:p>
        </w:tc>
        <w:tc>
          <w:tcPr>
            <w:tcW w:w="505" w:type="dxa"/>
            <w:tcBorders>
              <w:top w:val="nil"/>
              <w:left w:val="nil"/>
              <w:bottom w:val="nil"/>
              <w:right w:val="nil"/>
            </w:tcBorders>
            <w:shd w:val="clear" w:color="auto" w:fill="auto"/>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w:t>
            </w:r>
          </w:p>
        </w:tc>
        <w:tc>
          <w:tcPr>
            <w:tcW w:w="505" w:type="dxa"/>
            <w:tcBorders>
              <w:top w:val="nil"/>
              <w:left w:val="nil"/>
              <w:bottom w:val="nil"/>
              <w:right w:val="nil"/>
            </w:tcBorders>
            <w:shd w:val="clear" w:color="auto" w:fill="auto"/>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w:t>
            </w:r>
            <w:r w:rsidR="007E70E1" w:rsidRPr="0035027D">
              <w:rPr>
                <w:rFonts w:cs="Times New Roman"/>
                <w:color w:val="000000"/>
                <w:sz w:val="20"/>
                <w:szCs w:val="20"/>
              </w:rPr>
              <w:t>1,8</w:t>
            </w:r>
          </w:p>
        </w:tc>
        <w:tc>
          <w:tcPr>
            <w:tcW w:w="505" w:type="dxa"/>
            <w:tcBorders>
              <w:top w:val="nil"/>
              <w:left w:val="nil"/>
              <w:bottom w:val="nil"/>
              <w:right w:val="nil"/>
            </w:tcBorders>
            <w:shd w:val="clear" w:color="auto" w:fill="auto"/>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-6,</w:t>
            </w:r>
            <w:r w:rsidR="007E70E1" w:rsidRPr="0035027D">
              <w:rPr>
                <w:rFonts w:cs="Times New Roman"/>
                <w:color w:val="000000"/>
                <w:sz w:val="20"/>
                <w:szCs w:val="20"/>
              </w:rPr>
              <w:t>0</w:t>
            </w:r>
          </w:p>
        </w:tc>
        <w:tc>
          <w:tcPr>
            <w:tcW w:w="505" w:type="dxa"/>
            <w:tcBorders>
              <w:top w:val="nil"/>
              <w:left w:val="nil"/>
              <w:bottom w:val="nil"/>
              <w:right w:val="nil"/>
            </w:tcBorders>
            <w:shd w:val="clear" w:color="auto" w:fill="auto"/>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w:t>
            </w:r>
            <w:r w:rsidR="007E70E1" w:rsidRPr="0035027D">
              <w:rPr>
                <w:rFonts w:cs="Times New Roman"/>
                <w:color w:val="000000"/>
                <w:sz w:val="20"/>
                <w:szCs w:val="20"/>
              </w:rPr>
              <w:t>4,6</w:t>
            </w:r>
          </w:p>
        </w:tc>
        <w:tc>
          <w:tcPr>
            <w:tcW w:w="530" w:type="dxa"/>
            <w:tcBorders>
              <w:top w:val="nil"/>
              <w:left w:val="nil"/>
              <w:bottom w:val="nil"/>
              <w:right w:val="nil"/>
            </w:tcBorders>
            <w:shd w:val="clear" w:color="auto" w:fill="auto"/>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-12,</w:t>
            </w:r>
            <w:r w:rsidR="007E70E1" w:rsidRPr="0035027D">
              <w:rPr>
                <w:rFonts w:cs="Times New Roman"/>
                <w:color w:val="000000"/>
                <w:sz w:val="20"/>
                <w:szCs w:val="20"/>
              </w:rPr>
              <w:t>6</w:t>
            </w:r>
          </w:p>
        </w:tc>
        <w:tc>
          <w:tcPr>
            <w:tcW w:w="480" w:type="dxa"/>
            <w:tcBorders>
              <w:top w:val="nil"/>
              <w:left w:val="nil"/>
              <w:bottom w:val="nil"/>
              <w:right w:val="nil"/>
            </w:tcBorders>
            <w:shd w:val="clear" w:color="auto" w:fill="auto"/>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w:t>
            </w:r>
            <w:r w:rsidR="007E70E1" w:rsidRPr="0035027D">
              <w:rPr>
                <w:rFonts w:cs="Times New Roman"/>
                <w:color w:val="000000"/>
                <w:sz w:val="20"/>
                <w:szCs w:val="20"/>
              </w:rPr>
              <w:t>6,0</w:t>
            </w:r>
          </w:p>
        </w:tc>
        <w:tc>
          <w:tcPr>
            <w:tcW w:w="505" w:type="dxa"/>
            <w:tcBorders>
              <w:top w:val="nil"/>
              <w:left w:val="nil"/>
              <w:bottom w:val="nil"/>
              <w:right w:val="nil"/>
            </w:tcBorders>
            <w:shd w:val="clear" w:color="auto" w:fill="auto"/>
            <w:vAlign w:val="center"/>
            <w:hideMark/>
          </w:tcPr>
          <w:p w:rsidR="00F50583" w:rsidRPr="0035027D" w:rsidRDefault="007E70E1" w:rsidP="00F50583">
            <w:pPr>
              <w:spacing w:after="0"/>
              <w:jc w:val="center"/>
              <w:rPr>
                <w:rFonts w:cs="Times New Roman"/>
                <w:color w:val="000000"/>
                <w:sz w:val="20"/>
                <w:szCs w:val="20"/>
              </w:rPr>
            </w:pPr>
            <w:r w:rsidRPr="0035027D">
              <w:rPr>
                <w:rFonts w:cs="Times New Roman"/>
                <w:color w:val="000000"/>
                <w:sz w:val="20"/>
                <w:szCs w:val="20"/>
              </w:rPr>
              <w:t>-9,5</w:t>
            </w:r>
            <w:r w:rsidR="00B02979" w:rsidRPr="0035027D">
              <w:rPr>
                <w:rFonts w:cs="Times New Roman"/>
                <w:color w:val="000000"/>
                <w:sz w:val="20"/>
                <w:szCs w:val="20"/>
              </w:rPr>
              <w:t>*</w:t>
            </w:r>
          </w:p>
        </w:tc>
        <w:tc>
          <w:tcPr>
            <w:tcW w:w="505" w:type="dxa"/>
            <w:tcBorders>
              <w:top w:val="nil"/>
              <w:left w:val="single" w:sz="4" w:space="0" w:color="auto"/>
              <w:bottom w:val="nil"/>
              <w:right w:val="single" w:sz="4" w:space="0" w:color="auto"/>
            </w:tcBorders>
            <w:shd w:val="clear" w:color="auto" w:fill="auto"/>
            <w:vAlign w:val="center"/>
            <w:hideMark/>
          </w:tcPr>
          <w:p w:rsidR="00F50583" w:rsidRPr="0035027D" w:rsidRDefault="006C7ADB" w:rsidP="00F50583">
            <w:pPr>
              <w:spacing w:after="0"/>
              <w:jc w:val="center"/>
              <w:rPr>
                <w:rFonts w:cs="Times New Roman"/>
                <w:color w:val="000000"/>
                <w:sz w:val="20"/>
                <w:szCs w:val="20"/>
              </w:rPr>
            </w:pPr>
            <w:r w:rsidRPr="0035027D">
              <w:rPr>
                <w:rFonts w:cs="Times New Roman"/>
                <w:color w:val="000000"/>
                <w:sz w:val="20"/>
                <w:szCs w:val="20"/>
              </w:rPr>
              <w:t>&lt;</w:t>
            </w:r>
            <w:r w:rsidR="00F50583" w:rsidRPr="0035027D">
              <w:rPr>
                <w:rFonts w:cs="Times New Roman"/>
                <w:color w:val="000000"/>
                <w:sz w:val="20"/>
                <w:szCs w:val="20"/>
              </w:rPr>
              <w:t>13</w:t>
            </w:r>
          </w:p>
        </w:tc>
      </w:tr>
      <w:tr w:rsidR="00A41F46" w:rsidRPr="0035027D" w:rsidTr="00F50583">
        <w:trPr>
          <w:trHeight w:val="300"/>
          <w:jc w:val="center"/>
        </w:trPr>
        <w:tc>
          <w:tcPr>
            <w:tcW w:w="3740" w:type="dxa"/>
            <w:tcBorders>
              <w:top w:val="nil"/>
              <w:left w:val="single" w:sz="4" w:space="0" w:color="auto"/>
              <w:bottom w:val="single" w:sz="4" w:space="0" w:color="auto"/>
              <w:right w:val="nil"/>
            </w:tcBorders>
            <w:shd w:val="clear" w:color="auto" w:fill="auto"/>
            <w:noWrap/>
            <w:vAlign w:val="center"/>
            <w:hideMark/>
          </w:tcPr>
          <w:p w:rsidR="00F50583" w:rsidRPr="0035027D" w:rsidRDefault="00F50583" w:rsidP="00F50583">
            <w:pPr>
              <w:spacing w:after="0"/>
              <w:rPr>
                <w:rFonts w:cs="Times New Roman"/>
                <w:color w:val="000000"/>
                <w:sz w:val="20"/>
                <w:szCs w:val="20"/>
              </w:rPr>
            </w:pPr>
            <w:r w:rsidRPr="0035027D">
              <w:rPr>
                <w:rFonts w:cs="Times New Roman"/>
                <w:color w:val="000000"/>
                <w:sz w:val="20"/>
                <w:szCs w:val="20"/>
              </w:rPr>
              <w:t>(%, zmena voči roku 2005)</w:t>
            </w:r>
          </w:p>
        </w:tc>
        <w:tc>
          <w:tcPr>
            <w:tcW w:w="368" w:type="dxa"/>
            <w:tcBorders>
              <w:top w:val="nil"/>
              <w:left w:val="nil"/>
              <w:bottom w:val="single" w:sz="4" w:space="0" w:color="auto"/>
              <w:right w:val="single" w:sz="4" w:space="0" w:color="auto"/>
            </w:tcBorders>
            <w:shd w:val="clear" w:color="auto" w:fill="auto"/>
            <w:noWrap/>
            <w:vAlign w:val="center"/>
            <w:hideMark/>
          </w:tcPr>
          <w:p w:rsidR="00F50583" w:rsidRPr="0035027D" w:rsidRDefault="00F50583" w:rsidP="00F50583">
            <w:pPr>
              <w:spacing w:after="0"/>
              <w:jc w:val="left"/>
              <w:rPr>
                <w:rFonts w:cs="Times New Roman"/>
                <w:b/>
                <w:bCs/>
                <w:color w:val="000000"/>
                <w:sz w:val="20"/>
                <w:szCs w:val="20"/>
              </w:rPr>
            </w:pPr>
            <w:r w:rsidRPr="0035027D">
              <w:rPr>
                <w:rFonts w:cs="Times New Roman"/>
                <w:b/>
                <w:bCs/>
                <w:color w:val="000000"/>
                <w:sz w:val="20"/>
                <w:szCs w:val="20"/>
              </w:rPr>
              <w:t>EÚ</w:t>
            </w:r>
          </w:p>
        </w:tc>
        <w:tc>
          <w:tcPr>
            <w:tcW w:w="505" w:type="dxa"/>
            <w:tcBorders>
              <w:top w:val="nil"/>
              <w:left w:val="nil"/>
              <w:bottom w:val="single" w:sz="4" w:space="0" w:color="auto"/>
              <w:right w:val="nil"/>
            </w:tcBorders>
            <w:shd w:val="clear" w:color="auto" w:fill="auto"/>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w:t>
            </w:r>
          </w:p>
        </w:tc>
        <w:tc>
          <w:tcPr>
            <w:tcW w:w="505" w:type="dxa"/>
            <w:tcBorders>
              <w:top w:val="nil"/>
              <w:left w:val="nil"/>
              <w:bottom w:val="single" w:sz="4" w:space="0" w:color="auto"/>
              <w:right w:val="nil"/>
            </w:tcBorders>
            <w:shd w:val="clear" w:color="auto" w:fill="auto"/>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w:t>
            </w:r>
          </w:p>
        </w:tc>
        <w:tc>
          <w:tcPr>
            <w:tcW w:w="505" w:type="dxa"/>
            <w:tcBorders>
              <w:top w:val="nil"/>
              <w:left w:val="nil"/>
              <w:bottom w:val="single" w:sz="4" w:space="0" w:color="auto"/>
              <w:right w:val="nil"/>
            </w:tcBorders>
            <w:shd w:val="clear" w:color="auto" w:fill="auto"/>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w:t>
            </w:r>
          </w:p>
        </w:tc>
        <w:tc>
          <w:tcPr>
            <w:tcW w:w="505" w:type="dxa"/>
            <w:tcBorders>
              <w:top w:val="nil"/>
              <w:left w:val="nil"/>
              <w:bottom w:val="single" w:sz="4" w:space="0" w:color="auto"/>
              <w:right w:val="nil"/>
            </w:tcBorders>
            <w:shd w:val="clear" w:color="auto" w:fill="auto"/>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w:t>
            </w:r>
          </w:p>
        </w:tc>
        <w:tc>
          <w:tcPr>
            <w:tcW w:w="505" w:type="dxa"/>
            <w:tcBorders>
              <w:top w:val="nil"/>
              <w:left w:val="nil"/>
              <w:bottom w:val="single" w:sz="4" w:space="0" w:color="auto"/>
              <w:right w:val="nil"/>
            </w:tcBorders>
            <w:shd w:val="clear" w:color="auto" w:fill="auto"/>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w:t>
            </w:r>
          </w:p>
        </w:tc>
        <w:tc>
          <w:tcPr>
            <w:tcW w:w="530" w:type="dxa"/>
            <w:tcBorders>
              <w:top w:val="nil"/>
              <w:left w:val="nil"/>
              <w:bottom w:val="single" w:sz="4" w:space="0" w:color="auto"/>
              <w:right w:val="nil"/>
            </w:tcBorders>
            <w:shd w:val="clear" w:color="auto" w:fill="auto"/>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w:t>
            </w:r>
          </w:p>
        </w:tc>
        <w:tc>
          <w:tcPr>
            <w:tcW w:w="480" w:type="dxa"/>
            <w:tcBorders>
              <w:top w:val="nil"/>
              <w:left w:val="nil"/>
              <w:bottom w:val="single" w:sz="4" w:space="0" w:color="auto"/>
              <w:right w:val="nil"/>
            </w:tcBorders>
            <w:shd w:val="clear" w:color="auto" w:fill="auto"/>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w:t>
            </w:r>
          </w:p>
        </w:tc>
        <w:tc>
          <w:tcPr>
            <w:tcW w:w="505" w:type="dxa"/>
            <w:tcBorders>
              <w:top w:val="nil"/>
              <w:left w:val="nil"/>
              <w:bottom w:val="single" w:sz="4" w:space="0" w:color="auto"/>
              <w:right w:val="nil"/>
            </w:tcBorders>
            <w:shd w:val="clear" w:color="auto" w:fill="auto"/>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w:t>
            </w:r>
          </w:p>
        </w:tc>
        <w:tc>
          <w:tcPr>
            <w:tcW w:w="505" w:type="dxa"/>
            <w:tcBorders>
              <w:top w:val="nil"/>
              <w:left w:val="single" w:sz="4" w:space="0" w:color="auto"/>
              <w:bottom w:val="single" w:sz="4" w:space="0" w:color="auto"/>
              <w:right w:val="single" w:sz="4" w:space="0" w:color="auto"/>
            </w:tcBorders>
            <w:shd w:val="clear" w:color="auto" w:fill="auto"/>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w:t>
            </w:r>
          </w:p>
        </w:tc>
      </w:tr>
      <w:tr w:rsidR="00F50583" w:rsidRPr="0035027D" w:rsidTr="00F50583">
        <w:trPr>
          <w:trHeight w:val="300"/>
          <w:jc w:val="center"/>
        </w:trPr>
        <w:tc>
          <w:tcPr>
            <w:tcW w:w="3740" w:type="dxa"/>
            <w:tcBorders>
              <w:top w:val="nil"/>
              <w:left w:val="single" w:sz="4" w:space="0" w:color="auto"/>
              <w:bottom w:val="nil"/>
              <w:right w:val="nil"/>
            </w:tcBorders>
            <w:shd w:val="clear" w:color="auto" w:fill="auto"/>
            <w:noWrap/>
            <w:vAlign w:val="center"/>
            <w:hideMark/>
          </w:tcPr>
          <w:p w:rsidR="00F50583" w:rsidRPr="0035027D" w:rsidRDefault="00F50583" w:rsidP="00F50583">
            <w:pPr>
              <w:spacing w:after="0"/>
              <w:jc w:val="left"/>
              <w:rPr>
                <w:rFonts w:cs="Times New Roman"/>
                <w:b/>
                <w:bCs/>
                <w:color w:val="000000"/>
                <w:sz w:val="20"/>
                <w:szCs w:val="20"/>
              </w:rPr>
            </w:pPr>
            <w:r w:rsidRPr="0035027D">
              <w:rPr>
                <w:rFonts w:cs="Times New Roman"/>
                <w:b/>
                <w:bCs/>
                <w:color w:val="000000"/>
                <w:sz w:val="20"/>
                <w:szCs w:val="20"/>
              </w:rPr>
              <w:t>Podiel OZE na hrubej konečnej spotrebe</w:t>
            </w:r>
          </w:p>
        </w:tc>
        <w:tc>
          <w:tcPr>
            <w:tcW w:w="368" w:type="dxa"/>
            <w:tcBorders>
              <w:top w:val="nil"/>
              <w:left w:val="nil"/>
              <w:bottom w:val="nil"/>
              <w:right w:val="single" w:sz="4" w:space="0" w:color="auto"/>
            </w:tcBorders>
            <w:shd w:val="clear" w:color="auto" w:fill="auto"/>
            <w:noWrap/>
            <w:vAlign w:val="center"/>
            <w:hideMark/>
          </w:tcPr>
          <w:p w:rsidR="00F50583" w:rsidRPr="0035027D" w:rsidRDefault="00F50583" w:rsidP="00F50583">
            <w:pPr>
              <w:spacing w:after="0"/>
              <w:jc w:val="left"/>
              <w:rPr>
                <w:rFonts w:cs="Times New Roman"/>
                <w:b/>
                <w:bCs/>
                <w:color w:val="000000"/>
                <w:sz w:val="20"/>
                <w:szCs w:val="20"/>
              </w:rPr>
            </w:pPr>
            <w:r w:rsidRPr="0035027D">
              <w:rPr>
                <w:rFonts w:cs="Times New Roman"/>
                <w:b/>
                <w:bCs/>
                <w:color w:val="000000"/>
                <w:sz w:val="20"/>
                <w:szCs w:val="20"/>
              </w:rPr>
              <w:t>SK</w:t>
            </w:r>
          </w:p>
        </w:tc>
        <w:tc>
          <w:tcPr>
            <w:tcW w:w="505" w:type="dxa"/>
            <w:tcBorders>
              <w:top w:val="nil"/>
              <w:left w:val="nil"/>
              <w:bottom w:val="nil"/>
              <w:right w:val="nil"/>
            </w:tcBorders>
            <w:shd w:val="clear" w:color="auto" w:fill="auto"/>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6,1</w:t>
            </w:r>
          </w:p>
        </w:tc>
        <w:tc>
          <w:tcPr>
            <w:tcW w:w="505" w:type="dxa"/>
            <w:tcBorders>
              <w:top w:val="nil"/>
              <w:left w:val="nil"/>
              <w:bottom w:val="nil"/>
              <w:right w:val="nil"/>
            </w:tcBorders>
            <w:shd w:val="clear" w:color="auto" w:fill="auto"/>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6,2</w:t>
            </w:r>
          </w:p>
        </w:tc>
        <w:tc>
          <w:tcPr>
            <w:tcW w:w="505" w:type="dxa"/>
            <w:tcBorders>
              <w:top w:val="nil"/>
              <w:left w:val="nil"/>
              <w:bottom w:val="nil"/>
              <w:right w:val="nil"/>
            </w:tcBorders>
            <w:shd w:val="clear" w:color="auto" w:fill="auto"/>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6,6</w:t>
            </w:r>
          </w:p>
        </w:tc>
        <w:tc>
          <w:tcPr>
            <w:tcW w:w="505" w:type="dxa"/>
            <w:tcBorders>
              <w:top w:val="nil"/>
              <w:left w:val="nil"/>
              <w:bottom w:val="nil"/>
              <w:right w:val="nil"/>
            </w:tcBorders>
            <w:shd w:val="clear" w:color="auto" w:fill="auto"/>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8,2</w:t>
            </w:r>
          </w:p>
        </w:tc>
        <w:tc>
          <w:tcPr>
            <w:tcW w:w="505" w:type="dxa"/>
            <w:tcBorders>
              <w:top w:val="nil"/>
              <w:left w:val="nil"/>
              <w:bottom w:val="nil"/>
              <w:right w:val="nil"/>
            </w:tcBorders>
            <w:shd w:val="clear" w:color="auto" w:fill="auto"/>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8,4</w:t>
            </w:r>
          </w:p>
        </w:tc>
        <w:tc>
          <w:tcPr>
            <w:tcW w:w="530" w:type="dxa"/>
            <w:tcBorders>
              <w:top w:val="nil"/>
              <w:left w:val="nil"/>
              <w:bottom w:val="nil"/>
              <w:right w:val="nil"/>
            </w:tcBorders>
            <w:shd w:val="clear" w:color="auto" w:fill="auto"/>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10,4</w:t>
            </w:r>
          </w:p>
        </w:tc>
        <w:tc>
          <w:tcPr>
            <w:tcW w:w="480" w:type="dxa"/>
            <w:tcBorders>
              <w:top w:val="nil"/>
              <w:left w:val="nil"/>
              <w:bottom w:val="nil"/>
              <w:right w:val="nil"/>
            </w:tcBorders>
            <w:shd w:val="clear" w:color="auto" w:fill="auto"/>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9,8</w:t>
            </w:r>
          </w:p>
        </w:tc>
        <w:tc>
          <w:tcPr>
            <w:tcW w:w="505" w:type="dxa"/>
            <w:tcBorders>
              <w:top w:val="nil"/>
              <w:left w:val="nil"/>
              <w:bottom w:val="nil"/>
              <w:right w:val="nil"/>
            </w:tcBorders>
            <w:shd w:val="clear" w:color="auto" w:fill="auto"/>
            <w:vAlign w:val="center"/>
            <w:hideMark/>
          </w:tcPr>
          <w:p w:rsidR="00F50583" w:rsidRPr="0035027D" w:rsidRDefault="007E7BEC" w:rsidP="00F50583">
            <w:pPr>
              <w:spacing w:after="0"/>
              <w:jc w:val="center"/>
              <w:rPr>
                <w:rFonts w:cs="Times New Roman"/>
                <w:color w:val="000000"/>
                <w:sz w:val="20"/>
                <w:szCs w:val="20"/>
              </w:rPr>
            </w:pPr>
            <w:r w:rsidRPr="0035027D">
              <w:rPr>
                <w:rFonts w:cs="Times New Roman"/>
                <w:color w:val="000000"/>
                <w:sz w:val="20"/>
                <w:szCs w:val="20"/>
              </w:rPr>
              <w:t>11,3*</w:t>
            </w:r>
          </w:p>
        </w:tc>
        <w:tc>
          <w:tcPr>
            <w:tcW w:w="505" w:type="dxa"/>
            <w:tcBorders>
              <w:top w:val="nil"/>
              <w:left w:val="single" w:sz="4" w:space="0" w:color="auto"/>
              <w:bottom w:val="nil"/>
              <w:right w:val="single" w:sz="4" w:space="0" w:color="auto"/>
            </w:tcBorders>
            <w:shd w:val="clear" w:color="auto" w:fill="auto"/>
            <w:noWrap/>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14</w:t>
            </w:r>
          </w:p>
        </w:tc>
      </w:tr>
      <w:tr w:rsidR="00A41F46" w:rsidRPr="0035027D" w:rsidTr="00F50583">
        <w:trPr>
          <w:trHeight w:val="300"/>
          <w:jc w:val="center"/>
        </w:trPr>
        <w:tc>
          <w:tcPr>
            <w:tcW w:w="3740" w:type="dxa"/>
            <w:tcBorders>
              <w:top w:val="nil"/>
              <w:left w:val="single" w:sz="4" w:space="0" w:color="auto"/>
              <w:bottom w:val="single" w:sz="4" w:space="0" w:color="auto"/>
              <w:right w:val="nil"/>
            </w:tcBorders>
            <w:shd w:val="clear" w:color="auto" w:fill="auto"/>
            <w:noWrap/>
            <w:vAlign w:val="center"/>
            <w:hideMark/>
          </w:tcPr>
          <w:p w:rsidR="00F50583" w:rsidRPr="0035027D" w:rsidRDefault="00F50583" w:rsidP="00F50583">
            <w:pPr>
              <w:spacing w:after="0"/>
              <w:rPr>
                <w:rFonts w:cs="Times New Roman"/>
                <w:color w:val="000000"/>
                <w:sz w:val="20"/>
                <w:szCs w:val="20"/>
              </w:rPr>
            </w:pPr>
            <w:r w:rsidRPr="0035027D">
              <w:rPr>
                <w:rFonts w:cs="Times New Roman"/>
                <w:color w:val="000000"/>
                <w:sz w:val="20"/>
                <w:szCs w:val="20"/>
              </w:rPr>
              <w:t>(%)</w:t>
            </w:r>
          </w:p>
        </w:tc>
        <w:tc>
          <w:tcPr>
            <w:tcW w:w="368" w:type="dxa"/>
            <w:tcBorders>
              <w:top w:val="nil"/>
              <w:left w:val="nil"/>
              <w:bottom w:val="single" w:sz="4" w:space="0" w:color="auto"/>
              <w:right w:val="single" w:sz="4" w:space="0" w:color="auto"/>
            </w:tcBorders>
            <w:shd w:val="clear" w:color="auto" w:fill="auto"/>
            <w:noWrap/>
            <w:vAlign w:val="center"/>
            <w:hideMark/>
          </w:tcPr>
          <w:p w:rsidR="00F50583" w:rsidRPr="0035027D" w:rsidRDefault="00F50583" w:rsidP="00F50583">
            <w:pPr>
              <w:spacing w:after="0"/>
              <w:jc w:val="left"/>
              <w:rPr>
                <w:rFonts w:cs="Times New Roman"/>
                <w:b/>
                <w:bCs/>
                <w:color w:val="000000"/>
                <w:sz w:val="20"/>
                <w:szCs w:val="20"/>
              </w:rPr>
            </w:pPr>
            <w:r w:rsidRPr="0035027D">
              <w:rPr>
                <w:rFonts w:cs="Times New Roman"/>
                <w:b/>
                <w:bCs/>
                <w:color w:val="000000"/>
                <w:sz w:val="20"/>
                <w:szCs w:val="20"/>
              </w:rPr>
              <w:t>EÚ</w:t>
            </w:r>
          </w:p>
        </w:tc>
        <w:tc>
          <w:tcPr>
            <w:tcW w:w="505" w:type="dxa"/>
            <w:tcBorders>
              <w:top w:val="nil"/>
              <w:left w:val="nil"/>
              <w:bottom w:val="single" w:sz="4" w:space="0" w:color="auto"/>
              <w:right w:val="nil"/>
            </w:tcBorders>
            <w:shd w:val="clear" w:color="auto" w:fill="auto"/>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8,1</w:t>
            </w:r>
          </w:p>
        </w:tc>
        <w:tc>
          <w:tcPr>
            <w:tcW w:w="505" w:type="dxa"/>
            <w:tcBorders>
              <w:top w:val="nil"/>
              <w:left w:val="nil"/>
              <w:bottom w:val="single" w:sz="4" w:space="0" w:color="auto"/>
              <w:right w:val="nil"/>
            </w:tcBorders>
            <w:shd w:val="clear" w:color="auto" w:fill="auto"/>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8,5</w:t>
            </w:r>
          </w:p>
        </w:tc>
        <w:tc>
          <w:tcPr>
            <w:tcW w:w="505" w:type="dxa"/>
            <w:tcBorders>
              <w:top w:val="nil"/>
              <w:left w:val="nil"/>
              <w:bottom w:val="single" w:sz="4" w:space="0" w:color="auto"/>
              <w:right w:val="nil"/>
            </w:tcBorders>
            <w:shd w:val="clear" w:color="auto" w:fill="auto"/>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9</w:t>
            </w:r>
          </w:p>
        </w:tc>
        <w:tc>
          <w:tcPr>
            <w:tcW w:w="505" w:type="dxa"/>
            <w:tcBorders>
              <w:top w:val="nil"/>
              <w:left w:val="nil"/>
              <w:bottom w:val="single" w:sz="4" w:space="0" w:color="auto"/>
              <w:right w:val="nil"/>
            </w:tcBorders>
            <w:shd w:val="clear" w:color="auto" w:fill="auto"/>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9,9</w:t>
            </w:r>
          </w:p>
        </w:tc>
        <w:tc>
          <w:tcPr>
            <w:tcW w:w="505" w:type="dxa"/>
            <w:tcBorders>
              <w:top w:val="nil"/>
              <w:left w:val="nil"/>
              <w:bottom w:val="single" w:sz="4" w:space="0" w:color="auto"/>
              <w:right w:val="nil"/>
            </w:tcBorders>
            <w:shd w:val="clear" w:color="auto" w:fill="auto"/>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10,5</w:t>
            </w:r>
          </w:p>
        </w:tc>
        <w:tc>
          <w:tcPr>
            <w:tcW w:w="530" w:type="dxa"/>
            <w:tcBorders>
              <w:top w:val="nil"/>
              <w:left w:val="nil"/>
              <w:bottom w:val="single" w:sz="4" w:space="0" w:color="auto"/>
              <w:right w:val="nil"/>
            </w:tcBorders>
            <w:shd w:val="clear" w:color="auto" w:fill="auto"/>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11,7</w:t>
            </w:r>
          </w:p>
        </w:tc>
        <w:tc>
          <w:tcPr>
            <w:tcW w:w="480" w:type="dxa"/>
            <w:tcBorders>
              <w:top w:val="nil"/>
              <w:left w:val="nil"/>
              <w:bottom w:val="single" w:sz="4" w:space="0" w:color="auto"/>
              <w:right w:val="nil"/>
            </w:tcBorders>
            <w:shd w:val="clear" w:color="auto" w:fill="auto"/>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12,5</w:t>
            </w:r>
          </w:p>
        </w:tc>
        <w:tc>
          <w:tcPr>
            <w:tcW w:w="505" w:type="dxa"/>
            <w:tcBorders>
              <w:top w:val="nil"/>
              <w:left w:val="nil"/>
              <w:bottom w:val="single" w:sz="4" w:space="0" w:color="auto"/>
              <w:right w:val="nil"/>
            </w:tcBorders>
            <w:shd w:val="clear" w:color="auto" w:fill="auto"/>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w:t>
            </w:r>
          </w:p>
        </w:tc>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20</w:t>
            </w:r>
          </w:p>
        </w:tc>
      </w:tr>
      <w:tr w:rsidR="00A41F46" w:rsidRPr="0035027D" w:rsidTr="00F50583">
        <w:trPr>
          <w:trHeight w:val="300"/>
          <w:jc w:val="center"/>
        </w:trPr>
        <w:tc>
          <w:tcPr>
            <w:tcW w:w="3740" w:type="dxa"/>
            <w:tcBorders>
              <w:top w:val="nil"/>
              <w:left w:val="single" w:sz="4" w:space="0" w:color="auto"/>
              <w:bottom w:val="nil"/>
              <w:right w:val="nil"/>
            </w:tcBorders>
            <w:shd w:val="clear" w:color="auto" w:fill="auto"/>
            <w:noWrap/>
            <w:vAlign w:val="center"/>
            <w:hideMark/>
          </w:tcPr>
          <w:p w:rsidR="00F50583" w:rsidRPr="0035027D" w:rsidRDefault="00F50583" w:rsidP="00F50583">
            <w:pPr>
              <w:spacing w:after="0"/>
              <w:jc w:val="left"/>
              <w:rPr>
                <w:rFonts w:cs="Times New Roman"/>
                <w:b/>
                <w:bCs/>
                <w:color w:val="000000"/>
                <w:sz w:val="20"/>
                <w:szCs w:val="20"/>
              </w:rPr>
            </w:pPr>
            <w:r w:rsidRPr="0035027D">
              <w:rPr>
                <w:rFonts w:cs="Times New Roman"/>
                <w:b/>
                <w:bCs/>
                <w:color w:val="000000"/>
                <w:sz w:val="20"/>
                <w:szCs w:val="20"/>
              </w:rPr>
              <w:t>Konečná energetická spotreba</w:t>
            </w:r>
          </w:p>
        </w:tc>
        <w:tc>
          <w:tcPr>
            <w:tcW w:w="368" w:type="dxa"/>
            <w:tcBorders>
              <w:top w:val="nil"/>
              <w:left w:val="nil"/>
              <w:bottom w:val="nil"/>
              <w:right w:val="single" w:sz="4" w:space="0" w:color="auto"/>
            </w:tcBorders>
            <w:shd w:val="clear" w:color="auto" w:fill="auto"/>
            <w:noWrap/>
            <w:vAlign w:val="center"/>
            <w:hideMark/>
          </w:tcPr>
          <w:p w:rsidR="00F50583" w:rsidRPr="0035027D" w:rsidRDefault="00F50583" w:rsidP="00F50583">
            <w:pPr>
              <w:spacing w:after="0"/>
              <w:jc w:val="left"/>
              <w:rPr>
                <w:rFonts w:cs="Times New Roman"/>
                <w:b/>
                <w:bCs/>
                <w:color w:val="000000"/>
                <w:sz w:val="20"/>
                <w:szCs w:val="20"/>
              </w:rPr>
            </w:pPr>
            <w:r w:rsidRPr="0035027D">
              <w:rPr>
                <w:rFonts w:cs="Times New Roman"/>
                <w:b/>
                <w:bCs/>
                <w:color w:val="000000"/>
                <w:sz w:val="20"/>
                <w:szCs w:val="20"/>
              </w:rPr>
              <w:t>SK</w:t>
            </w:r>
          </w:p>
        </w:tc>
        <w:tc>
          <w:tcPr>
            <w:tcW w:w="505" w:type="dxa"/>
            <w:tcBorders>
              <w:top w:val="nil"/>
              <w:left w:val="nil"/>
              <w:bottom w:val="nil"/>
              <w:right w:val="nil"/>
            </w:tcBorders>
            <w:shd w:val="clear" w:color="auto" w:fill="auto"/>
            <w:noWrap/>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w:t>
            </w:r>
          </w:p>
        </w:tc>
        <w:tc>
          <w:tcPr>
            <w:tcW w:w="505" w:type="dxa"/>
            <w:tcBorders>
              <w:top w:val="nil"/>
              <w:left w:val="nil"/>
              <w:bottom w:val="nil"/>
              <w:right w:val="nil"/>
            </w:tcBorders>
            <w:shd w:val="clear" w:color="auto" w:fill="auto"/>
            <w:noWrap/>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w:t>
            </w:r>
          </w:p>
        </w:tc>
        <w:tc>
          <w:tcPr>
            <w:tcW w:w="505" w:type="dxa"/>
            <w:tcBorders>
              <w:top w:val="nil"/>
              <w:left w:val="nil"/>
              <w:bottom w:val="nil"/>
              <w:right w:val="nil"/>
            </w:tcBorders>
            <w:shd w:val="clear" w:color="auto" w:fill="auto"/>
            <w:noWrap/>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-0,9</w:t>
            </w:r>
          </w:p>
        </w:tc>
        <w:tc>
          <w:tcPr>
            <w:tcW w:w="505" w:type="dxa"/>
            <w:tcBorders>
              <w:top w:val="nil"/>
              <w:left w:val="nil"/>
              <w:bottom w:val="nil"/>
              <w:right w:val="nil"/>
            </w:tcBorders>
            <w:shd w:val="clear" w:color="auto" w:fill="auto"/>
            <w:noWrap/>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-2,3</w:t>
            </w:r>
          </w:p>
        </w:tc>
        <w:tc>
          <w:tcPr>
            <w:tcW w:w="505" w:type="dxa"/>
            <w:tcBorders>
              <w:top w:val="nil"/>
              <w:left w:val="nil"/>
              <w:bottom w:val="nil"/>
              <w:right w:val="nil"/>
            </w:tcBorders>
            <w:shd w:val="clear" w:color="auto" w:fill="auto"/>
            <w:noWrap/>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1,2</w:t>
            </w:r>
          </w:p>
        </w:tc>
        <w:tc>
          <w:tcPr>
            <w:tcW w:w="530" w:type="dxa"/>
            <w:tcBorders>
              <w:top w:val="nil"/>
              <w:left w:val="nil"/>
              <w:bottom w:val="nil"/>
              <w:right w:val="nil"/>
            </w:tcBorders>
            <w:shd w:val="clear" w:color="auto" w:fill="auto"/>
            <w:noWrap/>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-6,3</w:t>
            </w:r>
          </w:p>
        </w:tc>
        <w:tc>
          <w:tcPr>
            <w:tcW w:w="480" w:type="dxa"/>
            <w:tcBorders>
              <w:top w:val="nil"/>
              <w:left w:val="nil"/>
              <w:bottom w:val="nil"/>
              <w:right w:val="nil"/>
            </w:tcBorders>
            <w:shd w:val="clear" w:color="auto" w:fill="auto"/>
            <w:noWrap/>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6,1</w:t>
            </w:r>
          </w:p>
        </w:tc>
        <w:tc>
          <w:tcPr>
            <w:tcW w:w="505" w:type="dxa"/>
            <w:tcBorders>
              <w:top w:val="nil"/>
              <w:left w:val="nil"/>
              <w:bottom w:val="nil"/>
              <w:right w:val="nil"/>
            </w:tcBorders>
            <w:shd w:val="clear" w:color="auto" w:fill="auto"/>
            <w:noWrap/>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-1,0</w:t>
            </w:r>
          </w:p>
        </w:tc>
        <w:tc>
          <w:tcPr>
            <w:tcW w:w="505" w:type="dxa"/>
            <w:tcBorders>
              <w:top w:val="nil"/>
              <w:left w:val="single" w:sz="4" w:space="0" w:color="auto"/>
              <w:bottom w:val="nil"/>
              <w:right w:val="single" w:sz="4" w:space="0" w:color="auto"/>
            </w:tcBorders>
            <w:shd w:val="clear" w:color="auto" w:fill="auto"/>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-11</w:t>
            </w:r>
          </w:p>
        </w:tc>
      </w:tr>
      <w:tr w:rsidR="00A41F46" w:rsidRPr="0035027D" w:rsidTr="00F50583">
        <w:trPr>
          <w:trHeight w:val="300"/>
          <w:jc w:val="center"/>
        </w:trPr>
        <w:tc>
          <w:tcPr>
            <w:tcW w:w="3740" w:type="dxa"/>
            <w:tcBorders>
              <w:top w:val="nil"/>
              <w:left w:val="single" w:sz="4" w:space="0" w:color="auto"/>
              <w:bottom w:val="single" w:sz="4" w:space="0" w:color="auto"/>
              <w:right w:val="nil"/>
            </w:tcBorders>
            <w:shd w:val="clear" w:color="auto" w:fill="auto"/>
            <w:noWrap/>
            <w:vAlign w:val="center"/>
            <w:hideMark/>
          </w:tcPr>
          <w:p w:rsidR="00F50583" w:rsidRPr="0035027D" w:rsidRDefault="00F50583" w:rsidP="00F50583">
            <w:pPr>
              <w:spacing w:after="0"/>
              <w:rPr>
                <w:rFonts w:cs="Times New Roman"/>
                <w:color w:val="000000"/>
                <w:sz w:val="20"/>
                <w:szCs w:val="20"/>
              </w:rPr>
            </w:pPr>
            <w:r w:rsidRPr="0035027D">
              <w:rPr>
                <w:rFonts w:cs="Times New Roman"/>
                <w:color w:val="000000"/>
                <w:sz w:val="20"/>
                <w:szCs w:val="20"/>
              </w:rPr>
              <w:t>(%, zmena voči priemeru rokov 2001- 2005)</w:t>
            </w:r>
          </w:p>
        </w:tc>
        <w:tc>
          <w:tcPr>
            <w:tcW w:w="368" w:type="dxa"/>
            <w:tcBorders>
              <w:top w:val="nil"/>
              <w:left w:val="nil"/>
              <w:bottom w:val="single" w:sz="4" w:space="0" w:color="auto"/>
              <w:right w:val="single" w:sz="4" w:space="0" w:color="auto"/>
            </w:tcBorders>
            <w:shd w:val="clear" w:color="auto" w:fill="auto"/>
            <w:noWrap/>
            <w:vAlign w:val="center"/>
            <w:hideMark/>
          </w:tcPr>
          <w:p w:rsidR="00F50583" w:rsidRPr="0035027D" w:rsidRDefault="00F50583" w:rsidP="00F50583">
            <w:pPr>
              <w:spacing w:after="0"/>
              <w:jc w:val="left"/>
              <w:rPr>
                <w:rFonts w:cs="Times New Roman"/>
                <w:b/>
                <w:bCs/>
                <w:color w:val="000000"/>
                <w:sz w:val="20"/>
                <w:szCs w:val="20"/>
              </w:rPr>
            </w:pPr>
            <w:r w:rsidRPr="0035027D">
              <w:rPr>
                <w:rFonts w:cs="Times New Roman"/>
                <w:b/>
                <w:bCs/>
                <w:color w:val="000000"/>
                <w:sz w:val="20"/>
                <w:szCs w:val="20"/>
              </w:rPr>
              <w:t>EÚ</w:t>
            </w:r>
          </w:p>
        </w:tc>
        <w:tc>
          <w:tcPr>
            <w:tcW w:w="505" w:type="dxa"/>
            <w:tcBorders>
              <w:top w:val="nil"/>
              <w:left w:val="nil"/>
              <w:bottom w:val="nil"/>
              <w:right w:val="nil"/>
            </w:tcBorders>
            <w:shd w:val="clear" w:color="auto" w:fill="auto"/>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w:t>
            </w:r>
          </w:p>
        </w:tc>
        <w:tc>
          <w:tcPr>
            <w:tcW w:w="505" w:type="dxa"/>
            <w:tcBorders>
              <w:top w:val="nil"/>
              <w:left w:val="nil"/>
              <w:bottom w:val="nil"/>
              <w:right w:val="nil"/>
            </w:tcBorders>
            <w:shd w:val="clear" w:color="auto" w:fill="auto"/>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w:t>
            </w:r>
          </w:p>
        </w:tc>
        <w:tc>
          <w:tcPr>
            <w:tcW w:w="505" w:type="dxa"/>
            <w:tcBorders>
              <w:top w:val="nil"/>
              <w:left w:val="nil"/>
              <w:bottom w:val="nil"/>
              <w:right w:val="nil"/>
            </w:tcBorders>
            <w:shd w:val="clear" w:color="auto" w:fill="auto"/>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2,3</w:t>
            </w:r>
          </w:p>
        </w:tc>
        <w:tc>
          <w:tcPr>
            <w:tcW w:w="505" w:type="dxa"/>
            <w:tcBorders>
              <w:top w:val="nil"/>
              <w:left w:val="nil"/>
              <w:bottom w:val="nil"/>
              <w:right w:val="nil"/>
            </w:tcBorders>
            <w:shd w:val="clear" w:color="auto" w:fill="auto"/>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0,0</w:t>
            </w:r>
          </w:p>
        </w:tc>
        <w:tc>
          <w:tcPr>
            <w:tcW w:w="505" w:type="dxa"/>
            <w:tcBorders>
              <w:top w:val="nil"/>
              <w:left w:val="nil"/>
              <w:bottom w:val="nil"/>
              <w:right w:val="nil"/>
            </w:tcBorders>
            <w:shd w:val="clear" w:color="auto" w:fill="auto"/>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0,7</w:t>
            </w:r>
          </w:p>
        </w:tc>
        <w:tc>
          <w:tcPr>
            <w:tcW w:w="530" w:type="dxa"/>
            <w:tcBorders>
              <w:top w:val="nil"/>
              <w:left w:val="nil"/>
              <w:bottom w:val="nil"/>
              <w:right w:val="nil"/>
            </w:tcBorders>
            <w:shd w:val="clear" w:color="auto" w:fill="auto"/>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-4,6</w:t>
            </w:r>
          </w:p>
        </w:tc>
        <w:tc>
          <w:tcPr>
            <w:tcW w:w="480" w:type="dxa"/>
            <w:tcBorders>
              <w:top w:val="nil"/>
              <w:left w:val="nil"/>
              <w:bottom w:val="nil"/>
              <w:right w:val="nil"/>
            </w:tcBorders>
            <w:shd w:val="clear" w:color="auto" w:fill="auto"/>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-1,2</w:t>
            </w:r>
          </w:p>
        </w:tc>
        <w:tc>
          <w:tcPr>
            <w:tcW w:w="505" w:type="dxa"/>
            <w:tcBorders>
              <w:top w:val="nil"/>
              <w:left w:val="nil"/>
              <w:bottom w:val="nil"/>
              <w:right w:val="nil"/>
            </w:tcBorders>
            <w:shd w:val="clear" w:color="auto" w:fill="auto"/>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-5,3</w:t>
            </w:r>
          </w:p>
        </w:tc>
        <w:tc>
          <w:tcPr>
            <w:tcW w:w="505" w:type="dxa"/>
            <w:tcBorders>
              <w:top w:val="nil"/>
              <w:left w:val="single" w:sz="4" w:space="0" w:color="auto"/>
              <w:bottom w:val="nil"/>
              <w:right w:val="single" w:sz="4" w:space="0" w:color="auto"/>
            </w:tcBorders>
            <w:shd w:val="clear" w:color="auto" w:fill="auto"/>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w:t>
            </w:r>
          </w:p>
        </w:tc>
      </w:tr>
      <w:tr w:rsidR="00A41F46" w:rsidRPr="0035027D" w:rsidTr="00B02979">
        <w:trPr>
          <w:trHeight w:val="300"/>
          <w:jc w:val="center"/>
        </w:trPr>
        <w:tc>
          <w:tcPr>
            <w:tcW w:w="3740" w:type="dxa"/>
            <w:tcBorders>
              <w:top w:val="nil"/>
              <w:left w:val="single" w:sz="4" w:space="0" w:color="auto"/>
              <w:right w:val="nil"/>
            </w:tcBorders>
            <w:shd w:val="clear" w:color="auto" w:fill="auto"/>
            <w:noWrap/>
            <w:vAlign w:val="center"/>
            <w:hideMark/>
          </w:tcPr>
          <w:p w:rsidR="00F50583" w:rsidRPr="0035027D" w:rsidRDefault="00F50583" w:rsidP="00F50583">
            <w:pPr>
              <w:spacing w:after="0"/>
              <w:jc w:val="left"/>
              <w:rPr>
                <w:rFonts w:cs="Times New Roman"/>
                <w:b/>
                <w:bCs/>
                <w:color w:val="000000"/>
                <w:sz w:val="20"/>
                <w:szCs w:val="20"/>
              </w:rPr>
            </w:pPr>
            <w:r w:rsidRPr="0035027D">
              <w:rPr>
                <w:rFonts w:cs="Times New Roman"/>
                <w:b/>
                <w:bCs/>
                <w:color w:val="000000"/>
                <w:sz w:val="20"/>
                <w:szCs w:val="20"/>
              </w:rPr>
              <w:t>Trend EPI</w:t>
            </w:r>
          </w:p>
        </w:tc>
        <w:tc>
          <w:tcPr>
            <w:tcW w:w="368" w:type="dxa"/>
            <w:tcBorders>
              <w:top w:val="nil"/>
              <w:left w:val="nil"/>
              <w:right w:val="single" w:sz="4" w:space="0" w:color="auto"/>
            </w:tcBorders>
            <w:shd w:val="clear" w:color="auto" w:fill="auto"/>
            <w:noWrap/>
            <w:vAlign w:val="center"/>
            <w:hideMark/>
          </w:tcPr>
          <w:p w:rsidR="00F50583" w:rsidRPr="0035027D" w:rsidRDefault="00F50583" w:rsidP="00F50583">
            <w:pPr>
              <w:spacing w:after="0"/>
              <w:jc w:val="left"/>
              <w:rPr>
                <w:rFonts w:cs="Times New Roman"/>
                <w:b/>
                <w:bCs/>
                <w:color w:val="000000"/>
                <w:sz w:val="20"/>
                <w:szCs w:val="20"/>
              </w:rPr>
            </w:pPr>
            <w:r w:rsidRPr="0035027D">
              <w:rPr>
                <w:rFonts w:cs="Times New Roman"/>
                <w:b/>
                <w:bCs/>
                <w:color w:val="000000"/>
                <w:sz w:val="20"/>
                <w:szCs w:val="20"/>
              </w:rPr>
              <w:t>SK</w:t>
            </w:r>
          </w:p>
        </w:tc>
        <w:tc>
          <w:tcPr>
            <w:tcW w:w="505" w:type="dxa"/>
            <w:tcBorders>
              <w:top w:val="single" w:sz="4" w:space="0" w:color="auto"/>
              <w:left w:val="single" w:sz="4" w:space="0" w:color="auto"/>
              <w:right w:val="nil"/>
            </w:tcBorders>
            <w:shd w:val="clear" w:color="auto" w:fill="auto"/>
            <w:noWrap/>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w:t>
            </w:r>
          </w:p>
        </w:tc>
        <w:tc>
          <w:tcPr>
            <w:tcW w:w="505" w:type="dxa"/>
            <w:tcBorders>
              <w:top w:val="single" w:sz="4" w:space="0" w:color="auto"/>
              <w:left w:val="nil"/>
              <w:right w:val="nil"/>
            </w:tcBorders>
            <w:shd w:val="clear" w:color="auto" w:fill="auto"/>
            <w:noWrap/>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64,0</w:t>
            </w:r>
          </w:p>
        </w:tc>
        <w:tc>
          <w:tcPr>
            <w:tcW w:w="505" w:type="dxa"/>
            <w:tcBorders>
              <w:top w:val="single" w:sz="4" w:space="0" w:color="auto"/>
              <w:left w:val="nil"/>
              <w:right w:val="nil"/>
            </w:tcBorders>
            <w:shd w:val="clear" w:color="auto" w:fill="auto"/>
            <w:noWrap/>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64,8</w:t>
            </w:r>
          </w:p>
        </w:tc>
        <w:tc>
          <w:tcPr>
            <w:tcW w:w="505" w:type="dxa"/>
            <w:tcBorders>
              <w:top w:val="single" w:sz="4" w:space="0" w:color="auto"/>
              <w:left w:val="nil"/>
              <w:right w:val="nil"/>
            </w:tcBorders>
            <w:shd w:val="clear" w:color="auto" w:fill="auto"/>
            <w:noWrap/>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66,1</w:t>
            </w:r>
          </w:p>
        </w:tc>
        <w:tc>
          <w:tcPr>
            <w:tcW w:w="505" w:type="dxa"/>
            <w:tcBorders>
              <w:top w:val="single" w:sz="4" w:space="0" w:color="auto"/>
              <w:left w:val="nil"/>
              <w:right w:val="nil"/>
            </w:tcBorders>
            <w:shd w:val="clear" w:color="auto" w:fill="auto"/>
            <w:noWrap/>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66,3</w:t>
            </w:r>
          </w:p>
        </w:tc>
        <w:tc>
          <w:tcPr>
            <w:tcW w:w="530" w:type="dxa"/>
            <w:tcBorders>
              <w:top w:val="single" w:sz="4" w:space="0" w:color="auto"/>
              <w:left w:val="nil"/>
              <w:right w:val="nil"/>
            </w:tcBorders>
            <w:shd w:val="clear" w:color="auto" w:fill="auto"/>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66,6</w:t>
            </w:r>
          </w:p>
        </w:tc>
        <w:tc>
          <w:tcPr>
            <w:tcW w:w="480" w:type="dxa"/>
            <w:tcBorders>
              <w:top w:val="single" w:sz="4" w:space="0" w:color="auto"/>
              <w:left w:val="nil"/>
              <w:right w:val="nil"/>
            </w:tcBorders>
            <w:shd w:val="clear" w:color="auto" w:fill="auto"/>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66,6</w:t>
            </w:r>
          </w:p>
        </w:tc>
        <w:tc>
          <w:tcPr>
            <w:tcW w:w="505" w:type="dxa"/>
            <w:tcBorders>
              <w:top w:val="single" w:sz="4" w:space="0" w:color="auto"/>
              <w:left w:val="nil"/>
              <w:right w:val="single" w:sz="4" w:space="0" w:color="auto"/>
            </w:tcBorders>
            <w:shd w:val="clear" w:color="auto" w:fill="auto"/>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w:t>
            </w:r>
          </w:p>
        </w:tc>
        <w:tc>
          <w:tcPr>
            <w:tcW w:w="505" w:type="dxa"/>
            <w:tcBorders>
              <w:top w:val="single" w:sz="4" w:space="0" w:color="auto"/>
              <w:left w:val="nil"/>
              <w:right w:val="single" w:sz="4" w:space="0" w:color="auto"/>
            </w:tcBorders>
            <w:shd w:val="clear" w:color="auto" w:fill="auto"/>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68,3</w:t>
            </w:r>
          </w:p>
        </w:tc>
      </w:tr>
      <w:tr w:rsidR="00A41F46" w:rsidRPr="0035027D" w:rsidTr="00B02979">
        <w:trPr>
          <w:trHeight w:val="300"/>
          <w:jc w:val="center"/>
        </w:trPr>
        <w:tc>
          <w:tcPr>
            <w:tcW w:w="3740" w:type="dxa"/>
            <w:tcBorders>
              <w:top w:val="nil"/>
              <w:left w:val="single" w:sz="4" w:space="0" w:color="auto"/>
              <w:bottom w:val="single" w:sz="4" w:space="0" w:color="auto"/>
              <w:right w:val="nil"/>
            </w:tcBorders>
            <w:shd w:val="clear" w:color="auto" w:fill="auto"/>
            <w:noWrap/>
            <w:vAlign w:val="center"/>
            <w:hideMark/>
          </w:tcPr>
          <w:p w:rsidR="00F50583" w:rsidRPr="0035027D" w:rsidRDefault="00F50583" w:rsidP="00F50583">
            <w:pPr>
              <w:spacing w:after="0"/>
              <w:rPr>
                <w:rFonts w:cs="Times New Roman"/>
                <w:color w:val="000000"/>
                <w:sz w:val="20"/>
                <w:szCs w:val="20"/>
              </w:rPr>
            </w:pPr>
            <w:r w:rsidRPr="0035027D">
              <w:rPr>
                <w:rFonts w:cs="Times New Roman"/>
                <w:color w:val="000000"/>
                <w:sz w:val="20"/>
                <w:szCs w:val="20"/>
              </w:rPr>
              <w:t> </w:t>
            </w:r>
          </w:p>
        </w:tc>
        <w:tc>
          <w:tcPr>
            <w:tcW w:w="368" w:type="dxa"/>
            <w:tcBorders>
              <w:top w:val="nil"/>
              <w:left w:val="nil"/>
              <w:bottom w:val="single" w:sz="4" w:space="0" w:color="auto"/>
              <w:right w:val="single" w:sz="4" w:space="0" w:color="auto"/>
            </w:tcBorders>
            <w:shd w:val="clear" w:color="auto" w:fill="auto"/>
            <w:noWrap/>
            <w:vAlign w:val="center"/>
            <w:hideMark/>
          </w:tcPr>
          <w:p w:rsidR="00F50583" w:rsidRPr="0035027D" w:rsidRDefault="00F50583" w:rsidP="00F50583">
            <w:pPr>
              <w:spacing w:after="0"/>
              <w:jc w:val="left"/>
              <w:rPr>
                <w:rFonts w:cs="Times New Roman"/>
                <w:b/>
                <w:bCs/>
                <w:color w:val="000000"/>
                <w:sz w:val="20"/>
                <w:szCs w:val="20"/>
              </w:rPr>
            </w:pPr>
            <w:r w:rsidRPr="0035027D">
              <w:rPr>
                <w:rFonts w:cs="Times New Roman"/>
                <w:b/>
                <w:bCs/>
                <w:color w:val="000000"/>
                <w:sz w:val="20"/>
                <w:szCs w:val="20"/>
              </w:rPr>
              <w:t>EÚ</w:t>
            </w:r>
          </w:p>
        </w:tc>
        <w:tc>
          <w:tcPr>
            <w:tcW w:w="505" w:type="dxa"/>
            <w:tcBorders>
              <w:top w:val="nil"/>
              <w:left w:val="single" w:sz="4" w:space="0" w:color="auto"/>
              <w:bottom w:val="single" w:sz="4" w:space="0" w:color="auto"/>
              <w:right w:val="nil"/>
            </w:tcBorders>
            <w:shd w:val="clear" w:color="auto" w:fill="auto"/>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w:t>
            </w:r>
          </w:p>
        </w:tc>
        <w:tc>
          <w:tcPr>
            <w:tcW w:w="505" w:type="dxa"/>
            <w:tcBorders>
              <w:top w:val="nil"/>
              <w:left w:val="nil"/>
              <w:bottom w:val="single" w:sz="4" w:space="0" w:color="auto"/>
              <w:right w:val="nil"/>
            </w:tcBorders>
            <w:shd w:val="clear" w:color="auto" w:fill="auto"/>
            <w:noWrap/>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w:t>
            </w:r>
          </w:p>
        </w:tc>
        <w:tc>
          <w:tcPr>
            <w:tcW w:w="505" w:type="dxa"/>
            <w:tcBorders>
              <w:top w:val="nil"/>
              <w:left w:val="nil"/>
              <w:bottom w:val="single" w:sz="4" w:space="0" w:color="auto"/>
              <w:right w:val="nil"/>
            </w:tcBorders>
            <w:shd w:val="clear" w:color="auto" w:fill="auto"/>
            <w:noWrap/>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w:t>
            </w:r>
          </w:p>
        </w:tc>
        <w:tc>
          <w:tcPr>
            <w:tcW w:w="505" w:type="dxa"/>
            <w:tcBorders>
              <w:top w:val="nil"/>
              <w:left w:val="nil"/>
              <w:bottom w:val="single" w:sz="4" w:space="0" w:color="auto"/>
              <w:right w:val="nil"/>
            </w:tcBorders>
            <w:shd w:val="clear" w:color="auto" w:fill="auto"/>
            <w:noWrap/>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w:t>
            </w:r>
          </w:p>
        </w:tc>
        <w:tc>
          <w:tcPr>
            <w:tcW w:w="505" w:type="dxa"/>
            <w:tcBorders>
              <w:top w:val="nil"/>
              <w:left w:val="nil"/>
              <w:bottom w:val="single" w:sz="4" w:space="0" w:color="auto"/>
              <w:right w:val="nil"/>
            </w:tcBorders>
            <w:shd w:val="clear" w:color="auto" w:fill="auto"/>
            <w:noWrap/>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w:t>
            </w:r>
          </w:p>
        </w:tc>
        <w:tc>
          <w:tcPr>
            <w:tcW w:w="530" w:type="dxa"/>
            <w:tcBorders>
              <w:top w:val="nil"/>
              <w:left w:val="nil"/>
              <w:bottom w:val="single" w:sz="4" w:space="0" w:color="auto"/>
              <w:right w:val="nil"/>
            </w:tcBorders>
            <w:shd w:val="clear" w:color="auto" w:fill="auto"/>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w:t>
            </w:r>
          </w:p>
        </w:tc>
        <w:tc>
          <w:tcPr>
            <w:tcW w:w="480" w:type="dxa"/>
            <w:tcBorders>
              <w:top w:val="nil"/>
              <w:left w:val="nil"/>
              <w:bottom w:val="single" w:sz="4" w:space="0" w:color="auto"/>
              <w:right w:val="nil"/>
            </w:tcBorders>
            <w:shd w:val="clear" w:color="auto" w:fill="auto"/>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w:t>
            </w:r>
          </w:p>
        </w:tc>
        <w:tc>
          <w:tcPr>
            <w:tcW w:w="505" w:type="dxa"/>
            <w:tcBorders>
              <w:top w:val="nil"/>
              <w:left w:val="nil"/>
              <w:bottom w:val="single" w:sz="4" w:space="0" w:color="auto"/>
              <w:right w:val="single" w:sz="4" w:space="0" w:color="auto"/>
            </w:tcBorders>
            <w:shd w:val="clear" w:color="auto" w:fill="auto"/>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w:t>
            </w:r>
          </w:p>
        </w:tc>
        <w:tc>
          <w:tcPr>
            <w:tcW w:w="505" w:type="dxa"/>
            <w:tcBorders>
              <w:top w:val="nil"/>
              <w:left w:val="nil"/>
              <w:bottom w:val="single" w:sz="4" w:space="0" w:color="auto"/>
              <w:right w:val="single" w:sz="4" w:space="0" w:color="auto"/>
            </w:tcBorders>
            <w:shd w:val="clear" w:color="auto" w:fill="auto"/>
            <w:vAlign w:val="center"/>
            <w:hideMark/>
          </w:tcPr>
          <w:p w:rsidR="00F50583" w:rsidRPr="0035027D" w:rsidRDefault="00F50583" w:rsidP="00F50583">
            <w:pPr>
              <w:spacing w:after="0"/>
              <w:jc w:val="center"/>
              <w:rPr>
                <w:rFonts w:cs="Times New Roman"/>
                <w:color w:val="000000"/>
                <w:sz w:val="20"/>
                <w:szCs w:val="20"/>
              </w:rPr>
            </w:pPr>
            <w:r w:rsidRPr="0035027D">
              <w:rPr>
                <w:rFonts w:cs="Times New Roman"/>
                <w:color w:val="000000"/>
                <w:sz w:val="20"/>
                <w:szCs w:val="20"/>
              </w:rPr>
              <w:t> </w:t>
            </w:r>
          </w:p>
        </w:tc>
      </w:tr>
      <w:tr w:rsidR="00B02979" w:rsidRPr="0035027D" w:rsidTr="00B02979">
        <w:trPr>
          <w:trHeight w:val="300"/>
          <w:jc w:val="center"/>
        </w:trPr>
        <w:tc>
          <w:tcPr>
            <w:tcW w:w="3740" w:type="dxa"/>
            <w:tcBorders>
              <w:top w:val="single" w:sz="4" w:space="0" w:color="auto"/>
            </w:tcBorders>
            <w:shd w:val="clear" w:color="auto" w:fill="auto"/>
            <w:noWrap/>
            <w:vAlign w:val="center"/>
          </w:tcPr>
          <w:p w:rsidR="00B02979" w:rsidRPr="0035027D" w:rsidRDefault="00B02979" w:rsidP="00B02979">
            <w:pPr>
              <w:spacing w:after="0"/>
              <w:rPr>
                <w:i/>
                <w:color w:val="000000"/>
                <w:sz w:val="20"/>
                <w:szCs w:val="20"/>
              </w:rPr>
            </w:pPr>
            <w:r w:rsidRPr="0035027D">
              <w:rPr>
                <w:rFonts w:cs="Times New Roman"/>
                <w:i/>
                <w:color w:val="000000"/>
                <w:sz w:val="20"/>
                <w:szCs w:val="20"/>
              </w:rPr>
              <w:t>*</w:t>
            </w:r>
            <w:r w:rsidRPr="0035027D">
              <w:rPr>
                <w:i/>
                <w:color w:val="000000"/>
                <w:sz w:val="20"/>
                <w:szCs w:val="20"/>
              </w:rPr>
              <w:t xml:space="preserve"> </w:t>
            </w:r>
            <w:r w:rsidR="006C7ADB" w:rsidRPr="0035027D">
              <w:rPr>
                <w:i/>
                <w:color w:val="000000"/>
                <w:sz w:val="20"/>
                <w:szCs w:val="20"/>
              </w:rPr>
              <w:t>Odhad skutočnosti SHMÚ</w:t>
            </w:r>
            <w:r w:rsidRPr="0035027D">
              <w:rPr>
                <w:i/>
                <w:color w:val="000000"/>
                <w:sz w:val="20"/>
                <w:szCs w:val="20"/>
              </w:rPr>
              <w:t>.</w:t>
            </w:r>
          </w:p>
        </w:tc>
        <w:tc>
          <w:tcPr>
            <w:tcW w:w="368" w:type="dxa"/>
            <w:tcBorders>
              <w:top w:val="single" w:sz="4" w:space="0" w:color="auto"/>
            </w:tcBorders>
            <w:shd w:val="clear" w:color="auto" w:fill="auto"/>
            <w:noWrap/>
            <w:vAlign w:val="center"/>
          </w:tcPr>
          <w:p w:rsidR="00B02979" w:rsidRPr="0035027D" w:rsidRDefault="00B02979" w:rsidP="00F50583">
            <w:pPr>
              <w:spacing w:after="0"/>
              <w:jc w:val="left"/>
              <w:rPr>
                <w:rFonts w:cs="Times New Roman"/>
                <w:b/>
                <w:bCs/>
                <w:color w:val="000000"/>
                <w:sz w:val="20"/>
                <w:szCs w:val="20"/>
              </w:rPr>
            </w:pPr>
          </w:p>
        </w:tc>
        <w:tc>
          <w:tcPr>
            <w:tcW w:w="505" w:type="dxa"/>
            <w:tcBorders>
              <w:top w:val="single" w:sz="4" w:space="0" w:color="auto"/>
            </w:tcBorders>
            <w:shd w:val="clear" w:color="auto" w:fill="auto"/>
            <w:vAlign w:val="center"/>
          </w:tcPr>
          <w:p w:rsidR="00B02979" w:rsidRPr="0035027D" w:rsidRDefault="00B02979" w:rsidP="00F50583">
            <w:pPr>
              <w:spacing w:after="0"/>
              <w:jc w:val="center"/>
              <w:rPr>
                <w:rFonts w:cs="Times New Roman"/>
                <w:color w:val="000000"/>
                <w:sz w:val="20"/>
                <w:szCs w:val="20"/>
              </w:rPr>
            </w:pPr>
          </w:p>
        </w:tc>
        <w:tc>
          <w:tcPr>
            <w:tcW w:w="505" w:type="dxa"/>
            <w:tcBorders>
              <w:top w:val="single" w:sz="4" w:space="0" w:color="auto"/>
            </w:tcBorders>
            <w:shd w:val="clear" w:color="auto" w:fill="auto"/>
            <w:noWrap/>
            <w:vAlign w:val="center"/>
          </w:tcPr>
          <w:p w:rsidR="00B02979" w:rsidRPr="0035027D" w:rsidRDefault="00B02979" w:rsidP="00F50583">
            <w:pPr>
              <w:spacing w:after="0"/>
              <w:jc w:val="center"/>
              <w:rPr>
                <w:rFonts w:cs="Times New Roman"/>
                <w:color w:val="000000"/>
                <w:sz w:val="20"/>
                <w:szCs w:val="20"/>
              </w:rPr>
            </w:pPr>
          </w:p>
        </w:tc>
        <w:tc>
          <w:tcPr>
            <w:tcW w:w="505" w:type="dxa"/>
            <w:tcBorders>
              <w:top w:val="single" w:sz="4" w:space="0" w:color="auto"/>
            </w:tcBorders>
            <w:shd w:val="clear" w:color="auto" w:fill="auto"/>
            <w:noWrap/>
            <w:vAlign w:val="center"/>
          </w:tcPr>
          <w:p w:rsidR="00B02979" w:rsidRPr="0035027D" w:rsidRDefault="00B02979" w:rsidP="00F50583">
            <w:pPr>
              <w:spacing w:after="0"/>
              <w:jc w:val="center"/>
              <w:rPr>
                <w:rFonts w:cs="Times New Roman"/>
                <w:color w:val="000000"/>
                <w:sz w:val="20"/>
                <w:szCs w:val="20"/>
              </w:rPr>
            </w:pPr>
          </w:p>
        </w:tc>
        <w:tc>
          <w:tcPr>
            <w:tcW w:w="505" w:type="dxa"/>
            <w:tcBorders>
              <w:top w:val="single" w:sz="4" w:space="0" w:color="auto"/>
            </w:tcBorders>
            <w:shd w:val="clear" w:color="auto" w:fill="auto"/>
            <w:noWrap/>
            <w:vAlign w:val="center"/>
          </w:tcPr>
          <w:p w:rsidR="00B02979" w:rsidRPr="0035027D" w:rsidRDefault="00B02979" w:rsidP="00F50583">
            <w:pPr>
              <w:spacing w:after="0"/>
              <w:jc w:val="center"/>
              <w:rPr>
                <w:rFonts w:cs="Times New Roman"/>
                <w:color w:val="000000"/>
                <w:sz w:val="20"/>
                <w:szCs w:val="20"/>
              </w:rPr>
            </w:pPr>
          </w:p>
        </w:tc>
        <w:tc>
          <w:tcPr>
            <w:tcW w:w="505" w:type="dxa"/>
            <w:tcBorders>
              <w:top w:val="single" w:sz="4" w:space="0" w:color="auto"/>
            </w:tcBorders>
            <w:shd w:val="clear" w:color="auto" w:fill="auto"/>
            <w:noWrap/>
            <w:vAlign w:val="center"/>
          </w:tcPr>
          <w:p w:rsidR="00B02979" w:rsidRPr="0035027D" w:rsidRDefault="00B02979" w:rsidP="00F50583">
            <w:pPr>
              <w:spacing w:after="0"/>
              <w:jc w:val="center"/>
              <w:rPr>
                <w:rFonts w:cs="Times New Roman"/>
                <w:color w:val="000000"/>
                <w:sz w:val="20"/>
                <w:szCs w:val="20"/>
              </w:rPr>
            </w:pPr>
          </w:p>
        </w:tc>
        <w:tc>
          <w:tcPr>
            <w:tcW w:w="530" w:type="dxa"/>
            <w:tcBorders>
              <w:top w:val="single" w:sz="4" w:space="0" w:color="auto"/>
            </w:tcBorders>
            <w:shd w:val="clear" w:color="auto" w:fill="auto"/>
            <w:vAlign w:val="center"/>
          </w:tcPr>
          <w:p w:rsidR="00B02979" w:rsidRPr="0035027D" w:rsidRDefault="00B02979" w:rsidP="00F50583">
            <w:pPr>
              <w:spacing w:after="0"/>
              <w:jc w:val="center"/>
              <w:rPr>
                <w:rFonts w:cs="Times New Roman"/>
                <w:color w:val="000000"/>
                <w:sz w:val="20"/>
                <w:szCs w:val="20"/>
              </w:rPr>
            </w:pPr>
          </w:p>
        </w:tc>
        <w:tc>
          <w:tcPr>
            <w:tcW w:w="480" w:type="dxa"/>
            <w:tcBorders>
              <w:top w:val="single" w:sz="4" w:space="0" w:color="auto"/>
            </w:tcBorders>
            <w:shd w:val="clear" w:color="auto" w:fill="auto"/>
            <w:vAlign w:val="center"/>
          </w:tcPr>
          <w:p w:rsidR="00B02979" w:rsidRPr="0035027D" w:rsidRDefault="00B02979" w:rsidP="00F50583">
            <w:pPr>
              <w:spacing w:after="0"/>
              <w:jc w:val="center"/>
              <w:rPr>
                <w:rFonts w:cs="Times New Roman"/>
                <w:color w:val="000000"/>
                <w:sz w:val="20"/>
                <w:szCs w:val="20"/>
              </w:rPr>
            </w:pPr>
          </w:p>
        </w:tc>
        <w:tc>
          <w:tcPr>
            <w:tcW w:w="505" w:type="dxa"/>
            <w:tcBorders>
              <w:top w:val="single" w:sz="4" w:space="0" w:color="auto"/>
            </w:tcBorders>
            <w:shd w:val="clear" w:color="auto" w:fill="auto"/>
            <w:vAlign w:val="center"/>
          </w:tcPr>
          <w:p w:rsidR="00B02979" w:rsidRPr="0035027D" w:rsidRDefault="00B02979" w:rsidP="00F50583">
            <w:pPr>
              <w:spacing w:after="0"/>
              <w:jc w:val="center"/>
              <w:rPr>
                <w:rFonts w:cs="Times New Roman"/>
                <w:color w:val="000000"/>
                <w:sz w:val="20"/>
                <w:szCs w:val="20"/>
              </w:rPr>
            </w:pPr>
          </w:p>
        </w:tc>
        <w:tc>
          <w:tcPr>
            <w:tcW w:w="505" w:type="dxa"/>
            <w:tcBorders>
              <w:top w:val="single" w:sz="4" w:space="0" w:color="auto"/>
            </w:tcBorders>
            <w:shd w:val="clear" w:color="auto" w:fill="auto"/>
            <w:vAlign w:val="center"/>
          </w:tcPr>
          <w:p w:rsidR="00B02979" w:rsidRPr="0035027D" w:rsidRDefault="00B02979" w:rsidP="00F50583">
            <w:pPr>
              <w:spacing w:after="0"/>
              <w:jc w:val="center"/>
              <w:rPr>
                <w:rFonts w:cs="Times New Roman"/>
                <w:color w:val="000000"/>
                <w:sz w:val="20"/>
                <w:szCs w:val="20"/>
              </w:rPr>
            </w:pPr>
          </w:p>
        </w:tc>
      </w:tr>
    </w:tbl>
    <w:p w:rsidR="00B02979" w:rsidRPr="0035027D" w:rsidRDefault="00B02979" w:rsidP="004B1C7A">
      <w:pPr>
        <w:tabs>
          <w:tab w:val="left" w:pos="426"/>
        </w:tabs>
        <w:spacing w:after="0"/>
      </w:pPr>
    </w:p>
    <w:p w:rsidR="007E70E1" w:rsidRPr="0035027D" w:rsidRDefault="007E70E1" w:rsidP="007E70E1">
      <w:pPr>
        <w:tabs>
          <w:tab w:val="left" w:pos="426"/>
        </w:tabs>
        <w:spacing w:after="0"/>
      </w:pPr>
      <w:r w:rsidRPr="0035027D">
        <w:t>Je dôle</w:t>
      </w:r>
      <w:r w:rsidRPr="0035027D">
        <w:rPr>
          <w:rFonts w:cs="Times New Roman"/>
        </w:rPr>
        <w:t>ž</w:t>
      </w:r>
      <w:r w:rsidRPr="0035027D">
        <w:t>ité, aby politiky na podporu ekonomického rastu boli dlhodobo udr</w:t>
      </w:r>
      <w:r w:rsidRPr="0035027D">
        <w:rPr>
          <w:rFonts w:cs="Times New Roman"/>
        </w:rPr>
        <w:t>ž</w:t>
      </w:r>
      <w:r w:rsidRPr="0035027D">
        <w:t>ate</w:t>
      </w:r>
      <w:r w:rsidRPr="0035027D">
        <w:rPr>
          <w:rFonts w:cs="Times New Roman"/>
        </w:rPr>
        <w:t>ľ</w:t>
      </w:r>
      <w:r w:rsidRPr="0035027D">
        <w:t>né, a to nielen finan</w:t>
      </w:r>
      <w:r w:rsidRPr="0035027D">
        <w:rPr>
          <w:rFonts w:cs="Times New Roman"/>
        </w:rPr>
        <w:t>č</w:t>
      </w:r>
      <w:r w:rsidRPr="0035027D">
        <w:t xml:space="preserve">ne a sociálne, ale aj environmentálne. Slovensko však nie je izolované od okolitého prostredia. Analýzy renomovaných vedeckých inštitúcií, najmä Medzivládneho panelu pre zmenu klímy, potvrdzujú, </w:t>
      </w:r>
      <w:r w:rsidRPr="0035027D">
        <w:rPr>
          <w:rFonts w:cs="Times New Roman"/>
        </w:rPr>
        <w:t>ž</w:t>
      </w:r>
      <w:r w:rsidRPr="0035027D">
        <w:t>e sa globálne otep</w:t>
      </w:r>
      <w:r w:rsidRPr="0035027D">
        <w:rPr>
          <w:rFonts w:cs="Times New Roman"/>
        </w:rPr>
        <w:t>ľ</w:t>
      </w:r>
      <w:r w:rsidRPr="0035027D">
        <w:t xml:space="preserve">ovanie nezastavilo, naopak stále sa zvyšujúca koncentrácia skleníkových plynov v atmosfére v dôsledku </w:t>
      </w:r>
      <w:r w:rsidRPr="0035027D">
        <w:rPr>
          <w:rFonts w:cs="Times New Roman"/>
        </w:rPr>
        <w:t>ľ</w:t>
      </w:r>
      <w:r w:rsidRPr="0035027D">
        <w:t xml:space="preserve">udskej </w:t>
      </w:r>
      <w:r w:rsidRPr="0035027D">
        <w:rPr>
          <w:rFonts w:cs="Times New Roman"/>
        </w:rPr>
        <w:t>č</w:t>
      </w:r>
      <w:r w:rsidRPr="0035027D">
        <w:t xml:space="preserve">innosti vedie k zvyšovaniu priemernej teploty zemského povrchu, topeniu </w:t>
      </w:r>
      <w:r w:rsidRPr="0035027D">
        <w:rPr>
          <w:rFonts w:cs="Times New Roman"/>
        </w:rPr>
        <w:t>ľ</w:t>
      </w:r>
      <w:r w:rsidRPr="0035027D">
        <w:t>adovcov a zvyšovaniu hladín oceánov spolu so zvyšovaním ich kyslosti. Zárove</w:t>
      </w:r>
      <w:r w:rsidRPr="0035027D">
        <w:rPr>
          <w:rFonts w:cs="Times New Roman"/>
        </w:rPr>
        <w:t>ň</w:t>
      </w:r>
      <w:r w:rsidRPr="0035027D">
        <w:t xml:space="preserve"> sa mení frekvencia a intenzita extrémnych výkyvov po</w:t>
      </w:r>
      <w:r w:rsidRPr="0035027D">
        <w:rPr>
          <w:rFonts w:cs="Times New Roman"/>
        </w:rPr>
        <w:t>č</w:t>
      </w:r>
      <w:r w:rsidRPr="0035027D">
        <w:t>asia s priamymi negatívnymi sociálno-ekonomickými dôsledkami. SR patrí ku krajinám, ktorým sa od roku 1990 podarilo významne zní</w:t>
      </w:r>
      <w:r w:rsidRPr="0035027D">
        <w:rPr>
          <w:rFonts w:cs="Times New Roman"/>
        </w:rPr>
        <w:t>ž</w:t>
      </w:r>
      <w:r w:rsidRPr="0035027D">
        <w:t>i</w:t>
      </w:r>
      <w:r w:rsidRPr="0035027D">
        <w:rPr>
          <w:rFonts w:cs="Times New Roman"/>
        </w:rPr>
        <w:t>ť</w:t>
      </w:r>
      <w:r w:rsidRPr="0035027D">
        <w:t xml:space="preserve"> emisie skleníkových plynov. Zárove</w:t>
      </w:r>
      <w:r w:rsidRPr="0035027D">
        <w:rPr>
          <w:rFonts w:cs="Times New Roman"/>
        </w:rPr>
        <w:t>ň</w:t>
      </w:r>
      <w:r w:rsidRPr="0035027D">
        <w:t xml:space="preserve"> doteraz úspešne dosahujeme tzv. „</w:t>
      </w:r>
      <w:proofErr w:type="spellStart"/>
      <w:r w:rsidRPr="0035027D">
        <w:t>decoupling</w:t>
      </w:r>
      <w:proofErr w:type="spellEnd"/>
      <w:r w:rsidRPr="0035027D">
        <w:t>“ – oddelenie hospodárskeho rastu od rastu emisií. Slovensku sa tento cie</w:t>
      </w:r>
      <w:r w:rsidRPr="0035027D">
        <w:rPr>
          <w:rFonts w:cs="Times New Roman"/>
        </w:rPr>
        <w:t>ľ</w:t>
      </w:r>
      <w:r w:rsidRPr="0035027D">
        <w:t xml:space="preserve"> doteraz darí nap</w:t>
      </w:r>
      <w:r w:rsidRPr="0035027D">
        <w:rPr>
          <w:rFonts w:cs="Times New Roman"/>
        </w:rPr>
        <w:t>ĺň</w:t>
      </w:r>
      <w:r w:rsidRPr="0035027D">
        <w:t>a</w:t>
      </w:r>
      <w:r w:rsidRPr="0035027D">
        <w:rPr>
          <w:rFonts w:cs="Times New Roman"/>
        </w:rPr>
        <w:t>ť</w:t>
      </w:r>
      <w:r w:rsidRPr="0035027D">
        <w:t xml:space="preserve"> významnou zmenou štruktúry spotreby fosílnych palív spojenou s technologickou reštrukturalizáciou v priemysle. K poklesu emisií prispieva aj nárast podielu slu</w:t>
      </w:r>
      <w:r w:rsidRPr="0035027D">
        <w:rPr>
          <w:rFonts w:cs="Times New Roman"/>
        </w:rPr>
        <w:t>ž</w:t>
      </w:r>
      <w:r w:rsidRPr="0035027D">
        <w:t>ieb na tvorbe HDP. Limity tejto transformácie sú však obmedzené a vláda bude preto musie</w:t>
      </w:r>
      <w:r w:rsidRPr="0035027D">
        <w:rPr>
          <w:rFonts w:cs="Times New Roman"/>
        </w:rPr>
        <w:t>ť</w:t>
      </w:r>
      <w:r w:rsidRPr="0035027D">
        <w:t xml:space="preserve"> v budúcnosti h</w:t>
      </w:r>
      <w:r w:rsidRPr="0035027D">
        <w:rPr>
          <w:rFonts w:cs="Times New Roman"/>
        </w:rPr>
        <w:t>ľ</w:t>
      </w:r>
      <w:r w:rsidRPr="0035027D">
        <w:t>ada</w:t>
      </w:r>
      <w:r w:rsidRPr="0035027D">
        <w:rPr>
          <w:rFonts w:cs="Times New Roman"/>
        </w:rPr>
        <w:t>ť</w:t>
      </w:r>
      <w:r w:rsidRPr="0035027D">
        <w:t xml:space="preserve"> mo</w:t>
      </w:r>
      <w:r w:rsidRPr="0035027D">
        <w:rPr>
          <w:rFonts w:cs="Times New Roman"/>
        </w:rPr>
        <w:t>ž</w:t>
      </w:r>
      <w:r w:rsidRPr="0035027D">
        <w:t xml:space="preserve">nosti </w:t>
      </w:r>
      <w:r w:rsidRPr="0035027D">
        <w:rPr>
          <w:rFonts w:cs="Times New Roman"/>
        </w:rPr>
        <w:t>ď</w:t>
      </w:r>
      <w:r w:rsidRPr="0035027D">
        <w:t>alšieho nákladovo-efektívneho zni</w:t>
      </w:r>
      <w:r w:rsidRPr="0035027D">
        <w:rPr>
          <w:rFonts w:cs="Times New Roman"/>
        </w:rPr>
        <w:t>ž</w:t>
      </w:r>
      <w:r w:rsidRPr="0035027D">
        <w:t>ovania emisií najmä v oblasti budov, domácností, dopravy a v po</w:t>
      </w:r>
      <w:r w:rsidRPr="0035027D">
        <w:rPr>
          <w:rFonts w:cs="Times New Roman"/>
        </w:rPr>
        <w:t>ľ</w:t>
      </w:r>
      <w:r w:rsidRPr="0035027D">
        <w:t xml:space="preserve">nohospodárstve. </w:t>
      </w:r>
    </w:p>
    <w:p w:rsidR="007E70E1" w:rsidRPr="0035027D" w:rsidRDefault="007E70E1" w:rsidP="007E70E1">
      <w:pPr>
        <w:tabs>
          <w:tab w:val="left" w:pos="426"/>
        </w:tabs>
        <w:spacing w:after="0"/>
      </w:pPr>
    </w:p>
    <w:tbl>
      <w:tblPr>
        <w:tblW w:w="9280" w:type="dxa"/>
        <w:tblInd w:w="-68" w:type="dxa"/>
        <w:tblCellMar>
          <w:left w:w="0" w:type="dxa"/>
          <w:right w:w="0" w:type="dxa"/>
        </w:tblCellMar>
        <w:tblLook w:val="04A0" w:firstRow="1" w:lastRow="0" w:firstColumn="1" w:lastColumn="0" w:noHBand="0" w:noVBand="1"/>
      </w:tblPr>
      <w:tblGrid>
        <w:gridCol w:w="4481"/>
        <w:gridCol w:w="146"/>
        <w:gridCol w:w="4653"/>
      </w:tblGrid>
      <w:tr w:rsidR="007E70E1" w:rsidRPr="0035027D" w:rsidTr="007E70E1">
        <w:trPr>
          <w:trHeight w:val="275"/>
        </w:trPr>
        <w:tc>
          <w:tcPr>
            <w:tcW w:w="4508" w:type="dxa"/>
            <w:shd w:val="clear" w:color="auto" w:fill="000000"/>
            <w:tcMar>
              <w:top w:w="0" w:type="dxa"/>
              <w:left w:w="70" w:type="dxa"/>
              <w:bottom w:w="0" w:type="dxa"/>
              <w:right w:w="70" w:type="dxa"/>
            </w:tcMar>
            <w:vAlign w:val="center"/>
            <w:hideMark/>
          </w:tcPr>
          <w:p w:rsidR="007E70E1" w:rsidRPr="0035027D" w:rsidRDefault="00D4235C" w:rsidP="007E70E1">
            <w:pPr>
              <w:spacing w:after="0"/>
              <w:rPr>
                <w:rFonts w:eastAsia="Calibri" w:cs="Times New Roman"/>
                <w:b/>
                <w:bCs/>
                <w:color w:val="FFFFFF"/>
                <w:sz w:val="18"/>
                <w:szCs w:val="20"/>
                <w:lang w:eastAsia="en-US"/>
              </w:rPr>
            </w:pPr>
            <w:r w:rsidRPr="0035027D">
              <w:rPr>
                <w:rFonts w:eastAsia="Calibri" w:cs="Times New Roman"/>
                <w:b/>
                <w:bCs/>
                <w:color w:val="FFFFFF"/>
                <w:sz w:val="18"/>
                <w:szCs w:val="20"/>
                <w:lang w:eastAsia="en-US"/>
              </w:rPr>
              <w:t xml:space="preserve">Graf 22: </w:t>
            </w:r>
            <w:r w:rsidR="007E70E1" w:rsidRPr="0035027D">
              <w:rPr>
                <w:rFonts w:eastAsia="Calibri" w:cs="Times New Roman"/>
                <w:b/>
                <w:bCs/>
                <w:color w:val="FFFFFF"/>
                <w:sz w:val="18"/>
                <w:szCs w:val="20"/>
                <w:lang w:eastAsia="en-US"/>
              </w:rPr>
              <w:t>Rast emisií a HDP (index 1995 = 100)</w:t>
            </w:r>
          </w:p>
        </w:tc>
        <w:tc>
          <w:tcPr>
            <w:tcW w:w="146" w:type="dxa"/>
            <w:tcMar>
              <w:top w:w="0" w:type="dxa"/>
              <w:left w:w="70" w:type="dxa"/>
              <w:bottom w:w="0" w:type="dxa"/>
              <w:right w:w="70" w:type="dxa"/>
            </w:tcMar>
            <w:vAlign w:val="center"/>
          </w:tcPr>
          <w:p w:rsidR="007E70E1" w:rsidRPr="0035027D" w:rsidRDefault="007E70E1" w:rsidP="007E70E1">
            <w:pPr>
              <w:spacing w:after="0"/>
              <w:rPr>
                <w:rFonts w:eastAsia="Calibri" w:cs="Times New Roman"/>
                <w:b/>
                <w:bCs/>
                <w:color w:val="FFFFFF"/>
                <w:sz w:val="18"/>
                <w:szCs w:val="20"/>
                <w:lang w:eastAsia="en-US"/>
              </w:rPr>
            </w:pPr>
          </w:p>
        </w:tc>
        <w:tc>
          <w:tcPr>
            <w:tcW w:w="4626" w:type="dxa"/>
            <w:shd w:val="clear" w:color="auto" w:fill="000000"/>
            <w:tcMar>
              <w:top w:w="0" w:type="dxa"/>
              <w:left w:w="70" w:type="dxa"/>
              <w:bottom w:w="0" w:type="dxa"/>
              <w:right w:w="70" w:type="dxa"/>
            </w:tcMar>
            <w:vAlign w:val="center"/>
            <w:hideMark/>
          </w:tcPr>
          <w:p w:rsidR="007E70E1" w:rsidRPr="0035027D" w:rsidRDefault="00D4235C" w:rsidP="007E70E1">
            <w:pPr>
              <w:spacing w:after="0"/>
              <w:rPr>
                <w:rFonts w:eastAsia="Calibri" w:cs="Times New Roman"/>
                <w:b/>
                <w:bCs/>
                <w:sz w:val="18"/>
                <w:szCs w:val="20"/>
                <w:lang w:eastAsia="en-US"/>
              </w:rPr>
            </w:pPr>
            <w:r w:rsidRPr="0035027D">
              <w:rPr>
                <w:rFonts w:eastAsia="Calibri" w:cs="Times New Roman"/>
                <w:b/>
                <w:bCs/>
                <w:color w:val="FFFFFF"/>
                <w:sz w:val="18"/>
                <w:szCs w:val="20"/>
                <w:lang w:eastAsia="en-US"/>
              </w:rPr>
              <w:t xml:space="preserve">Graf 23: </w:t>
            </w:r>
            <w:r w:rsidR="007E70E1" w:rsidRPr="0035027D">
              <w:rPr>
                <w:rFonts w:eastAsia="Calibri" w:cs="Times New Roman"/>
                <w:b/>
                <w:bCs/>
                <w:color w:val="FFFFFF"/>
                <w:sz w:val="18"/>
                <w:szCs w:val="20"/>
                <w:lang w:eastAsia="en-US"/>
              </w:rPr>
              <w:t>Zhodnocovanie odpadov (%)</w:t>
            </w:r>
          </w:p>
        </w:tc>
      </w:tr>
      <w:tr w:rsidR="007E70E1" w:rsidRPr="0035027D" w:rsidTr="007E70E1">
        <w:trPr>
          <w:trHeight w:val="2471"/>
        </w:trPr>
        <w:tc>
          <w:tcPr>
            <w:tcW w:w="4508" w:type="dxa"/>
            <w:tcBorders>
              <w:top w:val="nil"/>
              <w:left w:val="nil"/>
              <w:bottom w:val="single" w:sz="8" w:space="0" w:color="auto"/>
              <w:right w:val="nil"/>
            </w:tcBorders>
            <w:tcMar>
              <w:top w:w="0" w:type="dxa"/>
              <w:left w:w="70" w:type="dxa"/>
              <w:bottom w:w="0" w:type="dxa"/>
              <w:right w:w="70" w:type="dxa"/>
            </w:tcMar>
            <w:hideMark/>
          </w:tcPr>
          <w:p w:rsidR="007E70E1" w:rsidRPr="0035027D" w:rsidRDefault="007E70E1" w:rsidP="007E70E1">
            <w:pPr>
              <w:spacing w:after="0"/>
              <w:rPr>
                <w:rFonts w:eastAsia="Calibri" w:cs="Times New Roman"/>
                <w:b/>
                <w:bCs/>
                <w:sz w:val="16"/>
                <w:szCs w:val="16"/>
                <w:lang w:eastAsia="en-US"/>
              </w:rPr>
            </w:pPr>
            <w:r w:rsidRPr="0035027D">
              <w:rPr>
                <w:rFonts w:eastAsia="Calibri" w:cs="Times New Roman"/>
                <w:b/>
                <w:bCs/>
                <w:noProof/>
                <w:sz w:val="16"/>
                <w:szCs w:val="16"/>
              </w:rPr>
              <w:lastRenderedPageBreak/>
              <w:drawing>
                <wp:inline distT="0" distB="0" distL="0" distR="0" wp14:anchorId="2A7AEF38" wp14:editId="4937FBFA">
                  <wp:extent cx="2705246" cy="2009955"/>
                  <wp:effectExtent l="0" t="0" r="0" b="9525"/>
                  <wp:docPr id="306" name="Obrázok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10887" cy="2014146"/>
                          </a:xfrm>
                          <a:prstGeom prst="rect">
                            <a:avLst/>
                          </a:prstGeom>
                          <a:noFill/>
                        </pic:spPr>
                      </pic:pic>
                    </a:graphicData>
                  </a:graphic>
                </wp:inline>
              </w:drawing>
            </w:r>
          </w:p>
        </w:tc>
        <w:tc>
          <w:tcPr>
            <w:tcW w:w="146" w:type="dxa"/>
            <w:tcMar>
              <w:top w:w="0" w:type="dxa"/>
              <w:left w:w="70" w:type="dxa"/>
              <w:bottom w:w="0" w:type="dxa"/>
              <w:right w:w="70" w:type="dxa"/>
            </w:tcMar>
          </w:tcPr>
          <w:p w:rsidR="007E70E1" w:rsidRPr="0035027D" w:rsidRDefault="007E70E1" w:rsidP="007E70E1">
            <w:pPr>
              <w:spacing w:after="0"/>
              <w:rPr>
                <w:rFonts w:eastAsia="Calibri" w:cs="Times New Roman"/>
                <w:b/>
                <w:bCs/>
                <w:sz w:val="16"/>
                <w:szCs w:val="16"/>
                <w:lang w:eastAsia="en-US"/>
              </w:rPr>
            </w:pPr>
          </w:p>
        </w:tc>
        <w:tc>
          <w:tcPr>
            <w:tcW w:w="4626" w:type="dxa"/>
            <w:tcBorders>
              <w:top w:val="nil"/>
              <w:left w:val="nil"/>
              <w:bottom w:val="single" w:sz="8" w:space="0" w:color="auto"/>
              <w:right w:val="nil"/>
            </w:tcBorders>
            <w:tcMar>
              <w:top w:w="0" w:type="dxa"/>
              <w:left w:w="70" w:type="dxa"/>
              <w:bottom w:w="0" w:type="dxa"/>
              <w:right w:w="70" w:type="dxa"/>
            </w:tcMar>
            <w:hideMark/>
          </w:tcPr>
          <w:p w:rsidR="007E70E1" w:rsidRPr="0035027D" w:rsidRDefault="007E70E1" w:rsidP="007E70E1">
            <w:pPr>
              <w:spacing w:after="0"/>
              <w:rPr>
                <w:rFonts w:eastAsia="Calibri" w:cs="Times New Roman"/>
                <w:b/>
                <w:bCs/>
                <w:sz w:val="16"/>
                <w:szCs w:val="16"/>
                <w:lang w:eastAsia="en-US"/>
              </w:rPr>
            </w:pPr>
            <w:r w:rsidRPr="0035027D">
              <w:rPr>
                <w:rFonts w:eastAsia="Calibri" w:cs="Times New Roman"/>
                <w:b/>
                <w:bCs/>
                <w:noProof/>
                <w:sz w:val="16"/>
                <w:szCs w:val="16"/>
              </w:rPr>
              <w:drawing>
                <wp:inline distT="0" distB="0" distL="0" distR="0" wp14:anchorId="03CA8E59" wp14:editId="0CC3AEB9">
                  <wp:extent cx="2866253" cy="2009955"/>
                  <wp:effectExtent l="0" t="0" r="0" b="0"/>
                  <wp:docPr id="308" name="Obrázok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69271" cy="2012071"/>
                          </a:xfrm>
                          <a:prstGeom prst="rect">
                            <a:avLst/>
                          </a:prstGeom>
                          <a:noFill/>
                        </pic:spPr>
                      </pic:pic>
                    </a:graphicData>
                  </a:graphic>
                </wp:inline>
              </w:drawing>
            </w:r>
          </w:p>
        </w:tc>
      </w:tr>
      <w:tr w:rsidR="007E70E1" w:rsidRPr="0035027D" w:rsidTr="007E70E1">
        <w:trPr>
          <w:trHeight w:val="432"/>
        </w:trPr>
        <w:tc>
          <w:tcPr>
            <w:tcW w:w="4508" w:type="dxa"/>
            <w:tcMar>
              <w:top w:w="0" w:type="dxa"/>
              <w:left w:w="70" w:type="dxa"/>
              <w:bottom w:w="0" w:type="dxa"/>
              <w:right w:w="70" w:type="dxa"/>
            </w:tcMar>
            <w:hideMark/>
          </w:tcPr>
          <w:p w:rsidR="007E70E1" w:rsidRPr="0035027D" w:rsidRDefault="007E70E1" w:rsidP="007E70E1">
            <w:pPr>
              <w:spacing w:after="0"/>
              <w:jc w:val="right"/>
              <w:rPr>
                <w:rFonts w:eastAsia="Calibri" w:cs="Times New Roman"/>
                <w:i/>
                <w:iCs/>
                <w:sz w:val="16"/>
                <w:szCs w:val="16"/>
                <w:lang w:eastAsia="en-US"/>
              </w:rPr>
            </w:pPr>
            <w:r w:rsidRPr="0035027D">
              <w:rPr>
                <w:rFonts w:eastAsia="Calibri" w:cs="Times New Roman"/>
                <w:i/>
                <w:iCs/>
                <w:sz w:val="16"/>
                <w:szCs w:val="16"/>
                <w:lang w:eastAsia="en-US"/>
              </w:rPr>
              <w:t xml:space="preserve">Zdroj: </w:t>
            </w:r>
          </w:p>
        </w:tc>
        <w:tc>
          <w:tcPr>
            <w:tcW w:w="146" w:type="dxa"/>
            <w:tcMar>
              <w:top w:w="0" w:type="dxa"/>
              <w:left w:w="70" w:type="dxa"/>
              <w:bottom w:w="0" w:type="dxa"/>
              <w:right w:w="70" w:type="dxa"/>
            </w:tcMar>
          </w:tcPr>
          <w:p w:rsidR="007E70E1" w:rsidRPr="0035027D" w:rsidRDefault="007E70E1" w:rsidP="007E70E1">
            <w:pPr>
              <w:spacing w:after="0"/>
              <w:rPr>
                <w:rFonts w:eastAsia="Calibri" w:cs="Times New Roman"/>
                <w:i/>
                <w:iCs/>
                <w:sz w:val="16"/>
                <w:szCs w:val="16"/>
                <w:lang w:eastAsia="en-US"/>
              </w:rPr>
            </w:pPr>
          </w:p>
        </w:tc>
        <w:tc>
          <w:tcPr>
            <w:tcW w:w="4626" w:type="dxa"/>
            <w:tcMar>
              <w:top w:w="0" w:type="dxa"/>
              <w:left w:w="70" w:type="dxa"/>
              <w:bottom w:w="0" w:type="dxa"/>
              <w:right w:w="70" w:type="dxa"/>
            </w:tcMar>
            <w:hideMark/>
          </w:tcPr>
          <w:p w:rsidR="007E70E1" w:rsidRPr="0035027D" w:rsidRDefault="007E70E1" w:rsidP="007E70E1">
            <w:pPr>
              <w:spacing w:after="0"/>
              <w:jc w:val="right"/>
              <w:rPr>
                <w:rFonts w:eastAsia="Calibri" w:cs="Times New Roman"/>
                <w:i/>
                <w:iCs/>
                <w:sz w:val="16"/>
                <w:szCs w:val="16"/>
                <w:lang w:eastAsia="en-US"/>
              </w:rPr>
            </w:pPr>
            <w:r w:rsidRPr="0035027D">
              <w:rPr>
                <w:rFonts w:eastAsia="Calibri" w:cs="Times New Roman"/>
                <w:i/>
                <w:iCs/>
                <w:sz w:val="16"/>
                <w:szCs w:val="16"/>
                <w:lang w:eastAsia="en-US"/>
              </w:rPr>
              <w:t>Zdroj: Eurostat, IFP</w:t>
            </w:r>
          </w:p>
        </w:tc>
      </w:tr>
    </w:tbl>
    <w:p w:rsidR="007E70E1" w:rsidRPr="0035027D" w:rsidRDefault="007E70E1" w:rsidP="007E70E1">
      <w:pPr>
        <w:tabs>
          <w:tab w:val="left" w:pos="426"/>
        </w:tabs>
        <w:spacing w:after="0"/>
      </w:pPr>
      <w:r w:rsidRPr="0035027D">
        <w:t xml:space="preserve">Kvalita </w:t>
      </w:r>
      <w:r w:rsidRPr="0035027D">
        <w:rPr>
          <w:rFonts w:cs="Times New Roman"/>
        </w:rPr>
        <w:t>ž</w:t>
      </w:r>
      <w:r w:rsidRPr="0035027D">
        <w:t>ivotného prostredia na Slovensku je v porovnaní s mnohými ostatnými krajinami ve</w:t>
      </w:r>
      <w:r w:rsidRPr="0035027D">
        <w:rPr>
          <w:rFonts w:cs="Times New Roman"/>
        </w:rPr>
        <w:t>ľ</w:t>
      </w:r>
      <w:r w:rsidRPr="0035027D">
        <w:t>mi dobrá. Tento fakt vyjadruje aj kompozitný ukazovate</w:t>
      </w:r>
      <w:r w:rsidRPr="0035027D">
        <w:rPr>
          <w:rFonts w:cs="Times New Roman"/>
        </w:rPr>
        <w:t>ľ</w:t>
      </w:r>
      <w:r w:rsidRPr="0035027D">
        <w:t xml:space="preserve"> EPI, v rámci ktorého je SR dvanásta spomedzi hodnotených krajín. Vývoj zhodnocovania odpadov je ale, naopak, ve</w:t>
      </w:r>
      <w:r w:rsidRPr="0035027D">
        <w:rPr>
          <w:rFonts w:cs="Times New Roman"/>
        </w:rPr>
        <w:t>ľ</w:t>
      </w:r>
      <w:r w:rsidRPr="0035027D">
        <w:t>mi negatívny. Zatia</w:t>
      </w:r>
      <w:r w:rsidRPr="0035027D">
        <w:rPr>
          <w:rFonts w:cs="Times New Roman"/>
        </w:rPr>
        <w:t>ľ</w:t>
      </w:r>
      <w:r w:rsidRPr="0035027D">
        <w:t xml:space="preserve"> </w:t>
      </w:r>
      <w:r w:rsidRPr="0035027D">
        <w:rPr>
          <w:rFonts w:cs="Times New Roman"/>
        </w:rPr>
        <w:t>č</w:t>
      </w:r>
      <w:r w:rsidRPr="0035027D">
        <w:t>o vyspelé krajiny zvyšujú podiel zhodnotenia, Slovensko sa z dobrej po</w:t>
      </w:r>
      <w:r w:rsidRPr="0035027D">
        <w:rPr>
          <w:rFonts w:cs="Times New Roman"/>
        </w:rPr>
        <w:t>č</w:t>
      </w:r>
      <w:r w:rsidRPr="0035027D">
        <w:t>iato</w:t>
      </w:r>
      <w:r w:rsidRPr="0035027D">
        <w:rPr>
          <w:rFonts w:cs="Times New Roman"/>
        </w:rPr>
        <w:t>č</w:t>
      </w:r>
      <w:r w:rsidRPr="0035027D">
        <w:t>nej úrovne za posledné roky prepadlo. V nadchádzajúcom období preto bude nevyhnutné systematicky podpori</w:t>
      </w:r>
      <w:r w:rsidRPr="0035027D">
        <w:rPr>
          <w:rFonts w:cs="Times New Roman"/>
        </w:rPr>
        <w:t>ť</w:t>
      </w:r>
      <w:r w:rsidRPr="0035027D">
        <w:t xml:space="preserve"> recykláciu odpadov. Problematické zostáva aj vysoké zne</w:t>
      </w:r>
      <w:r w:rsidRPr="0035027D">
        <w:rPr>
          <w:rFonts w:cs="Times New Roman"/>
        </w:rPr>
        <w:t>č</w:t>
      </w:r>
      <w:r w:rsidRPr="0035027D">
        <w:t xml:space="preserve">istenie prachovými </w:t>
      </w:r>
      <w:r w:rsidRPr="0035027D">
        <w:rPr>
          <w:rFonts w:cs="Times New Roman"/>
        </w:rPr>
        <w:t>č</w:t>
      </w:r>
      <w:r w:rsidRPr="0035027D">
        <w:t xml:space="preserve">asticami, </w:t>
      </w:r>
      <w:r w:rsidRPr="0035027D">
        <w:rPr>
          <w:rFonts w:cs="Times New Roman"/>
        </w:rPr>
        <w:t>č</w:t>
      </w:r>
      <w:r w:rsidRPr="0035027D">
        <w:t>omu sa venuje u</w:t>
      </w:r>
      <w:r w:rsidRPr="0035027D">
        <w:rPr>
          <w:rFonts w:cs="Times New Roman"/>
        </w:rPr>
        <w:t>ž</w:t>
      </w:r>
      <w:r w:rsidRPr="0035027D">
        <w:t xml:space="preserve"> prijatá Stratégia redukcie PM10. </w:t>
      </w:r>
    </w:p>
    <w:p w:rsidR="006C7ADB" w:rsidRPr="0035027D" w:rsidRDefault="006C7ADB" w:rsidP="006C7ADB">
      <w:pPr>
        <w:tabs>
          <w:tab w:val="left" w:pos="426"/>
        </w:tabs>
        <w:spacing w:after="0"/>
      </w:pPr>
    </w:p>
    <w:p w:rsidR="006C7ADB" w:rsidRPr="0035027D" w:rsidRDefault="006C7ADB" w:rsidP="006C7ADB">
      <w:pPr>
        <w:tabs>
          <w:tab w:val="left" w:pos="426"/>
        </w:tabs>
        <w:spacing w:after="0"/>
      </w:pPr>
      <w:r w:rsidRPr="0035027D">
        <w:t>Rast spojený so zni</w:t>
      </w:r>
      <w:r w:rsidRPr="0035027D">
        <w:rPr>
          <w:rFonts w:cs="Times New Roman"/>
        </w:rPr>
        <w:t>ž</w:t>
      </w:r>
      <w:r w:rsidRPr="0035027D">
        <w:t>ovaním emisií a rozvoj súv</w:t>
      </w:r>
      <w:r w:rsidR="00CA47A1" w:rsidRPr="0035027D">
        <w:t>isiac</w:t>
      </w:r>
      <w:r w:rsidRPr="0035027D">
        <w:t>ich odvetví hospodárstva mô</w:t>
      </w:r>
      <w:r w:rsidRPr="0035027D">
        <w:rPr>
          <w:rFonts w:cs="Times New Roman"/>
        </w:rPr>
        <w:t>ž</w:t>
      </w:r>
      <w:r w:rsidRPr="0035027D">
        <w:t>e pod</w:t>
      </w:r>
      <w:r w:rsidRPr="0035027D">
        <w:rPr>
          <w:rFonts w:cs="Times New Roman"/>
        </w:rPr>
        <w:t>ľ</w:t>
      </w:r>
      <w:r w:rsidRPr="0035027D">
        <w:t>a medzinárodných</w:t>
      </w:r>
      <w:r w:rsidRPr="0035027D">
        <w:rPr>
          <w:rFonts w:cs="Times New Roman"/>
          <w:sz w:val="24"/>
          <w:szCs w:val="24"/>
        </w:rPr>
        <w:t xml:space="preserve"> </w:t>
      </w:r>
      <w:r w:rsidRPr="0035027D">
        <w:t>štúdií do roku 2030 celosvetovo prinies</w:t>
      </w:r>
      <w:r w:rsidRPr="0035027D">
        <w:rPr>
          <w:rFonts w:cs="Times New Roman"/>
        </w:rPr>
        <w:t>ť</w:t>
      </w:r>
      <w:r w:rsidRPr="0035027D">
        <w:t xml:space="preserve"> viac ako 20 miliónov nových pracovných príle</w:t>
      </w:r>
      <w:r w:rsidRPr="0035027D">
        <w:rPr>
          <w:rFonts w:cs="Times New Roman"/>
        </w:rPr>
        <w:t>ž</w:t>
      </w:r>
      <w:r w:rsidRPr="0035027D">
        <w:t xml:space="preserve">itostí. Medzi </w:t>
      </w:r>
      <w:r w:rsidRPr="0035027D">
        <w:rPr>
          <w:rFonts w:cs="Times New Roman"/>
        </w:rPr>
        <w:t>ď</w:t>
      </w:r>
      <w:r w:rsidRPr="0035027D">
        <w:t>alšie výhody takéhoto rozvoja mo</w:t>
      </w:r>
      <w:r w:rsidRPr="0035027D">
        <w:rPr>
          <w:rFonts w:cs="Times New Roman"/>
        </w:rPr>
        <w:t>ž</w:t>
      </w:r>
      <w:r w:rsidRPr="0035027D">
        <w:t>no zaradi</w:t>
      </w:r>
      <w:r w:rsidRPr="0035027D">
        <w:rPr>
          <w:rFonts w:cs="Times New Roman"/>
        </w:rPr>
        <w:t>ť</w:t>
      </w:r>
      <w:r w:rsidRPr="0035027D">
        <w:t xml:space="preserve"> aj zna</w:t>
      </w:r>
      <w:r w:rsidRPr="0035027D">
        <w:rPr>
          <w:rFonts w:cs="Times New Roman"/>
        </w:rPr>
        <w:t>č</w:t>
      </w:r>
      <w:r w:rsidRPr="0035027D">
        <w:t>né energetické úspory nákladov firiem a domácností, zlepšenie zdravotného stavu obyvate</w:t>
      </w:r>
      <w:r w:rsidRPr="0035027D">
        <w:rPr>
          <w:rFonts w:cs="Times New Roman"/>
        </w:rPr>
        <w:t>ľ</w:t>
      </w:r>
      <w:r w:rsidRPr="0035027D">
        <w:t xml:space="preserve">stva </w:t>
      </w:r>
      <w:r w:rsidRPr="0035027D">
        <w:rPr>
          <w:rFonts w:cs="Times New Roman"/>
        </w:rPr>
        <w:t>č</w:t>
      </w:r>
      <w:r w:rsidRPr="0035027D">
        <w:t xml:space="preserve">i </w:t>
      </w:r>
      <w:proofErr w:type="spellStart"/>
      <w:r w:rsidRPr="0035027D">
        <w:t>zní</w:t>
      </w:r>
      <w:r w:rsidRPr="0035027D">
        <w:rPr>
          <w:rFonts w:cs="Times New Roman"/>
        </w:rPr>
        <w:t>ž</w:t>
      </w:r>
      <w:r w:rsidRPr="0035027D">
        <w:t>i</w:t>
      </w:r>
      <w:r w:rsidRPr="0035027D">
        <w:rPr>
          <w:rFonts w:cs="Times New Roman"/>
        </w:rPr>
        <w:t>ž</w:t>
      </w:r>
      <w:r w:rsidRPr="0035027D">
        <w:t>ená</w:t>
      </w:r>
      <w:proofErr w:type="spellEnd"/>
      <w:r w:rsidRPr="0035027D">
        <w:t xml:space="preserve"> energetická závislos</w:t>
      </w:r>
      <w:r w:rsidRPr="0035027D">
        <w:rPr>
          <w:rFonts w:cs="Times New Roman"/>
        </w:rPr>
        <w:t>ť</w:t>
      </w:r>
      <w:r w:rsidRPr="0035027D">
        <w:t>. Zelený rast a rozvoj zeleného hospodárstva sa preto ako celospolo</w:t>
      </w:r>
      <w:r w:rsidRPr="0035027D">
        <w:rPr>
          <w:rFonts w:cs="Times New Roman"/>
        </w:rPr>
        <w:t>č</w:t>
      </w:r>
      <w:r w:rsidRPr="0035027D">
        <w:t>enská téma za</w:t>
      </w:r>
      <w:r w:rsidRPr="0035027D">
        <w:rPr>
          <w:rFonts w:cs="Times New Roman"/>
        </w:rPr>
        <w:t>č</w:t>
      </w:r>
      <w:r w:rsidRPr="0035027D">
        <w:t>lenení do tvorby všetkých relevantných politík a odrazí sa na opatreniach vlády na podporu zamestnanosti, investícií, inovácií, podnikate</w:t>
      </w:r>
      <w:r w:rsidRPr="0035027D">
        <w:rPr>
          <w:rFonts w:cs="Times New Roman"/>
        </w:rPr>
        <w:t>ľ</w:t>
      </w:r>
      <w:r w:rsidRPr="0035027D">
        <w:t xml:space="preserve">ského prostredia,  dopravy a energetiky. </w:t>
      </w:r>
    </w:p>
    <w:p w:rsidR="007E70E1" w:rsidRPr="0035027D" w:rsidRDefault="007E70E1" w:rsidP="007E70E1">
      <w:pPr>
        <w:tabs>
          <w:tab w:val="left" w:pos="426"/>
        </w:tabs>
        <w:spacing w:after="0"/>
      </w:pPr>
    </w:p>
    <w:p w:rsidR="009204DB" w:rsidRPr="0035027D" w:rsidRDefault="009204DB" w:rsidP="009204DB">
      <w:pPr>
        <w:tabs>
          <w:tab w:val="left" w:pos="426"/>
        </w:tabs>
        <w:spacing w:after="0"/>
      </w:pPr>
      <w:r w:rsidRPr="0035027D">
        <w:t xml:space="preserve">Téma </w:t>
      </w:r>
      <w:r w:rsidRPr="0035027D">
        <w:rPr>
          <w:rFonts w:cs="Times New Roman"/>
        </w:rPr>
        <w:t>ž</w:t>
      </w:r>
      <w:r w:rsidRPr="0035027D">
        <w:t>ivotného prostredia je nadrezortná, pokrýva všetky oblasti hospodárstva. Vláda preto posilní koordináciu environmentálnej politiky. Pripraví sa Environmentálna stratégia SR, ktorá bude reflektova</w:t>
      </w:r>
      <w:r w:rsidRPr="0035027D">
        <w:rPr>
          <w:rFonts w:cs="Times New Roman"/>
        </w:rPr>
        <w:t>ť</w:t>
      </w:r>
      <w:r w:rsidRPr="0035027D">
        <w:t xml:space="preserve"> sú</w:t>
      </w:r>
      <w:r w:rsidRPr="0035027D">
        <w:rPr>
          <w:rFonts w:cs="Times New Roman"/>
        </w:rPr>
        <w:t>č</w:t>
      </w:r>
      <w:r w:rsidRPr="0035027D">
        <w:t xml:space="preserve">asné trendy a stav </w:t>
      </w:r>
      <w:r w:rsidRPr="0035027D">
        <w:rPr>
          <w:rFonts w:cs="Times New Roman"/>
        </w:rPr>
        <w:t>ž</w:t>
      </w:r>
      <w:r w:rsidRPr="0035027D">
        <w:t>ivotného prostredia a hospodárstva. Stratégia bude vypracovaná v úzkej spolupráci s rezortmi. K</w:t>
      </w:r>
      <w:r w:rsidRPr="0035027D">
        <w:rPr>
          <w:rFonts w:cs="Times New Roman"/>
        </w:rPr>
        <w:t>ľ</w:t>
      </w:r>
      <w:r w:rsidRPr="0035027D">
        <w:t>ú</w:t>
      </w:r>
      <w:r w:rsidRPr="0035027D">
        <w:rPr>
          <w:rFonts w:cs="Times New Roman"/>
        </w:rPr>
        <w:t>č</w:t>
      </w:r>
      <w:r w:rsidRPr="0035027D">
        <w:t>ové bude zosúladenie a koordinácia rôznych sektorových politík na dosiahnutie spolo</w:t>
      </w:r>
      <w:r w:rsidRPr="0035027D">
        <w:rPr>
          <w:rFonts w:cs="Times New Roman"/>
        </w:rPr>
        <w:t>č</w:t>
      </w:r>
      <w:r w:rsidRPr="0035027D">
        <w:t>ného (synergického) efektu a uplat</w:t>
      </w:r>
      <w:r w:rsidRPr="0035027D">
        <w:rPr>
          <w:rFonts w:cs="Times New Roman"/>
        </w:rPr>
        <w:t>ň</w:t>
      </w:r>
      <w:r w:rsidRPr="0035027D">
        <w:t>ovanie nie rezortného prístupu, ale prístupu na základe témy.</w:t>
      </w:r>
      <w:r w:rsidRPr="0035027D" w:rsidDel="008F49EA">
        <w:t xml:space="preserve"> </w:t>
      </w:r>
    </w:p>
    <w:p w:rsidR="009204DB" w:rsidRPr="0035027D" w:rsidRDefault="009204DB" w:rsidP="007E70E1">
      <w:pPr>
        <w:tabs>
          <w:tab w:val="left" w:pos="426"/>
        </w:tabs>
        <w:spacing w:after="0"/>
      </w:pPr>
    </w:p>
    <w:p w:rsidR="007E70E1" w:rsidRPr="0035027D" w:rsidRDefault="007E70E1" w:rsidP="007E70E1">
      <w:pPr>
        <w:tabs>
          <w:tab w:val="left" w:pos="426"/>
        </w:tabs>
        <w:spacing w:after="0"/>
        <w:rPr>
          <w:b/>
          <w:i/>
        </w:rPr>
      </w:pPr>
      <w:r w:rsidRPr="0035027D">
        <w:rPr>
          <w:b/>
          <w:i/>
        </w:rPr>
        <w:t>Emisie skleníkových plynov, ovzdušie</w:t>
      </w:r>
    </w:p>
    <w:p w:rsidR="007E70E1" w:rsidRPr="0035027D" w:rsidRDefault="007E70E1" w:rsidP="007E70E1">
      <w:pPr>
        <w:tabs>
          <w:tab w:val="left" w:pos="426"/>
        </w:tabs>
        <w:spacing w:after="0"/>
        <w:rPr>
          <w:b/>
        </w:rPr>
      </w:pPr>
    </w:p>
    <w:p w:rsidR="007E70E1" w:rsidRPr="0035027D" w:rsidRDefault="007E70E1" w:rsidP="007E70E1">
      <w:pPr>
        <w:tabs>
          <w:tab w:val="left" w:pos="426"/>
        </w:tabs>
        <w:spacing w:after="0"/>
        <w:rPr>
          <w:rFonts w:cs="Times New Roman"/>
          <w:lang w:eastAsia="en-GB"/>
        </w:rPr>
      </w:pPr>
      <w:r w:rsidRPr="0035027D">
        <w:t>Pribli</w:t>
      </w:r>
      <w:r w:rsidRPr="0035027D">
        <w:rPr>
          <w:rFonts w:cs="Times New Roman"/>
        </w:rPr>
        <w:t>ž</w:t>
      </w:r>
      <w:r w:rsidRPr="0035027D">
        <w:t>ne 50</w:t>
      </w:r>
      <w:r w:rsidR="005E1922" w:rsidRPr="0035027D">
        <w:t> %</w:t>
      </w:r>
      <w:r w:rsidRPr="0035027D">
        <w:t xml:space="preserve"> celkových emisií v roku 2010 bolo produkovaných firmami v schéme obchodovania s emisnými kvótami skleníkových plynov (ETS). V rámci plnenia národných cie</w:t>
      </w:r>
      <w:r w:rsidRPr="0035027D">
        <w:rPr>
          <w:rFonts w:cs="Times New Roman"/>
        </w:rPr>
        <w:t>ľ</w:t>
      </w:r>
      <w:r w:rsidRPr="0035027D">
        <w:t>ov zni</w:t>
      </w:r>
      <w:r w:rsidRPr="0035027D">
        <w:rPr>
          <w:rFonts w:cs="Times New Roman"/>
        </w:rPr>
        <w:t>ž</w:t>
      </w:r>
      <w:r w:rsidRPr="0035027D">
        <w:t>ovania emisií skleníkových plynov do roku 2020 bude SR na</w:t>
      </w:r>
      <w:r w:rsidRPr="0035027D">
        <w:rPr>
          <w:rFonts w:cs="Times New Roman"/>
        </w:rPr>
        <w:t>ď</w:t>
      </w:r>
      <w:r w:rsidRPr="0035027D">
        <w:t>alej kontrolova</w:t>
      </w:r>
      <w:r w:rsidRPr="0035027D">
        <w:rPr>
          <w:rFonts w:cs="Times New Roman"/>
        </w:rPr>
        <w:t>ť</w:t>
      </w:r>
      <w:r w:rsidRPr="0035027D">
        <w:t xml:space="preserve"> tvorbu emisií skleníkových plynov v prevádzkach zaradených do EÚ ETS smerom k definovanému cie</w:t>
      </w:r>
      <w:r w:rsidRPr="0035027D">
        <w:rPr>
          <w:rFonts w:cs="Times New Roman"/>
        </w:rPr>
        <w:t>ľ</w:t>
      </w:r>
      <w:r w:rsidRPr="0035027D">
        <w:t>u zní</w:t>
      </w:r>
      <w:r w:rsidRPr="0035027D">
        <w:rPr>
          <w:rFonts w:cs="Times New Roman"/>
        </w:rPr>
        <w:t>ž</w:t>
      </w:r>
      <w:r w:rsidRPr="0035027D">
        <w:t>enia o 21</w:t>
      </w:r>
      <w:r w:rsidR="005E1922" w:rsidRPr="0035027D">
        <w:t> %</w:t>
      </w:r>
      <w:r w:rsidRPr="0035027D">
        <w:t xml:space="preserve"> v porovnaní s rokom 2005. Vláda bude zárove</w:t>
      </w:r>
      <w:r w:rsidRPr="0035027D">
        <w:rPr>
          <w:rFonts w:cs="Times New Roman"/>
        </w:rPr>
        <w:t>ň</w:t>
      </w:r>
      <w:r w:rsidRPr="0035027D">
        <w:t xml:space="preserve"> podporova</w:t>
      </w:r>
      <w:r w:rsidRPr="0035027D">
        <w:rPr>
          <w:rFonts w:cs="Times New Roman"/>
        </w:rPr>
        <w:t>ť</w:t>
      </w:r>
      <w:r w:rsidRPr="0035027D">
        <w:t xml:space="preserve"> stabilné a riadne fungovanie schémy na úrovni celej únie. V sektoroch ETS mo</w:t>
      </w:r>
      <w:r w:rsidRPr="0035027D">
        <w:rPr>
          <w:rFonts w:cs="Times New Roman"/>
        </w:rPr>
        <w:t>ž</w:t>
      </w:r>
      <w:r w:rsidRPr="0035027D">
        <w:t>no v</w:t>
      </w:r>
      <w:r w:rsidRPr="0035027D">
        <w:rPr>
          <w:rFonts w:cs="Times New Roman"/>
        </w:rPr>
        <w:t>ď</w:t>
      </w:r>
      <w:r w:rsidRPr="0035027D">
        <w:t>aka princípom obchodovania s emisnými kvótami o</w:t>
      </w:r>
      <w:r w:rsidRPr="0035027D">
        <w:rPr>
          <w:rFonts w:cs="Times New Roman"/>
        </w:rPr>
        <w:t>č</w:t>
      </w:r>
      <w:r w:rsidRPr="0035027D">
        <w:t>akáva</w:t>
      </w:r>
      <w:r w:rsidRPr="0035027D">
        <w:rPr>
          <w:rFonts w:cs="Times New Roman"/>
        </w:rPr>
        <w:t>ť</w:t>
      </w:r>
      <w:r w:rsidRPr="0035027D">
        <w:t xml:space="preserve"> </w:t>
      </w:r>
      <w:r w:rsidR="000E4724" w:rsidRPr="0035027D">
        <w:t xml:space="preserve">ich </w:t>
      </w:r>
      <w:r w:rsidR="000E4724" w:rsidRPr="0035027D">
        <w:rPr>
          <w:rFonts w:cs="Times New Roman"/>
        </w:rPr>
        <w:t>ď</w:t>
      </w:r>
      <w:r w:rsidR="000E4724" w:rsidRPr="0035027D">
        <w:t>alšie zni</w:t>
      </w:r>
      <w:r w:rsidR="000E4724" w:rsidRPr="0035027D">
        <w:rPr>
          <w:rFonts w:cs="Times New Roman"/>
        </w:rPr>
        <w:t>ž</w:t>
      </w:r>
      <w:r w:rsidR="000E4724" w:rsidRPr="0035027D">
        <w:t>ovanie nákladovo-</w:t>
      </w:r>
      <w:r w:rsidRPr="0035027D">
        <w:t>efektívnym spôsobom. Od roku 2013 budú prevádzkovatelia povinní takmer polovicu emisných kvót nakúpi</w:t>
      </w:r>
      <w:r w:rsidRPr="0035027D">
        <w:rPr>
          <w:rFonts w:cs="Times New Roman"/>
        </w:rPr>
        <w:t>ť</w:t>
      </w:r>
      <w:r w:rsidRPr="0035027D">
        <w:t xml:space="preserve"> na aukcii emisných kvót, pri</w:t>
      </w:r>
      <w:r w:rsidRPr="0035027D">
        <w:rPr>
          <w:rFonts w:cs="Times New Roman"/>
        </w:rPr>
        <w:t>č</w:t>
      </w:r>
      <w:r w:rsidRPr="0035027D">
        <w:t xml:space="preserve">om </w:t>
      </w:r>
      <w:r w:rsidRPr="0035027D">
        <w:rPr>
          <w:rFonts w:cs="Times New Roman"/>
          <w:lang w:eastAsia="en-GB"/>
        </w:rPr>
        <w:t>výnos z dražieb je príjmom SR.</w:t>
      </w:r>
    </w:p>
    <w:p w:rsidR="007E70E1" w:rsidRPr="0035027D" w:rsidRDefault="007E70E1" w:rsidP="007E70E1">
      <w:pPr>
        <w:spacing w:after="0"/>
        <w:rPr>
          <w:rFonts w:cs="Times New Roman"/>
          <w:lang w:eastAsia="en-GB"/>
        </w:rPr>
      </w:pPr>
    </w:p>
    <w:p w:rsidR="007E70E1" w:rsidRPr="0035027D" w:rsidRDefault="007E70E1" w:rsidP="007E70E1">
      <w:pPr>
        <w:spacing w:after="0"/>
        <w:rPr>
          <w:rFonts w:cs="Arial"/>
        </w:rPr>
      </w:pPr>
      <w:r w:rsidRPr="0035027D">
        <w:rPr>
          <w:rFonts w:cs="Arial"/>
        </w:rPr>
        <w:t>Na plnenie ambicióznych cie</w:t>
      </w:r>
      <w:r w:rsidRPr="0035027D">
        <w:rPr>
          <w:rFonts w:cs="Times New Roman"/>
        </w:rPr>
        <w:t>ľ</w:t>
      </w:r>
      <w:r w:rsidRPr="0035027D">
        <w:rPr>
          <w:rFonts w:cs="Arial"/>
        </w:rPr>
        <w:t>ov EÚ nebudú sta</w:t>
      </w:r>
      <w:r w:rsidRPr="0035027D">
        <w:rPr>
          <w:rFonts w:cs="Times New Roman"/>
        </w:rPr>
        <w:t>č</w:t>
      </w:r>
      <w:r w:rsidRPr="0035027D">
        <w:rPr>
          <w:rFonts w:cs="Arial"/>
        </w:rPr>
        <w:t>i</w:t>
      </w:r>
      <w:r w:rsidRPr="0035027D">
        <w:rPr>
          <w:rFonts w:cs="Times New Roman"/>
        </w:rPr>
        <w:t>ť</w:t>
      </w:r>
      <w:r w:rsidRPr="0035027D">
        <w:rPr>
          <w:rFonts w:cs="Arial"/>
        </w:rPr>
        <w:t xml:space="preserve"> redukcie emisií skleníkových plynov v schéme ETS. Od roku 2013 má SR presne stanovenú emisnú trajektóriu do roku</w:t>
      </w:r>
      <w:r w:rsidR="000E4724" w:rsidRPr="0035027D">
        <w:rPr>
          <w:rFonts w:cs="Arial"/>
        </w:rPr>
        <w:t xml:space="preserve"> 2020 aj pre sektory mimo schémy</w:t>
      </w:r>
      <w:r w:rsidRPr="0035027D">
        <w:rPr>
          <w:rFonts w:cs="Arial"/>
        </w:rPr>
        <w:t xml:space="preserve"> obchodovania s ro</w:t>
      </w:r>
      <w:r w:rsidRPr="0035027D">
        <w:rPr>
          <w:rFonts w:cs="Times New Roman"/>
        </w:rPr>
        <w:t>č</w:t>
      </w:r>
      <w:r w:rsidRPr="0035027D">
        <w:rPr>
          <w:rFonts w:cs="Arial"/>
        </w:rPr>
        <w:t>nou cie</w:t>
      </w:r>
      <w:r w:rsidRPr="0035027D">
        <w:rPr>
          <w:rFonts w:cs="Times New Roman"/>
        </w:rPr>
        <w:t>ľ</w:t>
      </w:r>
      <w:r w:rsidRPr="0035027D">
        <w:rPr>
          <w:rFonts w:cs="Arial"/>
        </w:rPr>
        <w:t>ovou hodnotou vypustených emisií. Na jej plnenie bude nevyhnutné realizova</w:t>
      </w:r>
      <w:r w:rsidRPr="0035027D">
        <w:rPr>
          <w:rFonts w:cs="Times New Roman"/>
        </w:rPr>
        <w:t>ť</w:t>
      </w:r>
      <w:r w:rsidRPr="0035027D">
        <w:rPr>
          <w:rFonts w:cs="Arial"/>
        </w:rPr>
        <w:t xml:space="preserve"> významné reduk</w:t>
      </w:r>
      <w:r w:rsidRPr="0035027D">
        <w:rPr>
          <w:rFonts w:cs="Times New Roman"/>
        </w:rPr>
        <w:t>č</w:t>
      </w:r>
      <w:r w:rsidRPr="0035027D">
        <w:rPr>
          <w:rFonts w:cs="Arial"/>
        </w:rPr>
        <w:t>né opatrenia aj v </w:t>
      </w:r>
      <w:r w:rsidRPr="0035027D">
        <w:rPr>
          <w:rFonts w:cs="Times New Roman"/>
        </w:rPr>
        <w:t>ď</w:t>
      </w:r>
      <w:r w:rsidRPr="0035027D">
        <w:rPr>
          <w:rFonts w:cs="Arial"/>
        </w:rPr>
        <w:t>alších sektoroch, najmä dopravy, po</w:t>
      </w:r>
      <w:r w:rsidRPr="0035027D">
        <w:rPr>
          <w:rFonts w:cs="Times New Roman"/>
        </w:rPr>
        <w:t>ľ</w:t>
      </w:r>
      <w:r w:rsidRPr="0035027D">
        <w:rPr>
          <w:rFonts w:cs="Arial"/>
        </w:rPr>
        <w:t>nohospodárstva a budov. Preh</w:t>
      </w:r>
      <w:r w:rsidRPr="0035027D">
        <w:rPr>
          <w:rFonts w:cs="Times New Roman"/>
        </w:rPr>
        <w:t>ľ</w:t>
      </w:r>
      <w:r w:rsidRPr="0035027D">
        <w:rPr>
          <w:rFonts w:cs="Arial"/>
        </w:rPr>
        <w:t>ad reduk</w:t>
      </w:r>
      <w:r w:rsidRPr="0035027D">
        <w:rPr>
          <w:rFonts w:cs="Times New Roman"/>
        </w:rPr>
        <w:t>č</w:t>
      </w:r>
      <w:r w:rsidRPr="0035027D">
        <w:rPr>
          <w:rFonts w:cs="Arial"/>
        </w:rPr>
        <w:t>ného potenciálu rôznych opatrení a odhadovaných nákladov na ich realizáciu</w:t>
      </w:r>
      <w:r w:rsidR="00977BD9" w:rsidRPr="0035027D">
        <w:rPr>
          <w:rFonts w:cs="Arial"/>
        </w:rPr>
        <w:t xml:space="preserve"> </w:t>
      </w:r>
      <w:r w:rsidRPr="0035027D">
        <w:rPr>
          <w:rFonts w:cs="Arial"/>
        </w:rPr>
        <w:t>bude obsahova</w:t>
      </w:r>
      <w:r w:rsidRPr="0035027D">
        <w:rPr>
          <w:rFonts w:cs="Times New Roman"/>
        </w:rPr>
        <w:t>ť</w:t>
      </w:r>
      <w:r w:rsidRPr="0035027D">
        <w:rPr>
          <w:rFonts w:cs="Arial"/>
        </w:rPr>
        <w:t xml:space="preserve"> </w:t>
      </w:r>
      <w:r w:rsidR="0013277A" w:rsidRPr="0035027D">
        <w:rPr>
          <w:rFonts w:cs="Arial"/>
        </w:rPr>
        <w:t>N</w:t>
      </w:r>
      <w:r w:rsidRPr="0035027D">
        <w:rPr>
          <w:rFonts w:cs="Arial"/>
        </w:rPr>
        <w:t>ízko-uhlíková stratégia</w:t>
      </w:r>
      <w:r w:rsidRPr="0035027D">
        <w:t xml:space="preserve"> rozvoja do roku 2030 vrátane dopadovej štúdie. Opatrenia budú zah</w:t>
      </w:r>
      <w:r w:rsidRPr="0035027D">
        <w:rPr>
          <w:rFonts w:cs="Times New Roman"/>
        </w:rPr>
        <w:t>ŕň</w:t>
      </w:r>
      <w:r w:rsidRPr="0035027D">
        <w:t>a</w:t>
      </w:r>
      <w:r w:rsidRPr="0035027D">
        <w:rPr>
          <w:rFonts w:cs="Times New Roman"/>
        </w:rPr>
        <w:t>ť</w:t>
      </w:r>
      <w:r w:rsidRPr="0035027D">
        <w:t xml:space="preserve"> modernizáciu verejného osvetlenia, </w:t>
      </w:r>
      <w:r w:rsidR="00924D3F" w:rsidRPr="0035027D">
        <w:t>zvyšovanie</w:t>
      </w:r>
      <w:r w:rsidRPr="0035027D">
        <w:t xml:space="preserve"> energetickej </w:t>
      </w:r>
      <w:r w:rsidR="00924D3F" w:rsidRPr="0035027D">
        <w:t>efektívnosti</w:t>
      </w:r>
      <w:r w:rsidRPr="0035027D">
        <w:t xml:space="preserve"> budov vrátane ústredného vykurovania, podporu dopravnej infraštruktúry, ako aj </w:t>
      </w:r>
      <w:proofErr w:type="spellStart"/>
      <w:r w:rsidRPr="0035027D">
        <w:t>intermodálnej</w:t>
      </w:r>
      <w:proofErr w:type="spellEnd"/>
      <w:r w:rsidRPr="0035027D">
        <w:t xml:space="preserve"> dopravy, hromadnej prepravy osôb a cyklistickej dopravy, recykláciu a energetické zhodnocovanie odpadov.</w:t>
      </w:r>
      <w:r w:rsidR="006C7ADB" w:rsidRPr="0035027D">
        <w:t xml:space="preserve"> Do prípravy Nízko-uhlíkovej stratégie do roku 2030 a Stratégie adaptácie SR na nepriaznivé dôsledky zmeny klímy budú zapojení aj sociálni a ekonomickí partneri a ob</w:t>
      </w:r>
      <w:r w:rsidR="006C7ADB" w:rsidRPr="0035027D">
        <w:rPr>
          <w:rFonts w:cs="Times New Roman"/>
        </w:rPr>
        <w:t>č</w:t>
      </w:r>
      <w:r w:rsidR="006C7ADB" w:rsidRPr="0035027D">
        <w:t>ianske organizácie.</w:t>
      </w:r>
    </w:p>
    <w:p w:rsidR="007E70E1" w:rsidRPr="0035027D" w:rsidRDefault="007E70E1" w:rsidP="007E70E1">
      <w:pPr>
        <w:tabs>
          <w:tab w:val="left" w:pos="1260"/>
        </w:tabs>
        <w:spacing w:after="0"/>
        <w:rPr>
          <w:rFonts w:cs="Arial"/>
          <w:lang w:eastAsia="en-GB"/>
        </w:rPr>
      </w:pPr>
    </w:p>
    <w:p w:rsidR="007E70E1" w:rsidRPr="0035027D" w:rsidRDefault="007E70E1" w:rsidP="007E70E1">
      <w:pPr>
        <w:tabs>
          <w:tab w:val="left" w:pos="1260"/>
        </w:tabs>
        <w:spacing w:after="0"/>
        <w:rPr>
          <w:rFonts w:cs="Arial"/>
          <w:lang w:eastAsia="en-GB"/>
        </w:rPr>
      </w:pPr>
      <w:r w:rsidRPr="0035027D">
        <w:t>Medzi základné p</w:t>
      </w:r>
      <w:r w:rsidR="00B3570D" w:rsidRPr="0035027D">
        <w:t>odkladové analýzy pre prípravu N</w:t>
      </w:r>
      <w:r w:rsidRPr="0035027D">
        <w:t xml:space="preserve">ízko-uhlíkovej stratégie budú okrem </w:t>
      </w:r>
      <w:proofErr w:type="spellStart"/>
      <w:r w:rsidRPr="0035027D">
        <w:t>citlivostnej</w:t>
      </w:r>
      <w:proofErr w:type="spellEnd"/>
      <w:r w:rsidRPr="0035027D">
        <w:t xml:space="preserve"> analýzy pre vybrané parametre (ceny palív, investi</w:t>
      </w:r>
      <w:r w:rsidRPr="0035027D">
        <w:rPr>
          <w:rFonts w:cs="Times New Roman"/>
        </w:rPr>
        <w:t>č</w:t>
      </w:r>
      <w:r w:rsidRPr="0035027D">
        <w:t>ná náro</w:t>
      </w:r>
      <w:r w:rsidRPr="0035027D">
        <w:rPr>
          <w:rFonts w:cs="Times New Roman"/>
        </w:rPr>
        <w:t>č</w:t>
      </w:r>
      <w:r w:rsidRPr="0035027D">
        <w:t>nos</w:t>
      </w:r>
      <w:r w:rsidRPr="0035027D">
        <w:rPr>
          <w:rFonts w:cs="Times New Roman"/>
        </w:rPr>
        <w:t>ť</w:t>
      </w:r>
      <w:r w:rsidRPr="0035027D">
        <w:t>) a projekcií emisií skleníkových plynov aj krivky marginálnych nákladov zni</w:t>
      </w:r>
      <w:r w:rsidRPr="0035027D">
        <w:rPr>
          <w:rFonts w:cs="Times New Roman"/>
        </w:rPr>
        <w:t>ž</w:t>
      </w:r>
      <w:r w:rsidRPr="0035027D">
        <w:t>ovania emisií. Tie pomô</w:t>
      </w:r>
      <w:r w:rsidRPr="0035027D">
        <w:rPr>
          <w:rFonts w:cs="Times New Roman"/>
        </w:rPr>
        <w:t>ž</w:t>
      </w:r>
      <w:r w:rsidRPr="0035027D">
        <w:t>u pri výbere nákladovo najefektívnejších reduk</w:t>
      </w:r>
      <w:r w:rsidRPr="0035027D">
        <w:rPr>
          <w:rFonts w:cs="Times New Roman"/>
        </w:rPr>
        <w:t>č</w:t>
      </w:r>
      <w:r w:rsidRPr="0035027D">
        <w:t>ných opatrení. Skúsenosti z iných krajín nazna</w:t>
      </w:r>
      <w:r w:rsidRPr="0035027D">
        <w:rPr>
          <w:rFonts w:cs="Times New Roman"/>
        </w:rPr>
        <w:t>č</w:t>
      </w:r>
      <w:r w:rsidRPr="0035027D">
        <w:t xml:space="preserve">ujú, </w:t>
      </w:r>
      <w:r w:rsidRPr="0035027D">
        <w:rPr>
          <w:rFonts w:cs="Times New Roman"/>
        </w:rPr>
        <w:t>ž</w:t>
      </w:r>
      <w:r w:rsidRPr="0035027D">
        <w:t xml:space="preserve">e medzi najlacnejšie opatrenia (resp. opatrenia, ktoré predstavujú </w:t>
      </w:r>
      <w:r w:rsidRPr="0035027D">
        <w:rPr>
          <w:rFonts w:cs="Times New Roman"/>
        </w:rPr>
        <w:t>č</w:t>
      </w:r>
      <w:r w:rsidRPr="0035027D">
        <w:t>istý prínos) patrí</w:t>
      </w:r>
      <w:r w:rsidR="00B3570D" w:rsidRPr="0035027D">
        <w:t xml:space="preserve"> pou</w:t>
      </w:r>
      <w:r w:rsidR="00B3570D" w:rsidRPr="0035027D">
        <w:rPr>
          <w:rFonts w:cs="Times New Roman"/>
        </w:rPr>
        <w:t>ž</w:t>
      </w:r>
      <w:r w:rsidR="00B3570D" w:rsidRPr="0035027D">
        <w:t xml:space="preserve">ívanie úsporných </w:t>
      </w:r>
      <w:r w:rsidR="00B3570D" w:rsidRPr="0035027D">
        <w:rPr>
          <w:rFonts w:cs="Times New Roman"/>
        </w:rPr>
        <w:t>ž</w:t>
      </w:r>
      <w:r w:rsidR="00B3570D" w:rsidRPr="0035027D">
        <w:t>iaroviek</w:t>
      </w:r>
      <w:r w:rsidRPr="0035027D">
        <w:t xml:space="preserve"> </w:t>
      </w:r>
      <w:r w:rsidRPr="0035027D">
        <w:rPr>
          <w:rFonts w:cs="Times New Roman"/>
        </w:rPr>
        <w:t>č</w:t>
      </w:r>
      <w:r w:rsidRPr="0035027D">
        <w:t>i zatep</w:t>
      </w:r>
      <w:r w:rsidRPr="0035027D">
        <w:rPr>
          <w:rFonts w:cs="Times New Roman"/>
        </w:rPr>
        <w:t>ľ</w:t>
      </w:r>
      <w:r w:rsidRPr="0035027D">
        <w:t>ovanie verejných a súkromných budov. Na druhej strane</w:t>
      </w:r>
      <w:r w:rsidR="00B3570D" w:rsidRPr="0035027D">
        <w:t>,</w:t>
      </w:r>
      <w:r w:rsidRPr="0035027D">
        <w:t xml:space="preserve"> medzi najdrahšie opatrenia patrí po</w:t>
      </w:r>
      <w:r w:rsidR="00B3570D" w:rsidRPr="0035027D">
        <w:t>u</w:t>
      </w:r>
      <w:r w:rsidR="00B3570D" w:rsidRPr="0035027D">
        <w:rPr>
          <w:rFonts w:cs="Times New Roman"/>
        </w:rPr>
        <w:t>ž</w:t>
      </w:r>
      <w:r w:rsidR="00B3570D" w:rsidRPr="0035027D">
        <w:t>ívanie hybridných automobilov</w:t>
      </w:r>
      <w:r w:rsidRPr="0035027D">
        <w:t xml:space="preserve"> alebo vyu</w:t>
      </w:r>
      <w:r w:rsidRPr="0035027D">
        <w:rPr>
          <w:rFonts w:cs="Times New Roman"/>
        </w:rPr>
        <w:t>ž</w:t>
      </w:r>
      <w:r w:rsidRPr="0035027D">
        <w:t>ívanie biomasy.</w:t>
      </w:r>
    </w:p>
    <w:p w:rsidR="007E70E1" w:rsidRPr="0035027D" w:rsidRDefault="007E70E1" w:rsidP="007E70E1">
      <w:pPr>
        <w:tabs>
          <w:tab w:val="left" w:pos="426"/>
        </w:tabs>
        <w:spacing w:after="0"/>
      </w:pPr>
    </w:p>
    <w:p w:rsidR="007E70E1" w:rsidRPr="0035027D" w:rsidRDefault="007E70E1" w:rsidP="007E70E1">
      <w:pPr>
        <w:tabs>
          <w:tab w:val="left" w:pos="426"/>
        </w:tabs>
        <w:spacing w:after="0"/>
      </w:pPr>
      <w:r w:rsidRPr="0035027D">
        <w:t xml:space="preserve">V nadväznosti na dokument Európskej komisie </w:t>
      </w:r>
      <w:r w:rsidRPr="0035027D">
        <w:rPr>
          <w:i/>
        </w:rPr>
        <w:t>Príprava rámca pre klímu a energetiku v roku 2030</w:t>
      </w:r>
      <w:r w:rsidRPr="0035027D">
        <w:t xml:space="preserve"> pripraví vláda</w:t>
      </w:r>
      <w:r w:rsidR="009204DB" w:rsidRPr="0035027D">
        <w:t> SR</w:t>
      </w:r>
      <w:r w:rsidRPr="0035027D">
        <w:t xml:space="preserve"> analýzu mo</w:t>
      </w:r>
      <w:r w:rsidRPr="0035027D">
        <w:rPr>
          <w:rFonts w:cs="Times New Roman"/>
        </w:rPr>
        <w:t>ž</w:t>
      </w:r>
      <w:r w:rsidRPr="0035027D">
        <w:t>ností plnenia prísnejších reduk</w:t>
      </w:r>
      <w:r w:rsidRPr="0035027D">
        <w:rPr>
          <w:rFonts w:cs="Times New Roman"/>
        </w:rPr>
        <w:t>č</w:t>
      </w:r>
      <w:r w:rsidRPr="0035027D">
        <w:t>ných cie</w:t>
      </w:r>
      <w:r w:rsidRPr="0035027D">
        <w:rPr>
          <w:rFonts w:cs="Times New Roman"/>
        </w:rPr>
        <w:t>ľ</w:t>
      </w:r>
      <w:r w:rsidRPr="0035027D">
        <w:t>ov do roku 2030. Analýza posúdi na základe vstupných údajov vyplývajúcich z makroekonomických projekcií a z kriviek marginálnych nákladov zni</w:t>
      </w:r>
      <w:r w:rsidRPr="0035027D">
        <w:rPr>
          <w:rFonts w:cs="Times New Roman"/>
        </w:rPr>
        <w:t>ž</w:t>
      </w:r>
      <w:r w:rsidRPr="0035027D">
        <w:t>ovania emisií dopady rôznych reduk</w:t>
      </w:r>
      <w:r w:rsidRPr="0035027D">
        <w:rPr>
          <w:rFonts w:cs="Times New Roman"/>
        </w:rPr>
        <w:t>č</w:t>
      </w:r>
      <w:r w:rsidRPr="0035027D">
        <w:t>ných cie</w:t>
      </w:r>
      <w:r w:rsidRPr="0035027D">
        <w:rPr>
          <w:rFonts w:cs="Times New Roman"/>
        </w:rPr>
        <w:t>ľ</w:t>
      </w:r>
      <w:r w:rsidRPr="0035027D">
        <w:t>ov na hospodárstvo SR do roku 2050 pri optimálnom nastavení politík.</w:t>
      </w:r>
    </w:p>
    <w:p w:rsidR="007E70E1" w:rsidRPr="0035027D" w:rsidRDefault="007E70E1" w:rsidP="007E70E1">
      <w:pPr>
        <w:tabs>
          <w:tab w:val="left" w:pos="426"/>
        </w:tabs>
        <w:spacing w:after="0"/>
      </w:pPr>
    </w:p>
    <w:p w:rsidR="007E70E1" w:rsidRPr="0035027D" w:rsidRDefault="007E70E1" w:rsidP="007E70E1">
      <w:pPr>
        <w:tabs>
          <w:tab w:val="left" w:pos="426"/>
        </w:tabs>
        <w:spacing w:after="0"/>
      </w:pPr>
      <w:r w:rsidRPr="0035027D">
        <w:t>Vzh</w:t>
      </w:r>
      <w:r w:rsidRPr="0035027D">
        <w:rPr>
          <w:rFonts w:cs="Times New Roman"/>
        </w:rPr>
        <w:t>ľ</w:t>
      </w:r>
      <w:r w:rsidRPr="0035027D">
        <w:t>adom na o</w:t>
      </w:r>
      <w:r w:rsidRPr="0035027D">
        <w:rPr>
          <w:rFonts w:cs="Times New Roman"/>
        </w:rPr>
        <w:t>č</w:t>
      </w:r>
      <w:r w:rsidRPr="0035027D">
        <w:t>akávané dôsledky zmeny klímy je nevyhnutné pripravi</w:t>
      </w:r>
      <w:r w:rsidRPr="0035027D">
        <w:rPr>
          <w:rFonts w:cs="Times New Roman"/>
        </w:rPr>
        <w:t>ť</w:t>
      </w:r>
      <w:r w:rsidRPr="0035027D">
        <w:t xml:space="preserve"> opatrenia na zní</w:t>
      </w:r>
      <w:r w:rsidRPr="0035027D">
        <w:rPr>
          <w:rFonts w:cs="Times New Roman"/>
        </w:rPr>
        <w:t>ž</w:t>
      </w:r>
      <w:r w:rsidRPr="0035027D">
        <w:t xml:space="preserve">enie ich dopadov. Ministerstvo </w:t>
      </w:r>
      <w:r w:rsidRPr="0035027D">
        <w:rPr>
          <w:rFonts w:cs="Times New Roman"/>
        </w:rPr>
        <w:t>ž</w:t>
      </w:r>
      <w:r w:rsidRPr="0035027D">
        <w:t>ivotného prostredia preto v spolupráci s ostatnými zainteresovanými rezortmi pripraví Stratégiu adaptácie SR na nepriaznivé dôsledky zmeny klímy. Materiál navrhne na základe objektívnej analýzy nepriaznivých dôsledkov zmeny klímy princípy a nástroje na minimalizovanie negatívnych dopadov zmeny klímy na ekosystémy, sociálnu a hospodársku oblas</w:t>
      </w:r>
      <w:r w:rsidRPr="0035027D">
        <w:rPr>
          <w:rFonts w:cs="Times New Roman"/>
        </w:rPr>
        <w:t>ť</w:t>
      </w:r>
      <w:r w:rsidRPr="0035027D">
        <w:t>.</w:t>
      </w:r>
    </w:p>
    <w:p w:rsidR="007E70E1" w:rsidRPr="0035027D" w:rsidRDefault="007E70E1" w:rsidP="007E70E1">
      <w:pPr>
        <w:tabs>
          <w:tab w:val="left" w:pos="1260"/>
        </w:tabs>
        <w:spacing w:after="0"/>
        <w:rPr>
          <w:rFonts w:cs="Arial"/>
          <w:lang w:eastAsia="en-GB"/>
        </w:rPr>
      </w:pPr>
    </w:p>
    <w:p w:rsidR="007E70E1" w:rsidRPr="0035027D" w:rsidRDefault="007E70E1" w:rsidP="007E70E1">
      <w:pPr>
        <w:spacing w:after="0"/>
        <w:rPr>
          <w:b/>
          <w:i/>
        </w:rPr>
      </w:pPr>
      <w:r w:rsidRPr="0035027D">
        <w:rPr>
          <w:b/>
          <w:bCs/>
          <w:i/>
          <w:iCs/>
        </w:rPr>
        <w:t xml:space="preserve">Energetika </w:t>
      </w:r>
      <w:r w:rsidRPr="0035027D">
        <w:rPr>
          <w:b/>
          <w:i/>
        </w:rPr>
        <w:t xml:space="preserve">a obnoviteľné zdroje energie </w:t>
      </w:r>
    </w:p>
    <w:p w:rsidR="007E70E1" w:rsidRPr="0035027D" w:rsidRDefault="007E70E1" w:rsidP="007E70E1">
      <w:pPr>
        <w:spacing w:after="0"/>
      </w:pPr>
    </w:p>
    <w:p w:rsidR="00892CCD" w:rsidRPr="0035027D" w:rsidRDefault="00892CCD" w:rsidP="00892CCD">
      <w:pPr>
        <w:spacing w:after="0"/>
      </w:pPr>
      <w:r w:rsidRPr="0035027D">
        <w:t>Vláda SR bude realizova</w:t>
      </w:r>
      <w:r w:rsidRPr="0035027D">
        <w:rPr>
          <w:rFonts w:cs="Times New Roman"/>
        </w:rPr>
        <w:t>ť</w:t>
      </w:r>
      <w:r w:rsidRPr="0035027D">
        <w:t xml:space="preserve"> </w:t>
      </w:r>
      <w:r w:rsidRPr="0035027D">
        <w:rPr>
          <w:rFonts w:cs="Times New Roman"/>
        </w:rPr>
        <w:t>ď</w:t>
      </w:r>
      <w:r w:rsidRPr="0035027D">
        <w:t xml:space="preserve">alšie kroky na </w:t>
      </w:r>
      <w:r w:rsidR="00484081" w:rsidRPr="0035027D">
        <w:t>elimináciu</w:t>
      </w:r>
      <w:r w:rsidRPr="0035027D">
        <w:t xml:space="preserve"> zvyšovania koncových cien elektrickej energie v dôsledku silnej finan</w:t>
      </w:r>
      <w:r w:rsidRPr="0035027D">
        <w:rPr>
          <w:rFonts w:cs="Times New Roman"/>
        </w:rPr>
        <w:t>č</w:t>
      </w:r>
      <w:r w:rsidRPr="0035027D">
        <w:t>nej podpory obnovite</w:t>
      </w:r>
      <w:r w:rsidRPr="0035027D">
        <w:rPr>
          <w:rFonts w:cs="Times New Roman"/>
        </w:rPr>
        <w:t>ľ</w:t>
      </w:r>
      <w:r w:rsidRPr="0035027D">
        <w:t>ných zdrojov energie (OZE) a kombinovanej výroby elektrickej energie a tepla (KVET). Doteraz prijaté opatrenia sprísnili pravidlá pre vyplácanie doplatku na takto vyrobenú elektrinu. V tejto snahe sa bude pokra</w:t>
      </w:r>
      <w:r w:rsidRPr="0035027D">
        <w:rPr>
          <w:rFonts w:cs="Times New Roman"/>
        </w:rPr>
        <w:t>č</w:t>
      </w:r>
      <w:r w:rsidRPr="0035027D">
        <w:t>ova</w:t>
      </w:r>
      <w:r w:rsidRPr="0035027D">
        <w:rPr>
          <w:rFonts w:cs="Times New Roman"/>
        </w:rPr>
        <w:t>ť</w:t>
      </w:r>
      <w:r w:rsidRPr="0035027D">
        <w:t xml:space="preserve"> novým nastavením podpory OZE, </w:t>
      </w:r>
      <w:r w:rsidRPr="0035027D">
        <w:rPr>
          <w:rFonts w:cs="Times New Roman"/>
        </w:rPr>
        <w:t>č</w:t>
      </w:r>
      <w:r w:rsidRPr="0035027D">
        <w:t>ím sa zabezpe</w:t>
      </w:r>
      <w:r w:rsidRPr="0035027D">
        <w:rPr>
          <w:rFonts w:cs="Times New Roman"/>
        </w:rPr>
        <w:t>č</w:t>
      </w:r>
      <w:r w:rsidRPr="0035027D">
        <w:t>í dosiahnu</w:t>
      </w:r>
      <w:r w:rsidR="003576A3" w:rsidRPr="0035027D">
        <w:t>tie vytý</w:t>
      </w:r>
      <w:r w:rsidR="003576A3" w:rsidRPr="0035027D">
        <w:rPr>
          <w:rFonts w:cs="Times New Roman"/>
        </w:rPr>
        <w:t>č</w:t>
      </w:r>
      <w:r w:rsidR="003576A3" w:rsidRPr="0035027D">
        <w:t>ených cie</w:t>
      </w:r>
      <w:r w:rsidR="003576A3" w:rsidRPr="0035027D">
        <w:rPr>
          <w:rFonts w:cs="Times New Roman"/>
        </w:rPr>
        <w:t>ľ</w:t>
      </w:r>
      <w:r w:rsidR="003576A3" w:rsidRPr="0035027D">
        <w:t>ov nákladovo-</w:t>
      </w:r>
      <w:r w:rsidRPr="0035027D">
        <w:t>efektívnym spôsobom a zárove</w:t>
      </w:r>
      <w:r w:rsidRPr="0035027D">
        <w:rPr>
          <w:rFonts w:cs="Times New Roman"/>
        </w:rPr>
        <w:t>ň</w:t>
      </w:r>
      <w:r w:rsidRPr="0035027D">
        <w:t xml:space="preserve"> sa zabráni neúmernému zvyšovaniu cien elektrickej energie. Výkupné ceny by mali závisie</w:t>
      </w:r>
      <w:r w:rsidRPr="0035027D">
        <w:rPr>
          <w:rFonts w:cs="Times New Roman"/>
        </w:rPr>
        <w:t>ť</w:t>
      </w:r>
      <w:r w:rsidRPr="0035027D">
        <w:t xml:space="preserve"> od potenciálu rozvoja jednotlivých typov OZE a mali by by</w:t>
      </w:r>
      <w:r w:rsidRPr="0035027D">
        <w:rPr>
          <w:rFonts w:cs="Times New Roman"/>
        </w:rPr>
        <w:t>ť</w:t>
      </w:r>
      <w:r w:rsidRPr="0035027D">
        <w:t xml:space="preserve"> nastavené ako doplnok k ostatným environmentálnym opatreniam, ktoré mô</w:t>
      </w:r>
      <w:r w:rsidRPr="0035027D">
        <w:rPr>
          <w:rFonts w:cs="Times New Roman"/>
        </w:rPr>
        <w:t>ž</w:t>
      </w:r>
      <w:r w:rsidRPr="0035027D">
        <w:t>u ma</w:t>
      </w:r>
      <w:r w:rsidRPr="0035027D">
        <w:rPr>
          <w:rFonts w:cs="Times New Roman"/>
        </w:rPr>
        <w:t>ť</w:t>
      </w:r>
      <w:r w:rsidRPr="0035027D">
        <w:t xml:space="preserve"> vplyv na rozvoj OZE (dotácie, ETS), aby nedochádzalo k prekrývaniu nástrojov. Výkupné ceny by takisto mali by</w:t>
      </w:r>
      <w:r w:rsidRPr="0035027D">
        <w:rPr>
          <w:rFonts w:cs="Times New Roman"/>
        </w:rPr>
        <w:t>ť</w:t>
      </w:r>
      <w:r w:rsidRPr="0035027D">
        <w:t xml:space="preserve"> dostato</w:t>
      </w:r>
      <w:r w:rsidRPr="0035027D">
        <w:rPr>
          <w:rFonts w:cs="Times New Roman"/>
        </w:rPr>
        <w:t>č</w:t>
      </w:r>
      <w:r w:rsidRPr="0035027D">
        <w:t>ne flexibilné, aby reagovali na aktuálny trhový vývoj</w:t>
      </w:r>
      <w:r w:rsidR="003576A3" w:rsidRPr="0035027D">
        <w:t>,</w:t>
      </w:r>
      <w:r w:rsidRPr="0035027D">
        <w:t xml:space="preserve"> avšak aj dostato</w:t>
      </w:r>
      <w:r w:rsidRPr="0035027D">
        <w:rPr>
          <w:rFonts w:cs="Times New Roman"/>
        </w:rPr>
        <w:t>č</w:t>
      </w:r>
      <w:r w:rsidRPr="0035027D">
        <w:t>ne stabilné na prilákanie nových investícií. To sa dosiahne jasnými pravidlami pre zmeny výkupných cien. Tempo podpory plnenia cie</w:t>
      </w:r>
      <w:r w:rsidRPr="0035027D">
        <w:rPr>
          <w:rFonts w:cs="Times New Roman"/>
        </w:rPr>
        <w:t>ľ</w:t>
      </w:r>
      <w:r w:rsidRPr="0035027D">
        <w:t>ov sa zmení tak, aby bola vä</w:t>
      </w:r>
      <w:r w:rsidRPr="0035027D">
        <w:rPr>
          <w:rFonts w:cs="Times New Roman"/>
        </w:rPr>
        <w:t>č</w:t>
      </w:r>
      <w:r w:rsidRPr="0035027D">
        <w:t>šina podpory najmä na výrobu elektriny cielená bli</w:t>
      </w:r>
      <w:r w:rsidRPr="0035027D">
        <w:rPr>
          <w:rFonts w:cs="Times New Roman"/>
        </w:rPr>
        <w:t>ž</w:t>
      </w:r>
      <w:r w:rsidRPr="0035027D">
        <w:t>šie k roku 2020.</w:t>
      </w:r>
      <w:r w:rsidR="00484081" w:rsidRPr="0035027D">
        <w:t xml:space="preserve"> </w:t>
      </w:r>
      <w:r w:rsidR="003877A1" w:rsidRPr="0035027D">
        <w:t>Z</w:t>
      </w:r>
      <w:r w:rsidR="00484081" w:rsidRPr="0035027D">
        <w:t xml:space="preserve">avedie </w:t>
      </w:r>
      <w:r w:rsidR="003877A1" w:rsidRPr="0035027D">
        <w:t xml:space="preserve">sa </w:t>
      </w:r>
      <w:r w:rsidR="00484081" w:rsidRPr="0035027D">
        <w:t>jednotný výkupca</w:t>
      </w:r>
      <w:r w:rsidR="003877A1" w:rsidRPr="0035027D">
        <w:t xml:space="preserve"> podporovanej</w:t>
      </w:r>
      <w:r w:rsidR="00484081" w:rsidRPr="0035027D">
        <w:t xml:space="preserve"> elektriny</w:t>
      </w:r>
      <w:r w:rsidR="003877A1" w:rsidRPr="0035027D">
        <w:t xml:space="preserve"> z OZE a KVET, </w:t>
      </w:r>
      <w:r w:rsidR="003877A1" w:rsidRPr="0035027D">
        <w:rPr>
          <w:rFonts w:cs="Times New Roman"/>
        </w:rPr>
        <w:t>č</w:t>
      </w:r>
      <w:r w:rsidR="003877A1" w:rsidRPr="0035027D">
        <w:t>o stransparentní</w:t>
      </w:r>
      <w:r w:rsidR="00484081" w:rsidRPr="0035027D">
        <w:t xml:space="preserve"> </w:t>
      </w:r>
      <w:r w:rsidR="003877A1" w:rsidRPr="0035027D">
        <w:t>vyu</w:t>
      </w:r>
      <w:r w:rsidR="003877A1" w:rsidRPr="0035027D">
        <w:rPr>
          <w:rFonts w:cs="Times New Roman"/>
        </w:rPr>
        <w:t>ž</w:t>
      </w:r>
      <w:r w:rsidR="003877A1" w:rsidRPr="0035027D">
        <w:t>ívanie tejto elektriny a umo</w:t>
      </w:r>
      <w:r w:rsidR="003877A1" w:rsidRPr="0035027D">
        <w:rPr>
          <w:rFonts w:cs="Times New Roman"/>
        </w:rPr>
        <w:t>ž</w:t>
      </w:r>
      <w:r w:rsidR="003877A1" w:rsidRPr="0035027D">
        <w:t>ní lepšie nastavenie verejnej podpory</w:t>
      </w:r>
      <w:r w:rsidR="00484081" w:rsidRPr="0035027D">
        <w:t>.</w:t>
      </w:r>
    </w:p>
    <w:p w:rsidR="00892CCD" w:rsidRPr="0035027D" w:rsidRDefault="00892CCD" w:rsidP="00892CCD">
      <w:pPr>
        <w:spacing w:after="0"/>
      </w:pPr>
    </w:p>
    <w:p w:rsidR="00892CCD" w:rsidRPr="0035027D" w:rsidRDefault="00892CCD" w:rsidP="00892CCD">
      <w:pPr>
        <w:spacing w:after="0"/>
      </w:pPr>
      <w:r w:rsidRPr="0035027D">
        <w:t>Z poh</w:t>
      </w:r>
      <w:r w:rsidRPr="0035027D">
        <w:rPr>
          <w:rFonts w:cs="Times New Roman"/>
        </w:rPr>
        <w:t>ľ</w:t>
      </w:r>
      <w:r w:rsidRPr="0035027D">
        <w:t>adu cie</w:t>
      </w:r>
      <w:r w:rsidRPr="0035027D">
        <w:rPr>
          <w:rFonts w:cs="Times New Roman"/>
        </w:rPr>
        <w:t>ľ</w:t>
      </w:r>
      <w:r w:rsidRPr="0035027D">
        <w:t>a zni</w:t>
      </w:r>
      <w:r w:rsidRPr="0035027D">
        <w:rPr>
          <w:rFonts w:cs="Times New Roman"/>
        </w:rPr>
        <w:t>ž</w:t>
      </w:r>
      <w:r w:rsidRPr="0035027D">
        <w:t>ovania emisií z energetiky je potrebné prehodnoti</w:t>
      </w:r>
      <w:r w:rsidRPr="0035027D">
        <w:rPr>
          <w:rFonts w:cs="Times New Roman"/>
        </w:rPr>
        <w:t>ť</w:t>
      </w:r>
      <w:r w:rsidRPr="0035027D">
        <w:t xml:space="preserve"> subvenciu </w:t>
      </w:r>
      <w:r w:rsidRPr="0035027D">
        <w:rPr>
          <w:rFonts w:cs="Times New Roman"/>
        </w:rPr>
        <w:t>ť</w:t>
      </w:r>
      <w:r w:rsidRPr="0035027D">
        <w:t>a</w:t>
      </w:r>
      <w:r w:rsidRPr="0035027D">
        <w:rPr>
          <w:rFonts w:cs="Times New Roman"/>
        </w:rPr>
        <w:t>ž</w:t>
      </w:r>
      <w:r w:rsidRPr="0035027D">
        <w:t xml:space="preserve">by uhlia. Na Slovensku sa podporuje výroba elektriny z domáceho uhlia od roku 2005. Podporuje sa kompenzáciou nákladov na výrobu zahrnutej v cene tarify za dodávku elektriny, ktorú platia odberatelia. V roku 2011 takto spotrebitelia zaplatili navyše takmer 71 mil. eur. </w:t>
      </w:r>
      <w:r w:rsidRPr="0035027D">
        <w:rPr>
          <w:rFonts w:cs="Times New Roman"/>
        </w:rPr>
        <w:t>Ť</w:t>
      </w:r>
      <w:r w:rsidRPr="0035027D">
        <w:t>a</w:t>
      </w:r>
      <w:r w:rsidRPr="0035027D">
        <w:rPr>
          <w:rFonts w:cs="Times New Roman"/>
        </w:rPr>
        <w:t>ž</w:t>
      </w:r>
      <w:r w:rsidRPr="0035027D">
        <w:t>ba a spotreba uhlia pritom poškodzujú zdravie ob</w:t>
      </w:r>
      <w:r w:rsidRPr="0035027D">
        <w:rPr>
          <w:rFonts w:cs="Times New Roman"/>
        </w:rPr>
        <w:t>č</w:t>
      </w:r>
      <w:r w:rsidRPr="0035027D">
        <w:t>anov a vytvárajú neúmernú zá</w:t>
      </w:r>
      <w:r w:rsidRPr="0035027D">
        <w:rPr>
          <w:rFonts w:cs="Times New Roman"/>
        </w:rPr>
        <w:t>ť</w:t>
      </w:r>
      <w:r w:rsidRPr="0035027D">
        <w:t>a</w:t>
      </w:r>
      <w:r w:rsidRPr="0035027D">
        <w:rPr>
          <w:rFonts w:cs="Times New Roman"/>
        </w:rPr>
        <w:t>ž</w:t>
      </w:r>
      <w:r w:rsidRPr="0035027D">
        <w:t xml:space="preserve"> na </w:t>
      </w:r>
      <w:r w:rsidRPr="0035027D">
        <w:rPr>
          <w:rFonts w:cs="Times New Roman"/>
        </w:rPr>
        <w:t>ž</w:t>
      </w:r>
      <w:r w:rsidRPr="0035027D">
        <w:t>ivotné prostredie. Vláda SR bude preto h</w:t>
      </w:r>
      <w:r w:rsidRPr="0035027D">
        <w:rPr>
          <w:rFonts w:cs="Times New Roman"/>
        </w:rPr>
        <w:t>ľ</w:t>
      </w:r>
      <w:r w:rsidRPr="0035027D">
        <w:t>ada</w:t>
      </w:r>
      <w:r w:rsidRPr="0035027D">
        <w:rPr>
          <w:rFonts w:cs="Times New Roman"/>
        </w:rPr>
        <w:t>ť</w:t>
      </w:r>
      <w:r w:rsidRPr="0035027D">
        <w:t xml:space="preserve"> optimálne spôsoby </w:t>
      </w:r>
      <w:r w:rsidR="006C7ADB" w:rsidRPr="0035027D">
        <w:t>podpory</w:t>
      </w:r>
      <w:r w:rsidRPr="0035027D">
        <w:t xml:space="preserve"> </w:t>
      </w:r>
      <w:r w:rsidRPr="0035027D">
        <w:rPr>
          <w:rFonts w:cs="Times New Roman"/>
        </w:rPr>
        <w:t>ť</w:t>
      </w:r>
      <w:r w:rsidRPr="0035027D">
        <w:t>a</w:t>
      </w:r>
      <w:r w:rsidRPr="0035027D">
        <w:rPr>
          <w:rFonts w:cs="Times New Roman"/>
        </w:rPr>
        <w:t>ž</w:t>
      </w:r>
      <w:r w:rsidRPr="0035027D">
        <w:t>by uhlia na Slovensku do budúcnosti s cie</w:t>
      </w:r>
      <w:r w:rsidRPr="0035027D">
        <w:rPr>
          <w:rFonts w:cs="Times New Roman"/>
        </w:rPr>
        <w:t>ľ</w:t>
      </w:r>
      <w:r w:rsidRPr="0035027D">
        <w:t>om minimalizova</w:t>
      </w:r>
      <w:r w:rsidRPr="0035027D">
        <w:rPr>
          <w:rFonts w:cs="Times New Roman"/>
        </w:rPr>
        <w:t>ť</w:t>
      </w:r>
      <w:r w:rsidRPr="0035027D">
        <w:t xml:space="preserve"> dosahy na cenu elektriny pre domácnosti, podnikate</w:t>
      </w:r>
      <w:r w:rsidRPr="0035027D">
        <w:rPr>
          <w:rFonts w:cs="Times New Roman"/>
        </w:rPr>
        <w:t>ľ</w:t>
      </w:r>
      <w:r w:rsidRPr="0035027D">
        <w:t xml:space="preserve">ov a </w:t>
      </w:r>
      <w:r w:rsidRPr="0035027D">
        <w:rPr>
          <w:rFonts w:cs="Times New Roman"/>
        </w:rPr>
        <w:t>ž</w:t>
      </w:r>
      <w:r w:rsidRPr="0035027D">
        <w:t>ivotné prostredie.</w:t>
      </w:r>
    </w:p>
    <w:p w:rsidR="00892CCD" w:rsidRPr="0035027D" w:rsidRDefault="00892CCD" w:rsidP="007E70E1">
      <w:pPr>
        <w:spacing w:after="0"/>
      </w:pPr>
    </w:p>
    <w:p w:rsidR="001D137B" w:rsidRPr="0035027D" w:rsidRDefault="006C7ADB" w:rsidP="001D137B">
      <w:pPr>
        <w:spacing w:after="0"/>
      </w:pPr>
      <w:r w:rsidRPr="0035027D">
        <w:t>Slovensko implementuje smernicu EÚ o energetickej efektívnosti, ktorej cie</w:t>
      </w:r>
      <w:r w:rsidRPr="0035027D">
        <w:rPr>
          <w:rFonts w:cs="Times New Roman"/>
        </w:rPr>
        <w:t>ľ</w:t>
      </w:r>
      <w:r w:rsidRPr="0035027D">
        <w:t>om je dosiahnu</w:t>
      </w:r>
      <w:r w:rsidRPr="0035027D">
        <w:rPr>
          <w:rFonts w:cs="Times New Roman"/>
        </w:rPr>
        <w:t>ť</w:t>
      </w:r>
      <w:r w:rsidRPr="0035027D">
        <w:t xml:space="preserve"> do roku 2020 zní</w:t>
      </w:r>
      <w:r w:rsidRPr="0035027D">
        <w:rPr>
          <w:rFonts w:cs="Times New Roman"/>
        </w:rPr>
        <w:t>ž</w:t>
      </w:r>
      <w:r w:rsidRPr="0035027D">
        <w:t>enie primárnej spotreby energie o 20 %. Úspora sa bude týka</w:t>
      </w:r>
      <w:r w:rsidRPr="0035027D">
        <w:rPr>
          <w:rFonts w:cs="Times New Roman"/>
        </w:rPr>
        <w:t>ť</w:t>
      </w:r>
      <w:r w:rsidRPr="0035027D">
        <w:t xml:space="preserve"> všetkých oblastí spotreby energie, vrátane premeny, prenosu a distribúcie energie. Najvä</w:t>
      </w:r>
      <w:r w:rsidRPr="0035027D">
        <w:rPr>
          <w:rFonts w:cs="Times New Roman"/>
        </w:rPr>
        <w:t>č</w:t>
      </w:r>
      <w:r w:rsidRPr="0035027D">
        <w:t>ší potenciál vidíme v oblasti verejných budov, domácností a priemyslu. Zlepši</w:t>
      </w:r>
      <w:r w:rsidRPr="0035027D">
        <w:rPr>
          <w:rFonts w:cs="Times New Roman"/>
        </w:rPr>
        <w:t>ť</w:t>
      </w:r>
      <w:r w:rsidRPr="0035027D">
        <w:t xml:space="preserve"> by sa mala aj informovanos</w:t>
      </w:r>
      <w:r w:rsidRPr="0035027D">
        <w:rPr>
          <w:rFonts w:cs="Times New Roman"/>
        </w:rPr>
        <w:t>ť</w:t>
      </w:r>
      <w:r w:rsidRPr="0035027D">
        <w:t xml:space="preserve"> ob</w:t>
      </w:r>
      <w:r w:rsidRPr="0035027D">
        <w:rPr>
          <w:rFonts w:cs="Times New Roman"/>
        </w:rPr>
        <w:t>č</w:t>
      </w:r>
      <w:r w:rsidRPr="0035027D">
        <w:t>anov o vlastnej spotrebe energie. Vypracuje sa Ak</w:t>
      </w:r>
      <w:r w:rsidRPr="0035027D">
        <w:rPr>
          <w:rFonts w:cs="Times New Roman"/>
        </w:rPr>
        <w:t>č</w:t>
      </w:r>
      <w:r w:rsidRPr="0035027D">
        <w:t>ný plán energetickej efektívnosti na roky 2014 - 2016 a tepelná mapa SR. Ministerstvo hospodárstva bude pracova</w:t>
      </w:r>
      <w:r w:rsidRPr="0035027D">
        <w:rPr>
          <w:rFonts w:cs="Times New Roman"/>
        </w:rPr>
        <w:t>ť</w:t>
      </w:r>
      <w:r w:rsidRPr="0035027D">
        <w:t xml:space="preserve"> na analýze potenciálu úspor energie z vysoko ú</w:t>
      </w:r>
      <w:r w:rsidRPr="0035027D">
        <w:rPr>
          <w:rFonts w:cs="Times New Roman"/>
        </w:rPr>
        <w:t>č</w:t>
      </w:r>
      <w:r w:rsidRPr="0035027D">
        <w:t>innej kombinovanej výroby elektriny a tepla a efektívneho centrálneho zásobovania teplom.</w:t>
      </w:r>
    </w:p>
    <w:p w:rsidR="001D137B" w:rsidRPr="0035027D" w:rsidRDefault="001D137B" w:rsidP="007E70E1">
      <w:pPr>
        <w:spacing w:after="0"/>
      </w:pPr>
    </w:p>
    <w:tbl>
      <w:tblPr>
        <w:tblW w:w="9229" w:type="dxa"/>
        <w:tblInd w:w="55" w:type="dxa"/>
        <w:tblLayout w:type="fixed"/>
        <w:tblCellMar>
          <w:left w:w="70" w:type="dxa"/>
          <w:right w:w="70" w:type="dxa"/>
        </w:tblCellMar>
        <w:tblLook w:val="04A0" w:firstRow="1" w:lastRow="0" w:firstColumn="1" w:lastColumn="0" w:noHBand="0" w:noVBand="1"/>
      </w:tblPr>
      <w:tblGrid>
        <w:gridCol w:w="9229"/>
      </w:tblGrid>
      <w:tr w:rsidR="007E70E1" w:rsidRPr="0035027D" w:rsidTr="007E70E1">
        <w:trPr>
          <w:trHeight w:val="315"/>
        </w:trPr>
        <w:tc>
          <w:tcPr>
            <w:tcW w:w="9229" w:type="dxa"/>
            <w:tcBorders>
              <w:bottom w:val="single" w:sz="8" w:space="0" w:color="auto"/>
            </w:tcBorders>
            <w:shd w:val="clear" w:color="auto" w:fill="000000" w:themeFill="text1"/>
            <w:noWrap/>
            <w:vAlign w:val="center"/>
            <w:hideMark/>
          </w:tcPr>
          <w:p w:rsidR="007E70E1" w:rsidRPr="0035027D" w:rsidRDefault="00D4235C" w:rsidP="007E70E1">
            <w:pPr>
              <w:spacing w:after="0"/>
              <w:rPr>
                <w:rFonts w:cs="Times New Roman"/>
                <w:b/>
                <w:bCs/>
                <w:color w:val="FFFFFF"/>
                <w:sz w:val="20"/>
                <w:szCs w:val="20"/>
              </w:rPr>
            </w:pPr>
            <w:r w:rsidRPr="0035027D">
              <w:rPr>
                <w:rFonts w:cs="Times New Roman"/>
                <w:b/>
                <w:bCs/>
                <w:color w:val="FFFFFF"/>
                <w:sz w:val="20"/>
                <w:szCs w:val="20"/>
              </w:rPr>
              <w:t xml:space="preserve">Graf 24: </w:t>
            </w:r>
            <w:r w:rsidR="007E70E1" w:rsidRPr="0035027D">
              <w:rPr>
                <w:rFonts w:cs="Times New Roman"/>
                <w:b/>
                <w:bCs/>
                <w:color w:val="FFFFFF"/>
                <w:sz w:val="20"/>
                <w:szCs w:val="20"/>
              </w:rPr>
              <w:t>Podpora OZE a KVET cez ceny elektriny na Slovensku (mil. eur)</w:t>
            </w:r>
          </w:p>
        </w:tc>
      </w:tr>
      <w:tr w:rsidR="007E70E1" w:rsidRPr="0035027D" w:rsidTr="007E70E1">
        <w:trPr>
          <w:trHeight w:val="300"/>
        </w:trPr>
        <w:tc>
          <w:tcPr>
            <w:tcW w:w="9229" w:type="dxa"/>
            <w:tcBorders>
              <w:top w:val="single" w:sz="8" w:space="0" w:color="auto"/>
              <w:bottom w:val="single" w:sz="4" w:space="0" w:color="auto"/>
            </w:tcBorders>
            <w:shd w:val="clear" w:color="auto" w:fill="auto"/>
            <w:noWrap/>
            <w:vAlign w:val="center"/>
            <w:hideMark/>
          </w:tcPr>
          <w:p w:rsidR="007E70E1" w:rsidRPr="0035027D" w:rsidRDefault="007E70E1" w:rsidP="007E70E1">
            <w:pPr>
              <w:spacing w:after="0"/>
              <w:jc w:val="left"/>
              <w:rPr>
                <w:rFonts w:cs="Times New Roman"/>
                <w:b/>
                <w:bCs/>
                <w:color w:val="000000"/>
                <w:sz w:val="20"/>
                <w:szCs w:val="20"/>
              </w:rPr>
            </w:pPr>
            <w:r w:rsidRPr="0035027D">
              <w:rPr>
                <w:noProof/>
              </w:rPr>
              <w:lastRenderedPageBreak/>
              <w:drawing>
                <wp:inline distT="0" distB="0" distL="0" distR="0" wp14:anchorId="4A12A023" wp14:editId="479629A5">
                  <wp:extent cx="5800725" cy="2190750"/>
                  <wp:effectExtent l="0" t="0" r="0" b="0"/>
                  <wp:docPr id="309" name="Graf 30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7E70E1" w:rsidRPr="0035027D" w:rsidTr="007E70E1">
        <w:trPr>
          <w:trHeight w:val="300"/>
        </w:trPr>
        <w:tc>
          <w:tcPr>
            <w:tcW w:w="9229" w:type="dxa"/>
            <w:tcBorders>
              <w:top w:val="single" w:sz="4" w:space="0" w:color="auto"/>
            </w:tcBorders>
            <w:shd w:val="clear" w:color="auto" w:fill="auto"/>
            <w:noWrap/>
            <w:vAlign w:val="center"/>
          </w:tcPr>
          <w:p w:rsidR="007E70E1" w:rsidRPr="0035027D" w:rsidRDefault="007E70E1" w:rsidP="007E70E1">
            <w:pPr>
              <w:spacing w:after="0"/>
              <w:jc w:val="right"/>
              <w:rPr>
                <w:rFonts w:cs="Times New Roman"/>
                <w:bCs/>
                <w:i/>
                <w:color w:val="000000"/>
                <w:sz w:val="20"/>
                <w:szCs w:val="20"/>
              </w:rPr>
            </w:pPr>
            <w:r w:rsidRPr="0035027D">
              <w:rPr>
                <w:rFonts w:cs="Times New Roman"/>
                <w:bCs/>
                <w:i/>
                <w:color w:val="000000"/>
                <w:sz w:val="16"/>
                <w:szCs w:val="20"/>
              </w:rPr>
              <w:t>Zdroj: MH SR, IFP</w:t>
            </w:r>
          </w:p>
        </w:tc>
      </w:tr>
    </w:tbl>
    <w:p w:rsidR="007E70E1" w:rsidRPr="0035027D" w:rsidRDefault="007E70E1" w:rsidP="007E70E1">
      <w:pPr>
        <w:tabs>
          <w:tab w:val="left" w:pos="426"/>
        </w:tabs>
        <w:spacing w:after="0"/>
      </w:pPr>
    </w:p>
    <w:p w:rsidR="00F67AEC" w:rsidRPr="0035027D" w:rsidRDefault="00F67AEC" w:rsidP="00F67AEC">
      <w:pPr>
        <w:spacing w:after="0"/>
      </w:pPr>
      <w:r w:rsidRPr="0035027D">
        <w:t>Na podporu projektov zlepšenia energetickej efektívnosti existujúcich bytových domov v mestských oblastiach bude v rámci iniciatívy JESSICA zriadený pô</w:t>
      </w:r>
      <w:r w:rsidRPr="0035027D">
        <w:rPr>
          <w:rFonts w:cs="Times New Roman"/>
        </w:rPr>
        <w:t>ž</w:t>
      </w:r>
      <w:r w:rsidRPr="0035027D">
        <w:t>i</w:t>
      </w:r>
      <w:r w:rsidRPr="0035027D">
        <w:rPr>
          <w:rFonts w:cs="Times New Roman"/>
        </w:rPr>
        <w:t>č</w:t>
      </w:r>
      <w:r w:rsidRPr="0035027D">
        <w:t>kový fond. Z neho budú implementované finan</w:t>
      </w:r>
      <w:r w:rsidRPr="0035027D">
        <w:rPr>
          <w:rFonts w:cs="Times New Roman"/>
        </w:rPr>
        <w:t>č</w:t>
      </w:r>
      <w:r w:rsidRPr="0035027D">
        <w:t>né prostriedky z európskych štrukturálnych a investi</w:t>
      </w:r>
      <w:r w:rsidRPr="0035027D">
        <w:rPr>
          <w:rFonts w:cs="Times New Roman"/>
        </w:rPr>
        <w:t>č</w:t>
      </w:r>
      <w:r w:rsidRPr="0035027D">
        <w:t>ných fondov v objeme 11,529 mil. eur v programovom období 2007 – 2013. Zvýhodnené úvery budú poskytované na projekty v kombinácii s vlastnými zdrojmi prijímate</w:t>
      </w:r>
      <w:r w:rsidRPr="0035027D">
        <w:rPr>
          <w:rFonts w:cs="Times New Roman"/>
        </w:rPr>
        <w:t>ľ</w:t>
      </w:r>
      <w:r w:rsidRPr="0035027D">
        <w:t>a, resp. úverom z komer</w:t>
      </w:r>
      <w:r w:rsidRPr="0035027D">
        <w:rPr>
          <w:rFonts w:cs="Times New Roman"/>
        </w:rPr>
        <w:t>č</w:t>
      </w:r>
      <w:r w:rsidRPr="0035027D">
        <w:t xml:space="preserve">nej banky. Predpokladá sa, </w:t>
      </w:r>
      <w:r w:rsidRPr="0035027D">
        <w:rPr>
          <w:rFonts w:cs="Times New Roman"/>
        </w:rPr>
        <w:t>ž</w:t>
      </w:r>
      <w:r w:rsidRPr="0035027D">
        <w:t>e týmto pilotným prístupom sa z prostriedkov štrukturálnych fondov EÚ podporí zlepšenie energetickej efektívnosti pribli</w:t>
      </w:r>
      <w:r w:rsidRPr="0035027D">
        <w:rPr>
          <w:rFonts w:cs="Times New Roman"/>
        </w:rPr>
        <w:t>ž</w:t>
      </w:r>
      <w:r w:rsidRPr="0035027D">
        <w:t>ne 1000 bytových jednotiek. Správcom fondu bude Štátny fond rozvoja bývania. Kontinuita iniciatívy bude zabezpe</w:t>
      </w:r>
      <w:r w:rsidRPr="0035027D">
        <w:rPr>
          <w:rFonts w:cs="Times New Roman"/>
        </w:rPr>
        <w:t>č</w:t>
      </w:r>
      <w:r w:rsidRPr="0035027D">
        <w:t>ená aj v novom programovom období 2014 – 2020, sú</w:t>
      </w:r>
      <w:r w:rsidRPr="0035027D">
        <w:rPr>
          <w:rFonts w:cs="Times New Roman"/>
        </w:rPr>
        <w:t>č</w:t>
      </w:r>
      <w:r w:rsidRPr="0035027D">
        <w:t>asne dôjde v rámci jej implementácie k posilneniu úlohy SZRB.</w:t>
      </w:r>
    </w:p>
    <w:p w:rsidR="007D7226" w:rsidRPr="0035027D" w:rsidRDefault="007D7226" w:rsidP="007E70E1">
      <w:pPr>
        <w:spacing w:after="0"/>
      </w:pPr>
    </w:p>
    <w:p w:rsidR="007E70E1" w:rsidRPr="0035027D" w:rsidRDefault="007E70E1" w:rsidP="007E70E1">
      <w:pPr>
        <w:tabs>
          <w:tab w:val="left" w:pos="1260"/>
        </w:tabs>
        <w:spacing w:after="240"/>
        <w:rPr>
          <w:rFonts w:cs="Arial"/>
          <w:b/>
          <w:i/>
          <w:lang w:eastAsia="en-GB"/>
        </w:rPr>
      </w:pPr>
      <w:r w:rsidRPr="0035027D">
        <w:rPr>
          <w:rFonts w:cs="Arial"/>
          <w:b/>
          <w:i/>
          <w:lang w:eastAsia="en-GB"/>
        </w:rPr>
        <w:t>Efektívne využívanie zdrojov</w:t>
      </w:r>
    </w:p>
    <w:p w:rsidR="00F70E5D" w:rsidRPr="0035027D" w:rsidRDefault="007E70E1" w:rsidP="00F67AEC">
      <w:pPr>
        <w:tabs>
          <w:tab w:val="left" w:pos="426"/>
        </w:tabs>
        <w:spacing w:after="0"/>
        <w:rPr>
          <w:rFonts w:cs="Times New Roman"/>
          <w:color w:val="000000"/>
          <w:sz w:val="32"/>
          <w:szCs w:val="32"/>
          <w:lang w:eastAsia="cs-CZ"/>
        </w:rPr>
      </w:pPr>
      <w:r w:rsidRPr="0035027D">
        <w:t>Slovensko je v</w:t>
      </w:r>
      <w:r w:rsidRPr="0035027D">
        <w:rPr>
          <w:rFonts w:cs="Times New Roman"/>
        </w:rPr>
        <w:t>ď</w:t>
      </w:r>
      <w:r w:rsidRPr="0035027D">
        <w:t xml:space="preserve">aka rozmanitosti svojho povrchu a miernej klíme relatívne bohaté na prírodné zdroje. Neustále zvyšovanie nárokov hospodárstva a tlak spôsobený zmenami klímy však znamenajú, </w:t>
      </w:r>
      <w:r w:rsidRPr="0035027D">
        <w:rPr>
          <w:rFonts w:cs="Times New Roman"/>
        </w:rPr>
        <w:t>ž</w:t>
      </w:r>
      <w:r w:rsidRPr="0035027D">
        <w:t>e je nevyhnutné zlepši</w:t>
      </w:r>
      <w:r w:rsidRPr="0035027D">
        <w:rPr>
          <w:rFonts w:cs="Times New Roman"/>
        </w:rPr>
        <w:t>ť</w:t>
      </w:r>
      <w:r w:rsidRPr="0035027D">
        <w:t xml:space="preserve"> ich ochranu a zvýši</w:t>
      </w:r>
      <w:r w:rsidRPr="0035027D">
        <w:rPr>
          <w:rFonts w:cs="Times New Roman"/>
        </w:rPr>
        <w:t>ť</w:t>
      </w:r>
      <w:r w:rsidRPr="0035027D">
        <w:t xml:space="preserve"> efektívnos</w:t>
      </w:r>
      <w:r w:rsidRPr="0035027D">
        <w:rPr>
          <w:rFonts w:cs="Times New Roman"/>
        </w:rPr>
        <w:t>ť</w:t>
      </w:r>
      <w:r w:rsidRPr="0035027D">
        <w:t xml:space="preserve"> ich vyu</w:t>
      </w:r>
      <w:r w:rsidRPr="0035027D">
        <w:rPr>
          <w:rFonts w:cs="Times New Roman"/>
        </w:rPr>
        <w:t>ž</w:t>
      </w:r>
      <w:r w:rsidRPr="0035027D">
        <w:t>itia. Vláda pripraví do roku 2016 reformu odpadového hospodárstva. V prípade komunálneho odpadu dôjde k prechodu od skládkovania k zhodnocovaniu odpadov – energetickému i materiálovému. Vyu</w:t>
      </w:r>
      <w:r w:rsidRPr="0035027D">
        <w:rPr>
          <w:rFonts w:cs="Times New Roman"/>
        </w:rPr>
        <w:t>ž</w:t>
      </w:r>
      <w:r w:rsidRPr="0035027D">
        <w:t>ijú sa ekonomické nástroje na stimuláciu obyvate</w:t>
      </w:r>
      <w:r w:rsidRPr="0035027D">
        <w:rPr>
          <w:rFonts w:cs="Times New Roman"/>
        </w:rPr>
        <w:t>ľ</w:t>
      </w:r>
      <w:r w:rsidRPr="0035027D">
        <w:t>stva zni</w:t>
      </w:r>
      <w:r w:rsidRPr="0035027D">
        <w:rPr>
          <w:rFonts w:cs="Times New Roman"/>
        </w:rPr>
        <w:t>ž</w:t>
      </w:r>
      <w:r w:rsidRPr="0035027D">
        <w:t>ova</w:t>
      </w:r>
      <w:r w:rsidRPr="0035027D">
        <w:rPr>
          <w:rFonts w:cs="Times New Roman"/>
        </w:rPr>
        <w:t>ť</w:t>
      </w:r>
      <w:r w:rsidRPr="0035027D">
        <w:t xml:space="preserve"> produkciu odpadu a recyklova</w:t>
      </w:r>
      <w:r w:rsidRPr="0035027D">
        <w:rPr>
          <w:rFonts w:cs="Times New Roman"/>
        </w:rPr>
        <w:t>ť</w:t>
      </w:r>
      <w:r w:rsidRPr="0035027D">
        <w:t xml:space="preserve">. </w:t>
      </w:r>
      <w:r w:rsidR="00F67AEC" w:rsidRPr="0035027D">
        <w:t>V oblasti vodného hospodárstva sa bude postupova</w:t>
      </w:r>
      <w:r w:rsidR="00F67AEC" w:rsidRPr="0035027D">
        <w:rPr>
          <w:rFonts w:cs="Times New Roman"/>
        </w:rPr>
        <w:t>ť</w:t>
      </w:r>
      <w:r w:rsidR="00F67AEC" w:rsidRPr="0035027D">
        <w:t xml:space="preserve"> v súlade s Vodným plánom Slovenska a Plánmi mana</w:t>
      </w:r>
      <w:r w:rsidR="00F67AEC" w:rsidRPr="0035027D">
        <w:rPr>
          <w:rFonts w:cs="Times New Roman"/>
        </w:rPr>
        <w:t>ž</w:t>
      </w:r>
      <w:r w:rsidR="00F67AEC" w:rsidRPr="0035027D">
        <w:t>mentu povodí. Tieto budú na základe smernice EÚ o opatreniach spolo</w:t>
      </w:r>
      <w:r w:rsidR="00F67AEC" w:rsidRPr="0035027D">
        <w:rPr>
          <w:rFonts w:cs="Times New Roman"/>
        </w:rPr>
        <w:t>č</w:t>
      </w:r>
      <w:r w:rsidR="00F67AEC" w:rsidRPr="0035027D">
        <w:t>enstva v oblasti vodného hospodárstva v šes</w:t>
      </w:r>
      <w:r w:rsidR="00F67AEC" w:rsidRPr="0035027D">
        <w:rPr>
          <w:rFonts w:cs="Times New Roman"/>
        </w:rPr>
        <w:t>ť</w:t>
      </w:r>
      <w:r w:rsidR="00F67AEC" w:rsidRPr="0035027D">
        <w:t>ro</w:t>
      </w:r>
      <w:r w:rsidR="00F67AEC" w:rsidRPr="0035027D">
        <w:rPr>
          <w:rFonts w:cs="Times New Roman"/>
        </w:rPr>
        <w:t>č</w:t>
      </w:r>
      <w:r w:rsidR="00F67AEC" w:rsidRPr="0035027D">
        <w:t>ných cykloch aktualizované.</w:t>
      </w:r>
      <w:r w:rsidR="00F67AEC" w:rsidRPr="0035027D">
        <w:rPr>
          <w:rFonts w:cs="Times New Roman"/>
          <w:color w:val="000000"/>
          <w:sz w:val="32"/>
          <w:szCs w:val="32"/>
          <w:lang w:eastAsia="cs-CZ"/>
        </w:rPr>
        <w:t xml:space="preserve"> </w:t>
      </w:r>
    </w:p>
    <w:p w:rsidR="00F70E5D" w:rsidRPr="0035027D" w:rsidRDefault="00F70E5D" w:rsidP="00F67AEC">
      <w:pPr>
        <w:tabs>
          <w:tab w:val="left" w:pos="426"/>
        </w:tabs>
        <w:spacing w:after="0"/>
        <w:rPr>
          <w:rFonts w:cs="Times New Roman"/>
          <w:color w:val="000000"/>
          <w:sz w:val="32"/>
          <w:szCs w:val="32"/>
          <w:lang w:eastAsia="cs-CZ"/>
        </w:rPr>
      </w:pPr>
    </w:p>
    <w:p w:rsidR="00D027FE" w:rsidRPr="0035027D" w:rsidRDefault="00D027FE" w:rsidP="00F67AEC">
      <w:pPr>
        <w:tabs>
          <w:tab w:val="left" w:pos="426"/>
        </w:tabs>
        <w:spacing w:after="0"/>
        <w:rPr>
          <w:rFonts w:cs="Times New Roman"/>
          <w:b/>
          <w:bCs/>
          <w:color w:val="000000"/>
          <w:sz w:val="32"/>
          <w:szCs w:val="32"/>
          <w:lang w:eastAsia="cs-CZ"/>
        </w:rPr>
      </w:pPr>
      <w:r w:rsidRPr="0035027D">
        <w:rPr>
          <w:rFonts w:cs="Times New Roman"/>
          <w:color w:val="000000"/>
          <w:sz w:val="32"/>
          <w:szCs w:val="32"/>
          <w:lang w:eastAsia="cs-CZ"/>
        </w:rPr>
        <w:br w:type="page"/>
      </w:r>
    </w:p>
    <w:p w:rsidR="00FE292C" w:rsidRPr="0035027D" w:rsidRDefault="00FE292C" w:rsidP="00FE292C">
      <w:pPr>
        <w:pStyle w:val="Nadpis1"/>
        <w:numPr>
          <w:ilvl w:val="0"/>
          <w:numId w:val="1"/>
        </w:numPr>
        <w:spacing w:before="0" w:after="0"/>
        <w:ind w:left="284" w:hanging="284"/>
        <w:rPr>
          <w:rFonts w:cs="Times New Roman"/>
          <w:b w:val="0"/>
          <w:color w:val="000000"/>
          <w:sz w:val="32"/>
          <w:szCs w:val="32"/>
          <w:lang w:eastAsia="cs-CZ"/>
        </w:rPr>
      </w:pPr>
      <w:bookmarkStart w:id="67" w:name="_Toc353563391"/>
      <w:r w:rsidRPr="0035027D">
        <w:rPr>
          <w:rFonts w:cs="Times New Roman"/>
          <w:color w:val="000000"/>
          <w:sz w:val="32"/>
          <w:szCs w:val="32"/>
          <w:lang w:eastAsia="cs-CZ"/>
        </w:rPr>
        <w:lastRenderedPageBreak/>
        <w:t>Politika súdržnosti EÚ v programovom období 2014 - 2020</w:t>
      </w:r>
      <w:bookmarkEnd w:id="67"/>
    </w:p>
    <w:p w:rsidR="00FE292C" w:rsidRPr="0035027D" w:rsidRDefault="00FE292C" w:rsidP="00FE292C">
      <w:pPr>
        <w:spacing w:after="0"/>
        <w:rPr>
          <w:rFonts w:eastAsia="Calibri" w:cs="Times New Roman"/>
          <w:sz w:val="24"/>
          <w:szCs w:val="24"/>
        </w:rPr>
      </w:pPr>
    </w:p>
    <w:p w:rsidR="00D44F76" w:rsidRPr="0035027D" w:rsidRDefault="00D44F76" w:rsidP="00D44F76">
      <w:pPr>
        <w:spacing w:after="0"/>
      </w:pPr>
      <w:r w:rsidRPr="0035027D">
        <w:t>Politika súdr</w:t>
      </w:r>
      <w:r w:rsidRPr="0035027D">
        <w:rPr>
          <w:rFonts w:cs="Times New Roman"/>
        </w:rPr>
        <w:t>ž</w:t>
      </w:r>
      <w:r w:rsidRPr="0035027D">
        <w:t>nosti EÚ patrí medzi k</w:t>
      </w:r>
      <w:r w:rsidRPr="0035027D">
        <w:rPr>
          <w:rFonts w:cs="Times New Roman"/>
        </w:rPr>
        <w:t>ľ</w:t>
      </w:r>
      <w:r w:rsidRPr="0035027D">
        <w:t>ú</w:t>
      </w:r>
      <w:r w:rsidRPr="0035027D">
        <w:rPr>
          <w:rFonts w:cs="Times New Roman"/>
        </w:rPr>
        <w:t>č</w:t>
      </w:r>
      <w:r w:rsidRPr="0035027D">
        <w:t>ové nástroje sociálno-ekonomického rozvoja SR. V tejto súvislosti je preto rozhodujúca dôsledná implementácia legislatívnych predpisov EÚ pre politiku súdr</w:t>
      </w:r>
      <w:r w:rsidRPr="0035027D">
        <w:rPr>
          <w:rFonts w:cs="Times New Roman"/>
        </w:rPr>
        <w:t>ž</w:t>
      </w:r>
      <w:r w:rsidRPr="0035027D">
        <w:t>nosti EÚ, najmä s oh</w:t>
      </w:r>
      <w:r w:rsidRPr="0035027D">
        <w:rPr>
          <w:rFonts w:cs="Times New Roman"/>
        </w:rPr>
        <w:t>ľ</w:t>
      </w:r>
      <w:r w:rsidRPr="0035027D">
        <w:t>adom na nové prvky zavedené pre programové obdobie 2014 – 2020. Efektívne vy</w:t>
      </w:r>
      <w:r w:rsidRPr="0035027D">
        <w:rPr>
          <w:rFonts w:cs="Times New Roman"/>
        </w:rPr>
        <w:t>č</w:t>
      </w:r>
      <w:r w:rsidRPr="0035027D">
        <w:t>erpanie fondov EÚ v tomto programovom období (2007 - 2013) a príprava nového programového obdobia 2014 – 2020 sú najvä</w:t>
      </w:r>
      <w:r w:rsidRPr="0035027D">
        <w:rPr>
          <w:rFonts w:cs="Times New Roman"/>
        </w:rPr>
        <w:t>č</w:t>
      </w:r>
      <w:r w:rsidRPr="0035027D">
        <w:t>šími prioritami vlády Slovenskej republiky v oblasti politiky súdr</w:t>
      </w:r>
      <w:r w:rsidRPr="0035027D">
        <w:rPr>
          <w:rFonts w:cs="Times New Roman"/>
        </w:rPr>
        <w:t>ž</w:t>
      </w:r>
      <w:r w:rsidRPr="0035027D">
        <w:t xml:space="preserve">nosti EÚ. V roku 2012 bola zriadená Rady vlády pre prípravu Partnerskej dohody SR 2014 – 2020, ktorú vedie predseda vlády SR a ktorej </w:t>
      </w:r>
      <w:r w:rsidRPr="0035027D">
        <w:rPr>
          <w:rFonts w:cs="Times New Roman"/>
        </w:rPr>
        <w:t>č</w:t>
      </w:r>
      <w:r w:rsidRPr="0035027D">
        <w:t xml:space="preserve">lenmi je celé spektrum zástupcov verejnej správy a partnerov. </w:t>
      </w:r>
    </w:p>
    <w:p w:rsidR="00D44F76" w:rsidRPr="0035027D" w:rsidRDefault="00D44F76" w:rsidP="00D44F76">
      <w:pPr>
        <w:spacing w:after="0"/>
      </w:pPr>
    </w:p>
    <w:p w:rsidR="00D44F76" w:rsidRPr="0035027D" w:rsidRDefault="00D44F76" w:rsidP="00D44F76">
      <w:r w:rsidRPr="0035027D">
        <w:t>Hlavným cie</w:t>
      </w:r>
      <w:r w:rsidRPr="0035027D">
        <w:rPr>
          <w:rFonts w:cs="Times New Roman"/>
        </w:rPr>
        <w:t>ľ</w:t>
      </w:r>
      <w:r w:rsidRPr="0035027D">
        <w:t>om programového obdobia 2014 – 2020 je zvýši</w:t>
      </w:r>
      <w:r w:rsidRPr="0035027D">
        <w:rPr>
          <w:rFonts w:cs="Times New Roman"/>
        </w:rPr>
        <w:t>ť</w:t>
      </w:r>
      <w:r w:rsidRPr="0035027D">
        <w:t xml:space="preserve"> efektivitu plnenia obmedzeného po</w:t>
      </w:r>
      <w:r w:rsidRPr="0035027D">
        <w:rPr>
          <w:rFonts w:cs="Times New Roman"/>
        </w:rPr>
        <w:t>č</w:t>
      </w:r>
      <w:r w:rsidRPr="0035027D">
        <w:t>tu cie</w:t>
      </w:r>
      <w:r w:rsidRPr="0035027D">
        <w:rPr>
          <w:rFonts w:cs="Times New Roman"/>
        </w:rPr>
        <w:t>ľ</w:t>
      </w:r>
      <w:r w:rsidRPr="0035027D">
        <w:t>ov definovaných na úrovni EÚ vychádzajúcich zo Stratégie Európa 2020. K plneniu tohto cie</w:t>
      </w:r>
      <w:r w:rsidRPr="0035027D">
        <w:rPr>
          <w:rFonts w:cs="Times New Roman"/>
        </w:rPr>
        <w:t>ľ</w:t>
      </w:r>
      <w:r w:rsidRPr="0035027D">
        <w:t xml:space="preserve">a prispejú aj jeho nové </w:t>
      </w:r>
      <w:r w:rsidR="0039750E">
        <w:t xml:space="preserve">a zvýraznené </w:t>
      </w:r>
      <w:r w:rsidRPr="0035027D">
        <w:t>prvky, ktorými sú:</w:t>
      </w:r>
    </w:p>
    <w:p w:rsidR="00D44F76" w:rsidRPr="0035027D" w:rsidRDefault="00D44F76" w:rsidP="00D44F76">
      <w:pPr>
        <w:numPr>
          <w:ilvl w:val="0"/>
          <w:numId w:val="17"/>
        </w:numPr>
        <w:spacing w:after="0"/>
      </w:pPr>
      <w:r w:rsidRPr="0035027D">
        <w:t>Spolo</w:t>
      </w:r>
      <w:r w:rsidRPr="0035027D">
        <w:rPr>
          <w:rFonts w:cs="Times New Roman"/>
        </w:rPr>
        <w:t>č</w:t>
      </w:r>
      <w:r w:rsidRPr="0035027D">
        <w:t>ný strategický rámec – na základe tohto dokumentu sa prostredníctvom Európskych štrukturálnych a investi</w:t>
      </w:r>
      <w:r w:rsidRPr="0035027D">
        <w:rPr>
          <w:rFonts w:cs="Times New Roman"/>
        </w:rPr>
        <w:t>č</w:t>
      </w:r>
      <w:r w:rsidRPr="0035027D">
        <w:t>ných fondov</w:t>
      </w:r>
      <w:r w:rsidRPr="0035027D">
        <w:rPr>
          <w:rFonts w:cs="Times New Roman"/>
          <w:color w:val="000000"/>
          <w:vertAlign w:val="superscript"/>
        </w:rPr>
        <w:footnoteReference w:id="6"/>
      </w:r>
      <w:r w:rsidRPr="0035027D">
        <w:rPr>
          <w:color w:val="000000"/>
        </w:rPr>
        <w:t xml:space="preserve"> </w:t>
      </w:r>
      <w:r w:rsidRPr="0035027D">
        <w:t xml:space="preserve"> realizujú zámery a ciele Stratégie Európa 2020; </w:t>
      </w:r>
    </w:p>
    <w:p w:rsidR="00D44F76" w:rsidRPr="0035027D" w:rsidRDefault="00D44F76" w:rsidP="00D44F76">
      <w:pPr>
        <w:numPr>
          <w:ilvl w:val="0"/>
          <w:numId w:val="17"/>
        </w:numPr>
        <w:spacing w:after="0"/>
      </w:pPr>
      <w:r w:rsidRPr="0035027D">
        <w:t>Prepojenie strategického programovania na národnej úrovni s Európskym semestrom</w:t>
      </w:r>
      <w:r w:rsidRPr="0035027D">
        <w:rPr>
          <w:rFonts w:cstheme="minorBidi"/>
          <w:color w:val="000000"/>
          <w:vertAlign w:val="superscript"/>
        </w:rPr>
        <w:footnoteReference w:id="7"/>
      </w:r>
      <w:r w:rsidRPr="0035027D">
        <w:rPr>
          <w:vertAlign w:val="superscript"/>
        </w:rPr>
        <w:t xml:space="preserve"> </w:t>
      </w:r>
      <w:r w:rsidRPr="0035027D">
        <w:t>prostredníctvom špecifických odporú</w:t>
      </w:r>
      <w:r w:rsidRPr="0035027D">
        <w:rPr>
          <w:rFonts w:cs="Times New Roman"/>
        </w:rPr>
        <w:t>č</w:t>
      </w:r>
      <w:r w:rsidRPr="0035027D">
        <w:t>aní Rady;</w:t>
      </w:r>
    </w:p>
    <w:p w:rsidR="00D44F76" w:rsidRPr="0035027D" w:rsidRDefault="00D44F76" w:rsidP="00D44F76">
      <w:pPr>
        <w:numPr>
          <w:ilvl w:val="0"/>
          <w:numId w:val="17"/>
        </w:numPr>
        <w:spacing w:after="0"/>
      </w:pPr>
      <w:r w:rsidRPr="0035027D">
        <w:t>Princíp partnerstva – v súlade s viacúrov</w:t>
      </w:r>
      <w:r w:rsidRPr="0035027D">
        <w:rPr>
          <w:rFonts w:cs="Times New Roman"/>
        </w:rPr>
        <w:t>ň</w:t>
      </w:r>
      <w:r w:rsidRPr="0035027D">
        <w:t xml:space="preserve">ovým riadením </w:t>
      </w:r>
      <w:r w:rsidRPr="0035027D">
        <w:rPr>
          <w:rFonts w:cs="Times New Roman"/>
        </w:rPr>
        <w:t>č</w:t>
      </w:r>
      <w:r w:rsidRPr="0035027D">
        <w:t>lenské štáty zapoja sociálno-ekonomických partnerov do prípravy Partnerskej dohody;</w:t>
      </w:r>
    </w:p>
    <w:p w:rsidR="00D44F76" w:rsidRPr="0035027D" w:rsidRDefault="00D44F76" w:rsidP="00D44F76">
      <w:pPr>
        <w:numPr>
          <w:ilvl w:val="0"/>
          <w:numId w:val="17"/>
        </w:numPr>
        <w:spacing w:after="0"/>
      </w:pPr>
      <w:r w:rsidRPr="0035027D">
        <w:t>Mechanizmus tematickej koncentrácie - povinné vy</w:t>
      </w:r>
      <w:r w:rsidRPr="0035027D">
        <w:rPr>
          <w:rFonts w:cs="Times New Roman"/>
        </w:rPr>
        <w:t>č</w:t>
      </w:r>
      <w:r w:rsidRPr="0035027D">
        <w:t>lenenie minimálneho podielu fondov EÚ na presne ur</w:t>
      </w:r>
      <w:r w:rsidRPr="0035027D">
        <w:rPr>
          <w:rFonts w:cs="Times New Roman"/>
        </w:rPr>
        <w:t>č</w:t>
      </w:r>
      <w:r w:rsidRPr="0035027D">
        <w:t>ené oblasti podpory s oh</w:t>
      </w:r>
      <w:r w:rsidRPr="0035027D">
        <w:rPr>
          <w:rFonts w:cs="Times New Roman"/>
        </w:rPr>
        <w:t>ľ</w:t>
      </w:r>
      <w:r w:rsidRPr="0035027D">
        <w:t>adom na stanovené kategórie regiónov s cie</w:t>
      </w:r>
      <w:r w:rsidRPr="0035027D">
        <w:rPr>
          <w:rFonts w:cs="Times New Roman"/>
        </w:rPr>
        <w:t>ľ</w:t>
      </w:r>
      <w:r w:rsidRPr="0035027D">
        <w:t>om zabezpe</w:t>
      </w:r>
      <w:r w:rsidRPr="0035027D">
        <w:rPr>
          <w:rFonts w:cs="Times New Roman"/>
        </w:rPr>
        <w:t>č</w:t>
      </w:r>
      <w:r w:rsidRPr="0035027D">
        <w:t>i</w:t>
      </w:r>
      <w:r w:rsidRPr="0035027D">
        <w:rPr>
          <w:rFonts w:cs="Times New Roman"/>
        </w:rPr>
        <w:t>ť</w:t>
      </w:r>
      <w:r w:rsidRPr="0035027D">
        <w:t xml:space="preserve"> dostato</w:t>
      </w:r>
      <w:r w:rsidRPr="0035027D">
        <w:rPr>
          <w:rFonts w:cs="Times New Roman"/>
        </w:rPr>
        <w:t>č</w:t>
      </w:r>
      <w:r w:rsidRPr="0035027D">
        <w:t xml:space="preserve">né financovanie hlavných priorít Stratégie Európa 2020; </w:t>
      </w:r>
    </w:p>
    <w:p w:rsidR="00D44F76" w:rsidRPr="0035027D" w:rsidRDefault="00D44F76" w:rsidP="00D44F76">
      <w:pPr>
        <w:numPr>
          <w:ilvl w:val="0"/>
          <w:numId w:val="17"/>
        </w:numPr>
        <w:spacing w:after="0"/>
      </w:pPr>
      <w:r w:rsidRPr="0035027D">
        <w:t>Viacfondový prístup – mo</w:t>
      </w:r>
      <w:r w:rsidRPr="0035027D">
        <w:rPr>
          <w:rFonts w:cs="Times New Roman"/>
        </w:rPr>
        <w:t>ž</w:t>
      </w:r>
      <w:r w:rsidRPr="0035027D">
        <w:t>nos</w:t>
      </w:r>
      <w:r w:rsidRPr="0035027D">
        <w:rPr>
          <w:rFonts w:cs="Times New Roman"/>
        </w:rPr>
        <w:t>ť</w:t>
      </w:r>
      <w:r w:rsidRPr="0035027D">
        <w:t xml:space="preserve"> financovania jedného opera</w:t>
      </w:r>
      <w:r w:rsidRPr="0035027D">
        <w:rPr>
          <w:rFonts w:cs="Times New Roman"/>
        </w:rPr>
        <w:t>č</w:t>
      </w:r>
      <w:r w:rsidRPr="0035027D">
        <w:t>ného programu v rámci cie</w:t>
      </w:r>
      <w:r w:rsidRPr="0035027D">
        <w:rPr>
          <w:rFonts w:cs="Times New Roman"/>
        </w:rPr>
        <w:t>ľ</w:t>
      </w:r>
      <w:r w:rsidRPr="0035027D">
        <w:t xml:space="preserve">a „Investovanie </w:t>
      </w:r>
      <w:r w:rsidRPr="0035027D">
        <w:br/>
        <w:t>do rastu a zamestnanosti“ z viacerých fondov. To znamená mo</w:t>
      </w:r>
      <w:r w:rsidRPr="0035027D">
        <w:rPr>
          <w:rFonts w:cs="Times New Roman"/>
        </w:rPr>
        <w:t>ž</w:t>
      </w:r>
      <w:r w:rsidRPr="0035027D">
        <w:t>nos</w:t>
      </w:r>
      <w:r w:rsidRPr="0035027D">
        <w:rPr>
          <w:rFonts w:cs="Times New Roman"/>
        </w:rPr>
        <w:t>ť</w:t>
      </w:r>
      <w:r w:rsidRPr="0035027D">
        <w:t xml:space="preserve"> ma</w:t>
      </w:r>
      <w:r w:rsidRPr="0035027D">
        <w:rPr>
          <w:rFonts w:cs="Times New Roman"/>
        </w:rPr>
        <w:t>ť</w:t>
      </w:r>
      <w:r w:rsidRPr="0035027D">
        <w:t xml:space="preserve"> v rámci opera</w:t>
      </w:r>
      <w:r w:rsidRPr="0035027D">
        <w:rPr>
          <w:rFonts w:cs="Times New Roman"/>
        </w:rPr>
        <w:t>č</w:t>
      </w:r>
      <w:r w:rsidRPr="0035027D">
        <w:t>ného programu osobitné prioritné osi pre Európsky fond regionálneho rozvoja, Európsky sociálny fond a Kohézny fond.;</w:t>
      </w:r>
    </w:p>
    <w:p w:rsidR="00D44F76" w:rsidRPr="0035027D" w:rsidRDefault="00D44F76" w:rsidP="00D44F76">
      <w:pPr>
        <w:numPr>
          <w:ilvl w:val="0"/>
          <w:numId w:val="17"/>
        </w:numPr>
        <w:spacing w:after="0"/>
      </w:pPr>
      <w:r w:rsidRPr="0035027D">
        <w:t>Integrovaný prístup k stratégii územného rozvoja – podpora miestneho rozvoja prostredníctvom Európskych štrukturálnych a investi</w:t>
      </w:r>
      <w:r w:rsidRPr="0035027D">
        <w:rPr>
          <w:rFonts w:cs="Times New Roman"/>
        </w:rPr>
        <w:t>č</w:t>
      </w:r>
      <w:r w:rsidRPr="0035027D">
        <w:t>ných fondov;</w:t>
      </w:r>
    </w:p>
    <w:p w:rsidR="00D44F76" w:rsidRPr="0035027D" w:rsidRDefault="00D44F76" w:rsidP="00D44F76">
      <w:pPr>
        <w:numPr>
          <w:ilvl w:val="0"/>
          <w:numId w:val="17"/>
        </w:numPr>
        <w:spacing w:after="0"/>
      </w:pPr>
      <w:r w:rsidRPr="0035027D">
        <w:t>Plnenie tzv. kondicionalít - podmienky, ktoré je potrebné splni</w:t>
      </w:r>
      <w:r w:rsidRPr="0035027D">
        <w:rPr>
          <w:rFonts w:cs="Times New Roman"/>
        </w:rPr>
        <w:t>ť</w:t>
      </w:r>
      <w:r w:rsidRPr="0035027D">
        <w:t xml:space="preserve"> pred a po</w:t>
      </w:r>
      <w:r w:rsidRPr="0035027D">
        <w:rPr>
          <w:rFonts w:cs="Times New Roman"/>
        </w:rPr>
        <w:t>č</w:t>
      </w:r>
      <w:r w:rsidRPr="0035027D">
        <w:t>as programového obdobia 2014 - 2020 s cie</w:t>
      </w:r>
      <w:r w:rsidRPr="0035027D">
        <w:rPr>
          <w:rFonts w:cs="Times New Roman"/>
        </w:rPr>
        <w:t>ľ</w:t>
      </w:r>
      <w:r w:rsidRPr="0035027D">
        <w:t>om zabezpe</w:t>
      </w:r>
      <w:r w:rsidRPr="0035027D">
        <w:rPr>
          <w:rFonts w:cs="Times New Roman"/>
        </w:rPr>
        <w:t>č</w:t>
      </w:r>
      <w:r w:rsidRPr="0035027D">
        <w:t>i</w:t>
      </w:r>
      <w:r w:rsidRPr="0035027D">
        <w:rPr>
          <w:rFonts w:cs="Times New Roman"/>
        </w:rPr>
        <w:t>ť</w:t>
      </w:r>
      <w:r w:rsidRPr="0035027D">
        <w:t xml:space="preserve"> plynulos</w:t>
      </w:r>
      <w:r w:rsidRPr="0035027D">
        <w:rPr>
          <w:rFonts w:cs="Times New Roman"/>
        </w:rPr>
        <w:t>ť</w:t>
      </w:r>
      <w:r w:rsidRPr="0035027D">
        <w:t xml:space="preserve"> </w:t>
      </w:r>
      <w:r w:rsidRPr="0035027D">
        <w:rPr>
          <w:rFonts w:cs="Times New Roman"/>
        </w:rPr>
        <w:t>č</w:t>
      </w:r>
      <w:r w:rsidRPr="0035027D">
        <w:t>erpania fondov EÚ;</w:t>
      </w:r>
    </w:p>
    <w:p w:rsidR="00D44F76" w:rsidRPr="0035027D" w:rsidRDefault="00D44F76" w:rsidP="00D44F76">
      <w:pPr>
        <w:numPr>
          <w:ilvl w:val="0"/>
          <w:numId w:val="17"/>
        </w:numPr>
        <w:spacing w:after="0"/>
      </w:pPr>
      <w:r w:rsidRPr="0035027D">
        <w:t>Princíp doplnkovosti – zdroje EÚ sú vyu</w:t>
      </w:r>
      <w:r w:rsidRPr="0035027D">
        <w:rPr>
          <w:rFonts w:cs="Times New Roman"/>
        </w:rPr>
        <w:t>ž</w:t>
      </w:r>
      <w:r w:rsidRPr="0035027D">
        <w:t>ívané popri národných verejných zdrojoch;</w:t>
      </w:r>
    </w:p>
    <w:p w:rsidR="00D44F76" w:rsidRPr="0035027D" w:rsidRDefault="00D44F76" w:rsidP="00D44F76">
      <w:pPr>
        <w:numPr>
          <w:ilvl w:val="0"/>
          <w:numId w:val="17"/>
        </w:numPr>
        <w:spacing w:after="0"/>
      </w:pPr>
      <w:r w:rsidRPr="0035027D">
        <w:t>Výsledkovo orientovaný prístup – predstavuje vymedzený okruh priorít podpory z fondov EÚ, ktoré je mo</w:t>
      </w:r>
      <w:r w:rsidRPr="0035027D">
        <w:rPr>
          <w:rFonts w:cs="Times New Roman"/>
        </w:rPr>
        <w:t>ž</w:t>
      </w:r>
      <w:r w:rsidRPr="0035027D">
        <w:t>né kvalitatívne a kvantitatívne vyhodnoti</w:t>
      </w:r>
      <w:r w:rsidRPr="0035027D">
        <w:rPr>
          <w:rFonts w:cs="Times New Roman"/>
        </w:rPr>
        <w:t>ť</w:t>
      </w:r>
      <w:r w:rsidRPr="0035027D">
        <w:t xml:space="preserve"> po</w:t>
      </w:r>
      <w:r w:rsidRPr="0035027D">
        <w:rPr>
          <w:rFonts w:cs="Times New Roman"/>
        </w:rPr>
        <w:t>č</w:t>
      </w:r>
      <w:r w:rsidRPr="0035027D">
        <w:t xml:space="preserve">as, ako aj ku koncu programového obdobia. </w:t>
      </w:r>
    </w:p>
    <w:p w:rsidR="00D44F76" w:rsidRPr="0035027D" w:rsidRDefault="00D44F76" w:rsidP="00D44F76">
      <w:pPr>
        <w:spacing w:after="0"/>
      </w:pPr>
    </w:p>
    <w:p w:rsidR="00D44F76" w:rsidRPr="0035027D" w:rsidRDefault="0039750E" w:rsidP="00D44F76">
      <w:pPr>
        <w:spacing w:after="0"/>
      </w:pPr>
      <w:r w:rsidRPr="0039750E">
        <w:t xml:space="preserve">Z hľadiska konsolidácie verejných financií hrajú kľúčovú úlohu opatrenia na podporu hospodárskeho rastu a pre Slovenskú republiku v momentálnej ekonomickej situácii predstavujú dôležitú prioritu. Z dôvodu  obmedzených možností štátneho rozpočtu ešte viac vzrastá dôležitosť prostriedkov využívaných v rámci pomoci a podpory z fondov Európskej Únie. V nasledujúcom období bude potrebné koncentrovať smerovanie Európskych štrukturálnych a investičných fondov </w:t>
      </w:r>
      <w:r w:rsidR="00D44F76" w:rsidRPr="0035027D">
        <w:t>na financovanie priorít s najvä</w:t>
      </w:r>
      <w:r w:rsidR="00D44F76" w:rsidRPr="0035027D">
        <w:rPr>
          <w:rFonts w:cs="Times New Roman"/>
        </w:rPr>
        <w:t>č</w:t>
      </w:r>
      <w:r w:rsidR="00D44F76" w:rsidRPr="0035027D">
        <w:t>ším potenciálom rastu, viac vyu</w:t>
      </w:r>
      <w:r w:rsidR="00D44F76" w:rsidRPr="0035027D">
        <w:rPr>
          <w:rFonts w:cs="Times New Roman"/>
        </w:rPr>
        <w:t>ž</w:t>
      </w:r>
      <w:r w:rsidR="00D44F76" w:rsidRPr="0035027D">
        <w:t>íva</w:t>
      </w:r>
      <w:r w:rsidR="00D44F76" w:rsidRPr="0035027D">
        <w:rPr>
          <w:rFonts w:cs="Times New Roman"/>
        </w:rPr>
        <w:t>ť</w:t>
      </w:r>
      <w:r w:rsidR="00D44F76" w:rsidRPr="0035027D">
        <w:t xml:space="preserve"> návratné finan</w:t>
      </w:r>
      <w:r w:rsidR="00D44F76" w:rsidRPr="0035027D">
        <w:rPr>
          <w:rFonts w:cs="Times New Roman"/>
        </w:rPr>
        <w:t>č</w:t>
      </w:r>
      <w:r w:rsidR="00D44F76" w:rsidRPr="0035027D">
        <w:t>né zdroje a národné financovanie. Podpora by mala by</w:t>
      </w:r>
      <w:r w:rsidR="00D44F76" w:rsidRPr="0035027D">
        <w:rPr>
          <w:rFonts w:cs="Times New Roman"/>
        </w:rPr>
        <w:t>ť</w:t>
      </w:r>
      <w:r w:rsidR="00D44F76" w:rsidRPr="0035027D">
        <w:t xml:space="preserve"> smerovaná do oblastí, ktoré mobilizujú ekonomický rast a zamestnanos</w:t>
      </w:r>
      <w:r w:rsidR="00D44F76" w:rsidRPr="0035027D">
        <w:rPr>
          <w:rFonts w:cs="Times New Roman"/>
        </w:rPr>
        <w:t>ť</w:t>
      </w:r>
      <w:r w:rsidR="00D44F76" w:rsidRPr="0035027D">
        <w:t xml:space="preserve"> pri zoh</w:t>
      </w:r>
      <w:r w:rsidR="00D44F76" w:rsidRPr="0035027D">
        <w:rPr>
          <w:rFonts w:cs="Times New Roman"/>
        </w:rPr>
        <w:t>ľ</w:t>
      </w:r>
      <w:r w:rsidR="00D44F76" w:rsidRPr="0035027D">
        <w:t>adnení potrieb a špecifík regiónov integrovaným spôsobom. Verejné zdroje podporia takéto aktivity tak, aby sa ich úrove</w:t>
      </w:r>
      <w:r w:rsidR="00D44F76" w:rsidRPr="0035027D">
        <w:rPr>
          <w:rFonts w:cs="Times New Roman"/>
        </w:rPr>
        <w:t>ň</w:t>
      </w:r>
      <w:r w:rsidR="00D44F76" w:rsidRPr="0035027D">
        <w:t xml:space="preserve"> priblí</w:t>
      </w:r>
      <w:r w:rsidR="00D44F76" w:rsidRPr="0035027D">
        <w:rPr>
          <w:rFonts w:cs="Times New Roman"/>
        </w:rPr>
        <w:t>ž</w:t>
      </w:r>
      <w:r w:rsidR="00D44F76" w:rsidRPr="0035027D">
        <w:t>ila spolo</w:t>
      </w:r>
      <w:r w:rsidR="00D44F76" w:rsidRPr="0035027D">
        <w:rPr>
          <w:rFonts w:cs="Times New Roman"/>
        </w:rPr>
        <w:t>č</w:t>
      </w:r>
      <w:r w:rsidR="00D44F76" w:rsidRPr="0035027D">
        <w:t>enskému optimu. SR bude v záujme zabezpe</w:t>
      </w:r>
      <w:r w:rsidR="00D44F76" w:rsidRPr="0035027D">
        <w:rPr>
          <w:rFonts w:cs="Times New Roman"/>
        </w:rPr>
        <w:t>č</w:t>
      </w:r>
      <w:r w:rsidR="00D44F76" w:rsidRPr="0035027D">
        <w:t>enia ú</w:t>
      </w:r>
      <w:r w:rsidR="00D44F76" w:rsidRPr="0035027D">
        <w:rPr>
          <w:rFonts w:cs="Times New Roman"/>
        </w:rPr>
        <w:t>č</w:t>
      </w:r>
      <w:r w:rsidR="00D44F76" w:rsidRPr="0035027D">
        <w:t>innejšej implementácie politiky súdr</w:t>
      </w:r>
      <w:r w:rsidR="00D44F76" w:rsidRPr="0035027D">
        <w:rPr>
          <w:rFonts w:cs="Times New Roman"/>
        </w:rPr>
        <w:t>ž</w:t>
      </w:r>
      <w:r w:rsidR="00D44F76" w:rsidRPr="0035027D">
        <w:t>nosti EÚ uplat</w:t>
      </w:r>
      <w:r w:rsidR="00D44F76" w:rsidRPr="0035027D">
        <w:rPr>
          <w:rFonts w:cs="Times New Roman"/>
        </w:rPr>
        <w:t>ň</w:t>
      </w:r>
      <w:r w:rsidR="00D44F76" w:rsidRPr="0035027D">
        <w:t>ova</w:t>
      </w:r>
      <w:r w:rsidR="00D44F76" w:rsidRPr="0035027D">
        <w:rPr>
          <w:rFonts w:cs="Times New Roman"/>
        </w:rPr>
        <w:t>ť</w:t>
      </w:r>
      <w:r w:rsidR="00D44F76" w:rsidRPr="0035027D">
        <w:t xml:space="preserve"> vyššiu flexibilitu v oblasti podpory rôznych kategórií regiónov, ako aj pri financovaní operácií oprávnených na podporu z iného fondu a mimo oprávneného územia opera</w:t>
      </w:r>
      <w:r w:rsidR="00D44F76" w:rsidRPr="0035027D">
        <w:rPr>
          <w:rFonts w:cs="Times New Roman"/>
        </w:rPr>
        <w:t>č</w:t>
      </w:r>
      <w:r w:rsidR="00D44F76" w:rsidRPr="0035027D">
        <w:t>ného programu.</w:t>
      </w:r>
    </w:p>
    <w:p w:rsidR="00D44F76" w:rsidRPr="0035027D" w:rsidRDefault="00D44F76" w:rsidP="00D44F76">
      <w:pPr>
        <w:spacing w:after="0"/>
      </w:pPr>
    </w:p>
    <w:p w:rsidR="00D44F76" w:rsidRPr="0035027D" w:rsidRDefault="00BF0948" w:rsidP="00D44F76">
      <w:pPr>
        <w:spacing w:after="0"/>
      </w:pPr>
      <w:r w:rsidRPr="0035027D">
        <w:lastRenderedPageBreak/>
        <w:t>Inovatívne finan</w:t>
      </w:r>
      <w:r w:rsidRPr="0035027D">
        <w:rPr>
          <w:rFonts w:cs="Times New Roman"/>
        </w:rPr>
        <w:t>č</w:t>
      </w:r>
      <w:r w:rsidRPr="0035027D">
        <w:t xml:space="preserve">né nástroje </w:t>
      </w:r>
      <w:r w:rsidR="00D44F76" w:rsidRPr="0035027D">
        <w:t>(vyu</w:t>
      </w:r>
      <w:r w:rsidR="00D44F76" w:rsidRPr="0035027D">
        <w:rPr>
          <w:rFonts w:cs="Times New Roman"/>
        </w:rPr>
        <w:t>ž</w:t>
      </w:r>
      <w:r w:rsidR="00D44F76" w:rsidRPr="0035027D">
        <w:t>itie verejných zdrojov na naviazanie súkromných zdrojov) v rámci fondov EÚ sa vyu</w:t>
      </w:r>
      <w:r w:rsidR="00D44F76" w:rsidRPr="0035027D">
        <w:rPr>
          <w:rFonts w:cs="Times New Roman"/>
        </w:rPr>
        <w:t>ž</w:t>
      </w:r>
      <w:r w:rsidR="00D44F76" w:rsidRPr="0035027D">
        <w:t>ívajú od programového obdobia 1994-1999, ale ich relatívny význam stúpol a</w:t>
      </w:r>
      <w:r w:rsidR="00D44F76" w:rsidRPr="0035027D">
        <w:rPr>
          <w:rFonts w:cs="Times New Roman"/>
        </w:rPr>
        <w:t>ž</w:t>
      </w:r>
      <w:r w:rsidR="00D44F76" w:rsidRPr="0035027D">
        <w:t xml:space="preserve"> v terajšom programovom období 2007-2013. V rámci programového obdobia 2014-2020 Európska komisia navrhuje dodato</w:t>
      </w:r>
      <w:r w:rsidR="00D44F76" w:rsidRPr="0035027D">
        <w:rPr>
          <w:rFonts w:cs="Times New Roman"/>
        </w:rPr>
        <w:t>č</w:t>
      </w:r>
      <w:r w:rsidR="00D44F76" w:rsidRPr="0035027D">
        <w:t>ne rozšíri</w:t>
      </w:r>
      <w:r w:rsidR="00D44F76" w:rsidRPr="0035027D">
        <w:rPr>
          <w:rFonts w:cs="Times New Roman"/>
        </w:rPr>
        <w:t>ť</w:t>
      </w:r>
      <w:r w:rsidR="00D44F76" w:rsidRPr="0035027D">
        <w:t xml:space="preserve"> a posilni</w:t>
      </w:r>
      <w:r w:rsidR="00D44F76" w:rsidRPr="0035027D">
        <w:rPr>
          <w:rFonts w:cs="Times New Roman"/>
        </w:rPr>
        <w:t>ť</w:t>
      </w:r>
      <w:r w:rsidR="00D44F76" w:rsidRPr="0035027D">
        <w:t xml:space="preserve"> úlohu inovatívnych finan</w:t>
      </w:r>
      <w:r w:rsidR="00D44F76" w:rsidRPr="0035027D">
        <w:rPr>
          <w:rFonts w:cs="Times New Roman"/>
        </w:rPr>
        <w:t>č</w:t>
      </w:r>
      <w:r w:rsidR="00D44F76" w:rsidRPr="0035027D">
        <w:t>ných nástrojov, umo</w:t>
      </w:r>
      <w:r w:rsidR="00D44F76" w:rsidRPr="0035027D">
        <w:rPr>
          <w:rFonts w:cs="Times New Roman"/>
        </w:rPr>
        <w:t>ž</w:t>
      </w:r>
      <w:r w:rsidR="00D44F76" w:rsidRPr="0035027D">
        <w:t>ní vä</w:t>
      </w:r>
      <w:r w:rsidR="00D44F76" w:rsidRPr="0035027D">
        <w:rPr>
          <w:rFonts w:cs="Times New Roman"/>
        </w:rPr>
        <w:t>č</w:t>
      </w:r>
      <w:r w:rsidR="00D44F76" w:rsidRPr="0035027D">
        <w:t>šiu flexibilitu ich pou</w:t>
      </w:r>
      <w:r w:rsidR="00D44F76" w:rsidRPr="0035027D">
        <w:rPr>
          <w:rFonts w:cs="Times New Roman"/>
        </w:rPr>
        <w:t>ž</w:t>
      </w:r>
      <w:r w:rsidR="00D44F76" w:rsidRPr="0035027D">
        <w:t>itia (na všetky tematické ciele, pre všetkých kone</w:t>
      </w:r>
      <w:r w:rsidR="00D44F76" w:rsidRPr="0035027D">
        <w:rPr>
          <w:rFonts w:cs="Times New Roman"/>
        </w:rPr>
        <w:t>č</w:t>
      </w:r>
      <w:r w:rsidR="00D44F76" w:rsidRPr="0035027D">
        <w:t>ných príjemcov a v kombinácii s inými formami podpory, ako sú napr. granty). Vyu</w:t>
      </w:r>
      <w:r w:rsidR="00D44F76" w:rsidRPr="0035027D">
        <w:rPr>
          <w:rFonts w:cs="Times New Roman"/>
        </w:rPr>
        <w:t>ž</w:t>
      </w:r>
      <w:r w:rsidR="00D44F76" w:rsidRPr="0035027D">
        <w:t>itie rôznych finan</w:t>
      </w:r>
      <w:r w:rsidR="00D44F76" w:rsidRPr="0035027D">
        <w:rPr>
          <w:rFonts w:cs="Times New Roman"/>
        </w:rPr>
        <w:t>č</w:t>
      </w:r>
      <w:r w:rsidR="00D44F76" w:rsidRPr="0035027D">
        <w:t xml:space="preserve">ných inštrumentov pri </w:t>
      </w:r>
      <w:r w:rsidR="00D44F76" w:rsidRPr="0035027D">
        <w:rPr>
          <w:rFonts w:cs="Times New Roman"/>
        </w:rPr>
        <w:t>č</w:t>
      </w:r>
      <w:r w:rsidR="00D44F76" w:rsidRPr="0035027D">
        <w:t>erpaní zdrojov z fondov EÚ má oproti nenávratným finan</w:t>
      </w:r>
      <w:r w:rsidR="00D44F76" w:rsidRPr="0035027D">
        <w:rPr>
          <w:rFonts w:cs="Times New Roman"/>
        </w:rPr>
        <w:t>č</w:t>
      </w:r>
      <w:r w:rsidR="00D44F76" w:rsidRPr="0035027D">
        <w:t>ným príspevkom v podobe grantov nieko</w:t>
      </w:r>
      <w:r w:rsidR="00D44F76" w:rsidRPr="0035027D">
        <w:rPr>
          <w:rFonts w:cs="Times New Roman"/>
        </w:rPr>
        <w:t>ľ</w:t>
      </w:r>
      <w:r w:rsidR="00D44F76" w:rsidRPr="0035027D">
        <w:t>ko výhod. Ke</w:t>
      </w:r>
      <w:r w:rsidR="00D44F76" w:rsidRPr="0035027D">
        <w:rPr>
          <w:rFonts w:cs="Times New Roman"/>
        </w:rPr>
        <w:t>ďž</w:t>
      </w:r>
      <w:r w:rsidR="00D44F76" w:rsidRPr="0035027D">
        <w:t>e sa pri vyu</w:t>
      </w:r>
      <w:r w:rsidR="00D44F76" w:rsidRPr="0035027D">
        <w:rPr>
          <w:rFonts w:cs="Times New Roman"/>
        </w:rPr>
        <w:t>ž</w:t>
      </w:r>
      <w:r w:rsidR="00D44F76" w:rsidRPr="0035027D">
        <w:t>ití finan</w:t>
      </w:r>
      <w:r w:rsidR="00D44F76" w:rsidRPr="0035027D">
        <w:rPr>
          <w:rFonts w:cs="Times New Roman"/>
        </w:rPr>
        <w:t>č</w:t>
      </w:r>
      <w:r w:rsidR="00D44F76" w:rsidRPr="0035027D">
        <w:t>ných inštrumentov jedná o návratnú pomoc, tieto zdroje je neskôr znova mo</w:t>
      </w:r>
      <w:r w:rsidR="00D44F76" w:rsidRPr="0035027D">
        <w:rPr>
          <w:rFonts w:cs="Times New Roman"/>
        </w:rPr>
        <w:t>ž</w:t>
      </w:r>
      <w:r w:rsidR="00D44F76" w:rsidRPr="0035027D">
        <w:t>né vyu</w:t>
      </w:r>
      <w:r w:rsidR="00D44F76" w:rsidRPr="0035027D">
        <w:rPr>
          <w:rFonts w:cs="Times New Roman"/>
        </w:rPr>
        <w:t>ž</w:t>
      </w:r>
      <w:r w:rsidR="00D44F76" w:rsidRPr="0035027D">
        <w:t>i</w:t>
      </w:r>
      <w:r w:rsidR="00D44F76" w:rsidRPr="0035027D">
        <w:rPr>
          <w:rFonts w:cs="Times New Roman"/>
        </w:rPr>
        <w:t>ť</w:t>
      </w:r>
      <w:r w:rsidR="00D44F76" w:rsidRPr="0035027D">
        <w:t xml:space="preserve"> na stanovené ciele; to isté sa týka prípadného zisku, ktorý by sa podarilo pri ich vyu</w:t>
      </w:r>
      <w:r w:rsidR="00D44F76" w:rsidRPr="0035027D">
        <w:rPr>
          <w:rFonts w:cs="Times New Roman"/>
        </w:rPr>
        <w:t>ž</w:t>
      </w:r>
      <w:r w:rsidR="00D44F76" w:rsidRPr="0035027D">
        <w:t>ití dosiahnu</w:t>
      </w:r>
      <w:r w:rsidR="00D44F76" w:rsidRPr="0035027D">
        <w:rPr>
          <w:rFonts w:cs="Times New Roman"/>
        </w:rPr>
        <w:t>ť</w:t>
      </w:r>
      <w:r w:rsidR="00D44F76" w:rsidRPr="0035027D">
        <w:t>. Dané zdroje je mo</w:t>
      </w:r>
      <w:r w:rsidR="00D44F76" w:rsidRPr="0035027D">
        <w:rPr>
          <w:rFonts w:cs="Times New Roman"/>
        </w:rPr>
        <w:t>ž</w:t>
      </w:r>
      <w:r w:rsidR="00D44F76" w:rsidRPr="0035027D">
        <w:t>né znásobi</w:t>
      </w:r>
      <w:r w:rsidR="00D44F76" w:rsidRPr="0035027D">
        <w:rPr>
          <w:rFonts w:cs="Times New Roman"/>
        </w:rPr>
        <w:t>ť</w:t>
      </w:r>
      <w:r w:rsidR="00D44F76" w:rsidRPr="0035027D">
        <w:t xml:space="preserve"> prostredníctvom pritiahnutia zdrojov súkromného sektora. Dodato</w:t>
      </w:r>
      <w:r w:rsidR="00D44F76" w:rsidRPr="0035027D">
        <w:rPr>
          <w:rFonts w:cs="Times New Roman"/>
        </w:rPr>
        <w:t>č</w:t>
      </w:r>
      <w:r w:rsidR="00D44F76" w:rsidRPr="0035027D">
        <w:t>ná expertíza a motivácia súkromného sektora zaistia efektívnejšie alokovanie prostriedkov a lepšiu finan</w:t>
      </w:r>
      <w:r w:rsidR="00D44F76" w:rsidRPr="0035027D">
        <w:rPr>
          <w:rFonts w:cs="Times New Roman"/>
        </w:rPr>
        <w:t>č</w:t>
      </w:r>
      <w:r w:rsidR="00D44F76" w:rsidRPr="0035027D">
        <w:t xml:space="preserve">nú disciplínu na úrovni projektov. V prípade, </w:t>
      </w:r>
      <w:r w:rsidR="00D44F76" w:rsidRPr="0035027D">
        <w:rPr>
          <w:rFonts w:cs="Times New Roman"/>
        </w:rPr>
        <w:t>ž</w:t>
      </w:r>
      <w:r w:rsidR="00D44F76" w:rsidRPr="0035027D">
        <w:t>e sa má jedna</w:t>
      </w:r>
      <w:r w:rsidR="00D44F76" w:rsidRPr="0035027D">
        <w:rPr>
          <w:rFonts w:cs="Times New Roman"/>
        </w:rPr>
        <w:t>ť</w:t>
      </w:r>
      <w:r w:rsidR="00D44F76" w:rsidRPr="0035027D">
        <w:t xml:space="preserve"> o podporu samostatne </w:t>
      </w:r>
      <w:r w:rsidR="00D44F76" w:rsidRPr="0035027D">
        <w:rPr>
          <w:rFonts w:cs="Times New Roman"/>
        </w:rPr>
        <w:t>ž</w:t>
      </w:r>
      <w:r w:rsidR="00D44F76" w:rsidRPr="0035027D">
        <w:t>ivotaschopných projektov, predstavuje návratná pomoc vhodnejšiu formu podpory, ktorá nedeformuje hospodársku sú</w:t>
      </w:r>
      <w:r w:rsidR="00D44F76" w:rsidRPr="0035027D">
        <w:rPr>
          <w:rFonts w:cs="Times New Roman"/>
        </w:rPr>
        <w:t>ť</w:t>
      </w:r>
      <w:r w:rsidR="00D44F76" w:rsidRPr="0035027D">
        <w:t>a</w:t>
      </w:r>
      <w:r w:rsidR="00D44F76" w:rsidRPr="0035027D">
        <w:rPr>
          <w:rFonts w:cs="Times New Roman"/>
        </w:rPr>
        <w:t>ž</w:t>
      </w:r>
      <w:r w:rsidR="00D44F76" w:rsidRPr="0035027D">
        <w:t xml:space="preserve"> a trhové prostredie.</w:t>
      </w:r>
      <w:r w:rsidR="00124AB2" w:rsidRPr="0035027D">
        <w:t xml:space="preserve"> Pri príprave Partnerskej dohody a opera</w:t>
      </w:r>
      <w:r w:rsidR="00124AB2" w:rsidRPr="0035027D">
        <w:rPr>
          <w:rFonts w:cs="Times New Roman"/>
        </w:rPr>
        <w:t>č</w:t>
      </w:r>
      <w:r w:rsidR="00124AB2" w:rsidRPr="0035027D">
        <w:t>ných programov je preto dôle</w:t>
      </w:r>
      <w:r w:rsidR="00124AB2" w:rsidRPr="0035027D">
        <w:rPr>
          <w:rFonts w:cs="Times New Roman"/>
        </w:rPr>
        <w:t>ž</w:t>
      </w:r>
      <w:r w:rsidR="00124AB2" w:rsidRPr="0035027D">
        <w:t>ité dosiahnu</w:t>
      </w:r>
      <w:r w:rsidR="00124AB2" w:rsidRPr="0035027D">
        <w:rPr>
          <w:rFonts w:cs="Times New Roman"/>
        </w:rPr>
        <w:t>ť</w:t>
      </w:r>
      <w:r w:rsidR="00124AB2" w:rsidRPr="0035027D">
        <w:t xml:space="preserve"> záväzok vyššieho podielu inovatívnych finan</w:t>
      </w:r>
      <w:r w:rsidR="00124AB2" w:rsidRPr="0035027D">
        <w:rPr>
          <w:rFonts w:cs="Times New Roman"/>
        </w:rPr>
        <w:t>č</w:t>
      </w:r>
      <w:r w:rsidR="00124AB2" w:rsidRPr="0035027D">
        <w:t>ných nástrojov ako formy podpory na celkovom objeme prostriedkov z Európskych štrukturálnych a investi</w:t>
      </w:r>
      <w:r w:rsidR="00124AB2" w:rsidRPr="0035027D">
        <w:rPr>
          <w:rFonts w:cs="Times New Roman"/>
        </w:rPr>
        <w:t>č</w:t>
      </w:r>
      <w:r w:rsidR="00124AB2" w:rsidRPr="0035027D">
        <w:t>ných fondov, ktoré bude ma</w:t>
      </w:r>
      <w:r w:rsidR="00124AB2" w:rsidRPr="0035027D">
        <w:rPr>
          <w:rFonts w:cs="Times New Roman"/>
        </w:rPr>
        <w:t>ť</w:t>
      </w:r>
      <w:r w:rsidR="00124AB2" w:rsidRPr="0035027D">
        <w:t xml:space="preserve"> SR k dispozícii v programovom období 2014-2020. Takýto záväzok by sa mal pohybova</w:t>
      </w:r>
      <w:r w:rsidR="00124AB2" w:rsidRPr="0035027D">
        <w:rPr>
          <w:rFonts w:cs="Times New Roman"/>
        </w:rPr>
        <w:t>ť</w:t>
      </w:r>
      <w:r w:rsidR="00124AB2" w:rsidRPr="0035027D">
        <w:t xml:space="preserve"> na úrovni minimálne 5% z novej alokácie celkového objemu všetkých prostriedkov v be</w:t>
      </w:r>
      <w:r w:rsidR="00124AB2" w:rsidRPr="0035027D">
        <w:rPr>
          <w:rFonts w:cs="Times New Roman"/>
        </w:rPr>
        <w:t>ž</w:t>
      </w:r>
      <w:r w:rsidR="00124AB2" w:rsidRPr="0035027D">
        <w:t>ných cenách na roky 2014 - 2020.</w:t>
      </w:r>
    </w:p>
    <w:p w:rsidR="00D44F76" w:rsidRPr="0035027D" w:rsidRDefault="00D44F76" w:rsidP="00D44F76">
      <w:pPr>
        <w:spacing w:after="0"/>
      </w:pPr>
    </w:p>
    <w:p w:rsidR="00D44F76" w:rsidRPr="0035027D" w:rsidRDefault="00EC7A8A" w:rsidP="00D44F76">
      <w:r w:rsidRPr="00EC7A8A">
        <w:t>Po skúsenostiach zo  súčasného rozpočtového obdobia 2007 – 2013 a uznaní mimoriadnej komplikovaností  systému implementácie,  je potrebné maximálne zjednodušiť celý systém pri súčasnom koncentrovaní zdrojov.</w:t>
      </w:r>
      <w:r>
        <w:rPr>
          <w:rFonts w:cs="Times New Roman"/>
        </w:rPr>
        <w:t xml:space="preserve"> </w:t>
      </w:r>
      <w:r w:rsidR="00D44F76" w:rsidRPr="0035027D">
        <w:t>Uvedené prvky sa z poh</w:t>
      </w:r>
      <w:r w:rsidR="00D44F76" w:rsidRPr="0035027D">
        <w:rPr>
          <w:rFonts w:cs="Times New Roman"/>
        </w:rPr>
        <w:t>ľ</w:t>
      </w:r>
      <w:r w:rsidR="00D44F76" w:rsidRPr="0035027D">
        <w:t>adu SR premietnu do obmedzeného po</w:t>
      </w:r>
      <w:r w:rsidR="00D44F76" w:rsidRPr="0035027D">
        <w:rPr>
          <w:rFonts w:cs="Times New Roman"/>
        </w:rPr>
        <w:t>č</w:t>
      </w:r>
      <w:r w:rsidR="00D44F76" w:rsidRPr="0035027D">
        <w:t>tu opera</w:t>
      </w:r>
      <w:r w:rsidR="00D44F76" w:rsidRPr="0035027D">
        <w:rPr>
          <w:rFonts w:cs="Times New Roman"/>
        </w:rPr>
        <w:t>č</w:t>
      </w:r>
      <w:r w:rsidR="00D44F76" w:rsidRPr="0035027D">
        <w:t>ných programov, ktoré budú zamerané na vymedzený okruh oblastí podpory, ktoré budú tvori</w:t>
      </w:r>
      <w:r w:rsidR="00D44F76" w:rsidRPr="0035027D">
        <w:rPr>
          <w:rFonts w:cs="Times New Roman"/>
        </w:rPr>
        <w:t>ť</w:t>
      </w:r>
      <w:r w:rsidR="00D44F76" w:rsidRPr="0035027D">
        <w:t xml:space="preserve"> východiskovú základ</w:t>
      </w:r>
      <w:r w:rsidR="00D44F76" w:rsidRPr="0035027D">
        <w:rPr>
          <w:rFonts w:cs="Times New Roman"/>
        </w:rPr>
        <w:t>ň</w:t>
      </w:r>
      <w:r w:rsidR="00D44F76" w:rsidRPr="0035027D">
        <w:t>u pri vypracovaní Partnerskej dohody SR a opera</w:t>
      </w:r>
      <w:r w:rsidR="00D44F76" w:rsidRPr="0035027D">
        <w:rPr>
          <w:rFonts w:cs="Times New Roman"/>
        </w:rPr>
        <w:t>č</w:t>
      </w:r>
      <w:r w:rsidR="00D44F76" w:rsidRPr="0035027D">
        <w:t>ných programov na roky 2014 - 2020:</w:t>
      </w:r>
    </w:p>
    <w:p w:rsidR="00D44F76" w:rsidRPr="0035027D" w:rsidRDefault="00D44F76" w:rsidP="00D44F76">
      <w:pPr>
        <w:numPr>
          <w:ilvl w:val="0"/>
          <w:numId w:val="17"/>
        </w:numPr>
        <w:spacing w:after="0"/>
      </w:pPr>
      <w:r w:rsidRPr="0035027D">
        <w:t>Základná infraštruktúra,</w:t>
      </w:r>
    </w:p>
    <w:p w:rsidR="00D44F76" w:rsidRPr="0035027D" w:rsidRDefault="00D44F76" w:rsidP="00D44F76">
      <w:pPr>
        <w:numPr>
          <w:ilvl w:val="0"/>
          <w:numId w:val="17"/>
        </w:numPr>
        <w:spacing w:after="0"/>
      </w:pPr>
      <w:r w:rsidRPr="0035027D">
        <w:rPr>
          <w:rFonts w:cs="Times New Roman"/>
        </w:rPr>
        <w:t>Ľ</w:t>
      </w:r>
      <w:r w:rsidRPr="0035027D">
        <w:t>udské zdroje, zamestnanos</w:t>
      </w:r>
      <w:r w:rsidRPr="0035027D">
        <w:rPr>
          <w:rFonts w:cs="Times New Roman"/>
        </w:rPr>
        <w:t>ť</w:t>
      </w:r>
      <w:r w:rsidRPr="0035027D">
        <w:t xml:space="preserve"> a sociálna inklúzia,</w:t>
      </w:r>
    </w:p>
    <w:p w:rsidR="00D44F76" w:rsidRPr="00EC7A8A" w:rsidRDefault="00D44F76" w:rsidP="00D44F76">
      <w:pPr>
        <w:numPr>
          <w:ilvl w:val="0"/>
          <w:numId w:val="17"/>
        </w:numPr>
        <w:spacing w:after="0"/>
      </w:pPr>
      <w:r w:rsidRPr="0035027D">
        <w:t xml:space="preserve">Veda, výskum a inovácie s dôrazom na </w:t>
      </w:r>
      <w:r w:rsidR="00EC7A8A" w:rsidRPr="00EC7A8A">
        <w:rPr>
          <w:rFonts w:cs="Times New Roman"/>
        </w:rPr>
        <w:t>podporu hospodárskeho rastu pri zabezpečení efektívneho využitia zdrojov</w:t>
      </w:r>
      <w:r w:rsidRPr="00EC7A8A">
        <w:t>.</w:t>
      </w:r>
    </w:p>
    <w:p w:rsidR="00D44F76" w:rsidRPr="0035027D" w:rsidRDefault="00D44F76" w:rsidP="00D44F76">
      <w:pPr>
        <w:spacing w:after="0"/>
      </w:pPr>
    </w:p>
    <w:p w:rsidR="00D44F76" w:rsidRPr="0035027D" w:rsidRDefault="00D44F76" w:rsidP="00D44F76">
      <w:pPr>
        <w:spacing w:after="0"/>
        <w:rPr>
          <w:color w:val="000000"/>
          <w:lang w:eastAsia="cs-CZ"/>
        </w:rPr>
      </w:pPr>
      <w:r w:rsidRPr="0035027D">
        <w:t>Európska komisia predstavila svoj poh</w:t>
      </w:r>
      <w:r w:rsidRPr="0035027D">
        <w:rPr>
          <w:rFonts w:cs="Times New Roman"/>
        </w:rPr>
        <w:t>ľ</w:t>
      </w:r>
      <w:r w:rsidRPr="0035027D">
        <w:t>ad na identifikáciu hlavných rozvojových potrieb a výber tematických cie</w:t>
      </w:r>
      <w:r w:rsidRPr="0035027D">
        <w:rPr>
          <w:rFonts w:cs="Times New Roman"/>
        </w:rPr>
        <w:t>ľ</w:t>
      </w:r>
      <w:r w:rsidRPr="0035027D">
        <w:t>ov a priorít, ktoré by mali by</w:t>
      </w:r>
      <w:r w:rsidRPr="0035027D">
        <w:rPr>
          <w:rFonts w:cs="Times New Roman"/>
        </w:rPr>
        <w:t>ť</w:t>
      </w:r>
      <w:r w:rsidRPr="0035027D">
        <w:t xml:space="preserve"> financované v rámci jednotlivých fondov EÚ v podmienkach SR v Pozi</w:t>
      </w:r>
      <w:r w:rsidRPr="0035027D">
        <w:rPr>
          <w:rFonts w:cs="Times New Roman"/>
        </w:rPr>
        <w:t>č</w:t>
      </w:r>
      <w:r w:rsidRPr="0035027D">
        <w:t>nom dokumente k Partnerskej dohode SR a opera</w:t>
      </w:r>
      <w:r w:rsidRPr="0035027D">
        <w:rPr>
          <w:rFonts w:cs="Times New Roman"/>
        </w:rPr>
        <w:t>č</w:t>
      </w:r>
      <w:r w:rsidRPr="0035027D">
        <w:t xml:space="preserve">ným programom na roky 2014 – 2020. </w:t>
      </w:r>
      <w:r w:rsidRPr="0035027D">
        <w:rPr>
          <w:color w:val="000000"/>
        </w:rPr>
        <w:t>V tomto dokumente definovala pä</w:t>
      </w:r>
      <w:r w:rsidRPr="0035027D">
        <w:rPr>
          <w:rFonts w:cs="Times New Roman"/>
          <w:color w:val="000000"/>
        </w:rPr>
        <w:t>ť</w:t>
      </w:r>
      <w:r w:rsidRPr="0035027D">
        <w:rPr>
          <w:color w:val="000000"/>
        </w:rPr>
        <w:t xml:space="preserve"> prioritných oblastí, ktoré by SR mala z Európskych štrukturálnych a investi</w:t>
      </w:r>
      <w:r w:rsidRPr="0035027D">
        <w:rPr>
          <w:rFonts w:cs="Times New Roman"/>
          <w:color w:val="000000"/>
        </w:rPr>
        <w:t>č</w:t>
      </w:r>
      <w:r w:rsidRPr="0035027D">
        <w:rPr>
          <w:color w:val="000000"/>
        </w:rPr>
        <w:t>ných fondov podporova</w:t>
      </w:r>
      <w:r w:rsidRPr="0035027D">
        <w:rPr>
          <w:rFonts w:cs="Times New Roman"/>
          <w:color w:val="000000"/>
        </w:rPr>
        <w:t>ť</w:t>
      </w:r>
      <w:r w:rsidRPr="0035027D">
        <w:rPr>
          <w:color w:val="000000"/>
        </w:rPr>
        <w:t xml:space="preserve">: </w:t>
      </w:r>
      <w:r w:rsidRPr="0035027D">
        <w:rPr>
          <w:color w:val="000000"/>
          <w:lang w:eastAsia="cs-CZ"/>
        </w:rPr>
        <w:t>podnikate</w:t>
      </w:r>
      <w:r w:rsidRPr="0035027D">
        <w:rPr>
          <w:rFonts w:cs="Times New Roman"/>
          <w:color w:val="000000"/>
          <w:lang w:eastAsia="cs-CZ"/>
        </w:rPr>
        <w:t>ľ</w:t>
      </w:r>
      <w:r w:rsidRPr="0035027D">
        <w:rPr>
          <w:color w:val="000000"/>
          <w:lang w:eastAsia="cs-CZ"/>
        </w:rPr>
        <w:t>ské prostredie priaznivé pre inovácie, infraštruktúra pre hospodársky rast a zamestnanos</w:t>
      </w:r>
      <w:r w:rsidRPr="0035027D">
        <w:rPr>
          <w:rFonts w:cs="Times New Roman"/>
          <w:color w:val="000000"/>
          <w:lang w:eastAsia="cs-CZ"/>
        </w:rPr>
        <w:t>ť</w:t>
      </w:r>
      <w:r w:rsidRPr="0035027D">
        <w:rPr>
          <w:color w:val="000000"/>
          <w:lang w:eastAsia="cs-CZ"/>
        </w:rPr>
        <w:t xml:space="preserve">, rozvoj </w:t>
      </w:r>
      <w:r w:rsidRPr="0035027D">
        <w:rPr>
          <w:rFonts w:cs="Times New Roman"/>
          <w:color w:val="000000"/>
          <w:lang w:eastAsia="cs-CZ"/>
        </w:rPr>
        <w:t>ľ</w:t>
      </w:r>
      <w:r w:rsidRPr="0035027D">
        <w:rPr>
          <w:color w:val="000000"/>
          <w:lang w:eastAsia="cs-CZ"/>
        </w:rPr>
        <w:t>udského kapitálu a zlepšenie ú</w:t>
      </w:r>
      <w:r w:rsidRPr="0035027D">
        <w:rPr>
          <w:rFonts w:cs="Times New Roman"/>
          <w:color w:val="000000"/>
          <w:lang w:eastAsia="cs-CZ"/>
        </w:rPr>
        <w:t>č</w:t>
      </w:r>
      <w:r w:rsidRPr="0035027D">
        <w:rPr>
          <w:color w:val="000000"/>
          <w:lang w:eastAsia="cs-CZ"/>
        </w:rPr>
        <w:t>asti na trhu práce, trvalo udr</w:t>
      </w:r>
      <w:r w:rsidRPr="0035027D">
        <w:rPr>
          <w:rFonts w:cs="Times New Roman"/>
          <w:color w:val="000000"/>
          <w:lang w:eastAsia="cs-CZ"/>
        </w:rPr>
        <w:t>ž</w:t>
      </w:r>
      <w:r w:rsidRPr="0035027D">
        <w:rPr>
          <w:color w:val="000000"/>
          <w:lang w:eastAsia="cs-CZ"/>
        </w:rPr>
        <w:t>ate</w:t>
      </w:r>
      <w:r w:rsidRPr="0035027D">
        <w:rPr>
          <w:rFonts w:cs="Times New Roman"/>
          <w:color w:val="000000"/>
          <w:lang w:eastAsia="cs-CZ"/>
        </w:rPr>
        <w:t>ľ</w:t>
      </w:r>
      <w:r w:rsidRPr="0035027D">
        <w:rPr>
          <w:color w:val="000000"/>
          <w:lang w:eastAsia="cs-CZ"/>
        </w:rPr>
        <w:t>né a efektívne vyu</w:t>
      </w:r>
      <w:r w:rsidRPr="0035027D">
        <w:rPr>
          <w:rFonts w:cs="Times New Roman"/>
          <w:color w:val="000000"/>
          <w:lang w:eastAsia="cs-CZ"/>
        </w:rPr>
        <w:t>ž</w:t>
      </w:r>
      <w:r w:rsidRPr="0035027D">
        <w:rPr>
          <w:color w:val="000000"/>
          <w:lang w:eastAsia="cs-CZ"/>
        </w:rPr>
        <w:t>ívanie prírodných zdrojov, moderná a profesionálna verejná správa.</w:t>
      </w:r>
    </w:p>
    <w:p w:rsidR="00D44F76" w:rsidRPr="0035027D" w:rsidRDefault="00D44F76" w:rsidP="00D44F76">
      <w:pPr>
        <w:spacing w:after="0"/>
        <w:rPr>
          <w:color w:val="FF0000"/>
          <w:lang w:eastAsia="cs-CZ"/>
        </w:rPr>
      </w:pPr>
    </w:p>
    <w:p w:rsidR="00D44F76" w:rsidRPr="0035027D" w:rsidRDefault="00D44F76" w:rsidP="00D44F76">
      <w:pPr>
        <w:spacing w:after="0"/>
      </w:pPr>
      <w:r w:rsidRPr="0035027D">
        <w:t>V programovom období 2014 – 2020 je potrebné u</w:t>
      </w:r>
      <w:r w:rsidRPr="0035027D">
        <w:rPr>
          <w:rFonts w:cs="Times New Roman"/>
        </w:rPr>
        <w:t>ž</w:t>
      </w:r>
      <w:r w:rsidRPr="0035027D">
        <w:t>šie zapoji</w:t>
      </w:r>
      <w:r w:rsidRPr="0035027D">
        <w:rPr>
          <w:rFonts w:cs="Times New Roman"/>
        </w:rPr>
        <w:t>ť</w:t>
      </w:r>
      <w:r w:rsidRPr="0035027D">
        <w:t xml:space="preserve"> územnú samosprávu a sociálnoekonomických partnerov do procesu prípravy a implementácie Partnerskej dohody SR a budúcich opera</w:t>
      </w:r>
      <w:r w:rsidRPr="0035027D">
        <w:rPr>
          <w:rFonts w:cs="Times New Roman"/>
        </w:rPr>
        <w:t>č</w:t>
      </w:r>
      <w:r w:rsidRPr="0035027D">
        <w:t>ných programov. Pre efektívnejšiu realizáciu pomoci z Európskych štrukturálnych a investi</w:t>
      </w:r>
      <w:r w:rsidRPr="0035027D">
        <w:rPr>
          <w:rFonts w:cs="Times New Roman"/>
        </w:rPr>
        <w:t>č</w:t>
      </w:r>
      <w:r w:rsidRPr="0035027D">
        <w:t>ných fondov</w:t>
      </w:r>
      <w:r w:rsidRPr="0035027D">
        <w:rPr>
          <w:vertAlign w:val="superscript"/>
        </w:rPr>
        <w:t>3</w:t>
      </w:r>
      <w:r w:rsidRPr="0035027D">
        <w:t xml:space="preserve"> bude v záujme SR vyu</w:t>
      </w:r>
      <w:r w:rsidRPr="0035027D">
        <w:rPr>
          <w:rFonts w:cs="Times New Roman"/>
        </w:rPr>
        <w:t>ž</w:t>
      </w:r>
      <w:r w:rsidRPr="0035027D">
        <w:t>i</w:t>
      </w:r>
      <w:r w:rsidRPr="0035027D">
        <w:rPr>
          <w:rFonts w:cs="Times New Roman"/>
        </w:rPr>
        <w:t>ť</w:t>
      </w:r>
      <w:r w:rsidRPr="0035027D">
        <w:t xml:space="preserve"> aj integrované územné nástroje, ako sú integrované územné investície a </w:t>
      </w:r>
      <w:proofErr w:type="spellStart"/>
      <w:r w:rsidRPr="0035027D">
        <w:t>komunitne</w:t>
      </w:r>
      <w:proofErr w:type="spellEnd"/>
      <w:r w:rsidRPr="0035027D">
        <w:t xml:space="preserve"> vedený miestny rozvoj (prístup </w:t>
      </w:r>
      <w:proofErr w:type="spellStart"/>
      <w:r w:rsidRPr="0035027D">
        <w:t>Leader</w:t>
      </w:r>
      <w:proofErr w:type="spellEnd"/>
      <w:r w:rsidRPr="0035027D">
        <w:t xml:space="preserve">) a globálne granty.  </w:t>
      </w:r>
    </w:p>
    <w:p w:rsidR="00D44F76" w:rsidRPr="0035027D" w:rsidRDefault="00D44F76" w:rsidP="00D44F76">
      <w:pPr>
        <w:spacing w:after="0"/>
      </w:pPr>
    </w:p>
    <w:p w:rsidR="00D44F76" w:rsidRPr="0035027D" w:rsidRDefault="00D44F76" w:rsidP="00D44F76">
      <w:pPr>
        <w:spacing w:after="0"/>
      </w:pPr>
      <w:r w:rsidRPr="0035027D">
        <w:t>Na základe analýzy plánov jednotlivých rezortov, analýzy návrhov nariadení EÚ a skúseností z obdobia 2007 – 2013 bol ur</w:t>
      </w:r>
      <w:r w:rsidRPr="0035027D">
        <w:rPr>
          <w:rFonts w:cs="Times New Roman"/>
        </w:rPr>
        <w:t>č</w:t>
      </w:r>
      <w:r w:rsidRPr="0035027D">
        <w:t>ený zoznam piatich tematických indikatívnych oblastí podpory a jedna integrovaná oblas</w:t>
      </w:r>
      <w:r w:rsidRPr="0035027D">
        <w:rPr>
          <w:rFonts w:cs="Times New Roman"/>
        </w:rPr>
        <w:t>ť</w:t>
      </w:r>
      <w:r w:rsidRPr="0035027D">
        <w:t xml:space="preserve"> podpory pre regióny v podmienkach SR</w:t>
      </w:r>
      <w:r w:rsidR="00EC7A8A" w:rsidRPr="00EC7A8A">
        <w:t xml:space="preserve">, </w:t>
      </w:r>
      <w:r w:rsidR="00EC7A8A" w:rsidRPr="00EC7A8A">
        <w:rPr>
          <w:rFonts w:cs="Times New Roman"/>
        </w:rPr>
        <w:t>ktoré sa zhodujú s návrhom operačných programov na budúce rozpočtové obdobie</w:t>
      </w:r>
      <w:r w:rsidRPr="00EC7A8A">
        <w:t>:</w:t>
      </w:r>
    </w:p>
    <w:p w:rsidR="00D44F76" w:rsidRPr="0035027D" w:rsidRDefault="00D44F76" w:rsidP="00D44F76">
      <w:pPr>
        <w:numPr>
          <w:ilvl w:val="0"/>
          <w:numId w:val="17"/>
        </w:numPr>
        <w:spacing w:after="0"/>
      </w:pPr>
      <w:r w:rsidRPr="0035027D">
        <w:t>Výskum a inovácie,</w:t>
      </w:r>
    </w:p>
    <w:p w:rsidR="00D44F76" w:rsidRPr="0035027D" w:rsidRDefault="00D44F76" w:rsidP="00D44F76">
      <w:pPr>
        <w:numPr>
          <w:ilvl w:val="0"/>
          <w:numId w:val="17"/>
        </w:numPr>
        <w:spacing w:after="0"/>
      </w:pPr>
      <w:r w:rsidRPr="0035027D">
        <w:t>Integrovaná infraštruktúra,</w:t>
      </w:r>
    </w:p>
    <w:p w:rsidR="00D44F76" w:rsidRPr="0035027D" w:rsidRDefault="00D44F76" w:rsidP="00D44F76">
      <w:pPr>
        <w:numPr>
          <w:ilvl w:val="0"/>
          <w:numId w:val="17"/>
        </w:numPr>
        <w:spacing w:after="0"/>
      </w:pPr>
      <w:r w:rsidRPr="0035027D">
        <w:rPr>
          <w:rFonts w:cs="Times New Roman"/>
        </w:rPr>
        <w:t>Ľ</w:t>
      </w:r>
      <w:r w:rsidRPr="0035027D">
        <w:t>udské zdroje zamestnanos</w:t>
      </w:r>
      <w:r w:rsidRPr="0035027D">
        <w:rPr>
          <w:rFonts w:cs="Times New Roman"/>
        </w:rPr>
        <w:t>ť</w:t>
      </w:r>
      <w:r w:rsidRPr="0035027D">
        <w:t xml:space="preserve"> a inklúzia,</w:t>
      </w:r>
    </w:p>
    <w:p w:rsidR="00D44F76" w:rsidRPr="0035027D" w:rsidRDefault="00D44F76" w:rsidP="00D44F76">
      <w:pPr>
        <w:numPr>
          <w:ilvl w:val="0"/>
          <w:numId w:val="17"/>
        </w:numPr>
        <w:spacing w:after="0"/>
      </w:pPr>
      <w:r w:rsidRPr="0035027D">
        <w:t xml:space="preserve">Kvalita </w:t>
      </w:r>
      <w:r w:rsidRPr="0035027D">
        <w:rPr>
          <w:rFonts w:cs="Times New Roman"/>
        </w:rPr>
        <w:t>ž</w:t>
      </w:r>
      <w:r w:rsidRPr="0035027D">
        <w:t>ivotného prostredia,</w:t>
      </w:r>
    </w:p>
    <w:p w:rsidR="00D44F76" w:rsidRPr="0035027D" w:rsidRDefault="00D44F76" w:rsidP="00D44F76">
      <w:pPr>
        <w:numPr>
          <w:ilvl w:val="0"/>
          <w:numId w:val="17"/>
        </w:numPr>
        <w:spacing w:after="0"/>
      </w:pPr>
      <w:r w:rsidRPr="0035027D">
        <w:t>Efektívna verejná správa,</w:t>
      </w:r>
    </w:p>
    <w:p w:rsidR="00D44F76" w:rsidRPr="0035027D" w:rsidRDefault="00D44F76" w:rsidP="00D44F76">
      <w:pPr>
        <w:numPr>
          <w:ilvl w:val="0"/>
          <w:numId w:val="17"/>
        </w:numPr>
        <w:spacing w:after="0"/>
      </w:pPr>
      <w:r w:rsidRPr="0035027D">
        <w:t>Integrovaný regionálny opera</w:t>
      </w:r>
      <w:r w:rsidRPr="0035027D">
        <w:rPr>
          <w:rFonts w:cs="Times New Roman"/>
        </w:rPr>
        <w:t>č</w:t>
      </w:r>
      <w:r w:rsidRPr="0035027D">
        <w:t>ný program.</w:t>
      </w:r>
    </w:p>
    <w:p w:rsidR="00D44F76" w:rsidRPr="0035027D" w:rsidRDefault="00D44F76" w:rsidP="00D44F76">
      <w:pPr>
        <w:spacing w:after="0"/>
      </w:pPr>
    </w:p>
    <w:p w:rsidR="00EC7A8A" w:rsidRPr="00EC7A8A" w:rsidRDefault="00EC7A8A" w:rsidP="00EC7A8A">
      <w:pPr>
        <w:spacing w:after="0"/>
      </w:pPr>
      <w:r w:rsidRPr="00EC7A8A">
        <w:lastRenderedPageBreak/>
        <w:t>Navrhovaná štruktúra prenesene rešpektuje súlad s Pozičným dokumentom k vypracovaniu Partnerskej dohody a programov na  Slovensku na roky 2014-2020, v ktorom EK definuje priority pre financovanie nasledovne:</w:t>
      </w:r>
    </w:p>
    <w:p w:rsidR="00EC7A8A" w:rsidRPr="000E4BE4" w:rsidRDefault="00EC7A8A" w:rsidP="00EC7A8A">
      <w:pPr>
        <w:pStyle w:val="Odsekzoznamu3"/>
        <w:spacing w:line="240" w:lineRule="auto"/>
        <w:ind w:left="284"/>
        <w:rPr>
          <w:rFonts w:ascii="Arial Narrow" w:hAnsi="Arial Narrow"/>
        </w:rPr>
      </w:pPr>
    </w:p>
    <w:p w:rsidR="00EC7A8A" w:rsidRPr="00EC7A8A" w:rsidRDefault="00EC7A8A" w:rsidP="00EC7A8A">
      <w:pPr>
        <w:pStyle w:val="Odsekzoznamu3"/>
        <w:numPr>
          <w:ilvl w:val="0"/>
          <w:numId w:val="44"/>
        </w:numPr>
        <w:spacing w:line="240" w:lineRule="auto"/>
        <w:ind w:left="426" w:firstLine="0"/>
        <w:jc w:val="both"/>
        <w:rPr>
          <w:rFonts w:ascii="Arial Narrow" w:hAnsi="Arial Narrow"/>
        </w:rPr>
      </w:pPr>
      <w:r w:rsidRPr="00EC7A8A">
        <w:rPr>
          <w:rFonts w:ascii="Arial Narrow" w:hAnsi="Arial Narrow"/>
        </w:rPr>
        <w:t>Podnikateľské prostredie priaznivé pre inovácie</w:t>
      </w:r>
    </w:p>
    <w:p w:rsidR="00EC7A8A" w:rsidRPr="00EC7A8A" w:rsidRDefault="00EC7A8A" w:rsidP="00EC7A8A">
      <w:pPr>
        <w:pStyle w:val="Odsekzoznamu3"/>
        <w:numPr>
          <w:ilvl w:val="0"/>
          <w:numId w:val="44"/>
        </w:numPr>
        <w:spacing w:line="240" w:lineRule="auto"/>
        <w:ind w:left="426" w:firstLine="0"/>
        <w:jc w:val="both"/>
        <w:rPr>
          <w:rFonts w:ascii="Arial Narrow" w:hAnsi="Arial Narrow"/>
        </w:rPr>
      </w:pPr>
      <w:r w:rsidRPr="00EC7A8A">
        <w:rPr>
          <w:rFonts w:ascii="Arial Narrow" w:hAnsi="Arial Narrow"/>
        </w:rPr>
        <w:t>Infraštruktúra pre hospodársky rast a tvorbu pracovných miest</w:t>
      </w:r>
    </w:p>
    <w:p w:rsidR="00EC7A8A" w:rsidRPr="00EC7A8A" w:rsidRDefault="00EC7A8A" w:rsidP="00EC7A8A">
      <w:pPr>
        <w:pStyle w:val="Odsekzoznamu3"/>
        <w:numPr>
          <w:ilvl w:val="0"/>
          <w:numId w:val="44"/>
        </w:numPr>
        <w:spacing w:line="240" w:lineRule="auto"/>
        <w:ind w:left="426" w:firstLine="0"/>
        <w:jc w:val="both"/>
        <w:rPr>
          <w:rFonts w:ascii="Arial Narrow" w:hAnsi="Arial Narrow"/>
        </w:rPr>
      </w:pPr>
      <w:r w:rsidRPr="00EC7A8A">
        <w:rPr>
          <w:rFonts w:ascii="Arial Narrow" w:hAnsi="Arial Narrow"/>
        </w:rPr>
        <w:t>Rast ľudského kapitálu a zlepšenie účasti na pracovnom trhu</w:t>
      </w:r>
    </w:p>
    <w:p w:rsidR="00EC7A8A" w:rsidRPr="00EC7A8A" w:rsidRDefault="00EC7A8A" w:rsidP="00EC7A8A">
      <w:pPr>
        <w:pStyle w:val="Odsekzoznamu3"/>
        <w:numPr>
          <w:ilvl w:val="0"/>
          <w:numId w:val="44"/>
        </w:numPr>
        <w:spacing w:line="240" w:lineRule="auto"/>
        <w:ind w:left="426" w:firstLine="0"/>
        <w:jc w:val="both"/>
        <w:rPr>
          <w:rFonts w:ascii="Arial Narrow" w:hAnsi="Arial Narrow"/>
        </w:rPr>
      </w:pPr>
      <w:r w:rsidRPr="00EC7A8A">
        <w:rPr>
          <w:rFonts w:ascii="Arial Narrow" w:hAnsi="Arial Narrow"/>
        </w:rPr>
        <w:t>Udržateľné a efektívne využívanie prírodných zdrojov</w:t>
      </w:r>
    </w:p>
    <w:p w:rsidR="00EC7A8A" w:rsidRPr="00EC7A8A" w:rsidRDefault="00EC7A8A" w:rsidP="00EC7A8A">
      <w:pPr>
        <w:pStyle w:val="Odsekzoznamu3"/>
        <w:numPr>
          <w:ilvl w:val="0"/>
          <w:numId w:val="44"/>
        </w:numPr>
        <w:spacing w:line="240" w:lineRule="auto"/>
        <w:ind w:left="426" w:firstLine="0"/>
        <w:jc w:val="both"/>
        <w:rPr>
          <w:rFonts w:ascii="Arial Narrow" w:hAnsi="Arial Narrow"/>
        </w:rPr>
      </w:pPr>
      <w:r w:rsidRPr="00EC7A8A">
        <w:rPr>
          <w:rFonts w:ascii="Arial Narrow" w:hAnsi="Arial Narrow"/>
        </w:rPr>
        <w:t>Moderná a odborná verejná správa.</w:t>
      </w:r>
    </w:p>
    <w:p w:rsidR="00D44F76" w:rsidRPr="0035027D" w:rsidRDefault="00D44F76" w:rsidP="00D44F76">
      <w:pPr>
        <w:spacing w:after="0"/>
      </w:pPr>
      <w:r w:rsidRPr="0035027D">
        <w:t>Samostatné oblasti podpory sú vy</w:t>
      </w:r>
      <w:r w:rsidRPr="0035027D">
        <w:rPr>
          <w:rFonts w:cs="Times New Roman"/>
        </w:rPr>
        <w:t>ž</w:t>
      </w:r>
      <w:r w:rsidRPr="0035027D">
        <w:t xml:space="preserve">adované pre Technickú pomoc, Rozvoj vidieka, Rybné hospodárstvo a Európsku územnú spoluprácu, ktoré sú riadené na základe špecifických usmernení Európskej komisie. </w:t>
      </w:r>
    </w:p>
    <w:p w:rsidR="00D44F76" w:rsidRPr="0035027D" w:rsidRDefault="00D44F76" w:rsidP="00D44F76">
      <w:pPr>
        <w:spacing w:after="0"/>
        <w:rPr>
          <w:color w:val="000000"/>
          <w:lang w:eastAsia="cs-CZ"/>
        </w:rPr>
      </w:pPr>
      <w:r w:rsidRPr="0035027D">
        <w:t>Uvedené tematické indikatívne oblasti podpory z fondov EÚ, ktoré si Slovenská republika stanovila, sa z vä</w:t>
      </w:r>
      <w:r w:rsidRPr="0035027D">
        <w:rPr>
          <w:rFonts w:cs="Times New Roman"/>
        </w:rPr>
        <w:t>č</w:t>
      </w:r>
      <w:r w:rsidRPr="0035027D">
        <w:t xml:space="preserve">šej </w:t>
      </w:r>
      <w:r w:rsidRPr="0035027D">
        <w:rPr>
          <w:rFonts w:cs="Times New Roman"/>
        </w:rPr>
        <w:t>č</w:t>
      </w:r>
      <w:r w:rsidRPr="0035027D">
        <w:t>asti zhodujú s po</w:t>
      </w:r>
      <w:r w:rsidRPr="0035027D">
        <w:rPr>
          <w:rFonts w:cs="Times New Roman"/>
        </w:rPr>
        <w:t>ž</w:t>
      </w:r>
      <w:r w:rsidRPr="0035027D">
        <w:t>iadavkami Európskej komisie na prioritné oblasti financovania z fondov EÚ v rokoch 2014 – 2020. . Európska komisia zárove</w:t>
      </w:r>
      <w:r w:rsidRPr="0035027D">
        <w:rPr>
          <w:rFonts w:cs="Times New Roman"/>
        </w:rPr>
        <w:t>ň</w:t>
      </w:r>
      <w:r w:rsidRPr="0035027D">
        <w:t xml:space="preserve"> identifikovala oblasti podpory, ktoré u</w:t>
      </w:r>
      <w:r w:rsidRPr="0035027D">
        <w:rPr>
          <w:rFonts w:cs="Times New Roman"/>
        </w:rPr>
        <w:t>ž</w:t>
      </w:r>
      <w:r w:rsidRPr="0035027D">
        <w:t xml:space="preserve"> </w:t>
      </w:r>
      <w:r w:rsidRPr="0035027D">
        <w:rPr>
          <w:rFonts w:cs="Times New Roman"/>
        </w:rPr>
        <w:t>ď</w:t>
      </w:r>
      <w:r w:rsidRPr="0035027D">
        <w:t>alej neodporú</w:t>
      </w:r>
      <w:r w:rsidRPr="0035027D">
        <w:rPr>
          <w:rFonts w:cs="Times New Roman"/>
        </w:rPr>
        <w:t>č</w:t>
      </w:r>
      <w:r w:rsidRPr="0035027D">
        <w:t>a financova</w:t>
      </w:r>
      <w:r w:rsidRPr="0035027D">
        <w:rPr>
          <w:rFonts w:cs="Times New Roman"/>
        </w:rPr>
        <w:t>ť</w:t>
      </w:r>
      <w:r w:rsidRPr="0035027D">
        <w:t xml:space="preserve"> z prostriedkov EÚ: všeobecná školská infraštruktúra (okrem predškolského vzdelávania, </w:t>
      </w:r>
      <w:proofErr w:type="spellStart"/>
      <w:r w:rsidRPr="0035027D">
        <w:t>OVaP</w:t>
      </w:r>
      <w:proofErr w:type="spellEnd"/>
      <w:r w:rsidRPr="0035027D">
        <w:t xml:space="preserve"> a celo</w:t>
      </w:r>
      <w:r w:rsidRPr="0035027D">
        <w:rPr>
          <w:rFonts w:cs="Times New Roman"/>
        </w:rPr>
        <w:t>ž</w:t>
      </w:r>
      <w:r w:rsidRPr="0035027D">
        <w:t>ivotného vzdelávania), infraštruktúra v zdravotníctve, miestne komunikácie, údr</w:t>
      </w:r>
      <w:r w:rsidRPr="0035027D">
        <w:rPr>
          <w:rFonts w:cs="Times New Roman"/>
        </w:rPr>
        <w:t>ž</w:t>
      </w:r>
      <w:r w:rsidRPr="0035027D">
        <w:t>ba ciest, verejné osvetlenie, komer</w:t>
      </w:r>
      <w:r w:rsidRPr="0035027D">
        <w:rPr>
          <w:rFonts w:cs="Times New Roman"/>
        </w:rPr>
        <w:t>č</w:t>
      </w:r>
      <w:r w:rsidRPr="0035027D">
        <w:t>né zariadenia cestovného ruchu (hotely, penzióny, aquaparky at</w:t>
      </w:r>
      <w:r w:rsidRPr="0035027D">
        <w:rPr>
          <w:rFonts w:cs="Times New Roman"/>
        </w:rPr>
        <w:t>ď</w:t>
      </w:r>
      <w:r w:rsidRPr="0035027D">
        <w:t>.). Oprávnenos</w:t>
      </w:r>
      <w:r w:rsidRPr="0035027D">
        <w:rPr>
          <w:rFonts w:cs="Times New Roman"/>
        </w:rPr>
        <w:t>ť</w:t>
      </w:r>
      <w:r w:rsidRPr="0035027D">
        <w:t xml:space="preserve"> podpory pre niektoré z týchto oblastí bude preto predmetom </w:t>
      </w:r>
      <w:r w:rsidRPr="0035027D">
        <w:rPr>
          <w:rFonts w:cs="Times New Roman"/>
        </w:rPr>
        <w:t>ď</w:t>
      </w:r>
      <w:r w:rsidRPr="0035027D">
        <w:t>alších rokovaní medzi Európskou komisiou a Slovenskou republikou. V sú</w:t>
      </w:r>
      <w:r w:rsidRPr="0035027D">
        <w:rPr>
          <w:rFonts w:cs="Times New Roman"/>
        </w:rPr>
        <w:t>č</w:t>
      </w:r>
      <w:r w:rsidRPr="0035027D">
        <w:t>asnosti u</w:t>
      </w:r>
      <w:r w:rsidRPr="0035027D">
        <w:rPr>
          <w:rFonts w:cs="Times New Roman"/>
        </w:rPr>
        <w:t>ž</w:t>
      </w:r>
      <w:r w:rsidRPr="0035027D">
        <w:t xml:space="preserve"> prebiehajú neformálne vyjednávania s Európskou komisiou k jednotlivým prioritám financovania.</w:t>
      </w:r>
      <w:r w:rsidRPr="0035027D">
        <w:rPr>
          <w:color w:val="000000"/>
          <w:lang w:eastAsia="cs-CZ"/>
        </w:rPr>
        <w:t>.</w:t>
      </w:r>
    </w:p>
    <w:p w:rsidR="00D44F76" w:rsidRPr="0035027D" w:rsidRDefault="00D44F76" w:rsidP="00D44F76">
      <w:pPr>
        <w:spacing w:after="0"/>
        <w:rPr>
          <w:color w:val="000000"/>
          <w:lang w:eastAsia="cs-CZ"/>
        </w:rPr>
      </w:pPr>
    </w:p>
    <w:p w:rsidR="00D44F76" w:rsidRPr="0035027D" w:rsidRDefault="00D44F76" w:rsidP="00D44F76">
      <w:pPr>
        <w:spacing w:after="0"/>
        <w:rPr>
          <w:color w:val="000000"/>
          <w:lang w:eastAsia="cs-CZ"/>
        </w:rPr>
      </w:pPr>
      <w:r w:rsidRPr="0035027D">
        <w:rPr>
          <w:color w:val="000000"/>
          <w:lang w:eastAsia="cs-CZ"/>
        </w:rPr>
        <w:t>Aktivity v oblasti politiky súdr</w:t>
      </w:r>
      <w:r w:rsidRPr="0035027D">
        <w:rPr>
          <w:rFonts w:cs="Times New Roman"/>
          <w:color w:val="000000"/>
          <w:lang w:eastAsia="cs-CZ"/>
        </w:rPr>
        <w:t>ž</w:t>
      </w:r>
      <w:r w:rsidRPr="0035027D">
        <w:rPr>
          <w:color w:val="000000"/>
          <w:lang w:eastAsia="cs-CZ"/>
        </w:rPr>
        <w:t xml:space="preserve">nosti v SR boli </w:t>
      </w:r>
      <w:r w:rsidRPr="0035027D">
        <w:t>v uplynulom období zamerané na vytváranie predpokladov pre úspešné vyu</w:t>
      </w:r>
      <w:r w:rsidRPr="0035027D">
        <w:rPr>
          <w:rFonts w:cs="Times New Roman"/>
        </w:rPr>
        <w:t>ž</w:t>
      </w:r>
      <w:r w:rsidRPr="0035027D">
        <w:t>itie ŠF a KF obdobia 2007 – 2013 a na</w:t>
      </w:r>
      <w:r w:rsidRPr="0035027D">
        <w:rPr>
          <w:color w:val="000000"/>
          <w:lang w:eastAsia="cs-CZ"/>
        </w:rPr>
        <w:t xml:space="preserve"> prípravu Partnerskej dohody SR na roky 2014 - 2020, ktorá predstavuje základný strategický dokument na národnej úrovni pre integrované vyu</w:t>
      </w:r>
      <w:r w:rsidRPr="0035027D">
        <w:rPr>
          <w:rFonts w:cs="Times New Roman"/>
          <w:color w:val="000000"/>
          <w:lang w:eastAsia="cs-CZ"/>
        </w:rPr>
        <w:t>ž</w:t>
      </w:r>
      <w:r w:rsidRPr="0035027D">
        <w:rPr>
          <w:color w:val="000000"/>
          <w:lang w:eastAsia="cs-CZ"/>
        </w:rPr>
        <w:t>itie Európskych štrukturálnych a investi</w:t>
      </w:r>
      <w:r w:rsidRPr="0035027D">
        <w:rPr>
          <w:rFonts w:cs="Times New Roman"/>
          <w:color w:val="000000"/>
          <w:lang w:eastAsia="cs-CZ"/>
        </w:rPr>
        <w:t>č</w:t>
      </w:r>
      <w:r w:rsidRPr="0035027D">
        <w:rPr>
          <w:color w:val="000000"/>
          <w:lang w:eastAsia="cs-CZ"/>
        </w:rPr>
        <w:t>ných fondov.</w:t>
      </w:r>
    </w:p>
    <w:p w:rsidR="00D44F76" w:rsidRPr="0035027D" w:rsidRDefault="00D44F76" w:rsidP="00D44F76">
      <w:pPr>
        <w:spacing w:after="0"/>
      </w:pPr>
    </w:p>
    <w:p w:rsidR="00D44F76" w:rsidRDefault="00D44F76" w:rsidP="00D44F76">
      <w:pPr>
        <w:spacing w:after="0"/>
      </w:pPr>
      <w:r w:rsidRPr="0035027D">
        <w:t>Dôle</w:t>
      </w:r>
      <w:r w:rsidRPr="0035027D">
        <w:rPr>
          <w:rFonts w:cs="Times New Roman"/>
        </w:rPr>
        <w:t>ž</w:t>
      </w:r>
      <w:r w:rsidRPr="0035027D">
        <w:t>itým východiskom pre proces prípravy Partnerskej dohody SR je materiál „Spôsob uplatnenia ex ante kondicionalít pri príprave implementa</w:t>
      </w:r>
      <w:r w:rsidRPr="0035027D">
        <w:rPr>
          <w:rFonts w:cs="Times New Roman"/>
        </w:rPr>
        <w:t>č</w:t>
      </w:r>
      <w:r w:rsidRPr="0035027D">
        <w:t>ného mechanizmu politiky súdr</w:t>
      </w:r>
      <w:r w:rsidRPr="0035027D">
        <w:rPr>
          <w:rFonts w:cs="Times New Roman"/>
        </w:rPr>
        <w:t>ž</w:t>
      </w:r>
      <w:r w:rsidRPr="0035027D">
        <w:t xml:space="preserve">nosti EÚ po roku 2013 v podmienkach Slovenskej republiky“, ktorý bol schválený uznesením vlády SR </w:t>
      </w:r>
      <w:r w:rsidRPr="0035027D">
        <w:rPr>
          <w:rFonts w:cs="Times New Roman"/>
        </w:rPr>
        <w:t>č</w:t>
      </w:r>
      <w:r w:rsidRPr="0035027D">
        <w:t>. 305 z 27. júna 2012. Predmetný materiál informuje o spôsobe uplatnenia ex ante kondicionalít ako podmienok na úspešné a ú</w:t>
      </w:r>
      <w:r w:rsidRPr="0035027D">
        <w:rPr>
          <w:rFonts w:cs="Times New Roman"/>
        </w:rPr>
        <w:t>č</w:t>
      </w:r>
      <w:r w:rsidRPr="0035027D">
        <w:t>inné vyu</w:t>
      </w:r>
      <w:r w:rsidRPr="0035027D">
        <w:rPr>
          <w:rFonts w:cs="Times New Roman"/>
        </w:rPr>
        <w:t>ž</w:t>
      </w:r>
      <w:r w:rsidRPr="0035027D">
        <w:t xml:space="preserve">ívanie fondov EÚ v programovom období 2014 - 2020. Podkladom na vypracovanie Partnerskej dohody SR je aj materiál „Návrh základných princípov na prípravu Partnerskej dohody SR na programové obdobie 2014 – 2020“ schválený uznesením vlády SR </w:t>
      </w:r>
      <w:r w:rsidRPr="0035027D">
        <w:rPr>
          <w:rFonts w:cs="Times New Roman"/>
        </w:rPr>
        <w:t>č</w:t>
      </w:r>
      <w:r w:rsidRPr="0035027D">
        <w:t>. 657 z 28. novembri 2012. Materiál hodnotí doterajšie skúseností z procesu implementácie politiky súdr</w:t>
      </w:r>
      <w:r w:rsidRPr="0035027D">
        <w:rPr>
          <w:rFonts w:cs="Times New Roman"/>
        </w:rPr>
        <w:t>ž</w:t>
      </w:r>
      <w:r w:rsidRPr="0035027D">
        <w:t>nosti EÚ, politiky rozvoja vidieka a politiky rybného hospodárstva v sú</w:t>
      </w:r>
      <w:r w:rsidRPr="0035027D">
        <w:rPr>
          <w:rFonts w:cs="Times New Roman"/>
        </w:rPr>
        <w:t>č</w:t>
      </w:r>
      <w:r w:rsidRPr="0035027D">
        <w:t>asnom programovom období a definuje strategický prístup v návrhoch právnych predpisov EÚ pre politiku súdr</w:t>
      </w:r>
      <w:r w:rsidRPr="0035027D">
        <w:rPr>
          <w:rFonts w:cs="Times New Roman"/>
        </w:rPr>
        <w:t>ž</w:t>
      </w:r>
      <w:r w:rsidRPr="0035027D">
        <w:t>nosti. Obsahom materiálu je aj informácia o príprave Partnerskej dohody SR na programové obdobie 2014 – 2020, opis základných princípov programovania, ako aj preh</w:t>
      </w:r>
      <w:r w:rsidRPr="0035027D">
        <w:rPr>
          <w:rFonts w:cs="Times New Roman"/>
        </w:rPr>
        <w:t>ľ</w:t>
      </w:r>
      <w:r w:rsidRPr="0035027D">
        <w:t>ad a výber tematických cie</w:t>
      </w:r>
      <w:r w:rsidRPr="0035027D">
        <w:rPr>
          <w:rFonts w:cs="Times New Roman"/>
        </w:rPr>
        <w:t>ľ</w:t>
      </w:r>
      <w:r w:rsidRPr="0035027D">
        <w:t>ov a investi</w:t>
      </w:r>
      <w:r w:rsidRPr="0035027D">
        <w:rPr>
          <w:rFonts w:cs="Times New Roman"/>
        </w:rPr>
        <w:t>č</w:t>
      </w:r>
      <w:r w:rsidRPr="0035027D">
        <w:t>ných priorít pre Partnerskú dohodu SR na roky 2014 – 2020. Jeho sú</w:t>
      </w:r>
      <w:r w:rsidRPr="0035027D">
        <w:rPr>
          <w:rFonts w:cs="Times New Roman"/>
        </w:rPr>
        <w:t>č</w:t>
      </w:r>
      <w:r w:rsidRPr="0035027D">
        <w:t>as</w:t>
      </w:r>
      <w:r w:rsidRPr="0035027D">
        <w:rPr>
          <w:rFonts w:cs="Times New Roman"/>
        </w:rPr>
        <w:t>ť</w:t>
      </w:r>
      <w:r w:rsidRPr="0035027D">
        <w:t>ou je aj priemet základných princípov vo vz</w:t>
      </w:r>
      <w:r w:rsidRPr="0035027D">
        <w:rPr>
          <w:rFonts w:cs="Times New Roman"/>
        </w:rPr>
        <w:t>ť</w:t>
      </w:r>
      <w:r w:rsidRPr="0035027D">
        <w:t>ahu k cie</w:t>
      </w:r>
      <w:r w:rsidRPr="0035027D">
        <w:rPr>
          <w:rFonts w:cs="Times New Roman"/>
        </w:rPr>
        <w:t>ľ</w:t>
      </w:r>
      <w:r w:rsidRPr="0035027D">
        <w:t>u „Európska územná spolupráca“ a k horizontálnym princípom.</w:t>
      </w:r>
    </w:p>
    <w:p w:rsidR="00EC7A8A" w:rsidRDefault="00EC7A8A" w:rsidP="00D44F76">
      <w:pPr>
        <w:spacing w:after="0"/>
      </w:pPr>
    </w:p>
    <w:p w:rsidR="00EC7A8A" w:rsidRPr="0035027D" w:rsidRDefault="00EC7A8A" w:rsidP="00D44F76">
      <w:pPr>
        <w:spacing w:after="0"/>
      </w:pPr>
      <w:r w:rsidRPr="00EC7A8A">
        <w:t>V vzhľadom na skúsenosti z rozpočtového obdobia 2007 – 2013 je v budúcom období nevyhnutné zlepšenie kvality procesov verejného obstarávania zo strany prijímateľov pomoci a podpory z fondov EÚ, ako aj procesov predbežnej kontroly verejného obstarávania na strane riadiacich orgánov s cieľom zníženia percenta chýb z tohto titulu s následkom korekcií.</w:t>
      </w:r>
    </w:p>
    <w:p w:rsidR="00D44F76" w:rsidRPr="0035027D" w:rsidRDefault="00D44F76">
      <w:pPr>
        <w:spacing w:after="0"/>
        <w:jc w:val="left"/>
        <w:rPr>
          <w:b/>
          <w:bCs/>
          <w:sz w:val="32"/>
          <w:szCs w:val="32"/>
        </w:rPr>
      </w:pPr>
      <w:r w:rsidRPr="0035027D">
        <w:rPr>
          <w:sz w:val="32"/>
          <w:szCs w:val="32"/>
        </w:rPr>
        <w:br w:type="page"/>
      </w:r>
    </w:p>
    <w:p w:rsidR="00FE292C" w:rsidRPr="0035027D" w:rsidRDefault="00FE292C" w:rsidP="00FE292C">
      <w:pPr>
        <w:pStyle w:val="Nadpis1"/>
        <w:numPr>
          <w:ilvl w:val="0"/>
          <w:numId w:val="1"/>
        </w:numPr>
        <w:spacing w:before="0" w:after="0"/>
        <w:ind w:left="284" w:hanging="284"/>
        <w:rPr>
          <w:bCs w:val="0"/>
          <w:sz w:val="32"/>
          <w:szCs w:val="32"/>
        </w:rPr>
      </w:pPr>
      <w:bookmarkStart w:id="68" w:name="_Toc353563392"/>
      <w:r w:rsidRPr="0035027D">
        <w:rPr>
          <w:sz w:val="32"/>
          <w:szCs w:val="32"/>
        </w:rPr>
        <w:lastRenderedPageBreak/>
        <w:t xml:space="preserve">Inštitucionálne zabezpečenie </w:t>
      </w:r>
      <w:r w:rsidR="00182D7F" w:rsidRPr="0035027D">
        <w:rPr>
          <w:sz w:val="32"/>
          <w:szCs w:val="32"/>
        </w:rPr>
        <w:t>S</w:t>
      </w:r>
      <w:r w:rsidRPr="0035027D">
        <w:rPr>
          <w:sz w:val="32"/>
          <w:szCs w:val="32"/>
        </w:rPr>
        <w:t>tratégie Európa 2020 v SR</w:t>
      </w:r>
      <w:bookmarkEnd w:id="68"/>
    </w:p>
    <w:p w:rsidR="00FE292C" w:rsidRPr="0035027D" w:rsidRDefault="00FE292C" w:rsidP="00FE292C">
      <w:pPr>
        <w:pStyle w:val="Nadpis1"/>
        <w:tabs>
          <w:tab w:val="clear" w:pos="432"/>
        </w:tabs>
        <w:spacing w:before="0" w:after="0"/>
        <w:rPr>
          <w:sz w:val="32"/>
          <w:szCs w:val="32"/>
        </w:rPr>
      </w:pPr>
    </w:p>
    <w:p w:rsidR="00FE292C" w:rsidRPr="0035027D" w:rsidRDefault="00FE292C" w:rsidP="00FE292C">
      <w:pPr>
        <w:spacing w:after="0"/>
      </w:pPr>
      <w:r w:rsidRPr="0035027D">
        <w:t xml:space="preserve">Vláda SR reflektovala vývoj v koordinácii hospodárskych politík </w:t>
      </w:r>
      <w:r w:rsidRPr="0035027D">
        <w:rPr>
          <w:rFonts w:cs="Times New Roman"/>
        </w:rPr>
        <w:t>č</w:t>
      </w:r>
      <w:r w:rsidRPr="0035027D">
        <w:t>lenských štátov na úrovni EÚ posilnením agendy štruktur</w:t>
      </w:r>
      <w:r w:rsidR="00182D7F" w:rsidRPr="0035027D">
        <w:t>álnych reforiem. Koordinátormi S</w:t>
      </w:r>
      <w:r w:rsidRPr="0035027D">
        <w:t xml:space="preserve">tratégie Európa 2020 v podmienkach Slovenskej republiky </w:t>
      </w:r>
      <w:r w:rsidR="007716A7" w:rsidRPr="0035027D">
        <w:t>sú</w:t>
      </w:r>
      <w:r w:rsidRPr="0035027D">
        <w:t xml:space="preserve"> predseda vlády SR a podpredseda vlády a minister financií. </w:t>
      </w:r>
    </w:p>
    <w:p w:rsidR="00FE292C" w:rsidRPr="0035027D" w:rsidRDefault="00FE292C" w:rsidP="00FE292C">
      <w:pPr>
        <w:spacing w:after="0"/>
      </w:pPr>
    </w:p>
    <w:p w:rsidR="00FE292C" w:rsidRPr="0035027D" w:rsidRDefault="00FE292C" w:rsidP="00FE292C">
      <w:pPr>
        <w:spacing w:after="0"/>
      </w:pPr>
      <w:r w:rsidRPr="0035027D">
        <w:t>Do prípravy a realizácie Národného programu reforiem SR sú primárne zapojení ministri zodpovední za ekonomickú a sociálnu agendu ako trh práce, sociálna inklúzia, vzdelávanie, podnikate</w:t>
      </w:r>
      <w:r w:rsidRPr="0035027D">
        <w:rPr>
          <w:rFonts w:cs="Times New Roman"/>
        </w:rPr>
        <w:t>ľ</w:t>
      </w:r>
      <w:r w:rsidRPr="0035027D">
        <w:t xml:space="preserve">ské prostredie, energetika, </w:t>
      </w:r>
      <w:r w:rsidRPr="0035027D">
        <w:rPr>
          <w:rFonts w:cs="Times New Roman"/>
        </w:rPr>
        <w:t>ž</w:t>
      </w:r>
      <w:r w:rsidRPr="0035027D">
        <w:t>ivotné prostredie, zdravotníctvo, doprava, regionálny rozvoj, verejná správa, at</w:t>
      </w:r>
      <w:r w:rsidRPr="0035027D">
        <w:rPr>
          <w:rFonts w:cs="Times New Roman"/>
        </w:rPr>
        <w:t>ď</w:t>
      </w:r>
      <w:r w:rsidRPr="0035027D">
        <w:t>. Ostatní ministri, spln</w:t>
      </w:r>
      <w:r w:rsidR="00155DC9" w:rsidRPr="0035027D">
        <w:t>omocnenci vlády,</w:t>
      </w:r>
      <w:r w:rsidRPr="0035027D">
        <w:t xml:space="preserve"> zástupcovia ostatných orgánov štátnej správy</w:t>
      </w:r>
      <w:r w:rsidR="00E67DA1" w:rsidRPr="0035027D">
        <w:t xml:space="preserve">, </w:t>
      </w:r>
      <w:r w:rsidR="00155DC9" w:rsidRPr="0035027D">
        <w:t>samospráv</w:t>
      </w:r>
      <w:r w:rsidR="00E67DA1" w:rsidRPr="0035027D">
        <w:t>, akademickej obce, podnikate</w:t>
      </w:r>
      <w:r w:rsidR="00E67DA1" w:rsidRPr="0035027D">
        <w:rPr>
          <w:rFonts w:cs="Times New Roman"/>
        </w:rPr>
        <w:t>ľ</w:t>
      </w:r>
      <w:r w:rsidR="00E67DA1" w:rsidRPr="0035027D">
        <w:t>ského sektoru a tretieho sektoru</w:t>
      </w:r>
      <w:r w:rsidRPr="0035027D">
        <w:t xml:space="preserve"> sa podie</w:t>
      </w:r>
      <w:r w:rsidRPr="0035027D">
        <w:rPr>
          <w:rFonts w:cs="Times New Roman"/>
        </w:rPr>
        <w:t>ľ</w:t>
      </w:r>
      <w:r w:rsidRPr="0035027D">
        <w:t>ajú na plnení stratégie v rámci spolupráce vo vybraných oblastiach.</w:t>
      </w:r>
    </w:p>
    <w:p w:rsidR="00FE292C" w:rsidRPr="0035027D" w:rsidRDefault="00FE292C" w:rsidP="00FE292C">
      <w:pPr>
        <w:spacing w:after="0"/>
      </w:pPr>
    </w:p>
    <w:p w:rsidR="00FE292C" w:rsidRPr="0035027D" w:rsidRDefault="00867E3B" w:rsidP="00FE292C">
      <w:pPr>
        <w:spacing w:after="0"/>
      </w:pPr>
      <w:r w:rsidRPr="0035027D">
        <w:t>Pre niektoré k</w:t>
      </w:r>
      <w:r w:rsidRPr="0035027D">
        <w:rPr>
          <w:rFonts w:cs="Times New Roman"/>
        </w:rPr>
        <w:t>ľ</w:t>
      </w:r>
      <w:r w:rsidRPr="0035027D">
        <w:t>ú</w:t>
      </w:r>
      <w:r w:rsidRPr="0035027D">
        <w:rPr>
          <w:rFonts w:cs="Times New Roman"/>
        </w:rPr>
        <w:t>č</w:t>
      </w:r>
      <w:r w:rsidRPr="0035027D">
        <w:t xml:space="preserve">ové agendy týkajúce sa viacerých ústredných orgánov štátnej správy bol zriadený post splnomocnenca vlády. Splnomocnenec vlády pre vedomostnú ekonomiku koordinuje tvorbu a realizáciu politík orgánov verejnej správy, ktoré vplývajú na celkový rozvoj vedomostnej ekonomiky. Splnomocnenec vlády pre rómske komunity navrhuje, koordinuje a kontroluje </w:t>
      </w:r>
      <w:r w:rsidRPr="0035027D">
        <w:rPr>
          <w:rFonts w:cs="Times New Roman"/>
        </w:rPr>
        <w:t>č</w:t>
      </w:r>
      <w:r w:rsidRPr="0035027D">
        <w:t>innosti smerujúce k riešeniu problémov rómskej menšiny a po odsúhlasení vládou SR realizuje systémové riešenia na dosiahnutie rovnoprávneho postavenia ob</w:t>
      </w:r>
      <w:r w:rsidRPr="0035027D">
        <w:rPr>
          <w:rFonts w:cs="Times New Roman"/>
        </w:rPr>
        <w:t>č</w:t>
      </w:r>
      <w:r w:rsidRPr="0035027D">
        <w:t>anov patriacich k rómskej menšine v spolo</w:t>
      </w:r>
      <w:r w:rsidRPr="0035027D">
        <w:rPr>
          <w:rFonts w:cs="Times New Roman"/>
        </w:rPr>
        <w:t>č</w:t>
      </w:r>
      <w:r w:rsidRPr="0035027D">
        <w:t>nosti. Splnomocnenec vlády pre ob</w:t>
      </w:r>
      <w:r w:rsidRPr="0035027D">
        <w:rPr>
          <w:rFonts w:cs="Times New Roman"/>
        </w:rPr>
        <w:t>č</w:t>
      </w:r>
      <w:r w:rsidRPr="0035027D">
        <w:t>iansku spolo</w:t>
      </w:r>
      <w:r w:rsidRPr="0035027D">
        <w:rPr>
          <w:rFonts w:cs="Times New Roman"/>
        </w:rPr>
        <w:t>č</w:t>
      </w:r>
      <w:r w:rsidRPr="0035027D">
        <w:t>nos</w:t>
      </w:r>
      <w:r w:rsidRPr="0035027D">
        <w:rPr>
          <w:rFonts w:cs="Times New Roman"/>
        </w:rPr>
        <w:t>ť</w:t>
      </w:r>
      <w:r w:rsidRPr="0035027D">
        <w:t xml:space="preserve"> napomáha rozvoj efektívnej komunikácie medzi verejným sektorom a mimovládnym neziskovým sektorom a </w:t>
      </w:r>
      <w:r w:rsidRPr="0035027D">
        <w:rPr>
          <w:rFonts w:cs="Times New Roman"/>
        </w:rPr>
        <w:t>ď</w:t>
      </w:r>
      <w:r w:rsidRPr="0035027D">
        <w:t>alšími segmentmi ob</w:t>
      </w:r>
      <w:r w:rsidRPr="0035027D">
        <w:rPr>
          <w:rFonts w:cs="Times New Roman"/>
        </w:rPr>
        <w:t>č</w:t>
      </w:r>
      <w:r w:rsidRPr="0035027D">
        <w:t>ianskej spolo</w:t>
      </w:r>
      <w:r w:rsidRPr="0035027D">
        <w:rPr>
          <w:rFonts w:cs="Times New Roman"/>
        </w:rPr>
        <w:t>č</w:t>
      </w:r>
      <w:r w:rsidRPr="0035027D">
        <w:t xml:space="preserve">nosti. </w:t>
      </w:r>
      <w:r w:rsidR="00FE292C" w:rsidRPr="0035027D">
        <w:t xml:space="preserve"> </w:t>
      </w:r>
    </w:p>
    <w:p w:rsidR="00FE292C" w:rsidRPr="0035027D" w:rsidRDefault="00FE292C" w:rsidP="00FE292C">
      <w:pPr>
        <w:spacing w:after="0"/>
      </w:pPr>
    </w:p>
    <w:p w:rsidR="00FE292C" w:rsidRPr="0035027D" w:rsidRDefault="00FE292C" w:rsidP="00FE292C">
      <w:pPr>
        <w:spacing w:after="0"/>
      </w:pPr>
      <w:r w:rsidRPr="0035027D">
        <w:t>Na pracovnej úrovni koordinuje prípravu a realizáciu opatrení NPR pracovná skupina štátnych tajomníkov zainteresovaných ministerstiev. V rámci verejného medzirezortného pripomienkové</w:t>
      </w:r>
      <w:r w:rsidR="00322078" w:rsidRPr="0035027D">
        <w:t>ho</w:t>
      </w:r>
      <w:r w:rsidRPr="0035027D">
        <w:t xml:space="preserve"> konania, ktorý je v SR štandardným krokom pri prijímaní vládnych materiálov, sa k NPR majú mo</w:t>
      </w:r>
      <w:r w:rsidRPr="0035027D">
        <w:rPr>
          <w:rFonts w:cs="Times New Roman"/>
        </w:rPr>
        <w:t>ž</w:t>
      </w:r>
      <w:r w:rsidRPr="0035027D">
        <w:t>nos</w:t>
      </w:r>
      <w:r w:rsidRPr="0035027D">
        <w:rPr>
          <w:rFonts w:cs="Times New Roman"/>
        </w:rPr>
        <w:t>ť</w:t>
      </w:r>
      <w:r w:rsidRPr="0035027D">
        <w:t xml:space="preserve"> vyjadri</w:t>
      </w:r>
      <w:r w:rsidRPr="0035027D">
        <w:rPr>
          <w:rFonts w:cs="Times New Roman"/>
        </w:rPr>
        <w:t>ť</w:t>
      </w:r>
      <w:r w:rsidRPr="0035027D">
        <w:t xml:space="preserve"> všetky zainteresované subjekty vrátane verejnosti.</w:t>
      </w:r>
    </w:p>
    <w:p w:rsidR="00FE292C" w:rsidRPr="0035027D" w:rsidRDefault="00FE292C" w:rsidP="00FE292C">
      <w:pPr>
        <w:spacing w:after="0"/>
      </w:pPr>
    </w:p>
    <w:p w:rsidR="00FE292C" w:rsidRPr="0035027D" w:rsidRDefault="00FE292C" w:rsidP="00FE292C">
      <w:pPr>
        <w:spacing w:after="0"/>
      </w:pPr>
      <w:r w:rsidRPr="0035027D">
        <w:rPr>
          <w:color w:val="000000"/>
        </w:rPr>
        <w:t>Na najvyššej politickej úrovni prebieha diskusia o najdôle</w:t>
      </w:r>
      <w:r w:rsidRPr="0035027D">
        <w:rPr>
          <w:rFonts w:cs="Times New Roman"/>
          <w:color w:val="000000"/>
        </w:rPr>
        <w:t>ž</w:t>
      </w:r>
      <w:r w:rsidRPr="0035027D">
        <w:rPr>
          <w:color w:val="000000"/>
        </w:rPr>
        <w:t xml:space="preserve">itejších opatreniach vlády s partnermi prostredníctvom </w:t>
      </w:r>
      <w:r w:rsidRPr="0035027D">
        <w:t>Rady solidarity a rozvoja, ktorá je platformou pre diskusiu, h</w:t>
      </w:r>
      <w:r w:rsidRPr="0035027D">
        <w:rPr>
          <w:rFonts w:cs="Times New Roman"/>
        </w:rPr>
        <w:t>ľ</w:t>
      </w:r>
      <w:r w:rsidRPr="0035027D">
        <w:t>adanie riešení a dohody medzi zástupcami vlády SR a predstavite</w:t>
      </w:r>
      <w:r w:rsidRPr="0035027D">
        <w:rPr>
          <w:rFonts w:cs="Times New Roman"/>
        </w:rPr>
        <w:t>ľ</w:t>
      </w:r>
      <w:r w:rsidRPr="0035027D">
        <w:t>mi sociálnych partnerov, cirkví a odborných inštitúcií pri príprave dôle</w:t>
      </w:r>
      <w:r w:rsidRPr="0035027D">
        <w:rPr>
          <w:rFonts w:cs="Times New Roman"/>
        </w:rPr>
        <w:t>ž</w:t>
      </w:r>
      <w:r w:rsidRPr="0035027D">
        <w:t>itých rozhodnutí, ktoré sa týkajú rozvoja celej spolo</w:t>
      </w:r>
      <w:r w:rsidRPr="0035027D">
        <w:rPr>
          <w:rFonts w:cs="Times New Roman"/>
        </w:rPr>
        <w:t>č</w:t>
      </w:r>
      <w:r w:rsidRPr="0035027D">
        <w:t xml:space="preserve">nosti. </w:t>
      </w:r>
    </w:p>
    <w:p w:rsidR="00FE292C" w:rsidRPr="0035027D" w:rsidRDefault="00FE292C" w:rsidP="00FE292C">
      <w:pPr>
        <w:spacing w:after="0"/>
      </w:pPr>
    </w:p>
    <w:p w:rsidR="00FE292C" w:rsidRPr="0035027D" w:rsidRDefault="00FE292C" w:rsidP="00FE292C">
      <w:pPr>
        <w:spacing w:after="0"/>
      </w:pPr>
      <w:r w:rsidRPr="0035027D">
        <w:t xml:space="preserve">Rada zasadá pod vedením predsedu vlády SR, jej </w:t>
      </w:r>
      <w:r w:rsidRPr="0035027D">
        <w:rPr>
          <w:rFonts w:cs="Times New Roman"/>
        </w:rPr>
        <w:t>ď</w:t>
      </w:r>
      <w:r w:rsidRPr="0035027D">
        <w:t xml:space="preserve">alšími stálymi </w:t>
      </w:r>
      <w:r w:rsidRPr="0035027D">
        <w:rPr>
          <w:rFonts w:cs="Times New Roman"/>
        </w:rPr>
        <w:t>č</w:t>
      </w:r>
      <w:r w:rsidRPr="0035027D">
        <w:t>lenmi za vládu sú minister financií a minister práce, sociálnych vecí a rodiny. Na rokovania sú prizývaní pod</w:t>
      </w:r>
      <w:r w:rsidRPr="0035027D">
        <w:rPr>
          <w:rFonts w:cs="Times New Roman"/>
        </w:rPr>
        <w:t>ľ</w:t>
      </w:r>
      <w:r w:rsidRPr="0035027D">
        <w:t xml:space="preserve">a potreby a zamerania prerokovávanej problematiky aj </w:t>
      </w:r>
      <w:r w:rsidRPr="0035027D">
        <w:rPr>
          <w:rFonts w:cs="Times New Roman"/>
        </w:rPr>
        <w:t>ď</w:t>
      </w:r>
      <w:r w:rsidRPr="0035027D">
        <w:t xml:space="preserve">alší </w:t>
      </w:r>
      <w:r w:rsidRPr="0035027D">
        <w:rPr>
          <w:rFonts w:cs="Times New Roman"/>
        </w:rPr>
        <w:t>č</w:t>
      </w:r>
      <w:r w:rsidRPr="0035027D">
        <w:t>lenovia vlády. Partneri sú zapojení do procesu aj prostredn</w:t>
      </w:r>
      <w:r w:rsidR="007716A7" w:rsidRPr="0035027D">
        <w:t>íctvom rôznych neformálnych fór,</w:t>
      </w:r>
      <w:r w:rsidRPr="0035027D">
        <w:t xml:space="preserve"> ako sú konferencie a odborné tematické semináre. Vláda pova</w:t>
      </w:r>
      <w:r w:rsidRPr="0035027D">
        <w:rPr>
          <w:rFonts w:cs="Times New Roman"/>
        </w:rPr>
        <w:t>ž</w:t>
      </w:r>
      <w:r w:rsidRPr="0035027D">
        <w:t>uje za dôle</w:t>
      </w:r>
      <w:r w:rsidRPr="0035027D">
        <w:rPr>
          <w:rFonts w:cs="Times New Roman"/>
        </w:rPr>
        <w:t>ž</w:t>
      </w:r>
      <w:r w:rsidRPr="0035027D">
        <w:t>ité, aby dialóg pokra</w:t>
      </w:r>
      <w:r w:rsidRPr="0035027D">
        <w:rPr>
          <w:rFonts w:cs="Times New Roman"/>
        </w:rPr>
        <w:t>č</w:t>
      </w:r>
      <w:r w:rsidRPr="0035027D">
        <w:t>oval nepretr</w:t>
      </w:r>
      <w:r w:rsidRPr="0035027D">
        <w:rPr>
          <w:rFonts w:cs="Times New Roman"/>
        </w:rPr>
        <w:t>ž</w:t>
      </w:r>
      <w:r w:rsidRPr="0035027D">
        <w:t>ite ako predpoklad kvalitnej implementácie navrhovaných zmien.</w:t>
      </w:r>
    </w:p>
    <w:p w:rsidR="00FE292C" w:rsidRPr="0035027D" w:rsidRDefault="00FE292C" w:rsidP="00FE292C">
      <w:pPr>
        <w:spacing w:after="0"/>
      </w:pPr>
    </w:p>
    <w:p w:rsidR="00FE292C" w:rsidRPr="0035027D" w:rsidRDefault="00FE292C" w:rsidP="00FE292C">
      <w:r w:rsidRPr="0035027D">
        <w:t>NPR bude prerokovaný aj</w:t>
      </w:r>
      <w:r w:rsidR="00365531" w:rsidRPr="0035027D">
        <w:t xml:space="preserve"> na Hospodárskej a sociálnej rade a</w:t>
      </w:r>
      <w:r w:rsidRPr="0035027D">
        <w:t xml:space="preserve"> vo výboroch Národnej rady SR pre európske zále</w:t>
      </w:r>
      <w:r w:rsidRPr="0035027D">
        <w:rPr>
          <w:rFonts w:cs="Times New Roman"/>
        </w:rPr>
        <w:t>ž</w:t>
      </w:r>
      <w:r w:rsidRPr="0035027D">
        <w:t>itosti a rozpo</w:t>
      </w:r>
      <w:r w:rsidRPr="0035027D">
        <w:rPr>
          <w:rFonts w:cs="Times New Roman"/>
        </w:rPr>
        <w:t>č</w:t>
      </w:r>
      <w:r w:rsidRPr="0035027D">
        <w:t xml:space="preserve">et, financie a menu. </w:t>
      </w:r>
    </w:p>
    <w:p w:rsidR="00FE292C" w:rsidRPr="0035027D" w:rsidRDefault="00FE292C" w:rsidP="00FE292C">
      <w:pPr>
        <w:pStyle w:val="Nadpis1"/>
        <w:tabs>
          <w:tab w:val="clear" w:pos="432"/>
        </w:tabs>
        <w:spacing w:before="0" w:after="0"/>
        <w:rPr>
          <w:bCs w:val="0"/>
          <w:sz w:val="32"/>
          <w:szCs w:val="32"/>
        </w:rPr>
      </w:pPr>
      <w:r w:rsidRPr="0035027D">
        <w:rPr>
          <w:sz w:val="32"/>
          <w:szCs w:val="32"/>
        </w:rPr>
        <w:br w:type="page"/>
      </w:r>
    </w:p>
    <w:p w:rsidR="00515596" w:rsidRPr="0035027D" w:rsidRDefault="00515596" w:rsidP="00A9180E">
      <w:pPr>
        <w:pStyle w:val="Nadpis1"/>
        <w:tabs>
          <w:tab w:val="clear" w:pos="432"/>
        </w:tabs>
        <w:spacing w:before="0" w:after="0"/>
        <w:rPr>
          <w:sz w:val="32"/>
          <w:szCs w:val="32"/>
        </w:rPr>
      </w:pPr>
      <w:bookmarkStart w:id="69" w:name="_Toc320096516"/>
      <w:bookmarkStart w:id="70" w:name="_Toc320096656"/>
      <w:bookmarkStart w:id="71" w:name="_Toc326222752"/>
      <w:bookmarkStart w:id="72" w:name="_Toc348448965"/>
      <w:bookmarkStart w:id="73" w:name="_Toc353563393"/>
      <w:r w:rsidRPr="0035027D">
        <w:rPr>
          <w:sz w:val="32"/>
          <w:szCs w:val="32"/>
        </w:rPr>
        <w:lastRenderedPageBreak/>
        <w:t>P</w:t>
      </w:r>
      <w:r w:rsidR="00AF5BC2" w:rsidRPr="0035027D">
        <w:rPr>
          <w:sz w:val="32"/>
          <w:szCs w:val="32"/>
        </w:rPr>
        <w:t xml:space="preserve">ríloha </w:t>
      </w:r>
      <w:r w:rsidR="00A33CE1" w:rsidRPr="0035027D">
        <w:rPr>
          <w:sz w:val="32"/>
          <w:szCs w:val="32"/>
        </w:rPr>
        <w:t>č. 1 – Národné ciele S</w:t>
      </w:r>
      <w:r w:rsidRPr="0035027D">
        <w:rPr>
          <w:sz w:val="32"/>
          <w:szCs w:val="32"/>
        </w:rPr>
        <w:t>tratégie Európa 2020</w:t>
      </w:r>
      <w:bookmarkEnd w:id="69"/>
      <w:bookmarkEnd w:id="70"/>
      <w:bookmarkEnd w:id="71"/>
      <w:bookmarkEnd w:id="72"/>
      <w:bookmarkEnd w:id="73"/>
    </w:p>
    <w:p w:rsidR="00515596" w:rsidRPr="0035027D" w:rsidRDefault="00515596" w:rsidP="00515596">
      <w:pPr>
        <w:spacing w:after="0"/>
        <w:ind w:left="720"/>
        <w:rPr>
          <w:sz w:val="16"/>
          <w:szCs w:val="16"/>
        </w:rPr>
      </w:pPr>
    </w:p>
    <w:tbl>
      <w:tblPr>
        <w:tblW w:w="10347" w:type="dxa"/>
        <w:tblInd w:w="-683" w:type="dxa"/>
        <w:tblLayout w:type="fixed"/>
        <w:tblCellMar>
          <w:left w:w="70" w:type="dxa"/>
          <w:right w:w="70" w:type="dxa"/>
        </w:tblCellMar>
        <w:tblLook w:val="04A0" w:firstRow="1" w:lastRow="0" w:firstColumn="1" w:lastColumn="0" w:noHBand="0" w:noVBand="1"/>
      </w:tblPr>
      <w:tblGrid>
        <w:gridCol w:w="382"/>
        <w:gridCol w:w="323"/>
        <w:gridCol w:w="3608"/>
        <w:gridCol w:w="614"/>
        <w:gridCol w:w="520"/>
        <w:gridCol w:w="551"/>
        <w:gridCol w:w="520"/>
        <w:gridCol w:w="520"/>
        <w:gridCol w:w="520"/>
        <w:gridCol w:w="520"/>
        <w:gridCol w:w="520"/>
        <w:gridCol w:w="520"/>
        <w:gridCol w:w="469"/>
        <w:gridCol w:w="760"/>
      </w:tblGrid>
      <w:tr w:rsidR="006E5BF3" w:rsidRPr="0035027D" w:rsidTr="008731B6">
        <w:trPr>
          <w:trHeight w:val="113"/>
        </w:trPr>
        <w:tc>
          <w:tcPr>
            <w:tcW w:w="10347" w:type="dxa"/>
            <w:gridSpan w:val="14"/>
            <w:tcBorders>
              <w:top w:val="single" w:sz="4" w:space="0" w:color="auto"/>
              <w:left w:val="single" w:sz="4" w:space="0" w:color="auto"/>
              <w:bottom w:val="nil"/>
              <w:right w:val="single" w:sz="4" w:space="0" w:color="auto"/>
            </w:tcBorders>
            <w:shd w:val="clear" w:color="000000" w:fill="0D0D0D"/>
            <w:vAlign w:val="center"/>
            <w:hideMark/>
          </w:tcPr>
          <w:p w:rsidR="006E5BF3" w:rsidRPr="0035027D" w:rsidRDefault="00D4235C" w:rsidP="006E5BF3">
            <w:pPr>
              <w:spacing w:after="0"/>
              <w:jc w:val="left"/>
              <w:rPr>
                <w:rFonts w:cs="Times New Roman"/>
                <w:b/>
                <w:bCs/>
                <w:color w:val="FFFFFF"/>
                <w:sz w:val="20"/>
                <w:szCs w:val="20"/>
              </w:rPr>
            </w:pPr>
            <w:r w:rsidRPr="0035027D">
              <w:rPr>
                <w:rFonts w:cs="Times New Roman"/>
                <w:b/>
                <w:bCs/>
                <w:color w:val="FFFFFF"/>
                <w:sz w:val="20"/>
                <w:szCs w:val="20"/>
              </w:rPr>
              <w:t xml:space="preserve">Tab. 10: </w:t>
            </w:r>
            <w:r w:rsidR="00873EF2" w:rsidRPr="0035027D">
              <w:rPr>
                <w:rFonts w:cs="Times New Roman"/>
                <w:b/>
                <w:bCs/>
                <w:color w:val="FFFFFF"/>
                <w:sz w:val="20"/>
                <w:szCs w:val="20"/>
              </w:rPr>
              <w:t>Výsledkové ukazovatele Stratégie Európa 2020</w:t>
            </w:r>
          </w:p>
        </w:tc>
      </w:tr>
      <w:tr w:rsidR="00A41F46" w:rsidRPr="0035027D" w:rsidTr="00D379FD">
        <w:trPr>
          <w:trHeight w:val="113"/>
        </w:trPr>
        <w:tc>
          <w:tcPr>
            <w:tcW w:w="4927" w:type="dxa"/>
            <w:gridSpan w:val="4"/>
            <w:tcBorders>
              <w:top w:val="single" w:sz="8" w:space="0" w:color="auto"/>
              <w:left w:val="single" w:sz="4" w:space="0" w:color="auto"/>
              <w:bottom w:val="single" w:sz="8" w:space="0" w:color="auto"/>
              <w:right w:val="single" w:sz="8" w:space="0" w:color="000000"/>
            </w:tcBorders>
            <w:shd w:val="clear" w:color="000000" w:fill="D9D9D9"/>
            <w:noWrap/>
            <w:vAlign w:val="bottom"/>
            <w:hideMark/>
          </w:tcPr>
          <w:p w:rsidR="006E5BF3" w:rsidRPr="0035027D" w:rsidRDefault="006E5BF3" w:rsidP="006E5BF3">
            <w:pPr>
              <w:spacing w:after="0"/>
              <w:jc w:val="center"/>
              <w:rPr>
                <w:rFonts w:cs="Times New Roman"/>
                <w:color w:val="000000"/>
              </w:rPr>
            </w:pPr>
            <w:r w:rsidRPr="0035027D">
              <w:rPr>
                <w:rFonts w:cs="Times New Roman"/>
                <w:color w:val="000000"/>
              </w:rPr>
              <w:t> </w:t>
            </w:r>
          </w:p>
        </w:tc>
        <w:tc>
          <w:tcPr>
            <w:tcW w:w="520" w:type="dxa"/>
            <w:tcBorders>
              <w:top w:val="single" w:sz="8" w:space="0" w:color="auto"/>
              <w:left w:val="single" w:sz="8" w:space="0" w:color="auto"/>
              <w:bottom w:val="single" w:sz="8" w:space="0" w:color="auto"/>
              <w:right w:val="nil"/>
            </w:tcBorders>
            <w:shd w:val="clear" w:color="auto" w:fill="D9D9D9" w:themeFill="background1" w:themeFillShade="D9"/>
            <w:noWrap/>
            <w:vAlign w:val="center"/>
            <w:hideMark/>
          </w:tcPr>
          <w:p w:rsidR="006E5BF3" w:rsidRPr="0035027D" w:rsidRDefault="006E5BF3" w:rsidP="006E5BF3">
            <w:pPr>
              <w:spacing w:after="0"/>
              <w:jc w:val="center"/>
              <w:rPr>
                <w:rFonts w:cs="Times New Roman"/>
                <w:b/>
                <w:bCs/>
                <w:color w:val="000000"/>
                <w:sz w:val="18"/>
                <w:szCs w:val="18"/>
              </w:rPr>
            </w:pPr>
            <w:r w:rsidRPr="0035027D">
              <w:rPr>
                <w:rFonts w:cs="Times New Roman"/>
                <w:b/>
                <w:bCs/>
                <w:color w:val="000000"/>
                <w:sz w:val="18"/>
                <w:szCs w:val="18"/>
              </w:rPr>
              <w:t>2004</w:t>
            </w:r>
          </w:p>
        </w:tc>
        <w:tc>
          <w:tcPr>
            <w:tcW w:w="551" w:type="dxa"/>
            <w:tcBorders>
              <w:top w:val="single" w:sz="8" w:space="0" w:color="auto"/>
              <w:left w:val="nil"/>
              <w:bottom w:val="single" w:sz="8" w:space="0" w:color="auto"/>
              <w:right w:val="nil"/>
            </w:tcBorders>
            <w:shd w:val="clear" w:color="auto" w:fill="D9D9D9" w:themeFill="background1" w:themeFillShade="D9"/>
            <w:noWrap/>
            <w:vAlign w:val="center"/>
            <w:hideMark/>
          </w:tcPr>
          <w:p w:rsidR="006E5BF3" w:rsidRPr="0035027D" w:rsidRDefault="006E5BF3" w:rsidP="006E5BF3">
            <w:pPr>
              <w:spacing w:after="0"/>
              <w:jc w:val="center"/>
              <w:rPr>
                <w:rFonts w:cs="Times New Roman"/>
                <w:b/>
                <w:bCs/>
                <w:color w:val="000000"/>
                <w:sz w:val="18"/>
                <w:szCs w:val="18"/>
              </w:rPr>
            </w:pPr>
            <w:r w:rsidRPr="0035027D">
              <w:rPr>
                <w:rFonts w:cs="Times New Roman"/>
                <w:b/>
                <w:bCs/>
                <w:color w:val="000000"/>
                <w:sz w:val="18"/>
                <w:szCs w:val="18"/>
              </w:rPr>
              <w:t>2005</w:t>
            </w:r>
          </w:p>
        </w:tc>
        <w:tc>
          <w:tcPr>
            <w:tcW w:w="520" w:type="dxa"/>
            <w:tcBorders>
              <w:top w:val="single" w:sz="8" w:space="0" w:color="auto"/>
              <w:left w:val="nil"/>
              <w:bottom w:val="single" w:sz="8" w:space="0" w:color="auto"/>
              <w:right w:val="nil"/>
            </w:tcBorders>
            <w:shd w:val="clear" w:color="auto" w:fill="D9D9D9" w:themeFill="background1" w:themeFillShade="D9"/>
            <w:noWrap/>
            <w:vAlign w:val="center"/>
            <w:hideMark/>
          </w:tcPr>
          <w:p w:rsidR="006E5BF3" w:rsidRPr="0035027D" w:rsidRDefault="006E5BF3" w:rsidP="006E5BF3">
            <w:pPr>
              <w:spacing w:after="0"/>
              <w:jc w:val="center"/>
              <w:rPr>
                <w:rFonts w:cs="Times New Roman"/>
                <w:b/>
                <w:bCs/>
                <w:color w:val="000000"/>
                <w:sz w:val="18"/>
                <w:szCs w:val="18"/>
              </w:rPr>
            </w:pPr>
            <w:r w:rsidRPr="0035027D">
              <w:rPr>
                <w:rFonts w:cs="Times New Roman"/>
                <w:b/>
                <w:bCs/>
                <w:color w:val="000000"/>
                <w:sz w:val="18"/>
                <w:szCs w:val="18"/>
              </w:rPr>
              <w:t>2006</w:t>
            </w:r>
          </w:p>
        </w:tc>
        <w:tc>
          <w:tcPr>
            <w:tcW w:w="520" w:type="dxa"/>
            <w:tcBorders>
              <w:top w:val="single" w:sz="8" w:space="0" w:color="auto"/>
              <w:left w:val="nil"/>
              <w:bottom w:val="single" w:sz="8" w:space="0" w:color="auto"/>
              <w:right w:val="nil"/>
            </w:tcBorders>
            <w:shd w:val="clear" w:color="auto" w:fill="D9D9D9" w:themeFill="background1" w:themeFillShade="D9"/>
            <w:noWrap/>
            <w:vAlign w:val="center"/>
            <w:hideMark/>
          </w:tcPr>
          <w:p w:rsidR="006E5BF3" w:rsidRPr="0035027D" w:rsidRDefault="006E5BF3" w:rsidP="006E5BF3">
            <w:pPr>
              <w:spacing w:after="0"/>
              <w:jc w:val="center"/>
              <w:rPr>
                <w:rFonts w:cs="Times New Roman"/>
                <w:b/>
                <w:bCs/>
                <w:color w:val="000000"/>
                <w:sz w:val="18"/>
                <w:szCs w:val="18"/>
              </w:rPr>
            </w:pPr>
            <w:r w:rsidRPr="0035027D">
              <w:rPr>
                <w:rFonts w:cs="Times New Roman"/>
                <w:b/>
                <w:bCs/>
                <w:color w:val="000000"/>
                <w:sz w:val="18"/>
                <w:szCs w:val="18"/>
              </w:rPr>
              <w:t>2007</w:t>
            </w:r>
          </w:p>
        </w:tc>
        <w:tc>
          <w:tcPr>
            <w:tcW w:w="520" w:type="dxa"/>
            <w:tcBorders>
              <w:top w:val="single" w:sz="8" w:space="0" w:color="auto"/>
              <w:left w:val="nil"/>
              <w:bottom w:val="single" w:sz="8" w:space="0" w:color="auto"/>
              <w:right w:val="nil"/>
            </w:tcBorders>
            <w:shd w:val="clear" w:color="auto" w:fill="D9D9D9" w:themeFill="background1" w:themeFillShade="D9"/>
            <w:vAlign w:val="center"/>
            <w:hideMark/>
          </w:tcPr>
          <w:p w:rsidR="006E5BF3" w:rsidRPr="0035027D" w:rsidRDefault="006E5BF3" w:rsidP="006E5BF3">
            <w:pPr>
              <w:spacing w:after="0"/>
              <w:jc w:val="center"/>
              <w:rPr>
                <w:rFonts w:cs="Times New Roman"/>
                <w:b/>
                <w:bCs/>
                <w:color w:val="000000"/>
                <w:sz w:val="18"/>
                <w:szCs w:val="18"/>
              </w:rPr>
            </w:pPr>
            <w:r w:rsidRPr="0035027D">
              <w:rPr>
                <w:rFonts w:cs="Times New Roman"/>
                <w:b/>
                <w:bCs/>
                <w:color w:val="000000"/>
                <w:sz w:val="18"/>
                <w:szCs w:val="18"/>
              </w:rPr>
              <w:t>2008</w:t>
            </w:r>
          </w:p>
        </w:tc>
        <w:tc>
          <w:tcPr>
            <w:tcW w:w="520" w:type="dxa"/>
            <w:tcBorders>
              <w:top w:val="single" w:sz="8" w:space="0" w:color="auto"/>
              <w:left w:val="nil"/>
              <w:bottom w:val="single" w:sz="8" w:space="0" w:color="auto"/>
              <w:right w:val="nil"/>
            </w:tcBorders>
            <w:shd w:val="clear" w:color="auto" w:fill="D9D9D9" w:themeFill="background1" w:themeFillShade="D9"/>
            <w:vAlign w:val="center"/>
            <w:hideMark/>
          </w:tcPr>
          <w:p w:rsidR="006E5BF3" w:rsidRPr="0035027D" w:rsidRDefault="006E5BF3" w:rsidP="006E5BF3">
            <w:pPr>
              <w:spacing w:after="0"/>
              <w:jc w:val="center"/>
              <w:rPr>
                <w:rFonts w:cs="Times New Roman"/>
                <w:b/>
                <w:bCs/>
                <w:color w:val="000000"/>
                <w:sz w:val="18"/>
                <w:szCs w:val="18"/>
              </w:rPr>
            </w:pPr>
            <w:r w:rsidRPr="0035027D">
              <w:rPr>
                <w:rFonts w:cs="Times New Roman"/>
                <w:b/>
                <w:bCs/>
                <w:color w:val="000000"/>
                <w:sz w:val="18"/>
                <w:szCs w:val="18"/>
              </w:rPr>
              <w:t>2009</w:t>
            </w:r>
          </w:p>
        </w:tc>
        <w:tc>
          <w:tcPr>
            <w:tcW w:w="520" w:type="dxa"/>
            <w:tcBorders>
              <w:top w:val="single" w:sz="8" w:space="0" w:color="auto"/>
              <w:left w:val="nil"/>
              <w:bottom w:val="single" w:sz="8" w:space="0" w:color="auto"/>
              <w:right w:val="nil"/>
            </w:tcBorders>
            <w:shd w:val="clear" w:color="auto" w:fill="D9D9D9" w:themeFill="background1" w:themeFillShade="D9"/>
            <w:vAlign w:val="center"/>
            <w:hideMark/>
          </w:tcPr>
          <w:p w:rsidR="006E5BF3" w:rsidRPr="0035027D" w:rsidRDefault="006E5BF3" w:rsidP="006E5BF3">
            <w:pPr>
              <w:spacing w:after="0"/>
              <w:jc w:val="center"/>
              <w:rPr>
                <w:rFonts w:cs="Times New Roman"/>
                <w:b/>
                <w:bCs/>
                <w:color w:val="000000"/>
                <w:sz w:val="18"/>
                <w:szCs w:val="18"/>
              </w:rPr>
            </w:pPr>
            <w:r w:rsidRPr="0035027D">
              <w:rPr>
                <w:rFonts w:cs="Times New Roman"/>
                <w:b/>
                <w:bCs/>
                <w:color w:val="000000"/>
                <w:sz w:val="18"/>
                <w:szCs w:val="18"/>
              </w:rPr>
              <w:t>2010</w:t>
            </w:r>
          </w:p>
        </w:tc>
        <w:tc>
          <w:tcPr>
            <w:tcW w:w="520" w:type="dxa"/>
            <w:tcBorders>
              <w:top w:val="single" w:sz="8" w:space="0" w:color="auto"/>
              <w:left w:val="nil"/>
              <w:bottom w:val="single" w:sz="8" w:space="0" w:color="auto"/>
              <w:right w:val="nil"/>
            </w:tcBorders>
            <w:shd w:val="clear" w:color="auto" w:fill="D9D9D9" w:themeFill="background1" w:themeFillShade="D9"/>
            <w:vAlign w:val="center"/>
            <w:hideMark/>
          </w:tcPr>
          <w:p w:rsidR="006E5BF3" w:rsidRPr="0035027D" w:rsidRDefault="006E5BF3" w:rsidP="006E5BF3">
            <w:pPr>
              <w:spacing w:after="0"/>
              <w:jc w:val="center"/>
              <w:rPr>
                <w:rFonts w:cs="Times New Roman"/>
                <w:b/>
                <w:bCs/>
                <w:color w:val="000000"/>
                <w:sz w:val="18"/>
                <w:szCs w:val="18"/>
              </w:rPr>
            </w:pPr>
            <w:r w:rsidRPr="0035027D">
              <w:rPr>
                <w:rFonts w:cs="Times New Roman"/>
                <w:b/>
                <w:bCs/>
                <w:color w:val="000000"/>
                <w:sz w:val="18"/>
                <w:szCs w:val="18"/>
              </w:rPr>
              <w:t>2011</w:t>
            </w:r>
          </w:p>
        </w:tc>
        <w:tc>
          <w:tcPr>
            <w:tcW w:w="469" w:type="dxa"/>
            <w:tcBorders>
              <w:top w:val="single" w:sz="8" w:space="0" w:color="auto"/>
              <w:left w:val="nil"/>
              <w:bottom w:val="single" w:sz="8" w:space="0" w:color="auto"/>
              <w:right w:val="nil"/>
            </w:tcBorders>
            <w:shd w:val="clear" w:color="auto" w:fill="D9D9D9" w:themeFill="background1" w:themeFillShade="D9"/>
            <w:vAlign w:val="center"/>
            <w:hideMark/>
          </w:tcPr>
          <w:p w:rsidR="006E5BF3" w:rsidRPr="0035027D" w:rsidRDefault="006E5BF3" w:rsidP="006E5BF3">
            <w:pPr>
              <w:spacing w:after="0"/>
              <w:jc w:val="center"/>
              <w:rPr>
                <w:rFonts w:cs="Times New Roman"/>
                <w:b/>
                <w:bCs/>
                <w:color w:val="000000"/>
                <w:sz w:val="18"/>
                <w:szCs w:val="18"/>
              </w:rPr>
            </w:pPr>
            <w:r w:rsidRPr="0035027D">
              <w:rPr>
                <w:rFonts w:cs="Times New Roman"/>
                <w:b/>
                <w:bCs/>
                <w:color w:val="000000"/>
                <w:sz w:val="18"/>
                <w:szCs w:val="18"/>
              </w:rPr>
              <w:t>2012</w:t>
            </w:r>
          </w:p>
        </w:tc>
        <w:tc>
          <w:tcPr>
            <w:tcW w:w="760"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6E5BF3" w:rsidRPr="0035027D" w:rsidRDefault="006E5BF3" w:rsidP="006E5BF3">
            <w:pPr>
              <w:spacing w:after="0"/>
              <w:jc w:val="center"/>
              <w:rPr>
                <w:rFonts w:cs="Times New Roman"/>
                <w:b/>
                <w:bCs/>
                <w:color w:val="000000"/>
                <w:sz w:val="18"/>
                <w:szCs w:val="18"/>
              </w:rPr>
            </w:pPr>
            <w:r w:rsidRPr="0035027D">
              <w:rPr>
                <w:rFonts w:cs="Times New Roman"/>
                <w:b/>
                <w:bCs/>
                <w:color w:val="000000"/>
                <w:sz w:val="18"/>
                <w:szCs w:val="18"/>
              </w:rPr>
              <w:t>Cieľ 2020</w:t>
            </w:r>
          </w:p>
        </w:tc>
      </w:tr>
      <w:tr w:rsidR="006E5BF3" w:rsidRPr="0035027D" w:rsidTr="008731B6">
        <w:trPr>
          <w:trHeight w:val="113"/>
        </w:trPr>
        <w:tc>
          <w:tcPr>
            <w:tcW w:w="10347" w:type="dxa"/>
            <w:gridSpan w:val="14"/>
            <w:tcBorders>
              <w:top w:val="single" w:sz="8" w:space="0" w:color="auto"/>
              <w:left w:val="single" w:sz="4" w:space="0" w:color="auto"/>
              <w:bottom w:val="single" w:sz="8" w:space="0" w:color="000000"/>
              <w:right w:val="single" w:sz="4" w:space="0" w:color="auto"/>
            </w:tcBorders>
            <w:shd w:val="clear" w:color="000000" w:fill="D9D9D9"/>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Fiškálna politika a verejné financie</w:t>
            </w:r>
          </w:p>
        </w:tc>
      </w:tr>
      <w:tr w:rsidR="00A41F46" w:rsidRPr="0035027D" w:rsidTr="006E5BF3">
        <w:trPr>
          <w:trHeight w:val="113"/>
        </w:trPr>
        <w:tc>
          <w:tcPr>
            <w:tcW w:w="382" w:type="dxa"/>
            <w:tcBorders>
              <w:top w:val="nil"/>
              <w:left w:val="single" w:sz="4" w:space="0" w:color="auto"/>
              <w:bottom w:val="nil"/>
              <w:right w:val="nil"/>
            </w:tcBorders>
            <w:shd w:val="clear" w:color="auto" w:fill="auto"/>
            <w:textDirection w:val="btLr"/>
            <w:vAlign w:val="center"/>
            <w:hideMark/>
          </w:tcPr>
          <w:p w:rsidR="006E5BF3" w:rsidRPr="0035027D" w:rsidRDefault="006E5BF3" w:rsidP="006E5BF3">
            <w:pPr>
              <w:spacing w:after="0"/>
              <w:jc w:val="center"/>
              <w:rPr>
                <w:rFonts w:cs="Times New Roman"/>
                <w:b/>
                <w:bCs/>
                <w:color w:val="000000"/>
                <w:sz w:val="20"/>
                <w:szCs w:val="20"/>
              </w:rPr>
            </w:pPr>
            <w:r w:rsidRPr="0035027D">
              <w:rPr>
                <w:rFonts w:cs="Times New Roman"/>
                <w:b/>
                <w:bCs/>
                <w:color w:val="000000"/>
                <w:sz w:val="20"/>
                <w:szCs w:val="20"/>
              </w:rPr>
              <w:t> </w:t>
            </w:r>
          </w:p>
        </w:tc>
        <w:tc>
          <w:tcPr>
            <w:tcW w:w="323" w:type="dxa"/>
            <w:vMerge w:val="restart"/>
            <w:tcBorders>
              <w:top w:val="nil"/>
              <w:left w:val="nil"/>
              <w:bottom w:val="single" w:sz="8" w:space="0" w:color="000000"/>
              <w:right w:val="nil"/>
            </w:tcBorders>
            <w:shd w:val="clear" w:color="auto" w:fill="auto"/>
            <w:noWrap/>
            <w:vAlign w:val="center"/>
            <w:hideMark/>
          </w:tcPr>
          <w:p w:rsidR="006E5BF3" w:rsidRPr="0035027D" w:rsidRDefault="006E5BF3" w:rsidP="006E5BF3">
            <w:pPr>
              <w:spacing w:after="0"/>
              <w:jc w:val="center"/>
              <w:rPr>
                <w:rFonts w:cs="Times New Roman"/>
                <w:b/>
                <w:bCs/>
                <w:color w:val="000000"/>
                <w:sz w:val="20"/>
                <w:szCs w:val="20"/>
              </w:rPr>
            </w:pPr>
            <w:r w:rsidRPr="0035027D">
              <w:rPr>
                <w:rFonts w:cs="Times New Roman"/>
                <w:b/>
                <w:bCs/>
                <w:color w:val="000000"/>
                <w:sz w:val="20"/>
                <w:szCs w:val="20"/>
              </w:rPr>
              <w:t>1</w:t>
            </w:r>
          </w:p>
        </w:tc>
        <w:tc>
          <w:tcPr>
            <w:tcW w:w="3608" w:type="dxa"/>
            <w:tcBorders>
              <w:top w:val="nil"/>
              <w:left w:val="nil"/>
              <w:bottom w:val="nil"/>
              <w:right w:val="nil"/>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Ukazovateľ dlhodobej udržateľnosti (GAP)</w:t>
            </w:r>
          </w:p>
        </w:tc>
        <w:tc>
          <w:tcPr>
            <w:tcW w:w="614" w:type="dxa"/>
            <w:tcBorders>
              <w:top w:val="nil"/>
              <w:left w:val="nil"/>
              <w:bottom w:val="nil"/>
              <w:right w:val="single" w:sz="8" w:space="0" w:color="auto"/>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SK</w:t>
            </w:r>
          </w:p>
        </w:tc>
        <w:tc>
          <w:tcPr>
            <w:tcW w:w="520" w:type="dxa"/>
            <w:tcBorders>
              <w:top w:val="nil"/>
              <w:left w:val="single" w:sz="8" w:space="0" w:color="auto"/>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51"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sz w:val="20"/>
                <w:szCs w:val="20"/>
              </w:rPr>
            </w:pPr>
            <w:r w:rsidRPr="0035027D">
              <w:rPr>
                <w:rFonts w:cs="Times New Roman"/>
                <w:sz w:val="20"/>
                <w:szCs w:val="20"/>
              </w:rPr>
              <w:t>9,5</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sz w:val="20"/>
                <w:szCs w:val="20"/>
              </w:rPr>
            </w:pPr>
            <w:r w:rsidRPr="0035027D">
              <w:rPr>
                <w:rFonts w:cs="Times New Roman"/>
                <w:sz w:val="20"/>
                <w:szCs w:val="20"/>
              </w:rPr>
              <w:t>9,2</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sz w:val="20"/>
                <w:szCs w:val="20"/>
              </w:rPr>
            </w:pPr>
            <w:r w:rsidRPr="0035027D">
              <w:rPr>
                <w:rFonts w:cs="Times New Roman"/>
                <w:sz w:val="20"/>
                <w:szCs w:val="20"/>
              </w:rPr>
              <w:t>6,8</w:t>
            </w:r>
          </w:p>
        </w:tc>
        <w:tc>
          <w:tcPr>
            <w:tcW w:w="469"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 xml:space="preserve"> - </w:t>
            </w:r>
          </w:p>
        </w:tc>
        <w:tc>
          <w:tcPr>
            <w:tcW w:w="760" w:type="dxa"/>
            <w:tcBorders>
              <w:top w:val="nil"/>
              <w:left w:val="single" w:sz="8" w:space="0" w:color="auto"/>
              <w:bottom w:val="nil"/>
              <w:right w:val="single" w:sz="4" w:space="0" w:color="auto"/>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0</w:t>
            </w:r>
          </w:p>
        </w:tc>
      </w:tr>
      <w:tr w:rsidR="00A41F46" w:rsidRPr="0035027D" w:rsidTr="006E5BF3">
        <w:trPr>
          <w:trHeight w:val="113"/>
        </w:trPr>
        <w:tc>
          <w:tcPr>
            <w:tcW w:w="382" w:type="dxa"/>
            <w:tcBorders>
              <w:top w:val="nil"/>
              <w:left w:val="single" w:sz="4" w:space="0" w:color="auto"/>
              <w:bottom w:val="single" w:sz="8" w:space="0" w:color="auto"/>
              <w:right w:val="nil"/>
            </w:tcBorders>
            <w:shd w:val="clear" w:color="auto" w:fill="auto"/>
            <w:textDirection w:val="btLr"/>
            <w:vAlign w:val="center"/>
            <w:hideMark/>
          </w:tcPr>
          <w:p w:rsidR="006E5BF3" w:rsidRPr="0035027D" w:rsidRDefault="006E5BF3" w:rsidP="006E5BF3">
            <w:pPr>
              <w:spacing w:after="0"/>
              <w:jc w:val="center"/>
              <w:rPr>
                <w:rFonts w:cs="Times New Roman"/>
                <w:b/>
                <w:bCs/>
                <w:color w:val="000000"/>
                <w:sz w:val="20"/>
                <w:szCs w:val="20"/>
              </w:rPr>
            </w:pPr>
            <w:r w:rsidRPr="0035027D">
              <w:rPr>
                <w:rFonts w:cs="Times New Roman"/>
                <w:b/>
                <w:bCs/>
                <w:color w:val="000000"/>
                <w:sz w:val="20"/>
                <w:szCs w:val="20"/>
              </w:rPr>
              <w:t> </w:t>
            </w:r>
          </w:p>
        </w:tc>
        <w:tc>
          <w:tcPr>
            <w:tcW w:w="323" w:type="dxa"/>
            <w:vMerge/>
            <w:tcBorders>
              <w:top w:val="nil"/>
              <w:left w:val="nil"/>
              <w:bottom w:val="single" w:sz="8" w:space="0" w:color="000000"/>
              <w:right w:val="nil"/>
            </w:tcBorders>
            <w:vAlign w:val="center"/>
            <w:hideMark/>
          </w:tcPr>
          <w:p w:rsidR="006E5BF3" w:rsidRPr="0035027D" w:rsidRDefault="006E5BF3" w:rsidP="006E5BF3">
            <w:pPr>
              <w:spacing w:after="0"/>
              <w:jc w:val="left"/>
              <w:rPr>
                <w:rFonts w:cs="Times New Roman"/>
                <w:b/>
                <w:bCs/>
                <w:color w:val="000000"/>
                <w:sz w:val="20"/>
                <w:szCs w:val="20"/>
              </w:rPr>
            </w:pPr>
          </w:p>
        </w:tc>
        <w:tc>
          <w:tcPr>
            <w:tcW w:w="3608" w:type="dxa"/>
            <w:tcBorders>
              <w:top w:val="nil"/>
              <w:left w:val="nil"/>
              <w:bottom w:val="single" w:sz="8" w:space="0" w:color="auto"/>
              <w:right w:val="nil"/>
            </w:tcBorders>
            <w:shd w:val="clear" w:color="auto" w:fill="auto"/>
            <w:noWrap/>
            <w:vAlign w:val="center"/>
            <w:hideMark/>
          </w:tcPr>
          <w:p w:rsidR="006E5BF3" w:rsidRPr="0035027D" w:rsidRDefault="006E5BF3" w:rsidP="006E5BF3">
            <w:pPr>
              <w:spacing w:after="0"/>
              <w:rPr>
                <w:rFonts w:cs="Times New Roman"/>
                <w:color w:val="000000"/>
                <w:sz w:val="20"/>
                <w:szCs w:val="20"/>
              </w:rPr>
            </w:pPr>
            <w:r w:rsidRPr="0035027D">
              <w:rPr>
                <w:rFonts w:cs="Times New Roman"/>
                <w:color w:val="000000"/>
                <w:sz w:val="20"/>
                <w:szCs w:val="20"/>
              </w:rPr>
              <w:t>(% HDP)</w:t>
            </w:r>
          </w:p>
        </w:tc>
        <w:tc>
          <w:tcPr>
            <w:tcW w:w="614" w:type="dxa"/>
            <w:tcBorders>
              <w:top w:val="nil"/>
              <w:left w:val="nil"/>
              <w:bottom w:val="single" w:sz="8" w:space="0" w:color="auto"/>
              <w:right w:val="single" w:sz="8" w:space="0" w:color="auto"/>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EÚ</w:t>
            </w:r>
          </w:p>
        </w:tc>
        <w:tc>
          <w:tcPr>
            <w:tcW w:w="520" w:type="dxa"/>
            <w:tcBorders>
              <w:top w:val="nil"/>
              <w:left w:val="single" w:sz="8" w:space="0" w:color="auto"/>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51"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 xml:space="preserve"> - </w:t>
            </w:r>
          </w:p>
        </w:tc>
        <w:tc>
          <w:tcPr>
            <w:tcW w:w="469"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 xml:space="preserve"> - </w:t>
            </w:r>
          </w:p>
        </w:tc>
        <w:tc>
          <w:tcPr>
            <w:tcW w:w="760" w:type="dxa"/>
            <w:tcBorders>
              <w:top w:val="nil"/>
              <w:left w:val="single" w:sz="8" w:space="0" w:color="auto"/>
              <w:bottom w:val="single" w:sz="8" w:space="0" w:color="auto"/>
              <w:right w:val="single" w:sz="4" w:space="0" w:color="auto"/>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r>
      <w:tr w:rsidR="00A41F46" w:rsidRPr="0035027D" w:rsidTr="006E5BF3">
        <w:trPr>
          <w:trHeight w:val="113"/>
        </w:trPr>
        <w:tc>
          <w:tcPr>
            <w:tcW w:w="382" w:type="dxa"/>
            <w:tcBorders>
              <w:top w:val="nil"/>
              <w:left w:val="single" w:sz="4" w:space="0" w:color="auto"/>
              <w:bottom w:val="nil"/>
              <w:right w:val="nil"/>
            </w:tcBorders>
            <w:shd w:val="clear" w:color="auto" w:fill="auto"/>
            <w:textDirection w:val="btLr"/>
            <w:vAlign w:val="center"/>
            <w:hideMark/>
          </w:tcPr>
          <w:p w:rsidR="006E5BF3" w:rsidRPr="0035027D" w:rsidRDefault="006E5BF3" w:rsidP="006E5BF3">
            <w:pPr>
              <w:spacing w:after="0"/>
              <w:jc w:val="center"/>
              <w:rPr>
                <w:rFonts w:cs="Times New Roman"/>
                <w:b/>
                <w:bCs/>
                <w:color w:val="000000"/>
                <w:sz w:val="20"/>
                <w:szCs w:val="20"/>
              </w:rPr>
            </w:pPr>
            <w:r w:rsidRPr="0035027D">
              <w:rPr>
                <w:rFonts w:cs="Times New Roman"/>
                <w:b/>
                <w:bCs/>
                <w:color w:val="000000"/>
                <w:sz w:val="20"/>
                <w:szCs w:val="20"/>
              </w:rPr>
              <w:t> </w:t>
            </w:r>
          </w:p>
        </w:tc>
        <w:tc>
          <w:tcPr>
            <w:tcW w:w="323" w:type="dxa"/>
            <w:vMerge w:val="restart"/>
            <w:tcBorders>
              <w:top w:val="nil"/>
              <w:left w:val="nil"/>
              <w:bottom w:val="single" w:sz="8" w:space="0" w:color="000000"/>
              <w:right w:val="nil"/>
            </w:tcBorders>
            <w:shd w:val="clear" w:color="auto" w:fill="auto"/>
            <w:noWrap/>
            <w:vAlign w:val="center"/>
            <w:hideMark/>
          </w:tcPr>
          <w:p w:rsidR="006E5BF3" w:rsidRPr="0035027D" w:rsidRDefault="006E5BF3" w:rsidP="006E5BF3">
            <w:pPr>
              <w:spacing w:after="0"/>
              <w:jc w:val="center"/>
              <w:rPr>
                <w:rFonts w:cs="Times New Roman"/>
                <w:b/>
                <w:bCs/>
                <w:color w:val="000000"/>
                <w:sz w:val="20"/>
                <w:szCs w:val="20"/>
              </w:rPr>
            </w:pPr>
            <w:r w:rsidRPr="0035027D">
              <w:rPr>
                <w:rFonts w:cs="Times New Roman"/>
                <w:b/>
                <w:bCs/>
                <w:color w:val="000000"/>
                <w:sz w:val="20"/>
                <w:szCs w:val="20"/>
              </w:rPr>
              <w:t>2</w:t>
            </w:r>
          </w:p>
        </w:tc>
        <w:tc>
          <w:tcPr>
            <w:tcW w:w="3608" w:type="dxa"/>
            <w:tcBorders>
              <w:top w:val="nil"/>
              <w:left w:val="nil"/>
              <w:bottom w:val="nil"/>
              <w:right w:val="nil"/>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Efektívnosť výberu DPH</w:t>
            </w:r>
          </w:p>
        </w:tc>
        <w:tc>
          <w:tcPr>
            <w:tcW w:w="614" w:type="dxa"/>
            <w:tcBorders>
              <w:top w:val="nil"/>
              <w:left w:val="nil"/>
              <w:bottom w:val="nil"/>
              <w:right w:val="single" w:sz="8" w:space="0" w:color="auto"/>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SK</w:t>
            </w:r>
          </w:p>
        </w:tc>
        <w:tc>
          <w:tcPr>
            <w:tcW w:w="520" w:type="dxa"/>
            <w:tcBorders>
              <w:top w:val="nil"/>
              <w:left w:val="single" w:sz="8" w:space="0" w:color="auto"/>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51"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74,8</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69,7</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64,1</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65,1</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57,9</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56,7</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57,8</w:t>
            </w:r>
          </w:p>
        </w:tc>
        <w:tc>
          <w:tcPr>
            <w:tcW w:w="469"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 xml:space="preserve"> - </w:t>
            </w:r>
          </w:p>
        </w:tc>
        <w:tc>
          <w:tcPr>
            <w:tcW w:w="760" w:type="dxa"/>
            <w:tcBorders>
              <w:top w:val="nil"/>
              <w:left w:val="single" w:sz="8" w:space="0" w:color="auto"/>
              <w:bottom w:val="nil"/>
              <w:right w:val="single" w:sz="4" w:space="0" w:color="auto"/>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72</w:t>
            </w:r>
          </w:p>
        </w:tc>
      </w:tr>
      <w:tr w:rsidR="00A41F46" w:rsidRPr="0035027D" w:rsidTr="006E5BF3">
        <w:trPr>
          <w:trHeight w:val="113"/>
        </w:trPr>
        <w:tc>
          <w:tcPr>
            <w:tcW w:w="382" w:type="dxa"/>
            <w:tcBorders>
              <w:top w:val="nil"/>
              <w:left w:val="single" w:sz="4" w:space="0" w:color="auto"/>
              <w:bottom w:val="single" w:sz="8" w:space="0" w:color="auto"/>
              <w:right w:val="nil"/>
            </w:tcBorders>
            <w:shd w:val="clear" w:color="auto" w:fill="auto"/>
            <w:textDirection w:val="btLr"/>
            <w:vAlign w:val="center"/>
            <w:hideMark/>
          </w:tcPr>
          <w:p w:rsidR="006E5BF3" w:rsidRPr="0035027D" w:rsidRDefault="006E5BF3" w:rsidP="006E5BF3">
            <w:pPr>
              <w:spacing w:after="0"/>
              <w:jc w:val="center"/>
              <w:rPr>
                <w:rFonts w:cs="Times New Roman"/>
                <w:b/>
                <w:bCs/>
                <w:color w:val="000000"/>
                <w:sz w:val="20"/>
                <w:szCs w:val="20"/>
              </w:rPr>
            </w:pPr>
            <w:r w:rsidRPr="0035027D">
              <w:rPr>
                <w:rFonts w:cs="Times New Roman"/>
                <w:b/>
                <w:bCs/>
                <w:color w:val="000000"/>
                <w:sz w:val="20"/>
                <w:szCs w:val="20"/>
              </w:rPr>
              <w:t> </w:t>
            </w:r>
          </w:p>
        </w:tc>
        <w:tc>
          <w:tcPr>
            <w:tcW w:w="323" w:type="dxa"/>
            <w:vMerge/>
            <w:tcBorders>
              <w:top w:val="nil"/>
              <w:left w:val="nil"/>
              <w:bottom w:val="single" w:sz="8" w:space="0" w:color="000000"/>
              <w:right w:val="nil"/>
            </w:tcBorders>
            <w:vAlign w:val="center"/>
            <w:hideMark/>
          </w:tcPr>
          <w:p w:rsidR="006E5BF3" w:rsidRPr="0035027D" w:rsidRDefault="006E5BF3" w:rsidP="006E5BF3">
            <w:pPr>
              <w:spacing w:after="0"/>
              <w:jc w:val="left"/>
              <w:rPr>
                <w:rFonts w:cs="Times New Roman"/>
                <w:b/>
                <w:bCs/>
                <w:color w:val="000000"/>
                <w:sz w:val="20"/>
                <w:szCs w:val="20"/>
              </w:rPr>
            </w:pPr>
          </w:p>
        </w:tc>
        <w:tc>
          <w:tcPr>
            <w:tcW w:w="3608" w:type="dxa"/>
            <w:tcBorders>
              <w:top w:val="nil"/>
              <w:left w:val="nil"/>
              <w:bottom w:val="single" w:sz="8" w:space="0" w:color="auto"/>
              <w:right w:val="nil"/>
            </w:tcBorders>
            <w:shd w:val="clear" w:color="auto" w:fill="auto"/>
            <w:noWrap/>
            <w:vAlign w:val="center"/>
            <w:hideMark/>
          </w:tcPr>
          <w:p w:rsidR="006E5BF3" w:rsidRPr="0035027D" w:rsidRDefault="006E5BF3" w:rsidP="006E5BF3">
            <w:pPr>
              <w:spacing w:after="0"/>
              <w:rPr>
                <w:rFonts w:cs="Times New Roman"/>
                <w:color w:val="000000"/>
                <w:sz w:val="20"/>
                <w:szCs w:val="20"/>
              </w:rPr>
            </w:pPr>
            <w:r w:rsidRPr="0035027D">
              <w:rPr>
                <w:rFonts w:cs="Times New Roman"/>
                <w:color w:val="000000"/>
                <w:sz w:val="20"/>
                <w:szCs w:val="20"/>
              </w:rPr>
              <w:t>(%)</w:t>
            </w:r>
          </w:p>
        </w:tc>
        <w:tc>
          <w:tcPr>
            <w:tcW w:w="614" w:type="dxa"/>
            <w:tcBorders>
              <w:top w:val="nil"/>
              <w:left w:val="nil"/>
              <w:bottom w:val="single" w:sz="8" w:space="0" w:color="auto"/>
              <w:right w:val="single" w:sz="8" w:space="0" w:color="auto"/>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EÚ22</w:t>
            </w:r>
          </w:p>
        </w:tc>
        <w:tc>
          <w:tcPr>
            <w:tcW w:w="520" w:type="dxa"/>
            <w:tcBorders>
              <w:top w:val="nil"/>
              <w:left w:val="single" w:sz="8" w:space="0" w:color="auto"/>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51"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71,4</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72,9</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73</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71,1</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66</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66,9</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66,9</w:t>
            </w:r>
          </w:p>
        </w:tc>
        <w:tc>
          <w:tcPr>
            <w:tcW w:w="469"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 xml:space="preserve"> - </w:t>
            </w:r>
          </w:p>
        </w:tc>
        <w:tc>
          <w:tcPr>
            <w:tcW w:w="760" w:type="dxa"/>
            <w:tcBorders>
              <w:top w:val="nil"/>
              <w:left w:val="single" w:sz="8" w:space="0" w:color="auto"/>
              <w:bottom w:val="single" w:sz="8" w:space="0" w:color="auto"/>
              <w:right w:val="single" w:sz="4" w:space="0" w:color="auto"/>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r>
      <w:tr w:rsidR="006E5BF3" w:rsidRPr="0035027D" w:rsidTr="008731B6">
        <w:trPr>
          <w:trHeight w:val="113"/>
        </w:trPr>
        <w:tc>
          <w:tcPr>
            <w:tcW w:w="10347" w:type="dxa"/>
            <w:gridSpan w:val="14"/>
            <w:tcBorders>
              <w:top w:val="single" w:sz="8" w:space="0" w:color="auto"/>
              <w:left w:val="single" w:sz="4" w:space="0" w:color="auto"/>
              <w:bottom w:val="single" w:sz="8" w:space="0" w:color="auto"/>
              <w:right w:val="single" w:sz="4" w:space="0" w:color="auto"/>
            </w:tcBorders>
            <w:shd w:val="clear" w:color="000000" w:fill="D9D9D9"/>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Vzdelávanie, veda a inovácie</w:t>
            </w:r>
          </w:p>
        </w:tc>
      </w:tr>
      <w:tr w:rsidR="00A41F46" w:rsidRPr="0035027D" w:rsidTr="006E5BF3">
        <w:trPr>
          <w:trHeight w:val="113"/>
        </w:trPr>
        <w:tc>
          <w:tcPr>
            <w:tcW w:w="382" w:type="dxa"/>
            <w:tcBorders>
              <w:top w:val="nil"/>
              <w:left w:val="single" w:sz="4" w:space="0" w:color="auto"/>
              <w:bottom w:val="nil"/>
              <w:right w:val="nil"/>
            </w:tcBorders>
            <w:shd w:val="clear" w:color="auto" w:fill="auto"/>
            <w:noWrap/>
            <w:vAlign w:val="bottom"/>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 </w:t>
            </w:r>
          </w:p>
        </w:tc>
        <w:tc>
          <w:tcPr>
            <w:tcW w:w="323" w:type="dxa"/>
            <w:vMerge w:val="restart"/>
            <w:tcBorders>
              <w:top w:val="nil"/>
              <w:left w:val="nil"/>
              <w:bottom w:val="single" w:sz="8" w:space="0" w:color="000000"/>
              <w:right w:val="nil"/>
            </w:tcBorders>
            <w:shd w:val="clear" w:color="auto" w:fill="auto"/>
            <w:noWrap/>
            <w:vAlign w:val="center"/>
            <w:hideMark/>
          </w:tcPr>
          <w:p w:rsidR="006E5BF3" w:rsidRPr="0035027D" w:rsidRDefault="006E5BF3" w:rsidP="006E5BF3">
            <w:pPr>
              <w:spacing w:after="0"/>
              <w:jc w:val="center"/>
              <w:rPr>
                <w:rFonts w:cs="Times New Roman"/>
                <w:b/>
                <w:bCs/>
                <w:color w:val="000000"/>
                <w:sz w:val="20"/>
                <w:szCs w:val="20"/>
              </w:rPr>
            </w:pPr>
            <w:r w:rsidRPr="0035027D">
              <w:rPr>
                <w:rFonts w:cs="Times New Roman"/>
                <w:b/>
                <w:bCs/>
                <w:color w:val="000000"/>
                <w:sz w:val="20"/>
                <w:szCs w:val="20"/>
              </w:rPr>
              <w:t>3</w:t>
            </w:r>
          </w:p>
        </w:tc>
        <w:tc>
          <w:tcPr>
            <w:tcW w:w="3608" w:type="dxa"/>
            <w:tcBorders>
              <w:top w:val="nil"/>
              <w:left w:val="nil"/>
              <w:bottom w:val="nil"/>
              <w:right w:val="nil"/>
            </w:tcBorders>
            <w:shd w:val="clear" w:color="auto" w:fill="auto"/>
            <w:noWrap/>
            <w:vAlign w:val="center"/>
            <w:hideMark/>
          </w:tcPr>
          <w:p w:rsidR="006E5BF3" w:rsidRPr="0035027D" w:rsidRDefault="006E5BF3" w:rsidP="006E5BF3">
            <w:pPr>
              <w:spacing w:after="0"/>
              <w:rPr>
                <w:rFonts w:cs="Times New Roman"/>
                <w:b/>
                <w:bCs/>
                <w:color w:val="000000"/>
                <w:sz w:val="20"/>
                <w:szCs w:val="20"/>
              </w:rPr>
            </w:pPr>
            <w:r w:rsidRPr="0035027D">
              <w:rPr>
                <w:rFonts w:cs="Times New Roman"/>
                <w:b/>
                <w:bCs/>
                <w:color w:val="000000"/>
                <w:sz w:val="20"/>
                <w:szCs w:val="20"/>
              </w:rPr>
              <w:t>PISA</w:t>
            </w:r>
          </w:p>
        </w:tc>
        <w:tc>
          <w:tcPr>
            <w:tcW w:w="614" w:type="dxa"/>
            <w:tcBorders>
              <w:top w:val="nil"/>
              <w:left w:val="nil"/>
              <w:bottom w:val="nil"/>
              <w:right w:val="single" w:sz="8" w:space="0" w:color="auto"/>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SK</w:t>
            </w:r>
          </w:p>
        </w:tc>
        <w:tc>
          <w:tcPr>
            <w:tcW w:w="520" w:type="dxa"/>
            <w:tcBorders>
              <w:top w:val="nil"/>
              <w:left w:val="single" w:sz="8" w:space="0" w:color="auto"/>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51"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482</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488</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469"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 xml:space="preserve"> - </w:t>
            </w:r>
          </w:p>
        </w:tc>
        <w:tc>
          <w:tcPr>
            <w:tcW w:w="760" w:type="dxa"/>
            <w:tcBorders>
              <w:top w:val="nil"/>
              <w:left w:val="single" w:sz="8" w:space="0" w:color="auto"/>
              <w:bottom w:val="nil"/>
              <w:right w:val="single" w:sz="4" w:space="0" w:color="auto"/>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505</w:t>
            </w:r>
          </w:p>
        </w:tc>
      </w:tr>
      <w:tr w:rsidR="00A41F46" w:rsidRPr="0035027D" w:rsidTr="006E5BF3">
        <w:trPr>
          <w:trHeight w:val="113"/>
        </w:trPr>
        <w:tc>
          <w:tcPr>
            <w:tcW w:w="382" w:type="dxa"/>
            <w:tcBorders>
              <w:top w:val="nil"/>
              <w:left w:val="single" w:sz="4" w:space="0" w:color="auto"/>
              <w:bottom w:val="single" w:sz="8" w:space="0" w:color="auto"/>
              <w:right w:val="nil"/>
            </w:tcBorders>
            <w:shd w:val="clear" w:color="auto" w:fill="auto"/>
            <w:noWrap/>
            <w:vAlign w:val="bottom"/>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 </w:t>
            </w:r>
          </w:p>
        </w:tc>
        <w:tc>
          <w:tcPr>
            <w:tcW w:w="323" w:type="dxa"/>
            <w:vMerge/>
            <w:tcBorders>
              <w:top w:val="nil"/>
              <w:left w:val="nil"/>
              <w:bottom w:val="single" w:sz="8" w:space="0" w:color="000000"/>
              <w:right w:val="nil"/>
            </w:tcBorders>
            <w:vAlign w:val="center"/>
            <w:hideMark/>
          </w:tcPr>
          <w:p w:rsidR="006E5BF3" w:rsidRPr="0035027D" w:rsidRDefault="006E5BF3" w:rsidP="006E5BF3">
            <w:pPr>
              <w:spacing w:after="0"/>
              <w:jc w:val="left"/>
              <w:rPr>
                <w:rFonts w:cs="Times New Roman"/>
                <w:b/>
                <w:bCs/>
                <w:color w:val="000000"/>
                <w:sz w:val="20"/>
                <w:szCs w:val="20"/>
              </w:rPr>
            </w:pPr>
          </w:p>
        </w:tc>
        <w:tc>
          <w:tcPr>
            <w:tcW w:w="3608" w:type="dxa"/>
            <w:tcBorders>
              <w:top w:val="nil"/>
              <w:left w:val="nil"/>
              <w:bottom w:val="single" w:sz="8" w:space="0" w:color="auto"/>
              <w:right w:val="nil"/>
            </w:tcBorders>
            <w:shd w:val="clear" w:color="auto" w:fill="auto"/>
            <w:noWrap/>
            <w:vAlign w:val="center"/>
            <w:hideMark/>
          </w:tcPr>
          <w:p w:rsidR="006E5BF3" w:rsidRPr="0035027D" w:rsidRDefault="006E5BF3" w:rsidP="006E5BF3">
            <w:pPr>
              <w:spacing w:after="0"/>
              <w:rPr>
                <w:rFonts w:cs="Times New Roman"/>
                <w:color w:val="000000"/>
                <w:sz w:val="20"/>
                <w:szCs w:val="20"/>
              </w:rPr>
            </w:pPr>
            <w:r w:rsidRPr="0035027D">
              <w:rPr>
                <w:rFonts w:cs="Times New Roman"/>
                <w:color w:val="000000"/>
                <w:sz w:val="20"/>
                <w:szCs w:val="20"/>
              </w:rPr>
              <w:t>(priemer dosiahnutých bodov)</w:t>
            </w:r>
          </w:p>
        </w:tc>
        <w:tc>
          <w:tcPr>
            <w:tcW w:w="614" w:type="dxa"/>
            <w:tcBorders>
              <w:top w:val="nil"/>
              <w:left w:val="nil"/>
              <w:bottom w:val="single" w:sz="8" w:space="0" w:color="auto"/>
              <w:right w:val="single" w:sz="8" w:space="0" w:color="auto"/>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OECD</w:t>
            </w:r>
          </w:p>
        </w:tc>
        <w:tc>
          <w:tcPr>
            <w:tcW w:w="520" w:type="dxa"/>
            <w:tcBorders>
              <w:top w:val="nil"/>
              <w:left w:val="single" w:sz="8" w:space="0" w:color="auto"/>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51"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496</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496</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469"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 xml:space="preserve"> - </w:t>
            </w:r>
          </w:p>
        </w:tc>
        <w:tc>
          <w:tcPr>
            <w:tcW w:w="760" w:type="dxa"/>
            <w:tcBorders>
              <w:top w:val="nil"/>
              <w:left w:val="single" w:sz="8" w:space="0" w:color="auto"/>
              <w:bottom w:val="single" w:sz="8" w:space="0" w:color="auto"/>
              <w:right w:val="single" w:sz="4" w:space="0" w:color="auto"/>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r>
      <w:tr w:rsidR="00A41F46" w:rsidRPr="0035027D" w:rsidTr="006E5BF3">
        <w:trPr>
          <w:trHeight w:val="113"/>
        </w:trPr>
        <w:tc>
          <w:tcPr>
            <w:tcW w:w="382" w:type="dxa"/>
            <w:vMerge w:val="restart"/>
            <w:tcBorders>
              <w:top w:val="nil"/>
              <w:left w:val="single" w:sz="4" w:space="0" w:color="auto"/>
              <w:bottom w:val="single" w:sz="8" w:space="0" w:color="000000"/>
              <w:right w:val="nil"/>
            </w:tcBorders>
            <w:shd w:val="clear" w:color="auto" w:fill="auto"/>
            <w:textDirection w:val="btLr"/>
            <w:vAlign w:val="center"/>
            <w:hideMark/>
          </w:tcPr>
          <w:p w:rsidR="006E5BF3" w:rsidRPr="0035027D" w:rsidRDefault="006E5BF3" w:rsidP="006E5BF3">
            <w:pPr>
              <w:spacing w:after="0"/>
              <w:jc w:val="center"/>
              <w:rPr>
                <w:rFonts w:cs="Times New Roman"/>
                <w:b/>
                <w:bCs/>
                <w:color w:val="000000"/>
                <w:sz w:val="20"/>
                <w:szCs w:val="20"/>
              </w:rPr>
            </w:pPr>
            <w:r w:rsidRPr="0035027D">
              <w:rPr>
                <w:rFonts w:cs="Times New Roman"/>
                <w:b/>
                <w:bCs/>
                <w:color w:val="000000"/>
                <w:sz w:val="20"/>
                <w:szCs w:val="20"/>
              </w:rPr>
              <w:t>EÚ</w:t>
            </w:r>
          </w:p>
        </w:tc>
        <w:tc>
          <w:tcPr>
            <w:tcW w:w="323" w:type="dxa"/>
            <w:vMerge w:val="restart"/>
            <w:tcBorders>
              <w:top w:val="nil"/>
              <w:left w:val="nil"/>
              <w:bottom w:val="single" w:sz="8" w:space="0" w:color="000000"/>
              <w:right w:val="nil"/>
            </w:tcBorders>
            <w:shd w:val="clear" w:color="auto" w:fill="auto"/>
            <w:noWrap/>
            <w:vAlign w:val="center"/>
            <w:hideMark/>
          </w:tcPr>
          <w:p w:rsidR="006E5BF3" w:rsidRPr="0035027D" w:rsidRDefault="006E5BF3" w:rsidP="006E5BF3">
            <w:pPr>
              <w:spacing w:after="0"/>
              <w:jc w:val="center"/>
              <w:rPr>
                <w:rFonts w:cs="Times New Roman"/>
                <w:b/>
                <w:bCs/>
                <w:color w:val="000000"/>
                <w:sz w:val="20"/>
                <w:szCs w:val="20"/>
              </w:rPr>
            </w:pPr>
            <w:r w:rsidRPr="0035027D">
              <w:rPr>
                <w:rFonts w:cs="Times New Roman"/>
                <w:b/>
                <w:bCs/>
                <w:color w:val="000000"/>
                <w:sz w:val="20"/>
                <w:szCs w:val="20"/>
              </w:rPr>
              <w:t>4</w:t>
            </w:r>
          </w:p>
        </w:tc>
        <w:tc>
          <w:tcPr>
            <w:tcW w:w="3608" w:type="dxa"/>
            <w:tcBorders>
              <w:top w:val="nil"/>
              <w:left w:val="nil"/>
              <w:bottom w:val="nil"/>
              <w:right w:val="nil"/>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Predčasné ukončenie školskej dochádzky</w:t>
            </w:r>
          </w:p>
        </w:tc>
        <w:tc>
          <w:tcPr>
            <w:tcW w:w="614" w:type="dxa"/>
            <w:tcBorders>
              <w:top w:val="nil"/>
              <w:left w:val="nil"/>
              <w:bottom w:val="nil"/>
              <w:right w:val="single" w:sz="8" w:space="0" w:color="auto"/>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SK</w:t>
            </w:r>
          </w:p>
        </w:tc>
        <w:tc>
          <w:tcPr>
            <w:tcW w:w="520" w:type="dxa"/>
            <w:tcBorders>
              <w:top w:val="nil"/>
              <w:left w:val="single" w:sz="8" w:space="0" w:color="auto"/>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6,8</w:t>
            </w:r>
          </w:p>
        </w:tc>
        <w:tc>
          <w:tcPr>
            <w:tcW w:w="551"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6,3</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6,6</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6,5</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6</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4,9</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4,7</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5</w:t>
            </w:r>
          </w:p>
        </w:tc>
        <w:tc>
          <w:tcPr>
            <w:tcW w:w="469"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 xml:space="preserve"> - </w:t>
            </w:r>
          </w:p>
        </w:tc>
        <w:tc>
          <w:tcPr>
            <w:tcW w:w="760" w:type="dxa"/>
            <w:tcBorders>
              <w:top w:val="nil"/>
              <w:left w:val="single" w:sz="8" w:space="0" w:color="auto"/>
              <w:bottom w:val="nil"/>
              <w:right w:val="single" w:sz="4" w:space="0" w:color="auto"/>
            </w:tcBorders>
            <w:shd w:val="clear" w:color="auto" w:fill="auto"/>
            <w:noWrap/>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6</w:t>
            </w:r>
          </w:p>
        </w:tc>
      </w:tr>
      <w:tr w:rsidR="00A41F46" w:rsidRPr="0035027D" w:rsidTr="006E5BF3">
        <w:trPr>
          <w:trHeight w:val="113"/>
        </w:trPr>
        <w:tc>
          <w:tcPr>
            <w:tcW w:w="382" w:type="dxa"/>
            <w:vMerge/>
            <w:tcBorders>
              <w:top w:val="nil"/>
              <w:left w:val="single" w:sz="4" w:space="0" w:color="auto"/>
              <w:bottom w:val="single" w:sz="8" w:space="0" w:color="000000"/>
              <w:right w:val="nil"/>
            </w:tcBorders>
            <w:vAlign w:val="center"/>
            <w:hideMark/>
          </w:tcPr>
          <w:p w:rsidR="006E5BF3" w:rsidRPr="0035027D" w:rsidRDefault="006E5BF3" w:rsidP="006E5BF3">
            <w:pPr>
              <w:spacing w:after="0"/>
              <w:jc w:val="left"/>
              <w:rPr>
                <w:rFonts w:cs="Times New Roman"/>
                <w:b/>
                <w:bCs/>
                <w:color w:val="000000"/>
                <w:sz w:val="20"/>
                <w:szCs w:val="20"/>
              </w:rPr>
            </w:pPr>
          </w:p>
        </w:tc>
        <w:tc>
          <w:tcPr>
            <w:tcW w:w="323" w:type="dxa"/>
            <w:vMerge/>
            <w:tcBorders>
              <w:top w:val="nil"/>
              <w:left w:val="nil"/>
              <w:bottom w:val="single" w:sz="8" w:space="0" w:color="000000"/>
              <w:right w:val="nil"/>
            </w:tcBorders>
            <w:vAlign w:val="center"/>
            <w:hideMark/>
          </w:tcPr>
          <w:p w:rsidR="006E5BF3" w:rsidRPr="0035027D" w:rsidRDefault="006E5BF3" w:rsidP="006E5BF3">
            <w:pPr>
              <w:spacing w:after="0"/>
              <w:jc w:val="left"/>
              <w:rPr>
                <w:rFonts w:cs="Times New Roman"/>
                <w:b/>
                <w:bCs/>
                <w:color w:val="000000"/>
                <w:sz w:val="20"/>
                <w:szCs w:val="20"/>
              </w:rPr>
            </w:pPr>
          </w:p>
        </w:tc>
        <w:tc>
          <w:tcPr>
            <w:tcW w:w="3608" w:type="dxa"/>
            <w:tcBorders>
              <w:top w:val="nil"/>
              <w:left w:val="nil"/>
              <w:bottom w:val="single" w:sz="8" w:space="0" w:color="auto"/>
              <w:right w:val="nil"/>
            </w:tcBorders>
            <w:shd w:val="clear" w:color="auto" w:fill="auto"/>
            <w:noWrap/>
            <w:vAlign w:val="center"/>
            <w:hideMark/>
          </w:tcPr>
          <w:p w:rsidR="006E5BF3" w:rsidRPr="0035027D" w:rsidRDefault="006E5BF3" w:rsidP="006E5BF3">
            <w:pPr>
              <w:spacing w:after="0"/>
              <w:rPr>
                <w:rFonts w:cs="Times New Roman"/>
                <w:color w:val="000000"/>
                <w:sz w:val="20"/>
                <w:szCs w:val="20"/>
              </w:rPr>
            </w:pPr>
            <w:r w:rsidRPr="0035027D">
              <w:rPr>
                <w:rFonts w:cs="Times New Roman"/>
                <w:color w:val="000000"/>
                <w:sz w:val="20"/>
                <w:szCs w:val="20"/>
              </w:rPr>
              <w:t>(% vo vekovej skupine 18 - 24 rokov)</w:t>
            </w:r>
          </w:p>
        </w:tc>
        <w:tc>
          <w:tcPr>
            <w:tcW w:w="614" w:type="dxa"/>
            <w:tcBorders>
              <w:top w:val="nil"/>
              <w:left w:val="nil"/>
              <w:bottom w:val="single" w:sz="8" w:space="0" w:color="auto"/>
              <w:right w:val="single" w:sz="8" w:space="0" w:color="auto"/>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EÚ</w:t>
            </w:r>
          </w:p>
        </w:tc>
        <w:tc>
          <w:tcPr>
            <w:tcW w:w="520" w:type="dxa"/>
            <w:tcBorders>
              <w:top w:val="nil"/>
              <w:left w:val="single" w:sz="8" w:space="0" w:color="auto"/>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16</w:t>
            </w:r>
          </w:p>
        </w:tc>
        <w:tc>
          <w:tcPr>
            <w:tcW w:w="551"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15,8</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15,5</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15,1</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14,9</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14,4</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14,1</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13,5</w:t>
            </w:r>
          </w:p>
        </w:tc>
        <w:tc>
          <w:tcPr>
            <w:tcW w:w="469"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 xml:space="preserve"> - </w:t>
            </w:r>
          </w:p>
        </w:tc>
        <w:tc>
          <w:tcPr>
            <w:tcW w:w="760" w:type="dxa"/>
            <w:tcBorders>
              <w:top w:val="nil"/>
              <w:left w:val="single" w:sz="8" w:space="0" w:color="auto"/>
              <w:bottom w:val="single" w:sz="8" w:space="0" w:color="auto"/>
              <w:right w:val="single" w:sz="4" w:space="0" w:color="auto"/>
            </w:tcBorders>
            <w:shd w:val="clear" w:color="auto" w:fill="auto"/>
            <w:noWrap/>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10</w:t>
            </w:r>
          </w:p>
        </w:tc>
      </w:tr>
      <w:tr w:rsidR="00A41F46" w:rsidRPr="0035027D" w:rsidTr="006E5BF3">
        <w:trPr>
          <w:trHeight w:val="113"/>
        </w:trPr>
        <w:tc>
          <w:tcPr>
            <w:tcW w:w="382" w:type="dxa"/>
            <w:tcBorders>
              <w:top w:val="nil"/>
              <w:left w:val="single" w:sz="4" w:space="0" w:color="auto"/>
              <w:bottom w:val="nil"/>
              <w:right w:val="nil"/>
            </w:tcBorders>
            <w:shd w:val="clear" w:color="auto" w:fill="auto"/>
            <w:textDirection w:val="btLr"/>
            <w:vAlign w:val="center"/>
            <w:hideMark/>
          </w:tcPr>
          <w:p w:rsidR="006E5BF3" w:rsidRPr="0035027D" w:rsidRDefault="006E5BF3" w:rsidP="006E5BF3">
            <w:pPr>
              <w:spacing w:after="0"/>
              <w:jc w:val="center"/>
              <w:rPr>
                <w:rFonts w:cs="Times New Roman"/>
                <w:b/>
                <w:bCs/>
                <w:color w:val="000000"/>
                <w:sz w:val="20"/>
                <w:szCs w:val="20"/>
              </w:rPr>
            </w:pPr>
            <w:r w:rsidRPr="0035027D">
              <w:rPr>
                <w:rFonts w:cs="Times New Roman"/>
                <w:b/>
                <w:bCs/>
                <w:color w:val="000000"/>
                <w:sz w:val="20"/>
                <w:szCs w:val="20"/>
              </w:rPr>
              <w:t> </w:t>
            </w:r>
          </w:p>
        </w:tc>
        <w:tc>
          <w:tcPr>
            <w:tcW w:w="323" w:type="dxa"/>
            <w:vMerge w:val="restart"/>
            <w:tcBorders>
              <w:top w:val="nil"/>
              <w:left w:val="nil"/>
              <w:bottom w:val="single" w:sz="8" w:space="0" w:color="000000"/>
              <w:right w:val="nil"/>
            </w:tcBorders>
            <w:shd w:val="clear" w:color="auto" w:fill="auto"/>
            <w:noWrap/>
            <w:vAlign w:val="center"/>
            <w:hideMark/>
          </w:tcPr>
          <w:p w:rsidR="006E5BF3" w:rsidRPr="0035027D" w:rsidRDefault="006E5BF3" w:rsidP="006E5BF3">
            <w:pPr>
              <w:spacing w:after="0"/>
              <w:jc w:val="center"/>
              <w:rPr>
                <w:rFonts w:cs="Times New Roman"/>
                <w:b/>
                <w:bCs/>
                <w:color w:val="000000"/>
                <w:sz w:val="20"/>
                <w:szCs w:val="20"/>
              </w:rPr>
            </w:pPr>
            <w:r w:rsidRPr="0035027D">
              <w:rPr>
                <w:rFonts w:cs="Times New Roman"/>
                <w:b/>
                <w:bCs/>
                <w:color w:val="000000"/>
                <w:sz w:val="20"/>
                <w:szCs w:val="20"/>
              </w:rPr>
              <w:t>5</w:t>
            </w:r>
          </w:p>
        </w:tc>
        <w:tc>
          <w:tcPr>
            <w:tcW w:w="3608" w:type="dxa"/>
            <w:tcBorders>
              <w:top w:val="nil"/>
              <w:left w:val="nil"/>
              <w:bottom w:val="nil"/>
              <w:right w:val="nil"/>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Citácie</w:t>
            </w:r>
          </w:p>
        </w:tc>
        <w:tc>
          <w:tcPr>
            <w:tcW w:w="614" w:type="dxa"/>
            <w:tcBorders>
              <w:top w:val="nil"/>
              <w:left w:val="nil"/>
              <w:bottom w:val="nil"/>
              <w:right w:val="single" w:sz="8" w:space="0" w:color="auto"/>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SK</w:t>
            </w:r>
          </w:p>
        </w:tc>
        <w:tc>
          <w:tcPr>
            <w:tcW w:w="520" w:type="dxa"/>
            <w:tcBorders>
              <w:top w:val="nil"/>
              <w:left w:val="nil"/>
              <w:bottom w:val="nil"/>
              <w:right w:val="nil"/>
            </w:tcBorders>
            <w:shd w:val="clear" w:color="auto" w:fill="auto"/>
            <w:noWrap/>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35</w:t>
            </w:r>
          </w:p>
        </w:tc>
        <w:tc>
          <w:tcPr>
            <w:tcW w:w="551" w:type="dxa"/>
            <w:tcBorders>
              <w:top w:val="nil"/>
              <w:left w:val="nil"/>
              <w:bottom w:val="nil"/>
              <w:right w:val="nil"/>
            </w:tcBorders>
            <w:shd w:val="clear" w:color="auto" w:fill="auto"/>
            <w:noWrap/>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33</w:t>
            </w:r>
          </w:p>
        </w:tc>
        <w:tc>
          <w:tcPr>
            <w:tcW w:w="520" w:type="dxa"/>
            <w:tcBorders>
              <w:top w:val="nil"/>
              <w:left w:val="nil"/>
              <w:bottom w:val="nil"/>
              <w:right w:val="nil"/>
            </w:tcBorders>
            <w:shd w:val="clear" w:color="auto" w:fill="auto"/>
            <w:noWrap/>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40</w:t>
            </w:r>
          </w:p>
        </w:tc>
        <w:tc>
          <w:tcPr>
            <w:tcW w:w="520" w:type="dxa"/>
            <w:tcBorders>
              <w:top w:val="nil"/>
              <w:left w:val="nil"/>
              <w:bottom w:val="nil"/>
              <w:right w:val="nil"/>
            </w:tcBorders>
            <w:shd w:val="clear" w:color="auto" w:fill="auto"/>
            <w:noWrap/>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38</w:t>
            </w:r>
          </w:p>
        </w:tc>
        <w:tc>
          <w:tcPr>
            <w:tcW w:w="520" w:type="dxa"/>
            <w:tcBorders>
              <w:top w:val="nil"/>
              <w:left w:val="nil"/>
              <w:bottom w:val="nil"/>
              <w:right w:val="nil"/>
            </w:tcBorders>
            <w:shd w:val="clear" w:color="auto" w:fill="auto"/>
            <w:noWrap/>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41</w:t>
            </w:r>
          </w:p>
        </w:tc>
        <w:tc>
          <w:tcPr>
            <w:tcW w:w="520" w:type="dxa"/>
            <w:tcBorders>
              <w:top w:val="nil"/>
              <w:left w:val="nil"/>
              <w:bottom w:val="nil"/>
              <w:right w:val="nil"/>
            </w:tcBorders>
            <w:shd w:val="clear" w:color="auto" w:fill="auto"/>
            <w:noWrap/>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37</w:t>
            </w:r>
          </w:p>
        </w:tc>
        <w:tc>
          <w:tcPr>
            <w:tcW w:w="520" w:type="dxa"/>
            <w:tcBorders>
              <w:top w:val="nil"/>
              <w:left w:val="nil"/>
              <w:bottom w:val="nil"/>
              <w:right w:val="nil"/>
            </w:tcBorders>
            <w:shd w:val="clear" w:color="auto" w:fill="auto"/>
            <w:noWrap/>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34</w:t>
            </w:r>
          </w:p>
        </w:tc>
        <w:tc>
          <w:tcPr>
            <w:tcW w:w="520" w:type="dxa"/>
            <w:tcBorders>
              <w:top w:val="nil"/>
              <w:left w:val="nil"/>
              <w:bottom w:val="nil"/>
              <w:right w:val="nil"/>
            </w:tcBorders>
            <w:shd w:val="clear" w:color="auto" w:fill="auto"/>
            <w:noWrap/>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39</w:t>
            </w:r>
          </w:p>
        </w:tc>
        <w:tc>
          <w:tcPr>
            <w:tcW w:w="469"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 xml:space="preserve"> - </w:t>
            </w:r>
          </w:p>
        </w:tc>
        <w:tc>
          <w:tcPr>
            <w:tcW w:w="760" w:type="dxa"/>
            <w:tcBorders>
              <w:top w:val="nil"/>
              <w:left w:val="single" w:sz="8" w:space="0" w:color="auto"/>
              <w:bottom w:val="nil"/>
              <w:right w:val="single" w:sz="4" w:space="0" w:color="auto"/>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70</w:t>
            </w:r>
          </w:p>
        </w:tc>
      </w:tr>
      <w:tr w:rsidR="00A41F46" w:rsidRPr="0035027D" w:rsidTr="006E5BF3">
        <w:trPr>
          <w:trHeight w:val="113"/>
        </w:trPr>
        <w:tc>
          <w:tcPr>
            <w:tcW w:w="382" w:type="dxa"/>
            <w:tcBorders>
              <w:top w:val="nil"/>
              <w:left w:val="single" w:sz="4" w:space="0" w:color="auto"/>
              <w:bottom w:val="single" w:sz="8" w:space="0" w:color="auto"/>
              <w:right w:val="nil"/>
            </w:tcBorders>
            <w:shd w:val="clear" w:color="auto" w:fill="auto"/>
            <w:textDirection w:val="btLr"/>
            <w:vAlign w:val="center"/>
            <w:hideMark/>
          </w:tcPr>
          <w:p w:rsidR="006E5BF3" w:rsidRPr="0035027D" w:rsidRDefault="006E5BF3" w:rsidP="006E5BF3">
            <w:pPr>
              <w:spacing w:after="0"/>
              <w:jc w:val="center"/>
              <w:rPr>
                <w:rFonts w:cs="Times New Roman"/>
                <w:b/>
                <w:bCs/>
                <w:color w:val="000000"/>
                <w:sz w:val="20"/>
                <w:szCs w:val="20"/>
              </w:rPr>
            </w:pPr>
            <w:r w:rsidRPr="0035027D">
              <w:rPr>
                <w:rFonts w:cs="Times New Roman"/>
                <w:b/>
                <w:bCs/>
                <w:color w:val="000000"/>
                <w:sz w:val="20"/>
                <w:szCs w:val="20"/>
              </w:rPr>
              <w:t> </w:t>
            </w:r>
          </w:p>
        </w:tc>
        <w:tc>
          <w:tcPr>
            <w:tcW w:w="323" w:type="dxa"/>
            <w:vMerge/>
            <w:tcBorders>
              <w:top w:val="nil"/>
              <w:left w:val="nil"/>
              <w:bottom w:val="single" w:sz="8" w:space="0" w:color="000000"/>
              <w:right w:val="nil"/>
            </w:tcBorders>
            <w:vAlign w:val="center"/>
            <w:hideMark/>
          </w:tcPr>
          <w:p w:rsidR="006E5BF3" w:rsidRPr="0035027D" w:rsidRDefault="006E5BF3" w:rsidP="006E5BF3">
            <w:pPr>
              <w:spacing w:after="0"/>
              <w:jc w:val="left"/>
              <w:rPr>
                <w:rFonts w:cs="Times New Roman"/>
                <w:b/>
                <w:bCs/>
                <w:color w:val="000000"/>
                <w:sz w:val="20"/>
                <w:szCs w:val="20"/>
              </w:rPr>
            </w:pPr>
          </w:p>
        </w:tc>
        <w:tc>
          <w:tcPr>
            <w:tcW w:w="3608" w:type="dxa"/>
            <w:tcBorders>
              <w:top w:val="nil"/>
              <w:left w:val="nil"/>
              <w:bottom w:val="single" w:sz="8" w:space="0" w:color="auto"/>
              <w:right w:val="nil"/>
            </w:tcBorders>
            <w:shd w:val="clear" w:color="auto" w:fill="auto"/>
            <w:noWrap/>
            <w:vAlign w:val="center"/>
            <w:hideMark/>
          </w:tcPr>
          <w:p w:rsidR="006E5BF3" w:rsidRPr="0035027D" w:rsidRDefault="006E5BF3" w:rsidP="006E5BF3">
            <w:pPr>
              <w:spacing w:after="0"/>
              <w:rPr>
                <w:rFonts w:cs="Times New Roman"/>
                <w:color w:val="000000"/>
                <w:sz w:val="20"/>
                <w:szCs w:val="20"/>
              </w:rPr>
            </w:pPr>
            <w:r w:rsidRPr="0035027D">
              <w:rPr>
                <w:rFonts w:cs="Times New Roman"/>
                <w:color w:val="000000"/>
                <w:sz w:val="20"/>
                <w:szCs w:val="20"/>
              </w:rPr>
              <w:t>(%, 100 = priemer EÚ)</w:t>
            </w:r>
          </w:p>
        </w:tc>
        <w:tc>
          <w:tcPr>
            <w:tcW w:w="614" w:type="dxa"/>
            <w:tcBorders>
              <w:top w:val="nil"/>
              <w:left w:val="nil"/>
              <w:bottom w:val="single" w:sz="8" w:space="0" w:color="auto"/>
              <w:right w:val="single" w:sz="8" w:space="0" w:color="auto"/>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EÚ</w:t>
            </w:r>
          </w:p>
        </w:tc>
        <w:tc>
          <w:tcPr>
            <w:tcW w:w="520" w:type="dxa"/>
            <w:tcBorders>
              <w:top w:val="nil"/>
              <w:left w:val="single" w:sz="8" w:space="0" w:color="auto"/>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51"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469"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 xml:space="preserve"> - </w:t>
            </w:r>
          </w:p>
        </w:tc>
        <w:tc>
          <w:tcPr>
            <w:tcW w:w="760" w:type="dxa"/>
            <w:tcBorders>
              <w:top w:val="nil"/>
              <w:left w:val="single" w:sz="8" w:space="0" w:color="auto"/>
              <w:bottom w:val="single" w:sz="8" w:space="0" w:color="auto"/>
              <w:right w:val="single" w:sz="4" w:space="0" w:color="auto"/>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r>
      <w:tr w:rsidR="00A41F46" w:rsidRPr="0035027D" w:rsidTr="006E5BF3">
        <w:trPr>
          <w:trHeight w:val="113"/>
        </w:trPr>
        <w:tc>
          <w:tcPr>
            <w:tcW w:w="382" w:type="dxa"/>
            <w:vMerge w:val="restart"/>
            <w:tcBorders>
              <w:top w:val="nil"/>
              <w:left w:val="single" w:sz="4" w:space="0" w:color="auto"/>
              <w:bottom w:val="single" w:sz="8" w:space="0" w:color="000000"/>
              <w:right w:val="nil"/>
            </w:tcBorders>
            <w:shd w:val="clear" w:color="auto" w:fill="auto"/>
            <w:textDirection w:val="btLr"/>
            <w:vAlign w:val="center"/>
            <w:hideMark/>
          </w:tcPr>
          <w:p w:rsidR="006E5BF3" w:rsidRPr="0035027D" w:rsidRDefault="006E5BF3" w:rsidP="006E5BF3">
            <w:pPr>
              <w:spacing w:after="0"/>
              <w:jc w:val="center"/>
              <w:rPr>
                <w:rFonts w:cs="Times New Roman"/>
                <w:b/>
                <w:bCs/>
                <w:color w:val="000000"/>
                <w:sz w:val="20"/>
                <w:szCs w:val="20"/>
              </w:rPr>
            </w:pPr>
            <w:r w:rsidRPr="0035027D">
              <w:rPr>
                <w:rFonts w:cs="Times New Roman"/>
                <w:b/>
                <w:bCs/>
                <w:color w:val="000000"/>
                <w:sz w:val="20"/>
                <w:szCs w:val="20"/>
              </w:rPr>
              <w:t>EÚ</w:t>
            </w:r>
          </w:p>
        </w:tc>
        <w:tc>
          <w:tcPr>
            <w:tcW w:w="323" w:type="dxa"/>
            <w:vMerge w:val="restart"/>
            <w:tcBorders>
              <w:top w:val="nil"/>
              <w:left w:val="nil"/>
              <w:bottom w:val="single" w:sz="8" w:space="0" w:color="000000"/>
              <w:right w:val="nil"/>
            </w:tcBorders>
            <w:shd w:val="clear" w:color="auto" w:fill="auto"/>
            <w:noWrap/>
            <w:vAlign w:val="center"/>
            <w:hideMark/>
          </w:tcPr>
          <w:p w:rsidR="006E5BF3" w:rsidRPr="0035027D" w:rsidRDefault="006E5BF3" w:rsidP="006E5BF3">
            <w:pPr>
              <w:spacing w:after="0"/>
              <w:jc w:val="center"/>
              <w:rPr>
                <w:rFonts w:cs="Times New Roman"/>
                <w:b/>
                <w:bCs/>
                <w:color w:val="000000"/>
                <w:sz w:val="20"/>
                <w:szCs w:val="20"/>
              </w:rPr>
            </w:pPr>
            <w:r w:rsidRPr="0035027D">
              <w:rPr>
                <w:rFonts w:cs="Times New Roman"/>
                <w:b/>
                <w:bCs/>
                <w:color w:val="000000"/>
                <w:sz w:val="20"/>
                <w:szCs w:val="20"/>
              </w:rPr>
              <w:t>6</w:t>
            </w:r>
          </w:p>
        </w:tc>
        <w:tc>
          <w:tcPr>
            <w:tcW w:w="3608" w:type="dxa"/>
            <w:tcBorders>
              <w:top w:val="nil"/>
              <w:left w:val="nil"/>
              <w:bottom w:val="nil"/>
              <w:right w:val="nil"/>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Miera vysokoškolsky vzdelanej populácie</w:t>
            </w:r>
          </w:p>
        </w:tc>
        <w:tc>
          <w:tcPr>
            <w:tcW w:w="614" w:type="dxa"/>
            <w:tcBorders>
              <w:top w:val="nil"/>
              <w:left w:val="nil"/>
              <w:bottom w:val="nil"/>
              <w:right w:val="single" w:sz="8" w:space="0" w:color="auto"/>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SK</w:t>
            </w:r>
          </w:p>
        </w:tc>
        <w:tc>
          <w:tcPr>
            <w:tcW w:w="520" w:type="dxa"/>
            <w:tcBorders>
              <w:top w:val="nil"/>
              <w:left w:val="single" w:sz="8" w:space="0" w:color="auto"/>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12,9</w:t>
            </w:r>
          </w:p>
        </w:tc>
        <w:tc>
          <w:tcPr>
            <w:tcW w:w="551"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14,3</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14,4</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14,8</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15,8</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17,6</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22,1</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23,4</w:t>
            </w:r>
          </w:p>
        </w:tc>
        <w:tc>
          <w:tcPr>
            <w:tcW w:w="469"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 xml:space="preserve"> - </w:t>
            </w:r>
          </w:p>
        </w:tc>
        <w:tc>
          <w:tcPr>
            <w:tcW w:w="760" w:type="dxa"/>
            <w:tcBorders>
              <w:top w:val="nil"/>
              <w:left w:val="single" w:sz="8" w:space="0" w:color="auto"/>
              <w:bottom w:val="nil"/>
              <w:right w:val="single" w:sz="4" w:space="0" w:color="auto"/>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40</w:t>
            </w:r>
          </w:p>
        </w:tc>
      </w:tr>
      <w:tr w:rsidR="00A41F46" w:rsidRPr="0035027D" w:rsidTr="006E5BF3">
        <w:trPr>
          <w:trHeight w:val="113"/>
        </w:trPr>
        <w:tc>
          <w:tcPr>
            <w:tcW w:w="382" w:type="dxa"/>
            <w:vMerge/>
            <w:tcBorders>
              <w:top w:val="nil"/>
              <w:left w:val="single" w:sz="4" w:space="0" w:color="auto"/>
              <w:bottom w:val="single" w:sz="8" w:space="0" w:color="000000"/>
              <w:right w:val="nil"/>
            </w:tcBorders>
            <w:vAlign w:val="center"/>
            <w:hideMark/>
          </w:tcPr>
          <w:p w:rsidR="006E5BF3" w:rsidRPr="0035027D" w:rsidRDefault="006E5BF3" w:rsidP="006E5BF3">
            <w:pPr>
              <w:spacing w:after="0"/>
              <w:jc w:val="left"/>
              <w:rPr>
                <w:rFonts w:cs="Times New Roman"/>
                <w:b/>
                <w:bCs/>
                <w:color w:val="000000"/>
                <w:sz w:val="20"/>
                <w:szCs w:val="20"/>
              </w:rPr>
            </w:pPr>
          </w:p>
        </w:tc>
        <w:tc>
          <w:tcPr>
            <w:tcW w:w="323" w:type="dxa"/>
            <w:vMerge/>
            <w:tcBorders>
              <w:top w:val="nil"/>
              <w:left w:val="nil"/>
              <w:bottom w:val="single" w:sz="8" w:space="0" w:color="000000"/>
              <w:right w:val="nil"/>
            </w:tcBorders>
            <w:vAlign w:val="center"/>
            <w:hideMark/>
          </w:tcPr>
          <w:p w:rsidR="006E5BF3" w:rsidRPr="0035027D" w:rsidRDefault="006E5BF3" w:rsidP="006E5BF3">
            <w:pPr>
              <w:spacing w:after="0"/>
              <w:jc w:val="left"/>
              <w:rPr>
                <w:rFonts w:cs="Times New Roman"/>
                <w:b/>
                <w:bCs/>
                <w:color w:val="000000"/>
                <w:sz w:val="20"/>
                <w:szCs w:val="20"/>
              </w:rPr>
            </w:pPr>
          </w:p>
        </w:tc>
        <w:tc>
          <w:tcPr>
            <w:tcW w:w="3608" w:type="dxa"/>
            <w:tcBorders>
              <w:top w:val="nil"/>
              <w:left w:val="nil"/>
              <w:bottom w:val="single" w:sz="8" w:space="0" w:color="auto"/>
              <w:right w:val="nil"/>
            </w:tcBorders>
            <w:shd w:val="clear" w:color="auto" w:fill="auto"/>
            <w:noWrap/>
            <w:vAlign w:val="center"/>
            <w:hideMark/>
          </w:tcPr>
          <w:p w:rsidR="006E5BF3" w:rsidRPr="0035027D" w:rsidRDefault="006E5BF3" w:rsidP="006E5BF3">
            <w:pPr>
              <w:spacing w:after="0"/>
              <w:rPr>
                <w:rFonts w:cs="Times New Roman"/>
                <w:color w:val="000000"/>
                <w:sz w:val="20"/>
                <w:szCs w:val="20"/>
              </w:rPr>
            </w:pPr>
            <w:r w:rsidRPr="0035027D">
              <w:rPr>
                <w:rFonts w:cs="Times New Roman"/>
                <w:color w:val="000000"/>
                <w:sz w:val="20"/>
                <w:szCs w:val="20"/>
              </w:rPr>
              <w:t>(% vo vekovej skupine 30 - 34 rokov)</w:t>
            </w:r>
          </w:p>
        </w:tc>
        <w:tc>
          <w:tcPr>
            <w:tcW w:w="614" w:type="dxa"/>
            <w:tcBorders>
              <w:top w:val="nil"/>
              <w:left w:val="nil"/>
              <w:bottom w:val="single" w:sz="8" w:space="0" w:color="auto"/>
              <w:right w:val="single" w:sz="8" w:space="0" w:color="auto"/>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EÚ</w:t>
            </w:r>
          </w:p>
        </w:tc>
        <w:tc>
          <w:tcPr>
            <w:tcW w:w="520" w:type="dxa"/>
            <w:tcBorders>
              <w:top w:val="nil"/>
              <w:left w:val="single" w:sz="8" w:space="0" w:color="auto"/>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26,9</w:t>
            </w:r>
          </w:p>
        </w:tc>
        <w:tc>
          <w:tcPr>
            <w:tcW w:w="551"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28</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28,9</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30</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31</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32,2</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33,5</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34,6</w:t>
            </w:r>
          </w:p>
        </w:tc>
        <w:tc>
          <w:tcPr>
            <w:tcW w:w="469"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 xml:space="preserve"> - </w:t>
            </w:r>
          </w:p>
        </w:tc>
        <w:tc>
          <w:tcPr>
            <w:tcW w:w="760" w:type="dxa"/>
            <w:tcBorders>
              <w:top w:val="nil"/>
              <w:left w:val="single" w:sz="8" w:space="0" w:color="auto"/>
              <w:bottom w:val="single" w:sz="8" w:space="0" w:color="auto"/>
              <w:right w:val="single" w:sz="4" w:space="0" w:color="auto"/>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40</w:t>
            </w:r>
          </w:p>
        </w:tc>
      </w:tr>
      <w:tr w:rsidR="00A41F46" w:rsidRPr="0035027D" w:rsidTr="006E5BF3">
        <w:trPr>
          <w:trHeight w:val="113"/>
        </w:trPr>
        <w:tc>
          <w:tcPr>
            <w:tcW w:w="382" w:type="dxa"/>
            <w:vMerge w:val="restart"/>
            <w:tcBorders>
              <w:top w:val="nil"/>
              <w:left w:val="single" w:sz="4" w:space="0" w:color="auto"/>
              <w:bottom w:val="single" w:sz="8" w:space="0" w:color="000000"/>
              <w:right w:val="nil"/>
            </w:tcBorders>
            <w:shd w:val="clear" w:color="auto" w:fill="auto"/>
            <w:textDirection w:val="btLr"/>
            <w:vAlign w:val="center"/>
            <w:hideMark/>
          </w:tcPr>
          <w:p w:rsidR="006E5BF3" w:rsidRPr="0035027D" w:rsidRDefault="006E5BF3" w:rsidP="006E5BF3">
            <w:pPr>
              <w:spacing w:after="0"/>
              <w:jc w:val="center"/>
              <w:rPr>
                <w:rFonts w:cs="Times New Roman"/>
                <w:b/>
                <w:bCs/>
                <w:color w:val="000000"/>
                <w:sz w:val="20"/>
                <w:szCs w:val="20"/>
              </w:rPr>
            </w:pPr>
            <w:r w:rsidRPr="0035027D">
              <w:rPr>
                <w:rFonts w:cs="Times New Roman"/>
                <w:b/>
                <w:bCs/>
                <w:color w:val="000000"/>
                <w:sz w:val="20"/>
                <w:szCs w:val="20"/>
              </w:rPr>
              <w:t>EÚ</w:t>
            </w:r>
          </w:p>
        </w:tc>
        <w:tc>
          <w:tcPr>
            <w:tcW w:w="323" w:type="dxa"/>
            <w:vMerge w:val="restart"/>
            <w:tcBorders>
              <w:top w:val="nil"/>
              <w:left w:val="nil"/>
              <w:bottom w:val="single" w:sz="8" w:space="0" w:color="000000"/>
              <w:right w:val="nil"/>
            </w:tcBorders>
            <w:shd w:val="clear" w:color="auto" w:fill="auto"/>
            <w:noWrap/>
            <w:vAlign w:val="center"/>
            <w:hideMark/>
          </w:tcPr>
          <w:p w:rsidR="006E5BF3" w:rsidRPr="0035027D" w:rsidRDefault="006E5BF3" w:rsidP="006E5BF3">
            <w:pPr>
              <w:spacing w:after="0"/>
              <w:jc w:val="center"/>
              <w:rPr>
                <w:rFonts w:cs="Times New Roman"/>
                <w:b/>
                <w:bCs/>
                <w:color w:val="000000"/>
                <w:sz w:val="20"/>
                <w:szCs w:val="20"/>
              </w:rPr>
            </w:pPr>
            <w:r w:rsidRPr="0035027D">
              <w:rPr>
                <w:rFonts w:cs="Times New Roman"/>
                <w:b/>
                <w:bCs/>
                <w:color w:val="000000"/>
                <w:sz w:val="20"/>
                <w:szCs w:val="20"/>
              </w:rPr>
              <w:t>7</w:t>
            </w:r>
          </w:p>
        </w:tc>
        <w:tc>
          <w:tcPr>
            <w:tcW w:w="3608" w:type="dxa"/>
            <w:tcBorders>
              <w:top w:val="nil"/>
              <w:left w:val="nil"/>
              <w:bottom w:val="nil"/>
              <w:right w:val="nil"/>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Výdavky na vedu a výskum</w:t>
            </w:r>
          </w:p>
        </w:tc>
        <w:tc>
          <w:tcPr>
            <w:tcW w:w="614" w:type="dxa"/>
            <w:tcBorders>
              <w:top w:val="nil"/>
              <w:left w:val="nil"/>
              <w:bottom w:val="nil"/>
              <w:right w:val="single" w:sz="8" w:space="0" w:color="auto"/>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SK</w:t>
            </w:r>
          </w:p>
        </w:tc>
        <w:tc>
          <w:tcPr>
            <w:tcW w:w="520" w:type="dxa"/>
            <w:tcBorders>
              <w:top w:val="nil"/>
              <w:left w:val="single" w:sz="8" w:space="0" w:color="auto"/>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0,51</w:t>
            </w:r>
          </w:p>
        </w:tc>
        <w:tc>
          <w:tcPr>
            <w:tcW w:w="551"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0,51</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0,49</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0,46</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0,47</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0,48</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0,63</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0,68</w:t>
            </w:r>
          </w:p>
        </w:tc>
        <w:tc>
          <w:tcPr>
            <w:tcW w:w="469"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 xml:space="preserve"> - </w:t>
            </w:r>
          </w:p>
        </w:tc>
        <w:tc>
          <w:tcPr>
            <w:tcW w:w="760" w:type="dxa"/>
            <w:tcBorders>
              <w:top w:val="nil"/>
              <w:left w:val="single" w:sz="8" w:space="0" w:color="auto"/>
              <w:bottom w:val="nil"/>
              <w:right w:val="single" w:sz="4" w:space="0" w:color="auto"/>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1</w:t>
            </w:r>
            <w:r w:rsidR="00D92382" w:rsidRPr="0035027D">
              <w:rPr>
                <w:rFonts w:cs="Times New Roman"/>
                <w:color w:val="000000"/>
                <w:sz w:val="20"/>
                <w:szCs w:val="20"/>
              </w:rPr>
              <w:t>,2</w:t>
            </w:r>
          </w:p>
        </w:tc>
      </w:tr>
      <w:tr w:rsidR="00A41F46" w:rsidRPr="0035027D" w:rsidTr="006E5BF3">
        <w:trPr>
          <w:trHeight w:val="113"/>
        </w:trPr>
        <w:tc>
          <w:tcPr>
            <w:tcW w:w="382" w:type="dxa"/>
            <w:vMerge/>
            <w:tcBorders>
              <w:top w:val="nil"/>
              <w:left w:val="single" w:sz="4" w:space="0" w:color="auto"/>
              <w:bottom w:val="single" w:sz="8" w:space="0" w:color="000000"/>
              <w:right w:val="nil"/>
            </w:tcBorders>
            <w:vAlign w:val="center"/>
            <w:hideMark/>
          </w:tcPr>
          <w:p w:rsidR="006E5BF3" w:rsidRPr="0035027D" w:rsidRDefault="006E5BF3" w:rsidP="006E5BF3">
            <w:pPr>
              <w:spacing w:after="0"/>
              <w:jc w:val="left"/>
              <w:rPr>
                <w:rFonts w:cs="Times New Roman"/>
                <w:b/>
                <w:bCs/>
                <w:color w:val="000000"/>
                <w:sz w:val="20"/>
                <w:szCs w:val="20"/>
              </w:rPr>
            </w:pPr>
          </w:p>
        </w:tc>
        <w:tc>
          <w:tcPr>
            <w:tcW w:w="323" w:type="dxa"/>
            <w:vMerge/>
            <w:tcBorders>
              <w:top w:val="nil"/>
              <w:left w:val="nil"/>
              <w:bottom w:val="single" w:sz="8" w:space="0" w:color="000000"/>
              <w:right w:val="nil"/>
            </w:tcBorders>
            <w:vAlign w:val="center"/>
            <w:hideMark/>
          </w:tcPr>
          <w:p w:rsidR="006E5BF3" w:rsidRPr="0035027D" w:rsidRDefault="006E5BF3" w:rsidP="006E5BF3">
            <w:pPr>
              <w:spacing w:after="0"/>
              <w:jc w:val="left"/>
              <w:rPr>
                <w:rFonts w:cs="Times New Roman"/>
                <w:b/>
                <w:bCs/>
                <w:color w:val="000000"/>
                <w:sz w:val="20"/>
                <w:szCs w:val="20"/>
              </w:rPr>
            </w:pPr>
          </w:p>
        </w:tc>
        <w:tc>
          <w:tcPr>
            <w:tcW w:w="3608" w:type="dxa"/>
            <w:tcBorders>
              <w:top w:val="nil"/>
              <w:left w:val="nil"/>
              <w:bottom w:val="single" w:sz="8" w:space="0" w:color="auto"/>
              <w:right w:val="nil"/>
            </w:tcBorders>
            <w:shd w:val="clear" w:color="auto" w:fill="auto"/>
            <w:noWrap/>
            <w:vAlign w:val="center"/>
            <w:hideMark/>
          </w:tcPr>
          <w:p w:rsidR="006E5BF3" w:rsidRPr="0035027D" w:rsidRDefault="006E5BF3" w:rsidP="006E5BF3">
            <w:pPr>
              <w:spacing w:after="0"/>
              <w:rPr>
                <w:rFonts w:cs="Times New Roman"/>
                <w:color w:val="000000"/>
                <w:sz w:val="20"/>
                <w:szCs w:val="20"/>
              </w:rPr>
            </w:pPr>
            <w:r w:rsidRPr="0035027D">
              <w:rPr>
                <w:rFonts w:cs="Times New Roman"/>
                <w:color w:val="000000"/>
                <w:sz w:val="20"/>
                <w:szCs w:val="20"/>
              </w:rPr>
              <w:t>(% HDP)</w:t>
            </w:r>
          </w:p>
        </w:tc>
        <w:tc>
          <w:tcPr>
            <w:tcW w:w="614" w:type="dxa"/>
            <w:tcBorders>
              <w:top w:val="nil"/>
              <w:left w:val="nil"/>
              <w:bottom w:val="single" w:sz="8" w:space="0" w:color="auto"/>
              <w:right w:val="single" w:sz="8" w:space="0" w:color="auto"/>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EÚ</w:t>
            </w:r>
          </w:p>
        </w:tc>
        <w:tc>
          <w:tcPr>
            <w:tcW w:w="520" w:type="dxa"/>
            <w:tcBorders>
              <w:top w:val="nil"/>
              <w:left w:val="single" w:sz="8" w:space="0" w:color="auto"/>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1,83</w:t>
            </w:r>
          </w:p>
        </w:tc>
        <w:tc>
          <w:tcPr>
            <w:tcW w:w="551"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1,82</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1,85</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1,85</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1,92</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2,02</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2,01</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2,03</w:t>
            </w:r>
          </w:p>
        </w:tc>
        <w:tc>
          <w:tcPr>
            <w:tcW w:w="469"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 xml:space="preserve"> - </w:t>
            </w:r>
          </w:p>
        </w:tc>
        <w:tc>
          <w:tcPr>
            <w:tcW w:w="760" w:type="dxa"/>
            <w:tcBorders>
              <w:top w:val="nil"/>
              <w:left w:val="single" w:sz="8" w:space="0" w:color="auto"/>
              <w:bottom w:val="single" w:sz="8" w:space="0" w:color="auto"/>
              <w:right w:val="single" w:sz="4" w:space="0" w:color="auto"/>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3</w:t>
            </w:r>
          </w:p>
        </w:tc>
      </w:tr>
      <w:tr w:rsidR="00A41F46" w:rsidRPr="0035027D" w:rsidTr="006E5BF3">
        <w:trPr>
          <w:trHeight w:val="113"/>
        </w:trPr>
        <w:tc>
          <w:tcPr>
            <w:tcW w:w="382" w:type="dxa"/>
            <w:tcBorders>
              <w:top w:val="nil"/>
              <w:left w:val="single" w:sz="4" w:space="0" w:color="auto"/>
              <w:bottom w:val="nil"/>
              <w:right w:val="nil"/>
            </w:tcBorders>
            <w:shd w:val="clear" w:color="auto" w:fill="auto"/>
            <w:textDirection w:val="btLr"/>
            <w:vAlign w:val="center"/>
            <w:hideMark/>
          </w:tcPr>
          <w:p w:rsidR="006E5BF3" w:rsidRPr="0035027D" w:rsidRDefault="006E5BF3" w:rsidP="006E5BF3">
            <w:pPr>
              <w:spacing w:after="0"/>
              <w:jc w:val="center"/>
              <w:rPr>
                <w:rFonts w:cs="Times New Roman"/>
                <w:b/>
                <w:bCs/>
                <w:color w:val="000000"/>
                <w:sz w:val="20"/>
                <w:szCs w:val="20"/>
              </w:rPr>
            </w:pPr>
            <w:r w:rsidRPr="0035027D">
              <w:rPr>
                <w:rFonts w:cs="Times New Roman"/>
                <w:b/>
                <w:bCs/>
                <w:color w:val="000000"/>
                <w:sz w:val="20"/>
                <w:szCs w:val="20"/>
              </w:rPr>
              <w:t> </w:t>
            </w:r>
          </w:p>
        </w:tc>
        <w:tc>
          <w:tcPr>
            <w:tcW w:w="323" w:type="dxa"/>
            <w:vMerge w:val="restart"/>
            <w:tcBorders>
              <w:top w:val="nil"/>
              <w:left w:val="nil"/>
              <w:bottom w:val="single" w:sz="8" w:space="0" w:color="000000"/>
              <w:right w:val="nil"/>
            </w:tcBorders>
            <w:shd w:val="clear" w:color="auto" w:fill="auto"/>
            <w:noWrap/>
            <w:vAlign w:val="center"/>
            <w:hideMark/>
          </w:tcPr>
          <w:p w:rsidR="006E5BF3" w:rsidRPr="0035027D" w:rsidRDefault="006E5BF3" w:rsidP="006E5BF3">
            <w:pPr>
              <w:spacing w:after="0"/>
              <w:jc w:val="center"/>
              <w:rPr>
                <w:rFonts w:cs="Times New Roman"/>
                <w:b/>
                <w:bCs/>
                <w:color w:val="000000"/>
                <w:sz w:val="20"/>
                <w:szCs w:val="20"/>
              </w:rPr>
            </w:pPr>
            <w:r w:rsidRPr="0035027D">
              <w:rPr>
                <w:rFonts w:cs="Times New Roman"/>
                <w:b/>
                <w:bCs/>
                <w:color w:val="000000"/>
                <w:sz w:val="20"/>
                <w:szCs w:val="20"/>
              </w:rPr>
              <w:t>8</w:t>
            </w:r>
          </w:p>
        </w:tc>
        <w:tc>
          <w:tcPr>
            <w:tcW w:w="3608" w:type="dxa"/>
            <w:tcBorders>
              <w:top w:val="nil"/>
              <w:left w:val="nil"/>
              <w:bottom w:val="nil"/>
              <w:right w:val="nil"/>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High-tech export</w:t>
            </w:r>
          </w:p>
        </w:tc>
        <w:tc>
          <w:tcPr>
            <w:tcW w:w="614" w:type="dxa"/>
            <w:tcBorders>
              <w:top w:val="nil"/>
              <w:left w:val="nil"/>
              <w:bottom w:val="nil"/>
              <w:right w:val="single" w:sz="8" w:space="0" w:color="auto"/>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SK</w:t>
            </w:r>
          </w:p>
        </w:tc>
        <w:tc>
          <w:tcPr>
            <w:tcW w:w="520" w:type="dxa"/>
            <w:tcBorders>
              <w:top w:val="single" w:sz="8" w:space="0" w:color="auto"/>
              <w:left w:val="single" w:sz="8" w:space="0" w:color="auto"/>
              <w:bottom w:val="nil"/>
              <w:right w:val="nil"/>
            </w:tcBorders>
            <w:shd w:val="clear" w:color="auto" w:fill="auto"/>
            <w:vAlign w:val="center"/>
            <w:hideMark/>
          </w:tcPr>
          <w:p w:rsidR="006E5BF3" w:rsidRPr="0035027D" w:rsidRDefault="006E5BF3" w:rsidP="006E5BF3">
            <w:pPr>
              <w:spacing w:after="0"/>
              <w:jc w:val="center"/>
              <w:rPr>
                <w:rFonts w:cs="Times New Roman"/>
                <w:sz w:val="20"/>
                <w:szCs w:val="20"/>
              </w:rPr>
            </w:pPr>
            <w:r w:rsidRPr="0035027D">
              <w:rPr>
                <w:rFonts w:cs="Times New Roman"/>
                <w:sz w:val="20"/>
                <w:szCs w:val="20"/>
              </w:rPr>
              <w:t>4,7</w:t>
            </w:r>
          </w:p>
        </w:tc>
        <w:tc>
          <w:tcPr>
            <w:tcW w:w="551" w:type="dxa"/>
            <w:tcBorders>
              <w:top w:val="single" w:sz="8" w:space="0" w:color="auto"/>
              <w:left w:val="nil"/>
              <w:bottom w:val="nil"/>
              <w:right w:val="nil"/>
            </w:tcBorders>
            <w:shd w:val="clear" w:color="auto" w:fill="auto"/>
            <w:vAlign w:val="center"/>
            <w:hideMark/>
          </w:tcPr>
          <w:p w:rsidR="006E5BF3" w:rsidRPr="0035027D" w:rsidRDefault="006E5BF3" w:rsidP="006E5BF3">
            <w:pPr>
              <w:spacing w:after="0"/>
              <w:jc w:val="center"/>
              <w:rPr>
                <w:rFonts w:cs="Times New Roman"/>
                <w:sz w:val="20"/>
                <w:szCs w:val="20"/>
              </w:rPr>
            </w:pPr>
            <w:r w:rsidRPr="0035027D">
              <w:rPr>
                <w:rFonts w:cs="Times New Roman"/>
                <w:sz w:val="20"/>
                <w:szCs w:val="20"/>
              </w:rPr>
              <w:t>6,402</w:t>
            </w:r>
          </w:p>
        </w:tc>
        <w:tc>
          <w:tcPr>
            <w:tcW w:w="520" w:type="dxa"/>
            <w:tcBorders>
              <w:top w:val="single" w:sz="8" w:space="0" w:color="auto"/>
              <w:left w:val="nil"/>
              <w:bottom w:val="nil"/>
              <w:right w:val="nil"/>
            </w:tcBorders>
            <w:shd w:val="clear" w:color="auto" w:fill="auto"/>
            <w:vAlign w:val="center"/>
            <w:hideMark/>
          </w:tcPr>
          <w:p w:rsidR="006E5BF3" w:rsidRPr="0035027D" w:rsidRDefault="006E5BF3" w:rsidP="006E5BF3">
            <w:pPr>
              <w:spacing w:after="0"/>
              <w:jc w:val="center"/>
              <w:rPr>
                <w:rFonts w:cs="Times New Roman"/>
                <w:sz w:val="20"/>
                <w:szCs w:val="20"/>
              </w:rPr>
            </w:pPr>
            <w:r w:rsidRPr="0035027D">
              <w:rPr>
                <w:rFonts w:cs="Times New Roman"/>
                <w:sz w:val="20"/>
                <w:szCs w:val="20"/>
              </w:rPr>
              <w:t>5,8</w:t>
            </w:r>
          </w:p>
        </w:tc>
        <w:tc>
          <w:tcPr>
            <w:tcW w:w="520" w:type="dxa"/>
            <w:tcBorders>
              <w:top w:val="single" w:sz="8" w:space="0" w:color="auto"/>
              <w:left w:val="nil"/>
              <w:bottom w:val="nil"/>
              <w:right w:val="nil"/>
            </w:tcBorders>
            <w:shd w:val="clear" w:color="auto" w:fill="auto"/>
            <w:vAlign w:val="center"/>
            <w:hideMark/>
          </w:tcPr>
          <w:p w:rsidR="006E5BF3" w:rsidRPr="0035027D" w:rsidRDefault="006E5BF3" w:rsidP="006E5BF3">
            <w:pPr>
              <w:spacing w:after="0"/>
              <w:jc w:val="center"/>
              <w:rPr>
                <w:rFonts w:cs="Times New Roman"/>
                <w:sz w:val="20"/>
                <w:szCs w:val="20"/>
              </w:rPr>
            </w:pPr>
            <w:r w:rsidRPr="0035027D">
              <w:rPr>
                <w:rFonts w:cs="Times New Roman"/>
                <w:sz w:val="20"/>
                <w:szCs w:val="20"/>
              </w:rPr>
              <w:t>5</w:t>
            </w:r>
          </w:p>
        </w:tc>
        <w:tc>
          <w:tcPr>
            <w:tcW w:w="520" w:type="dxa"/>
            <w:tcBorders>
              <w:top w:val="single" w:sz="8" w:space="0" w:color="auto"/>
              <w:left w:val="nil"/>
              <w:bottom w:val="nil"/>
              <w:right w:val="nil"/>
            </w:tcBorders>
            <w:shd w:val="clear" w:color="auto" w:fill="auto"/>
            <w:vAlign w:val="center"/>
            <w:hideMark/>
          </w:tcPr>
          <w:p w:rsidR="006E5BF3" w:rsidRPr="0035027D" w:rsidRDefault="006E5BF3" w:rsidP="006E5BF3">
            <w:pPr>
              <w:spacing w:after="0"/>
              <w:jc w:val="center"/>
              <w:rPr>
                <w:rFonts w:cs="Times New Roman"/>
                <w:sz w:val="20"/>
                <w:szCs w:val="20"/>
              </w:rPr>
            </w:pPr>
            <w:r w:rsidRPr="0035027D">
              <w:rPr>
                <w:rFonts w:cs="Times New Roman"/>
                <w:sz w:val="20"/>
                <w:szCs w:val="20"/>
              </w:rPr>
              <w:t>5,2</w:t>
            </w:r>
          </w:p>
        </w:tc>
        <w:tc>
          <w:tcPr>
            <w:tcW w:w="520" w:type="dxa"/>
            <w:tcBorders>
              <w:top w:val="single" w:sz="8" w:space="0" w:color="auto"/>
              <w:left w:val="nil"/>
              <w:bottom w:val="nil"/>
              <w:right w:val="nil"/>
            </w:tcBorders>
            <w:shd w:val="clear" w:color="auto" w:fill="auto"/>
            <w:vAlign w:val="center"/>
            <w:hideMark/>
          </w:tcPr>
          <w:p w:rsidR="006E5BF3" w:rsidRPr="0035027D" w:rsidRDefault="006E5BF3" w:rsidP="006E5BF3">
            <w:pPr>
              <w:spacing w:after="0"/>
              <w:jc w:val="center"/>
              <w:rPr>
                <w:rFonts w:cs="Times New Roman"/>
                <w:sz w:val="20"/>
                <w:szCs w:val="20"/>
              </w:rPr>
            </w:pPr>
            <w:r w:rsidRPr="0035027D">
              <w:rPr>
                <w:rFonts w:cs="Times New Roman"/>
                <w:sz w:val="20"/>
                <w:szCs w:val="20"/>
              </w:rPr>
              <w:t>5,9</w:t>
            </w:r>
          </w:p>
        </w:tc>
        <w:tc>
          <w:tcPr>
            <w:tcW w:w="520" w:type="dxa"/>
            <w:tcBorders>
              <w:top w:val="single" w:sz="8" w:space="0" w:color="auto"/>
              <w:left w:val="nil"/>
              <w:bottom w:val="nil"/>
              <w:right w:val="nil"/>
            </w:tcBorders>
            <w:shd w:val="clear" w:color="auto" w:fill="auto"/>
            <w:vAlign w:val="center"/>
            <w:hideMark/>
          </w:tcPr>
          <w:p w:rsidR="006E5BF3" w:rsidRPr="0035027D" w:rsidRDefault="006E5BF3" w:rsidP="006E5BF3">
            <w:pPr>
              <w:spacing w:after="0"/>
              <w:jc w:val="center"/>
              <w:rPr>
                <w:rFonts w:cs="Times New Roman"/>
                <w:sz w:val="20"/>
                <w:szCs w:val="20"/>
              </w:rPr>
            </w:pPr>
            <w:r w:rsidRPr="0035027D">
              <w:rPr>
                <w:rFonts w:cs="Times New Roman"/>
                <w:sz w:val="20"/>
                <w:szCs w:val="20"/>
              </w:rPr>
              <w:t>6,6</w:t>
            </w:r>
          </w:p>
        </w:tc>
        <w:tc>
          <w:tcPr>
            <w:tcW w:w="520" w:type="dxa"/>
            <w:tcBorders>
              <w:top w:val="single" w:sz="8" w:space="0" w:color="auto"/>
              <w:left w:val="nil"/>
              <w:bottom w:val="nil"/>
              <w:right w:val="nil"/>
            </w:tcBorders>
            <w:shd w:val="clear" w:color="auto" w:fill="auto"/>
            <w:vAlign w:val="center"/>
            <w:hideMark/>
          </w:tcPr>
          <w:p w:rsidR="006E5BF3" w:rsidRPr="0035027D" w:rsidRDefault="006E5BF3" w:rsidP="006E5BF3">
            <w:pPr>
              <w:spacing w:after="0"/>
              <w:jc w:val="center"/>
              <w:rPr>
                <w:rFonts w:cs="Times New Roman"/>
                <w:sz w:val="20"/>
                <w:szCs w:val="20"/>
              </w:rPr>
            </w:pPr>
            <w:r w:rsidRPr="0035027D">
              <w:rPr>
                <w:rFonts w:cs="Times New Roman"/>
                <w:sz w:val="20"/>
                <w:szCs w:val="20"/>
              </w:rPr>
              <w:t>6,6</w:t>
            </w:r>
          </w:p>
        </w:tc>
        <w:tc>
          <w:tcPr>
            <w:tcW w:w="469"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 xml:space="preserve"> - </w:t>
            </w:r>
          </w:p>
        </w:tc>
        <w:tc>
          <w:tcPr>
            <w:tcW w:w="760" w:type="dxa"/>
            <w:tcBorders>
              <w:top w:val="nil"/>
              <w:left w:val="single" w:sz="8" w:space="0" w:color="auto"/>
              <w:bottom w:val="nil"/>
              <w:right w:val="single" w:sz="4" w:space="0" w:color="auto"/>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14</w:t>
            </w:r>
          </w:p>
        </w:tc>
      </w:tr>
      <w:tr w:rsidR="00A41F46" w:rsidRPr="0035027D" w:rsidTr="006E5BF3">
        <w:trPr>
          <w:trHeight w:val="113"/>
        </w:trPr>
        <w:tc>
          <w:tcPr>
            <w:tcW w:w="382" w:type="dxa"/>
            <w:tcBorders>
              <w:top w:val="nil"/>
              <w:left w:val="single" w:sz="4" w:space="0" w:color="auto"/>
              <w:bottom w:val="single" w:sz="8" w:space="0" w:color="auto"/>
              <w:right w:val="nil"/>
            </w:tcBorders>
            <w:shd w:val="clear" w:color="auto" w:fill="auto"/>
            <w:textDirection w:val="btLr"/>
            <w:vAlign w:val="center"/>
            <w:hideMark/>
          </w:tcPr>
          <w:p w:rsidR="006E5BF3" w:rsidRPr="0035027D" w:rsidRDefault="006E5BF3" w:rsidP="006E5BF3">
            <w:pPr>
              <w:spacing w:after="0"/>
              <w:jc w:val="center"/>
              <w:rPr>
                <w:rFonts w:cs="Times New Roman"/>
                <w:b/>
                <w:bCs/>
                <w:color w:val="000000"/>
                <w:sz w:val="20"/>
                <w:szCs w:val="20"/>
              </w:rPr>
            </w:pPr>
            <w:r w:rsidRPr="0035027D">
              <w:rPr>
                <w:rFonts w:cs="Times New Roman"/>
                <w:b/>
                <w:bCs/>
                <w:color w:val="000000"/>
                <w:sz w:val="20"/>
                <w:szCs w:val="20"/>
              </w:rPr>
              <w:t> </w:t>
            </w:r>
          </w:p>
        </w:tc>
        <w:tc>
          <w:tcPr>
            <w:tcW w:w="323" w:type="dxa"/>
            <w:vMerge/>
            <w:tcBorders>
              <w:top w:val="nil"/>
              <w:left w:val="nil"/>
              <w:bottom w:val="single" w:sz="8" w:space="0" w:color="000000"/>
              <w:right w:val="nil"/>
            </w:tcBorders>
            <w:vAlign w:val="center"/>
            <w:hideMark/>
          </w:tcPr>
          <w:p w:rsidR="006E5BF3" w:rsidRPr="0035027D" w:rsidRDefault="006E5BF3" w:rsidP="006E5BF3">
            <w:pPr>
              <w:spacing w:after="0"/>
              <w:jc w:val="left"/>
              <w:rPr>
                <w:rFonts w:cs="Times New Roman"/>
                <w:b/>
                <w:bCs/>
                <w:color w:val="000000"/>
                <w:sz w:val="20"/>
                <w:szCs w:val="20"/>
              </w:rPr>
            </w:pPr>
          </w:p>
        </w:tc>
        <w:tc>
          <w:tcPr>
            <w:tcW w:w="3608" w:type="dxa"/>
            <w:tcBorders>
              <w:top w:val="nil"/>
              <w:left w:val="nil"/>
              <w:bottom w:val="single" w:sz="8" w:space="0" w:color="auto"/>
              <w:right w:val="nil"/>
            </w:tcBorders>
            <w:shd w:val="clear" w:color="auto" w:fill="auto"/>
            <w:noWrap/>
            <w:vAlign w:val="center"/>
            <w:hideMark/>
          </w:tcPr>
          <w:p w:rsidR="006E5BF3" w:rsidRPr="0035027D" w:rsidRDefault="006E5BF3" w:rsidP="006E5BF3">
            <w:pPr>
              <w:spacing w:after="0"/>
              <w:rPr>
                <w:rFonts w:cs="Times New Roman"/>
                <w:color w:val="000000"/>
                <w:sz w:val="20"/>
                <w:szCs w:val="20"/>
              </w:rPr>
            </w:pPr>
            <w:r w:rsidRPr="0035027D">
              <w:rPr>
                <w:rFonts w:cs="Times New Roman"/>
                <w:color w:val="000000"/>
                <w:sz w:val="20"/>
                <w:szCs w:val="20"/>
              </w:rPr>
              <w:t>(% na celkovom exporte)</w:t>
            </w:r>
          </w:p>
        </w:tc>
        <w:tc>
          <w:tcPr>
            <w:tcW w:w="614" w:type="dxa"/>
            <w:tcBorders>
              <w:top w:val="nil"/>
              <w:left w:val="nil"/>
              <w:bottom w:val="single" w:sz="8" w:space="0" w:color="auto"/>
              <w:right w:val="single" w:sz="8" w:space="0" w:color="auto"/>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EÚ</w:t>
            </w:r>
          </w:p>
        </w:tc>
        <w:tc>
          <w:tcPr>
            <w:tcW w:w="520" w:type="dxa"/>
            <w:tcBorders>
              <w:top w:val="nil"/>
              <w:left w:val="single" w:sz="8" w:space="0" w:color="auto"/>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sz w:val="20"/>
                <w:szCs w:val="20"/>
              </w:rPr>
            </w:pPr>
            <w:r w:rsidRPr="0035027D">
              <w:rPr>
                <w:rFonts w:cs="Times New Roman"/>
                <w:sz w:val="20"/>
                <w:szCs w:val="20"/>
              </w:rPr>
              <w:t>18,5</w:t>
            </w:r>
          </w:p>
        </w:tc>
        <w:tc>
          <w:tcPr>
            <w:tcW w:w="551"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sz w:val="20"/>
                <w:szCs w:val="20"/>
              </w:rPr>
            </w:pPr>
            <w:r w:rsidRPr="0035027D">
              <w:rPr>
                <w:rFonts w:cs="Times New Roman"/>
                <w:sz w:val="20"/>
                <w:szCs w:val="20"/>
              </w:rPr>
              <w:t>18,74</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sz w:val="20"/>
                <w:szCs w:val="20"/>
              </w:rPr>
            </w:pPr>
            <w:r w:rsidRPr="0035027D">
              <w:rPr>
                <w:rFonts w:cs="Times New Roman"/>
                <w:sz w:val="20"/>
                <w:szCs w:val="20"/>
              </w:rPr>
              <w:t>16,6</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sz w:val="20"/>
                <w:szCs w:val="20"/>
              </w:rPr>
            </w:pPr>
            <w:r w:rsidRPr="0035027D">
              <w:rPr>
                <w:rFonts w:cs="Times New Roman"/>
                <w:sz w:val="20"/>
                <w:szCs w:val="20"/>
              </w:rPr>
              <w:t>16,1</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sz w:val="20"/>
                <w:szCs w:val="20"/>
              </w:rPr>
            </w:pPr>
            <w:r w:rsidRPr="0035027D">
              <w:rPr>
                <w:rFonts w:cs="Times New Roman"/>
                <w:sz w:val="20"/>
                <w:szCs w:val="20"/>
              </w:rPr>
              <w:t>15,4</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sz w:val="20"/>
                <w:szCs w:val="20"/>
              </w:rPr>
            </w:pPr>
            <w:r w:rsidRPr="0035027D">
              <w:rPr>
                <w:rFonts w:cs="Times New Roman"/>
                <w:sz w:val="20"/>
                <w:szCs w:val="20"/>
              </w:rPr>
              <w:t>17,1</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16,1</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15,4</w:t>
            </w:r>
          </w:p>
        </w:tc>
        <w:tc>
          <w:tcPr>
            <w:tcW w:w="469"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 xml:space="preserve"> - </w:t>
            </w:r>
          </w:p>
        </w:tc>
        <w:tc>
          <w:tcPr>
            <w:tcW w:w="760" w:type="dxa"/>
            <w:tcBorders>
              <w:top w:val="nil"/>
              <w:left w:val="single" w:sz="8" w:space="0" w:color="auto"/>
              <w:bottom w:val="single" w:sz="8" w:space="0" w:color="auto"/>
              <w:right w:val="single" w:sz="4" w:space="0" w:color="auto"/>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r>
      <w:tr w:rsidR="006E5BF3" w:rsidRPr="0035027D" w:rsidTr="008731B6">
        <w:trPr>
          <w:trHeight w:val="113"/>
        </w:trPr>
        <w:tc>
          <w:tcPr>
            <w:tcW w:w="10347" w:type="dxa"/>
            <w:gridSpan w:val="14"/>
            <w:tcBorders>
              <w:top w:val="single" w:sz="8" w:space="0" w:color="auto"/>
              <w:left w:val="single" w:sz="4" w:space="0" w:color="auto"/>
              <w:bottom w:val="single" w:sz="8" w:space="0" w:color="auto"/>
              <w:right w:val="single" w:sz="4" w:space="0" w:color="auto"/>
            </w:tcBorders>
            <w:shd w:val="clear" w:color="000000" w:fill="D9D9D9"/>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Zamestnanosť a sociálna inklúzia</w:t>
            </w:r>
          </w:p>
        </w:tc>
      </w:tr>
      <w:tr w:rsidR="00A41F46" w:rsidRPr="0035027D" w:rsidTr="006E5BF3">
        <w:trPr>
          <w:trHeight w:val="113"/>
        </w:trPr>
        <w:tc>
          <w:tcPr>
            <w:tcW w:w="382" w:type="dxa"/>
            <w:tcBorders>
              <w:top w:val="nil"/>
              <w:left w:val="single" w:sz="4" w:space="0" w:color="auto"/>
              <w:bottom w:val="nil"/>
              <w:right w:val="nil"/>
            </w:tcBorders>
            <w:shd w:val="clear" w:color="auto" w:fill="auto"/>
            <w:textDirection w:val="btLr"/>
            <w:vAlign w:val="center"/>
            <w:hideMark/>
          </w:tcPr>
          <w:p w:rsidR="006E5BF3" w:rsidRPr="0035027D" w:rsidRDefault="006E5BF3" w:rsidP="006E5BF3">
            <w:pPr>
              <w:spacing w:after="0"/>
              <w:jc w:val="center"/>
              <w:rPr>
                <w:rFonts w:cs="Times New Roman"/>
                <w:b/>
                <w:bCs/>
                <w:color w:val="000000"/>
                <w:sz w:val="20"/>
                <w:szCs w:val="20"/>
              </w:rPr>
            </w:pPr>
            <w:r w:rsidRPr="0035027D">
              <w:rPr>
                <w:rFonts w:cs="Times New Roman"/>
                <w:b/>
                <w:bCs/>
                <w:color w:val="000000"/>
                <w:sz w:val="20"/>
                <w:szCs w:val="20"/>
              </w:rPr>
              <w:t> </w:t>
            </w:r>
          </w:p>
        </w:tc>
        <w:tc>
          <w:tcPr>
            <w:tcW w:w="323" w:type="dxa"/>
            <w:vMerge w:val="restart"/>
            <w:tcBorders>
              <w:top w:val="nil"/>
              <w:left w:val="nil"/>
              <w:bottom w:val="single" w:sz="8" w:space="0" w:color="000000"/>
              <w:right w:val="nil"/>
            </w:tcBorders>
            <w:shd w:val="clear" w:color="auto" w:fill="auto"/>
            <w:noWrap/>
            <w:vAlign w:val="center"/>
            <w:hideMark/>
          </w:tcPr>
          <w:p w:rsidR="006E5BF3" w:rsidRPr="0035027D" w:rsidRDefault="006E5BF3" w:rsidP="006E5BF3">
            <w:pPr>
              <w:spacing w:after="0"/>
              <w:jc w:val="center"/>
              <w:rPr>
                <w:rFonts w:cs="Times New Roman"/>
                <w:b/>
                <w:bCs/>
                <w:color w:val="000000"/>
                <w:sz w:val="20"/>
                <w:szCs w:val="20"/>
              </w:rPr>
            </w:pPr>
            <w:r w:rsidRPr="0035027D">
              <w:rPr>
                <w:rFonts w:cs="Times New Roman"/>
                <w:b/>
                <w:bCs/>
                <w:color w:val="000000"/>
                <w:sz w:val="20"/>
                <w:szCs w:val="20"/>
              </w:rPr>
              <w:t>9</w:t>
            </w:r>
          </w:p>
        </w:tc>
        <w:tc>
          <w:tcPr>
            <w:tcW w:w="3608" w:type="dxa"/>
            <w:tcBorders>
              <w:top w:val="nil"/>
              <w:left w:val="nil"/>
              <w:bottom w:val="nil"/>
              <w:right w:val="nil"/>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Miera dlhodobej nezamestnanosti</w:t>
            </w:r>
          </w:p>
        </w:tc>
        <w:tc>
          <w:tcPr>
            <w:tcW w:w="614" w:type="dxa"/>
            <w:tcBorders>
              <w:top w:val="nil"/>
              <w:left w:val="nil"/>
              <w:bottom w:val="nil"/>
              <w:right w:val="single" w:sz="8" w:space="0" w:color="auto"/>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SK</w:t>
            </w:r>
          </w:p>
        </w:tc>
        <w:tc>
          <w:tcPr>
            <w:tcW w:w="520" w:type="dxa"/>
            <w:tcBorders>
              <w:top w:val="nil"/>
              <w:left w:val="single" w:sz="8" w:space="0" w:color="auto"/>
              <w:bottom w:val="nil"/>
              <w:right w:val="nil"/>
            </w:tcBorders>
            <w:shd w:val="clear" w:color="auto" w:fill="auto"/>
            <w:vAlign w:val="center"/>
            <w:hideMark/>
          </w:tcPr>
          <w:p w:rsidR="006E5BF3" w:rsidRPr="0035027D" w:rsidRDefault="006E5BF3" w:rsidP="006E5BF3">
            <w:pPr>
              <w:spacing w:after="0"/>
              <w:jc w:val="center"/>
              <w:rPr>
                <w:rFonts w:cs="Times New Roman"/>
                <w:sz w:val="20"/>
                <w:szCs w:val="20"/>
              </w:rPr>
            </w:pPr>
            <w:r w:rsidRPr="0035027D">
              <w:rPr>
                <w:rFonts w:cs="Times New Roman"/>
                <w:sz w:val="20"/>
                <w:szCs w:val="20"/>
              </w:rPr>
              <w:t>11,9</w:t>
            </w:r>
          </w:p>
        </w:tc>
        <w:tc>
          <w:tcPr>
            <w:tcW w:w="551"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sz w:val="20"/>
                <w:szCs w:val="20"/>
              </w:rPr>
            </w:pPr>
            <w:r w:rsidRPr="0035027D">
              <w:rPr>
                <w:rFonts w:cs="Times New Roman"/>
                <w:sz w:val="20"/>
                <w:szCs w:val="20"/>
              </w:rPr>
              <w:t>11,8</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sz w:val="20"/>
                <w:szCs w:val="20"/>
              </w:rPr>
            </w:pPr>
            <w:r w:rsidRPr="0035027D">
              <w:rPr>
                <w:rFonts w:cs="Times New Roman"/>
                <w:sz w:val="20"/>
                <w:szCs w:val="20"/>
              </w:rPr>
              <w:t>10,3</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sz w:val="20"/>
                <w:szCs w:val="20"/>
              </w:rPr>
            </w:pPr>
            <w:r w:rsidRPr="0035027D">
              <w:rPr>
                <w:rFonts w:cs="Times New Roman"/>
                <w:sz w:val="20"/>
                <w:szCs w:val="20"/>
              </w:rPr>
              <w:t>8,3</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sz w:val="20"/>
                <w:szCs w:val="20"/>
              </w:rPr>
            </w:pPr>
            <w:r w:rsidRPr="0035027D">
              <w:rPr>
                <w:rFonts w:cs="Times New Roman"/>
                <w:sz w:val="20"/>
                <w:szCs w:val="20"/>
              </w:rPr>
              <w:t>6,7</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sz w:val="20"/>
                <w:szCs w:val="20"/>
              </w:rPr>
            </w:pPr>
            <w:r w:rsidRPr="0035027D">
              <w:rPr>
                <w:rFonts w:cs="Times New Roman"/>
                <w:sz w:val="20"/>
                <w:szCs w:val="20"/>
              </w:rPr>
              <w:t>6,5</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9,3</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9,2</w:t>
            </w:r>
          </w:p>
        </w:tc>
        <w:tc>
          <w:tcPr>
            <w:tcW w:w="469" w:type="dxa"/>
            <w:tcBorders>
              <w:top w:val="nil"/>
              <w:left w:val="nil"/>
              <w:bottom w:val="nil"/>
              <w:right w:val="nil"/>
            </w:tcBorders>
            <w:shd w:val="clear" w:color="auto" w:fill="auto"/>
            <w:vAlign w:val="center"/>
            <w:hideMark/>
          </w:tcPr>
          <w:p w:rsidR="006E5BF3" w:rsidRPr="0035027D" w:rsidRDefault="0055245D" w:rsidP="006E5BF3">
            <w:pPr>
              <w:spacing w:after="0"/>
              <w:jc w:val="center"/>
              <w:rPr>
                <w:rFonts w:cs="Times New Roman"/>
                <w:color w:val="000000"/>
                <w:sz w:val="20"/>
                <w:szCs w:val="20"/>
              </w:rPr>
            </w:pPr>
            <w:r w:rsidRPr="0035027D">
              <w:rPr>
                <w:rFonts w:cs="Times New Roman"/>
                <w:color w:val="000000"/>
                <w:sz w:val="20"/>
                <w:szCs w:val="20"/>
              </w:rPr>
              <w:t>8,9</w:t>
            </w:r>
            <w:r w:rsidR="006E5BF3" w:rsidRPr="0035027D">
              <w:rPr>
                <w:rFonts w:cs="Times New Roman"/>
                <w:color w:val="000000"/>
                <w:sz w:val="20"/>
                <w:szCs w:val="20"/>
              </w:rPr>
              <w:t xml:space="preserve"> </w:t>
            </w:r>
          </w:p>
        </w:tc>
        <w:tc>
          <w:tcPr>
            <w:tcW w:w="760" w:type="dxa"/>
            <w:tcBorders>
              <w:top w:val="nil"/>
              <w:left w:val="single" w:sz="8" w:space="0" w:color="auto"/>
              <w:bottom w:val="nil"/>
              <w:right w:val="single" w:sz="4" w:space="0" w:color="auto"/>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3</w:t>
            </w:r>
          </w:p>
        </w:tc>
      </w:tr>
      <w:tr w:rsidR="00A41F46" w:rsidRPr="0035027D" w:rsidTr="006E5BF3">
        <w:trPr>
          <w:trHeight w:val="113"/>
        </w:trPr>
        <w:tc>
          <w:tcPr>
            <w:tcW w:w="382" w:type="dxa"/>
            <w:tcBorders>
              <w:top w:val="nil"/>
              <w:left w:val="single" w:sz="4" w:space="0" w:color="auto"/>
              <w:bottom w:val="single" w:sz="8" w:space="0" w:color="auto"/>
              <w:right w:val="nil"/>
            </w:tcBorders>
            <w:shd w:val="clear" w:color="auto" w:fill="auto"/>
            <w:textDirection w:val="btLr"/>
            <w:vAlign w:val="center"/>
            <w:hideMark/>
          </w:tcPr>
          <w:p w:rsidR="006E5BF3" w:rsidRPr="0035027D" w:rsidRDefault="006E5BF3" w:rsidP="006E5BF3">
            <w:pPr>
              <w:spacing w:after="0"/>
              <w:jc w:val="center"/>
              <w:rPr>
                <w:rFonts w:cs="Times New Roman"/>
                <w:b/>
                <w:bCs/>
                <w:color w:val="000000"/>
                <w:sz w:val="20"/>
                <w:szCs w:val="20"/>
              </w:rPr>
            </w:pPr>
            <w:r w:rsidRPr="0035027D">
              <w:rPr>
                <w:rFonts w:cs="Times New Roman"/>
                <w:b/>
                <w:bCs/>
                <w:color w:val="000000"/>
                <w:sz w:val="20"/>
                <w:szCs w:val="20"/>
              </w:rPr>
              <w:t> </w:t>
            </w:r>
          </w:p>
        </w:tc>
        <w:tc>
          <w:tcPr>
            <w:tcW w:w="323" w:type="dxa"/>
            <w:vMerge/>
            <w:tcBorders>
              <w:top w:val="nil"/>
              <w:left w:val="nil"/>
              <w:bottom w:val="single" w:sz="8" w:space="0" w:color="000000"/>
              <w:right w:val="nil"/>
            </w:tcBorders>
            <w:vAlign w:val="center"/>
            <w:hideMark/>
          </w:tcPr>
          <w:p w:rsidR="006E5BF3" w:rsidRPr="0035027D" w:rsidRDefault="006E5BF3" w:rsidP="006E5BF3">
            <w:pPr>
              <w:spacing w:after="0"/>
              <w:jc w:val="left"/>
              <w:rPr>
                <w:rFonts w:cs="Times New Roman"/>
                <w:b/>
                <w:bCs/>
                <w:color w:val="000000"/>
                <w:sz w:val="20"/>
                <w:szCs w:val="20"/>
              </w:rPr>
            </w:pPr>
          </w:p>
        </w:tc>
        <w:tc>
          <w:tcPr>
            <w:tcW w:w="3608" w:type="dxa"/>
            <w:tcBorders>
              <w:top w:val="nil"/>
              <w:left w:val="nil"/>
              <w:bottom w:val="single" w:sz="8" w:space="0" w:color="auto"/>
              <w:right w:val="nil"/>
            </w:tcBorders>
            <w:shd w:val="clear" w:color="auto" w:fill="auto"/>
            <w:noWrap/>
            <w:vAlign w:val="center"/>
            <w:hideMark/>
          </w:tcPr>
          <w:p w:rsidR="006E5BF3" w:rsidRPr="0035027D" w:rsidRDefault="006E5BF3" w:rsidP="006E5BF3">
            <w:pPr>
              <w:spacing w:after="0"/>
              <w:rPr>
                <w:rFonts w:cs="Times New Roman"/>
                <w:color w:val="000000"/>
                <w:sz w:val="20"/>
                <w:szCs w:val="20"/>
              </w:rPr>
            </w:pPr>
            <w:r w:rsidRPr="0035027D">
              <w:rPr>
                <w:rFonts w:cs="Times New Roman"/>
                <w:color w:val="000000"/>
                <w:sz w:val="20"/>
                <w:szCs w:val="20"/>
              </w:rPr>
              <w:t>(% aktívneho obyvateľstva nad 15 rokov)</w:t>
            </w:r>
          </w:p>
        </w:tc>
        <w:tc>
          <w:tcPr>
            <w:tcW w:w="614" w:type="dxa"/>
            <w:tcBorders>
              <w:top w:val="nil"/>
              <w:left w:val="nil"/>
              <w:bottom w:val="single" w:sz="8" w:space="0" w:color="auto"/>
              <w:right w:val="single" w:sz="8" w:space="0" w:color="auto"/>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EÚ</w:t>
            </w:r>
          </w:p>
        </w:tc>
        <w:tc>
          <w:tcPr>
            <w:tcW w:w="520" w:type="dxa"/>
            <w:tcBorders>
              <w:top w:val="nil"/>
              <w:left w:val="single" w:sz="8" w:space="0" w:color="auto"/>
              <w:bottom w:val="nil"/>
              <w:right w:val="nil"/>
            </w:tcBorders>
            <w:shd w:val="clear" w:color="auto" w:fill="auto"/>
            <w:vAlign w:val="center"/>
            <w:hideMark/>
          </w:tcPr>
          <w:p w:rsidR="006E5BF3" w:rsidRPr="0035027D" w:rsidRDefault="006E5BF3" w:rsidP="006E5BF3">
            <w:pPr>
              <w:spacing w:after="0"/>
              <w:jc w:val="center"/>
              <w:rPr>
                <w:rFonts w:cs="Times New Roman"/>
                <w:sz w:val="20"/>
                <w:szCs w:val="20"/>
              </w:rPr>
            </w:pPr>
            <w:r w:rsidRPr="0035027D">
              <w:rPr>
                <w:rFonts w:cs="Times New Roman"/>
                <w:sz w:val="20"/>
                <w:szCs w:val="20"/>
              </w:rPr>
              <w:t>4,3</w:t>
            </w:r>
          </w:p>
        </w:tc>
        <w:tc>
          <w:tcPr>
            <w:tcW w:w="551"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sz w:val="20"/>
                <w:szCs w:val="20"/>
              </w:rPr>
            </w:pPr>
            <w:r w:rsidRPr="0035027D">
              <w:rPr>
                <w:rFonts w:cs="Times New Roman"/>
                <w:sz w:val="20"/>
                <w:szCs w:val="20"/>
              </w:rPr>
              <w:t>4,1</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sz w:val="20"/>
                <w:szCs w:val="20"/>
              </w:rPr>
            </w:pPr>
            <w:r w:rsidRPr="0035027D">
              <w:rPr>
                <w:rFonts w:cs="Times New Roman"/>
                <w:sz w:val="20"/>
                <w:szCs w:val="20"/>
              </w:rPr>
              <w:t>3,7</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sz w:val="20"/>
                <w:szCs w:val="20"/>
              </w:rPr>
            </w:pPr>
            <w:r w:rsidRPr="0035027D">
              <w:rPr>
                <w:rFonts w:cs="Times New Roman"/>
                <w:sz w:val="20"/>
                <w:szCs w:val="20"/>
              </w:rPr>
              <w:t>3,1</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sz w:val="20"/>
                <w:szCs w:val="20"/>
              </w:rPr>
            </w:pPr>
            <w:r w:rsidRPr="0035027D">
              <w:rPr>
                <w:rFonts w:cs="Times New Roman"/>
                <w:sz w:val="20"/>
                <w:szCs w:val="20"/>
              </w:rPr>
              <w:t>2,6</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sz w:val="20"/>
                <w:szCs w:val="20"/>
              </w:rPr>
            </w:pPr>
            <w:r w:rsidRPr="0035027D">
              <w:rPr>
                <w:rFonts w:cs="Times New Roman"/>
                <w:sz w:val="20"/>
                <w:szCs w:val="20"/>
              </w:rPr>
              <w:t>3</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3,9</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4,1</w:t>
            </w:r>
          </w:p>
        </w:tc>
        <w:tc>
          <w:tcPr>
            <w:tcW w:w="469"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 xml:space="preserve"> - </w:t>
            </w:r>
          </w:p>
        </w:tc>
        <w:tc>
          <w:tcPr>
            <w:tcW w:w="760" w:type="dxa"/>
            <w:tcBorders>
              <w:top w:val="nil"/>
              <w:left w:val="single" w:sz="8" w:space="0" w:color="auto"/>
              <w:bottom w:val="single" w:sz="8" w:space="0" w:color="auto"/>
              <w:right w:val="single" w:sz="4" w:space="0" w:color="auto"/>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r>
      <w:tr w:rsidR="00A41F46" w:rsidRPr="0035027D" w:rsidTr="006E5BF3">
        <w:trPr>
          <w:trHeight w:val="113"/>
        </w:trPr>
        <w:tc>
          <w:tcPr>
            <w:tcW w:w="382" w:type="dxa"/>
            <w:vMerge w:val="restart"/>
            <w:tcBorders>
              <w:top w:val="nil"/>
              <w:left w:val="single" w:sz="4" w:space="0" w:color="auto"/>
              <w:bottom w:val="single" w:sz="8" w:space="0" w:color="000000"/>
              <w:right w:val="nil"/>
            </w:tcBorders>
            <w:shd w:val="clear" w:color="auto" w:fill="auto"/>
            <w:textDirection w:val="btLr"/>
            <w:vAlign w:val="center"/>
            <w:hideMark/>
          </w:tcPr>
          <w:p w:rsidR="006E5BF3" w:rsidRPr="0035027D" w:rsidRDefault="006E5BF3" w:rsidP="006E5BF3">
            <w:pPr>
              <w:spacing w:after="0"/>
              <w:jc w:val="center"/>
              <w:rPr>
                <w:rFonts w:cs="Times New Roman"/>
                <w:b/>
                <w:bCs/>
                <w:color w:val="000000"/>
                <w:sz w:val="20"/>
                <w:szCs w:val="20"/>
              </w:rPr>
            </w:pPr>
            <w:r w:rsidRPr="0035027D">
              <w:rPr>
                <w:rFonts w:cs="Times New Roman"/>
                <w:b/>
                <w:bCs/>
                <w:color w:val="000000"/>
                <w:sz w:val="20"/>
                <w:szCs w:val="20"/>
              </w:rPr>
              <w:t>EÚ</w:t>
            </w:r>
          </w:p>
        </w:tc>
        <w:tc>
          <w:tcPr>
            <w:tcW w:w="323" w:type="dxa"/>
            <w:vMerge w:val="restart"/>
            <w:tcBorders>
              <w:top w:val="nil"/>
              <w:left w:val="nil"/>
              <w:bottom w:val="single" w:sz="8" w:space="0" w:color="000000"/>
              <w:right w:val="nil"/>
            </w:tcBorders>
            <w:shd w:val="clear" w:color="auto" w:fill="auto"/>
            <w:noWrap/>
            <w:vAlign w:val="center"/>
            <w:hideMark/>
          </w:tcPr>
          <w:p w:rsidR="006E5BF3" w:rsidRPr="0035027D" w:rsidRDefault="006E5BF3" w:rsidP="006E5BF3">
            <w:pPr>
              <w:spacing w:after="0"/>
              <w:jc w:val="center"/>
              <w:rPr>
                <w:rFonts w:cs="Times New Roman"/>
                <w:b/>
                <w:bCs/>
                <w:color w:val="000000"/>
                <w:sz w:val="20"/>
                <w:szCs w:val="20"/>
              </w:rPr>
            </w:pPr>
            <w:r w:rsidRPr="0035027D">
              <w:rPr>
                <w:rFonts w:cs="Times New Roman"/>
                <w:b/>
                <w:bCs/>
                <w:color w:val="000000"/>
                <w:sz w:val="20"/>
                <w:szCs w:val="20"/>
              </w:rPr>
              <w:t>10</w:t>
            </w:r>
          </w:p>
        </w:tc>
        <w:tc>
          <w:tcPr>
            <w:tcW w:w="3608" w:type="dxa"/>
            <w:tcBorders>
              <w:top w:val="nil"/>
              <w:left w:val="nil"/>
              <w:bottom w:val="nil"/>
              <w:right w:val="nil"/>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Miera zamestnanosti</w:t>
            </w:r>
          </w:p>
        </w:tc>
        <w:tc>
          <w:tcPr>
            <w:tcW w:w="614" w:type="dxa"/>
            <w:tcBorders>
              <w:top w:val="nil"/>
              <w:left w:val="nil"/>
              <w:bottom w:val="nil"/>
              <w:right w:val="single" w:sz="8" w:space="0" w:color="auto"/>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SK</w:t>
            </w:r>
          </w:p>
        </w:tc>
        <w:tc>
          <w:tcPr>
            <w:tcW w:w="520" w:type="dxa"/>
            <w:tcBorders>
              <w:top w:val="single" w:sz="8" w:space="0" w:color="auto"/>
              <w:left w:val="single" w:sz="8" w:space="0" w:color="auto"/>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63,7</w:t>
            </w:r>
          </w:p>
        </w:tc>
        <w:tc>
          <w:tcPr>
            <w:tcW w:w="551" w:type="dxa"/>
            <w:tcBorders>
              <w:top w:val="single" w:sz="8" w:space="0" w:color="auto"/>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64,5</w:t>
            </w:r>
          </w:p>
        </w:tc>
        <w:tc>
          <w:tcPr>
            <w:tcW w:w="520" w:type="dxa"/>
            <w:tcBorders>
              <w:top w:val="single" w:sz="8" w:space="0" w:color="auto"/>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66</w:t>
            </w:r>
          </w:p>
        </w:tc>
        <w:tc>
          <w:tcPr>
            <w:tcW w:w="520" w:type="dxa"/>
            <w:tcBorders>
              <w:top w:val="single" w:sz="8" w:space="0" w:color="auto"/>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67,2</w:t>
            </w:r>
          </w:p>
        </w:tc>
        <w:tc>
          <w:tcPr>
            <w:tcW w:w="520" w:type="dxa"/>
            <w:tcBorders>
              <w:top w:val="single" w:sz="8" w:space="0" w:color="auto"/>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68,8</w:t>
            </w:r>
          </w:p>
        </w:tc>
        <w:tc>
          <w:tcPr>
            <w:tcW w:w="520" w:type="dxa"/>
            <w:tcBorders>
              <w:top w:val="single" w:sz="8" w:space="0" w:color="auto"/>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66,4</w:t>
            </w:r>
          </w:p>
        </w:tc>
        <w:tc>
          <w:tcPr>
            <w:tcW w:w="520" w:type="dxa"/>
            <w:tcBorders>
              <w:top w:val="single" w:sz="8" w:space="0" w:color="auto"/>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64,6</w:t>
            </w:r>
          </w:p>
        </w:tc>
        <w:tc>
          <w:tcPr>
            <w:tcW w:w="520" w:type="dxa"/>
            <w:tcBorders>
              <w:top w:val="single" w:sz="8" w:space="0" w:color="auto"/>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65,1</w:t>
            </w:r>
          </w:p>
        </w:tc>
        <w:tc>
          <w:tcPr>
            <w:tcW w:w="469" w:type="dxa"/>
            <w:tcBorders>
              <w:top w:val="nil"/>
              <w:left w:val="nil"/>
              <w:bottom w:val="nil"/>
              <w:right w:val="nil"/>
            </w:tcBorders>
            <w:shd w:val="clear" w:color="auto" w:fill="auto"/>
            <w:vAlign w:val="center"/>
            <w:hideMark/>
          </w:tcPr>
          <w:p w:rsidR="006E5BF3" w:rsidRPr="0035027D" w:rsidRDefault="0055245D" w:rsidP="006E5BF3">
            <w:pPr>
              <w:spacing w:after="0"/>
              <w:jc w:val="center"/>
              <w:rPr>
                <w:rFonts w:cs="Times New Roman"/>
                <w:color w:val="000000"/>
                <w:sz w:val="20"/>
                <w:szCs w:val="20"/>
              </w:rPr>
            </w:pPr>
            <w:r w:rsidRPr="0035027D">
              <w:rPr>
                <w:rFonts w:cs="Times New Roman"/>
                <w:color w:val="000000"/>
                <w:sz w:val="20"/>
                <w:szCs w:val="20"/>
              </w:rPr>
              <w:t>65,0</w:t>
            </w:r>
          </w:p>
        </w:tc>
        <w:tc>
          <w:tcPr>
            <w:tcW w:w="760" w:type="dxa"/>
            <w:tcBorders>
              <w:top w:val="nil"/>
              <w:left w:val="single" w:sz="8" w:space="0" w:color="auto"/>
              <w:bottom w:val="nil"/>
              <w:right w:val="single" w:sz="4" w:space="0" w:color="auto"/>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72</w:t>
            </w:r>
          </w:p>
        </w:tc>
      </w:tr>
      <w:tr w:rsidR="00A41F46" w:rsidRPr="0035027D" w:rsidTr="006E5BF3">
        <w:trPr>
          <w:trHeight w:val="113"/>
        </w:trPr>
        <w:tc>
          <w:tcPr>
            <w:tcW w:w="382" w:type="dxa"/>
            <w:vMerge/>
            <w:tcBorders>
              <w:top w:val="nil"/>
              <w:left w:val="single" w:sz="4" w:space="0" w:color="auto"/>
              <w:bottom w:val="single" w:sz="8" w:space="0" w:color="000000"/>
              <w:right w:val="nil"/>
            </w:tcBorders>
            <w:vAlign w:val="center"/>
            <w:hideMark/>
          </w:tcPr>
          <w:p w:rsidR="006E5BF3" w:rsidRPr="0035027D" w:rsidRDefault="006E5BF3" w:rsidP="006E5BF3">
            <w:pPr>
              <w:spacing w:after="0"/>
              <w:jc w:val="left"/>
              <w:rPr>
                <w:rFonts w:cs="Times New Roman"/>
                <w:b/>
                <w:bCs/>
                <w:color w:val="000000"/>
                <w:sz w:val="20"/>
                <w:szCs w:val="20"/>
              </w:rPr>
            </w:pPr>
          </w:p>
        </w:tc>
        <w:tc>
          <w:tcPr>
            <w:tcW w:w="323" w:type="dxa"/>
            <w:vMerge/>
            <w:tcBorders>
              <w:top w:val="nil"/>
              <w:left w:val="nil"/>
              <w:bottom w:val="single" w:sz="8" w:space="0" w:color="000000"/>
              <w:right w:val="nil"/>
            </w:tcBorders>
            <w:vAlign w:val="center"/>
            <w:hideMark/>
          </w:tcPr>
          <w:p w:rsidR="006E5BF3" w:rsidRPr="0035027D" w:rsidRDefault="006E5BF3" w:rsidP="006E5BF3">
            <w:pPr>
              <w:spacing w:after="0"/>
              <w:jc w:val="left"/>
              <w:rPr>
                <w:rFonts w:cs="Times New Roman"/>
                <w:b/>
                <w:bCs/>
                <w:color w:val="000000"/>
                <w:sz w:val="20"/>
                <w:szCs w:val="20"/>
              </w:rPr>
            </w:pPr>
          </w:p>
        </w:tc>
        <w:tc>
          <w:tcPr>
            <w:tcW w:w="3608" w:type="dxa"/>
            <w:tcBorders>
              <w:top w:val="nil"/>
              <w:left w:val="nil"/>
              <w:bottom w:val="single" w:sz="8" w:space="0" w:color="auto"/>
              <w:right w:val="nil"/>
            </w:tcBorders>
            <w:shd w:val="clear" w:color="auto" w:fill="auto"/>
            <w:noWrap/>
            <w:vAlign w:val="center"/>
            <w:hideMark/>
          </w:tcPr>
          <w:p w:rsidR="006E5BF3" w:rsidRPr="0035027D" w:rsidRDefault="006E5BF3" w:rsidP="006E5BF3">
            <w:pPr>
              <w:spacing w:after="0"/>
              <w:rPr>
                <w:rFonts w:cs="Times New Roman"/>
                <w:color w:val="000000"/>
                <w:sz w:val="20"/>
                <w:szCs w:val="20"/>
              </w:rPr>
            </w:pPr>
            <w:r w:rsidRPr="0035027D">
              <w:rPr>
                <w:rFonts w:cs="Times New Roman"/>
                <w:color w:val="000000"/>
                <w:sz w:val="20"/>
                <w:szCs w:val="20"/>
              </w:rPr>
              <w:t>(% vo vekovej skupine 20 - 64 rokov)</w:t>
            </w:r>
          </w:p>
        </w:tc>
        <w:tc>
          <w:tcPr>
            <w:tcW w:w="614" w:type="dxa"/>
            <w:tcBorders>
              <w:top w:val="nil"/>
              <w:left w:val="nil"/>
              <w:bottom w:val="single" w:sz="8" w:space="0" w:color="auto"/>
              <w:right w:val="single" w:sz="8" w:space="0" w:color="auto"/>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EÚ</w:t>
            </w:r>
          </w:p>
        </w:tc>
        <w:tc>
          <w:tcPr>
            <w:tcW w:w="520" w:type="dxa"/>
            <w:tcBorders>
              <w:top w:val="nil"/>
              <w:left w:val="single" w:sz="8" w:space="0" w:color="auto"/>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67,4</w:t>
            </w:r>
          </w:p>
        </w:tc>
        <w:tc>
          <w:tcPr>
            <w:tcW w:w="551"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68</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69</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69,9</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70,3</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69</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68,6</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68,6</w:t>
            </w:r>
          </w:p>
        </w:tc>
        <w:tc>
          <w:tcPr>
            <w:tcW w:w="469"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 xml:space="preserve"> - </w:t>
            </w:r>
          </w:p>
        </w:tc>
        <w:tc>
          <w:tcPr>
            <w:tcW w:w="760" w:type="dxa"/>
            <w:tcBorders>
              <w:top w:val="nil"/>
              <w:left w:val="single" w:sz="8" w:space="0" w:color="auto"/>
              <w:bottom w:val="single" w:sz="8" w:space="0" w:color="auto"/>
              <w:right w:val="single" w:sz="4" w:space="0" w:color="auto"/>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75</w:t>
            </w:r>
          </w:p>
        </w:tc>
      </w:tr>
      <w:tr w:rsidR="00A41F46" w:rsidRPr="0035027D" w:rsidTr="006E5BF3">
        <w:trPr>
          <w:trHeight w:val="113"/>
        </w:trPr>
        <w:tc>
          <w:tcPr>
            <w:tcW w:w="382" w:type="dxa"/>
            <w:vMerge w:val="restart"/>
            <w:tcBorders>
              <w:top w:val="nil"/>
              <w:left w:val="single" w:sz="4" w:space="0" w:color="auto"/>
              <w:bottom w:val="single" w:sz="8" w:space="0" w:color="000000"/>
              <w:right w:val="nil"/>
            </w:tcBorders>
            <w:shd w:val="clear" w:color="auto" w:fill="auto"/>
            <w:textDirection w:val="btLr"/>
            <w:vAlign w:val="center"/>
            <w:hideMark/>
          </w:tcPr>
          <w:p w:rsidR="006E5BF3" w:rsidRPr="0035027D" w:rsidRDefault="006E5BF3" w:rsidP="006E5BF3">
            <w:pPr>
              <w:spacing w:after="0"/>
              <w:jc w:val="center"/>
              <w:rPr>
                <w:rFonts w:cs="Times New Roman"/>
                <w:b/>
                <w:bCs/>
                <w:color w:val="000000"/>
                <w:sz w:val="20"/>
                <w:szCs w:val="20"/>
              </w:rPr>
            </w:pPr>
            <w:r w:rsidRPr="0035027D">
              <w:rPr>
                <w:rFonts w:cs="Times New Roman"/>
                <w:b/>
                <w:bCs/>
                <w:color w:val="000000"/>
                <w:sz w:val="20"/>
                <w:szCs w:val="20"/>
              </w:rPr>
              <w:t>EÚ</w:t>
            </w:r>
          </w:p>
        </w:tc>
        <w:tc>
          <w:tcPr>
            <w:tcW w:w="323" w:type="dxa"/>
            <w:vMerge w:val="restart"/>
            <w:tcBorders>
              <w:top w:val="nil"/>
              <w:left w:val="nil"/>
              <w:bottom w:val="single" w:sz="8" w:space="0" w:color="000000"/>
              <w:right w:val="nil"/>
            </w:tcBorders>
            <w:shd w:val="clear" w:color="auto" w:fill="auto"/>
            <w:noWrap/>
            <w:vAlign w:val="center"/>
            <w:hideMark/>
          </w:tcPr>
          <w:p w:rsidR="006E5BF3" w:rsidRPr="0035027D" w:rsidRDefault="006E5BF3" w:rsidP="006E5BF3">
            <w:pPr>
              <w:spacing w:after="0"/>
              <w:jc w:val="center"/>
              <w:rPr>
                <w:rFonts w:cs="Times New Roman"/>
                <w:b/>
                <w:bCs/>
                <w:color w:val="000000"/>
                <w:sz w:val="20"/>
                <w:szCs w:val="20"/>
              </w:rPr>
            </w:pPr>
            <w:r w:rsidRPr="0035027D">
              <w:rPr>
                <w:rFonts w:cs="Times New Roman"/>
                <w:b/>
                <w:bCs/>
                <w:color w:val="000000"/>
                <w:sz w:val="20"/>
                <w:szCs w:val="20"/>
              </w:rPr>
              <w:t>11</w:t>
            </w:r>
          </w:p>
        </w:tc>
        <w:tc>
          <w:tcPr>
            <w:tcW w:w="3608" w:type="dxa"/>
            <w:tcBorders>
              <w:top w:val="nil"/>
              <w:left w:val="nil"/>
              <w:bottom w:val="nil"/>
              <w:right w:val="nil"/>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Populácia ohrozená chudobou a vylúčením</w:t>
            </w:r>
          </w:p>
        </w:tc>
        <w:tc>
          <w:tcPr>
            <w:tcW w:w="614" w:type="dxa"/>
            <w:tcBorders>
              <w:top w:val="nil"/>
              <w:left w:val="nil"/>
              <w:bottom w:val="nil"/>
              <w:right w:val="single" w:sz="8" w:space="0" w:color="auto"/>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SK</w:t>
            </w:r>
          </w:p>
        </w:tc>
        <w:tc>
          <w:tcPr>
            <w:tcW w:w="520" w:type="dxa"/>
            <w:tcBorders>
              <w:top w:val="nil"/>
              <w:left w:val="single" w:sz="8" w:space="0" w:color="auto"/>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51"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32</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26,7</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21,3</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20,6</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19,6</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20,6</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20,6</w:t>
            </w:r>
          </w:p>
        </w:tc>
        <w:tc>
          <w:tcPr>
            <w:tcW w:w="469"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 xml:space="preserve"> - </w:t>
            </w:r>
          </w:p>
        </w:tc>
        <w:tc>
          <w:tcPr>
            <w:tcW w:w="760" w:type="dxa"/>
            <w:tcBorders>
              <w:top w:val="nil"/>
              <w:left w:val="single" w:sz="8" w:space="0" w:color="auto"/>
              <w:bottom w:val="nil"/>
              <w:right w:val="single" w:sz="4" w:space="0" w:color="auto"/>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17,2</w:t>
            </w:r>
          </w:p>
        </w:tc>
      </w:tr>
      <w:tr w:rsidR="00A41F46" w:rsidRPr="0035027D" w:rsidTr="006E5BF3">
        <w:trPr>
          <w:trHeight w:val="113"/>
        </w:trPr>
        <w:tc>
          <w:tcPr>
            <w:tcW w:w="382" w:type="dxa"/>
            <w:vMerge/>
            <w:tcBorders>
              <w:top w:val="nil"/>
              <w:left w:val="single" w:sz="4" w:space="0" w:color="auto"/>
              <w:bottom w:val="single" w:sz="8" w:space="0" w:color="000000"/>
              <w:right w:val="nil"/>
            </w:tcBorders>
            <w:vAlign w:val="center"/>
            <w:hideMark/>
          </w:tcPr>
          <w:p w:rsidR="006E5BF3" w:rsidRPr="0035027D" w:rsidRDefault="006E5BF3" w:rsidP="006E5BF3">
            <w:pPr>
              <w:spacing w:after="0"/>
              <w:jc w:val="left"/>
              <w:rPr>
                <w:rFonts w:cs="Times New Roman"/>
                <w:b/>
                <w:bCs/>
                <w:color w:val="000000"/>
                <w:sz w:val="20"/>
                <w:szCs w:val="20"/>
              </w:rPr>
            </w:pPr>
          </w:p>
        </w:tc>
        <w:tc>
          <w:tcPr>
            <w:tcW w:w="323" w:type="dxa"/>
            <w:vMerge/>
            <w:tcBorders>
              <w:top w:val="nil"/>
              <w:left w:val="nil"/>
              <w:bottom w:val="single" w:sz="8" w:space="0" w:color="000000"/>
              <w:right w:val="nil"/>
            </w:tcBorders>
            <w:vAlign w:val="center"/>
            <w:hideMark/>
          </w:tcPr>
          <w:p w:rsidR="006E5BF3" w:rsidRPr="0035027D" w:rsidRDefault="006E5BF3" w:rsidP="006E5BF3">
            <w:pPr>
              <w:spacing w:after="0"/>
              <w:jc w:val="left"/>
              <w:rPr>
                <w:rFonts w:cs="Times New Roman"/>
                <w:b/>
                <w:bCs/>
                <w:color w:val="000000"/>
                <w:sz w:val="20"/>
                <w:szCs w:val="20"/>
              </w:rPr>
            </w:pPr>
          </w:p>
        </w:tc>
        <w:tc>
          <w:tcPr>
            <w:tcW w:w="3608" w:type="dxa"/>
            <w:tcBorders>
              <w:top w:val="nil"/>
              <w:left w:val="nil"/>
              <w:bottom w:val="single" w:sz="8" w:space="0" w:color="auto"/>
              <w:right w:val="nil"/>
            </w:tcBorders>
            <w:shd w:val="clear" w:color="auto" w:fill="auto"/>
            <w:noWrap/>
            <w:vAlign w:val="center"/>
            <w:hideMark/>
          </w:tcPr>
          <w:p w:rsidR="006E5BF3" w:rsidRPr="0035027D" w:rsidRDefault="006E5BF3" w:rsidP="006E5BF3">
            <w:pPr>
              <w:spacing w:after="0"/>
              <w:rPr>
                <w:rFonts w:cs="Times New Roman"/>
                <w:color w:val="000000"/>
                <w:sz w:val="20"/>
                <w:szCs w:val="20"/>
              </w:rPr>
            </w:pPr>
            <w:r w:rsidRPr="0035027D">
              <w:rPr>
                <w:rFonts w:cs="Times New Roman"/>
                <w:color w:val="000000"/>
                <w:sz w:val="20"/>
                <w:szCs w:val="20"/>
              </w:rPr>
              <w:t>(% populácie)</w:t>
            </w:r>
          </w:p>
        </w:tc>
        <w:tc>
          <w:tcPr>
            <w:tcW w:w="614" w:type="dxa"/>
            <w:tcBorders>
              <w:top w:val="nil"/>
              <w:left w:val="nil"/>
              <w:bottom w:val="single" w:sz="8" w:space="0" w:color="auto"/>
              <w:right w:val="single" w:sz="8" w:space="0" w:color="auto"/>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EÚ</w:t>
            </w:r>
          </w:p>
        </w:tc>
        <w:tc>
          <w:tcPr>
            <w:tcW w:w="520" w:type="dxa"/>
            <w:tcBorders>
              <w:top w:val="nil"/>
              <w:left w:val="single" w:sz="8" w:space="0" w:color="auto"/>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 xml:space="preserve"> - </w:t>
            </w:r>
          </w:p>
        </w:tc>
        <w:tc>
          <w:tcPr>
            <w:tcW w:w="551"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25,6</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25,2</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24,4</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23,6</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23,1</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23,6</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24,2</w:t>
            </w:r>
          </w:p>
        </w:tc>
        <w:tc>
          <w:tcPr>
            <w:tcW w:w="469"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 xml:space="preserve"> - </w:t>
            </w:r>
          </w:p>
        </w:tc>
        <w:tc>
          <w:tcPr>
            <w:tcW w:w="760" w:type="dxa"/>
            <w:tcBorders>
              <w:top w:val="nil"/>
              <w:left w:val="single" w:sz="8" w:space="0" w:color="auto"/>
              <w:bottom w:val="single" w:sz="8" w:space="0" w:color="auto"/>
              <w:right w:val="single" w:sz="4" w:space="0" w:color="auto"/>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19,4</w:t>
            </w:r>
          </w:p>
        </w:tc>
      </w:tr>
      <w:tr w:rsidR="006E5BF3" w:rsidRPr="0035027D" w:rsidTr="008731B6">
        <w:trPr>
          <w:trHeight w:val="113"/>
        </w:trPr>
        <w:tc>
          <w:tcPr>
            <w:tcW w:w="10347" w:type="dxa"/>
            <w:gridSpan w:val="14"/>
            <w:tcBorders>
              <w:top w:val="single" w:sz="8" w:space="0" w:color="auto"/>
              <w:left w:val="single" w:sz="4" w:space="0" w:color="auto"/>
              <w:bottom w:val="single" w:sz="8" w:space="0" w:color="auto"/>
              <w:right w:val="single" w:sz="4" w:space="0" w:color="auto"/>
            </w:tcBorders>
            <w:shd w:val="clear" w:color="000000" w:fill="D9D9D9"/>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Podnikateľské prostredie</w:t>
            </w:r>
          </w:p>
        </w:tc>
      </w:tr>
      <w:tr w:rsidR="00A41F46" w:rsidRPr="0035027D" w:rsidTr="006E5BF3">
        <w:trPr>
          <w:trHeight w:val="113"/>
        </w:trPr>
        <w:tc>
          <w:tcPr>
            <w:tcW w:w="382" w:type="dxa"/>
            <w:tcBorders>
              <w:top w:val="nil"/>
              <w:left w:val="single" w:sz="4" w:space="0" w:color="auto"/>
              <w:bottom w:val="nil"/>
              <w:right w:val="nil"/>
            </w:tcBorders>
            <w:shd w:val="clear" w:color="auto" w:fill="auto"/>
            <w:textDirection w:val="btLr"/>
            <w:vAlign w:val="center"/>
            <w:hideMark/>
          </w:tcPr>
          <w:p w:rsidR="006E5BF3" w:rsidRPr="0035027D" w:rsidRDefault="006E5BF3" w:rsidP="006E5BF3">
            <w:pPr>
              <w:spacing w:after="0"/>
              <w:jc w:val="center"/>
              <w:rPr>
                <w:rFonts w:cs="Times New Roman"/>
                <w:b/>
                <w:bCs/>
                <w:color w:val="000000"/>
                <w:sz w:val="20"/>
                <w:szCs w:val="20"/>
              </w:rPr>
            </w:pPr>
            <w:r w:rsidRPr="0035027D">
              <w:rPr>
                <w:rFonts w:cs="Times New Roman"/>
                <w:b/>
                <w:bCs/>
                <w:color w:val="000000"/>
                <w:sz w:val="20"/>
                <w:szCs w:val="20"/>
              </w:rPr>
              <w:t> </w:t>
            </w:r>
          </w:p>
        </w:tc>
        <w:tc>
          <w:tcPr>
            <w:tcW w:w="323" w:type="dxa"/>
            <w:vMerge w:val="restart"/>
            <w:tcBorders>
              <w:top w:val="nil"/>
              <w:left w:val="nil"/>
              <w:bottom w:val="single" w:sz="8" w:space="0" w:color="000000"/>
              <w:right w:val="nil"/>
            </w:tcBorders>
            <w:shd w:val="clear" w:color="auto" w:fill="auto"/>
            <w:noWrap/>
            <w:vAlign w:val="center"/>
            <w:hideMark/>
          </w:tcPr>
          <w:p w:rsidR="006E5BF3" w:rsidRPr="0035027D" w:rsidRDefault="006E5BF3" w:rsidP="006E5BF3">
            <w:pPr>
              <w:spacing w:after="0"/>
              <w:jc w:val="center"/>
              <w:rPr>
                <w:rFonts w:cs="Times New Roman"/>
                <w:b/>
                <w:bCs/>
                <w:color w:val="000000"/>
                <w:sz w:val="20"/>
                <w:szCs w:val="20"/>
              </w:rPr>
            </w:pPr>
            <w:r w:rsidRPr="0035027D">
              <w:rPr>
                <w:rFonts w:cs="Times New Roman"/>
                <w:b/>
                <w:bCs/>
                <w:color w:val="000000"/>
                <w:sz w:val="20"/>
                <w:szCs w:val="20"/>
              </w:rPr>
              <w:t>12</w:t>
            </w:r>
          </w:p>
        </w:tc>
        <w:tc>
          <w:tcPr>
            <w:tcW w:w="3608" w:type="dxa"/>
            <w:tcBorders>
              <w:top w:val="nil"/>
              <w:left w:val="nil"/>
              <w:bottom w:val="nil"/>
              <w:right w:val="nil"/>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proofErr w:type="spellStart"/>
            <w:r w:rsidRPr="0035027D">
              <w:rPr>
                <w:rFonts w:cs="Times New Roman"/>
                <w:b/>
                <w:bCs/>
                <w:color w:val="000000"/>
                <w:sz w:val="20"/>
                <w:szCs w:val="20"/>
              </w:rPr>
              <w:t>Doing</w:t>
            </w:r>
            <w:proofErr w:type="spellEnd"/>
            <w:r w:rsidRPr="0035027D">
              <w:rPr>
                <w:rFonts w:cs="Times New Roman"/>
                <w:b/>
                <w:bCs/>
                <w:color w:val="000000"/>
                <w:sz w:val="20"/>
                <w:szCs w:val="20"/>
              </w:rPr>
              <w:t xml:space="preserve"> </w:t>
            </w:r>
            <w:proofErr w:type="spellStart"/>
            <w:r w:rsidRPr="0035027D">
              <w:rPr>
                <w:rFonts w:cs="Times New Roman"/>
                <w:b/>
                <w:bCs/>
                <w:color w:val="000000"/>
                <w:sz w:val="20"/>
                <w:szCs w:val="20"/>
              </w:rPr>
              <w:t>Business</w:t>
            </w:r>
            <w:proofErr w:type="spellEnd"/>
          </w:p>
        </w:tc>
        <w:tc>
          <w:tcPr>
            <w:tcW w:w="614" w:type="dxa"/>
            <w:tcBorders>
              <w:top w:val="nil"/>
              <w:left w:val="nil"/>
              <w:bottom w:val="nil"/>
              <w:right w:val="single" w:sz="8" w:space="0" w:color="auto"/>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SK</w:t>
            </w:r>
          </w:p>
        </w:tc>
        <w:tc>
          <w:tcPr>
            <w:tcW w:w="520" w:type="dxa"/>
            <w:tcBorders>
              <w:top w:val="nil"/>
              <w:left w:val="single" w:sz="8" w:space="0" w:color="auto"/>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51"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40</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43</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46</w:t>
            </w:r>
          </w:p>
        </w:tc>
        <w:tc>
          <w:tcPr>
            <w:tcW w:w="469" w:type="dxa"/>
            <w:tcBorders>
              <w:top w:val="nil"/>
              <w:left w:val="nil"/>
              <w:bottom w:val="nil"/>
              <w:right w:val="single" w:sz="8" w:space="0" w:color="auto"/>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46</w:t>
            </w:r>
          </w:p>
        </w:tc>
        <w:tc>
          <w:tcPr>
            <w:tcW w:w="760" w:type="dxa"/>
            <w:tcBorders>
              <w:top w:val="nil"/>
              <w:left w:val="nil"/>
              <w:bottom w:val="nil"/>
              <w:right w:val="single" w:sz="4" w:space="0" w:color="auto"/>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15</w:t>
            </w:r>
          </w:p>
        </w:tc>
      </w:tr>
      <w:tr w:rsidR="00A41F46" w:rsidRPr="0035027D" w:rsidTr="006E5BF3">
        <w:trPr>
          <w:trHeight w:val="113"/>
        </w:trPr>
        <w:tc>
          <w:tcPr>
            <w:tcW w:w="382" w:type="dxa"/>
            <w:tcBorders>
              <w:top w:val="nil"/>
              <w:left w:val="single" w:sz="4" w:space="0" w:color="auto"/>
              <w:bottom w:val="single" w:sz="8" w:space="0" w:color="auto"/>
              <w:right w:val="nil"/>
            </w:tcBorders>
            <w:shd w:val="clear" w:color="auto" w:fill="auto"/>
            <w:textDirection w:val="btLr"/>
            <w:vAlign w:val="center"/>
            <w:hideMark/>
          </w:tcPr>
          <w:p w:rsidR="006E5BF3" w:rsidRPr="0035027D" w:rsidRDefault="006E5BF3" w:rsidP="006E5BF3">
            <w:pPr>
              <w:spacing w:after="0"/>
              <w:jc w:val="center"/>
              <w:rPr>
                <w:rFonts w:cs="Times New Roman"/>
                <w:b/>
                <w:bCs/>
                <w:color w:val="000000"/>
                <w:sz w:val="20"/>
                <w:szCs w:val="20"/>
              </w:rPr>
            </w:pPr>
            <w:r w:rsidRPr="0035027D">
              <w:rPr>
                <w:rFonts w:cs="Times New Roman"/>
                <w:b/>
                <w:bCs/>
                <w:color w:val="000000"/>
                <w:sz w:val="20"/>
                <w:szCs w:val="20"/>
              </w:rPr>
              <w:t> </w:t>
            </w:r>
          </w:p>
        </w:tc>
        <w:tc>
          <w:tcPr>
            <w:tcW w:w="323" w:type="dxa"/>
            <w:vMerge/>
            <w:tcBorders>
              <w:top w:val="nil"/>
              <w:left w:val="nil"/>
              <w:bottom w:val="single" w:sz="8" w:space="0" w:color="000000"/>
              <w:right w:val="nil"/>
            </w:tcBorders>
            <w:vAlign w:val="center"/>
            <w:hideMark/>
          </w:tcPr>
          <w:p w:rsidR="006E5BF3" w:rsidRPr="0035027D" w:rsidRDefault="006E5BF3" w:rsidP="006E5BF3">
            <w:pPr>
              <w:spacing w:after="0"/>
              <w:jc w:val="left"/>
              <w:rPr>
                <w:rFonts w:cs="Times New Roman"/>
                <w:b/>
                <w:bCs/>
                <w:color w:val="000000"/>
                <w:sz w:val="20"/>
                <w:szCs w:val="20"/>
              </w:rPr>
            </w:pPr>
          </w:p>
        </w:tc>
        <w:tc>
          <w:tcPr>
            <w:tcW w:w="3608" w:type="dxa"/>
            <w:tcBorders>
              <w:top w:val="nil"/>
              <w:left w:val="nil"/>
              <w:bottom w:val="single" w:sz="8" w:space="0" w:color="auto"/>
              <w:right w:val="nil"/>
            </w:tcBorders>
            <w:shd w:val="clear" w:color="auto" w:fill="auto"/>
            <w:noWrap/>
            <w:vAlign w:val="center"/>
            <w:hideMark/>
          </w:tcPr>
          <w:p w:rsidR="006E5BF3" w:rsidRPr="0035027D" w:rsidRDefault="006E5BF3" w:rsidP="006E5BF3">
            <w:pPr>
              <w:spacing w:after="0"/>
              <w:rPr>
                <w:rFonts w:cs="Times New Roman"/>
                <w:color w:val="000000"/>
                <w:sz w:val="20"/>
                <w:szCs w:val="20"/>
              </w:rPr>
            </w:pPr>
            <w:r w:rsidRPr="0035027D">
              <w:rPr>
                <w:rFonts w:cs="Times New Roman"/>
                <w:color w:val="000000"/>
                <w:sz w:val="20"/>
                <w:szCs w:val="20"/>
              </w:rPr>
              <w:t>(poradie v rebríčku Svetovej banky)</w:t>
            </w:r>
          </w:p>
        </w:tc>
        <w:tc>
          <w:tcPr>
            <w:tcW w:w="614" w:type="dxa"/>
            <w:tcBorders>
              <w:top w:val="nil"/>
              <w:left w:val="nil"/>
              <w:bottom w:val="single" w:sz="8" w:space="0" w:color="auto"/>
              <w:right w:val="single" w:sz="8" w:space="0" w:color="auto"/>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EÚ</w:t>
            </w:r>
          </w:p>
        </w:tc>
        <w:tc>
          <w:tcPr>
            <w:tcW w:w="520" w:type="dxa"/>
            <w:tcBorders>
              <w:top w:val="nil"/>
              <w:left w:val="single" w:sz="8" w:space="0" w:color="auto"/>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51"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37,5</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37,2</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40,3</w:t>
            </w:r>
          </w:p>
        </w:tc>
        <w:tc>
          <w:tcPr>
            <w:tcW w:w="469" w:type="dxa"/>
            <w:tcBorders>
              <w:top w:val="nil"/>
              <w:left w:val="nil"/>
              <w:bottom w:val="single" w:sz="8" w:space="0" w:color="auto"/>
              <w:right w:val="single" w:sz="8" w:space="0" w:color="auto"/>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40,1</w:t>
            </w:r>
          </w:p>
        </w:tc>
        <w:tc>
          <w:tcPr>
            <w:tcW w:w="760" w:type="dxa"/>
            <w:tcBorders>
              <w:top w:val="nil"/>
              <w:left w:val="nil"/>
              <w:bottom w:val="single" w:sz="8" w:space="0" w:color="auto"/>
              <w:right w:val="single" w:sz="4" w:space="0" w:color="auto"/>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r>
      <w:tr w:rsidR="00A41F46" w:rsidRPr="0035027D" w:rsidTr="006E5BF3">
        <w:trPr>
          <w:trHeight w:val="113"/>
        </w:trPr>
        <w:tc>
          <w:tcPr>
            <w:tcW w:w="382" w:type="dxa"/>
            <w:tcBorders>
              <w:top w:val="nil"/>
              <w:left w:val="single" w:sz="4" w:space="0" w:color="auto"/>
              <w:bottom w:val="nil"/>
              <w:right w:val="nil"/>
            </w:tcBorders>
            <w:shd w:val="clear" w:color="auto" w:fill="auto"/>
            <w:textDirection w:val="btLr"/>
            <w:vAlign w:val="center"/>
            <w:hideMark/>
          </w:tcPr>
          <w:p w:rsidR="006E5BF3" w:rsidRPr="0035027D" w:rsidRDefault="006E5BF3" w:rsidP="006E5BF3">
            <w:pPr>
              <w:spacing w:after="0"/>
              <w:jc w:val="center"/>
              <w:rPr>
                <w:rFonts w:cs="Times New Roman"/>
                <w:b/>
                <w:bCs/>
                <w:color w:val="000000"/>
                <w:sz w:val="20"/>
                <w:szCs w:val="20"/>
              </w:rPr>
            </w:pPr>
            <w:r w:rsidRPr="0035027D">
              <w:rPr>
                <w:rFonts w:cs="Times New Roman"/>
                <w:b/>
                <w:bCs/>
                <w:color w:val="000000"/>
                <w:sz w:val="20"/>
                <w:szCs w:val="20"/>
              </w:rPr>
              <w:t> </w:t>
            </w:r>
          </w:p>
        </w:tc>
        <w:tc>
          <w:tcPr>
            <w:tcW w:w="323" w:type="dxa"/>
            <w:vMerge w:val="restart"/>
            <w:tcBorders>
              <w:top w:val="nil"/>
              <w:left w:val="nil"/>
              <w:bottom w:val="single" w:sz="8" w:space="0" w:color="000000"/>
              <w:right w:val="nil"/>
            </w:tcBorders>
            <w:shd w:val="clear" w:color="auto" w:fill="auto"/>
            <w:noWrap/>
            <w:vAlign w:val="center"/>
            <w:hideMark/>
          </w:tcPr>
          <w:p w:rsidR="006E5BF3" w:rsidRPr="0035027D" w:rsidRDefault="006E5BF3" w:rsidP="006E5BF3">
            <w:pPr>
              <w:spacing w:after="0"/>
              <w:jc w:val="center"/>
              <w:rPr>
                <w:rFonts w:cs="Times New Roman"/>
                <w:b/>
                <w:bCs/>
                <w:color w:val="000000"/>
                <w:sz w:val="20"/>
                <w:szCs w:val="20"/>
              </w:rPr>
            </w:pPr>
            <w:r w:rsidRPr="0035027D">
              <w:rPr>
                <w:rFonts w:cs="Times New Roman"/>
                <w:b/>
                <w:bCs/>
                <w:color w:val="000000"/>
                <w:sz w:val="20"/>
                <w:szCs w:val="20"/>
              </w:rPr>
              <w:t>13</w:t>
            </w:r>
          </w:p>
        </w:tc>
        <w:tc>
          <w:tcPr>
            <w:tcW w:w="3608" w:type="dxa"/>
            <w:tcBorders>
              <w:top w:val="nil"/>
              <w:left w:val="nil"/>
              <w:bottom w:val="nil"/>
              <w:right w:val="nil"/>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Index regulácie trhu produktov</w:t>
            </w:r>
          </w:p>
        </w:tc>
        <w:tc>
          <w:tcPr>
            <w:tcW w:w="614" w:type="dxa"/>
            <w:tcBorders>
              <w:top w:val="nil"/>
              <w:left w:val="nil"/>
              <w:bottom w:val="nil"/>
              <w:right w:val="single" w:sz="8" w:space="0" w:color="auto"/>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SK</w:t>
            </w:r>
          </w:p>
        </w:tc>
        <w:tc>
          <w:tcPr>
            <w:tcW w:w="520" w:type="dxa"/>
            <w:tcBorders>
              <w:top w:val="nil"/>
              <w:left w:val="single" w:sz="8" w:space="0" w:color="auto"/>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51"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1,54</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 xml:space="preserve"> - </w:t>
            </w:r>
          </w:p>
        </w:tc>
        <w:tc>
          <w:tcPr>
            <w:tcW w:w="469"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 xml:space="preserve"> - </w:t>
            </w:r>
          </w:p>
        </w:tc>
        <w:tc>
          <w:tcPr>
            <w:tcW w:w="760" w:type="dxa"/>
            <w:tcBorders>
              <w:top w:val="nil"/>
              <w:left w:val="single" w:sz="8" w:space="0" w:color="auto"/>
              <w:bottom w:val="nil"/>
              <w:right w:val="single" w:sz="4" w:space="0" w:color="auto"/>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1,2</w:t>
            </w:r>
          </w:p>
        </w:tc>
      </w:tr>
      <w:tr w:rsidR="00A41F46" w:rsidRPr="0035027D" w:rsidTr="006E5BF3">
        <w:trPr>
          <w:trHeight w:val="113"/>
        </w:trPr>
        <w:tc>
          <w:tcPr>
            <w:tcW w:w="382" w:type="dxa"/>
            <w:tcBorders>
              <w:top w:val="nil"/>
              <w:left w:val="single" w:sz="4" w:space="0" w:color="auto"/>
              <w:bottom w:val="single" w:sz="8" w:space="0" w:color="auto"/>
              <w:right w:val="nil"/>
            </w:tcBorders>
            <w:shd w:val="clear" w:color="auto" w:fill="auto"/>
            <w:textDirection w:val="btLr"/>
            <w:vAlign w:val="center"/>
            <w:hideMark/>
          </w:tcPr>
          <w:p w:rsidR="006E5BF3" w:rsidRPr="0035027D" w:rsidRDefault="006E5BF3" w:rsidP="006E5BF3">
            <w:pPr>
              <w:spacing w:after="0"/>
              <w:jc w:val="center"/>
              <w:rPr>
                <w:rFonts w:cs="Times New Roman"/>
                <w:b/>
                <w:bCs/>
                <w:color w:val="000000"/>
                <w:sz w:val="20"/>
                <w:szCs w:val="20"/>
              </w:rPr>
            </w:pPr>
            <w:r w:rsidRPr="0035027D">
              <w:rPr>
                <w:rFonts w:cs="Times New Roman"/>
                <w:b/>
                <w:bCs/>
                <w:color w:val="000000"/>
                <w:sz w:val="20"/>
                <w:szCs w:val="20"/>
              </w:rPr>
              <w:t> </w:t>
            </w:r>
          </w:p>
        </w:tc>
        <w:tc>
          <w:tcPr>
            <w:tcW w:w="323" w:type="dxa"/>
            <w:vMerge/>
            <w:tcBorders>
              <w:top w:val="nil"/>
              <w:left w:val="nil"/>
              <w:bottom w:val="single" w:sz="8" w:space="0" w:color="000000"/>
              <w:right w:val="nil"/>
            </w:tcBorders>
            <w:vAlign w:val="center"/>
            <w:hideMark/>
          </w:tcPr>
          <w:p w:rsidR="006E5BF3" w:rsidRPr="0035027D" w:rsidRDefault="006E5BF3" w:rsidP="006E5BF3">
            <w:pPr>
              <w:spacing w:after="0"/>
              <w:jc w:val="left"/>
              <w:rPr>
                <w:rFonts w:cs="Times New Roman"/>
                <w:b/>
                <w:bCs/>
                <w:color w:val="000000"/>
                <w:sz w:val="20"/>
                <w:szCs w:val="20"/>
              </w:rPr>
            </w:pPr>
          </w:p>
        </w:tc>
        <w:tc>
          <w:tcPr>
            <w:tcW w:w="3608" w:type="dxa"/>
            <w:tcBorders>
              <w:top w:val="nil"/>
              <w:left w:val="nil"/>
              <w:bottom w:val="single" w:sz="8" w:space="0" w:color="auto"/>
              <w:right w:val="nil"/>
            </w:tcBorders>
            <w:shd w:val="clear" w:color="auto" w:fill="auto"/>
            <w:noWrap/>
            <w:vAlign w:val="center"/>
            <w:hideMark/>
          </w:tcPr>
          <w:p w:rsidR="006E5BF3" w:rsidRPr="0035027D" w:rsidRDefault="006E5BF3" w:rsidP="006E5BF3">
            <w:pPr>
              <w:spacing w:after="0"/>
              <w:rPr>
                <w:rFonts w:cs="Times New Roman"/>
                <w:color w:val="000000"/>
                <w:sz w:val="20"/>
                <w:szCs w:val="20"/>
              </w:rPr>
            </w:pPr>
            <w:r w:rsidRPr="0035027D">
              <w:rPr>
                <w:rFonts w:cs="Times New Roman"/>
                <w:color w:val="000000"/>
                <w:sz w:val="20"/>
                <w:szCs w:val="20"/>
              </w:rPr>
              <w:t>(bodové hodnotenie)</w:t>
            </w:r>
          </w:p>
        </w:tc>
        <w:tc>
          <w:tcPr>
            <w:tcW w:w="614" w:type="dxa"/>
            <w:tcBorders>
              <w:top w:val="nil"/>
              <w:left w:val="nil"/>
              <w:bottom w:val="single" w:sz="8" w:space="0" w:color="auto"/>
              <w:right w:val="single" w:sz="8" w:space="0" w:color="auto"/>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OECD</w:t>
            </w:r>
          </w:p>
        </w:tc>
        <w:tc>
          <w:tcPr>
            <w:tcW w:w="520" w:type="dxa"/>
            <w:tcBorders>
              <w:top w:val="nil"/>
              <w:left w:val="single" w:sz="8" w:space="0" w:color="auto"/>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51"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1,35</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 xml:space="preserve"> - </w:t>
            </w:r>
          </w:p>
        </w:tc>
        <w:tc>
          <w:tcPr>
            <w:tcW w:w="469"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 xml:space="preserve"> - </w:t>
            </w:r>
          </w:p>
        </w:tc>
        <w:tc>
          <w:tcPr>
            <w:tcW w:w="760" w:type="dxa"/>
            <w:tcBorders>
              <w:top w:val="nil"/>
              <w:left w:val="single" w:sz="8" w:space="0" w:color="auto"/>
              <w:bottom w:val="single" w:sz="8" w:space="0" w:color="auto"/>
              <w:right w:val="single" w:sz="4" w:space="0" w:color="auto"/>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r>
      <w:tr w:rsidR="006E5BF3" w:rsidRPr="0035027D" w:rsidTr="008731B6">
        <w:trPr>
          <w:trHeight w:val="113"/>
        </w:trPr>
        <w:tc>
          <w:tcPr>
            <w:tcW w:w="10347" w:type="dxa"/>
            <w:gridSpan w:val="14"/>
            <w:tcBorders>
              <w:top w:val="single" w:sz="8" w:space="0" w:color="auto"/>
              <w:left w:val="single" w:sz="4" w:space="0" w:color="auto"/>
              <w:bottom w:val="single" w:sz="8" w:space="0" w:color="auto"/>
              <w:right w:val="single" w:sz="4" w:space="0" w:color="auto"/>
            </w:tcBorders>
            <w:shd w:val="clear" w:color="000000" w:fill="D9D9D9"/>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Modernizácia verejnej správy</w:t>
            </w:r>
          </w:p>
        </w:tc>
      </w:tr>
      <w:tr w:rsidR="00A41F46" w:rsidRPr="0035027D" w:rsidTr="006E5BF3">
        <w:trPr>
          <w:trHeight w:val="113"/>
        </w:trPr>
        <w:tc>
          <w:tcPr>
            <w:tcW w:w="382" w:type="dxa"/>
            <w:tcBorders>
              <w:top w:val="nil"/>
              <w:left w:val="single" w:sz="4" w:space="0" w:color="auto"/>
              <w:bottom w:val="nil"/>
              <w:right w:val="nil"/>
            </w:tcBorders>
            <w:shd w:val="clear" w:color="auto" w:fill="auto"/>
            <w:textDirection w:val="btLr"/>
            <w:vAlign w:val="center"/>
            <w:hideMark/>
          </w:tcPr>
          <w:p w:rsidR="006E5BF3" w:rsidRPr="0035027D" w:rsidRDefault="006E5BF3" w:rsidP="006E5BF3">
            <w:pPr>
              <w:spacing w:after="0"/>
              <w:jc w:val="center"/>
              <w:rPr>
                <w:rFonts w:cs="Times New Roman"/>
                <w:b/>
                <w:bCs/>
                <w:color w:val="000000"/>
                <w:sz w:val="20"/>
                <w:szCs w:val="20"/>
              </w:rPr>
            </w:pPr>
            <w:r w:rsidRPr="0035027D">
              <w:rPr>
                <w:rFonts w:cs="Times New Roman"/>
                <w:b/>
                <w:bCs/>
                <w:color w:val="000000"/>
                <w:sz w:val="20"/>
                <w:szCs w:val="20"/>
              </w:rPr>
              <w:t> </w:t>
            </w:r>
          </w:p>
        </w:tc>
        <w:tc>
          <w:tcPr>
            <w:tcW w:w="323" w:type="dxa"/>
            <w:vMerge w:val="restart"/>
            <w:tcBorders>
              <w:top w:val="nil"/>
              <w:left w:val="nil"/>
              <w:bottom w:val="single" w:sz="8" w:space="0" w:color="000000"/>
              <w:right w:val="nil"/>
            </w:tcBorders>
            <w:shd w:val="clear" w:color="auto" w:fill="auto"/>
            <w:noWrap/>
            <w:vAlign w:val="center"/>
            <w:hideMark/>
          </w:tcPr>
          <w:p w:rsidR="006E5BF3" w:rsidRPr="0035027D" w:rsidRDefault="006E5BF3" w:rsidP="006E5BF3">
            <w:pPr>
              <w:spacing w:after="0"/>
              <w:jc w:val="center"/>
              <w:rPr>
                <w:rFonts w:cs="Times New Roman"/>
                <w:b/>
                <w:bCs/>
                <w:color w:val="000000"/>
                <w:sz w:val="20"/>
                <w:szCs w:val="20"/>
              </w:rPr>
            </w:pPr>
            <w:r w:rsidRPr="0035027D">
              <w:rPr>
                <w:rFonts w:cs="Times New Roman"/>
                <w:b/>
                <w:bCs/>
                <w:color w:val="000000"/>
                <w:sz w:val="20"/>
                <w:szCs w:val="20"/>
              </w:rPr>
              <w:t>14</w:t>
            </w:r>
          </w:p>
        </w:tc>
        <w:tc>
          <w:tcPr>
            <w:tcW w:w="3608" w:type="dxa"/>
            <w:tcBorders>
              <w:top w:val="nil"/>
              <w:left w:val="nil"/>
              <w:bottom w:val="nil"/>
              <w:right w:val="nil"/>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E-government index</w:t>
            </w:r>
          </w:p>
        </w:tc>
        <w:tc>
          <w:tcPr>
            <w:tcW w:w="614" w:type="dxa"/>
            <w:tcBorders>
              <w:top w:val="nil"/>
              <w:left w:val="nil"/>
              <w:bottom w:val="nil"/>
              <w:right w:val="single" w:sz="8" w:space="0" w:color="auto"/>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SK</w:t>
            </w:r>
          </w:p>
        </w:tc>
        <w:tc>
          <w:tcPr>
            <w:tcW w:w="520" w:type="dxa"/>
            <w:tcBorders>
              <w:top w:val="nil"/>
              <w:left w:val="single" w:sz="8" w:space="0" w:color="auto"/>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25,5</w:t>
            </w:r>
          </w:p>
        </w:tc>
        <w:tc>
          <w:tcPr>
            <w:tcW w:w="551"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37,3</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42,3</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58,6</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62</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 xml:space="preserve"> - </w:t>
            </w:r>
          </w:p>
        </w:tc>
        <w:tc>
          <w:tcPr>
            <w:tcW w:w="469"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 xml:space="preserve"> - </w:t>
            </w:r>
          </w:p>
        </w:tc>
        <w:tc>
          <w:tcPr>
            <w:tcW w:w="760" w:type="dxa"/>
            <w:tcBorders>
              <w:top w:val="nil"/>
              <w:left w:val="single" w:sz="8" w:space="0" w:color="auto"/>
              <w:bottom w:val="nil"/>
              <w:right w:val="single" w:sz="4" w:space="0" w:color="auto"/>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90</w:t>
            </w:r>
          </w:p>
        </w:tc>
      </w:tr>
      <w:tr w:rsidR="00A41F46" w:rsidRPr="0035027D" w:rsidTr="00263187">
        <w:trPr>
          <w:trHeight w:val="113"/>
        </w:trPr>
        <w:tc>
          <w:tcPr>
            <w:tcW w:w="382" w:type="dxa"/>
            <w:tcBorders>
              <w:top w:val="nil"/>
              <w:left w:val="single" w:sz="4" w:space="0" w:color="auto"/>
              <w:bottom w:val="single" w:sz="8" w:space="0" w:color="auto"/>
              <w:right w:val="nil"/>
            </w:tcBorders>
            <w:shd w:val="clear" w:color="auto" w:fill="auto"/>
            <w:textDirection w:val="btLr"/>
            <w:vAlign w:val="center"/>
            <w:hideMark/>
          </w:tcPr>
          <w:p w:rsidR="006E5BF3" w:rsidRPr="0035027D" w:rsidRDefault="006E5BF3" w:rsidP="006E5BF3">
            <w:pPr>
              <w:spacing w:after="0"/>
              <w:jc w:val="center"/>
              <w:rPr>
                <w:rFonts w:cs="Times New Roman"/>
                <w:b/>
                <w:bCs/>
                <w:color w:val="000000"/>
                <w:sz w:val="20"/>
                <w:szCs w:val="20"/>
              </w:rPr>
            </w:pPr>
            <w:r w:rsidRPr="0035027D">
              <w:rPr>
                <w:rFonts w:cs="Times New Roman"/>
                <w:b/>
                <w:bCs/>
                <w:color w:val="000000"/>
                <w:sz w:val="20"/>
                <w:szCs w:val="20"/>
              </w:rPr>
              <w:t> </w:t>
            </w:r>
          </w:p>
        </w:tc>
        <w:tc>
          <w:tcPr>
            <w:tcW w:w="323" w:type="dxa"/>
            <w:vMerge/>
            <w:tcBorders>
              <w:top w:val="nil"/>
              <w:left w:val="nil"/>
              <w:bottom w:val="single" w:sz="8" w:space="0" w:color="000000"/>
              <w:right w:val="nil"/>
            </w:tcBorders>
            <w:vAlign w:val="center"/>
            <w:hideMark/>
          </w:tcPr>
          <w:p w:rsidR="006E5BF3" w:rsidRPr="0035027D" w:rsidRDefault="006E5BF3" w:rsidP="006E5BF3">
            <w:pPr>
              <w:spacing w:after="0"/>
              <w:jc w:val="left"/>
              <w:rPr>
                <w:rFonts w:cs="Times New Roman"/>
                <w:b/>
                <w:bCs/>
                <w:color w:val="000000"/>
                <w:sz w:val="20"/>
                <w:szCs w:val="20"/>
              </w:rPr>
            </w:pPr>
          </w:p>
        </w:tc>
        <w:tc>
          <w:tcPr>
            <w:tcW w:w="3608" w:type="dxa"/>
            <w:tcBorders>
              <w:top w:val="nil"/>
              <w:left w:val="nil"/>
              <w:bottom w:val="single" w:sz="8" w:space="0" w:color="auto"/>
              <w:right w:val="nil"/>
            </w:tcBorders>
            <w:shd w:val="clear" w:color="auto" w:fill="auto"/>
            <w:noWrap/>
            <w:vAlign w:val="center"/>
            <w:hideMark/>
          </w:tcPr>
          <w:p w:rsidR="006E5BF3" w:rsidRPr="0035027D" w:rsidRDefault="006E5BF3" w:rsidP="006E5BF3">
            <w:pPr>
              <w:spacing w:after="0"/>
              <w:rPr>
                <w:rFonts w:cs="Times New Roman"/>
                <w:color w:val="000000"/>
                <w:sz w:val="20"/>
                <w:szCs w:val="20"/>
              </w:rPr>
            </w:pPr>
            <w:r w:rsidRPr="0035027D">
              <w:rPr>
                <w:rFonts w:cs="Times New Roman"/>
                <w:color w:val="000000"/>
                <w:sz w:val="20"/>
                <w:szCs w:val="20"/>
              </w:rPr>
              <w:t>(%)</w:t>
            </w:r>
          </w:p>
        </w:tc>
        <w:tc>
          <w:tcPr>
            <w:tcW w:w="614" w:type="dxa"/>
            <w:tcBorders>
              <w:top w:val="nil"/>
              <w:left w:val="nil"/>
              <w:bottom w:val="single" w:sz="8" w:space="0" w:color="auto"/>
              <w:right w:val="single" w:sz="8" w:space="0" w:color="auto"/>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EÚ</w:t>
            </w:r>
          </w:p>
        </w:tc>
        <w:tc>
          <w:tcPr>
            <w:tcW w:w="520" w:type="dxa"/>
            <w:tcBorders>
              <w:top w:val="nil"/>
              <w:left w:val="single" w:sz="8" w:space="0" w:color="auto"/>
              <w:bottom w:val="single" w:sz="4"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51" w:type="dxa"/>
            <w:tcBorders>
              <w:top w:val="nil"/>
              <w:left w:val="nil"/>
              <w:bottom w:val="single" w:sz="4"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single" w:sz="4"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47</w:t>
            </w:r>
          </w:p>
        </w:tc>
        <w:tc>
          <w:tcPr>
            <w:tcW w:w="520" w:type="dxa"/>
            <w:tcBorders>
              <w:top w:val="nil"/>
              <w:left w:val="nil"/>
              <w:bottom w:val="single" w:sz="4"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52,9</w:t>
            </w:r>
          </w:p>
        </w:tc>
        <w:tc>
          <w:tcPr>
            <w:tcW w:w="520" w:type="dxa"/>
            <w:tcBorders>
              <w:top w:val="nil"/>
              <w:left w:val="nil"/>
              <w:bottom w:val="single" w:sz="4"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single" w:sz="4"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61,4</w:t>
            </w:r>
          </w:p>
        </w:tc>
        <w:tc>
          <w:tcPr>
            <w:tcW w:w="520" w:type="dxa"/>
            <w:tcBorders>
              <w:top w:val="nil"/>
              <w:left w:val="nil"/>
              <w:bottom w:val="single" w:sz="4"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69,1</w:t>
            </w:r>
          </w:p>
        </w:tc>
        <w:tc>
          <w:tcPr>
            <w:tcW w:w="520" w:type="dxa"/>
            <w:tcBorders>
              <w:top w:val="nil"/>
              <w:left w:val="nil"/>
              <w:bottom w:val="single" w:sz="4"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 xml:space="preserve"> - </w:t>
            </w:r>
          </w:p>
        </w:tc>
        <w:tc>
          <w:tcPr>
            <w:tcW w:w="469" w:type="dxa"/>
            <w:tcBorders>
              <w:top w:val="nil"/>
              <w:left w:val="nil"/>
              <w:bottom w:val="single" w:sz="4"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 xml:space="preserve"> - </w:t>
            </w:r>
          </w:p>
        </w:tc>
        <w:tc>
          <w:tcPr>
            <w:tcW w:w="760" w:type="dxa"/>
            <w:tcBorders>
              <w:top w:val="nil"/>
              <w:left w:val="single" w:sz="8" w:space="0" w:color="auto"/>
              <w:bottom w:val="single" w:sz="4" w:space="0" w:color="auto"/>
              <w:right w:val="single" w:sz="4" w:space="0" w:color="auto"/>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r>
      <w:tr w:rsidR="006E5BF3" w:rsidRPr="0035027D" w:rsidTr="008731B6">
        <w:trPr>
          <w:trHeight w:val="113"/>
        </w:trPr>
        <w:tc>
          <w:tcPr>
            <w:tcW w:w="10347" w:type="dxa"/>
            <w:gridSpan w:val="14"/>
            <w:tcBorders>
              <w:top w:val="nil"/>
              <w:left w:val="single" w:sz="4" w:space="0" w:color="auto"/>
              <w:bottom w:val="single" w:sz="8" w:space="0" w:color="auto"/>
              <w:right w:val="single" w:sz="4" w:space="0" w:color="auto"/>
            </w:tcBorders>
            <w:shd w:val="clear" w:color="000000" w:fill="D9D9D9"/>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Transparentné prostredie a vymožiteľnosť práva</w:t>
            </w:r>
          </w:p>
        </w:tc>
      </w:tr>
      <w:tr w:rsidR="00A41F46" w:rsidRPr="0035027D" w:rsidTr="006E5BF3">
        <w:trPr>
          <w:trHeight w:val="113"/>
        </w:trPr>
        <w:tc>
          <w:tcPr>
            <w:tcW w:w="382" w:type="dxa"/>
            <w:tcBorders>
              <w:top w:val="nil"/>
              <w:left w:val="single" w:sz="4" w:space="0" w:color="auto"/>
              <w:bottom w:val="nil"/>
              <w:right w:val="nil"/>
            </w:tcBorders>
            <w:shd w:val="clear" w:color="auto" w:fill="auto"/>
            <w:textDirection w:val="btLr"/>
            <w:vAlign w:val="center"/>
            <w:hideMark/>
          </w:tcPr>
          <w:p w:rsidR="006E5BF3" w:rsidRPr="0035027D" w:rsidRDefault="006E5BF3" w:rsidP="006E5BF3">
            <w:pPr>
              <w:spacing w:after="0"/>
              <w:jc w:val="center"/>
              <w:rPr>
                <w:rFonts w:cs="Times New Roman"/>
                <w:b/>
                <w:bCs/>
                <w:color w:val="000000"/>
                <w:sz w:val="20"/>
                <w:szCs w:val="20"/>
              </w:rPr>
            </w:pPr>
            <w:r w:rsidRPr="0035027D">
              <w:rPr>
                <w:rFonts w:cs="Times New Roman"/>
                <w:b/>
                <w:bCs/>
                <w:color w:val="000000"/>
                <w:sz w:val="20"/>
                <w:szCs w:val="20"/>
              </w:rPr>
              <w:t> </w:t>
            </w:r>
          </w:p>
        </w:tc>
        <w:tc>
          <w:tcPr>
            <w:tcW w:w="323" w:type="dxa"/>
            <w:vMerge w:val="restart"/>
            <w:tcBorders>
              <w:top w:val="nil"/>
              <w:left w:val="nil"/>
              <w:bottom w:val="single" w:sz="8" w:space="0" w:color="000000"/>
              <w:right w:val="nil"/>
            </w:tcBorders>
            <w:shd w:val="clear" w:color="auto" w:fill="auto"/>
            <w:noWrap/>
            <w:vAlign w:val="center"/>
            <w:hideMark/>
          </w:tcPr>
          <w:p w:rsidR="006E5BF3" w:rsidRPr="0035027D" w:rsidRDefault="006E5BF3" w:rsidP="006E5BF3">
            <w:pPr>
              <w:spacing w:after="0"/>
              <w:jc w:val="center"/>
              <w:rPr>
                <w:rFonts w:cs="Times New Roman"/>
                <w:b/>
                <w:bCs/>
                <w:color w:val="000000"/>
                <w:sz w:val="20"/>
                <w:szCs w:val="20"/>
              </w:rPr>
            </w:pPr>
            <w:r w:rsidRPr="0035027D">
              <w:rPr>
                <w:rFonts w:cs="Times New Roman"/>
                <w:b/>
                <w:bCs/>
                <w:color w:val="000000"/>
                <w:sz w:val="20"/>
                <w:szCs w:val="20"/>
              </w:rPr>
              <w:t>15</w:t>
            </w:r>
          </w:p>
        </w:tc>
        <w:tc>
          <w:tcPr>
            <w:tcW w:w="3608" w:type="dxa"/>
            <w:tcBorders>
              <w:top w:val="nil"/>
              <w:left w:val="nil"/>
              <w:bottom w:val="nil"/>
              <w:right w:val="nil"/>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Korupcia</w:t>
            </w:r>
          </w:p>
        </w:tc>
        <w:tc>
          <w:tcPr>
            <w:tcW w:w="614" w:type="dxa"/>
            <w:tcBorders>
              <w:top w:val="nil"/>
              <w:left w:val="nil"/>
              <w:bottom w:val="nil"/>
              <w:right w:val="nil"/>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SK</w:t>
            </w:r>
          </w:p>
        </w:tc>
        <w:tc>
          <w:tcPr>
            <w:tcW w:w="520" w:type="dxa"/>
            <w:tcBorders>
              <w:top w:val="nil"/>
              <w:left w:val="single" w:sz="8" w:space="0" w:color="auto"/>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51"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59</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59</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61</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56</w:t>
            </w:r>
          </w:p>
        </w:tc>
        <w:tc>
          <w:tcPr>
            <w:tcW w:w="469"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 xml:space="preserve"> - </w:t>
            </w:r>
          </w:p>
        </w:tc>
        <w:tc>
          <w:tcPr>
            <w:tcW w:w="760" w:type="dxa"/>
            <w:tcBorders>
              <w:top w:val="nil"/>
              <w:left w:val="single" w:sz="8" w:space="0" w:color="auto"/>
              <w:bottom w:val="nil"/>
              <w:right w:val="single" w:sz="4" w:space="0" w:color="auto"/>
            </w:tcBorders>
            <w:shd w:val="clear" w:color="auto" w:fill="auto"/>
            <w:vAlign w:val="center"/>
            <w:hideMark/>
          </w:tcPr>
          <w:p w:rsidR="006E5BF3" w:rsidRPr="0035027D" w:rsidRDefault="00667A2B" w:rsidP="006E5BF3">
            <w:pPr>
              <w:spacing w:after="0"/>
              <w:jc w:val="center"/>
              <w:rPr>
                <w:rFonts w:cs="Times New Roman"/>
                <w:color w:val="000000"/>
                <w:sz w:val="20"/>
                <w:szCs w:val="20"/>
              </w:rPr>
            </w:pPr>
            <w:r w:rsidRPr="0035027D">
              <w:rPr>
                <w:rFonts w:cs="Times New Roman"/>
                <w:color w:val="000000"/>
                <w:sz w:val="20"/>
                <w:szCs w:val="20"/>
              </w:rPr>
              <w:t>8</w:t>
            </w:r>
            <w:r w:rsidR="006E5BF3" w:rsidRPr="0035027D">
              <w:rPr>
                <w:rFonts w:cs="Times New Roman"/>
                <w:color w:val="000000"/>
                <w:sz w:val="20"/>
                <w:szCs w:val="20"/>
              </w:rPr>
              <w:t>0</w:t>
            </w:r>
          </w:p>
        </w:tc>
      </w:tr>
      <w:tr w:rsidR="00A41F46" w:rsidRPr="0035027D" w:rsidTr="006E5BF3">
        <w:trPr>
          <w:trHeight w:val="113"/>
        </w:trPr>
        <w:tc>
          <w:tcPr>
            <w:tcW w:w="382" w:type="dxa"/>
            <w:tcBorders>
              <w:top w:val="nil"/>
              <w:left w:val="single" w:sz="4" w:space="0" w:color="auto"/>
              <w:bottom w:val="single" w:sz="8" w:space="0" w:color="auto"/>
              <w:right w:val="nil"/>
            </w:tcBorders>
            <w:shd w:val="clear" w:color="auto" w:fill="auto"/>
            <w:textDirection w:val="btLr"/>
            <w:vAlign w:val="center"/>
            <w:hideMark/>
          </w:tcPr>
          <w:p w:rsidR="006E5BF3" w:rsidRPr="0035027D" w:rsidRDefault="006E5BF3" w:rsidP="006E5BF3">
            <w:pPr>
              <w:spacing w:after="0"/>
              <w:jc w:val="center"/>
              <w:rPr>
                <w:rFonts w:cs="Times New Roman"/>
                <w:b/>
                <w:bCs/>
                <w:color w:val="000000"/>
                <w:sz w:val="20"/>
                <w:szCs w:val="20"/>
              </w:rPr>
            </w:pPr>
            <w:r w:rsidRPr="0035027D">
              <w:rPr>
                <w:rFonts w:cs="Times New Roman"/>
                <w:b/>
                <w:bCs/>
                <w:color w:val="000000"/>
                <w:sz w:val="20"/>
                <w:szCs w:val="20"/>
              </w:rPr>
              <w:t> </w:t>
            </w:r>
          </w:p>
        </w:tc>
        <w:tc>
          <w:tcPr>
            <w:tcW w:w="323" w:type="dxa"/>
            <w:vMerge/>
            <w:tcBorders>
              <w:top w:val="nil"/>
              <w:left w:val="nil"/>
              <w:bottom w:val="single" w:sz="8" w:space="0" w:color="000000"/>
              <w:right w:val="nil"/>
            </w:tcBorders>
            <w:vAlign w:val="center"/>
            <w:hideMark/>
          </w:tcPr>
          <w:p w:rsidR="006E5BF3" w:rsidRPr="0035027D" w:rsidRDefault="006E5BF3" w:rsidP="006E5BF3">
            <w:pPr>
              <w:spacing w:after="0"/>
              <w:jc w:val="left"/>
              <w:rPr>
                <w:rFonts w:cs="Times New Roman"/>
                <w:b/>
                <w:bCs/>
                <w:color w:val="000000"/>
                <w:sz w:val="20"/>
                <w:szCs w:val="20"/>
              </w:rPr>
            </w:pPr>
          </w:p>
        </w:tc>
        <w:tc>
          <w:tcPr>
            <w:tcW w:w="3608" w:type="dxa"/>
            <w:tcBorders>
              <w:top w:val="nil"/>
              <w:left w:val="nil"/>
              <w:bottom w:val="single" w:sz="8" w:space="0" w:color="auto"/>
              <w:right w:val="nil"/>
            </w:tcBorders>
            <w:shd w:val="clear" w:color="auto" w:fill="auto"/>
            <w:noWrap/>
            <w:vAlign w:val="center"/>
            <w:hideMark/>
          </w:tcPr>
          <w:p w:rsidR="006E5BF3" w:rsidRPr="0035027D" w:rsidRDefault="006E5BF3" w:rsidP="006E5BF3">
            <w:pPr>
              <w:spacing w:after="0"/>
              <w:rPr>
                <w:rFonts w:cs="Times New Roman"/>
                <w:color w:val="000000"/>
                <w:sz w:val="20"/>
                <w:szCs w:val="20"/>
              </w:rPr>
            </w:pPr>
            <w:r w:rsidRPr="0035027D">
              <w:rPr>
                <w:rFonts w:cs="Times New Roman"/>
                <w:color w:val="000000"/>
                <w:sz w:val="20"/>
                <w:szCs w:val="20"/>
              </w:rPr>
              <w:t>(%)</w:t>
            </w:r>
          </w:p>
        </w:tc>
        <w:tc>
          <w:tcPr>
            <w:tcW w:w="614" w:type="dxa"/>
            <w:tcBorders>
              <w:top w:val="nil"/>
              <w:left w:val="nil"/>
              <w:bottom w:val="single" w:sz="8" w:space="0" w:color="auto"/>
              <w:right w:val="nil"/>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EÚ</w:t>
            </w:r>
          </w:p>
        </w:tc>
        <w:tc>
          <w:tcPr>
            <w:tcW w:w="520" w:type="dxa"/>
            <w:tcBorders>
              <w:top w:val="nil"/>
              <w:left w:val="single" w:sz="8" w:space="0" w:color="auto"/>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51"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67</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78</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80</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77</w:t>
            </w:r>
          </w:p>
        </w:tc>
        <w:tc>
          <w:tcPr>
            <w:tcW w:w="469"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 xml:space="preserve"> - </w:t>
            </w:r>
          </w:p>
        </w:tc>
        <w:tc>
          <w:tcPr>
            <w:tcW w:w="760" w:type="dxa"/>
            <w:tcBorders>
              <w:top w:val="nil"/>
              <w:left w:val="single" w:sz="8" w:space="0" w:color="auto"/>
              <w:bottom w:val="single" w:sz="8" w:space="0" w:color="auto"/>
              <w:right w:val="single" w:sz="4" w:space="0" w:color="auto"/>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r>
      <w:tr w:rsidR="006E5BF3" w:rsidRPr="0035027D" w:rsidTr="008731B6">
        <w:trPr>
          <w:trHeight w:val="113"/>
        </w:trPr>
        <w:tc>
          <w:tcPr>
            <w:tcW w:w="10347" w:type="dxa"/>
            <w:gridSpan w:val="14"/>
            <w:tcBorders>
              <w:top w:val="single" w:sz="8" w:space="0" w:color="auto"/>
              <w:left w:val="single" w:sz="4" w:space="0" w:color="auto"/>
              <w:bottom w:val="single" w:sz="8" w:space="0" w:color="auto"/>
              <w:right w:val="single" w:sz="4" w:space="0" w:color="auto"/>
            </w:tcBorders>
            <w:shd w:val="clear" w:color="000000" w:fill="D9D9D9"/>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Zdravie</w:t>
            </w:r>
          </w:p>
        </w:tc>
      </w:tr>
      <w:tr w:rsidR="00A41F46" w:rsidRPr="0035027D" w:rsidTr="006E5BF3">
        <w:trPr>
          <w:trHeight w:val="113"/>
        </w:trPr>
        <w:tc>
          <w:tcPr>
            <w:tcW w:w="382" w:type="dxa"/>
            <w:tcBorders>
              <w:top w:val="nil"/>
              <w:left w:val="single" w:sz="4" w:space="0" w:color="auto"/>
              <w:bottom w:val="nil"/>
              <w:right w:val="nil"/>
            </w:tcBorders>
            <w:shd w:val="clear" w:color="auto" w:fill="auto"/>
            <w:textDirection w:val="btLr"/>
            <w:vAlign w:val="center"/>
            <w:hideMark/>
          </w:tcPr>
          <w:p w:rsidR="006E5BF3" w:rsidRPr="0035027D" w:rsidRDefault="006E5BF3" w:rsidP="006E5BF3">
            <w:pPr>
              <w:spacing w:after="0"/>
              <w:jc w:val="center"/>
              <w:rPr>
                <w:rFonts w:cs="Times New Roman"/>
                <w:b/>
                <w:bCs/>
                <w:color w:val="000000"/>
                <w:sz w:val="20"/>
                <w:szCs w:val="20"/>
              </w:rPr>
            </w:pPr>
            <w:r w:rsidRPr="0035027D">
              <w:rPr>
                <w:rFonts w:cs="Times New Roman"/>
                <w:b/>
                <w:bCs/>
                <w:color w:val="000000"/>
                <w:sz w:val="20"/>
                <w:szCs w:val="20"/>
              </w:rPr>
              <w:t> </w:t>
            </w:r>
          </w:p>
        </w:tc>
        <w:tc>
          <w:tcPr>
            <w:tcW w:w="323" w:type="dxa"/>
            <w:vMerge w:val="restart"/>
            <w:tcBorders>
              <w:top w:val="nil"/>
              <w:left w:val="nil"/>
              <w:bottom w:val="single" w:sz="8" w:space="0" w:color="000000"/>
              <w:right w:val="nil"/>
            </w:tcBorders>
            <w:shd w:val="clear" w:color="auto" w:fill="auto"/>
            <w:noWrap/>
            <w:vAlign w:val="center"/>
            <w:hideMark/>
          </w:tcPr>
          <w:p w:rsidR="006E5BF3" w:rsidRPr="0035027D" w:rsidRDefault="006E5BF3" w:rsidP="006E5BF3">
            <w:pPr>
              <w:spacing w:after="0"/>
              <w:jc w:val="center"/>
              <w:rPr>
                <w:rFonts w:cs="Times New Roman"/>
                <w:b/>
                <w:bCs/>
                <w:color w:val="000000"/>
                <w:sz w:val="20"/>
                <w:szCs w:val="20"/>
              </w:rPr>
            </w:pPr>
            <w:r w:rsidRPr="0035027D">
              <w:rPr>
                <w:rFonts w:cs="Times New Roman"/>
                <w:b/>
                <w:bCs/>
                <w:color w:val="000000"/>
                <w:sz w:val="20"/>
                <w:szCs w:val="20"/>
              </w:rPr>
              <w:t>16</w:t>
            </w:r>
          </w:p>
        </w:tc>
        <w:tc>
          <w:tcPr>
            <w:tcW w:w="3608" w:type="dxa"/>
            <w:tcBorders>
              <w:top w:val="nil"/>
              <w:left w:val="nil"/>
              <w:bottom w:val="nil"/>
              <w:right w:val="nil"/>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Roky zdravého života</w:t>
            </w:r>
          </w:p>
        </w:tc>
        <w:tc>
          <w:tcPr>
            <w:tcW w:w="614" w:type="dxa"/>
            <w:tcBorders>
              <w:top w:val="nil"/>
              <w:left w:val="nil"/>
              <w:bottom w:val="nil"/>
              <w:right w:val="nil"/>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SK</w:t>
            </w:r>
          </w:p>
        </w:tc>
        <w:tc>
          <w:tcPr>
            <w:tcW w:w="520" w:type="dxa"/>
            <w:tcBorders>
              <w:top w:val="nil"/>
              <w:left w:val="single" w:sz="8" w:space="0" w:color="auto"/>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51"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55,9</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54,5</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55,8</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52,3</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52,5</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52,3</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52,2</w:t>
            </w:r>
          </w:p>
        </w:tc>
        <w:tc>
          <w:tcPr>
            <w:tcW w:w="469"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 xml:space="preserve"> - </w:t>
            </w:r>
          </w:p>
        </w:tc>
        <w:tc>
          <w:tcPr>
            <w:tcW w:w="760" w:type="dxa"/>
            <w:tcBorders>
              <w:top w:val="nil"/>
              <w:left w:val="single" w:sz="8" w:space="0" w:color="auto"/>
              <w:bottom w:val="nil"/>
              <w:right w:val="single" w:sz="4" w:space="0" w:color="auto"/>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60</w:t>
            </w:r>
          </w:p>
        </w:tc>
      </w:tr>
      <w:tr w:rsidR="00A41F46" w:rsidRPr="0035027D" w:rsidTr="006E5BF3">
        <w:trPr>
          <w:trHeight w:val="113"/>
        </w:trPr>
        <w:tc>
          <w:tcPr>
            <w:tcW w:w="382" w:type="dxa"/>
            <w:tcBorders>
              <w:top w:val="nil"/>
              <w:left w:val="single" w:sz="4" w:space="0" w:color="auto"/>
              <w:bottom w:val="single" w:sz="8" w:space="0" w:color="auto"/>
              <w:right w:val="nil"/>
            </w:tcBorders>
            <w:shd w:val="clear" w:color="auto" w:fill="auto"/>
            <w:textDirection w:val="btLr"/>
            <w:vAlign w:val="center"/>
            <w:hideMark/>
          </w:tcPr>
          <w:p w:rsidR="006E5BF3" w:rsidRPr="0035027D" w:rsidRDefault="006E5BF3" w:rsidP="006E5BF3">
            <w:pPr>
              <w:spacing w:after="0"/>
              <w:jc w:val="center"/>
              <w:rPr>
                <w:rFonts w:cs="Times New Roman"/>
                <w:b/>
                <w:bCs/>
                <w:color w:val="000000"/>
                <w:sz w:val="20"/>
                <w:szCs w:val="20"/>
              </w:rPr>
            </w:pPr>
            <w:r w:rsidRPr="0035027D">
              <w:rPr>
                <w:rFonts w:cs="Times New Roman"/>
                <w:b/>
                <w:bCs/>
                <w:color w:val="000000"/>
                <w:sz w:val="20"/>
                <w:szCs w:val="20"/>
              </w:rPr>
              <w:t> </w:t>
            </w:r>
          </w:p>
        </w:tc>
        <w:tc>
          <w:tcPr>
            <w:tcW w:w="323" w:type="dxa"/>
            <w:vMerge/>
            <w:tcBorders>
              <w:top w:val="nil"/>
              <w:left w:val="nil"/>
              <w:bottom w:val="single" w:sz="8" w:space="0" w:color="000000"/>
              <w:right w:val="nil"/>
            </w:tcBorders>
            <w:vAlign w:val="center"/>
            <w:hideMark/>
          </w:tcPr>
          <w:p w:rsidR="006E5BF3" w:rsidRPr="0035027D" w:rsidRDefault="006E5BF3" w:rsidP="006E5BF3">
            <w:pPr>
              <w:spacing w:after="0"/>
              <w:jc w:val="left"/>
              <w:rPr>
                <w:rFonts w:cs="Times New Roman"/>
                <w:b/>
                <w:bCs/>
                <w:color w:val="000000"/>
                <w:sz w:val="20"/>
                <w:szCs w:val="20"/>
              </w:rPr>
            </w:pPr>
          </w:p>
        </w:tc>
        <w:tc>
          <w:tcPr>
            <w:tcW w:w="3608" w:type="dxa"/>
            <w:tcBorders>
              <w:top w:val="nil"/>
              <w:left w:val="nil"/>
              <w:bottom w:val="single" w:sz="8" w:space="0" w:color="auto"/>
              <w:right w:val="nil"/>
            </w:tcBorders>
            <w:shd w:val="clear" w:color="auto" w:fill="auto"/>
            <w:noWrap/>
            <w:vAlign w:val="center"/>
            <w:hideMark/>
          </w:tcPr>
          <w:p w:rsidR="006E5BF3" w:rsidRPr="0035027D" w:rsidRDefault="006E5BF3" w:rsidP="006E5BF3">
            <w:pPr>
              <w:spacing w:after="0"/>
              <w:rPr>
                <w:rFonts w:cs="Times New Roman"/>
                <w:color w:val="000000"/>
                <w:sz w:val="20"/>
                <w:szCs w:val="20"/>
              </w:rPr>
            </w:pPr>
            <w:r w:rsidRPr="0035027D">
              <w:rPr>
                <w:rFonts w:cs="Times New Roman"/>
                <w:color w:val="000000"/>
                <w:sz w:val="20"/>
                <w:szCs w:val="20"/>
              </w:rPr>
              <w:t>(očakávaný počet rokov pri narodení)</w:t>
            </w:r>
          </w:p>
        </w:tc>
        <w:tc>
          <w:tcPr>
            <w:tcW w:w="614" w:type="dxa"/>
            <w:tcBorders>
              <w:top w:val="nil"/>
              <w:left w:val="nil"/>
              <w:bottom w:val="single" w:sz="8" w:space="0" w:color="auto"/>
              <w:right w:val="nil"/>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EÚ</w:t>
            </w:r>
          </w:p>
        </w:tc>
        <w:tc>
          <w:tcPr>
            <w:tcW w:w="520" w:type="dxa"/>
            <w:tcBorders>
              <w:top w:val="nil"/>
              <w:left w:val="single" w:sz="8" w:space="0" w:color="auto"/>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51"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61,8</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62,1</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62,1</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61,6</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61,6</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62,1</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61,8</w:t>
            </w:r>
          </w:p>
        </w:tc>
        <w:tc>
          <w:tcPr>
            <w:tcW w:w="469"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 xml:space="preserve"> - </w:t>
            </w:r>
          </w:p>
        </w:tc>
        <w:tc>
          <w:tcPr>
            <w:tcW w:w="760" w:type="dxa"/>
            <w:tcBorders>
              <w:top w:val="nil"/>
              <w:left w:val="single" w:sz="8" w:space="0" w:color="auto"/>
              <w:bottom w:val="single" w:sz="8" w:space="0" w:color="auto"/>
              <w:right w:val="single" w:sz="4" w:space="0" w:color="auto"/>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r>
      <w:tr w:rsidR="006E5BF3" w:rsidRPr="0035027D" w:rsidTr="008731B6">
        <w:trPr>
          <w:trHeight w:val="113"/>
        </w:trPr>
        <w:tc>
          <w:tcPr>
            <w:tcW w:w="10347" w:type="dxa"/>
            <w:gridSpan w:val="14"/>
            <w:tcBorders>
              <w:top w:val="single" w:sz="8" w:space="0" w:color="auto"/>
              <w:left w:val="single" w:sz="4" w:space="0" w:color="auto"/>
              <w:bottom w:val="single" w:sz="8" w:space="0" w:color="auto"/>
              <w:right w:val="single" w:sz="4" w:space="0" w:color="auto"/>
            </w:tcBorders>
            <w:shd w:val="clear" w:color="000000" w:fill="D9D9D9"/>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Environmentálna udržateľnosť</w:t>
            </w:r>
          </w:p>
        </w:tc>
      </w:tr>
      <w:tr w:rsidR="00A41F46" w:rsidRPr="0035027D" w:rsidTr="006E5BF3">
        <w:trPr>
          <w:trHeight w:val="113"/>
        </w:trPr>
        <w:tc>
          <w:tcPr>
            <w:tcW w:w="382" w:type="dxa"/>
            <w:vMerge w:val="restart"/>
            <w:tcBorders>
              <w:top w:val="nil"/>
              <w:left w:val="single" w:sz="4" w:space="0" w:color="auto"/>
              <w:bottom w:val="single" w:sz="8" w:space="0" w:color="000000"/>
              <w:right w:val="nil"/>
            </w:tcBorders>
            <w:shd w:val="clear" w:color="auto" w:fill="auto"/>
            <w:textDirection w:val="btLr"/>
            <w:vAlign w:val="center"/>
            <w:hideMark/>
          </w:tcPr>
          <w:p w:rsidR="007E70E1" w:rsidRPr="0035027D" w:rsidRDefault="007E70E1" w:rsidP="006E5BF3">
            <w:pPr>
              <w:spacing w:after="0"/>
              <w:jc w:val="center"/>
              <w:rPr>
                <w:rFonts w:cs="Times New Roman"/>
                <w:b/>
                <w:bCs/>
                <w:color w:val="000000"/>
                <w:sz w:val="20"/>
                <w:szCs w:val="20"/>
              </w:rPr>
            </w:pPr>
            <w:r w:rsidRPr="0035027D">
              <w:rPr>
                <w:rFonts w:cs="Times New Roman"/>
                <w:b/>
                <w:bCs/>
                <w:color w:val="000000"/>
                <w:sz w:val="20"/>
                <w:szCs w:val="20"/>
              </w:rPr>
              <w:t>EÚ</w:t>
            </w:r>
          </w:p>
        </w:tc>
        <w:tc>
          <w:tcPr>
            <w:tcW w:w="323" w:type="dxa"/>
            <w:vMerge w:val="restart"/>
            <w:tcBorders>
              <w:top w:val="nil"/>
              <w:left w:val="nil"/>
              <w:bottom w:val="single" w:sz="8" w:space="0" w:color="000000"/>
              <w:right w:val="nil"/>
            </w:tcBorders>
            <w:shd w:val="clear" w:color="auto" w:fill="auto"/>
            <w:noWrap/>
            <w:vAlign w:val="center"/>
            <w:hideMark/>
          </w:tcPr>
          <w:p w:rsidR="007E70E1" w:rsidRPr="0035027D" w:rsidRDefault="007E70E1" w:rsidP="006E5BF3">
            <w:pPr>
              <w:spacing w:after="0"/>
              <w:jc w:val="center"/>
              <w:rPr>
                <w:rFonts w:cs="Times New Roman"/>
                <w:b/>
                <w:bCs/>
                <w:color w:val="000000"/>
                <w:sz w:val="20"/>
                <w:szCs w:val="20"/>
              </w:rPr>
            </w:pPr>
            <w:r w:rsidRPr="0035027D">
              <w:rPr>
                <w:rFonts w:cs="Times New Roman"/>
                <w:b/>
                <w:bCs/>
                <w:color w:val="000000"/>
                <w:sz w:val="20"/>
                <w:szCs w:val="20"/>
              </w:rPr>
              <w:t>17</w:t>
            </w:r>
          </w:p>
        </w:tc>
        <w:tc>
          <w:tcPr>
            <w:tcW w:w="3608" w:type="dxa"/>
            <w:tcBorders>
              <w:top w:val="nil"/>
              <w:left w:val="nil"/>
              <w:bottom w:val="nil"/>
              <w:right w:val="nil"/>
            </w:tcBorders>
            <w:shd w:val="clear" w:color="auto" w:fill="auto"/>
            <w:noWrap/>
            <w:vAlign w:val="center"/>
            <w:hideMark/>
          </w:tcPr>
          <w:p w:rsidR="007E70E1" w:rsidRPr="0035027D" w:rsidRDefault="007E70E1" w:rsidP="006E5BF3">
            <w:pPr>
              <w:spacing w:after="0"/>
              <w:jc w:val="left"/>
              <w:rPr>
                <w:rFonts w:cs="Times New Roman"/>
                <w:b/>
                <w:bCs/>
                <w:color w:val="000000"/>
                <w:sz w:val="20"/>
                <w:szCs w:val="20"/>
              </w:rPr>
            </w:pPr>
            <w:r w:rsidRPr="0035027D">
              <w:rPr>
                <w:rFonts w:cs="Times New Roman"/>
                <w:b/>
                <w:bCs/>
                <w:color w:val="000000"/>
                <w:sz w:val="20"/>
                <w:szCs w:val="20"/>
              </w:rPr>
              <w:t>Emisie skleníkových plynov mimo ETS</w:t>
            </w:r>
          </w:p>
        </w:tc>
        <w:tc>
          <w:tcPr>
            <w:tcW w:w="614" w:type="dxa"/>
            <w:tcBorders>
              <w:top w:val="nil"/>
              <w:left w:val="nil"/>
              <w:bottom w:val="nil"/>
              <w:right w:val="single" w:sz="8" w:space="0" w:color="auto"/>
            </w:tcBorders>
            <w:shd w:val="clear" w:color="auto" w:fill="auto"/>
            <w:noWrap/>
            <w:vAlign w:val="center"/>
            <w:hideMark/>
          </w:tcPr>
          <w:p w:rsidR="007E70E1" w:rsidRPr="0035027D" w:rsidRDefault="007E70E1" w:rsidP="006E5BF3">
            <w:pPr>
              <w:spacing w:after="0"/>
              <w:jc w:val="left"/>
              <w:rPr>
                <w:rFonts w:cs="Times New Roman"/>
                <w:b/>
                <w:bCs/>
                <w:color w:val="000000"/>
                <w:sz w:val="20"/>
                <w:szCs w:val="20"/>
              </w:rPr>
            </w:pPr>
            <w:r w:rsidRPr="0035027D">
              <w:rPr>
                <w:rFonts w:cs="Times New Roman"/>
                <w:b/>
                <w:bCs/>
                <w:color w:val="000000"/>
                <w:sz w:val="20"/>
                <w:szCs w:val="20"/>
              </w:rPr>
              <w:t>SK</w:t>
            </w:r>
          </w:p>
        </w:tc>
        <w:tc>
          <w:tcPr>
            <w:tcW w:w="520" w:type="dxa"/>
            <w:tcBorders>
              <w:top w:val="nil"/>
              <w:left w:val="single" w:sz="8" w:space="0" w:color="auto"/>
              <w:bottom w:val="nil"/>
              <w:right w:val="nil"/>
            </w:tcBorders>
            <w:shd w:val="clear" w:color="auto" w:fill="auto"/>
            <w:vAlign w:val="center"/>
            <w:hideMark/>
          </w:tcPr>
          <w:p w:rsidR="007E70E1" w:rsidRPr="0035027D" w:rsidRDefault="007E70E1" w:rsidP="006E5BF3">
            <w:pPr>
              <w:spacing w:after="0"/>
              <w:jc w:val="center"/>
              <w:rPr>
                <w:rFonts w:cs="Times New Roman"/>
                <w:color w:val="000000"/>
                <w:sz w:val="20"/>
                <w:szCs w:val="20"/>
              </w:rPr>
            </w:pPr>
            <w:r w:rsidRPr="0035027D">
              <w:rPr>
                <w:rFonts w:cs="Times New Roman"/>
                <w:color w:val="000000"/>
                <w:sz w:val="20"/>
                <w:szCs w:val="20"/>
              </w:rPr>
              <w:t>-</w:t>
            </w:r>
          </w:p>
        </w:tc>
        <w:tc>
          <w:tcPr>
            <w:tcW w:w="551" w:type="dxa"/>
            <w:tcBorders>
              <w:top w:val="nil"/>
              <w:left w:val="nil"/>
              <w:bottom w:val="nil"/>
              <w:right w:val="nil"/>
            </w:tcBorders>
            <w:shd w:val="clear" w:color="auto" w:fill="auto"/>
            <w:vAlign w:val="center"/>
            <w:hideMark/>
          </w:tcPr>
          <w:p w:rsidR="007E70E1" w:rsidRPr="0035027D" w:rsidRDefault="007E70E1"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nil"/>
              <w:right w:val="nil"/>
            </w:tcBorders>
            <w:shd w:val="clear" w:color="auto" w:fill="auto"/>
            <w:vAlign w:val="center"/>
            <w:hideMark/>
          </w:tcPr>
          <w:p w:rsidR="007E70E1" w:rsidRPr="0035027D" w:rsidRDefault="007E70E1" w:rsidP="007E70E1">
            <w:pPr>
              <w:spacing w:after="0"/>
              <w:jc w:val="center"/>
              <w:rPr>
                <w:rFonts w:cs="Times New Roman"/>
                <w:color w:val="000000"/>
                <w:sz w:val="20"/>
                <w:szCs w:val="20"/>
              </w:rPr>
            </w:pPr>
            <w:r w:rsidRPr="0035027D">
              <w:rPr>
                <w:rFonts w:cs="Times New Roman"/>
                <w:color w:val="000000"/>
                <w:sz w:val="20"/>
                <w:szCs w:val="20"/>
              </w:rPr>
              <w:t>-1,8</w:t>
            </w:r>
          </w:p>
        </w:tc>
        <w:tc>
          <w:tcPr>
            <w:tcW w:w="520" w:type="dxa"/>
            <w:tcBorders>
              <w:top w:val="nil"/>
              <w:left w:val="nil"/>
              <w:bottom w:val="nil"/>
              <w:right w:val="nil"/>
            </w:tcBorders>
            <w:shd w:val="clear" w:color="auto" w:fill="auto"/>
            <w:vAlign w:val="center"/>
            <w:hideMark/>
          </w:tcPr>
          <w:p w:rsidR="007E70E1" w:rsidRPr="0035027D" w:rsidRDefault="007E70E1" w:rsidP="007E70E1">
            <w:pPr>
              <w:spacing w:after="0"/>
              <w:jc w:val="center"/>
              <w:rPr>
                <w:rFonts w:cs="Times New Roman"/>
                <w:color w:val="000000"/>
                <w:sz w:val="20"/>
                <w:szCs w:val="20"/>
              </w:rPr>
            </w:pPr>
            <w:r w:rsidRPr="0035027D">
              <w:rPr>
                <w:rFonts w:cs="Times New Roman"/>
                <w:color w:val="000000"/>
                <w:sz w:val="20"/>
                <w:szCs w:val="20"/>
              </w:rPr>
              <w:t>-6,0</w:t>
            </w:r>
          </w:p>
        </w:tc>
        <w:tc>
          <w:tcPr>
            <w:tcW w:w="520" w:type="dxa"/>
            <w:tcBorders>
              <w:top w:val="nil"/>
              <w:left w:val="nil"/>
              <w:bottom w:val="nil"/>
              <w:right w:val="nil"/>
            </w:tcBorders>
            <w:shd w:val="clear" w:color="auto" w:fill="auto"/>
            <w:vAlign w:val="center"/>
            <w:hideMark/>
          </w:tcPr>
          <w:p w:rsidR="007E70E1" w:rsidRPr="0035027D" w:rsidRDefault="007E70E1" w:rsidP="007E70E1">
            <w:pPr>
              <w:spacing w:after="0"/>
              <w:jc w:val="center"/>
              <w:rPr>
                <w:rFonts w:cs="Times New Roman"/>
                <w:color w:val="000000"/>
                <w:sz w:val="20"/>
                <w:szCs w:val="20"/>
              </w:rPr>
            </w:pPr>
            <w:r w:rsidRPr="0035027D">
              <w:rPr>
                <w:rFonts w:cs="Times New Roman"/>
                <w:color w:val="000000"/>
                <w:sz w:val="20"/>
                <w:szCs w:val="20"/>
              </w:rPr>
              <w:t>-4,6</w:t>
            </w:r>
          </w:p>
        </w:tc>
        <w:tc>
          <w:tcPr>
            <w:tcW w:w="520" w:type="dxa"/>
            <w:tcBorders>
              <w:top w:val="nil"/>
              <w:left w:val="nil"/>
              <w:bottom w:val="nil"/>
              <w:right w:val="nil"/>
            </w:tcBorders>
            <w:shd w:val="clear" w:color="auto" w:fill="auto"/>
            <w:vAlign w:val="center"/>
            <w:hideMark/>
          </w:tcPr>
          <w:p w:rsidR="007E70E1" w:rsidRPr="0035027D" w:rsidRDefault="007E70E1" w:rsidP="007E70E1">
            <w:pPr>
              <w:spacing w:after="0"/>
              <w:jc w:val="center"/>
              <w:rPr>
                <w:rFonts w:cs="Times New Roman"/>
                <w:color w:val="000000"/>
                <w:sz w:val="20"/>
                <w:szCs w:val="20"/>
              </w:rPr>
            </w:pPr>
            <w:r w:rsidRPr="0035027D">
              <w:rPr>
                <w:rFonts w:cs="Times New Roman"/>
                <w:color w:val="000000"/>
                <w:sz w:val="20"/>
                <w:szCs w:val="20"/>
              </w:rPr>
              <w:t>-12,6</w:t>
            </w:r>
          </w:p>
        </w:tc>
        <w:tc>
          <w:tcPr>
            <w:tcW w:w="520" w:type="dxa"/>
            <w:tcBorders>
              <w:top w:val="nil"/>
              <w:left w:val="nil"/>
              <w:bottom w:val="nil"/>
              <w:right w:val="nil"/>
            </w:tcBorders>
            <w:shd w:val="clear" w:color="auto" w:fill="auto"/>
            <w:vAlign w:val="center"/>
            <w:hideMark/>
          </w:tcPr>
          <w:p w:rsidR="007E70E1" w:rsidRPr="0035027D" w:rsidRDefault="007E70E1" w:rsidP="007E70E1">
            <w:pPr>
              <w:spacing w:after="0"/>
              <w:jc w:val="center"/>
              <w:rPr>
                <w:rFonts w:cs="Times New Roman"/>
                <w:color w:val="000000"/>
                <w:sz w:val="20"/>
                <w:szCs w:val="20"/>
              </w:rPr>
            </w:pPr>
            <w:r w:rsidRPr="0035027D">
              <w:rPr>
                <w:rFonts w:cs="Times New Roman"/>
                <w:color w:val="000000"/>
                <w:sz w:val="20"/>
                <w:szCs w:val="20"/>
              </w:rPr>
              <w:t>-6,0</w:t>
            </w:r>
          </w:p>
        </w:tc>
        <w:tc>
          <w:tcPr>
            <w:tcW w:w="520" w:type="dxa"/>
            <w:tcBorders>
              <w:top w:val="nil"/>
              <w:left w:val="nil"/>
              <w:bottom w:val="nil"/>
              <w:right w:val="nil"/>
            </w:tcBorders>
            <w:shd w:val="clear" w:color="auto" w:fill="auto"/>
            <w:vAlign w:val="center"/>
            <w:hideMark/>
          </w:tcPr>
          <w:p w:rsidR="007E70E1" w:rsidRPr="0035027D" w:rsidRDefault="007E70E1" w:rsidP="007E70E1">
            <w:pPr>
              <w:spacing w:after="0"/>
              <w:jc w:val="center"/>
              <w:rPr>
                <w:rFonts w:cs="Times New Roman"/>
                <w:color w:val="000000"/>
                <w:sz w:val="20"/>
                <w:szCs w:val="20"/>
              </w:rPr>
            </w:pPr>
            <w:r w:rsidRPr="0035027D">
              <w:rPr>
                <w:rFonts w:cs="Times New Roman"/>
                <w:color w:val="000000"/>
                <w:sz w:val="20"/>
                <w:szCs w:val="20"/>
              </w:rPr>
              <w:t>-9,5</w:t>
            </w:r>
          </w:p>
        </w:tc>
        <w:tc>
          <w:tcPr>
            <w:tcW w:w="469" w:type="dxa"/>
            <w:tcBorders>
              <w:top w:val="nil"/>
              <w:left w:val="nil"/>
              <w:bottom w:val="nil"/>
              <w:right w:val="nil"/>
            </w:tcBorders>
            <w:shd w:val="clear" w:color="auto" w:fill="auto"/>
            <w:vAlign w:val="center"/>
            <w:hideMark/>
          </w:tcPr>
          <w:p w:rsidR="007E70E1" w:rsidRPr="0035027D" w:rsidRDefault="007E70E1" w:rsidP="006E5BF3">
            <w:pPr>
              <w:spacing w:after="0"/>
              <w:jc w:val="center"/>
              <w:rPr>
                <w:rFonts w:cs="Times New Roman"/>
                <w:color w:val="000000"/>
                <w:sz w:val="20"/>
                <w:szCs w:val="20"/>
              </w:rPr>
            </w:pPr>
            <w:r w:rsidRPr="0035027D">
              <w:rPr>
                <w:rFonts w:cs="Times New Roman"/>
                <w:color w:val="000000"/>
                <w:sz w:val="20"/>
                <w:szCs w:val="20"/>
              </w:rPr>
              <w:t xml:space="preserve"> - </w:t>
            </w:r>
          </w:p>
        </w:tc>
        <w:tc>
          <w:tcPr>
            <w:tcW w:w="760" w:type="dxa"/>
            <w:tcBorders>
              <w:top w:val="nil"/>
              <w:left w:val="single" w:sz="8" w:space="0" w:color="auto"/>
              <w:bottom w:val="nil"/>
              <w:right w:val="single" w:sz="4" w:space="0" w:color="auto"/>
            </w:tcBorders>
            <w:shd w:val="clear" w:color="auto" w:fill="auto"/>
            <w:vAlign w:val="center"/>
            <w:hideMark/>
          </w:tcPr>
          <w:p w:rsidR="007E70E1" w:rsidRPr="0035027D" w:rsidRDefault="00F67AEC" w:rsidP="006E5BF3">
            <w:pPr>
              <w:spacing w:after="0"/>
              <w:jc w:val="center"/>
              <w:rPr>
                <w:rFonts w:cs="Times New Roman"/>
                <w:color w:val="000000"/>
                <w:sz w:val="20"/>
                <w:szCs w:val="20"/>
              </w:rPr>
            </w:pPr>
            <w:r w:rsidRPr="0035027D">
              <w:rPr>
                <w:rFonts w:cs="Times New Roman"/>
                <w:color w:val="000000"/>
                <w:sz w:val="20"/>
                <w:szCs w:val="20"/>
              </w:rPr>
              <w:t>&lt;</w:t>
            </w:r>
            <w:r w:rsidR="007E70E1" w:rsidRPr="0035027D">
              <w:rPr>
                <w:rFonts w:cs="Times New Roman"/>
                <w:color w:val="000000"/>
                <w:sz w:val="20"/>
                <w:szCs w:val="20"/>
              </w:rPr>
              <w:t>13</w:t>
            </w:r>
          </w:p>
        </w:tc>
      </w:tr>
      <w:tr w:rsidR="00A41F46" w:rsidRPr="0035027D" w:rsidTr="006E5BF3">
        <w:trPr>
          <w:trHeight w:val="113"/>
        </w:trPr>
        <w:tc>
          <w:tcPr>
            <w:tcW w:w="382" w:type="dxa"/>
            <w:vMerge/>
            <w:tcBorders>
              <w:top w:val="nil"/>
              <w:left w:val="single" w:sz="4" w:space="0" w:color="auto"/>
              <w:bottom w:val="single" w:sz="8" w:space="0" w:color="000000"/>
              <w:right w:val="nil"/>
            </w:tcBorders>
            <w:vAlign w:val="center"/>
            <w:hideMark/>
          </w:tcPr>
          <w:p w:rsidR="006E5BF3" w:rsidRPr="0035027D" w:rsidRDefault="006E5BF3" w:rsidP="006E5BF3">
            <w:pPr>
              <w:spacing w:after="0"/>
              <w:jc w:val="left"/>
              <w:rPr>
                <w:rFonts w:cs="Times New Roman"/>
                <w:b/>
                <w:bCs/>
                <w:color w:val="000000"/>
                <w:sz w:val="20"/>
                <w:szCs w:val="20"/>
              </w:rPr>
            </w:pPr>
          </w:p>
        </w:tc>
        <w:tc>
          <w:tcPr>
            <w:tcW w:w="323" w:type="dxa"/>
            <w:vMerge/>
            <w:tcBorders>
              <w:top w:val="nil"/>
              <w:left w:val="nil"/>
              <w:bottom w:val="single" w:sz="8" w:space="0" w:color="000000"/>
              <w:right w:val="nil"/>
            </w:tcBorders>
            <w:vAlign w:val="center"/>
            <w:hideMark/>
          </w:tcPr>
          <w:p w:rsidR="006E5BF3" w:rsidRPr="0035027D" w:rsidRDefault="006E5BF3" w:rsidP="006E5BF3">
            <w:pPr>
              <w:spacing w:after="0"/>
              <w:jc w:val="left"/>
              <w:rPr>
                <w:rFonts w:cs="Times New Roman"/>
                <w:b/>
                <w:bCs/>
                <w:color w:val="000000"/>
                <w:sz w:val="20"/>
                <w:szCs w:val="20"/>
              </w:rPr>
            </w:pPr>
          </w:p>
        </w:tc>
        <w:tc>
          <w:tcPr>
            <w:tcW w:w="3608" w:type="dxa"/>
            <w:tcBorders>
              <w:top w:val="nil"/>
              <w:left w:val="nil"/>
              <w:bottom w:val="single" w:sz="8" w:space="0" w:color="auto"/>
              <w:right w:val="nil"/>
            </w:tcBorders>
            <w:shd w:val="clear" w:color="auto" w:fill="auto"/>
            <w:noWrap/>
            <w:vAlign w:val="center"/>
            <w:hideMark/>
          </w:tcPr>
          <w:p w:rsidR="006E5BF3" w:rsidRPr="0035027D" w:rsidRDefault="006E5BF3" w:rsidP="006E5BF3">
            <w:pPr>
              <w:spacing w:after="0"/>
              <w:rPr>
                <w:rFonts w:cs="Times New Roman"/>
                <w:color w:val="000000"/>
                <w:sz w:val="20"/>
                <w:szCs w:val="20"/>
              </w:rPr>
            </w:pPr>
            <w:r w:rsidRPr="0035027D">
              <w:rPr>
                <w:rFonts w:cs="Times New Roman"/>
                <w:color w:val="000000"/>
                <w:sz w:val="20"/>
                <w:szCs w:val="20"/>
              </w:rPr>
              <w:t>(%, zmena voči roku 2005)</w:t>
            </w:r>
          </w:p>
        </w:tc>
        <w:tc>
          <w:tcPr>
            <w:tcW w:w="614" w:type="dxa"/>
            <w:tcBorders>
              <w:top w:val="nil"/>
              <w:left w:val="nil"/>
              <w:bottom w:val="single" w:sz="8" w:space="0" w:color="auto"/>
              <w:right w:val="single" w:sz="8" w:space="0" w:color="auto"/>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EÚ</w:t>
            </w:r>
          </w:p>
        </w:tc>
        <w:tc>
          <w:tcPr>
            <w:tcW w:w="520" w:type="dxa"/>
            <w:tcBorders>
              <w:top w:val="nil"/>
              <w:left w:val="single" w:sz="8" w:space="0" w:color="auto"/>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51"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469"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 xml:space="preserve"> - </w:t>
            </w:r>
          </w:p>
        </w:tc>
        <w:tc>
          <w:tcPr>
            <w:tcW w:w="760" w:type="dxa"/>
            <w:tcBorders>
              <w:top w:val="nil"/>
              <w:left w:val="single" w:sz="8" w:space="0" w:color="auto"/>
              <w:bottom w:val="single" w:sz="8" w:space="0" w:color="auto"/>
              <w:right w:val="single" w:sz="4" w:space="0" w:color="auto"/>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r>
      <w:tr w:rsidR="00A41F46" w:rsidRPr="0035027D" w:rsidTr="006E5BF3">
        <w:trPr>
          <w:trHeight w:val="113"/>
        </w:trPr>
        <w:tc>
          <w:tcPr>
            <w:tcW w:w="382" w:type="dxa"/>
            <w:vMerge w:val="restart"/>
            <w:tcBorders>
              <w:top w:val="nil"/>
              <w:left w:val="single" w:sz="4" w:space="0" w:color="auto"/>
              <w:bottom w:val="single" w:sz="8" w:space="0" w:color="000000"/>
              <w:right w:val="nil"/>
            </w:tcBorders>
            <w:shd w:val="clear" w:color="auto" w:fill="auto"/>
            <w:textDirection w:val="btLr"/>
            <w:vAlign w:val="center"/>
            <w:hideMark/>
          </w:tcPr>
          <w:p w:rsidR="006E5BF3" w:rsidRPr="0035027D" w:rsidRDefault="006E5BF3" w:rsidP="006E5BF3">
            <w:pPr>
              <w:spacing w:after="0"/>
              <w:jc w:val="center"/>
              <w:rPr>
                <w:rFonts w:cs="Times New Roman"/>
                <w:b/>
                <w:bCs/>
                <w:color w:val="000000"/>
                <w:sz w:val="20"/>
                <w:szCs w:val="20"/>
              </w:rPr>
            </w:pPr>
            <w:r w:rsidRPr="0035027D">
              <w:rPr>
                <w:rFonts w:cs="Times New Roman"/>
                <w:b/>
                <w:bCs/>
                <w:color w:val="000000"/>
                <w:sz w:val="20"/>
                <w:szCs w:val="20"/>
              </w:rPr>
              <w:t>EÚ</w:t>
            </w:r>
          </w:p>
        </w:tc>
        <w:tc>
          <w:tcPr>
            <w:tcW w:w="323" w:type="dxa"/>
            <w:vMerge w:val="restart"/>
            <w:tcBorders>
              <w:top w:val="nil"/>
              <w:left w:val="nil"/>
              <w:bottom w:val="single" w:sz="8" w:space="0" w:color="000000"/>
              <w:right w:val="nil"/>
            </w:tcBorders>
            <w:shd w:val="clear" w:color="auto" w:fill="auto"/>
            <w:noWrap/>
            <w:vAlign w:val="center"/>
            <w:hideMark/>
          </w:tcPr>
          <w:p w:rsidR="006E5BF3" w:rsidRPr="0035027D" w:rsidRDefault="006E5BF3" w:rsidP="006E5BF3">
            <w:pPr>
              <w:spacing w:after="0"/>
              <w:jc w:val="center"/>
              <w:rPr>
                <w:rFonts w:cs="Times New Roman"/>
                <w:b/>
                <w:bCs/>
                <w:color w:val="000000"/>
                <w:sz w:val="20"/>
                <w:szCs w:val="20"/>
              </w:rPr>
            </w:pPr>
            <w:r w:rsidRPr="0035027D">
              <w:rPr>
                <w:rFonts w:cs="Times New Roman"/>
                <w:b/>
                <w:bCs/>
                <w:color w:val="000000"/>
                <w:sz w:val="20"/>
                <w:szCs w:val="20"/>
              </w:rPr>
              <w:t>18</w:t>
            </w:r>
          </w:p>
        </w:tc>
        <w:tc>
          <w:tcPr>
            <w:tcW w:w="3608" w:type="dxa"/>
            <w:tcBorders>
              <w:top w:val="nil"/>
              <w:left w:val="nil"/>
              <w:bottom w:val="nil"/>
              <w:right w:val="nil"/>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Podiel OZE na hrubej konečnej spotrebe</w:t>
            </w:r>
          </w:p>
        </w:tc>
        <w:tc>
          <w:tcPr>
            <w:tcW w:w="614" w:type="dxa"/>
            <w:tcBorders>
              <w:top w:val="nil"/>
              <w:left w:val="nil"/>
              <w:bottom w:val="nil"/>
              <w:right w:val="single" w:sz="8" w:space="0" w:color="auto"/>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SK</w:t>
            </w:r>
          </w:p>
        </w:tc>
        <w:tc>
          <w:tcPr>
            <w:tcW w:w="520" w:type="dxa"/>
            <w:tcBorders>
              <w:top w:val="nil"/>
              <w:left w:val="single" w:sz="8" w:space="0" w:color="auto"/>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6,1</w:t>
            </w:r>
          </w:p>
        </w:tc>
        <w:tc>
          <w:tcPr>
            <w:tcW w:w="551"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6,2</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6,6</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8,2</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8,4</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10,4</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9,8</w:t>
            </w:r>
          </w:p>
        </w:tc>
        <w:tc>
          <w:tcPr>
            <w:tcW w:w="520" w:type="dxa"/>
            <w:tcBorders>
              <w:top w:val="nil"/>
              <w:left w:val="nil"/>
              <w:bottom w:val="nil"/>
              <w:right w:val="nil"/>
            </w:tcBorders>
            <w:shd w:val="clear" w:color="auto" w:fill="auto"/>
            <w:vAlign w:val="center"/>
            <w:hideMark/>
          </w:tcPr>
          <w:p w:rsidR="006E5BF3" w:rsidRPr="0035027D" w:rsidRDefault="007E7BEC" w:rsidP="006E5BF3">
            <w:pPr>
              <w:spacing w:after="0"/>
              <w:jc w:val="center"/>
              <w:rPr>
                <w:rFonts w:cs="Times New Roman"/>
                <w:color w:val="000000"/>
                <w:sz w:val="20"/>
                <w:szCs w:val="20"/>
              </w:rPr>
            </w:pPr>
            <w:r w:rsidRPr="0035027D">
              <w:rPr>
                <w:rFonts w:cs="Times New Roman"/>
                <w:color w:val="000000"/>
                <w:sz w:val="20"/>
                <w:szCs w:val="20"/>
              </w:rPr>
              <w:t>11,3</w:t>
            </w:r>
          </w:p>
        </w:tc>
        <w:tc>
          <w:tcPr>
            <w:tcW w:w="469"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 xml:space="preserve"> - </w:t>
            </w:r>
          </w:p>
        </w:tc>
        <w:tc>
          <w:tcPr>
            <w:tcW w:w="760" w:type="dxa"/>
            <w:tcBorders>
              <w:top w:val="nil"/>
              <w:left w:val="single" w:sz="8" w:space="0" w:color="auto"/>
              <w:bottom w:val="nil"/>
              <w:right w:val="single" w:sz="4" w:space="0" w:color="auto"/>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14</w:t>
            </w:r>
          </w:p>
        </w:tc>
      </w:tr>
      <w:tr w:rsidR="00A41F46" w:rsidRPr="0035027D" w:rsidTr="006E5BF3">
        <w:trPr>
          <w:trHeight w:val="113"/>
        </w:trPr>
        <w:tc>
          <w:tcPr>
            <w:tcW w:w="382" w:type="dxa"/>
            <w:vMerge/>
            <w:tcBorders>
              <w:top w:val="nil"/>
              <w:left w:val="single" w:sz="4" w:space="0" w:color="auto"/>
              <w:bottom w:val="single" w:sz="8" w:space="0" w:color="000000"/>
              <w:right w:val="nil"/>
            </w:tcBorders>
            <w:vAlign w:val="center"/>
            <w:hideMark/>
          </w:tcPr>
          <w:p w:rsidR="006E5BF3" w:rsidRPr="0035027D" w:rsidRDefault="006E5BF3" w:rsidP="006E5BF3">
            <w:pPr>
              <w:spacing w:after="0"/>
              <w:jc w:val="left"/>
              <w:rPr>
                <w:rFonts w:cs="Times New Roman"/>
                <w:b/>
                <w:bCs/>
                <w:color w:val="000000"/>
                <w:sz w:val="20"/>
                <w:szCs w:val="20"/>
              </w:rPr>
            </w:pPr>
          </w:p>
        </w:tc>
        <w:tc>
          <w:tcPr>
            <w:tcW w:w="323" w:type="dxa"/>
            <w:vMerge/>
            <w:tcBorders>
              <w:top w:val="nil"/>
              <w:left w:val="nil"/>
              <w:bottom w:val="single" w:sz="8" w:space="0" w:color="000000"/>
              <w:right w:val="nil"/>
            </w:tcBorders>
            <w:vAlign w:val="center"/>
            <w:hideMark/>
          </w:tcPr>
          <w:p w:rsidR="006E5BF3" w:rsidRPr="0035027D" w:rsidRDefault="006E5BF3" w:rsidP="006E5BF3">
            <w:pPr>
              <w:spacing w:after="0"/>
              <w:jc w:val="left"/>
              <w:rPr>
                <w:rFonts w:cs="Times New Roman"/>
                <w:b/>
                <w:bCs/>
                <w:color w:val="000000"/>
                <w:sz w:val="20"/>
                <w:szCs w:val="20"/>
              </w:rPr>
            </w:pPr>
          </w:p>
        </w:tc>
        <w:tc>
          <w:tcPr>
            <w:tcW w:w="3608" w:type="dxa"/>
            <w:tcBorders>
              <w:top w:val="nil"/>
              <w:left w:val="nil"/>
              <w:bottom w:val="single" w:sz="8" w:space="0" w:color="auto"/>
              <w:right w:val="nil"/>
            </w:tcBorders>
            <w:shd w:val="clear" w:color="auto" w:fill="auto"/>
            <w:noWrap/>
            <w:vAlign w:val="center"/>
            <w:hideMark/>
          </w:tcPr>
          <w:p w:rsidR="006E5BF3" w:rsidRPr="0035027D" w:rsidRDefault="006E5BF3" w:rsidP="006E5BF3">
            <w:pPr>
              <w:spacing w:after="0"/>
              <w:rPr>
                <w:rFonts w:cs="Times New Roman"/>
                <w:color w:val="000000"/>
                <w:sz w:val="20"/>
                <w:szCs w:val="20"/>
              </w:rPr>
            </w:pPr>
            <w:r w:rsidRPr="0035027D">
              <w:rPr>
                <w:rFonts w:cs="Times New Roman"/>
                <w:color w:val="000000"/>
                <w:sz w:val="20"/>
                <w:szCs w:val="20"/>
              </w:rPr>
              <w:t>(%)</w:t>
            </w:r>
          </w:p>
        </w:tc>
        <w:tc>
          <w:tcPr>
            <w:tcW w:w="614" w:type="dxa"/>
            <w:tcBorders>
              <w:top w:val="nil"/>
              <w:left w:val="nil"/>
              <w:bottom w:val="single" w:sz="8" w:space="0" w:color="auto"/>
              <w:right w:val="single" w:sz="8" w:space="0" w:color="auto"/>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EÚ</w:t>
            </w:r>
          </w:p>
        </w:tc>
        <w:tc>
          <w:tcPr>
            <w:tcW w:w="520" w:type="dxa"/>
            <w:tcBorders>
              <w:top w:val="nil"/>
              <w:left w:val="single" w:sz="8" w:space="0" w:color="auto"/>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8,1</w:t>
            </w:r>
          </w:p>
        </w:tc>
        <w:tc>
          <w:tcPr>
            <w:tcW w:w="551"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8,5</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9</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9,9</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10,5</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11,7</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12,5</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469" w:type="dxa"/>
            <w:tcBorders>
              <w:top w:val="nil"/>
              <w:left w:val="nil"/>
              <w:bottom w:val="single" w:sz="8"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 xml:space="preserve"> - </w:t>
            </w:r>
          </w:p>
        </w:tc>
        <w:tc>
          <w:tcPr>
            <w:tcW w:w="760" w:type="dxa"/>
            <w:tcBorders>
              <w:top w:val="nil"/>
              <w:left w:val="single" w:sz="8" w:space="0" w:color="auto"/>
              <w:bottom w:val="single" w:sz="8" w:space="0" w:color="auto"/>
              <w:right w:val="single" w:sz="4" w:space="0" w:color="auto"/>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20</w:t>
            </w:r>
          </w:p>
        </w:tc>
      </w:tr>
      <w:tr w:rsidR="00A41F46" w:rsidRPr="0035027D" w:rsidTr="006E5BF3">
        <w:trPr>
          <w:trHeight w:val="113"/>
        </w:trPr>
        <w:tc>
          <w:tcPr>
            <w:tcW w:w="382" w:type="dxa"/>
            <w:vMerge w:val="restart"/>
            <w:tcBorders>
              <w:top w:val="nil"/>
              <w:left w:val="single" w:sz="4" w:space="0" w:color="auto"/>
              <w:bottom w:val="single" w:sz="8" w:space="0" w:color="000000"/>
              <w:right w:val="nil"/>
            </w:tcBorders>
            <w:shd w:val="clear" w:color="auto" w:fill="auto"/>
            <w:textDirection w:val="btLr"/>
            <w:vAlign w:val="center"/>
            <w:hideMark/>
          </w:tcPr>
          <w:p w:rsidR="006E5BF3" w:rsidRPr="0035027D" w:rsidRDefault="006E5BF3" w:rsidP="006E5BF3">
            <w:pPr>
              <w:spacing w:after="0"/>
              <w:jc w:val="center"/>
              <w:rPr>
                <w:rFonts w:cs="Times New Roman"/>
                <w:b/>
                <w:bCs/>
                <w:color w:val="000000"/>
                <w:sz w:val="20"/>
                <w:szCs w:val="20"/>
              </w:rPr>
            </w:pPr>
            <w:r w:rsidRPr="0035027D">
              <w:rPr>
                <w:rFonts w:cs="Times New Roman"/>
                <w:b/>
                <w:bCs/>
                <w:color w:val="000000"/>
                <w:sz w:val="20"/>
                <w:szCs w:val="20"/>
              </w:rPr>
              <w:t>EÚ</w:t>
            </w:r>
          </w:p>
        </w:tc>
        <w:tc>
          <w:tcPr>
            <w:tcW w:w="323" w:type="dxa"/>
            <w:vMerge w:val="restart"/>
            <w:tcBorders>
              <w:top w:val="nil"/>
              <w:left w:val="nil"/>
              <w:bottom w:val="single" w:sz="8" w:space="0" w:color="000000"/>
              <w:right w:val="nil"/>
            </w:tcBorders>
            <w:shd w:val="clear" w:color="auto" w:fill="auto"/>
            <w:noWrap/>
            <w:vAlign w:val="center"/>
            <w:hideMark/>
          </w:tcPr>
          <w:p w:rsidR="006E5BF3" w:rsidRPr="0035027D" w:rsidRDefault="006E5BF3" w:rsidP="006E5BF3">
            <w:pPr>
              <w:spacing w:after="0"/>
              <w:jc w:val="center"/>
              <w:rPr>
                <w:rFonts w:cs="Times New Roman"/>
                <w:b/>
                <w:bCs/>
                <w:color w:val="000000"/>
                <w:sz w:val="20"/>
                <w:szCs w:val="20"/>
              </w:rPr>
            </w:pPr>
            <w:r w:rsidRPr="0035027D">
              <w:rPr>
                <w:rFonts w:cs="Times New Roman"/>
                <w:b/>
                <w:bCs/>
                <w:color w:val="000000"/>
                <w:sz w:val="20"/>
                <w:szCs w:val="20"/>
              </w:rPr>
              <w:t>19</w:t>
            </w:r>
          </w:p>
        </w:tc>
        <w:tc>
          <w:tcPr>
            <w:tcW w:w="3608" w:type="dxa"/>
            <w:tcBorders>
              <w:top w:val="nil"/>
              <w:left w:val="nil"/>
              <w:bottom w:val="nil"/>
              <w:right w:val="nil"/>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Konečná energetická spotreba</w:t>
            </w:r>
          </w:p>
        </w:tc>
        <w:tc>
          <w:tcPr>
            <w:tcW w:w="614" w:type="dxa"/>
            <w:tcBorders>
              <w:top w:val="nil"/>
              <w:left w:val="nil"/>
              <w:bottom w:val="nil"/>
              <w:right w:val="single" w:sz="8" w:space="0" w:color="auto"/>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SK</w:t>
            </w:r>
          </w:p>
        </w:tc>
        <w:tc>
          <w:tcPr>
            <w:tcW w:w="520" w:type="dxa"/>
            <w:tcBorders>
              <w:top w:val="single" w:sz="8" w:space="0" w:color="auto"/>
              <w:left w:val="single" w:sz="8" w:space="0" w:color="auto"/>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51" w:type="dxa"/>
            <w:tcBorders>
              <w:top w:val="single" w:sz="8" w:space="0" w:color="auto"/>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single" w:sz="8" w:space="0" w:color="auto"/>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-0,9</w:t>
            </w:r>
          </w:p>
        </w:tc>
        <w:tc>
          <w:tcPr>
            <w:tcW w:w="520" w:type="dxa"/>
            <w:tcBorders>
              <w:top w:val="single" w:sz="8" w:space="0" w:color="auto"/>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-2,3</w:t>
            </w:r>
          </w:p>
        </w:tc>
        <w:tc>
          <w:tcPr>
            <w:tcW w:w="520" w:type="dxa"/>
            <w:tcBorders>
              <w:top w:val="single" w:sz="8" w:space="0" w:color="auto"/>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1,2</w:t>
            </w:r>
          </w:p>
        </w:tc>
        <w:tc>
          <w:tcPr>
            <w:tcW w:w="520" w:type="dxa"/>
            <w:tcBorders>
              <w:top w:val="single" w:sz="8" w:space="0" w:color="auto"/>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-6,3</w:t>
            </w:r>
          </w:p>
        </w:tc>
        <w:tc>
          <w:tcPr>
            <w:tcW w:w="520" w:type="dxa"/>
            <w:tcBorders>
              <w:top w:val="single" w:sz="8" w:space="0" w:color="auto"/>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6,1</w:t>
            </w:r>
          </w:p>
        </w:tc>
        <w:tc>
          <w:tcPr>
            <w:tcW w:w="520" w:type="dxa"/>
            <w:tcBorders>
              <w:top w:val="single" w:sz="8" w:space="0" w:color="auto"/>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-1,0</w:t>
            </w:r>
          </w:p>
        </w:tc>
        <w:tc>
          <w:tcPr>
            <w:tcW w:w="469"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 xml:space="preserve"> - </w:t>
            </w:r>
          </w:p>
        </w:tc>
        <w:tc>
          <w:tcPr>
            <w:tcW w:w="760" w:type="dxa"/>
            <w:tcBorders>
              <w:top w:val="nil"/>
              <w:left w:val="single" w:sz="8" w:space="0" w:color="auto"/>
              <w:bottom w:val="nil"/>
              <w:right w:val="single" w:sz="4" w:space="0" w:color="auto"/>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-11</w:t>
            </w:r>
          </w:p>
        </w:tc>
      </w:tr>
      <w:tr w:rsidR="00A41F46" w:rsidRPr="0035027D" w:rsidTr="006E5BF3">
        <w:trPr>
          <w:trHeight w:val="113"/>
        </w:trPr>
        <w:tc>
          <w:tcPr>
            <w:tcW w:w="382" w:type="dxa"/>
            <w:vMerge/>
            <w:tcBorders>
              <w:top w:val="nil"/>
              <w:left w:val="single" w:sz="4" w:space="0" w:color="auto"/>
              <w:bottom w:val="single" w:sz="8" w:space="0" w:color="000000"/>
              <w:right w:val="nil"/>
            </w:tcBorders>
            <w:vAlign w:val="center"/>
            <w:hideMark/>
          </w:tcPr>
          <w:p w:rsidR="006E5BF3" w:rsidRPr="0035027D" w:rsidRDefault="006E5BF3" w:rsidP="006E5BF3">
            <w:pPr>
              <w:spacing w:after="0"/>
              <w:jc w:val="left"/>
              <w:rPr>
                <w:rFonts w:cs="Times New Roman"/>
                <w:b/>
                <w:bCs/>
                <w:color w:val="000000"/>
                <w:sz w:val="20"/>
                <w:szCs w:val="20"/>
              </w:rPr>
            </w:pPr>
          </w:p>
        </w:tc>
        <w:tc>
          <w:tcPr>
            <w:tcW w:w="323" w:type="dxa"/>
            <w:vMerge/>
            <w:tcBorders>
              <w:top w:val="nil"/>
              <w:left w:val="nil"/>
              <w:bottom w:val="single" w:sz="8" w:space="0" w:color="000000"/>
              <w:right w:val="nil"/>
            </w:tcBorders>
            <w:vAlign w:val="center"/>
            <w:hideMark/>
          </w:tcPr>
          <w:p w:rsidR="006E5BF3" w:rsidRPr="0035027D" w:rsidRDefault="006E5BF3" w:rsidP="006E5BF3">
            <w:pPr>
              <w:spacing w:after="0"/>
              <w:jc w:val="left"/>
              <w:rPr>
                <w:rFonts w:cs="Times New Roman"/>
                <w:b/>
                <w:bCs/>
                <w:color w:val="000000"/>
                <w:sz w:val="20"/>
                <w:szCs w:val="20"/>
              </w:rPr>
            </w:pPr>
          </w:p>
        </w:tc>
        <w:tc>
          <w:tcPr>
            <w:tcW w:w="3608" w:type="dxa"/>
            <w:tcBorders>
              <w:top w:val="nil"/>
              <w:left w:val="nil"/>
              <w:bottom w:val="single" w:sz="8" w:space="0" w:color="auto"/>
              <w:right w:val="nil"/>
            </w:tcBorders>
            <w:shd w:val="clear" w:color="auto" w:fill="auto"/>
            <w:noWrap/>
            <w:vAlign w:val="center"/>
            <w:hideMark/>
          </w:tcPr>
          <w:p w:rsidR="006E5BF3" w:rsidRPr="0035027D" w:rsidRDefault="006E5BF3" w:rsidP="006E5BF3">
            <w:pPr>
              <w:spacing w:after="0"/>
              <w:rPr>
                <w:rFonts w:cs="Times New Roman"/>
                <w:color w:val="000000"/>
                <w:sz w:val="20"/>
                <w:szCs w:val="20"/>
              </w:rPr>
            </w:pPr>
            <w:r w:rsidRPr="0035027D">
              <w:rPr>
                <w:rFonts w:cs="Times New Roman"/>
                <w:color w:val="000000"/>
                <w:sz w:val="20"/>
                <w:szCs w:val="20"/>
              </w:rPr>
              <w:t>(%, zmena voči priemeru rokov 2001- 2005)</w:t>
            </w:r>
          </w:p>
        </w:tc>
        <w:tc>
          <w:tcPr>
            <w:tcW w:w="614" w:type="dxa"/>
            <w:tcBorders>
              <w:top w:val="nil"/>
              <w:left w:val="nil"/>
              <w:bottom w:val="single" w:sz="8" w:space="0" w:color="auto"/>
              <w:right w:val="single" w:sz="8" w:space="0" w:color="auto"/>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EÚ</w:t>
            </w:r>
          </w:p>
        </w:tc>
        <w:tc>
          <w:tcPr>
            <w:tcW w:w="520" w:type="dxa"/>
            <w:tcBorders>
              <w:top w:val="nil"/>
              <w:left w:val="single" w:sz="8" w:space="0" w:color="auto"/>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51"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2,3</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0,0</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0,7</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-4,6</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-1,2</w:t>
            </w:r>
          </w:p>
        </w:tc>
        <w:tc>
          <w:tcPr>
            <w:tcW w:w="520"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-5,3</w:t>
            </w:r>
          </w:p>
        </w:tc>
        <w:tc>
          <w:tcPr>
            <w:tcW w:w="469" w:type="dxa"/>
            <w:tcBorders>
              <w:top w:val="nil"/>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 xml:space="preserve"> - </w:t>
            </w:r>
          </w:p>
        </w:tc>
        <w:tc>
          <w:tcPr>
            <w:tcW w:w="760" w:type="dxa"/>
            <w:tcBorders>
              <w:top w:val="nil"/>
              <w:left w:val="single" w:sz="8" w:space="0" w:color="auto"/>
              <w:bottom w:val="nil"/>
              <w:right w:val="single" w:sz="4" w:space="0" w:color="auto"/>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r>
      <w:tr w:rsidR="00A41F46" w:rsidRPr="0035027D" w:rsidTr="006E5BF3">
        <w:trPr>
          <w:trHeight w:val="113"/>
        </w:trPr>
        <w:tc>
          <w:tcPr>
            <w:tcW w:w="382" w:type="dxa"/>
            <w:tcBorders>
              <w:top w:val="nil"/>
              <w:left w:val="single" w:sz="4" w:space="0" w:color="auto"/>
              <w:bottom w:val="nil"/>
              <w:right w:val="nil"/>
            </w:tcBorders>
            <w:shd w:val="clear" w:color="auto" w:fill="auto"/>
            <w:noWrap/>
            <w:vAlign w:val="bottom"/>
            <w:hideMark/>
          </w:tcPr>
          <w:p w:rsidR="006E5BF3" w:rsidRPr="0035027D" w:rsidRDefault="006E5BF3" w:rsidP="006E5BF3">
            <w:pPr>
              <w:spacing w:after="0"/>
              <w:jc w:val="left"/>
              <w:rPr>
                <w:rFonts w:cs="Times New Roman"/>
                <w:color w:val="000000"/>
              </w:rPr>
            </w:pPr>
            <w:r w:rsidRPr="0035027D">
              <w:rPr>
                <w:rFonts w:cs="Times New Roman"/>
                <w:color w:val="000000"/>
              </w:rPr>
              <w:t> </w:t>
            </w:r>
          </w:p>
        </w:tc>
        <w:tc>
          <w:tcPr>
            <w:tcW w:w="323" w:type="dxa"/>
            <w:vMerge w:val="restart"/>
            <w:tcBorders>
              <w:top w:val="nil"/>
              <w:left w:val="nil"/>
              <w:bottom w:val="single" w:sz="8" w:space="0" w:color="000000"/>
              <w:right w:val="nil"/>
            </w:tcBorders>
            <w:shd w:val="clear" w:color="auto" w:fill="auto"/>
            <w:noWrap/>
            <w:vAlign w:val="center"/>
            <w:hideMark/>
          </w:tcPr>
          <w:p w:rsidR="006E5BF3" w:rsidRPr="0035027D" w:rsidRDefault="006E5BF3" w:rsidP="006E5BF3">
            <w:pPr>
              <w:spacing w:after="0"/>
              <w:jc w:val="center"/>
              <w:rPr>
                <w:rFonts w:cs="Times New Roman"/>
                <w:b/>
                <w:bCs/>
                <w:color w:val="000000"/>
                <w:sz w:val="20"/>
                <w:szCs w:val="20"/>
              </w:rPr>
            </w:pPr>
            <w:r w:rsidRPr="0035027D">
              <w:rPr>
                <w:rFonts w:cs="Times New Roman"/>
                <w:b/>
                <w:bCs/>
                <w:color w:val="000000"/>
                <w:sz w:val="20"/>
                <w:szCs w:val="20"/>
              </w:rPr>
              <w:t>20</w:t>
            </w:r>
          </w:p>
        </w:tc>
        <w:tc>
          <w:tcPr>
            <w:tcW w:w="3608" w:type="dxa"/>
            <w:tcBorders>
              <w:top w:val="nil"/>
              <w:left w:val="nil"/>
              <w:bottom w:val="nil"/>
              <w:right w:val="nil"/>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Trend EPI</w:t>
            </w:r>
          </w:p>
        </w:tc>
        <w:tc>
          <w:tcPr>
            <w:tcW w:w="614" w:type="dxa"/>
            <w:tcBorders>
              <w:top w:val="nil"/>
              <w:left w:val="nil"/>
              <w:bottom w:val="nil"/>
              <w:right w:val="single" w:sz="8" w:space="0" w:color="auto"/>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SK</w:t>
            </w:r>
          </w:p>
        </w:tc>
        <w:tc>
          <w:tcPr>
            <w:tcW w:w="520" w:type="dxa"/>
            <w:tcBorders>
              <w:top w:val="single" w:sz="8" w:space="0" w:color="auto"/>
              <w:left w:val="single" w:sz="8" w:space="0" w:color="auto"/>
              <w:bottom w:val="nil"/>
              <w:right w:val="nil"/>
            </w:tcBorders>
            <w:shd w:val="clear" w:color="auto" w:fill="auto"/>
            <w:noWrap/>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51" w:type="dxa"/>
            <w:tcBorders>
              <w:top w:val="single" w:sz="8" w:space="0" w:color="auto"/>
              <w:left w:val="nil"/>
              <w:bottom w:val="nil"/>
              <w:right w:val="nil"/>
            </w:tcBorders>
            <w:shd w:val="clear" w:color="auto" w:fill="auto"/>
            <w:noWrap/>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64,0</w:t>
            </w:r>
          </w:p>
        </w:tc>
        <w:tc>
          <w:tcPr>
            <w:tcW w:w="520" w:type="dxa"/>
            <w:tcBorders>
              <w:top w:val="single" w:sz="8" w:space="0" w:color="auto"/>
              <w:left w:val="nil"/>
              <w:bottom w:val="nil"/>
              <w:right w:val="nil"/>
            </w:tcBorders>
            <w:shd w:val="clear" w:color="auto" w:fill="auto"/>
            <w:noWrap/>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64,8</w:t>
            </w:r>
          </w:p>
        </w:tc>
        <w:tc>
          <w:tcPr>
            <w:tcW w:w="520" w:type="dxa"/>
            <w:tcBorders>
              <w:top w:val="single" w:sz="8" w:space="0" w:color="auto"/>
              <w:left w:val="nil"/>
              <w:bottom w:val="nil"/>
              <w:right w:val="nil"/>
            </w:tcBorders>
            <w:shd w:val="clear" w:color="auto" w:fill="auto"/>
            <w:noWrap/>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66,1</w:t>
            </w:r>
          </w:p>
        </w:tc>
        <w:tc>
          <w:tcPr>
            <w:tcW w:w="520" w:type="dxa"/>
            <w:tcBorders>
              <w:top w:val="single" w:sz="8" w:space="0" w:color="auto"/>
              <w:left w:val="nil"/>
              <w:bottom w:val="nil"/>
              <w:right w:val="nil"/>
            </w:tcBorders>
            <w:shd w:val="clear" w:color="auto" w:fill="auto"/>
            <w:noWrap/>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66,3</w:t>
            </w:r>
          </w:p>
        </w:tc>
        <w:tc>
          <w:tcPr>
            <w:tcW w:w="520" w:type="dxa"/>
            <w:tcBorders>
              <w:top w:val="single" w:sz="8" w:space="0" w:color="auto"/>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66,6</w:t>
            </w:r>
          </w:p>
        </w:tc>
        <w:tc>
          <w:tcPr>
            <w:tcW w:w="520" w:type="dxa"/>
            <w:tcBorders>
              <w:top w:val="single" w:sz="8" w:space="0" w:color="auto"/>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66,6</w:t>
            </w:r>
          </w:p>
        </w:tc>
        <w:tc>
          <w:tcPr>
            <w:tcW w:w="520" w:type="dxa"/>
            <w:tcBorders>
              <w:top w:val="single" w:sz="8" w:space="0" w:color="auto"/>
              <w:left w:val="nil"/>
              <w:bottom w:val="nil"/>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469" w:type="dxa"/>
            <w:tcBorders>
              <w:top w:val="single" w:sz="8" w:space="0" w:color="auto"/>
              <w:left w:val="nil"/>
              <w:bottom w:val="nil"/>
              <w:right w:val="single" w:sz="8" w:space="0" w:color="auto"/>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 xml:space="preserve"> - </w:t>
            </w:r>
          </w:p>
        </w:tc>
        <w:tc>
          <w:tcPr>
            <w:tcW w:w="760" w:type="dxa"/>
            <w:tcBorders>
              <w:top w:val="single" w:sz="8" w:space="0" w:color="auto"/>
              <w:left w:val="nil"/>
              <w:bottom w:val="nil"/>
              <w:right w:val="single" w:sz="4" w:space="0" w:color="auto"/>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68,3</w:t>
            </w:r>
          </w:p>
        </w:tc>
      </w:tr>
      <w:tr w:rsidR="00A41F46" w:rsidRPr="0035027D" w:rsidTr="006E5BF3">
        <w:trPr>
          <w:trHeight w:val="113"/>
        </w:trPr>
        <w:tc>
          <w:tcPr>
            <w:tcW w:w="382" w:type="dxa"/>
            <w:tcBorders>
              <w:top w:val="nil"/>
              <w:left w:val="single" w:sz="4" w:space="0" w:color="auto"/>
              <w:bottom w:val="single" w:sz="4" w:space="0" w:color="auto"/>
              <w:right w:val="nil"/>
            </w:tcBorders>
            <w:shd w:val="clear" w:color="auto" w:fill="auto"/>
            <w:noWrap/>
            <w:vAlign w:val="bottom"/>
            <w:hideMark/>
          </w:tcPr>
          <w:p w:rsidR="006E5BF3" w:rsidRPr="0035027D" w:rsidRDefault="006E5BF3" w:rsidP="006E5BF3">
            <w:pPr>
              <w:spacing w:after="0"/>
              <w:jc w:val="left"/>
              <w:rPr>
                <w:rFonts w:cs="Times New Roman"/>
                <w:color w:val="000000"/>
              </w:rPr>
            </w:pPr>
            <w:r w:rsidRPr="0035027D">
              <w:rPr>
                <w:rFonts w:cs="Times New Roman"/>
                <w:color w:val="000000"/>
              </w:rPr>
              <w:t> </w:t>
            </w:r>
          </w:p>
        </w:tc>
        <w:tc>
          <w:tcPr>
            <w:tcW w:w="323" w:type="dxa"/>
            <w:vMerge/>
            <w:tcBorders>
              <w:top w:val="nil"/>
              <w:left w:val="nil"/>
              <w:bottom w:val="single" w:sz="4" w:space="0" w:color="auto"/>
              <w:right w:val="nil"/>
            </w:tcBorders>
            <w:vAlign w:val="center"/>
            <w:hideMark/>
          </w:tcPr>
          <w:p w:rsidR="006E5BF3" w:rsidRPr="0035027D" w:rsidRDefault="006E5BF3" w:rsidP="006E5BF3">
            <w:pPr>
              <w:spacing w:after="0"/>
              <w:jc w:val="left"/>
              <w:rPr>
                <w:rFonts w:cs="Times New Roman"/>
                <w:b/>
                <w:bCs/>
                <w:color w:val="000000"/>
                <w:sz w:val="20"/>
                <w:szCs w:val="20"/>
              </w:rPr>
            </w:pPr>
          </w:p>
        </w:tc>
        <w:tc>
          <w:tcPr>
            <w:tcW w:w="3608" w:type="dxa"/>
            <w:tcBorders>
              <w:top w:val="nil"/>
              <w:left w:val="nil"/>
              <w:bottom w:val="single" w:sz="4" w:space="0" w:color="auto"/>
              <w:right w:val="nil"/>
            </w:tcBorders>
            <w:shd w:val="clear" w:color="auto" w:fill="auto"/>
            <w:noWrap/>
            <w:vAlign w:val="center"/>
            <w:hideMark/>
          </w:tcPr>
          <w:p w:rsidR="006E5BF3" w:rsidRPr="0035027D" w:rsidRDefault="006E5BF3" w:rsidP="006E5BF3">
            <w:pPr>
              <w:spacing w:after="0"/>
              <w:rPr>
                <w:rFonts w:cs="Times New Roman"/>
                <w:color w:val="000000"/>
                <w:sz w:val="20"/>
                <w:szCs w:val="20"/>
              </w:rPr>
            </w:pPr>
            <w:r w:rsidRPr="0035027D">
              <w:rPr>
                <w:rFonts w:cs="Times New Roman"/>
                <w:color w:val="000000"/>
                <w:sz w:val="20"/>
                <w:szCs w:val="20"/>
              </w:rPr>
              <w:t> </w:t>
            </w:r>
          </w:p>
        </w:tc>
        <w:tc>
          <w:tcPr>
            <w:tcW w:w="614" w:type="dxa"/>
            <w:tcBorders>
              <w:top w:val="nil"/>
              <w:left w:val="nil"/>
              <w:bottom w:val="single" w:sz="4" w:space="0" w:color="auto"/>
              <w:right w:val="single" w:sz="8" w:space="0" w:color="auto"/>
            </w:tcBorders>
            <w:shd w:val="clear" w:color="auto" w:fill="auto"/>
            <w:noWrap/>
            <w:vAlign w:val="center"/>
            <w:hideMark/>
          </w:tcPr>
          <w:p w:rsidR="006E5BF3" w:rsidRPr="0035027D" w:rsidRDefault="006E5BF3" w:rsidP="006E5BF3">
            <w:pPr>
              <w:spacing w:after="0"/>
              <w:jc w:val="left"/>
              <w:rPr>
                <w:rFonts w:cs="Times New Roman"/>
                <w:b/>
                <w:bCs/>
                <w:color w:val="000000"/>
                <w:sz w:val="20"/>
                <w:szCs w:val="20"/>
              </w:rPr>
            </w:pPr>
            <w:r w:rsidRPr="0035027D">
              <w:rPr>
                <w:rFonts w:cs="Times New Roman"/>
                <w:b/>
                <w:bCs/>
                <w:color w:val="000000"/>
                <w:sz w:val="20"/>
                <w:szCs w:val="20"/>
              </w:rPr>
              <w:t>EÚ</w:t>
            </w:r>
          </w:p>
        </w:tc>
        <w:tc>
          <w:tcPr>
            <w:tcW w:w="520" w:type="dxa"/>
            <w:tcBorders>
              <w:top w:val="nil"/>
              <w:left w:val="single" w:sz="8" w:space="0" w:color="auto"/>
              <w:bottom w:val="single" w:sz="4"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51" w:type="dxa"/>
            <w:tcBorders>
              <w:top w:val="nil"/>
              <w:left w:val="nil"/>
              <w:bottom w:val="single" w:sz="4" w:space="0" w:color="auto"/>
              <w:right w:val="nil"/>
            </w:tcBorders>
            <w:shd w:val="clear" w:color="auto" w:fill="auto"/>
            <w:noWrap/>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single" w:sz="4" w:space="0" w:color="auto"/>
              <w:right w:val="nil"/>
            </w:tcBorders>
            <w:shd w:val="clear" w:color="auto" w:fill="auto"/>
            <w:noWrap/>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single" w:sz="4" w:space="0" w:color="auto"/>
              <w:right w:val="nil"/>
            </w:tcBorders>
            <w:shd w:val="clear" w:color="auto" w:fill="auto"/>
            <w:noWrap/>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single" w:sz="4" w:space="0" w:color="auto"/>
              <w:right w:val="nil"/>
            </w:tcBorders>
            <w:shd w:val="clear" w:color="auto" w:fill="auto"/>
            <w:noWrap/>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single" w:sz="4"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single" w:sz="4"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520" w:type="dxa"/>
            <w:tcBorders>
              <w:top w:val="nil"/>
              <w:left w:val="nil"/>
              <w:bottom w:val="single" w:sz="4" w:space="0" w:color="auto"/>
              <w:right w:val="nil"/>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w:t>
            </w:r>
          </w:p>
        </w:tc>
        <w:tc>
          <w:tcPr>
            <w:tcW w:w="469" w:type="dxa"/>
            <w:tcBorders>
              <w:top w:val="nil"/>
              <w:left w:val="nil"/>
              <w:bottom w:val="single" w:sz="4" w:space="0" w:color="auto"/>
              <w:right w:val="single" w:sz="8" w:space="0" w:color="auto"/>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 xml:space="preserve"> - </w:t>
            </w:r>
          </w:p>
        </w:tc>
        <w:tc>
          <w:tcPr>
            <w:tcW w:w="760" w:type="dxa"/>
            <w:tcBorders>
              <w:top w:val="nil"/>
              <w:left w:val="nil"/>
              <w:bottom w:val="single" w:sz="4" w:space="0" w:color="auto"/>
              <w:right w:val="single" w:sz="4" w:space="0" w:color="auto"/>
            </w:tcBorders>
            <w:shd w:val="clear" w:color="auto" w:fill="auto"/>
            <w:vAlign w:val="center"/>
            <w:hideMark/>
          </w:tcPr>
          <w:p w:rsidR="006E5BF3" w:rsidRPr="0035027D" w:rsidRDefault="006E5BF3" w:rsidP="006E5BF3">
            <w:pPr>
              <w:spacing w:after="0"/>
              <w:jc w:val="center"/>
              <w:rPr>
                <w:rFonts w:cs="Times New Roman"/>
                <w:color w:val="000000"/>
                <w:sz w:val="20"/>
                <w:szCs w:val="20"/>
              </w:rPr>
            </w:pPr>
            <w:r w:rsidRPr="0035027D">
              <w:rPr>
                <w:rFonts w:cs="Times New Roman"/>
                <w:color w:val="000000"/>
                <w:sz w:val="20"/>
                <w:szCs w:val="20"/>
              </w:rPr>
              <w:t> </w:t>
            </w:r>
          </w:p>
        </w:tc>
      </w:tr>
    </w:tbl>
    <w:p w:rsidR="00E75296" w:rsidRPr="0035027D" w:rsidRDefault="00E75296">
      <w:pPr>
        <w:spacing w:after="0"/>
        <w:jc w:val="left"/>
        <w:rPr>
          <w:i/>
        </w:rPr>
      </w:pPr>
      <w:r w:rsidRPr="0035027D">
        <w:rPr>
          <w:i/>
        </w:rPr>
        <w:br w:type="page"/>
      </w:r>
    </w:p>
    <w:p w:rsidR="0037199A" w:rsidRPr="0035027D" w:rsidRDefault="00182D7F" w:rsidP="0037199A">
      <w:pPr>
        <w:spacing w:after="0"/>
      </w:pPr>
      <w:r w:rsidRPr="0035027D">
        <w:lastRenderedPageBreak/>
        <w:t>Národné ciele S</w:t>
      </w:r>
      <w:r w:rsidR="00E71F50" w:rsidRPr="0035027D">
        <w:t>tratégie Európa 2020</w:t>
      </w:r>
      <w:r w:rsidR="0037199A" w:rsidRPr="0035027D">
        <w:t xml:space="preserve"> </w:t>
      </w:r>
      <w:r w:rsidR="00E71F50" w:rsidRPr="0035027D">
        <w:t>predstavujú</w:t>
      </w:r>
      <w:r w:rsidR="0037199A" w:rsidRPr="0035027D">
        <w:t xml:space="preserve"> súbor štrukturálnych indikátorov, ktoré si vláda SR ur</w:t>
      </w:r>
      <w:r w:rsidR="0037199A" w:rsidRPr="0035027D">
        <w:rPr>
          <w:rFonts w:cs="Times New Roman"/>
        </w:rPr>
        <w:t>č</w:t>
      </w:r>
      <w:r w:rsidR="0037199A" w:rsidRPr="0035027D">
        <w:t>ila na sledovanie pokroku v štrukturálnych politikách. Súbor pozostáva z ukazovate</w:t>
      </w:r>
      <w:r w:rsidR="0037199A" w:rsidRPr="0035027D">
        <w:rPr>
          <w:rFonts w:cs="Times New Roman"/>
        </w:rPr>
        <w:t>ľ</w:t>
      </w:r>
      <w:r w:rsidR="0037199A" w:rsidRPr="0035027D">
        <w:t xml:space="preserve">ov EÚ2020, ktoré zadefinovala Európska komisia pre všetky </w:t>
      </w:r>
      <w:r w:rsidR="0037199A" w:rsidRPr="0035027D">
        <w:rPr>
          <w:rFonts w:cs="Times New Roman"/>
        </w:rPr>
        <w:t>č</w:t>
      </w:r>
      <w:r w:rsidR="0037199A" w:rsidRPr="0035027D">
        <w:t xml:space="preserve">lenské štáty, doplnených o niektoré </w:t>
      </w:r>
      <w:r w:rsidR="0037199A" w:rsidRPr="0035027D">
        <w:rPr>
          <w:rFonts w:cs="Times New Roman"/>
        </w:rPr>
        <w:t>ď</w:t>
      </w:r>
      <w:r w:rsidR="0037199A" w:rsidRPr="0035027D">
        <w:t xml:space="preserve">alšie ukazovatele, </w:t>
      </w:r>
      <w:r w:rsidR="00E71F50" w:rsidRPr="0035027D">
        <w:t xml:space="preserve">ktoré </w:t>
      </w:r>
      <w:r w:rsidR="0037199A" w:rsidRPr="0035027D">
        <w:t>pokrývajú všetky priority vlády SR. V roku 2015 bude ich vývoj a doterajší pokrok smerom k plneniu cie</w:t>
      </w:r>
      <w:r w:rsidR="0037199A" w:rsidRPr="0035027D">
        <w:rPr>
          <w:rFonts w:cs="Times New Roman"/>
        </w:rPr>
        <w:t>ľ</w:t>
      </w:r>
      <w:r w:rsidR="0037199A" w:rsidRPr="0035027D">
        <w:t>ov stanovených na rok 2020 predmetom hodnotenia vlády SR.</w:t>
      </w:r>
    </w:p>
    <w:p w:rsidR="00E75296" w:rsidRPr="0035027D" w:rsidRDefault="00E75296" w:rsidP="00561F4D">
      <w:pPr>
        <w:spacing w:after="0"/>
      </w:pPr>
    </w:p>
    <w:p w:rsidR="00E75296" w:rsidRPr="0035027D" w:rsidRDefault="00E75296" w:rsidP="00561F4D">
      <w:pPr>
        <w:spacing w:after="0"/>
      </w:pPr>
    </w:p>
    <w:tbl>
      <w:tblPr>
        <w:tblW w:w="99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8066"/>
      </w:tblGrid>
      <w:tr w:rsidR="00E75296" w:rsidRPr="0035027D" w:rsidTr="0037199A">
        <w:tc>
          <w:tcPr>
            <w:tcW w:w="1926" w:type="dxa"/>
            <w:tcMar>
              <w:top w:w="57" w:type="dxa"/>
              <w:bottom w:w="57" w:type="dxa"/>
            </w:tcMar>
          </w:tcPr>
          <w:p w:rsidR="00E75296" w:rsidRPr="0035027D" w:rsidRDefault="00E75296" w:rsidP="00822C60">
            <w:pPr>
              <w:spacing w:after="0"/>
              <w:jc w:val="left"/>
              <w:rPr>
                <w:rFonts w:cs="Tahoma"/>
                <w:b/>
                <w:bCs/>
                <w:sz w:val="20"/>
                <w:szCs w:val="20"/>
              </w:rPr>
            </w:pPr>
            <w:r w:rsidRPr="0035027D">
              <w:rPr>
                <w:rFonts w:cs="Tahoma"/>
                <w:b/>
                <w:bCs/>
                <w:sz w:val="20"/>
                <w:szCs w:val="20"/>
              </w:rPr>
              <w:t>Názov ukazovateľa</w:t>
            </w:r>
          </w:p>
        </w:tc>
        <w:tc>
          <w:tcPr>
            <w:tcW w:w="8066" w:type="dxa"/>
            <w:tcMar>
              <w:top w:w="57" w:type="dxa"/>
              <w:bottom w:w="57" w:type="dxa"/>
            </w:tcMar>
          </w:tcPr>
          <w:p w:rsidR="00E75296" w:rsidRPr="0035027D" w:rsidRDefault="00E75296" w:rsidP="00822C60">
            <w:pPr>
              <w:spacing w:after="0"/>
              <w:rPr>
                <w:rFonts w:cs="Tahoma"/>
                <w:b/>
                <w:sz w:val="20"/>
                <w:szCs w:val="20"/>
              </w:rPr>
            </w:pPr>
            <w:r w:rsidRPr="0035027D">
              <w:rPr>
                <w:rFonts w:cs="Tahoma"/>
                <w:b/>
                <w:sz w:val="20"/>
                <w:szCs w:val="20"/>
              </w:rPr>
              <w:t>Definícia a zdroj</w:t>
            </w:r>
          </w:p>
        </w:tc>
      </w:tr>
      <w:tr w:rsidR="00E75296" w:rsidRPr="0035027D" w:rsidTr="0037199A">
        <w:tc>
          <w:tcPr>
            <w:tcW w:w="1926" w:type="dxa"/>
            <w:tcMar>
              <w:top w:w="57" w:type="dxa"/>
              <w:bottom w:w="57" w:type="dxa"/>
            </w:tcMar>
          </w:tcPr>
          <w:p w:rsidR="00E75296" w:rsidRPr="0035027D" w:rsidRDefault="00E75296" w:rsidP="00822C60">
            <w:pPr>
              <w:spacing w:after="0"/>
              <w:jc w:val="left"/>
              <w:rPr>
                <w:rFonts w:cs="Tahoma"/>
                <w:b/>
                <w:bCs/>
                <w:sz w:val="20"/>
                <w:szCs w:val="20"/>
              </w:rPr>
            </w:pPr>
            <w:r w:rsidRPr="0035027D">
              <w:rPr>
                <w:rFonts w:cs="Tahoma"/>
                <w:b/>
                <w:bCs/>
                <w:sz w:val="20"/>
                <w:szCs w:val="20"/>
              </w:rPr>
              <w:t>Ukazovateľ dlhodobej udržateľnosti (GAP)</w:t>
            </w:r>
          </w:p>
        </w:tc>
        <w:tc>
          <w:tcPr>
            <w:tcW w:w="8066" w:type="dxa"/>
            <w:tcMar>
              <w:top w:w="57" w:type="dxa"/>
              <w:bottom w:w="57" w:type="dxa"/>
            </w:tcMar>
          </w:tcPr>
          <w:p w:rsidR="00E75296" w:rsidRPr="0035027D" w:rsidRDefault="00E75296" w:rsidP="00822C60">
            <w:pPr>
              <w:spacing w:after="0"/>
              <w:rPr>
                <w:rFonts w:cs="Tahoma"/>
                <w:sz w:val="20"/>
                <w:szCs w:val="20"/>
              </w:rPr>
            </w:pPr>
            <w:r w:rsidRPr="0035027D">
              <w:rPr>
                <w:rFonts w:cs="Tahoma"/>
                <w:sz w:val="20"/>
                <w:szCs w:val="20"/>
              </w:rPr>
              <w:t>Ukazovate</w:t>
            </w:r>
            <w:r w:rsidRPr="0035027D">
              <w:rPr>
                <w:rFonts w:cs="Times New Roman"/>
                <w:sz w:val="20"/>
                <w:szCs w:val="20"/>
              </w:rPr>
              <w:t>ľ</w:t>
            </w:r>
            <w:r w:rsidRPr="0035027D">
              <w:rPr>
                <w:rFonts w:cs="Tahoma"/>
                <w:sz w:val="20"/>
                <w:szCs w:val="20"/>
              </w:rPr>
              <w:t xml:space="preserve"> dlhodobej udr</w:t>
            </w:r>
            <w:r w:rsidRPr="0035027D">
              <w:rPr>
                <w:rFonts w:cs="Times New Roman"/>
                <w:sz w:val="20"/>
                <w:szCs w:val="20"/>
              </w:rPr>
              <w:t>ž</w:t>
            </w:r>
            <w:r w:rsidRPr="0035027D">
              <w:rPr>
                <w:rFonts w:cs="Tahoma"/>
                <w:sz w:val="20"/>
                <w:szCs w:val="20"/>
              </w:rPr>
              <w:t>ate</w:t>
            </w:r>
            <w:r w:rsidRPr="0035027D">
              <w:rPr>
                <w:rFonts w:cs="Times New Roman"/>
                <w:sz w:val="20"/>
                <w:szCs w:val="20"/>
              </w:rPr>
              <w:t>ľ</w:t>
            </w:r>
            <w:r w:rsidRPr="0035027D">
              <w:rPr>
                <w:rFonts w:cs="Tahoma"/>
                <w:sz w:val="20"/>
                <w:szCs w:val="20"/>
              </w:rPr>
              <w:t>nosti je rozdiel medzi aktuálnou hodnotou a dlhodobo udr</w:t>
            </w:r>
            <w:r w:rsidRPr="0035027D">
              <w:rPr>
                <w:rFonts w:cs="Times New Roman"/>
                <w:sz w:val="20"/>
                <w:szCs w:val="20"/>
              </w:rPr>
              <w:t>ž</w:t>
            </w:r>
            <w:r w:rsidRPr="0035027D">
              <w:rPr>
                <w:rFonts w:cs="Tahoma"/>
                <w:sz w:val="20"/>
                <w:szCs w:val="20"/>
              </w:rPr>
              <w:t>ate</w:t>
            </w:r>
            <w:r w:rsidRPr="0035027D">
              <w:rPr>
                <w:rFonts w:cs="Times New Roman"/>
                <w:sz w:val="20"/>
                <w:szCs w:val="20"/>
              </w:rPr>
              <w:t>ľ</w:t>
            </w:r>
            <w:r w:rsidRPr="0035027D">
              <w:rPr>
                <w:rFonts w:cs="Tahoma"/>
                <w:sz w:val="20"/>
                <w:szCs w:val="20"/>
              </w:rPr>
              <w:t>nou hodnotou štrukturálneho primárneho salda. Dlhodobo udr</w:t>
            </w:r>
            <w:r w:rsidRPr="0035027D">
              <w:rPr>
                <w:rFonts w:cs="Times New Roman"/>
                <w:sz w:val="20"/>
                <w:szCs w:val="20"/>
              </w:rPr>
              <w:t>ž</w:t>
            </w:r>
            <w:r w:rsidRPr="0035027D">
              <w:rPr>
                <w:rFonts w:cs="Tahoma"/>
                <w:sz w:val="20"/>
                <w:szCs w:val="20"/>
              </w:rPr>
              <w:t>ate</w:t>
            </w:r>
            <w:r w:rsidRPr="0035027D">
              <w:rPr>
                <w:rFonts w:cs="Times New Roman"/>
                <w:sz w:val="20"/>
                <w:szCs w:val="20"/>
              </w:rPr>
              <w:t>ľ</w:t>
            </w:r>
            <w:r w:rsidRPr="0035027D">
              <w:rPr>
                <w:rFonts w:cs="Tahoma"/>
                <w:sz w:val="20"/>
                <w:szCs w:val="20"/>
              </w:rPr>
              <w:t>ná hodnota sa ur</w:t>
            </w:r>
            <w:r w:rsidRPr="0035027D">
              <w:rPr>
                <w:rFonts w:cs="Times New Roman"/>
                <w:sz w:val="20"/>
                <w:szCs w:val="20"/>
              </w:rPr>
              <w:t>č</w:t>
            </w:r>
            <w:r w:rsidRPr="0035027D">
              <w:rPr>
                <w:rFonts w:cs="Tahoma"/>
                <w:sz w:val="20"/>
                <w:szCs w:val="20"/>
              </w:rPr>
              <w:t>uje na základe aktuálnej legislatívy a dlhodobých demografických a ekonomických prognóz ovplyv</w:t>
            </w:r>
            <w:r w:rsidRPr="0035027D">
              <w:rPr>
                <w:rFonts w:cs="Times New Roman"/>
                <w:sz w:val="20"/>
                <w:szCs w:val="20"/>
              </w:rPr>
              <w:t>ň</w:t>
            </w:r>
            <w:r w:rsidRPr="0035027D">
              <w:rPr>
                <w:rFonts w:cs="Tahoma"/>
                <w:sz w:val="20"/>
                <w:szCs w:val="20"/>
              </w:rPr>
              <w:t>ujúcich príjmy a výdavky verejnej správy (implicitné záväzky), pri</w:t>
            </w:r>
            <w:r w:rsidRPr="0035027D">
              <w:rPr>
                <w:rFonts w:cs="Times New Roman"/>
                <w:sz w:val="20"/>
                <w:szCs w:val="20"/>
              </w:rPr>
              <w:t>č</w:t>
            </w:r>
            <w:r w:rsidRPr="0035027D">
              <w:rPr>
                <w:rFonts w:cs="Tahoma"/>
                <w:sz w:val="20"/>
                <w:szCs w:val="20"/>
              </w:rPr>
              <w:t>om do úvahy sa berú aj podmienené záväzky (napr. PPP projekty)</w:t>
            </w:r>
          </w:p>
          <w:p w:rsidR="00E75296" w:rsidRPr="0035027D" w:rsidRDefault="00E75296" w:rsidP="00822C60">
            <w:pPr>
              <w:spacing w:after="0"/>
              <w:rPr>
                <w:rFonts w:cs="Tahoma"/>
                <w:sz w:val="20"/>
                <w:szCs w:val="20"/>
              </w:rPr>
            </w:pPr>
            <w:r w:rsidRPr="0035027D">
              <w:rPr>
                <w:rFonts w:cs="Tahoma"/>
                <w:sz w:val="20"/>
                <w:szCs w:val="20"/>
              </w:rPr>
              <w:t>Zdroj: OECD / Eurostat, výpo</w:t>
            </w:r>
            <w:r w:rsidRPr="0035027D">
              <w:rPr>
                <w:rFonts w:cs="Times New Roman"/>
                <w:sz w:val="20"/>
                <w:szCs w:val="20"/>
              </w:rPr>
              <w:t>č</w:t>
            </w:r>
            <w:r w:rsidRPr="0035027D">
              <w:rPr>
                <w:rFonts w:cs="Tahoma"/>
                <w:sz w:val="20"/>
                <w:szCs w:val="20"/>
              </w:rPr>
              <w:t>et MF SR</w:t>
            </w:r>
          </w:p>
        </w:tc>
      </w:tr>
      <w:tr w:rsidR="00E75296" w:rsidRPr="0035027D" w:rsidTr="0037199A">
        <w:tc>
          <w:tcPr>
            <w:tcW w:w="1926" w:type="dxa"/>
            <w:tcMar>
              <w:top w:w="57" w:type="dxa"/>
              <w:bottom w:w="57" w:type="dxa"/>
            </w:tcMar>
          </w:tcPr>
          <w:p w:rsidR="00E75296" w:rsidRPr="0035027D" w:rsidRDefault="00E75296" w:rsidP="00822C60">
            <w:pPr>
              <w:spacing w:after="0"/>
              <w:jc w:val="left"/>
              <w:rPr>
                <w:rFonts w:cs="Tahoma"/>
                <w:b/>
                <w:bCs/>
                <w:sz w:val="20"/>
                <w:szCs w:val="20"/>
              </w:rPr>
            </w:pPr>
            <w:r w:rsidRPr="0035027D">
              <w:rPr>
                <w:rFonts w:cs="Tahoma"/>
                <w:b/>
                <w:bCs/>
                <w:sz w:val="20"/>
                <w:szCs w:val="20"/>
              </w:rPr>
              <w:t>Efektívnosť výberu DPH</w:t>
            </w:r>
          </w:p>
        </w:tc>
        <w:tc>
          <w:tcPr>
            <w:tcW w:w="8066" w:type="dxa"/>
            <w:tcMar>
              <w:top w:w="57" w:type="dxa"/>
              <w:bottom w:w="57" w:type="dxa"/>
            </w:tcMar>
          </w:tcPr>
          <w:p w:rsidR="00E75296" w:rsidRPr="0035027D" w:rsidRDefault="00E75296" w:rsidP="00822C60">
            <w:pPr>
              <w:spacing w:after="0"/>
              <w:rPr>
                <w:sz w:val="20"/>
                <w:szCs w:val="20"/>
              </w:rPr>
            </w:pPr>
            <w:r w:rsidRPr="0035027D">
              <w:rPr>
                <w:sz w:val="20"/>
                <w:szCs w:val="20"/>
              </w:rPr>
              <w:t>Efektívnos</w:t>
            </w:r>
            <w:r w:rsidRPr="0035027D">
              <w:rPr>
                <w:rFonts w:cs="Times New Roman"/>
                <w:sz w:val="20"/>
                <w:szCs w:val="20"/>
              </w:rPr>
              <w:t>ť</w:t>
            </w:r>
            <w:r w:rsidRPr="0035027D">
              <w:rPr>
                <w:sz w:val="20"/>
                <w:szCs w:val="20"/>
              </w:rPr>
              <w:t xml:space="preserve"> výberu DPH = výber DPH / [(kone</w:t>
            </w:r>
            <w:r w:rsidRPr="0035027D">
              <w:rPr>
                <w:rFonts w:cs="Times New Roman"/>
                <w:sz w:val="20"/>
                <w:szCs w:val="20"/>
              </w:rPr>
              <w:t>č</w:t>
            </w:r>
            <w:r w:rsidRPr="0035027D">
              <w:rPr>
                <w:sz w:val="20"/>
                <w:szCs w:val="20"/>
              </w:rPr>
              <w:t>ná spotreba domácností + tvorba hrubého fixného kapitálu verejnej správy + medzispotreba verejnej správy – výber DPH) * (základná sadzba DPH / 100)]</w:t>
            </w:r>
          </w:p>
          <w:p w:rsidR="00E75296" w:rsidRPr="0035027D" w:rsidRDefault="00E75296" w:rsidP="00822C60">
            <w:pPr>
              <w:spacing w:after="0"/>
              <w:rPr>
                <w:sz w:val="20"/>
                <w:szCs w:val="20"/>
              </w:rPr>
            </w:pPr>
            <w:r w:rsidRPr="0035027D">
              <w:rPr>
                <w:sz w:val="20"/>
                <w:szCs w:val="20"/>
              </w:rPr>
              <w:t>Tento index porovnáva skuto</w:t>
            </w:r>
            <w:r w:rsidRPr="0035027D">
              <w:rPr>
                <w:rFonts w:cs="Times New Roman"/>
                <w:sz w:val="20"/>
                <w:szCs w:val="20"/>
              </w:rPr>
              <w:t>č</w:t>
            </w:r>
            <w:r w:rsidRPr="0035027D">
              <w:rPr>
                <w:sz w:val="20"/>
                <w:szCs w:val="20"/>
              </w:rPr>
              <w:t xml:space="preserve">ný výber DPH s potenciálnym výberom DPH. </w:t>
            </w:r>
            <w:r w:rsidRPr="0035027D">
              <w:rPr>
                <w:rFonts w:cs="Times New Roman"/>
                <w:sz w:val="20"/>
                <w:szCs w:val="20"/>
              </w:rPr>
              <w:t>Č</w:t>
            </w:r>
            <w:r w:rsidRPr="0035027D">
              <w:rPr>
                <w:sz w:val="20"/>
                <w:szCs w:val="20"/>
              </w:rPr>
              <w:t>ím vä</w:t>
            </w:r>
            <w:r w:rsidRPr="0035027D">
              <w:rPr>
                <w:rFonts w:cs="Times New Roman"/>
                <w:sz w:val="20"/>
                <w:szCs w:val="20"/>
              </w:rPr>
              <w:t>č</w:t>
            </w:r>
            <w:r w:rsidRPr="0035027D">
              <w:rPr>
                <w:sz w:val="20"/>
                <w:szCs w:val="20"/>
              </w:rPr>
              <w:t>šia je hodnota indikátora, tým efektívnejší je výber DPH. Potenciálny výber DPH ukazuje, ko</w:t>
            </w:r>
            <w:r w:rsidRPr="0035027D">
              <w:rPr>
                <w:rFonts w:cs="Times New Roman"/>
                <w:sz w:val="20"/>
                <w:szCs w:val="20"/>
              </w:rPr>
              <w:t>ľ</w:t>
            </w:r>
            <w:r w:rsidRPr="0035027D">
              <w:rPr>
                <w:sz w:val="20"/>
                <w:szCs w:val="20"/>
              </w:rPr>
              <w:t>ko sa doká</w:t>
            </w:r>
            <w:r w:rsidRPr="0035027D">
              <w:rPr>
                <w:rFonts w:cs="Times New Roman"/>
                <w:sz w:val="20"/>
                <w:szCs w:val="20"/>
              </w:rPr>
              <w:t>ž</w:t>
            </w:r>
            <w:r w:rsidRPr="0035027D">
              <w:rPr>
                <w:sz w:val="20"/>
                <w:szCs w:val="20"/>
              </w:rPr>
              <w:t>e vybra</w:t>
            </w:r>
            <w:r w:rsidRPr="0035027D">
              <w:rPr>
                <w:rFonts w:cs="Times New Roman"/>
                <w:sz w:val="20"/>
                <w:szCs w:val="20"/>
              </w:rPr>
              <w:t>ť</w:t>
            </w:r>
            <w:r w:rsidRPr="0035027D">
              <w:rPr>
                <w:sz w:val="20"/>
                <w:szCs w:val="20"/>
              </w:rPr>
              <w:t xml:space="preserve"> DPH z makroekonomickej základne pri zdanení základnou sadzbou DPH. </w:t>
            </w:r>
          </w:p>
          <w:p w:rsidR="00E75296" w:rsidRPr="0035027D" w:rsidRDefault="00E75296" w:rsidP="00822C60">
            <w:pPr>
              <w:spacing w:after="0"/>
              <w:rPr>
                <w:rFonts w:cs="Tahoma"/>
                <w:sz w:val="20"/>
                <w:szCs w:val="20"/>
              </w:rPr>
            </w:pPr>
            <w:r w:rsidRPr="0035027D">
              <w:rPr>
                <w:rFonts w:cs="Tahoma"/>
                <w:sz w:val="20"/>
                <w:szCs w:val="20"/>
              </w:rPr>
              <w:t>Zdroj: OECD / Eurostat, výpo</w:t>
            </w:r>
            <w:r w:rsidRPr="0035027D">
              <w:rPr>
                <w:rFonts w:cs="Times New Roman"/>
                <w:sz w:val="20"/>
                <w:szCs w:val="20"/>
              </w:rPr>
              <w:t>č</w:t>
            </w:r>
            <w:r w:rsidRPr="0035027D">
              <w:rPr>
                <w:rFonts w:cs="Tahoma"/>
                <w:sz w:val="20"/>
                <w:szCs w:val="20"/>
              </w:rPr>
              <w:t>et MF SR</w:t>
            </w:r>
          </w:p>
        </w:tc>
      </w:tr>
      <w:tr w:rsidR="00E75296" w:rsidRPr="0035027D" w:rsidTr="0037199A">
        <w:tc>
          <w:tcPr>
            <w:tcW w:w="1926" w:type="dxa"/>
            <w:tcMar>
              <w:top w:w="57" w:type="dxa"/>
              <w:bottom w:w="57" w:type="dxa"/>
            </w:tcMar>
          </w:tcPr>
          <w:p w:rsidR="00E75296" w:rsidRPr="0035027D" w:rsidRDefault="00E75296" w:rsidP="00822C60">
            <w:pPr>
              <w:spacing w:after="0"/>
              <w:jc w:val="left"/>
              <w:rPr>
                <w:rFonts w:cs="Tahoma"/>
                <w:b/>
                <w:bCs/>
                <w:sz w:val="20"/>
                <w:szCs w:val="20"/>
              </w:rPr>
            </w:pPr>
            <w:r w:rsidRPr="0035027D">
              <w:rPr>
                <w:b/>
                <w:bCs/>
                <w:sz w:val="20"/>
                <w:szCs w:val="20"/>
              </w:rPr>
              <w:t>Trend EPI</w:t>
            </w:r>
          </w:p>
        </w:tc>
        <w:tc>
          <w:tcPr>
            <w:tcW w:w="8066" w:type="dxa"/>
            <w:tcMar>
              <w:top w:w="57" w:type="dxa"/>
              <w:bottom w:w="57" w:type="dxa"/>
            </w:tcMar>
          </w:tcPr>
          <w:p w:rsidR="00E75296" w:rsidRPr="0035027D" w:rsidRDefault="00E75296" w:rsidP="00822C60">
            <w:pPr>
              <w:spacing w:after="0"/>
              <w:rPr>
                <w:rFonts w:cs="Tahoma"/>
                <w:sz w:val="20"/>
                <w:szCs w:val="20"/>
              </w:rPr>
            </w:pPr>
            <w:r w:rsidRPr="0035027D">
              <w:rPr>
                <w:rFonts w:cs="Tahoma"/>
                <w:sz w:val="20"/>
                <w:szCs w:val="20"/>
              </w:rPr>
              <w:t>Index environmentálnej výkonnosti zostavuje ka</w:t>
            </w:r>
            <w:r w:rsidRPr="0035027D">
              <w:rPr>
                <w:rFonts w:cs="Times New Roman"/>
                <w:sz w:val="20"/>
                <w:szCs w:val="20"/>
              </w:rPr>
              <w:t>ž</w:t>
            </w:r>
            <w:r w:rsidRPr="0035027D">
              <w:rPr>
                <w:rFonts w:cs="Tahoma"/>
                <w:sz w:val="20"/>
                <w:szCs w:val="20"/>
              </w:rPr>
              <w:t xml:space="preserve">dé dva roky </w:t>
            </w:r>
            <w:proofErr w:type="spellStart"/>
            <w:r w:rsidRPr="0035027D">
              <w:rPr>
                <w:rFonts w:cs="Tahoma"/>
                <w:sz w:val="20"/>
                <w:szCs w:val="20"/>
              </w:rPr>
              <w:t>Yale</w:t>
            </w:r>
            <w:proofErr w:type="spellEnd"/>
            <w:r w:rsidRPr="0035027D">
              <w:rPr>
                <w:rFonts w:cs="Tahoma"/>
                <w:sz w:val="20"/>
                <w:szCs w:val="20"/>
              </w:rPr>
              <w:t xml:space="preserve"> a Columbia </w:t>
            </w:r>
            <w:proofErr w:type="spellStart"/>
            <w:r w:rsidRPr="0035027D">
              <w:rPr>
                <w:rFonts w:cs="Tahoma"/>
                <w:sz w:val="20"/>
                <w:szCs w:val="20"/>
              </w:rPr>
              <w:t>University</w:t>
            </w:r>
            <w:proofErr w:type="spellEnd"/>
            <w:r w:rsidRPr="0035027D">
              <w:rPr>
                <w:rFonts w:cs="Tahoma"/>
                <w:sz w:val="20"/>
                <w:szCs w:val="20"/>
              </w:rPr>
              <w:t xml:space="preserve"> v spolupráci so Svetovým ekonomickým fórom a Európskou komisiou. Ide o kompozitný indikátor zlo</w:t>
            </w:r>
            <w:r w:rsidRPr="0035027D">
              <w:rPr>
                <w:rFonts w:cs="Times New Roman"/>
                <w:sz w:val="20"/>
                <w:szCs w:val="20"/>
              </w:rPr>
              <w:t>ž</w:t>
            </w:r>
            <w:r w:rsidRPr="0035027D">
              <w:rPr>
                <w:rFonts w:cs="Tahoma"/>
                <w:sz w:val="20"/>
                <w:szCs w:val="20"/>
              </w:rPr>
              <w:t xml:space="preserve">ený z 22 výsledkových </w:t>
            </w:r>
            <w:proofErr w:type="spellStart"/>
            <w:r w:rsidRPr="0035027D">
              <w:rPr>
                <w:rFonts w:cs="Tahoma"/>
                <w:sz w:val="20"/>
                <w:szCs w:val="20"/>
              </w:rPr>
              <w:t>sub-indikátorov</w:t>
            </w:r>
            <w:proofErr w:type="spellEnd"/>
            <w:r w:rsidRPr="0035027D">
              <w:rPr>
                <w:rFonts w:cs="Tahoma"/>
                <w:sz w:val="20"/>
                <w:szCs w:val="20"/>
              </w:rPr>
              <w:t>, ktorý porovnáva 132 krajín v desiatich základných oblastiach environmentálnej výkonnosti.</w:t>
            </w:r>
          </w:p>
          <w:p w:rsidR="00E75296" w:rsidRPr="0035027D" w:rsidRDefault="00E75296" w:rsidP="00822C60">
            <w:pPr>
              <w:spacing w:after="0"/>
              <w:rPr>
                <w:rFonts w:cs="Tahoma"/>
                <w:sz w:val="20"/>
                <w:szCs w:val="20"/>
              </w:rPr>
            </w:pPr>
            <w:r w:rsidRPr="0035027D">
              <w:rPr>
                <w:sz w:val="20"/>
                <w:szCs w:val="20"/>
              </w:rPr>
              <w:t xml:space="preserve">Zdroj: </w:t>
            </w:r>
            <w:hyperlink r:id="rId41" w:history="1">
              <w:r w:rsidRPr="0035027D">
                <w:rPr>
                  <w:rStyle w:val="Hypertextovprepojenie"/>
                  <w:sz w:val="20"/>
                  <w:szCs w:val="20"/>
                </w:rPr>
                <w:t>http://epi.yale.edu/</w:t>
              </w:r>
            </w:hyperlink>
          </w:p>
        </w:tc>
      </w:tr>
      <w:tr w:rsidR="00E75296" w:rsidRPr="0035027D" w:rsidTr="0037199A">
        <w:tc>
          <w:tcPr>
            <w:tcW w:w="1926" w:type="dxa"/>
            <w:tcMar>
              <w:top w:w="57" w:type="dxa"/>
              <w:bottom w:w="57" w:type="dxa"/>
            </w:tcMar>
          </w:tcPr>
          <w:p w:rsidR="00E75296" w:rsidRPr="0035027D" w:rsidRDefault="00E75296" w:rsidP="00822C60">
            <w:pPr>
              <w:spacing w:after="0"/>
              <w:jc w:val="left"/>
              <w:rPr>
                <w:rFonts w:cs="Tahoma"/>
                <w:sz w:val="20"/>
                <w:szCs w:val="20"/>
              </w:rPr>
            </w:pPr>
            <w:r w:rsidRPr="0035027D">
              <w:rPr>
                <w:rFonts w:cs="Tahoma"/>
                <w:b/>
                <w:bCs/>
                <w:sz w:val="20"/>
                <w:szCs w:val="20"/>
              </w:rPr>
              <w:t>Emisie skleníkových plynov mimo ETS</w:t>
            </w:r>
          </w:p>
        </w:tc>
        <w:tc>
          <w:tcPr>
            <w:tcW w:w="8066" w:type="dxa"/>
            <w:tcMar>
              <w:top w:w="57" w:type="dxa"/>
              <w:bottom w:w="57" w:type="dxa"/>
            </w:tcMar>
          </w:tcPr>
          <w:p w:rsidR="00E75296" w:rsidRPr="0035027D" w:rsidRDefault="00E75296" w:rsidP="00822C60">
            <w:pPr>
              <w:spacing w:after="0"/>
              <w:rPr>
                <w:rFonts w:cs="Tahoma"/>
                <w:sz w:val="20"/>
                <w:szCs w:val="20"/>
              </w:rPr>
            </w:pPr>
            <w:r w:rsidRPr="0035027D">
              <w:rPr>
                <w:rFonts w:cs="Tahoma"/>
                <w:sz w:val="20"/>
                <w:szCs w:val="20"/>
              </w:rPr>
              <w:t>Emisie skleníkových plynov mimo ETS ako CO</w:t>
            </w:r>
            <w:r w:rsidRPr="0035027D">
              <w:rPr>
                <w:rFonts w:cs="Tahoma"/>
                <w:sz w:val="20"/>
                <w:szCs w:val="20"/>
                <w:vertAlign w:val="subscript"/>
              </w:rPr>
              <w:t>2</w:t>
            </w:r>
            <w:r w:rsidRPr="0035027D">
              <w:rPr>
                <w:rFonts w:cs="Tahoma"/>
                <w:sz w:val="20"/>
                <w:szCs w:val="20"/>
              </w:rPr>
              <w:t xml:space="preserve"> ekvivalent vyjadrujú percentuálnu zmenu </w:t>
            </w:r>
            <w:r w:rsidRPr="0035027D">
              <w:rPr>
                <w:sz w:val="20"/>
                <w:szCs w:val="20"/>
              </w:rPr>
              <w:t>vo</w:t>
            </w:r>
            <w:r w:rsidRPr="0035027D">
              <w:rPr>
                <w:rFonts w:cs="Times New Roman"/>
                <w:sz w:val="20"/>
                <w:szCs w:val="20"/>
              </w:rPr>
              <w:t>č</w:t>
            </w:r>
            <w:r w:rsidRPr="0035027D">
              <w:rPr>
                <w:sz w:val="20"/>
                <w:szCs w:val="20"/>
              </w:rPr>
              <w:t>i roku 2005)</w:t>
            </w:r>
            <w:r w:rsidRPr="0035027D">
              <w:rPr>
                <w:rFonts w:cs="Tahoma"/>
                <w:sz w:val="20"/>
                <w:szCs w:val="20"/>
              </w:rPr>
              <w:t xml:space="preserve">. Indikátor vyjadruje trendy agregovaných </w:t>
            </w:r>
            <w:proofErr w:type="spellStart"/>
            <w:r w:rsidRPr="0035027D">
              <w:rPr>
                <w:rFonts w:cs="Tahoma"/>
                <w:sz w:val="20"/>
                <w:szCs w:val="20"/>
              </w:rPr>
              <w:t>antropogénnych</w:t>
            </w:r>
            <w:proofErr w:type="spellEnd"/>
            <w:r w:rsidRPr="0035027D">
              <w:rPr>
                <w:rFonts w:cs="Tahoma"/>
                <w:sz w:val="20"/>
                <w:szCs w:val="20"/>
              </w:rPr>
              <w:t xml:space="preserve"> emisií CO</w:t>
            </w:r>
            <w:r w:rsidRPr="0035027D">
              <w:rPr>
                <w:rFonts w:cs="Tahoma"/>
                <w:sz w:val="20"/>
                <w:szCs w:val="20"/>
                <w:vertAlign w:val="subscript"/>
              </w:rPr>
              <w:t>2</w:t>
            </w:r>
            <w:r w:rsidRPr="0035027D">
              <w:rPr>
                <w:rFonts w:cs="Tahoma"/>
                <w:sz w:val="20"/>
                <w:szCs w:val="20"/>
              </w:rPr>
              <w:t>, NO</w:t>
            </w:r>
            <w:r w:rsidRPr="0035027D">
              <w:rPr>
                <w:rFonts w:cs="Tahoma"/>
                <w:sz w:val="20"/>
                <w:szCs w:val="20"/>
                <w:vertAlign w:val="subscript"/>
              </w:rPr>
              <w:t>2</w:t>
            </w:r>
            <w:r w:rsidRPr="0035027D">
              <w:rPr>
                <w:rFonts w:cs="Tahoma"/>
                <w:sz w:val="20"/>
                <w:szCs w:val="20"/>
              </w:rPr>
              <w:t>, CH4, HFC, PFC a SF6 súhrnne nazývaných skleníkové plyny a vyjadrené ako CO</w:t>
            </w:r>
            <w:r w:rsidRPr="0035027D">
              <w:rPr>
                <w:rFonts w:cs="Tahoma"/>
                <w:sz w:val="20"/>
                <w:szCs w:val="20"/>
                <w:vertAlign w:val="subscript"/>
              </w:rPr>
              <w:t>2</w:t>
            </w:r>
            <w:r w:rsidRPr="0035027D">
              <w:rPr>
                <w:rFonts w:cs="Tahoma"/>
                <w:sz w:val="20"/>
                <w:szCs w:val="20"/>
              </w:rPr>
              <w:t xml:space="preserve"> ekvivalent. Celkové mno</w:t>
            </w:r>
            <w:r w:rsidRPr="0035027D">
              <w:rPr>
                <w:rFonts w:cs="Times New Roman"/>
                <w:sz w:val="20"/>
                <w:szCs w:val="20"/>
              </w:rPr>
              <w:t>ž</w:t>
            </w:r>
            <w:r w:rsidRPr="0035027D">
              <w:rPr>
                <w:rFonts w:cs="Tahoma"/>
                <w:sz w:val="20"/>
                <w:szCs w:val="20"/>
              </w:rPr>
              <w:t>stvo nezah</w:t>
            </w:r>
            <w:r w:rsidRPr="0035027D">
              <w:rPr>
                <w:rFonts w:cs="Times New Roman"/>
                <w:sz w:val="20"/>
                <w:szCs w:val="20"/>
              </w:rPr>
              <w:t>ŕň</w:t>
            </w:r>
            <w:r w:rsidRPr="0035027D">
              <w:rPr>
                <w:rFonts w:cs="Tahoma"/>
                <w:sz w:val="20"/>
                <w:szCs w:val="20"/>
              </w:rPr>
              <w:t>a emisie z vyu</w:t>
            </w:r>
            <w:r w:rsidRPr="0035027D">
              <w:rPr>
                <w:rFonts w:cs="Times New Roman"/>
                <w:sz w:val="20"/>
                <w:szCs w:val="20"/>
              </w:rPr>
              <w:t>ž</w:t>
            </w:r>
            <w:r w:rsidRPr="0035027D">
              <w:rPr>
                <w:rFonts w:cs="Tahoma"/>
                <w:sz w:val="20"/>
                <w:szCs w:val="20"/>
              </w:rPr>
              <w:t>ívania krajiny a lesov (LULUCF).</w:t>
            </w:r>
          </w:p>
          <w:p w:rsidR="00E75296" w:rsidRPr="0035027D" w:rsidRDefault="00E75296" w:rsidP="00822C60">
            <w:pPr>
              <w:spacing w:after="0"/>
              <w:rPr>
                <w:rFonts w:cs="Tahoma"/>
                <w:sz w:val="20"/>
                <w:szCs w:val="20"/>
              </w:rPr>
            </w:pPr>
            <w:r w:rsidRPr="0035027D">
              <w:rPr>
                <w:rFonts w:cs="Tahoma"/>
                <w:sz w:val="20"/>
                <w:szCs w:val="20"/>
              </w:rPr>
              <w:t>Zdroj: Eurostat</w:t>
            </w:r>
          </w:p>
        </w:tc>
      </w:tr>
      <w:tr w:rsidR="00E75296" w:rsidRPr="0035027D" w:rsidTr="0037199A">
        <w:tc>
          <w:tcPr>
            <w:tcW w:w="1926" w:type="dxa"/>
            <w:tcMar>
              <w:top w:w="57" w:type="dxa"/>
              <w:bottom w:w="57" w:type="dxa"/>
            </w:tcMar>
          </w:tcPr>
          <w:p w:rsidR="00E75296" w:rsidRPr="0035027D" w:rsidRDefault="00E75296" w:rsidP="00822C60">
            <w:pPr>
              <w:spacing w:after="0"/>
              <w:jc w:val="left"/>
              <w:rPr>
                <w:rFonts w:cs="Tahoma"/>
                <w:b/>
                <w:bCs/>
                <w:sz w:val="20"/>
                <w:szCs w:val="20"/>
              </w:rPr>
            </w:pPr>
            <w:r w:rsidRPr="0035027D">
              <w:rPr>
                <w:b/>
                <w:bCs/>
                <w:sz w:val="20"/>
                <w:szCs w:val="20"/>
              </w:rPr>
              <w:t>Podiel OZE na hrubej konečnej spotrebe</w:t>
            </w:r>
          </w:p>
        </w:tc>
        <w:tc>
          <w:tcPr>
            <w:tcW w:w="8066" w:type="dxa"/>
            <w:tcMar>
              <w:top w:w="57" w:type="dxa"/>
              <w:bottom w:w="57" w:type="dxa"/>
            </w:tcMar>
          </w:tcPr>
          <w:p w:rsidR="00E75296" w:rsidRPr="0035027D" w:rsidRDefault="00E75296" w:rsidP="00822C60">
            <w:pPr>
              <w:autoSpaceDE w:val="0"/>
              <w:autoSpaceDN w:val="0"/>
              <w:adjustRightInd w:val="0"/>
              <w:spacing w:after="0"/>
              <w:rPr>
                <w:rFonts w:cs="Tahoma"/>
                <w:sz w:val="20"/>
                <w:szCs w:val="20"/>
              </w:rPr>
            </w:pPr>
            <w:r w:rsidRPr="0035027D">
              <w:rPr>
                <w:rFonts w:cs="Tahoma"/>
                <w:sz w:val="20"/>
                <w:szCs w:val="20"/>
              </w:rPr>
              <w:t>Podiel kone</w:t>
            </w:r>
            <w:r w:rsidRPr="0035027D">
              <w:rPr>
                <w:rFonts w:cs="Times New Roman"/>
                <w:sz w:val="20"/>
                <w:szCs w:val="20"/>
              </w:rPr>
              <w:t>č</w:t>
            </w:r>
            <w:r w:rsidRPr="0035027D">
              <w:rPr>
                <w:rFonts w:cs="Tahoma"/>
                <w:sz w:val="20"/>
                <w:szCs w:val="20"/>
              </w:rPr>
              <w:t>nej energetickej spotreby z obnovite</w:t>
            </w:r>
            <w:r w:rsidRPr="0035027D">
              <w:rPr>
                <w:rFonts w:cs="Times New Roman"/>
                <w:sz w:val="20"/>
                <w:szCs w:val="20"/>
              </w:rPr>
              <w:t>ľ</w:t>
            </w:r>
            <w:r w:rsidRPr="0035027D">
              <w:rPr>
                <w:rFonts w:cs="Tahoma"/>
                <w:sz w:val="20"/>
                <w:szCs w:val="20"/>
              </w:rPr>
              <w:t>ných zdrojov energie a hrubej kone</w:t>
            </w:r>
            <w:r w:rsidRPr="0035027D">
              <w:rPr>
                <w:rFonts w:cs="Times New Roman"/>
                <w:sz w:val="20"/>
                <w:szCs w:val="20"/>
              </w:rPr>
              <w:t>č</w:t>
            </w:r>
            <w:r w:rsidRPr="0035027D">
              <w:rPr>
                <w:rFonts w:cs="Tahoma"/>
                <w:sz w:val="20"/>
                <w:szCs w:val="20"/>
              </w:rPr>
              <w:t>nej energetickej spotreby. Kone</w:t>
            </w:r>
            <w:r w:rsidRPr="0035027D">
              <w:rPr>
                <w:rFonts w:cs="Times New Roman"/>
                <w:sz w:val="20"/>
                <w:szCs w:val="20"/>
              </w:rPr>
              <w:t>č</w:t>
            </w:r>
            <w:r w:rsidRPr="0035027D">
              <w:rPr>
                <w:rFonts w:cs="Tahoma"/>
                <w:sz w:val="20"/>
                <w:szCs w:val="20"/>
              </w:rPr>
              <w:t>ná energetická spotreba z obnovite</w:t>
            </w:r>
            <w:r w:rsidRPr="0035027D">
              <w:rPr>
                <w:rFonts w:cs="Times New Roman"/>
                <w:sz w:val="20"/>
                <w:szCs w:val="20"/>
              </w:rPr>
              <w:t>ľ</w:t>
            </w:r>
            <w:r w:rsidRPr="0035027D">
              <w:rPr>
                <w:rFonts w:cs="Tahoma"/>
                <w:sz w:val="20"/>
                <w:szCs w:val="20"/>
              </w:rPr>
              <w:t>ných zdrojov sa vypo</w:t>
            </w:r>
            <w:r w:rsidRPr="0035027D">
              <w:rPr>
                <w:rFonts w:cs="Times New Roman"/>
                <w:sz w:val="20"/>
                <w:szCs w:val="20"/>
              </w:rPr>
              <w:t>č</w:t>
            </w:r>
            <w:r w:rsidRPr="0035027D">
              <w:rPr>
                <w:rFonts w:cs="Tahoma"/>
                <w:sz w:val="20"/>
                <w:szCs w:val="20"/>
              </w:rPr>
              <w:t>íta ako sú</w:t>
            </w:r>
            <w:r w:rsidRPr="0035027D">
              <w:rPr>
                <w:rFonts w:cs="Times New Roman"/>
                <w:sz w:val="20"/>
                <w:szCs w:val="20"/>
              </w:rPr>
              <w:t>č</w:t>
            </w:r>
            <w:r w:rsidRPr="0035027D">
              <w:rPr>
                <w:rFonts w:cs="Tahoma"/>
                <w:sz w:val="20"/>
                <w:szCs w:val="20"/>
              </w:rPr>
              <w:t>et hrubej kone</w:t>
            </w:r>
            <w:r w:rsidRPr="0035027D">
              <w:rPr>
                <w:rFonts w:cs="Times New Roman"/>
                <w:sz w:val="20"/>
                <w:szCs w:val="20"/>
              </w:rPr>
              <w:t>č</w:t>
            </w:r>
            <w:r w:rsidRPr="0035027D">
              <w:rPr>
                <w:rFonts w:cs="Tahoma"/>
                <w:sz w:val="20"/>
                <w:szCs w:val="20"/>
              </w:rPr>
              <w:t>nej spotreby elektriny z obnovite</w:t>
            </w:r>
            <w:r w:rsidRPr="0035027D">
              <w:rPr>
                <w:rFonts w:cs="Times New Roman"/>
                <w:sz w:val="20"/>
                <w:szCs w:val="20"/>
              </w:rPr>
              <w:t>ľ</w:t>
            </w:r>
            <w:r w:rsidRPr="0035027D">
              <w:rPr>
                <w:rFonts w:cs="Tahoma"/>
                <w:sz w:val="20"/>
                <w:szCs w:val="20"/>
              </w:rPr>
              <w:t>ných zdrojov energie, hrubej kone</w:t>
            </w:r>
            <w:r w:rsidRPr="0035027D">
              <w:rPr>
                <w:rFonts w:cs="Times New Roman"/>
                <w:sz w:val="20"/>
                <w:szCs w:val="20"/>
              </w:rPr>
              <w:t>č</w:t>
            </w:r>
            <w:r w:rsidRPr="0035027D">
              <w:rPr>
                <w:rFonts w:cs="Tahoma"/>
                <w:sz w:val="20"/>
                <w:szCs w:val="20"/>
              </w:rPr>
              <w:t>nej energetickej spotreby z obnovite</w:t>
            </w:r>
            <w:r w:rsidRPr="0035027D">
              <w:rPr>
                <w:rFonts w:cs="Times New Roman"/>
                <w:sz w:val="20"/>
                <w:szCs w:val="20"/>
              </w:rPr>
              <w:t>ľ</w:t>
            </w:r>
            <w:r w:rsidRPr="0035027D">
              <w:rPr>
                <w:rFonts w:cs="Tahoma"/>
                <w:sz w:val="20"/>
                <w:szCs w:val="20"/>
              </w:rPr>
              <w:t>ných zdrojov energie ur</w:t>
            </w:r>
            <w:r w:rsidRPr="0035027D">
              <w:rPr>
                <w:rFonts w:cs="Times New Roman"/>
                <w:sz w:val="20"/>
                <w:szCs w:val="20"/>
              </w:rPr>
              <w:t>č</w:t>
            </w:r>
            <w:r w:rsidRPr="0035027D">
              <w:rPr>
                <w:rFonts w:cs="Tahoma"/>
                <w:sz w:val="20"/>
                <w:szCs w:val="20"/>
              </w:rPr>
              <w:t>enej na výrobu tepla a chladu a kone</w:t>
            </w:r>
            <w:r w:rsidRPr="0035027D">
              <w:rPr>
                <w:rFonts w:cs="Times New Roman"/>
                <w:sz w:val="20"/>
                <w:szCs w:val="20"/>
              </w:rPr>
              <w:t>č</w:t>
            </w:r>
            <w:r w:rsidRPr="0035027D">
              <w:rPr>
                <w:rFonts w:cs="Tahoma"/>
                <w:sz w:val="20"/>
                <w:szCs w:val="20"/>
              </w:rPr>
              <w:t>nej energetickej spotreby z obnovite</w:t>
            </w:r>
            <w:r w:rsidRPr="0035027D">
              <w:rPr>
                <w:rFonts w:cs="Times New Roman"/>
                <w:sz w:val="20"/>
                <w:szCs w:val="20"/>
              </w:rPr>
              <w:t>ľ</w:t>
            </w:r>
            <w:r w:rsidRPr="0035027D">
              <w:rPr>
                <w:rFonts w:cs="Tahoma"/>
                <w:sz w:val="20"/>
                <w:szCs w:val="20"/>
              </w:rPr>
              <w:t xml:space="preserve">ných zdrojov energie v </w:t>
            </w:r>
            <w:proofErr w:type="spellStart"/>
            <w:r w:rsidRPr="0035027D">
              <w:rPr>
                <w:rFonts w:cs="Tahoma"/>
                <w:sz w:val="20"/>
                <w:szCs w:val="20"/>
              </w:rPr>
              <w:t>doprave.Zdroj</w:t>
            </w:r>
            <w:proofErr w:type="spellEnd"/>
            <w:r w:rsidRPr="0035027D">
              <w:rPr>
                <w:rFonts w:cs="Tahoma"/>
                <w:sz w:val="20"/>
                <w:szCs w:val="20"/>
              </w:rPr>
              <w:t>: Eurostat</w:t>
            </w:r>
          </w:p>
        </w:tc>
      </w:tr>
      <w:tr w:rsidR="00E75296" w:rsidRPr="0035027D" w:rsidTr="0037199A">
        <w:tc>
          <w:tcPr>
            <w:tcW w:w="1926" w:type="dxa"/>
            <w:tcMar>
              <w:top w:w="57" w:type="dxa"/>
              <w:bottom w:w="57" w:type="dxa"/>
            </w:tcMar>
          </w:tcPr>
          <w:p w:rsidR="00E75296" w:rsidRPr="0035027D" w:rsidRDefault="00E75296" w:rsidP="00822C60">
            <w:pPr>
              <w:spacing w:after="0"/>
              <w:jc w:val="left"/>
              <w:rPr>
                <w:b/>
                <w:bCs/>
                <w:sz w:val="20"/>
                <w:szCs w:val="20"/>
              </w:rPr>
            </w:pPr>
            <w:r w:rsidRPr="0035027D">
              <w:rPr>
                <w:b/>
                <w:bCs/>
                <w:sz w:val="20"/>
                <w:szCs w:val="20"/>
              </w:rPr>
              <w:t>Konečná energetická spotreba</w:t>
            </w:r>
          </w:p>
        </w:tc>
        <w:tc>
          <w:tcPr>
            <w:tcW w:w="8066" w:type="dxa"/>
            <w:tcMar>
              <w:top w:w="57" w:type="dxa"/>
              <w:bottom w:w="57" w:type="dxa"/>
            </w:tcMar>
          </w:tcPr>
          <w:p w:rsidR="00E75296" w:rsidRPr="0035027D" w:rsidRDefault="00E75296" w:rsidP="00822C60">
            <w:pPr>
              <w:autoSpaceDE w:val="0"/>
              <w:autoSpaceDN w:val="0"/>
              <w:adjustRightInd w:val="0"/>
              <w:spacing w:after="0"/>
              <w:rPr>
                <w:rFonts w:cs="Tahoma"/>
                <w:sz w:val="20"/>
                <w:szCs w:val="20"/>
              </w:rPr>
            </w:pPr>
            <w:r w:rsidRPr="0035027D">
              <w:rPr>
                <w:rFonts w:cs="Tahoma"/>
                <w:sz w:val="20"/>
                <w:szCs w:val="20"/>
              </w:rPr>
              <w:t>Kone</w:t>
            </w:r>
            <w:r w:rsidRPr="0035027D">
              <w:rPr>
                <w:rFonts w:cs="Times New Roman"/>
                <w:sz w:val="20"/>
                <w:szCs w:val="20"/>
              </w:rPr>
              <w:t>č</w:t>
            </w:r>
            <w:r w:rsidRPr="0035027D">
              <w:rPr>
                <w:rFonts w:cs="Tahoma"/>
                <w:sz w:val="20"/>
                <w:szCs w:val="20"/>
              </w:rPr>
              <w:t>ná energetická spotreba je rozdiel kone</w:t>
            </w:r>
            <w:r w:rsidRPr="0035027D">
              <w:rPr>
                <w:rFonts w:cs="Times New Roman"/>
                <w:sz w:val="20"/>
                <w:szCs w:val="20"/>
              </w:rPr>
              <w:t>č</w:t>
            </w:r>
            <w:r w:rsidRPr="0035027D">
              <w:rPr>
                <w:rFonts w:cs="Tahoma"/>
                <w:sz w:val="20"/>
                <w:szCs w:val="20"/>
              </w:rPr>
              <w:t>nej spotreby a kone</w:t>
            </w:r>
            <w:r w:rsidRPr="0035027D">
              <w:rPr>
                <w:rFonts w:cs="Times New Roman"/>
                <w:sz w:val="20"/>
                <w:szCs w:val="20"/>
              </w:rPr>
              <w:t>č</w:t>
            </w:r>
            <w:r w:rsidRPr="0035027D">
              <w:rPr>
                <w:rFonts w:cs="Tahoma"/>
                <w:sz w:val="20"/>
                <w:szCs w:val="20"/>
              </w:rPr>
              <w:t>nej neenergetickej spotreby. Kone</w:t>
            </w:r>
            <w:r w:rsidRPr="0035027D">
              <w:rPr>
                <w:rFonts w:cs="Times New Roman"/>
                <w:sz w:val="20"/>
                <w:szCs w:val="20"/>
              </w:rPr>
              <w:t>č</w:t>
            </w:r>
            <w:r w:rsidRPr="0035027D">
              <w:rPr>
                <w:rFonts w:cs="Tahoma"/>
                <w:sz w:val="20"/>
                <w:szCs w:val="20"/>
              </w:rPr>
              <w:t>ná neenergetická spotreba sú energetické produkty pou</w:t>
            </w:r>
            <w:r w:rsidRPr="0035027D">
              <w:rPr>
                <w:rFonts w:cs="Times New Roman"/>
                <w:sz w:val="20"/>
                <w:szCs w:val="20"/>
              </w:rPr>
              <w:t>ž</w:t>
            </w:r>
            <w:r w:rsidRPr="0035027D">
              <w:rPr>
                <w:rFonts w:cs="Tahoma"/>
                <w:sz w:val="20"/>
                <w:szCs w:val="20"/>
              </w:rPr>
              <w:t>ité ako surovina v rôznych odvetviach; tzn. nespotrebované ako palivo alebo netransformované na iné palivo. Kone</w:t>
            </w:r>
            <w:r w:rsidRPr="0035027D">
              <w:rPr>
                <w:rFonts w:cs="Times New Roman"/>
                <w:sz w:val="20"/>
                <w:szCs w:val="20"/>
              </w:rPr>
              <w:t>č</w:t>
            </w:r>
            <w:r w:rsidRPr="0035027D">
              <w:rPr>
                <w:rFonts w:cs="Tahoma"/>
                <w:sz w:val="20"/>
                <w:szCs w:val="20"/>
              </w:rPr>
              <w:t>ná spotreba sa vypo</w:t>
            </w:r>
            <w:r w:rsidRPr="0035027D">
              <w:rPr>
                <w:rFonts w:cs="Times New Roman"/>
                <w:sz w:val="20"/>
                <w:szCs w:val="20"/>
              </w:rPr>
              <w:t>č</w:t>
            </w:r>
            <w:r w:rsidRPr="0035027D">
              <w:rPr>
                <w:rFonts w:cs="Tahoma"/>
                <w:sz w:val="20"/>
                <w:szCs w:val="20"/>
              </w:rPr>
              <w:t xml:space="preserve">íta ako hrubá domáca spotreba – transformácia (vstup) + transformácia (výstup) + </w:t>
            </w:r>
            <w:proofErr w:type="spellStart"/>
            <w:r w:rsidRPr="0035027D">
              <w:rPr>
                <w:rFonts w:cs="Tahoma"/>
                <w:sz w:val="20"/>
                <w:szCs w:val="20"/>
              </w:rPr>
              <w:t>reklasifikácia</w:t>
            </w:r>
            <w:proofErr w:type="spellEnd"/>
            <w:r w:rsidRPr="0035027D">
              <w:rPr>
                <w:rFonts w:cs="Tahoma"/>
                <w:sz w:val="20"/>
                <w:szCs w:val="20"/>
              </w:rPr>
              <w:t xml:space="preserve"> a spätné toky – spotreba energetického odvetvia – straty pri prenose a v rozvodoch. </w:t>
            </w:r>
          </w:p>
          <w:p w:rsidR="00E75296" w:rsidRPr="0035027D" w:rsidRDefault="00E75296" w:rsidP="00822C60">
            <w:pPr>
              <w:autoSpaceDE w:val="0"/>
              <w:autoSpaceDN w:val="0"/>
              <w:adjustRightInd w:val="0"/>
              <w:spacing w:after="0"/>
              <w:rPr>
                <w:rFonts w:cs="Tahoma"/>
                <w:sz w:val="20"/>
                <w:szCs w:val="20"/>
              </w:rPr>
            </w:pPr>
            <w:r w:rsidRPr="0035027D">
              <w:rPr>
                <w:rFonts w:cs="Tahoma"/>
                <w:sz w:val="20"/>
                <w:szCs w:val="20"/>
              </w:rPr>
              <w:t xml:space="preserve"> Zdroj: vlastný výpo</w:t>
            </w:r>
            <w:r w:rsidRPr="0035027D">
              <w:rPr>
                <w:rFonts w:cs="Times New Roman"/>
                <w:sz w:val="20"/>
                <w:szCs w:val="20"/>
              </w:rPr>
              <w:t>č</w:t>
            </w:r>
            <w:r w:rsidRPr="0035027D">
              <w:rPr>
                <w:rFonts w:cs="Tahoma"/>
                <w:sz w:val="20"/>
                <w:szCs w:val="20"/>
              </w:rPr>
              <w:t>et MF SR zo zdrojov ŠÚ SR</w:t>
            </w:r>
          </w:p>
        </w:tc>
      </w:tr>
      <w:tr w:rsidR="00E75296" w:rsidRPr="0035027D" w:rsidTr="0037199A">
        <w:tc>
          <w:tcPr>
            <w:tcW w:w="1926" w:type="dxa"/>
            <w:tcMar>
              <w:top w:w="57" w:type="dxa"/>
              <w:bottom w:w="57" w:type="dxa"/>
            </w:tcMar>
          </w:tcPr>
          <w:p w:rsidR="00E75296" w:rsidRPr="0035027D" w:rsidRDefault="00E75296" w:rsidP="00822C60">
            <w:pPr>
              <w:spacing w:after="0"/>
              <w:jc w:val="left"/>
              <w:rPr>
                <w:b/>
                <w:bCs/>
                <w:sz w:val="20"/>
                <w:szCs w:val="20"/>
              </w:rPr>
            </w:pPr>
            <w:r w:rsidRPr="0035027D">
              <w:rPr>
                <w:b/>
                <w:bCs/>
                <w:sz w:val="20"/>
                <w:szCs w:val="20"/>
              </w:rPr>
              <w:t xml:space="preserve">Predčasné ukončenie školskej dochádzky </w:t>
            </w:r>
          </w:p>
        </w:tc>
        <w:tc>
          <w:tcPr>
            <w:tcW w:w="8066" w:type="dxa"/>
            <w:tcMar>
              <w:top w:w="57" w:type="dxa"/>
              <w:bottom w:w="57" w:type="dxa"/>
            </w:tcMar>
          </w:tcPr>
          <w:p w:rsidR="00E75296" w:rsidRPr="0035027D" w:rsidRDefault="00E75296" w:rsidP="00822C60">
            <w:pPr>
              <w:autoSpaceDE w:val="0"/>
              <w:autoSpaceDN w:val="0"/>
              <w:adjustRightInd w:val="0"/>
              <w:spacing w:after="0"/>
              <w:rPr>
                <w:rFonts w:cs="Tahoma"/>
                <w:sz w:val="20"/>
                <w:szCs w:val="20"/>
              </w:rPr>
            </w:pPr>
            <w:r w:rsidRPr="0035027D">
              <w:rPr>
                <w:rFonts w:cs="Tahoma"/>
                <w:sz w:val="20"/>
                <w:szCs w:val="20"/>
              </w:rPr>
              <w:t>Podiel populácie vo veku 18-24 rokov s najni</w:t>
            </w:r>
            <w:r w:rsidRPr="0035027D">
              <w:rPr>
                <w:rFonts w:cs="Times New Roman"/>
                <w:sz w:val="20"/>
                <w:szCs w:val="20"/>
              </w:rPr>
              <w:t>ž</w:t>
            </w:r>
            <w:r w:rsidRPr="0035027D">
              <w:rPr>
                <w:rFonts w:cs="Tahoma"/>
                <w:sz w:val="20"/>
                <w:szCs w:val="20"/>
              </w:rPr>
              <w:t>ším vzdelaním (ISCED 0, 1, 2, 3C), ktorá nepokra</w:t>
            </w:r>
            <w:r w:rsidRPr="0035027D">
              <w:rPr>
                <w:rFonts w:cs="Times New Roman"/>
                <w:sz w:val="20"/>
                <w:szCs w:val="20"/>
              </w:rPr>
              <w:t>č</w:t>
            </w:r>
            <w:r w:rsidRPr="0035027D">
              <w:rPr>
                <w:rFonts w:cs="Tahoma"/>
                <w:sz w:val="20"/>
                <w:szCs w:val="20"/>
              </w:rPr>
              <w:t xml:space="preserve">uje v </w:t>
            </w:r>
            <w:r w:rsidRPr="0035027D">
              <w:rPr>
                <w:rFonts w:cs="Times New Roman"/>
                <w:sz w:val="20"/>
                <w:szCs w:val="20"/>
              </w:rPr>
              <w:t>ď</w:t>
            </w:r>
            <w:r w:rsidRPr="0035027D">
              <w:rPr>
                <w:rFonts w:cs="Tahoma"/>
                <w:sz w:val="20"/>
                <w:szCs w:val="20"/>
              </w:rPr>
              <w:t xml:space="preserve">alšom vzdelávaní. </w:t>
            </w:r>
            <w:r w:rsidRPr="0035027D">
              <w:rPr>
                <w:rFonts w:cs="Times New Roman"/>
                <w:sz w:val="20"/>
                <w:szCs w:val="20"/>
              </w:rPr>
              <w:t>Ž</w:t>
            </w:r>
            <w:r w:rsidRPr="0035027D">
              <w:rPr>
                <w:rFonts w:cs="Tahoma"/>
                <w:sz w:val="20"/>
                <w:szCs w:val="20"/>
              </w:rPr>
              <w:t>iak nepokra</w:t>
            </w:r>
            <w:r w:rsidRPr="0035027D">
              <w:rPr>
                <w:rFonts w:cs="Times New Roman"/>
                <w:sz w:val="20"/>
                <w:szCs w:val="20"/>
              </w:rPr>
              <w:t>č</w:t>
            </w:r>
            <w:r w:rsidRPr="0035027D">
              <w:rPr>
                <w:rFonts w:cs="Tahoma"/>
                <w:sz w:val="20"/>
                <w:szCs w:val="20"/>
              </w:rPr>
              <w:t>uje vo vzdelávaní, ak sa po</w:t>
            </w:r>
            <w:r w:rsidRPr="0035027D">
              <w:rPr>
                <w:rFonts w:cs="Times New Roman"/>
                <w:sz w:val="20"/>
                <w:szCs w:val="20"/>
              </w:rPr>
              <w:t>č</w:t>
            </w:r>
            <w:r w:rsidRPr="0035027D">
              <w:rPr>
                <w:rFonts w:cs="Tahoma"/>
                <w:sz w:val="20"/>
                <w:szCs w:val="20"/>
              </w:rPr>
              <w:t>as posledných štyroch tý</w:t>
            </w:r>
            <w:r w:rsidRPr="0035027D">
              <w:rPr>
                <w:rFonts w:cs="Times New Roman"/>
                <w:sz w:val="20"/>
                <w:szCs w:val="20"/>
              </w:rPr>
              <w:t>ž</w:t>
            </w:r>
            <w:r w:rsidRPr="0035027D">
              <w:rPr>
                <w:rFonts w:cs="Tahoma"/>
                <w:sz w:val="20"/>
                <w:szCs w:val="20"/>
              </w:rPr>
              <w:t>d</w:t>
            </w:r>
            <w:r w:rsidRPr="0035027D">
              <w:rPr>
                <w:rFonts w:cs="Times New Roman"/>
                <w:sz w:val="20"/>
                <w:szCs w:val="20"/>
              </w:rPr>
              <w:t>ň</w:t>
            </w:r>
            <w:r w:rsidRPr="0035027D">
              <w:rPr>
                <w:rFonts w:cs="Tahoma"/>
                <w:sz w:val="20"/>
                <w:szCs w:val="20"/>
              </w:rPr>
              <w:t>ov pred uskuto</w:t>
            </w:r>
            <w:r w:rsidRPr="0035027D">
              <w:rPr>
                <w:rFonts w:cs="Times New Roman"/>
                <w:sz w:val="20"/>
                <w:szCs w:val="20"/>
              </w:rPr>
              <w:t>č</w:t>
            </w:r>
            <w:r w:rsidRPr="0035027D">
              <w:rPr>
                <w:rFonts w:cs="Tahoma"/>
                <w:sz w:val="20"/>
                <w:szCs w:val="20"/>
              </w:rPr>
              <w:t>nením prieskumu nezú</w:t>
            </w:r>
            <w:r w:rsidRPr="0035027D">
              <w:rPr>
                <w:rFonts w:cs="Times New Roman"/>
                <w:sz w:val="20"/>
                <w:szCs w:val="20"/>
              </w:rPr>
              <w:t>č</w:t>
            </w:r>
            <w:r w:rsidRPr="0035027D">
              <w:rPr>
                <w:rFonts w:cs="Tahoma"/>
                <w:sz w:val="20"/>
                <w:szCs w:val="20"/>
              </w:rPr>
              <w:t xml:space="preserve">astnil </w:t>
            </w:r>
            <w:r w:rsidRPr="0035027D">
              <w:rPr>
                <w:rFonts w:cs="Times New Roman"/>
                <w:sz w:val="20"/>
                <w:szCs w:val="20"/>
              </w:rPr>
              <w:t>ž</w:t>
            </w:r>
            <w:r w:rsidRPr="0035027D">
              <w:rPr>
                <w:rFonts w:cs="Tahoma"/>
                <w:sz w:val="20"/>
                <w:szCs w:val="20"/>
              </w:rPr>
              <w:t>iadneho typu vzdelávania, pri</w:t>
            </w:r>
            <w:r w:rsidRPr="0035027D">
              <w:rPr>
                <w:rFonts w:cs="Times New Roman"/>
                <w:sz w:val="20"/>
                <w:szCs w:val="20"/>
              </w:rPr>
              <w:t>č</w:t>
            </w:r>
            <w:r w:rsidRPr="0035027D">
              <w:rPr>
                <w:rFonts w:cs="Tahoma"/>
                <w:sz w:val="20"/>
                <w:szCs w:val="20"/>
              </w:rPr>
              <w:t>om sa nezoh</w:t>
            </w:r>
            <w:r w:rsidRPr="0035027D">
              <w:rPr>
                <w:rFonts w:cs="Times New Roman"/>
                <w:sz w:val="20"/>
                <w:szCs w:val="20"/>
              </w:rPr>
              <w:t>ľ</w:t>
            </w:r>
            <w:r w:rsidRPr="0035027D">
              <w:rPr>
                <w:rFonts w:cs="Tahoma"/>
                <w:sz w:val="20"/>
                <w:szCs w:val="20"/>
              </w:rPr>
              <w:t>ad</w:t>
            </w:r>
            <w:r w:rsidRPr="0035027D">
              <w:rPr>
                <w:rFonts w:cs="Times New Roman"/>
                <w:sz w:val="20"/>
                <w:szCs w:val="20"/>
              </w:rPr>
              <w:t>ň</w:t>
            </w:r>
            <w:r w:rsidRPr="0035027D">
              <w:rPr>
                <w:rFonts w:cs="Tahoma"/>
                <w:sz w:val="20"/>
                <w:szCs w:val="20"/>
              </w:rPr>
              <w:t>uje relevantnos</w:t>
            </w:r>
            <w:r w:rsidRPr="0035027D">
              <w:rPr>
                <w:rFonts w:cs="Times New Roman"/>
                <w:sz w:val="20"/>
                <w:szCs w:val="20"/>
              </w:rPr>
              <w:t>ť</w:t>
            </w:r>
            <w:r w:rsidRPr="0035027D">
              <w:rPr>
                <w:rFonts w:cs="Tahoma"/>
                <w:sz w:val="20"/>
                <w:szCs w:val="20"/>
              </w:rPr>
              <w:t xml:space="preserve"> vzdelávania pre sú</w:t>
            </w:r>
            <w:r w:rsidRPr="0035027D">
              <w:rPr>
                <w:rFonts w:cs="Times New Roman"/>
                <w:sz w:val="20"/>
                <w:szCs w:val="20"/>
              </w:rPr>
              <w:t>č</w:t>
            </w:r>
            <w:r w:rsidRPr="0035027D">
              <w:rPr>
                <w:rFonts w:cs="Tahoma"/>
                <w:sz w:val="20"/>
                <w:szCs w:val="20"/>
              </w:rPr>
              <w:t>asnú alebo budúcu prácu respondenta.</w:t>
            </w:r>
          </w:p>
          <w:p w:rsidR="00E75296" w:rsidRPr="0035027D" w:rsidRDefault="00E75296" w:rsidP="00822C60">
            <w:pPr>
              <w:autoSpaceDE w:val="0"/>
              <w:autoSpaceDN w:val="0"/>
              <w:adjustRightInd w:val="0"/>
              <w:spacing w:after="0"/>
              <w:rPr>
                <w:rFonts w:cs="Tahoma"/>
                <w:sz w:val="20"/>
                <w:szCs w:val="20"/>
              </w:rPr>
            </w:pPr>
            <w:r w:rsidRPr="0035027D">
              <w:rPr>
                <w:rFonts w:cs="Tahoma"/>
                <w:sz w:val="20"/>
                <w:szCs w:val="20"/>
              </w:rPr>
              <w:t>Zdroj: Eurostat</w:t>
            </w:r>
          </w:p>
        </w:tc>
      </w:tr>
      <w:tr w:rsidR="00E75296" w:rsidRPr="0035027D" w:rsidTr="0037199A">
        <w:tc>
          <w:tcPr>
            <w:tcW w:w="1926" w:type="dxa"/>
            <w:tcMar>
              <w:top w:w="57" w:type="dxa"/>
              <w:bottom w:w="57" w:type="dxa"/>
            </w:tcMar>
          </w:tcPr>
          <w:p w:rsidR="00E75296" w:rsidRPr="0035027D" w:rsidRDefault="00E75296" w:rsidP="00822C60">
            <w:pPr>
              <w:spacing w:after="0"/>
              <w:rPr>
                <w:rFonts w:cs="Tahoma"/>
                <w:b/>
                <w:sz w:val="20"/>
                <w:szCs w:val="20"/>
              </w:rPr>
            </w:pPr>
            <w:r w:rsidRPr="0035027D">
              <w:rPr>
                <w:rFonts w:cs="Tahoma"/>
                <w:b/>
                <w:sz w:val="20"/>
                <w:szCs w:val="20"/>
              </w:rPr>
              <w:t>PISA</w:t>
            </w:r>
          </w:p>
        </w:tc>
        <w:tc>
          <w:tcPr>
            <w:tcW w:w="8066" w:type="dxa"/>
            <w:tcMar>
              <w:top w:w="57" w:type="dxa"/>
              <w:bottom w:w="57" w:type="dxa"/>
            </w:tcMar>
          </w:tcPr>
          <w:p w:rsidR="00E75296" w:rsidRPr="0035027D" w:rsidRDefault="00E75296" w:rsidP="00822C60">
            <w:pPr>
              <w:spacing w:after="0"/>
              <w:rPr>
                <w:rFonts w:cs="Tahoma"/>
                <w:sz w:val="20"/>
                <w:szCs w:val="20"/>
              </w:rPr>
            </w:pPr>
            <w:r w:rsidRPr="0035027D">
              <w:rPr>
                <w:rFonts w:cs="Tahoma"/>
                <w:sz w:val="20"/>
                <w:szCs w:val="20"/>
              </w:rPr>
              <w:t>Medzinárodné štandardizované hodnotenie vedomostí a zru</w:t>
            </w:r>
            <w:r w:rsidRPr="0035027D">
              <w:rPr>
                <w:rFonts w:cs="Times New Roman"/>
                <w:sz w:val="20"/>
                <w:szCs w:val="20"/>
              </w:rPr>
              <w:t>č</w:t>
            </w:r>
            <w:r w:rsidRPr="0035027D">
              <w:rPr>
                <w:rFonts w:cs="Tahoma"/>
                <w:sz w:val="20"/>
                <w:szCs w:val="20"/>
              </w:rPr>
              <w:t>ností pätnás</w:t>
            </w:r>
            <w:r w:rsidRPr="0035027D">
              <w:rPr>
                <w:rFonts w:cs="Times New Roman"/>
                <w:sz w:val="20"/>
                <w:szCs w:val="20"/>
              </w:rPr>
              <w:t>ť</w:t>
            </w:r>
            <w:r w:rsidRPr="0035027D">
              <w:rPr>
                <w:rFonts w:cs="Tahoma"/>
                <w:sz w:val="20"/>
                <w:szCs w:val="20"/>
              </w:rPr>
              <w:t>ro</w:t>
            </w:r>
            <w:r w:rsidRPr="0035027D">
              <w:rPr>
                <w:rFonts w:cs="Times New Roman"/>
                <w:sz w:val="20"/>
                <w:szCs w:val="20"/>
              </w:rPr>
              <w:t>č</w:t>
            </w:r>
            <w:r w:rsidRPr="0035027D">
              <w:rPr>
                <w:rFonts w:cs="Tahoma"/>
                <w:sz w:val="20"/>
                <w:szCs w:val="20"/>
              </w:rPr>
              <w:t xml:space="preserve">ných </w:t>
            </w:r>
            <w:r w:rsidRPr="0035027D">
              <w:rPr>
                <w:rFonts w:cs="Times New Roman"/>
                <w:sz w:val="20"/>
                <w:szCs w:val="20"/>
              </w:rPr>
              <w:t>ž</w:t>
            </w:r>
            <w:r w:rsidRPr="0035027D">
              <w:rPr>
                <w:rFonts w:cs="Tahoma"/>
                <w:sz w:val="20"/>
                <w:szCs w:val="20"/>
              </w:rPr>
              <w:t xml:space="preserve">iakov. Hodnotí </w:t>
            </w:r>
            <w:r w:rsidRPr="0035027D">
              <w:rPr>
                <w:rFonts w:cs="Times New Roman"/>
                <w:sz w:val="20"/>
                <w:szCs w:val="20"/>
              </w:rPr>
              <w:t>ž</w:t>
            </w:r>
            <w:r w:rsidRPr="0035027D">
              <w:rPr>
                <w:rFonts w:cs="Tahoma"/>
                <w:sz w:val="20"/>
                <w:szCs w:val="20"/>
              </w:rPr>
              <w:t xml:space="preserve">iakov v troch oblastiach: v matematike, </w:t>
            </w:r>
            <w:r w:rsidRPr="0035027D">
              <w:rPr>
                <w:rFonts w:cs="Times New Roman"/>
                <w:sz w:val="20"/>
                <w:szCs w:val="20"/>
              </w:rPr>
              <w:t>č</w:t>
            </w:r>
            <w:r w:rsidRPr="0035027D">
              <w:rPr>
                <w:rFonts w:cs="Tahoma"/>
                <w:sz w:val="20"/>
                <w:szCs w:val="20"/>
              </w:rPr>
              <w:t>ítaní a prírodných vedách. Index je aritmetickým priemerom hodnotení v jednotlivých oblastiach.</w:t>
            </w:r>
          </w:p>
          <w:p w:rsidR="00E75296" w:rsidRPr="0035027D" w:rsidRDefault="00E75296" w:rsidP="00822C60">
            <w:pPr>
              <w:spacing w:after="0"/>
              <w:rPr>
                <w:rFonts w:cs="Tahoma"/>
                <w:sz w:val="20"/>
                <w:szCs w:val="20"/>
              </w:rPr>
            </w:pPr>
            <w:r w:rsidRPr="0035027D">
              <w:rPr>
                <w:rFonts w:cs="Tahoma"/>
                <w:sz w:val="20"/>
                <w:szCs w:val="20"/>
              </w:rPr>
              <w:t>Zdroj: OECD</w:t>
            </w:r>
          </w:p>
        </w:tc>
      </w:tr>
      <w:tr w:rsidR="00E75296" w:rsidRPr="0035027D" w:rsidTr="0037199A">
        <w:tc>
          <w:tcPr>
            <w:tcW w:w="1926" w:type="dxa"/>
            <w:tcMar>
              <w:top w:w="57" w:type="dxa"/>
              <w:bottom w:w="57" w:type="dxa"/>
            </w:tcMar>
          </w:tcPr>
          <w:p w:rsidR="00E75296" w:rsidRPr="0035027D" w:rsidRDefault="00E75296" w:rsidP="00822C60">
            <w:pPr>
              <w:spacing w:after="0"/>
              <w:jc w:val="left"/>
              <w:rPr>
                <w:b/>
                <w:bCs/>
                <w:sz w:val="20"/>
                <w:szCs w:val="20"/>
              </w:rPr>
            </w:pPr>
            <w:r w:rsidRPr="0035027D">
              <w:rPr>
                <w:b/>
                <w:bCs/>
                <w:sz w:val="20"/>
                <w:szCs w:val="20"/>
              </w:rPr>
              <w:t>Miera vysokoškolsky vzdelanej populácie</w:t>
            </w:r>
          </w:p>
        </w:tc>
        <w:tc>
          <w:tcPr>
            <w:tcW w:w="8066" w:type="dxa"/>
            <w:tcMar>
              <w:top w:w="57" w:type="dxa"/>
              <w:bottom w:w="57" w:type="dxa"/>
            </w:tcMar>
          </w:tcPr>
          <w:p w:rsidR="00E75296" w:rsidRPr="0035027D" w:rsidRDefault="00E75296" w:rsidP="00822C60">
            <w:pPr>
              <w:autoSpaceDE w:val="0"/>
              <w:autoSpaceDN w:val="0"/>
              <w:adjustRightInd w:val="0"/>
              <w:spacing w:after="0"/>
              <w:rPr>
                <w:rFonts w:cs="Tahoma"/>
                <w:sz w:val="20"/>
                <w:szCs w:val="20"/>
              </w:rPr>
            </w:pPr>
            <w:r w:rsidRPr="0035027D">
              <w:rPr>
                <w:rFonts w:cs="Tahoma"/>
                <w:sz w:val="20"/>
                <w:szCs w:val="20"/>
              </w:rPr>
              <w:t>Podiel absolventov vysokoškolského štúdia vo veku 30-34 rokov pripadajúci na celkový po</w:t>
            </w:r>
            <w:r w:rsidRPr="0035027D">
              <w:rPr>
                <w:rFonts w:cs="Times New Roman"/>
                <w:sz w:val="20"/>
                <w:szCs w:val="20"/>
              </w:rPr>
              <w:t>č</w:t>
            </w:r>
            <w:r w:rsidRPr="0035027D">
              <w:rPr>
                <w:rFonts w:cs="Tahoma"/>
                <w:sz w:val="20"/>
                <w:szCs w:val="20"/>
              </w:rPr>
              <w:t>et obyvate</w:t>
            </w:r>
            <w:r w:rsidRPr="0035027D">
              <w:rPr>
                <w:rFonts w:cs="Times New Roman"/>
                <w:sz w:val="20"/>
                <w:szCs w:val="20"/>
              </w:rPr>
              <w:t>ľ</w:t>
            </w:r>
            <w:r w:rsidRPr="0035027D">
              <w:rPr>
                <w:rFonts w:cs="Tahoma"/>
                <w:sz w:val="20"/>
                <w:szCs w:val="20"/>
              </w:rPr>
              <w:t>ov rovnakej vekovej skupiny. Stupe</w:t>
            </w:r>
            <w:r w:rsidRPr="0035027D">
              <w:rPr>
                <w:rFonts w:cs="Times New Roman"/>
                <w:sz w:val="20"/>
                <w:szCs w:val="20"/>
              </w:rPr>
              <w:t>ň</w:t>
            </w:r>
            <w:r w:rsidRPr="0035027D">
              <w:rPr>
                <w:rFonts w:cs="Tahoma"/>
                <w:sz w:val="20"/>
                <w:szCs w:val="20"/>
              </w:rPr>
              <w:t xml:space="preserve"> vysokoškolského alebo doktorandského štúdia zodpovedá úrovni ISCED 5-6.</w:t>
            </w:r>
          </w:p>
          <w:p w:rsidR="00E75296" w:rsidRPr="0035027D" w:rsidRDefault="00E75296" w:rsidP="00822C60">
            <w:pPr>
              <w:autoSpaceDE w:val="0"/>
              <w:autoSpaceDN w:val="0"/>
              <w:adjustRightInd w:val="0"/>
              <w:spacing w:after="0"/>
              <w:rPr>
                <w:rFonts w:cs="Tahoma"/>
                <w:sz w:val="20"/>
                <w:szCs w:val="20"/>
              </w:rPr>
            </w:pPr>
            <w:r w:rsidRPr="0035027D">
              <w:rPr>
                <w:rFonts w:cs="Tahoma"/>
                <w:sz w:val="20"/>
                <w:szCs w:val="20"/>
              </w:rPr>
              <w:t>Zdroj: Eurostat</w:t>
            </w:r>
          </w:p>
        </w:tc>
      </w:tr>
      <w:tr w:rsidR="00E75296" w:rsidRPr="0035027D" w:rsidTr="0037199A">
        <w:tc>
          <w:tcPr>
            <w:tcW w:w="1926" w:type="dxa"/>
            <w:tcMar>
              <w:top w:w="57" w:type="dxa"/>
              <w:bottom w:w="57" w:type="dxa"/>
            </w:tcMar>
          </w:tcPr>
          <w:p w:rsidR="00E75296" w:rsidRPr="0035027D" w:rsidRDefault="00E75296" w:rsidP="00822C60">
            <w:pPr>
              <w:spacing w:after="0"/>
              <w:jc w:val="left"/>
              <w:rPr>
                <w:rFonts w:cs="Tahoma"/>
                <w:b/>
                <w:sz w:val="20"/>
                <w:szCs w:val="20"/>
              </w:rPr>
            </w:pPr>
            <w:r w:rsidRPr="0035027D">
              <w:rPr>
                <w:rFonts w:cs="Tahoma"/>
                <w:b/>
                <w:bCs/>
                <w:sz w:val="20"/>
                <w:szCs w:val="20"/>
              </w:rPr>
              <w:t xml:space="preserve">Citácie na </w:t>
            </w:r>
            <w:r w:rsidRPr="0035027D">
              <w:rPr>
                <w:rFonts w:cs="Tahoma"/>
                <w:b/>
                <w:bCs/>
                <w:sz w:val="20"/>
                <w:szCs w:val="20"/>
              </w:rPr>
              <w:lastRenderedPageBreak/>
              <w:t>výskumníka</w:t>
            </w:r>
          </w:p>
        </w:tc>
        <w:tc>
          <w:tcPr>
            <w:tcW w:w="8066" w:type="dxa"/>
            <w:tcMar>
              <w:top w:w="57" w:type="dxa"/>
              <w:bottom w:w="57" w:type="dxa"/>
            </w:tcMar>
          </w:tcPr>
          <w:p w:rsidR="00E75296" w:rsidRPr="0035027D" w:rsidRDefault="00E75296" w:rsidP="00822C60">
            <w:pPr>
              <w:spacing w:after="0"/>
              <w:rPr>
                <w:rFonts w:cs="Tahoma"/>
                <w:sz w:val="20"/>
                <w:szCs w:val="20"/>
              </w:rPr>
            </w:pPr>
            <w:r w:rsidRPr="0035027D">
              <w:rPr>
                <w:rFonts w:cs="Tahoma"/>
                <w:sz w:val="20"/>
                <w:szCs w:val="20"/>
              </w:rPr>
              <w:lastRenderedPageBreak/>
              <w:t>Podiel po</w:t>
            </w:r>
            <w:r w:rsidRPr="0035027D">
              <w:rPr>
                <w:rFonts w:cs="Times New Roman"/>
                <w:sz w:val="20"/>
                <w:szCs w:val="20"/>
              </w:rPr>
              <w:t>č</w:t>
            </w:r>
            <w:r w:rsidRPr="0035027D">
              <w:rPr>
                <w:rFonts w:cs="Tahoma"/>
                <w:sz w:val="20"/>
                <w:szCs w:val="20"/>
              </w:rPr>
              <w:t xml:space="preserve">tu citácií v renomovaných medzinárodných </w:t>
            </w:r>
            <w:r w:rsidRPr="0035027D">
              <w:rPr>
                <w:rFonts w:cs="Times New Roman"/>
                <w:sz w:val="20"/>
                <w:szCs w:val="20"/>
              </w:rPr>
              <w:t>č</w:t>
            </w:r>
            <w:r w:rsidRPr="0035027D">
              <w:rPr>
                <w:rFonts w:cs="Tahoma"/>
                <w:sz w:val="20"/>
                <w:szCs w:val="20"/>
              </w:rPr>
              <w:t>asopisoch (</w:t>
            </w:r>
            <w:proofErr w:type="spellStart"/>
            <w:r w:rsidRPr="0035027D">
              <w:rPr>
                <w:rFonts w:cs="Tahoma"/>
                <w:sz w:val="20"/>
                <w:szCs w:val="20"/>
              </w:rPr>
              <w:t>SCImago</w:t>
            </w:r>
            <w:proofErr w:type="spellEnd"/>
            <w:r w:rsidRPr="0035027D">
              <w:rPr>
                <w:rFonts w:cs="Tahoma"/>
                <w:sz w:val="20"/>
                <w:szCs w:val="20"/>
              </w:rPr>
              <w:t xml:space="preserve"> </w:t>
            </w:r>
            <w:proofErr w:type="spellStart"/>
            <w:r w:rsidRPr="0035027D">
              <w:rPr>
                <w:rFonts w:cs="Tahoma"/>
                <w:sz w:val="20"/>
                <w:szCs w:val="20"/>
              </w:rPr>
              <w:t>Journal</w:t>
            </w:r>
            <w:proofErr w:type="spellEnd"/>
            <w:r w:rsidRPr="0035027D">
              <w:rPr>
                <w:rFonts w:cs="Tahoma"/>
                <w:sz w:val="20"/>
                <w:szCs w:val="20"/>
              </w:rPr>
              <w:t xml:space="preserve"> &amp; Country </w:t>
            </w:r>
            <w:proofErr w:type="spellStart"/>
            <w:r w:rsidRPr="0035027D">
              <w:rPr>
                <w:rFonts w:cs="Tahoma"/>
                <w:sz w:val="20"/>
                <w:szCs w:val="20"/>
              </w:rPr>
              <w:t>Rank</w:t>
            </w:r>
            <w:proofErr w:type="spellEnd"/>
            <w:r w:rsidRPr="0035027D">
              <w:rPr>
                <w:rFonts w:cs="Tahoma"/>
                <w:sz w:val="20"/>
                <w:szCs w:val="20"/>
              </w:rPr>
              <w:t xml:space="preserve">) na </w:t>
            </w:r>
            <w:r w:rsidRPr="0035027D">
              <w:rPr>
                <w:rFonts w:cs="Tahoma"/>
                <w:sz w:val="20"/>
                <w:szCs w:val="20"/>
              </w:rPr>
              <w:lastRenderedPageBreak/>
              <w:t>po</w:t>
            </w:r>
            <w:r w:rsidRPr="0035027D">
              <w:rPr>
                <w:rFonts w:cs="Times New Roman"/>
                <w:sz w:val="20"/>
                <w:szCs w:val="20"/>
              </w:rPr>
              <w:t>č</w:t>
            </w:r>
            <w:r w:rsidRPr="0035027D">
              <w:rPr>
                <w:rFonts w:cs="Tahoma"/>
                <w:sz w:val="20"/>
                <w:szCs w:val="20"/>
              </w:rPr>
              <w:t>et výskumníkov v krajine (Eurostat). Ukazovate</w:t>
            </w:r>
            <w:r w:rsidRPr="0035027D">
              <w:rPr>
                <w:rFonts w:cs="Times New Roman"/>
                <w:sz w:val="20"/>
                <w:szCs w:val="20"/>
              </w:rPr>
              <w:t>ľ</w:t>
            </w:r>
            <w:r w:rsidRPr="0035027D">
              <w:rPr>
                <w:rFonts w:cs="Tahoma"/>
                <w:sz w:val="20"/>
                <w:szCs w:val="20"/>
              </w:rPr>
              <w:t xml:space="preserve"> je vyjadrený relatívne k priemernej hodnote krajín Európskej únie.</w:t>
            </w:r>
          </w:p>
          <w:p w:rsidR="00E75296" w:rsidRPr="0035027D" w:rsidRDefault="00E75296" w:rsidP="00822C60">
            <w:pPr>
              <w:spacing w:after="0"/>
              <w:rPr>
                <w:rFonts w:cs="Tahoma"/>
                <w:sz w:val="20"/>
                <w:szCs w:val="20"/>
              </w:rPr>
            </w:pPr>
            <w:r w:rsidRPr="0035027D">
              <w:rPr>
                <w:rFonts w:cs="Tahoma"/>
                <w:sz w:val="20"/>
                <w:szCs w:val="20"/>
              </w:rPr>
              <w:t>Zdroj:</w:t>
            </w:r>
            <w:r w:rsidR="0037199A" w:rsidRPr="0035027D">
              <w:rPr>
                <w:rFonts w:cs="Tahoma"/>
                <w:sz w:val="20"/>
                <w:szCs w:val="20"/>
              </w:rPr>
              <w:t xml:space="preserve"> </w:t>
            </w:r>
            <w:r w:rsidRPr="0035027D">
              <w:rPr>
                <w:rFonts w:cs="Tahoma"/>
                <w:sz w:val="20"/>
                <w:szCs w:val="20"/>
              </w:rPr>
              <w:t>http://www.scimagojr.com/, Eurostat, výpo</w:t>
            </w:r>
            <w:r w:rsidRPr="0035027D">
              <w:rPr>
                <w:rFonts w:cs="Times New Roman"/>
                <w:sz w:val="20"/>
                <w:szCs w:val="20"/>
              </w:rPr>
              <w:t>č</w:t>
            </w:r>
            <w:r w:rsidRPr="0035027D">
              <w:rPr>
                <w:rFonts w:cs="Tahoma"/>
                <w:sz w:val="20"/>
                <w:szCs w:val="20"/>
              </w:rPr>
              <w:t xml:space="preserve">ty MF SR </w:t>
            </w:r>
          </w:p>
        </w:tc>
      </w:tr>
      <w:tr w:rsidR="00E75296" w:rsidRPr="0035027D" w:rsidTr="0037199A">
        <w:tc>
          <w:tcPr>
            <w:tcW w:w="1926" w:type="dxa"/>
            <w:tcMar>
              <w:top w:w="57" w:type="dxa"/>
              <w:bottom w:w="57" w:type="dxa"/>
            </w:tcMar>
          </w:tcPr>
          <w:p w:rsidR="00E75296" w:rsidRPr="0035027D" w:rsidRDefault="00E75296" w:rsidP="00822C60">
            <w:pPr>
              <w:spacing w:after="0"/>
              <w:jc w:val="left"/>
              <w:rPr>
                <w:b/>
                <w:bCs/>
                <w:sz w:val="20"/>
                <w:szCs w:val="20"/>
              </w:rPr>
            </w:pPr>
            <w:r w:rsidRPr="0035027D">
              <w:rPr>
                <w:b/>
                <w:bCs/>
                <w:sz w:val="20"/>
                <w:szCs w:val="20"/>
              </w:rPr>
              <w:lastRenderedPageBreak/>
              <w:t xml:space="preserve">Výdavky na výskum a vývoj </w:t>
            </w:r>
          </w:p>
        </w:tc>
        <w:tc>
          <w:tcPr>
            <w:tcW w:w="8066" w:type="dxa"/>
            <w:tcMar>
              <w:top w:w="57" w:type="dxa"/>
              <w:bottom w:w="57" w:type="dxa"/>
            </w:tcMar>
          </w:tcPr>
          <w:p w:rsidR="00E75296" w:rsidRPr="0035027D" w:rsidRDefault="00E75296" w:rsidP="00822C60">
            <w:pPr>
              <w:autoSpaceDE w:val="0"/>
              <w:autoSpaceDN w:val="0"/>
              <w:adjustRightInd w:val="0"/>
              <w:spacing w:after="0"/>
              <w:rPr>
                <w:rFonts w:cs="Tahoma"/>
                <w:sz w:val="20"/>
                <w:szCs w:val="20"/>
              </w:rPr>
            </w:pPr>
            <w:r w:rsidRPr="0035027D">
              <w:rPr>
                <w:rFonts w:cs="Tahoma"/>
                <w:sz w:val="20"/>
                <w:szCs w:val="20"/>
              </w:rPr>
              <w:t>Percentuálny podiel celkových výdavkov na výskum a vývoj na HDP.</w:t>
            </w:r>
          </w:p>
          <w:p w:rsidR="00E75296" w:rsidRPr="0035027D" w:rsidRDefault="00E75296" w:rsidP="00822C60">
            <w:pPr>
              <w:autoSpaceDE w:val="0"/>
              <w:autoSpaceDN w:val="0"/>
              <w:adjustRightInd w:val="0"/>
              <w:spacing w:after="0"/>
              <w:rPr>
                <w:rFonts w:cs="Tahoma"/>
                <w:sz w:val="20"/>
                <w:szCs w:val="20"/>
              </w:rPr>
            </w:pPr>
            <w:r w:rsidRPr="0035027D">
              <w:rPr>
                <w:rFonts w:cs="Tahoma"/>
                <w:sz w:val="20"/>
                <w:szCs w:val="20"/>
              </w:rPr>
              <w:t>Zdroj: Eurostat</w:t>
            </w:r>
          </w:p>
        </w:tc>
      </w:tr>
      <w:tr w:rsidR="00E75296" w:rsidRPr="0035027D" w:rsidTr="0037199A">
        <w:tc>
          <w:tcPr>
            <w:tcW w:w="1926" w:type="dxa"/>
            <w:tcMar>
              <w:top w:w="57" w:type="dxa"/>
              <w:bottom w:w="57" w:type="dxa"/>
            </w:tcMar>
          </w:tcPr>
          <w:p w:rsidR="00E75296" w:rsidRPr="0035027D" w:rsidRDefault="00E75296" w:rsidP="00822C60">
            <w:pPr>
              <w:spacing w:after="0"/>
              <w:jc w:val="left"/>
              <w:rPr>
                <w:rFonts w:cs="Tahoma"/>
                <w:b/>
                <w:bCs/>
                <w:sz w:val="20"/>
                <w:szCs w:val="20"/>
              </w:rPr>
            </w:pPr>
            <w:r w:rsidRPr="0035027D">
              <w:rPr>
                <w:rFonts w:cs="Tahoma"/>
                <w:b/>
                <w:bCs/>
                <w:sz w:val="20"/>
                <w:szCs w:val="20"/>
              </w:rPr>
              <w:t>High-tech export</w:t>
            </w:r>
          </w:p>
        </w:tc>
        <w:tc>
          <w:tcPr>
            <w:tcW w:w="8066" w:type="dxa"/>
            <w:tcMar>
              <w:top w:w="57" w:type="dxa"/>
              <w:bottom w:w="57" w:type="dxa"/>
            </w:tcMar>
          </w:tcPr>
          <w:p w:rsidR="00E75296" w:rsidRPr="0035027D" w:rsidRDefault="00E75296" w:rsidP="00822C60">
            <w:pPr>
              <w:spacing w:after="0"/>
              <w:rPr>
                <w:rFonts w:cs="Tahoma"/>
                <w:sz w:val="20"/>
                <w:szCs w:val="20"/>
              </w:rPr>
            </w:pPr>
            <w:r w:rsidRPr="0035027D">
              <w:rPr>
                <w:rFonts w:cs="Tahoma"/>
                <w:sz w:val="20"/>
                <w:szCs w:val="20"/>
              </w:rPr>
              <w:t xml:space="preserve">Podiel high-tech exportov na celkovom vývoze krajiny. Produkty high-tech sú vybrané produkty nasledovných odvetví: </w:t>
            </w:r>
            <w:r w:rsidRPr="0035027D">
              <w:rPr>
                <w:rFonts w:cs="Tahoma"/>
                <w:bCs/>
                <w:sz w:val="20"/>
                <w:szCs w:val="20"/>
              </w:rPr>
              <w:t>letecký priemysel, po</w:t>
            </w:r>
            <w:r w:rsidRPr="0035027D">
              <w:rPr>
                <w:rFonts w:cs="Times New Roman"/>
                <w:bCs/>
                <w:sz w:val="20"/>
                <w:szCs w:val="20"/>
              </w:rPr>
              <w:t>č</w:t>
            </w:r>
            <w:r w:rsidRPr="0035027D">
              <w:rPr>
                <w:rFonts w:cs="Tahoma"/>
                <w:bCs/>
                <w:sz w:val="20"/>
                <w:szCs w:val="20"/>
              </w:rPr>
              <w:t>íta</w:t>
            </w:r>
            <w:r w:rsidRPr="0035027D">
              <w:rPr>
                <w:rFonts w:cs="Times New Roman"/>
                <w:bCs/>
                <w:sz w:val="20"/>
                <w:szCs w:val="20"/>
              </w:rPr>
              <w:t>č</w:t>
            </w:r>
            <w:r w:rsidRPr="0035027D">
              <w:rPr>
                <w:rFonts w:cs="Tahoma"/>
                <w:bCs/>
                <w:sz w:val="20"/>
                <w:szCs w:val="20"/>
              </w:rPr>
              <w:t>e a kancelárske stroje, elektronické telekomunika</w:t>
            </w:r>
            <w:r w:rsidRPr="0035027D">
              <w:rPr>
                <w:rFonts w:cs="Times New Roman"/>
                <w:bCs/>
                <w:sz w:val="20"/>
                <w:szCs w:val="20"/>
              </w:rPr>
              <w:t>č</w:t>
            </w:r>
            <w:r w:rsidRPr="0035027D">
              <w:rPr>
                <w:rFonts w:cs="Tahoma"/>
                <w:bCs/>
                <w:sz w:val="20"/>
                <w:szCs w:val="20"/>
              </w:rPr>
              <w:t xml:space="preserve">né zariadenia, farmaceutický priemysel, vedecké prístroje, elektrické stroje, chemický priemysel, </w:t>
            </w:r>
            <w:proofErr w:type="spellStart"/>
            <w:r w:rsidRPr="0035027D">
              <w:rPr>
                <w:rFonts w:cs="Tahoma"/>
                <w:bCs/>
                <w:sz w:val="20"/>
                <w:szCs w:val="20"/>
              </w:rPr>
              <w:t>neelekronické</w:t>
            </w:r>
            <w:proofErr w:type="spellEnd"/>
            <w:r w:rsidRPr="0035027D">
              <w:rPr>
                <w:rFonts w:cs="Tahoma"/>
                <w:bCs/>
                <w:sz w:val="20"/>
                <w:szCs w:val="20"/>
              </w:rPr>
              <w:t xml:space="preserve"> prístroje, zbrojný priemysel</w:t>
            </w:r>
            <w:r w:rsidRPr="0035027D">
              <w:rPr>
                <w:rFonts w:cs="Tahoma"/>
                <w:sz w:val="20"/>
                <w:szCs w:val="20"/>
              </w:rPr>
              <w:t>.</w:t>
            </w:r>
          </w:p>
          <w:p w:rsidR="00E75296" w:rsidRPr="0035027D" w:rsidRDefault="00E75296" w:rsidP="00822C60">
            <w:pPr>
              <w:spacing w:after="0"/>
              <w:rPr>
                <w:rFonts w:cs="Tahoma"/>
                <w:sz w:val="20"/>
                <w:szCs w:val="20"/>
              </w:rPr>
            </w:pPr>
            <w:r w:rsidRPr="0035027D">
              <w:rPr>
                <w:rFonts w:cs="Tahoma"/>
                <w:sz w:val="20"/>
                <w:szCs w:val="20"/>
              </w:rPr>
              <w:t>Zdroj: Eurostat</w:t>
            </w:r>
          </w:p>
        </w:tc>
      </w:tr>
      <w:tr w:rsidR="00E75296" w:rsidRPr="0035027D" w:rsidTr="0037199A">
        <w:tc>
          <w:tcPr>
            <w:tcW w:w="1926" w:type="dxa"/>
            <w:tcMar>
              <w:top w:w="57" w:type="dxa"/>
              <w:bottom w:w="57" w:type="dxa"/>
            </w:tcMar>
          </w:tcPr>
          <w:p w:rsidR="00E75296" w:rsidRPr="0035027D" w:rsidRDefault="00E75296" w:rsidP="00822C60">
            <w:pPr>
              <w:spacing w:after="0"/>
              <w:jc w:val="left"/>
              <w:rPr>
                <w:b/>
                <w:bCs/>
                <w:sz w:val="20"/>
                <w:szCs w:val="20"/>
              </w:rPr>
            </w:pPr>
            <w:r w:rsidRPr="0035027D">
              <w:rPr>
                <w:b/>
                <w:bCs/>
                <w:sz w:val="20"/>
                <w:szCs w:val="20"/>
              </w:rPr>
              <w:t>Miera zamestnanosti</w:t>
            </w:r>
          </w:p>
        </w:tc>
        <w:tc>
          <w:tcPr>
            <w:tcW w:w="8066" w:type="dxa"/>
            <w:tcMar>
              <w:top w:w="57" w:type="dxa"/>
              <w:bottom w:w="57" w:type="dxa"/>
            </w:tcMar>
          </w:tcPr>
          <w:p w:rsidR="00E75296" w:rsidRPr="0035027D" w:rsidRDefault="00E75296" w:rsidP="00822C60">
            <w:pPr>
              <w:autoSpaceDE w:val="0"/>
              <w:autoSpaceDN w:val="0"/>
              <w:adjustRightInd w:val="0"/>
              <w:spacing w:after="0"/>
              <w:rPr>
                <w:rFonts w:cs="Tahoma"/>
                <w:sz w:val="20"/>
                <w:szCs w:val="20"/>
              </w:rPr>
            </w:pPr>
            <w:r w:rsidRPr="0035027D">
              <w:rPr>
                <w:rFonts w:cs="Tahoma"/>
                <w:sz w:val="20"/>
                <w:szCs w:val="20"/>
              </w:rPr>
              <w:t>Podiel zamestnanej populácie vo veku 20-64 rokov na celkovej populácii rovnakej vekovej skupiny. Ukazovate</w:t>
            </w:r>
            <w:r w:rsidRPr="0035027D">
              <w:rPr>
                <w:rFonts w:cs="Times New Roman"/>
                <w:sz w:val="20"/>
                <w:szCs w:val="20"/>
              </w:rPr>
              <w:t>ľ</w:t>
            </w:r>
            <w:r w:rsidRPr="0035027D">
              <w:rPr>
                <w:rFonts w:cs="Tahoma"/>
                <w:sz w:val="20"/>
                <w:szCs w:val="20"/>
              </w:rPr>
              <w:t xml:space="preserve"> zah</w:t>
            </w:r>
            <w:r w:rsidRPr="0035027D">
              <w:rPr>
                <w:rFonts w:cs="Times New Roman"/>
                <w:sz w:val="20"/>
                <w:szCs w:val="20"/>
              </w:rPr>
              <w:t>ŕň</w:t>
            </w:r>
            <w:r w:rsidRPr="0035027D">
              <w:rPr>
                <w:rFonts w:cs="Tahoma"/>
                <w:sz w:val="20"/>
                <w:szCs w:val="20"/>
              </w:rPr>
              <w:t xml:space="preserve">a celkovú populáciu </w:t>
            </w:r>
            <w:r w:rsidRPr="0035027D">
              <w:rPr>
                <w:rFonts w:cs="Times New Roman"/>
                <w:sz w:val="20"/>
                <w:szCs w:val="20"/>
              </w:rPr>
              <w:t>ž</w:t>
            </w:r>
            <w:r w:rsidRPr="0035027D">
              <w:rPr>
                <w:rFonts w:cs="Tahoma"/>
                <w:sz w:val="20"/>
                <w:szCs w:val="20"/>
              </w:rPr>
              <w:t>ijúcu v samostatných domácnostiach, nezah</w:t>
            </w:r>
            <w:r w:rsidRPr="0035027D">
              <w:rPr>
                <w:rFonts w:cs="Times New Roman"/>
                <w:sz w:val="20"/>
                <w:szCs w:val="20"/>
              </w:rPr>
              <w:t>ŕň</w:t>
            </w:r>
            <w:r w:rsidRPr="0035027D">
              <w:rPr>
                <w:rFonts w:cs="Tahoma"/>
                <w:sz w:val="20"/>
                <w:szCs w:val="20"/>
              </w:rPr>
              <w:t>a kolektívne domácnosti ani obyvate</w:t>
            </w:r>
            <w:r w:rsidRPr="0035027D">
              <w:rPr>
                <w:rFonts w:cs="Times New Roman"/>
                <w:sz w:val="20"/>
                <w:szCs w:val="20"/>
              </w:rPr>
              <w:t>ľ</w:t>
            </w:r>
            <w:r w:rsidRPr="0035027D">
              <w:rPr>
                <w:rFonts w:cs="Tahoma"/>
                <w:sz w:val="20"/>
                <w:szCs w:val="20"/>
              </w:rPr>
              <w:t xml:space="preserve">ov penziónov, </w:t>
            </w:r>
            <w:r w:rsidRPr="0035027D">
              <w:rPr>
                <w:rFonts w:cs="Times New Roman"/>
                <w:sz w:val="20"/>
                <w:szCs w:val="20"/>
              </w:rPr>
              <w:t>č</w:t>
            </w:r>
            <w:r w:rsidRPr="0035027D">
              <w:rPr>
                <w:rFonts w:cs="Tahoma"/>
                <w:sz w:val="20"/>
                <w:szCs w:val="20"/>
              </w:rPr>
              <w:t>i ubytovní a internátov, ani hospitalizovaných v zdravotníckych zariadeniach. Zamestnaná populácia pozostáva z tých osôb, ktoré po</w:t>
            </w:r>
            <w:r w:rsidRPr="0035027D">
              <w:rPr>
                <w:rFonts w:cs="Times New Roman"/>
                <w:sz w:val="20"/>
                <w:szCs w:val="20"/>
              </w:rPr>
              <w:t>č</w:t>
            </w:r>
            <w:r w:rsidRPr="0035027D">
              <w:rPr>
                <w:rFonts w:cs="Tahoma"/>
                <w:sz w:val="20"/>
                <w:szCs w:val="20"/>
              </w:rPr>
              <w:t>as daného tý</w:t>
            </w:r>
            <w:r w:rsidRPr="0035027D">
              <w:rPr>
                <w:rFonts w:cs="Times New Roman"/>
                <w:sz w:val="20"/>
                <w:szCs w:val="20"/>
              </w:rPr>
              <w:t>ž</w:t>
            </w:r>
            <w:r w:rsidRPr="0035027D">
              <w:rPr>
                <w:rFonts w:cs="Tahoma"/>
                <w:sz w:val="20"/>
                <w:szCs w:val="20"/>
              </w:rPr>
              <w:t>d</w:t>
            </w:r>
            <w:r w:rsidRPr="0035027D">
              <w:rPr>
                <w:rFonts w:cs="Times New Roman"/>
                <w:sz w:val="20"/>
                <w:szCs w:val="20"/>
              </w:rPr>
              <w:t>ň</w:t>
            </w:r>
            <w:r w:rsidRPr="0035027D">
              <w:rPr>
                <w:rFonts w:cs="Tahoma"/>
                <w:sz w:val="20"/>
                <w:szCs w:val="20"/>
              </w:rPr>
              <w:t>a vykonávali hocijakú prácu za mzdu alebo zárobok po dobu aspo</w:t>
            </w:r>
            <w:r w:rsidRPr="0035027D">
              <w:rPr>
                <w:rFonts w:cs="Times New Roman"/>
                <w:sz w:val="20"/>
                <w:szCs w:val="20"/>
              </w:rPr>
              <w:t>ň</w:t>
            </w:r>
            <w:r w:rsidRPr="0035027D">
              <w:rPr>
                <w:rFonts w:cs="Tahoma"/>
                <w:sz w:val="20"/>
                <w:szCs w:val="20"/>
              </w:rPr>
              <w:t xml:space="preserve"> jednej hodiny, resp. nepracovali, ale mali zamestnanie, v ktorom boli do</w:t>
            </w:r>
            <w:r w:rsidRPr="0035027D">
              <w:rPr>
                <w:rFonts w:cs="Times New Roman"/>
                <w:sz w:val="20"/>
                <w:szCs w:val="20"/>
              </w:rPr>
              <w:t>č</w:t>
            </w:r>
            <w:r w:rsidRPr="0035027D">
              <w:rPr>
                <w:rFonts w:cs="Tahoma"/>
                <w:sz w:val="20"/>
                <w:szCs w:val="20"/>
              </w:rPr>
              <w:t>asne neprítomní.</w:t>
            </w:r>
          </w:p>
          <w:p w:rsidR="00E75296" w:rsidRPr="0035027D" w:rsidRDefault="00E75296" w:rsidP="00822C60">
            <w:pPr>
              <w:autoSpaceDE w:val="0"/>
              <w:autoSpaceDN w:val="0"/>
              <w:adjustRightInd w:val="0"/>
              <w:spacing w:after="0"/>
              <w:rPr>
                <w:rFonts w:cs="Tahoma"/>
                <w:sz w:val="20"/>
                <w:szCs w:val="20"/>
              </w:rPr>
            </w:pPr>
            <w:r w:rsidRPr="0035027D">
              <w:rPr>
                <w:rFonts w:cs="Tahoma"/>
                <w:sz w:val="20"/>
                <w:szCs w:val="20"/>
              </w:rPr>
              <w:t>Zdroj: Eurostat</w:t>
            </w:r>
          </w:p>
        </w:tc>
      </w:tr>
      <w:tr w:rsidR="00E75296" w:rsidRPr="0035027D" w:rsidTr="0037199A">
        <w:tc>
          <w:tcPr>
            <w:tcW w:w="1926" w:type="dxa"/>
            <w:tcMar>
              <w:top w:w="57" w:type="dxa"/>
              <w:bottom w:w="57" w:type="dxa"/>
            </w:tcMar>
          </w:tcPr>
          <w:p w:rsidR="00E75296" w:rsidRPr="0035027D" w:rsidRDefault="00E75296" w:rsidP="00822C60">
            <w:pPr>
              <w:spacing w:after="0"/>
              <w:jc w:val="left"/>
              <w:rPr>
                <w:rFonts w:cs="Tahoma"/>
                <w:b/>
                <w:bCs/>
                <w:sz w:val="20"/>
                <w:szCs w:val="20"/>
              </w:rPr>
            </w:pPr>
            <w:r w:rsidRPr="0035027D">
              <w:rPr>
                <w:rFonts w:cs="Tahoma"/>
                <w:b/>
                <w:bCs/>
                <w:sz w:val="20"/>
                <w:szCs w:val="20"/>
              </w:rPr>
              <w:t>Miera dlhodobej nezamestnanosti</w:t>
            </w:r>
          </w:p>
        </w:tc>
        <w:tc>
          <w:tcPr>
            <w:tcW w:w="8066" w:type="dxa"/>
            <w:tcMar>
              <w:top w:w="57" w:type="dxa"/>
              <w:bottom w:w="57" w:type="dxa"/>
            </w:tcMar>
          </w:tcPr>
          <w:p w:rsidR="00E75296" w:rsidRPr="0035027D" w:rsidRDefault="00E75296" w:rsidP="00822C60">
            <w:pPr>
              <w:spacing w:after="0"/>
              <w:rPr>
                <w:rFonts w:cs="Tahoma"/>
                <w:sz w:val="20"/>
                <w:szCs w:val="20"/>
              </w:rPr>
            </w:pPr>
            <w:r w:rsidRPr="0035027D">
              <w:rPr>
                <w:rFonts w:cs="Tahoma"/>
                <w:sz w:val="20"/>
                <w:szCs w:val="20"/>
              </w:rPr>
              <w:t>Podiel populácie nezamestnanej dlhšie ako dvanás</w:t>
            </w:r>
            <w:r w:rsidRPr="0035027D">
              <w:rPr>
                <w:rFonts w:cs="Times New Roman"/>
                <w:sz w:val="20"/>
                <w:szCs w:val="20"/>
              </w:rPr>
              <w:t>ť</w:t>
            </w:r>
            <w:r w:rsidRPr="0035027D">
              <w:rPr>
                <w:rFonts w:cs="Tahoma"/>
                <w:sz w:val="20"/>
                <w:szCs w:val="20"/>
              </w:rPr>
              <w:t xml:space="preserve"> mesiacov napriek tomu, </w:t>
            </w:r>
            <w:r w:rsidRPr="0035027D">
              <w:rPr>
                <w:rFonts w:cs="Times New Roman"/>
                <w:sz w:val="20"/>
                <w:szCs w:val="20"/>
              </w:rPr>
              <w:t>ž</w:t>
            </w:r>
            <w:r w:rsidRPr="0035027D">
              <w:rPr>
                <w:rFonts w:cs="Tahoma"/>
                <w:sz w:val="20"/>
                <w:szCs w:val="20"/>
              </w:rPr>
              <w:t>e si aktívne h</w:t>
            </w:r>
            <w:r w:rsidRPr="0035027D">
              <w:rPr>
                <w:rFonts w:cs="Times New Roman"/>
                <w:sz w:val="20"/>
                <w:szCs w:val="20"/>
              </w:rPr>
              <w:t>ľ</w:t>
            </w:r>
            <w:r w:rsidRPr="0035027D">
              <w:rPr>
                <w:rFonts w:cs="Tahoma"/>
                <w:sz w:val="20"/>
                <w:szCs w:val="20"/>
              </w:rPr>
              <w:t>adá prácu, na aktívnej populácii vo veku nad pätnás</w:t>
            </w:r>
            <w:r w:rsidRPr="0035027D">
              <w:rPr>
                <w:rFonts w:cs="Times New Roman"/>
                <w:sz w:val="20"/>
                <w:szCs w:val="20"/>
              </w:rPr>
              <w:t>ť</w:t>
            </w:r>
            <w:r w:rsidRPr="0035027D">
              <w:rPr>
                <w:rFonts w:cs="Tahoma"/>
                <w:sz w:val="20"/>
                <w:szCs w:val="20"/>
              </w:rPr>
              <w:t xml:space="preserve"> rokov, ne</w:t>
            </w:r>
            <w:r w:rsidRPr="0035027D">
              <w:rPr>
                <w:rFonts w:cs="Times New Roman"/>
                <w:sz w:val="20"/>
                <w:szCs w:val="20"/>
              </w:rPr>
              <w:t>ž</w:t>
            </w:r>
            <w:r w:rsidRPr="0035027D">
              <w:rPr>
                <w:rFonts w:cs="Tahoma"/>
                <w:sz w:val="20"/>
                <w:szCs w:val="20"/>
              </w:rPr>
              <w:t>ijúcej v kolektívnej domácnosti.</w:t>
            </w:r>
          </w:p>
          <w:p w:rsidR="00E75296" w:rsidRPr="0035027D" w:rsidRDefault="00E75296" w:rsidP="00822C60">
            <w:pPr>
              <w:spacing w:after="0"/>
              <w:rPr>
                <w:rFonts w:cs="Tahoma"/>
                <w:sz w:val="20"/>
                <w:szCs w:val="20"/>
              </w:rPr>
            </w:pPr>
            <w:r w:rsidRPr="0035027D">
              <w:rPr>
                <w:rFonts w:cs="Tahoma"/>
                <w:sz w:val="20"/>
                <w:szCs w:val="20"/>
              </w:rPr>
              <w:t>Zdroj: Eurostat</w:t>
            </w:r>
          </w:p>
        </w:tc>
      </w:tr>
      <w:tr w:rsidR="00E75296" w:rsidRPr="0035027D" w:rsidTr="0037199A">
        <w:tc>
          <w:tcPr>
            <w:tcW w:w="1926" w:type="dxa"/>
            <w:tcMar>
              <w:top w:w="57" w:type="dxa"/>
              <w:bottom w:w="57" w:type="dxa"/>
            </w:tcMar>
          </w:tcPr>
          <w:p w:rsidR="00E75296" w:rsidRPr="0035027D" w:rsidRDefault="00E75296" w:rsidP="00822C60">
            <w:pPr>
              <w:spacing w:after="0"/>
              <w:jc w:val="left"/>
              <w:rPr>
                <w:rFonts w:cs="Tahoma"/>
                <w:b/>
                <w:bCs/>
                <w:sz w:val="20"/>
                <w:szCs w:val="20"/>
              </w:rPr>
            </w:pPr>
            <w:r w:rsidRPr="0035027D">
              <w:rPr>
                <w:b/>
                <w:bCs/>
                <w:sz w:val="20"/>
                <w:szCs w:val="20"/>
              </w:rPr>
              <w:t>Populácia ohrozená chudobou a sociálnym vylúčením</w:t>
            </w:r>
          </w:p>
        </w:tc>
        <w:tc>
          <w:tcPr>
            <w:tcW w:w="8066" w:type="dxa"/>
            <w:tcMar>
              <w:top w:w="57" w:type="dxa"/>
              <w:bottom w:w="57" w:type="dxa"/>
            </w:tcMar>
          </w:tcPr>
          <w:p w:rsidR="00E75296" w:rsidRPr="0035027D" w:rsidRDefault="00E75296" w:rsidP="00822C60">
            <w:pPr>
              <w:spacing w:after="0"/>
              <w:rPr>
                <w:rFonts w:cs="Tahoma"/>
                <w:sz w:val="20"/>
                <w:szCs w:val="20"/>
              </w:rPr>
            </w:pPr>
            <w:r w:rsidRPr="0035027D">
              <w:rPr>
                <w:rFonts w:cs="Tahoma"/>
                <w:sz w:val="20"/>
                <w:szCs w:val="20"/>
              </w:rPr>
              <w:t>Indikátor predstavuje sú</w:t>
            </w:r>
            <w:r w:rsidRPr="0035027D">
              <w:rPr>
                <w:rFonts w:cs="Times New Roman"/>
                <w:sz w:val="20"/>
                <w:szCs w:val="20"/>
              </w:rPr>
              <w:t>č</w:t>
            </w:r>
            <w:r w:rsidRPr="0035027D">
              <w:rPr>
                <w:rFonts w:cs="Tahoma"/>
                <w:sz w:val="20"/>
                <w:szCs w:val="20"/>
              </w:rPr>
              <w:t xml:space="preserve">et </w:t>
            </w:r>
            <w:r w:rsidRPr="0035027D">
              <w:rPr>
                <w:rFonts w:cs="Times New Roman"/>
                <w:sz w:val="20"/>
                <w:szCs w:val="20"/>
              </w:rPr>
              <w:t>ľ</w:t>
            </w:r>
            <w:r w:rsidRPr="0035027D">
              <w:rPr>
                <w:rFonts w:cs="Tahoma"/>
                <w:sz w:val="20"/>
                <w:szCs w:val="20"/>
              </w:rPr>
              <w:t xml:space="preserve">udí, ktorí sú v riziku chudoby (po sociálnych transferoch) a/alebo sú materiálne </w:t>
            </w:r>
            <w:proofErr w:type="spellStart"/>
            <w:r w:rsidRPr="0035027D">
              <w:rPr>
                <w:rFonts w:cs="Tahoma"/>
                <w:sz w:val="20"/>
                <w:szCs w:val="20"/>
              </w:rPr>
              <w:t>deprivovaní</w:t>
            </w:r>
            <w:proofErr w:type="spellEnd"/>
            <w:r w:rsidRPr="0035027D">
              <w:rPr>
                <w:rFonts w:cs="Tahoma"/>
                <w:sz w:val="20"/>
                <w:szCs w:val="20"/>
              </w:rPr>
              <w:t xml:space="preserve"> a/alebo </w:t>
            </w:r>
            <w:r w:rsidRPr="0035027D">
              <w:rPr>
                <w:rFonts w:cs="Times New Roman"/>
                <w:sz w:val="20"/>
                <w:szCs w:val="20"/>
              </w:rPr>
              <w:t>ž</w:t>
            </w:r>
            <w:r w:rsidRPr="0035027D">
              <w:rPr>
                <w:rFonts w:cs="Tahoma"/>
                <w:sz w:val="20"/>
                <w:szCs w:val="20"/>
              </w:rPr>
              <w:t>ijú v domácnostiach s ve</w:t>
            </w:r>
            <w:r w:rsidRPr="0035027D">
              <w:rPr>
                <w:rFonts w:cs="Times New Roman"/>
                <w:sz w:val="20"/>
                <w:szCs w:val="20"/>
              </w:rPr>
              <w:t>ľ</w:t>
            </w:r>
            <w:r w:rsidRPr="0035027D">
              <w:rPr>
                <w:rFonts w:cs="Tahoma"/>
                <w:sz w:val="20"/>
                <w:szCs w:val="20"/>
              </w:rPr>
              <w:t>mi nízkou intenzitou práce vyjadrený percentuálne na celkovej populácii. Riziko chudoby predstavuje po</w:t>
            </w:r>
            <w:r w:rsidRPr="0035027D">
              <w:rPr>
                <w:rFonts w:cs="Times New Roman"/>
                <w:sz w:val="20"/>
                <w:szCs w:val="20"/>
              </w:rPr>
              <w:t>č</w:t>
            </w:r>
            <w:r w:rsidRPr="0035027D">
              <w:rPr>
                <w:rFonts w:cs="Tahoma"/>
                <w:sz w:val="20"/>
                <w:szCs w:val="20"/>
              </w:rPr>
              <w:t>et osôb s ekvivalentným disponibilným príjmom ni</w:t>
            </w:r>
            <w:r w:rsidRPr="0035027D">
              <w:rPr>
                <w:rFonts w:cs="Times New Roman"/>
                <w:sz w:val="20"/>
                <w:szCs w:val="20"/>
              </w:rPr>
              <w:t>ž</w:t>
            </w:r>
            <w:r w:rsidRPr="0035027D">
              <w:rPr>
                <w:rFonts w:cs="Tahoma"/>
                <w:sz w:val="20"/>
                <w:szCs w:val="20"/>
              </w:rPr>
              <w:t>ším ako 60</w:t>
            </w:r>
            <w:r w:rsidR="005E1922" w:rsidRPr="0035027D">
              <w:rPr>
                <w:rFonts w:cs="Tahoma"/>
                <w:sz w:val="20"/>
                <w:szCs w:val="20"/>
              </w:rPr>
              <w:t> %</w:t>
            </w:r>
            <w:r w:rsidRPr="0035027D">
              <w:rPr>
                <w:rFonts w:cs="Tahoma"/>
                <w:sz w:val="20"/>
                <w:szCs w:val="20"/>
              </w:rPr>
              <w:t xml:space="preserve"> mediánu národného ekvivalentného disponibilného príjmu (po sociálnych transferoch). Materiálna deprivácia predstavuje podiel </w:t>
            </w:r>
            <w:r w:rsidR="009A34FD" w:rsidRPr="0035027D">
              <w:rPr>
                <w:rFonts w:cs="Times New Roman"/>
                <w:sz w:val="20"/>
                <w:szCs w:val="20"/>
              </w:rPr>
              <w:t>ľ</w:t>
            </w:r>
            <w:r w:rsidR="009A34FD" w:rsidRPr="0035027D">
              <w:rPr>
                <w:rFonts w:cs="Tahoma"/>
                <w:sz w:val="20"/>
                <w:szCs w:val="20"/>
              </w:rPr>
              <w:t>udí, ktorí</w:t>
            </w:r>
            <w:r w:rsidRPr="0035027D">
              <w:rPr>
                <w:rFonts w:cs="Tahoma"/>
                <w:sz w:val="20"/>
                <w:szCs w:val="20"/>
              </w:rPr>
              <w:t xml:space="preserve"> si z nasledujúcich deviatich polo</w:t>
            </w:r>
            <w:r w:rsidRPr="0035027D">
              <w:rPr>
                <w:rFonts w:cs="Times New Roman"/>
                <w:sz w:val="20"/>
                <w:szCs w:val="20"/>
              </w:rPr>
              <w:t>ž</w:t>
            </w:r>
            <w:r w:rsidRPr="0035027D">
              <w:rPr>
                <w:rFonts w:cs="Tahoma"/>
                <w:sz w:val="20"/>
                <w:szCs w:val="20"/>
              </w:rPr>
              <w:t>iek nemô</w:t>
            </w:r>
            <w:r w:rsidRPr="0035027D">
              <w:rPr>
                <w:rFonts w:cs="Times New Roman"/>
                <w:sz w:val="20"/>
                <w:szCs w:val="20"/>
              </w:rPr>
              <w:t>ž</w:t>
            </w:r>
            <w:r w:rsidRPr="0035027D">
              <w:rPr>
                <w:rFonts w:cs="Tahoma"/>
                <w:sz w:val="20"/>
                <w:szCs w:val="20"/>
              </w:rPr>
              <w:t>u dovoli</w:t>
            </w:r>
            <w:r w:rsidRPr="0035027D">
              <w:rPr>
                <w:rFonts w:cs="Times New Roman"/>
                <w:sz w:val="20"/>
                <w:szCs w:val="20"/>
              </w:rPr>
              <w:t>ť</w:t>
            </w:r>
            <w:r w:rsidRPr="0035027D">
              <w:rPr>
                <w:rFonts w:cs="Tahoma"/>
                <w:sz w:val="20"/>
                <w:szCs w:val="20"/>
              </w:rPr>
              <w:t xml:space="preserve"> aspo</w:t>
            </w:r>
            <w:r w:rsidRPr="0035027D">
              <w:rPr>
                <w:rFonts w:cs="Times New Roman"/>
                <w:sz w:val="20"/>
                <w:szCs w:val="20"/>
              </w:rPr>
              <w:t>ň</w:t>
            </w:r>
            <w:r w:rsidRPr="0035027D">
              <w:rPr>
                <w:rFonts w:cs="Tahoma"/>
                <w:sz w:val="20"/>
                <w:szCs w:val="20"/>
              </w:rPr>
              <w:t xml:space="preserve"> štyri: i) plati</w:t>
            </w:r>
            <w:r w:rsidRPr="0035027D">
              <w:rPr>
                <w:rFonts w:cs="Times New Roman"/>
                <w:sz w:val="20"/>
                <w:szCs w:val="20"/>
              </w:rPr>
              <w:t>ť</w:t>
            </w:r>
            <w:r w:rsidRPr="0035027D">
              <w:rPr>
                <w:rFonts w:cs="Tahoma"/>
                <w:sz w:val="20"/>
                <w:szCs w:val="20"/>
              </w:rPr>
              <w:t xml:space="preserve"> nájom a náklady na bývanie, </w:t>
            </w:r>
            <w:proofErr w:type="spellStart"/>
            <w:r w:rsidRPr="0035027D">
              <w:rPr>
                <w:rFonts w:cs="Tahoma"/>
                <w:sz w:val="20"/>
                <w:szCs w:val="20"/>
              </w:rPr>
              <w:t>ii</w:t>
            </w:r>
            <w:proofErr w:type="spellEnd"/>
            <w:r w:rsidRPr="0035027D">
              <w:rPr>
                <w:rFonts w:cs="Tahoma"/>
                <w:sz w:val="20"/>
                <w:szCs w:val="20"/>
              </w:rPr>
              <w:t>) udr</w:t>
            </w:r>
            <w:r w:rsidRPr="0035027D">
              <w:rPr>
                <w:rFonts w:cs="Times New Roman"/>
                <w:sz w:val="20"/>
                <w:szCs w:val="20"/>
              </w:rPr>
              <w:t>ž</w:t>
            </w:r>
            <w:r w:rsidRPr="0035027D">
              <w:rPr>
                <w:rFonts w:cs="Tahoma"/>
                <w:sz w:val="20"/>
                <w:szCs w:val="20"/>
              </w:rPr>
              <w:t>a</w:t>
            </w:r>
            <w:r w:rsidRPr="0035027D">
              <w:rPr>
                <w:rFonts w:cs="Times New Roman"/>
                <w:sz w:val="20"/>
                <w:szCs w:val="20"/>
              </w:rPr>
              <w:t>ť</w:t>
            </w:r>
            <w:r w:rsidRPr="0035027D">
              <w:rPr>
                <w:rFonts w:cs="Tahoma"/>
                <w:sz w:val="20"/>
                <w:szCs w:val="20"/>
              </w:rPr>
              <w:t xml:space="preserve"> v dome teplo, </w:t>
            </w:r>
            <w:proofErr w:type="spellStart"/>
            <w:r w:rsidRPr="0035027D">
              <w:rPr>
                <w:rFonts w:cs="Tahoma"/>
                <w:sz w:val="20"/>
                <w:szCs w:val="20"/>
              </w:rPr>
              <w:t>iii</w:t>
            </w:r>
            <w:proofErr w:type="spellEnd"/>
            <w:r w:rsidRPr="0035027D">
              <w:rPr>
                <w:rFonts w:cs="Tahoma"/>
                <w:sz w:val="20"/>
                <w:szCs w:val="20"/>
              </w:rPr>
              <w:t xml:space="preserve">) </w:t>
            </w:r>
            <w:r w:rsidRPr="0035027D">
              <w:rPr>
                <w:rFonts w:cs="Times New Roman"/>
                <w:sz w:val="20"/>
                <w:szCs w:val="20"/>
              </w:rPr>
              <w:t>č</w:t>
            </w:r>
            <w:r w:rsidRPr="0035027D">
              <w:rPr>
                <w:rFonts w:cs="Tahoma"/>
                <w:sz w:val="20"/>
                <w:szCs w:val="20"/>
              </w:rPr>
              <w:t>elia neo</w:t>
            </w:r>
            <w:r w:rsidRPr="0035027D">
              <w:rPr>
                <w:rFonts w:cs="Times New Roman"/>
                <w:sz w:val="20"/>
                <w:szCs w:val="20"/>
              </w:rPr>
              <w:t>č</w:t>
            </w:r>
            <w:r w:rsidRPr="0035027D">
              <w:rPr>
                <w:rFonts w:cs="Tahoma"/>
                <w:sz w:val="20"/>
                <w:szCs w:val="20"/>
              </w:rPr>
              <w:t xml:space="preserve">akávaným výdavkom, </w:t>
            </w:r>
            <w:proofErr w:type="spellStart"/>
            <w:r w:rsidRPr="0035027D">
              <w:rPr>
                <w:rFonts w:cs="Tahoma"/>
                <w:sz w:val="20"/>
                <w:szCs w:val="20"/>
              </w:rPr>
              <w:t>iv</w:t>
            </w:r>
            <w:proofErr w:type="spellEnd"/>
            <w:r w:rsidRPr="0035027D">
              <w:rPr>
                <w:rFonts w:cs="Tahoma"/>
                <w:sz w:val="20"/>
                <w:szCs w:val="20"/>
              </w:rPr>
              <w:t>) jes</w:t>
            </w:r>
            <w:r w:rsidRPr="0035027D">
              <w:rPr>
                <w:rFonts w:cs="Times New Roman"/>
                <w:sz w:val="20"/>
                <w:szCs w:val="20"/>
              </w:rPr>
              <w:t>ť</w:t>
            </w:r>
            <w:r w:rsidRPr="0035027D">
              <w:rPr>
                <w:rFonts w:cs="Tahoma"/>
                <w:sz w:val="20"/>
                <w:szCs w:val="20"/>
              </w:rPr>
              <w:t xml:space="preserve"> mäso, rybu alebo ekvivalentné mno</w:t>
            </w:r>
            <w:r w:rsidRPr="0035027D">
              <w:rPr>
                <w:rFonts w:cs="Times New Roman"/>
                <w:sz w:val="20"/>
                <w:szCs w:val="20"/>
              </w:rPr>
              <w:t>ž</w:t>
            </w:r>
            <w:r w:rsidRPr="0035027D">
              <w:rPr>
                <w:rFonts w:cs="Tahoma"/>
                <w:sz w:val="20"/>
                <w:szCs w:val="20"/>
              </w:rPr>
              <w:t>stvo bielkovín ka</w:t>
            </w:r>
            <w:r w:rsidRPr="0035027D">
              <w:rPr>
                <w:rFonts w:cs="Times New Roman"/>
                <w:sz w:val="20"/>
                <w:szCs w:val="20"/>
              </w:rPr>
              <w:t>ž</w:t>
            </w:r>
            <w:r w:rsidRPr="0035027D">
              <w:rPr>
                <w:rFonts w:cs="Tahoma"/>
                <w:sz w:val="20"/>
                <w:szCs w:val="20"/>
              </w:rPr>
              <w:t>dý druhý de</w:t>
            </w:r>
            <w:r w:rsidRPr="0035027D">
              <w:rPr>
                <w:rFonts w:cs="Times New Roman"/>
                <w:sz w:val="20"/>
                <w:szCs w:val="20"/>
              </w:rPr>
              <w:t>ň</w:t>
            </w:r>
            <w:r w:rsidRPr="0035027D">
              <w:rPr>
                <w:rFonts w:cs="Tahoma"/>
                <w:sz w:val="20"/>
                <w:szCs w:val="20"/>
              </w:rPr>
              <w:t>, v) tý</w:t>
            </w:r>
            <w:r w:rsidRPr="0035027D">
              <w:rPr>
                <w:rFonts w:cs="Times New Roman"/>
                <w:sz w:val="20"/>
                <w:szCs w:val="20"/>
              </w:rPr>
              <w:t>ž</w:t>
            </w:r>
            <w:r w:rsidRPr="0035027D">
              <w:rPr>
                <w:rFonts w:cs="Tahoma"/>
                <w:sz w:val="20"/>
                <w:szCs w:val="20"/>
              </w:rPr>
              <w:t>d</w:t>
            </w:r>
            <w:r w:rsidRPr="0035027D">
              <w:rPr>
                <w:rFonts w:cs="Times New Roman"/>
                <w:sz w:val="20"/>
                <w:szCs w:val="20"/>
              </w:rPr>
              <w:t>ň</w:t>
            </w:r>
            <w:r w:rsidRPr="0035027D">
              <w:rPr>
                <w:rFonts w:cs="Tahoma"/>
                <w:sz w:val="20"/>
                <w:szCs w:val="20"/>
              </w:rPr>
              <w:t xml:space="preserve">ovú dovolenku mimo domova, vi) auto, </w:t>
            </w:r>
            <w:proofErr w:type="spellStart"/>
            <w:r w:rsidRPr="0035027D">
              <w:rPr>
                <w:rFonts w:cs="Tahoma"/>
                <w:sz w:val="20"/>
                <w:szCs w:val="20"/>
              </w:rPr>
              <w:t>vii</w:t>
            </w:r>
            <w:proofErr w:type="spellEnd"/>
            <w:r w:rsidRPr="0035027D">
              <w:rPr>
                <w:rFonts w:cs="Tahoma"/>
                <w:sz w:val="20"/>
                <w:szCs w:val="20"/>
              </w:rPr>
              <w:t>) prá</w:t>
            </w:r>
            <w:r w:rsidRPr="0035027D">
              <w:rPr>
                <w:rFonts w:cs="Times New Roman"/>
                <w:sz w:val="20"/>
                <w:szCs w:val="20"/>
              </w:rPr>
              <w:t>č</w:t>
            </w:r>
            <w:r w:rsidRPr="0035027D">
              <w:rPr>
                <w:rFonts w:cs="Tahoma"/>
                <w:sz w:val="20"/>
                <w:szCs w:val="20"/>
              </w:rPr>
              <w:t xml:space="preserve">ku, </w:t>
            </w:r>
            <w:proofErr w:type="spellStart"/>
            <w:r w:rsidRPr="0035027D">
              <w:rPr>
                <w:rFonts w:cs="Tahoma"/>
                <w:sz w:val="20"/>
                <w:szCs w:val="20"/>
              </w:rPr>
              <w:t>viii</w:t>
            </w:r>
            <w:proofErr w:type="spellEnd"/>
            <w:r w:rsidRPr="0035027D">
              <w:rPr>
                <w:rFonts w:cs="Tahoma"/>
                <w:sz w:val="20"/>
                <w:szCs w:val="20"/>
              </w:rPr>
              <w:t xml:space="preserve">) farebný televízor, alebo </w:t>
            </w:r>
            <w:proofErr w:type="spellStart"/>
            <w:r w:rsidRPr="0035027D">
              <w:rPr>
                <w:rFonts w:cs="Tahoma"/>
                <w:sz w:val="20"/>
                <w:szCs w:val="20"/>
              </w:rPr>
              <w:t>ix</w:t>
            </w:r>
            <w:proofErr w:type="spellEnd"/>
            <w:r w:rsidRPr="0035027D">
              <w:rPr>
                <w:rFonts w:cs="Tahoma"/>
                <w:sz w:val="20"/>
                <w:szCs w:val="20"/>
              </w:rPr>
              <w:t xml:space="preserve">) telefón. </w:t>
            </w:r>
            <w:r w:rsidRPr="0035027D">
              <w:rPr>
                <w:rFonts w:cs="Times New Roman"/>
                <w:sz w:val="20"/>
                <w:szCs w:val="20"/>
              </w:rPr>
              <w:t>Ľ</w:t>
            </w:r>
            <w:r w:rsidRPr="0035027D">
              <w:rPr>
                <w:rFonts w:cs="Tahoma"/>
                <w:sz w:val="20"/>
                <w:szCs w:val="20"/>
              </w:rPr>
              <w:t xml:space="preserve">udia v domácnosti bez práce sú osoby vo veku 0 – 59 rokov </w:t>
            </w:r>
            <w:r w:rsidRPr="0035027D">
              <w:rPr>
                <w:rFonts w:cs="Times New Roman"/>
                <w:sz w:val="20"/>
                <w:szCs w:val="20"/>
              </w:rPr>
              <w:t>ž</w:t>
            </w:r>
            <w:r w:rsidRPr="0035027D">
              <w:rPr>
                <w:rFonts w:cs="Tahoma"/>
                <w:sz w:val="20"/>
                <w:szCs w:val="20"/>
              </w:rPr>
              <w:t>ijúce v domácnosti, kde dospelí pracujú menej ako 20</w:t>
            </w:r>
            <w:r w:rsidR="005E1922" w:rsidRPr="0035027D">
              <w:rPr>
                <w:rFonts w:cs="Tahoma"/>
                <w:sz w:val="20"/>
                <w:szCs w:val="20"/>
              </w:rPr>
              <w:t> %</w:t>
            </w:r>
            <w:r w:rsidRPr="0035027D">
              <w:rPr>
                <w:rFonts w:cs="Tahoma"/>
                <w:sz w:val="20"/>
                <w:szCs w:val="20"/>
              </w:rPr>
              <w:t xml:space="preserve"> z celkového mo</w:t>
            </w:r>
            <w:r w:rsidRPr="0035027D">
              <w:rPr>
                <w:rFonts w:cs="Times New Roman"/>
                <w:sz w:val="20"/>
                <w:szCs w:val="20"/>
              </w:rPr>
              <w:t>ž</w:t>
            </w:r>
            <w:r w:rsidRPr="0035027D">
              <w:rPr>
                <w:rFonts w:cs="Tahoma"/>
                <w:sz w:val="20"/>
                <w:szCs w:val="20"/>
              </w:rPr>
              <w:t xml:space="preserve">ného </w:t>
            </w:r>
            <w:r w:rsidR="00933FCA" w:rsidRPr="0035027D">
              <w:rPr>
                <w:rFonts w:cs="Times New Roman"/>
                <w:sz w:val="20"/>
                <w:szCs w:val="20"/>
              </w:rPr>
              <w:t>č</w:t>
            </w:r>
            <w:r w:rsidR="00933FCA" w:rsidRPr="0035027D">
              <w:rPr>
                <w:rFonts w:cs="Tahoma"/>
                <w:sz w:val="20"/>
                <w:szCs w:val="20"/>
              </w:rPr>
              <w:t>asu po</w:t>
            </w:r>
            <w:r w:rsidR="00933FCA" w:rsidRPr="0035027D">
              <w:rPr>
                <w:rFonts w:cs="Times New Roman"/>
                <w:sz w:val="20"/>
                <w:szCs w:val="20"/>
              </w:rPr>
              <w:t>č</w:t>
            </w:r>
            <w:r w:rsidR="00933FCA" w:rsidRPr="0035027D">
              <w:rPr>
                <w:rFonts w:cs="Tahoma"/>
                <w:sz w:val="20"/>
                <w:szCs w:val="20"/>
              </w:rPr>
              <w:t>as predchádzajúceho roku</w:t>
            </w:r>
            <w:r w:rsidRPr="0035027D">
              <w:rPr>
                <w:rFonts w:cs="Tahoma"/>
                <w:sz w:val="20"/>
                <w:szCs w:val="20"/>
              </w:rPr>
              <w:t xml:space="preserve">. </w:t>
            </w:r>
          </w:p>
          <w:p w:rsidR="00E75296" w:rsidRPr="0035027D" w:rsidRDefault="00E75296" w:rsidP="00822C60">
            <w:pPr>
              <w:spacing w:after="0"/>
              <w:rPr>
                <w:rFonts w:cs="Tahoma"/>
                <w:sz w:val="20"/>
                <w:szCs w:val="20"/>
              </w:rPr>
            </w:pPr>
            <w:r w:rsidRPr="0035027D">
              <w:rPr>
                <w:rFonts w:cs="Tahoma"/>
                <w:sz w:val="20"/>
                <w:szCs w:val="20"/>
              </w:rPr>
              <w:t>Zdroj: Eurostat/EU-SILC</w:t>
            </w:r>
          </w:p>
        </w:tc>
      </w:tr>
      <w:tr w:rsidR="00E75296" w:rsidRPr="0035027D" w:rsidTr="0037199A">
        <w:tc>
          <w:tcPr>
            <w:tcW w:w="1926" w:type="dxa"/>
            <w:tcMar>
              <w:top w:w="57" w:type="dxa"/>
              <w:bottom w:w="57" w:type="dxa"/>
            </w:tcMar>
          </w:tcPr>
          <w:p w:rsidR="00E75296" w:rsidRPr="0035027D" w:rsidRDefault="00E75296" w:rsidP="00822C60">
            <w:pPr>
              <w:spacing w:after="0"/>
              <w:jc w:val="left"/>
              <w:rPr>
                <w:rFonts w:cs="Tahoma"/>
                <w:b/>
                <w:bCs/>
                <w:sz w:val="20"/>
                <w:szCs w:val="20"/>
              </w:rPr>
            </w:pPr>
            <w:proofErr w:type="spellStart"/>
            <w:r w:rsidRPr="0035027D">
              <w:rPr>
                <w:rFonts w:cs="Tahoma"/>
                <w:b/>
                <w:bCs/>
                <w:sz w:val="20"/>
                <w:szCs w:val="20"/>
              </w:rPr>
              <w:t>Doing</w:t>
            </w:r>
            <w:proofErr w:type="spellEnd"/>
            <w:r w:rsidRPr="0035027D">
              <w:rPr>
                <w:rFonts w:cs="Tahoma"/>
                <w:b/>
                <w:bCs/>
                <w:sz w:val="20"/>
                <w:szCs w:val="20"/>
              </w:rPr>
              <w:t xml:space="preserve"> </w:t>
            </w:r>
            <w:proofErr w:type="spellStart"/>
            <w:r w:rsidRPr="0035027D">
              <w:rPr>
                <w:rFonts w:cs="Tahoma"/>
                <w:b/>
                <w:bCs/>
                <w:sz w:val="20"/>
                <w:szCs w:val="20"/>
              </w:rPr>
              <w:t>Business</w:t>
            </w:r>
            <w:proofErr w:type="spellEnd"/>
          </w:p>
        </w:tc>
        <w:tc>
          <w:tcPr>
            <w:tcW w:w="8066" w:type="dxa"/>
            <w:tcMar>
              <w:top w:w="57" w:type="dxa"/>
              <w:bottom w:w="57" w:type="dxa"/>
            </w:tcMar>
          </w:tcPr>
          <w:p w:rsidR="00E75296" w:rsidRPr="0035027D" w:rsidRDefault="00E75296" w:rsidP="00822C60">
            <w:pPr>
              <w:spacing w:after="0"/>
              <w:rPr>
                <w:rFonts w:cs="Tahoma"/>
                <w:sz w:val="20"/>
                <w:szCs w:val="20"/>
              </w:rPr>
            </w:pPr>
            <w:r w:rsidRPr="0035027D">
              <w:rPr>
                <w:rFonts w:cs="Tahoma"/>
                <w:sz w:val="20"/>
                <w:szCs w:val="20"/>
              </w:rPr>
              <w:t>Poradie krajiny v rebrí</w:t>
            </w:r>
            <w:r w:rsidRPr="0035027D">
              <w:rPr>
                <w:rFonts w:cs="Times New Roman"/>
                <w:sz w:val="20"/>
                <w:szCs w:val="20"/>
              </w:rPr>
              <w:t>č</w:t>
            </w:r>
            <w:r w:rsidRPr="0035027D">
              <w:rPr>
                <w:rFonts w:cs="Tahoma"/>
                <w:sz w:val="20"/>
                <w:szCs w:val="20"/>
              </w:rPr>
              <w:t xml:space="preserve">ku </w:t>
            </w:r>
            <w:proofErr w:type="spellStart"/>
            <w:r w:rsidRPr="0035027D">
              <w:rPr>
                <w:rFonts w:cs="Tahoma"/>
                <w:sz w:val="20"/>
                <w:szCs w:val="20"/>
              </w:rPr>
              <w:t>Doing</w:t>
            </w:r>
            <w:proofErr w:type="spellEnd"/>
            <w:r w:rsidRPr="0035027D">
              <w:rPr>
                <w:rFonts w:cs="Tahoma"/>
                <w:sz w:val="20"/>
                <w:szCs w:val="20"/>
              </w:rPr>
              <w:t xml:space="preserve"> </w:t>
            </w:r>
            <w:proofErr w:type="spellStart"/>
            <w:r w:rsidRPr="0035027D">
              <w:rPr>
                <w:rFonts w:cs="Tahoma"/>
                <w:sz w:val="20"/>
                <w:szCs w:val="20"/>
              </w:rPr>
              <w:t>Business</w:t>
            </w:r>
            <w:proofErr w:type="spellEnd"/>
            <w:r w:rsidRPr="0035027D">
              <w:rPr>
                <w:rFonts w:cs="Tahoma"/>
                <w:sz w:val="20"/>
                <w:szCs w:val="20"/>
              </w:rPr>
              <w:t>, ktorý meria reguláciu domácich malých a stredných firiem po</w:t>
            </w:r>
            <w:r w:rsidRPr="0035027D">
              <w:rPr>
                <w:rFonts w:cs="Times New Roman"/>
                <w:sz w:val="20"/>
                <w:szCs w:val="20"/>
              </w:rPr>
              <w:t>č</w:t>
            </w:r>
            <w:r w:rsidRPr="0035027D">
              <w:rPr>
                <w:rFonts w:cs="Tahoma"/>
                <w:sz w:val="20"/>
                <w:szCs w:val="20"/>
              </w:rPr>
              <w:t xml:space="preserve">as deviatich fáz ich </w:t>
            </w:r>
            <w:r w:rsidRPr="0035027D">
              <w:rPr>
                <w:rFonts w:cs="Times New Roman"/>
                <w:sz w:val="20"/>
                <w:szCs w:val="20"/>
              </w:rPr>
              <w:t>ž</w:t>
            </w:r>
            <w:r w:rsidRPr="0035027D">
              <w:rPr>
                <w:rFonts w:cs="Tahoma"/>
                <w:sz w:val="20"/>
                <w:szCs w:val="20"/>
              </w:rPr>
              <w:t>ivotného cyklu: za</w:t>
            </w:r>
            <w:r w:rsidRPr="0035027D">
              <w:rPr>
                <w:rFonts w:cs="Times New Roman"/>
                <w:sz w:val="20"/>
                <w:szCs w:val="20"/>
              </w:rPr>
              <w:t>č</w:t>
            </w:r>
            <w:r w:rsidRPr="0035027D">
              <w:rPr>
                <w:rFonts w:cs="Tahoma"/>
                <w:sz w:val="20"/>
                <w:szCs w:val="20"/>
              </w:rPr>
              <w:t>iatok podnikania, vybavovanie stavebného povolenia, registrácia vlastníctva, získanie úveru, ochrana investorov, platenie daní, obchodovanie za hranicami, vymáhanie zmlúv a ukon</w:t>
            </w:r>
            <w:r w:rsidRPr="0035027D">
              <w:rPr>
                <w:rFonts w:cs="Times New Roman"/>
                <w:sz w:val="20"/>
                <w:szCs w:val="20"/>
              </w:rPr>
              <w:t>č</w:t>
            </w:r>
            <w:r w:rsidRPr="0035027D">
              <w:rPr>
                <w:rFonts w:cs="Tahoma"/>
                <w:sz w:val="20"/>
                <w:szCs w:val="20"/>
              </w:rPr>
              <w:t>enie podnikania. Dáta sú zalo</w:t>
            </w:r>
            <w:r w:rsidRPr="0035027D">
              <w:rPr>
                <w:rFonts w:cs="Times New Roman"/>
                <w:sz w:val="20"/>
                <w:szCs w:val="20"/>
              </w:rPr>
              <w:t>ž</w:t>
            </w:r>
            <w:r w:rsidRPr="0035027D">
              <w:rPr>
                <w:rFonts w:cs="Tahoma"/>
                <w:sz w:val="20"/>
                <w:szCs w:val="20"/>
              </w:rPr>
              <w:t>ené preva</w:t>
            </w:r>
            <w:r w:rsidRPr="0035027D">
              <w:rPr>
                <w:rFonts w:cs="Times New Roman"/>
                <w:sz w:val="20"/>
                <w:szCs w:val="20"/>
              </w:rPr>
              <w:t>ž</w:t>
            </w:r>
            <w:r w:rsidRPr="0035027D">
              <w:rPr>
                <w:rFonts w:cs="Tahoma"/>
                <w:sz w:val="20"/>
                <w:szCs w:val="20"/>
              </w:rPr>
              <w:t>ne na domácich zákonoch, rôznych iných reguláciách a administratívnych po</w:t>
            </w:r>
            <w:r w:rsidRPr="0035027D">
              <w:rPr>
                <w:rFonts w:cs="Times New Roman"/>
                <w:sz w:val="20"/>
                <w:szCs w:val="20"/>
              </w:rPr>
              <w:t>ž</w:t>
            </w:r>
            <w:r w:rsidRPr="0035027D">
              <w:rPr>
                <w:rFonts w:cs="Tahoma"/>
                <w:sz w:val="20"/>
                <w:szCs w:val="20"/>
              </w:rPr>
              <w:t xml:space="preserve">iadavkách. </w:t>
            </w:r>
          </w:p>
          <w:p w:rsidR="00E75296" w:rsidRPr="0035027D" w:rsidRDefault="00E75296" w:rsidP="00822C60">
            <w:pPr>
              <w:spacing w:after="0"/>
              <w:rPr>
                <w:rFonts w:cs="Tahoma"/>
                <w:sz w:val="20"/>
                <w:szCs w:val="20"/>
              </w:rPr>
            </w:pPr>
            <w:r w:rsidRPr="0035027D">
              <w:rPr>
                <w:rFonts w:cs="Tahoma"/>
                <w:sz w:val="20"/>
                <w:szCs w:val="20"/>
              </w:rPr>
              <w:t>Zdroj: Svetová banka</w:t>
            </w:r>
          </w:p>
        </w:tc>
      </w:tr>
      <w:tr w:rsidR="00E75296" w:rsidRPr="0035027D" w:rsidTr="0037199A">
        <w:tc>
          <w:tcPr>
            <w:tcW w:w="1926" w:type="dxa"/>
            <w:tcMar>
              <w:top w:w="57" w:type="dxa"/>
              <w:bottom w:w="57" w:type="dxa"/>
            </w:tcMar>
          </w:tcPr>
          <w:p w:rsidR="00E75296" w:rsidRPr="0035027D" w:rsidRDefault="00E75296" w:rsidP="00822C60">
            <w:pPr>
              <w:spacing w:after="0"/>
              <w:jc w:val="left"/>
              <w:rPr>
                <w:rFonts w:cs="Tahoma"/>
                <w:b/>
                <w:bCs/>
                <w:sz w:val="20"/>
                <w:szCs w:val="20"/>
              </w:rPr>
            </w:pPr>
            <w:r w:rsidRPr="0035027D">
              <w:rPr>
                <w:rFonts w:cs="Tahoma"/>
                <w:b/>
                <w:bCs/>
                <w:sz w:val="20"/>
                <w:szCs w:val="20"/>
              </w:rPr>
              <w:t>Index regulácie trhu produktov</w:t>
            </w:r>
          </w:p>
        </w:tc>
        <w:tc>
          <w:tcPr>
            <w:tcW w:w="8066" w:type="dxa"/>
            <w:tcMar>
              <w:top w:w="57" w:type="dxa"/>
              <w:bottom w:w="57" w:type="dxa"/>
            </w:tcMar>
          </w:tcPr>
          <w:p w:rsidR="00E75296" w:rsidRPr="0035027D" w:rsidRDefault="00E75296" w:rsidP="00822C60">
            <w:pPr>
              <w:spacing w:after="0"/>
              <w:rPr>
                <w:rFonts w:cs="Tahoma"/>
                <w:sz w:val="20"/>
                <w:szCs w:val="20"/>
              </w:rPr>
            </w:pPr>
            <w:r w:rsidRPr="0035027D">
              <w:rPr>
                <w:rFonts w:cs="Tahoma"/>
                <w:sz w:val="20"/>
                <w:szCs w:val="20"/>
              </w:rPr>
              <w:t>Hodnotenie krajiny v Indexe regulácie trhu produktov (</w:t>
            </w:r>
            <w:proofErr w:type="spellStart"/>
            <w:r w:rsidRPr="0035027D">
              <w:rPr>
                <w:rFonts w:cs="Tahoma"/>
                <w:sz w:val="20"/>
                <w:szCs w:val="20"/>
              </w:rPr>
              <w:t>Product</w:t>
            </w:r>
            <w:proofErr w:type="spellEnd"/>
            <w:r w:rsidRPr="0035027D">
              <w:rPr>
                <w:rFonts w:cs="Tahoma"/>
                <w:sz w:val="20"/>
                <w:szCs w:val="20"/>
              </w:rPr>
              <w:t xml:space="preserve"> </w:t>
            </w:r>
            <w:proofErr w:type="spellStart"/>
            <w:r w:rsidRPr="0035027D">
              <w:rPr>
                <w:rFonts w:cs="Tahoma"/>
                <w:sz w:val="20"/>
                <w:szCs w:val="20"/>
              </w:rPr>
              <w:t>Market</w:t>
            </w:r>
            <w:proofErr w:type="spellEnd"/>
            <w:r w:rsidRPr="0035027D">
              <w:rPr>
                <w:rFonts w:cs="Tahoma"/>
                <w:sz w:val="20"/>
                <w:szCs w:val="20"/>
              </w:rPr>
              <w:t xml:space="preserve"> </w:t>
            </w:r>
            <w:proofErr w:type="spellStart"/>
            <w:r w:rsidRPr="0035027D">
              <w:rPr>
                <w:rFonts w:cs="Tahoma"/>
                <w:sz w:val="20"/>
                <w:szCs w:val="20"/>
              </w:rPr>
              <w:t>Regulation</w:t>
            </w:r>
            <w:proofErr w:type="spellEnd"/>
            <w:r w:rsidRPr="0035027D">
              <w:rPr>
                <w:rFonts w:cs="Tahoma"/>
                <w:sz w:val="20"/>
                <w:szCs w:val="20"/>
              </w:rPr>
              <w:t xml:space="preserve"> Index). Meria reguláciu a bariéry v troch oblastiach: štátna kontrola, bariéry v podnikaní a bariéry pre obchod a investície (ka</w:t>
            </w:r>
            <w:r w:rsidRPr="0035027D">
              <w:rPr>
                <w:rFonts w:cs="Times New Roman"/>
                <w:sz w:val="20"/>
                <w:szCs w:val="20"/>
              </w:rPr>
              <w:t>ž</w:t>
            </w:r>
            <w:r w:rsidRPr="0035027D">
              <w:rPr>
                <w:rFonts w:cs="Tahoma"/>
                <w:sz w:val="20"/>
                <w:szCs w:val="20"/>
              </w:rPr>
              <w:t>dá s tretinovou váhou). Index regulácie trhu produktov sa nezameriava len na podnikate</w:t>
            </w:r>
            <w:r w:rsidRPr="0035027D">
              <w:rPr>
                <w:rFonts w:cs="Times New Roman"/>
                <w:sz w:val="20"/>
                <w:szCs w:val="20"/>
              </w:rPr>
              <w:t>ľ</w:t>
            </w:r>
            <w:r w:rsidRPr="0035027D">
              <w:rPr>
                <w:rFonts w:cs="Tahoma"/>
                <w:sz w:val="20"/>
                <w:szCs w:val="20"/>
              </w:rPr>
              <w:t xml:space="preserve">skú </w:t>
            </w:r>
            <w:r w:rsidRPr="0035027D">
              <w:rPr>
                <w:rFonts w:cs="Times New Roman"/>
                <w:sz w:val="20"/>
                <w:szCs w:val="20"/>
              </w:rPr>
              <w:t>č</w:t>
            </w:r>
            <w:r w:rsidRPr="0035027D">
              <w:rPr>
                <w:rFonts w:cs="Tahoma"/>
                <w:sz w:val="20"/>
                <w:szCs w:val="20"/>
              </w:rPr>
              <w:t>innos</w:t>
            </w:r>
            <w:r w:rsidRPr="0035027D">
              <w:rPr>
                <w:rFonts w:cs="Times New Roman"/>
                <w:sz w:val="20"/>
                <w:szCs w:val="20"/>
              </w:rPr>
              <w:t>ť</w:t>
            </w:r>
            <w:r w:rsidRPr="0035027D">
              <w:rPr>
                <w:rFonts w:cs="Tahoma"/>
                <w:sz w:val="20"/>
                <w:szCs w:val="20"/>
              </w:rPr>
              <w:t xml:space="preserve"> be</w:t>
            </w:r>
            <w:r w:rsidRPr="0035027D">
              <w:rPr>
                <w:rFonts w:cs="Times New Roman"/>
                <w:sz w:val="20"/>
                <w:szCs w:val="20"/>
              </w:rPr>
              <w:t>ž</w:t>
            </w:r>
            <w:r w:rsidRPr="0035027D">
              <w:rPr>
                <w:rFonts w:cs="Tahoma"/>
                <w:sz w:val="20"/>
                <w:szCs w:val="20"/>
              </w:rPr>
              <w:t>ných podnikov, ale meria širšiu reguláciu (napr. regulácia sie</w:t>
            </w:r>
            <w:r w:rsidRPr="0035027D">
              <w:rPr>
                <w:rFonts w:cs="Times New Roman"/>
                <w:sz w:val="20"/>
                <w:szCs w:val="20"/>
              </w:rPr>
              <w:t>ť</w:t>
            </w:r>
            <w:r w:rsidRPr="0035027D">
              <w:rPr>
                <w:rFonts w:cs="Tahoma"/>
                <w:sz w:val="20"/>
                <w:szCs w:val="20"/>
              </w:rPr>
              <w:t>ových odvetví).</w:t>
            </w:r>
          </w:p>
          <w:p w:rsidR="00E75296" w:rsidRPr="0035027D" w:rsidRDefault="00E75296" w:rsidP="00822C60">
            <w:pPr>
              <w:spacing w:after="0"/>
              <w:rPr>
                <w:rFonts w:cs="Tahoma"/>
                <w:sz w:val="20"/>
                <w:szCs w:val="20"/>
              </w:rPr>
            </w:pPr>
            <w:r w:rsidRPr="0035027D">
              <w:rPr>
                <w:rFonts w:cs="Tahoma"/>
                <w:sz w:val="20"/>
                <w:szCs w:val="20"/>
              </w:rPr>
              <w:t>Zdroj: OECD</w:t>
            </w:r>
          </w:p>
        </w:tc>
      </w:tr>
      <w:tr w:rsidR="00E75296" w:rsidRPr="0035027D" w:rsidTr="0037199A">
        <w:tc>
          <w:tcPr>
            <w:tcW w:w="1926" w:type="dxa"/>
            <w:tcMar>
              <w:top w:w="57" w:type="dxa"/>
              <w:bottom w:w="57" w:type="dxa"/>
            </w:tcMar>
          </w:tcPr>
          <w:p w:rsidR="00E75296" w:rsidRPr="0035027D" w:rsidRDefault="00E75296" w:rsidP="00822C60">
            <w:pPr>
              <w:spacing w:after="0"/>
              <w:jc w:val="left"/>
              <w:rPr>
                <w:rFonts w:cs="Tahoma"/>
                <w:b/>
                <w:bCs/>
                <w:sz w:val="20"/>
                <w:szCs w:val="20"/>
              </w:rPr>
            </w:pPr>
            <w:proofErr w:type="spellStart"/>
            <w:r w:rsidRPr="0035027D">
              <w:rPr>
                <w:rFonts w:cs="Tahoma"/>
                <w:b/>
                <w:bCs/>
                <w:sz w:val="20"/>
                <w:szCs w:val="20"/>
              </w:rPr>
              <w:t>E-Government</w:t>
            </w:r>
            <w:proofErr w:type="spellEnd"/>
            <w:r w:rsidRPr="0035027D">
              <w:rPr>
                <w:rFonts w:cs="Tahoma"/>
                <w:b/>
                <w:bCs/>
                <w:sz w:val="20"/>
                <w:szCs w:val="20"/>
              </w:rPr>
              <w:t xml:space="preserve"> Index</w:t>
            </w:r>
          </w:p>
        </w:tc>
        <w:tc>
          <w:tcPr>
            <w:tcW w:w="8066" w:type="dxa"/>
            <w:tcMar>
              <w:top w:w="57" w:type="dxa"/>
              <w:bottom w:w="57" w:type="dxa"/>
            </w:tcMar>
          </w:tcPr>
          <w:p w:rsidR="00E75296" w:rsidRPr="0035027D" w:rsidRDefault="00E75296" w:rsidP="00822C60">
            <w:pPr>
              <w:spacing w:after="0"/>
              <w:rPr>
                <w:rFonts w:cs="Tahoma"/>
                <w:sz w:val="20"/>
                <w:szCs w:val="20"/>
              </w:rPr>
            </w:pPr>
            <w:r w:rsidRPr="0035027D">
              <w:rPr>
                <w:rFonts w:cs="Tahoma"/>
                <w:sz w:val="20"/>
                <w:szCs w:val="20"/>
              </w:rPr>
              <w:t>Index sa pre danú krajinu vypo</w:t>
            </w:r>
            <w:r w:rsidRPr="0035027D">
              <w:rPr>
                <w:rFonts w:cs="Times New Roman"/>
                <w:sz w:val="20"/>
                <w:szCs w:val="20"/>
              </w:rPr>
              <w:t>č</w:t>
            </w:r>
            <w:r w:rsidRPr="0035027D">
              <w:rPr>
                <w:rFonts w:cs="Tahoma"/>
                <w:sz w:val="20"/>
                <w:szCs w:val="20"/>
              </w:rPr>
              <w:t>íta ako vá</w:t>
            </w:r>
            <w:r w:rsidRPr="0035027D">
              <w:rPr>
                <w:rFonts w:cs="Times New Roman"/>
                <w:sz w:val="20"/>
                <w:szCs w:val="20"/>
              </w:rPr>
              <w:t>ž</w:t>
            </w:r>
            <w:r w:rsidRPr="0035027D">
              <w:rPr>
                <w:rFonts w:cs="Tahoma"/>
                <w:sz w:val="20"/>
                <w:szCs w:val="20"/>
              </w:rPr>
              <w:t>ený priemer nasledujúcich troch indikátorov: dostupnos</w:t>
            </w:r>
            <w:r w:rsidRPr="0035027D">
              <w:rPr>
                <w:rFonts w:cs="Times New Roman"/>
                <w:sz w:val="20"/>
                <w:szCs w:val="20"/>
              </w:rPr>
              <w:t>ť</w:t>
            </w:r>
            <w:r w:rsidRPr="0035027D">
              <w:rPr>
                <w:rFonts w:cs="Tahoma"/>
                <w:sz w:val="20"/>
                <w:szCs w:val="20"/>
              </w:rPr>
              <w:t xml:space="preserve"> </w:t>
            </w:r>
            <w:proofErr w:type="spellStart"/>
            <w:r w:rsidRPr="0035027D">
              <w:rPr>
                <w:rFonts w:cs="Tahoma"/>
                <w:sz w:val="20"/>
                <w:szCs w:val="20"/>
              </w:rPr>
              <w:t>e-governmentu</w:t>
            </w:r>
            <w:proofErr w:type="spellEnd"/>
            <w:r w:rsidRPr="0035027D">
              <w:rPr>
                <w:rFonts w:cs="Tahoma"/>
                <w:sz w:val="20"/>
                <w:szCs w:val="20"/>
              </w:rPr>
              <w:t xml:space="preserve"> (váha 50</w:t>
            </w:r>
            <w:r w:rsidR="005E1922" w:rsidRPr="0035027D">
              <w:rPr>
                <w:rFonts w:cs="Tahoma"/>
                <w:sz w:val="20"/>
                <w:szCs w:val="20"/>
              </w:rPr>
              <w:t> %</w:t>
            </w:r>
            <w:r w:rsidRPr="0035027D">
              <w:rPr>
                <w:rFonts w:cs="Tahoma"/>
                <w:sz w:val="20"/>
                <w:szCs w:val="20"/>
              </w:rPr>
              <w:t>), vyu</w:t>
            </w:r>
            <w:r w:rsidRPr="0035027D">
              <w:rPr>
                <w:rFonts w:cs="Times New Roman"/>
                <w:sz w:val="20"/>
                <w:szCs w:val="20"/>
              </w:rPr>
              <w:t>ž</w:t>
            </w:r>
            <w:r w:rsidRPr="0035027D">
              <w:rPr>
                <w:rFonts w:cs="Tahoma"/>
                <w:sz w:val="20"/>
                <w:szCs w:val="20"/>
              </w:rPr>
              <w:t xml:space="preserve">itie </w:t>
            </w:r>
            <w:proofErr w:type="spellStart"/>
            <w:r w:rsidRPr="0035027D">
              <w:rPr>
                <w:rFonts w:cs="Tahoma"/>
                <w:sz w:val="20"/>
                <w:szCs w:val="20"/>
              </w:rPr>
              <w:t>e-governmentu</w:t>
            </w:r>
            <w:proofErr w:type="spellEnd"/>
            <w:r w:rsidRPr="0035027D">
              <w:rPr>
                <w:rFonts w:cs="Tahoma"/>
                <w:sz w:val="20"/>
                <w:szCs w:val="20"/>
              </w:rPr>
              <w:t xml:space="preserve"> jednotlivcami (25</w:t>
            </w:r>
            <w:r w:rsidR="005E1922" w:rsidRPr="0035027D">
              <w:rPr>
                <w:rFonts w:cs="Tahoma"/>
                <w:sz w:val="20"/>
                <w:szCs w:val="20"/>
              </w:rPr>
              <w:t> %</w:t>
            </w:r>
            <w:r w:rsidRPr="0035027D">
              <w:rPr>
                <w:rFonts w:cs="Tahoma"/>
                <w:sz w:val="20"/>
                <w:szCs w:val="20"/>
              </w:rPr>
              <w:t>) a vyu</w:t>
            </w:r>
            <w:r w:rsidRPr="0035027D">
              <w:rPr>
                <w:rFonts w:cs="Times New Roman"/>
                <w:sz w:val="20"/>
                <w:szCs w:val="20"/>
              </w:rPr>
              <w:t>ž</w:t>
            </w:r>
            <w:r w:rsidRPr="0035027D">
              <w:rPr>
                <w:rFonts w:cs="Tahoma"/>
                <w:sz w:val="20"/>
                <w:szCs w:val="20"/>
              </w:rPr>
              <w:t xml:space="preserve">itie </w:t>
            </w:r>
            <w:proofErr w:type="spellStart"/>
            <w:r w:rsidRPr="0035027D">
              <w:rPr>
                <w:rFonts w:cs="Tahoma"/>
                <w:sz w:val="20"/>
                <w:szCs w:val="20"/>
              </w:rPr>
              <w:t>e-governmentu</w:t>
            </w:r>
            <w:proofErr w:type="spellEnd"/>
            <w:r w:rsidRPr="0035027D">
              <w:rPr>
                <w:rFonts w:cs="Tahoma"/>
                <w:sz w:val="20"/>
                <w:szCs w:val="20"/>
              </w:rPr>
              <w:t xml:space="preserve"> podnikmi (váha 25</w:t>
            </w:r>
            <w:r w:rsidR="005E1922" w:rsidRPr="0035027D">
              <w:rPr>
                <w:rFonts w:cs="Tahoma"/>
                <w:sz w:val="20"/>
                <w:szCs w:val="20"/>
              </w:rPr>
              <w:t> %</w:t>
            </w:r>
            <w:r w:rsidRPr="0035027D">
              <w:rPr>
                <w:rFonts w:cs="Tahoma"/>
                <w:sz w:val="20"/>
                <w:szCs w:val="20"/>
              </w:rPr>
              <w:t>). Dostupnos</w:t>
            </w:r>
            <w:r w:rsidRPr="0035027D">
              <w:rPr>
                <w:rFonts w:cs="Times New Roman"/>
                <w:sz w:val="20"/>
                <w:szCs w:val="20"/>
              </w:rPr>
              <w:t>ť</w:t>
            </w:r>
            <w:r w:rsidRPr="0035027D">
              <w:rPr>
                <w:rFonts w:cs="Tahoma"/>
                <w:sz w:val="20"/>
                <w:szCs w:val="20"/>
              </w:rPr>
              <w:t xml:space="preserve"> </w:t>
            </w:r>
            <w:proofErr w:type="spellStart"/>
            <w:r w:rsidRPr="0035027D">
              <w:rPr>
                <w:rFonts w:cs="Tahoma"/>
                <w:sz w:val="20"/>
                <w:szCs w:val="20"/>
              </w:rPr>
              <w:t>e-governmentu</w:t>
            </w:r>
            <w:proofErr w:type="spellEnd"/>
            <w:r w:rsidRPr="0035027D">
              <w:rPr>
                <w:rFonts w:cs="Tahoma"/>
                <w:sz w:val="20"/>
                <w:szCs w:val="20"/>
              </w:rPr>
              <w:t xml:space="preserve"> meria ponuku dvadsiatich základných slu</w:t>
            </w:r>
            <w:r w:rsidRPr="0035027D">
              <w:rPr>
                <w:rFonts w:cs="Times New Roman"/>
                <w:sz w:val="20"/>
                <w:szCs w:val="20"/>
              </w:rPr>
              <w:t>ž</w:t>
            </w:r>
            <w:r w:rsidRPr="0035027D">
              <w:rPr>
                <w:rFonts w:cs="Tahoma"/>
                <w:sz w:val="20"/>
                <w:szCs w:val="20"/>
              </w:rPr>
              <w:t xml:space="preserve">ieb </w:t>
            </w:r>
            <w:proofErr w:type="spellStart"/>
            <w:r w:rsidRPr="0035027D">
              <w:rPr>
                <w:rFonts w:cs="Tahoma"/>
                <w:sz w:val="20"/>
                <w:szCs w:val="20"/>
              </w:rPr>
              <w:t>e-governmentu</w:t>
            </w:r>
            <w:proofErr w:type="spellEnd"/>
            <w:r w:rsidRPr="0035027D">
              <w:rPr>
                <w:rFonts w:cs="Tahoma"/>
                <w:sz w:val="20"/>
                <w:szCs w:val="20"/>
              </w:rPr>
              <w:t>. Indikátor udáva podiel slu</w:t>
            </w:r>
            <w:r w:rsidRPr="0035027D">
              <w:rPr>
                <w:rFonts w:cs="Times New Roman"/>
                <w:sz w:val="20"/>
                <w:szCs w:val="20"/>
              </w:rPr>
              <w:t>ž</w:t>
            </w:r>
            <w:r w:rsidRPr="0035027D">
              <w:rPr>
                <w:rFonts w:cs="Tahoma"/>
                <w:sz w:val="20"/>
                <w:szCs w:val="20"/>
              </w:rPr>
              <w:t>ieb dostupných prostredníctvom internetu z definovaných dvadsiatich verejných slu</w:t>
            </w:r>
            <w:r w:rsidRPr="0035027D">
              <w:rPr>
                <w:rFonts w:cs="Times New Roman"/>
                <w:sz w:val="20"/>
                <w:szCs w:val="20"/>
              </w:rPr>
              <w:t>ž</w:t>
            </w:r>
            <w:r w:rsidRPr="0035027D">
              <w:rPr>
                <w:rFonts w:cs="Tahoma"/>
                <w:sz w:val="20"/>
                <w:szCs w:val="20"/>
              </w:rPr>
              <w:t>ieb. Aby bola slu</w:t>
            </w:r>
            <w:r w:rsidRPr="0035027D">
              <w:rPr>
                <w:rFonts w:cs="Times New Roman"/>
                <w:sz w:val="20"/>
                <w:szCs w:val="20"/>
              </w:rPr>
              <w:t>ž</w:t>
            </w:r>
            <w:r w:rsidRPr="0035027D">
              <w:rPr>
                <w:rFonts w:cs="Tahoma"/>
                <w:sz w:val="20"/>
                <w:szCs w:val="20"/>
              </w:rPr>
              <w:t>ba pova</w:t>
            </w:r>
            <w:r w:rsidRPr="0035027D">
              <w:rPr>
                <w:rFonts w:cs="Times New Roman"/>
                <w:sz w:val="20"/>
                <w:szCs w:val="20"/>
              </w:rPr>
              <w:t>ž</w:t>
            </w:r>
            <w:r w:rsidRPr="0035027D">
              <w:rPr>
                <w:rFonts w:cs="Tahoma"/>
                <w:sz w:val="20"/>
                <w:szCs w:val="20"/>
              </w:rPr>
              <w:t>ovaná za dostupnú, musí dosahova</w:t>
            </w:r>
            <w:r w:rsidRPr="0035027D">
              <w:rPr>
                <w:rFonts w:cs="Times New Roman"/>
                <w:sz w:val="20"/>
                <w:szCs w:val="20"/>
              </w:rPr>
              <w:t>ť</w:t>
            </w:r>
            <w:r w:rsidRPr="0035027D">
              <w:rPr>
                <w:rFonts w:cs="Tahoma"/>
                <w:sz w:val="20"/>
                <w:szCs w:val="20"/>
              </w:rPr>
              <w:t xml:space="preserve"> ur</w:t>
            </w:r>
            <w:r w:rsidRPr="0035027D">
              <w:rPr>
                <w:rFonts w:cs="Times New Roman"/>
                <w:sz w:val="20"/>
                <w:szCs w:val="20"/>
              </w:rPr>
              <w:t>č</w:t>
            </w:r>
            <w:r w:rsidRPr="0035027D">
              <w:rPr>
                <w:rFonts w:cs="Tahoma"/>
                <w:sz w:val="20"/>
                <w:szCs w:val="20"/>
              </w:rPr>
              <w:t>itý stupe</w:t>
            </w:r>
            <w:r w:rsidRPr="0035027D">
              <w:rPr>
                <w:rFonts w:cs="Times New Roman"/>
                <w:sz w:val="20"/>
                <w:szCs w:val="20"/>
              </w:rPr>
              <w:t>ň</w:t>
            </w:r>
            <w:r w:rsidRPr="0035027D">
              <w:rPr>
                <w:rFonts w:cs="Tahoma"/>
                <w:sz w:val="20"/>
                <w:szCs w:val="20"/>
              </w:rPr>
              <w:t xml:space="preserve"> </w:t>
            </w:r>
            <w:proofErr w:type="spellStart"/>
            <w:r w:rsidRPr="0035027D">
              <w:rPr>
                <w:rFonts w:cs="Tahoma"/>
                <w:sz w:val="20"/>
                <w:szCs w:val="20"/>
              </w:rPr>
              <w:t>sofistikácie</w:t>
            </w:r>
            <w:proofErr w:type="spellEnd"/>
            <w:r w:rsidRPr="0035027D">
              <w:rPr>
                <w:rFonts w:cs="Tahoma"/>
                <w:sz w:val="20"/>
                <w:szCs w:val="20"/>
              </w:rPr>
              <w:t>. Vyu</w:t>
            </w:r>
            <w:r w:rsidRPr="0035027D">
              <w:rPr>
                <w:rFonts w:cs="Times New Roman"/>
                <w:sz w:val="20"/>
                <w:szCs w:val="20"/>
              </w:rPr>
              <w:t>ž</w:t>
            </w:r>
            <w:r w:rsidRPr="0035027D">
              <w:rPr>
                <w:rFonts w:cs="Tahoma"/>
                <w:sz w:val="20"/>
                <w:szCs w:val="20"/>
              </w:rPr>
              <w:t xml:space="preserve">itie </w:t>
            </w:r>
            <w:proofErr w:type="spellStart"/>
            <w:r w:rsidRPr="0035027D">
              <w:rPr>
                <w:rFonts w:cs="Tahoma"/>
                <w:sz w:val="20"/>
                <w:szCs w:val="20"/>
              </w:rPr>
              <w:t>e-governmentu</w:t>
            </w:r>
            <w:proofErr w:type="spellEnd"/>
            <w:r w:rsidRPr="0035027D">
              <w:rPr>
                <w:rFonts w:cs="Tahoma"/>
                <w:sz w:val="20"/>
                <w:szCs w:val="20"/>
              </w:rPr>
              <w:t xml:space="preserve"> jednotlivcami, resp. podnikmi merajú ko</w:t>
            </w:r>
            <w:r w:rsidRPr="0035027D">
              <w:rPr>
                <w:rFonts w:cs="Times New Roman"/>
                <w:sz w:val="20"/>
                <w:szCs w:val="20"/>
              </w:rPr>
              <w:t>ľ</w:t>
            </w:r>
            <w:r w:rsidRPr="0035027D">
              <w:rPr>
                <w:rFonts w:cs="Tahoma"/>
                <w:sz w:val="20"/>
                <w:szCs w:val="20"/>
              </w:rPr>
              <w:t xml:space="preserve">ko percent </w:t>
            </w:r>
            <w:r w:rsidRPr="0035027D">
              <w:rPr>
                <w:rFonts w:cs="Times New Roman"/>
                <w:sz w:val="20"/>
                <w:szCs w:val="20"/>
              </w:rPr>
              <w:t>ľ</w:t>
            </w:r>
            <w:r w:rsidRPr="0035027D">
              <w:rPr>
                <w:rFonts w:cs="Tahoma"/>
                <w:sz w:val="20"/>
                <w:szCs w:val="20"/>
              </w:rPr>
              <w:t>udí, resp. podnikov vyu</w:t>
            </w:r>
            <w:r w:rsidRPr="0035027D">
              <w:rPr>
                <w:rFonts w:cs="Times New Roman"/>
                <w:sz w:val="20"/>
                <w:szCs w:val="20"/>
              </w:rPr>
              <w:t>ž</w:t>
            </w:r>
            <w:r w:rsidRPr="0035027D">
              <w:rPr>
                <w:rFonts w:cs="Tahoma"/>
                <w:sz w:val="20"/>
                <w:szCs w:val="20"/>
              </w:rPr>
              <w:t>ilo v posledných troch mesiacoch internet na komunikáciu s verejnými inštitúciami (získanie informácii z web stránky, stiahnutie oficiálneho formulára alebo zaslanie vyplneného formulára).</w:t>
            </w:r>
          </w:p>
          <w:p w:rsidR="00E75296" w:rsidRPr="0035027D" w:rsidRDefault="00E75296" w:rsidP="00822C60">
            <w:pPr>
              <w:spacing w:after="0"/>
              <w:rPr>
                <w:rFonts w:cs="Tahoma"/>
                <w:sz w:val="20"/>
                <w:szCs w:val="20"/>
              </w:rPr>
            </w:pPr>
            <w:r w:rsidRPr="0035027D">
              <w:rPr>
                <w:rFonts w:cs="Tahoma"/>
                <w:sz w:val="20"/>
                <w:szCs w:val="20"/>
              </w:rPr>
              <w:t>Zdroj: Eurostat, výpo</w:t>
            </w:r>
            <w:r w:rsidRPr="0035027D">
              <w:rPr>
                <w:rFonts w:cs="Times New Roman"/>
                <w:sz w:val="20"/>
                <w:szCs w:val="20"/>
              </w:rPr>
              <w:t>č</w:t>
            </w:r>
            <w:r w:rsidRPr="0035027D">
              <w:rPr>
                <w:rFonts w:cs="Tahoma"/>
                <w:sz w:val="20"/>
                <w:szCs w:val="20"/>
              </w:rPr>
              <w:t>ty MF SR</w:t>
            </w:r>
          </w:p>
        </w:tc>
      </w:tr>
      <w:tr w:rsidR="00E75296" w:rsidRPr="0035027D" w:rsidTr="0037199A">
        <w:tc>
          <w:tcPr>
            <w:tcW w:w="1926" w:type="dxa"/>
            <w:tcMar>
              <w:top w:w="57" w:type="dxa"/>
              <w:bottom w:w="57" w:type="dxa"/>
            </w:tcMar>
          </w:tcPr>
          <w:p w:rsidR="00E75296" w:rsidRPr="0035027D" w:rsidRDefault="00E75296" w:rsidP="00822C60">
            <w:pPr>
              <w:spacing w:after="0"/>
              <w:jc w:val="left"/>
              <w:rPr>
                <w:rFonts w:cs="Tahoma"/>
                <w:b/>
                <w:bCs/>
                <w:sz w:val="20"/>
                <w:szCs w:val="20"/>
              </w:rPr>
            </w:pPr>
            <w:r w:rsidRPr="0035027D">
              <w:rPr>
                <w:rFonts w:cs="Tahoma"/>
                <w:b/>
                <w:bCs/>
                <w:sz w:val="20"/>
                <w:szCs w:val="20"/>
              </w:rPr>
              <w:t>Korupcia</w:t>
            </w:r>
          </w:p>
        </w:tc>
        <w:tc>
          <w:tcPr>
            <w:tcW w:w="8066" w:type="dxa"/>
            <w:tcMar>
              <w:top w:w="57" w:type="dxa"/>
              <w:bottom w:w="57" w:type="dxa"/>
            </w:tcMar>
          </w:tcPr>
          <w:p w:rsidR="00E75296" w:rsidRPr="0035027D" w:rsidRDefault="00E75296" w:rsidP="00822C60">
            <w:pPr>
              <w:spacing w:after="0"/>
              <w:rPr>
                <w:rFonts w:cs="Tahoma"/>
                <w:sz w:val="20"/>
                <w:szCs w:val="20"/>
              </w:rPr>
            </w:pPr>
            <w:r w:rsidRPr="0035027D">
              <w:rPr>
                <w:rFonts w:cs="Tahoma"/>
                <w:sz w:val="20"/>
                <w:szCs w:val="20"/>
              </w:rPr>
              <w:t>Ukazovate</w:t>
            </w:r>
            <w:r w:rsidRPr="0035027D">
              <w:rPr>
                <w:rFonts w:cs="Times New Roman"/>
                <w:sz w:val="20"/>
                <w:szCs w:val="20"/>
              </w:rPr>
              <w:t>ľ</w:t>
            </w:r>
            <w:r w:rsidRPr="0035027D">
              <w:rPr>
                <w:rFonts w:cs="Tahoma"/>
                <w:sz w:val="20"/>
                <w:szCs w:val="20"/>
              </w:rPr>
              <w:t xml:space="preserve"> Korupcia je zostavený ako priemer dvoch indexov zameriavajúcich sa na rôzne druhy korupcie: Skúsenos</w:t>
            </w:r>
            <w:r w:rsidRPr="0035027D">
              <w:rPr>
                <w:rFonts w:cs="Times New Roman"/>
                <w:sz w:val="20"/>
                <w:szCs w:val="20"/>
              </w:rPr>
              <w:t>ť</w:t>
            </w:r>
            <w:r w:rsidRPr="0035027D">
              <w:rPr>
                <w:rFonts w:cs="Tahoma"/>
                <w:sz w:val="20"/>
                <w:szCs w:val="20"/>
              </w:rPr>
              <w:t xml:space="preserve"> s korupciou medzi be</w:t>
            </w:r>
            <w:r w:rsidRPr="0035027D">
              <w:rPr>
                <w:rFonts w:cs="Times New Roman"/>
                <w:sz w:val="20"/>
                <w:szCs w:val="20"/>
              </w:rPr>
              <w:t>ž</w:t>
            </w:r>
            <w:r w:rsidRPr="0035027D">
              <w:rPr>
                <w:rFonts w:cs="Tahoma"/>
                <w:sz w:val="20"/>
                <w:szCs w:val="20"/>
              </w:rPr>
              <w:t xml:space="preserve">nou populáciou - prieskum </w:t>
            </w:r>
            <w:proofErr w:type="spellStart"/>
            <w:r w:rsidRPr="0035027D">
              <w:rPr>
                <w:rFonts w:cs="Tahoma"/>
                <w:sz w:val="20"/>
                <w:szCs w:val="20"/>
              </w:rPr>
              <w:t>Eurobarometra</w:t>
            </w:r>
            <w:proofErr w:type="spellEnd"/>
            <w:r w:rsidRPr="0035027D">
              <w:rPr>
                <w:rFonts w:cs="Tahoma"/>
                <w:sz w:val="20"/>
                <w:szCs w:val="20"/>
              </w:rPr>
              <w:t>. Zameriava sa na jednotlivé sektory, ako napr. polícia, colná správa, súdy, národní politici, regionálni politici, miestni politici, tendre, stavebné povolenia, podnikate</w:t>
            </w:r>
            <w:r w:rsidRPr="0035027D">
              <w:rPr>
                <w:rFonts w:cs="Times New Roman"/>
                <w:sz w:val="20"/>
                <w:szCs w:val="20"/>
              </w:rPr>
              <w:t>ľ</w:t>
            </w:r>
            <w:r w:rsidRPr="0035027D">
              <w:rPr>
                <w:rFonts w:cs="Tahoma"/>
                <w:sz w:val="20"/>
                <w:szCs w:val="20"/>
              </w:rPr>
              <w:t xml:space="preserve">ské oprávnenia, zdravotníctvo, školstvo, inšpekcia. Index vnímania korupcie </w:t>
            </w:r>
            <w:r w:rsidRPr="0035027D">
              <w:rPr>
                <w:rFonts w:cs="Tahoma"/>
                <w:sz w:val="20"/>
                <w:szCs w:val="20"/>
              </w:rPr>
              <w:lastRenderedPageBreak/>
              <w:t xml:space="preserve">(CPI) - </w:t>
            </w:r>
            <w:proofErr w:type="spellStart"/>
            <w:r w:rsidRPr="0035027D">
              <w:rPr>
                <w:rFonts w:cs="Tahoma"/>
                <w:sz w:val="20"/>
                <w:szCs w:val="20"/>
              </w:rPr>
              <w:t>Transparency</w:t>
            </w:r>
            <w:proofErr w:type="spellEnd"/>
            <w:r w:rsidRPr="0035027D">
              <w:rPr>
                <w:rFonts w:cs="Tahoma"/>
                <w:sz w:val="20"/>
                <w:szCs w:val="20"/>
              </w:rPr>
              <w:t xml:space="preserve"> </w:t>
            </w:r>
            <w:proofErr w:type="spellStart"/>
            <w:r w:rsidRPr="0035027D">
              <w:rPr>
                <w:rFonts w:cs="Tahoma"/>
                <w:sz w:val="20"/>
                <w:szCs w:val="20"/>
              </w:rPr>
              <w:t>International</w:t>
            </w:r>
            <w:proofErr w:type="spellEnd"/>
            <w:r w:rsidRPr="0035027D">
              <w:rPr>
                <w:rFonts w:cs="Tahoma"/>
                <w:sz w:val="20"/>
                <w:szCs w:val="20"/>
              </w:rPr>
              <w:t>, meria vnímanie korupcie na základe 5-10 zdrojových prieskumov podnikate</w:t>
            </w:r>
            <w:r w:rsidRPr="0035027D">
              <w:rPr>
                <w:rFonts w:cs="Times New Roman"/>
                <w:sz w:val="20"/>
                <w:szCs w:val="20"/>
              </w:rPr>
              <w:t>ľ</w:t>
            </w:r>
            <w:r w:rsidRPr="0035027D">
              <w:rPr>
                <w:rFonts w:cs="Tahoma"/>
                <w:sz w:val="20"/>
                <w:szCs w:val="20"/>
              </w:rPr>
              <w:t>ov a expertov pre ka</w:t>
            </w:r>
            <w:r w:rsidRPr="0035027D">
              <w:rPr>
                <w:rFonts w:cs="Times New Roman"/>
                <w:sz w:val="20"/>
                <w:szCs w:val="20"/>
              </w:rPr>
              <w:t>ž</w:t>
            </w:r>
            <w:r w:rsidRPr="0035027D">
              <w:rPr>
                <w:rFonts w:cs="Tahoma"/>
                <w:sz w:val="20"/>
                <w:szCs w:val="20"/>
              </w:rPr>
              <w:t>dú krajinu. Na Slovensku je zahrnutých osem prieskumov o vnímaní korupcie, 5</w:t>
            </w:r>
            <w:r w:rsidR="005E1922" w:rsidRPr="0035027D">
              <w:rPr>
                <w:rFonts w:cs="Tahoma"/>
                <w:sz w:val="20"/>
                <w:szCs w:val="20"/>
              </w:rPr>
              <w:t>0 %</w:t>
            </w:r>
            <w:r w:rsidRPr="0035027D">
              <w:rPr>
                <w:rFonts w:cs="Tahoma"/>
                <w:sz w:val="20"/>
                <w:szCs w:val="20"/>
              </w:rPr>
              <w:t xml:space="preserve"> váhy sú názory podnikate</w:t>
            </w:r>
            <w:r w:rsidRPr="0035027D">
              <w:rPr>
                <w:rFonts w:cs="Times New Roman"/>
                <w:sz w:val="20"/>
                <w:szCs w:val="20"/>
              </w:rPr>
              <w:t>ľ</w:t>
            </w:r>
            <w:r w:rsidRPr="0035027D">
              <w:rPr>
                <w:rFonts w:cs="Tahoma"/>
                <w:sz w:val="20"/>
                <w:szCs w:val="20"/>
              </w:rPr>
              <w:t>ov, a 5</w:t>
            </w:r>
            <w:r w:rsidR="005E1922" w:rsidRPr="0035027D">
              <w:rPr>
                <w:rFonts w:cs="Tahoma"/>
                <w:sz w:val="20"/>
                <w:szCs w:val="20"/>
              </w:rPr>
              <w:t>0 %</w:t>
            </w:r>
            <w:r w:rsidRPr="0035027D">
              <w:rPr>
                <w:rFonts w:cs="Tahoma"/>
                <w:sz w:val="20"/>
                <w:szCs w:val="20"/>
              </w:rPr>
              <w:t xml:space="preserve"> názory expertov.</w:t>
            </w:r>
          </w:p>
          <w:p w:rsidR="00E75296" w:rsidRPr="0035027D" w:rsidRDefault="00E75296" w:rsidP="00822C60">
            <w:pPr>
              <w:pStyle w:val="Hlavika"/>
              <w:tabs>
                <w:tab w:val="clear" w:pos="4536"/>
                <w:tab w:val="clear" w:pos="9072"/>
              </w:tabs>
              <w:spacing w:after="0"/>
              <w:rPr>
                <w:rFonts w:cs="Tahoma"/>
                <w:sz w:val="20"/>
                <w:szCs w:val="20"/>
              </w:rPr>
            </w:pPr>
            <w:r w:rsidRPr="0035027D">
              <w:rPr>
                <w:rFonts w:cs="Tahoma"/>
                <w:sz w:val="20"/>
                <w:szCs w:val="20"/>
              </w:rPr>
              <w:t xml:space="preserve">Zdroj: </w:t>
            </w:r>
            <w:proofErr w:type="spellStart"/>
            <w:r w:rsidRPr="0035027D">
              <w:rPr>
                <w:rFonts w:cs="Tahoma"/>
                <w:sz w:val="20"/>
                <w:szCs w:val="20"/>
              </w:rPr>
              <w:t>Transparency</w:t>
            </w:r>
            <w:proofErr w:type="spellEnd"/>
            <w:r w:rsidRPr="0035027D">
              <w:rPr>
                <w:rFonts w:cs="Tahoma"/>
                <w:sz w:val="20"/>
                <w:szCs w:val="20"/>
              </w:rPr>
              <w:t xml:space="preserve"> </w:t>
            </w:r>
            <w:proofErr w:type="spellStart"/>
            <w:r w:rsidRPr="0035027D">
              <w:rPr>
                <w:rFonts w:cs="Tahoma"/>
                <w:sz w:val="20"/>
                <w:szCs w:val="20"/>
              </w:rPr>
              <w:t>International</w:t>
            </w:r>
            <w:proofErr w:type="spellEnd"/>
            <w:r w:rsidRPr="0035027D">
              <w:rPr>
                <w:rFonts w:cs="Tahoma"/>
                <w:sz w:val="20"/>
                <w:szCs w:val="20"/>
              </w:rPr>
              <w:t xml:space="preserve">, </w:t>
            </w:r>
            <w:proofErr w:type="spellStart"/>
            <w:r w:rsidRPr="0035027D">
              <w:rPr>
                <w:rFonts w:cs="Tahoma"/>
                <w:sz w:val="20"/>
                <w:szCs w:val="20"/>
              </w:rPr>
              <w:t>Eurobarometer</w:t>
            </w:r>
            <w:proofErr w:type="spellEnd"/>
            <w:r w:rsidRPr="0035027D">
              <w:rPr>
                <w:rFonts w:cs="Tahoma"/>
                <w:sz w:val="20"/>
                <w:szCs w:val="20"/>
              </w:rPr>
              <w:t>, výpo</w:t>
            </w:r>
            <w:r w:rsidRPr="0035027D">
              <w:rPr>
                <w:rFonts w:cs="Times New Roman"/>
                <w:sz w:val="20"/>
                <w:szCs w:val="20"/>
              </w:rPr>
              <w:t>č</w:t>
            </w:r>
            <w:r w:rsidRPr="0035027D">
              <w:rPr>
                <w:rFonts w:cs="Tahoma"/>
                <w:sz w:val="20"/>
                <w:szCs w:val="20"/>
              </w:rPr>
              <w:t>ty MF SR</w:t>
            </w:r>
          </w:p>
        </w:tc>
      </w:tr>
      <w:tr w:rsidR="00E75296" w:rsidRPr="0035027D" w:rsidTr="0037199A">
        <w:tc>
          <w:tcPr>
            <w:tcW w:w="1926" w:type="dxa"/>
            <w:tcMar>
              <w:top w:w="57" w:type="dxa"/>
              <w:bottom w:w="57" w:type="dxa"/>
            </w:tcMar>
          </w:tcPr>
          <w:p w:rsidR="00E75296" w:rsidRPr="0035027D" w:rsidRDefault="00E75296" w:rsidP="00822C60">
            <w:pPr>
              <w:spacing w:after="0"/>
              <w:jc w:val="left"/>
              <w:rPr>
                <w:rFonts w:cs="Tahoma"/>
                <w:b/>
                <w:bCs/>
                <w:sz w:val="20"/>
                <w:szCs w:val="20"/>
              </w:rPr>
            </w:pPr>
            <w:r w:rsidRPr="0035027D">
              <w:rPr>
                <w:rFonts w:cs="Tahoma"/>
                <w:b/>
                <w:bCs/>
                <w:sz w:val="20"/>
                <w:szCs w:val="20"/>
              </w:rPr>
              <w:lastRenderedPageBreak/>
              <w:t xml:space="preserve">Roky zdravého života </w:t>
            </w:r>
          </w:p>
        </w:tc>
        <w:tc>
          <w:tcPr>
            <w:tcW w:w="8066" w:type="dxa"/>
            <w:tcMar>
              <w:top w:w="57" w:type="dxa"/>
              <w:bottom w:w="57" w:type="dxa"/>
            </w:tcMar>
          </w:tcPr>
          <w:p w:rsidR="00E75296" w:rsidRPr="0035027D" w:rsidRDefault="00E75296" w:rsidP="00822C60">
            <w:pPr>
              <w:spacing w:after="0"/>
              <w:rPr>
                <w:rFonts w:cs="Tahoma"/>
                <w:sz w:val="20"/>
                <w:szCs w:val="20"/>
              </w:rPr>
            </w:pPr>
            <w:r w:rsidRPr="0035027D">
              <w:rPr>
                <w:rFonts w:cs="Tahoma"/>
                <w:sz w:val="20"/>
                <w:szCs w:val="20"/>
              </w:rPr>
              <w:t>Po</w:t>
            </w:r>
            <w:r w:rsidRPr="0035027D">
              <w:rPr>
                <w:rFonts w:cs="Times New Roman"/>
                <w:sz w:val="20"/>
                <w:szCs w:val="20"/>
              </w:rPr>
              <w:t>č</w:t>
            </w:r>
            <w:r w:rsidRPr="0035027D">
              <w:rPr>
                <w:rFonts w:cs="Tahoma"/>
                <w:sz w:val="20"/>
                <w:szCs w:val="20"/>
              </w:rPr>
              <w:t>et rokov pre</w:t>
            </w:r>
            <w:r w:rsidRPr="0035027D">
              <w:rPr>
                <w:rFonts w:cs="Times New Roman"/>
                <w:sz w:val="20"/>
                <w:szCs w:val="20"/>
              </w:rPr>
              <w:t>ž</w:t>
            </w:r>
            <w:r w:rsidRPr="0035027D">
              <w:rPr>
                <w:rFonts w:cs="Tahoma"/>
                <w:sz w:val="20"/>
                <w:szCs w:val="20"/>
              </w:rPr>
              <w:t>itých v dobrom zdravotnom stave, ktoré je mo</w:t>
            </w:r>
            <w:r w:rsidRPr="0035027D">
              <w:rPr>
                <w:rFonts w:cs="Times New Roman"/>
                <w:sz w:val="20"/>
                <w:szCs w:val="20"/>
              </w:rPr>
              <w:t>ž</w:t>
            </w:r>
            <w:r w:rsidRPr="0035027D">
              <w:rPr>
                <w:rFonts w:cs="Tahoma"/>
                <w:sz w:val="20"/>
                <w:szCs w:val="20"/>
              </w:rPr>
              <w:t>né o</w:t>
            </w:r>
            <w:r w:rsidRPr="0035027D">
              <w:rPr>
                <w:rFonts w:cs="Times New Roman"/>
                <w:sz w:val="20"/>
                <w:szCs w:val="20"/>
              </w:rPr>
              <w:t>č</w:t>
            </w:r>
            <w:r w:rsidRPr="0035027D">
              <w:rPr>
                <w:rFonts w:cs="Tahoma"/>
                <w:sz w:val="20"/>
                <w:szCs w:val="20"/>
              </w:rPr>
              <w:t>akáva</w:t>
            </w:r>
            <w:r w:rsidRPr="0035027D">
              <w:rPr>
                <w:rFonts w:cs="Times New Roman"/>
                <w:sz w:val="20"/>
                <w:szCs w:val="20"/>
              </w:rPr>
              <w:t>ť</w:t>
            </w:r>
            <w:r w:rsidRPr="0035027D">
              <w:rPr>
                <w:rFonts w:cs="Tahoma"/>
                <w:sz w:val="20"/>
                <w:szCs w:val="20"/>
              </w:rPr>
              <w:t xml:space="preserve"> pri narodení. Ukazovate</w:t>
            </w:r>
            <w:r w:rsidRPr="0035027D">
              <w:rPr>
                <w:rFonts w:cs="Times New Roman"/>
                <w:sz w:val="20"/>
                <w:szCs w:val="20"/>
              </w:rPr>
              <w:t>ľ</w:t>
            </w:r>
            <w:r w:rsidRPr="0035027D">
              <w:rPr>
                <w:rFonts w:cs="Tahoma"/>
                <w:sz w:val="20"/>
                <w:szCs w:val="20"/>
              </w:rPr>
              <w:t xml:space="preserve"> kombinuje údaje o mortalite a morbidite v danej krajine. Dobrý zdravotný stav je definovaný neprítomnos</w:t>
            </w:r>
            <w:r w:rsidRPr="0035027D">
              <w:rPr>
                <w:rFonts w:cs="Times New Roman"/>
                <w:sz w:val="20"/>
                <w:szCs w:val="20"/>
              </w:rPr>
              <w:t>ť</w:t>
            </w:r>
            <w:r w:rsidRPr="0035027D">
              <w:rPr>
                <w:rFonts w:cs="Tahoma"/>
                <w:sz w:val="20"/>
                <w:szCs w:val="20"/>
              </w:rPr>
              <w:t>ou invalidity alebo obmedzení v ka</w:t>
            </w:r>
            <w:r w:rsidRPr="0035027D">
              <w:rPr>
                <w:rFonts w:cs="Times New Roman"/>
                <w:sz w:val="20"/>
                <w:szCs w:val="20"/>
              </w:rPr>
              <w:t>ž</w:t>
            </w:r>
            <w:r w:rsidRPr="0035027D">
              <w:rPr>
                <w:rFonts w:cs="Tahoma"/>
                <w:sz w:val="20"/>
                <w:szCs w:val="20"/>
              </w:rPr>
              <w:t xml:space="preserve">dodennom </w:t>
            </w:r>
            <w:r w:rsidRPr="0035027D">
              <w:rPr>
                <w:rFonts w:cs="Times New Roman"/>
                <w:sz w:val="20"/>
                <w:szCs w:val="20"/>
              </w:rPr>
              <w:t>ž</w:t>
            </w:r>
            <w:r w:rsidRPr="0035027D">
              <w:rPr>
                <w:rFonts w:cs="Tahoma"/>
                <w:sz w:val="20"/>
                <w:szCs w:val="20"/>
              </w:rPr>
              <w:t xml:space="preserve">ivote. Nazýva sa aj roky </w:t>
            </w:r>
            <w:r w:rsidRPr="0035027D">
              <w:rPr>
                <w:rFonts w:cs="Times New Roman"/>
                <w:sz w:val="20"/>
                <w:szCs w:val="20"/>
              </w:rPr>
              <w:t>ž</w:t>
            </w:r>
            <w:r w:rsidRPr="0035027D">
              <w:rPr>
                <w:rFonts w:cs="Tahoma"/>
                <w:sz w:val="20"/>
                <w:szCs w:val="20"/>
              </w:rPr>
              <w:t>ivota bez hendikepu (</w:t>
            </w:r>
            <w:proofErr w:type="spellStart"/>
            <w:r w:rsidRPr="0035027D">
              <w:rPr>
                <w:rFonts w:cs="Tahoma"/>
                <w:sz w:val="20"/>
                <w:szCs w:val="20"/>
              </w:rPr>
              <w:t>disability-free</w:t>
            </w:r>
            <w:proofErr w:type="spellEnd"/>
            <w:r w:rsidRPr="0035027D">
              <w:rPr>
                <w:rFonts w:cs="Tahoma"/>
                <w:sz w:val="20"/>
                <w:szCs w:val="20"/>
              </w:rPr>
              <w:t xml:space="preserve"> </w:t>
            </w:r>
            <w:proofErr w:type="spellStart"/>
            <w:r w:rsidRPr="0035027D">
              <w:rPr>
                <w:rFonts w:cs="Tahoma"/>
                <w:sz w:val="20"/>
                <w:szCs w:val="20"/>
              </w:rPr>
              <w:t>life</w:t>
            </w:r>
            <w:proofErr w:type="spellEnd"/>
            <w:r w:rsidRPr="0035027D">
              <w:rPr>
                <w:rFonts w:cs="Tahoma"/>
                <w:sz w:val="20"/>
                <w:szCs w:val="20"/>
              </w:rPr>
              <w:t xml:space="preserve"> </w:t>
            </w:r>
            <w:proofErr w:type="spellStart"/>
            <w:r w:rsidRPr="0035027D">
              <w:rPr>
                <w:rFonts w:cs="Tahoma"/>
                <w:sz w:val="20"/>
                <w:szCs w:val="20"/>
              </w:rPr>
              <w:t>years</w:t>
            </w:r>
            <w:proofErr w:type="spellEnd"/>
            <w:r w:rsidRPr="0035027D">
              <w:rPr>
                <w:rFonts w:cs="Tahoma"/>
                <w:sz w:val="20"/>
                <w:szCs w:val="20"/>
              </w:rPr>
              <w:t>, DFLY).</w:t>
            </w:r>
          </w:p>
          <w:p w:rsidR="00E75296" w:rsidRPr="0035027D" w:rsidRDefault="00E75296" w:rsidP="00822C60">
            <w:pPr>
              <w:spacing w:after="0"/>
              <w:rPr>
                <w:rFonts w:cs="Tahoma"/>
                <w:sz w:val="20"/>
                <w:szCs w:val="20"/>
              </w:rPr>
            </w:pPr>
            <w:r w:rsidRPr="0035027D">
              <w:rPr>
                <w:rFonts w:cs="Tahoma"/>
                <w:sz w:val="20"/>
                <w:szCs w:val="20"/>
              </w:rPr>
              <w:t>Zdroj: Eurostat</w:t>
            </w:r>
          </w:p>
        </w:tc>
      </w:tr>
    </w:tbl>
    <w:p w:rsidR="00E75296" w:rsidRPr="0035027D" w:rsidRDefault="00E75296" w:rsidP="00561F4D">
      <w:pPr>
        <w:spacing w:after="0"/>
      </w:pPr>
    </w:p>
    <w:p w:rsidR="00713957" w:rsidRPr="0035027D" w:rsidRDefault="00713957" w:rsidP="00F90C35">
      <w:pPr>
        <w:pStyle w:val="Nadpis1"/>
        <w:tabs>
          <w:tab w:val="clear" w:pos="432"/>
        </w:tabs>
        <w:spacing w:before="0" w:after="0"/>
      </w:pPr>
    </w:p>
    <w:sectPr w:rsidR="00713957" w:rsidRPr="0035027D" w:rsidSect="000A772A">
      <w:headerReference w:type="default" r:id="rId42"/>
      <w:pgSz w:w="11906" w:h="16838" w:code="9"/>
      <w:pgMar w:top="1393" w:right="1418" w:bottom="1418"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5AF" w:rsidRDefault="00B225AF" w:rsidP="001D64D0">
      <w:r>
        <w:separator/>
      </w:r>
    </w:p>
  </w:endnote>
  <w:endnote w:type="continuationSeparator" w:id="0">
    <w:p w:rsidR="00B225AF" w:rsidRDefault="00B225AF" w:rsidP="001D64D0">
      <w:r>
        <w:continuationSeparator/>
      </w:r>
    </w:p>
  </w:endnote>
  <w:endnote w:type="continuationNotice" w:id="1">
    <w:p w:rsidR="00B225AF" w:rsidRDefault="00B225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5AF" w:rsidRDefault="00B225AF">
    <w:pPr>
      <w:pStyle w:val="Pta"/>
      <w:jc w:val="center"/>
    </w:pPr>
    <w:r>
      <w:fldChar w:fldCharType="begin"/>
    </w:r>
    <w:r>
      <w:instrText xml:space="preserve"> PAGE   \* MERGEFORMAT </w:instrText>
    </w:r>
    <w:r>
      <w:fldChar w:fldCharType="separate"/>
    </w:r>
    <w:r w:rsidR="00B45609">
      <w:rPr>
        <w:noProof/>
      </w:rPr>
      <w:t>2</w:t>
    </w:r>
    <w:r>
      <w:fldChar w:fldCharType="end"/>
    </w:r>
  </w:p>
  <w:p w:rsidR="00B225AF" w:rsidRDefault="00B225AF" w:rsidP="00191EDB">
    <w:pPr>
      <w:pStyle w:val="Pt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5AF" w:rsidRDefault="00B225AF">
    <w:pPr>
      <w:pStyle w:val="Pta"/>
      <w:jc w:val="center"/>
    </w:pPr>
  </w:p>
  <w:p w:rsidR="00B225AF" w:rsidRDefault="00B225AF" w:rsidP="00191EDB">
    <w:pPr>
      <w:pStyle w:val="Pt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5AF" w:rsidRDefault="00B225AF" w:rsidP="001D64D0">
      <w:r>
        <w:separator/>
      </w:r>
    </w:p>
  </w:footnote>
  <w:footnote w:type="continuationSeparator" w:id="0">
    <w:p w:rsidR="00B225AF" w:rsidRDefault="00B225AF" w:rsidP="001D64D0">
      <w:r>
        <w:continuationSeparator/>
      </w:r>
    </w:p>
  </w:footnote>
  <w:footnote w:type="continuationNotice" w:id="1">
    <w:p w:rsidR="00B225AF" w:rsidRDefault="00B225AF">
      <w:pPr>
        <w:spacing w:after="0"/>
      </w:pPr>
    </w:p>
  </w:footnote>
  <w:footnote w:id="2">
    <w:p w:rsidR="00D021BE" w:rsidRDefault="00D021BE">
      <w:pPr>
        <w:pStyle w:val="Textpoznmkypodiarou"/>
      </w:pPr>
      <w:r>
        <w:rPr>
          <w:rStyle w:val="Odkaznapoznmkupodiarou"/>
        </w:rPr>
        <w:footnoteRef/>
      </w:r>
      <w:r>
        <w:t xml:space="preserve"> </w:t>
      </w:r>
      <w:r>
        <w:t>t.j. Česká republika, Poľsko a Maďarsko</w:t>
      </w:r>
    </w:p>
  </w:footnote>
  <w:footnote w:id="3">
    <w:p w:rsidR="00B225AF" w:rsidRDefault="00B225AF" w:rsidP="0088758A">
      <w:pPr>
        <w:pStyle w:val="Textpoznmkypodiarou"/>
      </w:pPr>
      <w:r w:rsidRPr="00D44F76">
        <w:rPr>
          <w:rStyle w:val="Odkaznapoznmkupodiarou"/>
          <w:sz w:val="18"/>
        </w:rPr>
        <w:footnoteRef/>
      </w:r>
      <w:r w:rsidRPr="00D44F76">
        <w:rPr>
          <w:sz w:val="18"/>
        </w:rPr>
        <w:t xml:space="preserve"> </w:t>
      </w:r>
      <w:r w:rsidRPr="00D44F76">
        <w:rPr>
          <w:sz w:val="16"/>
        </w:rPr>
        <w:t>Často označovaného ako „PISA“ pre dospelých.</w:t>
      </w:r>
    </w:p>
  </w:footnote>
  <w:footnote w:id="4">
    <w:p w:rsidR="00B225AF" w:rsidRPr="00451396" w:rsidRDefault="00B225AF" w:rsidP="00051AED">
      <w:pPr>
        <w:pStyle w:val="Textpoznmkypodiarou"/>
        <w:spacing w:after="0"/>
        <w:rPr>
          <w:sz w:val="16"/>
          <w:szCs w:val="16"/>
        </w:rPr>
      </w:pPr>
      <w:r>
        <w:rPr>
          <w:rStyle w:val="Odkaznapoznmkupodiarou"/>
        </w:rPr>
        <w:footnoteRef/>
      </w:r>
      <w:r>
        <w:t xml:space="preserve"> </w:t>
      </w:r>
      <w:r w:rsidRPr="00451396">
        <w:rPr>
          <w:sz w:val="16"/>
          <w:szCs w:val="16"/>
        </w:rPr>
        <w:t>Prijímateľom oboch projektov je Ústredie práce, sociálnych vecí a rodiny (ÚPSVR)</w:t>
      </w:r>
      <w:r>
        <w:rPr>
          <w:sz w:val="16"/>
          <w:szCs w:val="16"/>
        </w:rPr>
        <w:t>.</w:t>
      </w:r>
    </w:p>
  </w:footnote>
  <w:footnote w:id="5">
    <w:p w:rsidR="00B225AF" w:rsidRDefault="00B225AF" w:rsidP="00051AED">
      <w:pPr>
        <w:pStyle w:val="Textpoznmkypodiarou"/>
      </w:pPr>
      <w:r>
        <w:rPr>
          <w:rStyle w:val="Odkaznapoznmkupodiarou"/>
        </w:rPr>
        <w:footnoteRef/>
      </w:r>
      <w:r>
        <w:t xml:space="preserve"> </w:t>
      </w:r>
      <w:r w:rsidRPr="00743EB2">
        <w:rPr>
          <w:sz w:val="16"/>
          <w:szCs w:val="16"/>
        </w:rPr>
        <w:t>Riadiacim orgánom je Ministerstvo hospodárstva</w:t>
      </w:r>
      <w:r>
        <w:rPr>
          <w:sz w:val="16"/>
          <w:szCs w:val="16"/>
        </w:rPr>
        <w:t xml:space="preserve"> SR.</w:t>
      </w:r>
      <w:r>
        <w:t xml:space="preserve"> </w:t>
      </w:r>
    </w:p>
  </w:footnote>
  <w:footnote w:id="6">
    <w:p w:rsidR="00B225AF" w:rsidRPr="00D44F76" w:rsidRDefault="00B225AF" w:rsidP="00D44F76">
      <w:pPr>
        <w:pStyle w:val="Textpoznmkypodiarou"/>
        <w:rPr>
          <w:sz w:val="16"/>
          <w:szCs w:val="16"/>
        </w:rPr>
      </w:pPr>
      <w:r w:rsidRPr="00D44F76">
        <w:rPr>
          <w:rStyle w:val="Odkaznapoznmkupodiarou"/>
          <w:sz w:val="16"/>
          <w:szCs w:val="16"/>
        </w:rPr>
        <w:footnoteRef/>
      </w:r>
      <w:r w:rsidRPr="00D44F76">
        <w:rPr>
          <w:sz w:val="16"/>
          <w:szCs w:val="16"/>
        </w:rPr>
        <w:t xml:space="preserve"> Európske štrukturálne a investičné fondy (pôvodne fondy Spoločného strategického rámca EÚ) - Európsky fond regionálneho rozvoja, Európsky sociálny fond, Kohézny fond, Európsky poľnohospodársky fond pre rozvoj vidieka a Európsky fond pre námorné otázky a rybné hospodárstvo. </w:t>
      </w:r>
    </w:p>
  </w:footnote>
  <w:footnote w:id="7">
    <w:p w:rsidR="00B225AF" w:rsidRDefault="00B225AF" w:rsidP="00D44F76">
      <w:pPr>
        <w:pStyle w:val="Textpoznmkypodiarou"/>
      </w:pPr>
      <w:r w:rsidRPr="00D44F76">
        <w:rPr>
          <w:rStyle w:val="Odkaznapoznmkupodiarou"/>
          <w:sz w:val="16"/>
          <w:szCs w:val="16"/>
        </w:rPr>
        <w:footnoteRef/>
      </w:r>
      <w:r w:rsidRPr="00D44F76">
        <w:rPr>
          <w:sz w:val="16"/>
          <w:szCs w:val="16"/>
        </w:rPr>
        <w:t xml:space="preserve"> "Európsky semester" je šesťmesačný cyklus, počas ktorého členské štáty EÚ každý rok efektívne koordinujú svoje rozpočtové, makroekonomické a štrukturálne politiky. Tento proces umožňuje členským štátom EÚ zohľadniť odporúčania EÚ ešte v štádiu prípravy svojich rozpočtov a pri tvorbe hospodárskych politík.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5AF" w:rsidRPr="00310BB8" w:rsidRDefault="00B225AF" w:rsidP="00191EDB">
    <w:pPr>
      <w:pStyle w:val="Hlavika"/>
      <w:tabs>
        <w:tab w:val="clear" w:pos="9072"/>
        <w:tab w:val="left" w:pos="720"/>
        <w:tab w:val="right" w:pos="9540"/>
      </w:tabs>
      <w:rPr>
        <w:b/>
        <w:bCs/>
        <w:sz w:val="20"/>
        <w:szCs w:val="20"/>
      </w:rPr>
    </w:pPr>
    <w:r>
      <w:rPr>
        <w:b/>
        <w:bCs/>
      </w:rPr>
      <w:t xml:space="preserve"> </w:t>
    </w:r>
    <w:r>
      <w:rPr>
        <w:b/>
        <w:bCs/>
      </w:rPr>
      <w:tab/>
    </w:r>
  </w:p>
  <w:p w:rsidR="00B225AF" w:rsidRPr="00310BB8" w:rsidRDefault="00B225AF" w:rsidP="00837C91">
    <w:pPr>
      <w:pStyle w:val="Hlavika"/>
      <w:tabs>
        <w:tab w:val="clear" w:pos="9072"/>
        <w:tab w:val="left" w:pos="720"/>
        <w:tab w:val="right" w:pos="9540"/>
      </w:tabs>
      <w:spacing w:after="0"/>
      <w:rPr>
        <w:b/>
        <w:bCs/>
        <w:sz w:val="20"/>
        <w:szCs w:val="20"/>
      </w:rPr>
    </w:pPr>
    <w:r w:rsidRPr="00310BB8">
      <w:rPr>
        <w:b/>
        <w:bCs/>
        <w:sz w:val="20"/>
        <w:szCs w:val="20"/>
      </w:rPr>
      <w:tab/>
    </w:r>
  </w:p>
  <w:p w:rsidR="00B225AF" w:rsidRPr="0064347A" w:rsidRDefault="00B225AF" w:rsidP="00837C91">
    <w:pPr>
      <w:pStyle w:val="Hlavika"/>
      <w:tabs>
        <w:tab w:val="clear" w:pos="4536"/>
        <w:tab w:val="clear" w:pos="9072"/>
        <w:tab w:val="left" w:pos="720"/>
        <w:tab w:val="right" w:pos="9000"/>
        <w:tab w:val="right" w:pos="9540"/>
      </w:tabs>
      <w:spacing w:after="0"/>
    </w:pPr>
    <w:r>
      <w:rPr>
        <w:noProof/>
      </w:rPr>
      <w:drawing>
        <wp:anchor distT="0" distB="0" distL="114300" distR="114300" simplePos="0" relativeHeight="251655168" behindDoc="0" locked="0" layoutInCell="1" allowOverlap="0" wp14:anchorId="62201765" wp14:editId="042E670B">
          <wp:simplePos x="0" y="0"/>
          <wp:positionH relativeFrom="column">
            <wp:posOffset>0</wp:posOffset>
          </wp:positionH>
          <wp:positionV relativeFrom="paragraph">
            <wp:posOffset>7620</wp:posOffset>
          </wp:positionV>
          <wp:extent cx="323850" cy="373380"/>
          <wp:effectExtent l="19050" t="0" r="0" b="0"/>
          <wp:wrapNone/>
          <wp:docPr id="15"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srcRect/>
                  <a:stretch>
                    <a:fillRect/>
                  </a:stretch>
                </pic:blipFill>
                <pic:spPr bwMode="auto">
                  <a:xfrm>
                    <a:off x="0" y="0"/>
                    <a:ext cx="323850" cy="373380"/>
                  </a:xfrm>
                  <a:prstGeom prst="rect">
                    <a:avLst/>
                  </a:prstGeom>
                  <a:noFill/>
                </pic:spPr>
              </pic:pic>
            </a:graphicData>
          </a:graphic>
        </wp:anchor>
      </w:drawing>
    </w:r>
    <w:r>
      <w:rPr>
        <w:b/>
        <w:bCs/>
      </w:rPr>
      <w:tab/>
    </w:r>
    <w:r w:rsidRPr="0064347A">
      <w:rPr>
        <w:b/>
        <w:bCs/>
      </w:rPr>
      <w:t>Národný program reforiem</w:t>
    </w:r>
    <w:r w:rsidRPr="0064347A">
      <w:rPr>
        <w:b/>
        <w:bCs/>
      </w:rPr>
      <w:tab/>
    </w:r>
    <w:r>
      <w:t>POLITICKÉ ZÁVÄZKY</w:t>
    </w:r>
  </w:p>
  <w:p w:rsidR="00B225AF" w:rsidRPr="00B71B42" w:rsidRDefault="00B225AF" w:rsidP="00837C91">
    <w:pPr>
      <w:pStyle w:val="Hlavika"/>
      <w:tabs>
        <w:tab w:val="clear" w:pos="4536"/>
        <w:tab w:val="clear" w:pos="9072"/>
        <w:tab w:val="left" w:pos="720"/>
        <w:tab w:val="right" w:pos="9000"/>
      </w:tabs>
      <w:spacing w:after="0"/>
      <w:rPr>
        <w:b/>
        <w:bCs/>
      </w:rPr>
    </w:pPr>
    <w:r w:rsidRPr="00162203">
      <w:rPr>
        <w:b/>
        <w:bCs/>
        <w:color w:val="1F497D"/>
      </w:rPr>
      <w:tab/>
    </w:r>
    <w:r w:rsidRPr="00B71B42">
      <w:rPr>
        <w:b/>
        <w:bCs/>
      </w:rPr>
      <w:t>Slovenskej republiky 2011 - 2014</w:t>
    </w:r>
    <w:r w:rsidRPr="00B71B42">
      <w:rPr>
        <w:b/>
        <w:bCs/>
      </w:rPr>
      <w:tab/>
    </w:r>
    <w:r w:rsidRPr="001F6BA3">
      <w:rPr>
        <w:bCs/>
      </w:rPr>
      <w:t>VLÁDY SR</w:t>
    </w:r>
  </w:p>
  <w:p w:rsidR="00B225AF" w:rsidRPr="009C03E3" w:rsidRDefault="00B225AF" w:rsidP="00191EDB">
    <w:pPr>
      <w:pStyle w:val="Hlavika"/>
      <w:tabs>
        <w:tab w:val="clear" w:pos="9072"/>
        <w:tab w:val="left" w:pos="567"/>
        <w:tab w:val="left" w:pos="6300"/>
      </w:tabs>
    </w:pPr>
    <w:r>
      <w:rPr>
        <w:noProof/>
      </w:rPr>
      <mc:AlternateContent>
        <mc:Choice Requires="wps">
          <w:drawing>
            <wp:anchor distT="4294967291" distB="4294967291" distL="114300" distR="114300" simplePos="0" relativeHeight="251654144" behindDoc="0" locked="0" layoutInCell="1" allowOverlap="1" wp14:anchorId="0333D350" wp14:editId="763E4E05">
              <wp:simplePos x="0" y="0"/>
              <wp:positionH relativeFrom="column">
                <wp:posOffset>0</wp:posOffset>
              </wp:positionH>
              <wp:positionV relativeFrom="paragraph">
                <wp:posOffset>108584</wp:posOffset>
              </wp:positionV>
              <wp:extent cx="5715000" cy="0"/>
              <wp:effectExtent l="0" t="0" r="19050" b="1905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54144;visibility:visible;mso-wrap-style:square;mso-width-percent:0;mso-height-percent:0;mso-wrap-distance-left:9pt;mso-wrap-distance-top:-5emu;mso-wrap-distance-right:9pt;mso-wrap-distance-bottom:-5emu;mso-position-horizontal:absolute;mso-position-horizontal-relative:text;mso-position-vertical:absolute;mso-position-vertical-relative:text;mso-width-percent:0;mso-height-percent:0;mso-width-relative:page;mso-height-relative:page" from="0,8.55pt" to="450pt,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Uu4xICAAAp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"/>
          </w:pict>
        </mc:Fallback>
      </mc:AlternateContent>
    </w:r>
  </w:p>
  <w:p w:rsidR="00B225AF" w:rsidRDefault="00B225A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5AF" w:rsidRPr="00310BB8" w:rsidRDefault="00B225AF" w:rsidP="00B81A21">
    <w:pPr>
      <w:pStyle w:val="Hlavika"/>
      <w:tabs>
        <w:tab w:val="clear" w:pos="9072"/>
        <w:tab w:val="left" w:pos="720"/>
        <w:tab w:val="right" w:pos="9540"/>
      </w:tabs>
      <w:spacing w:after="0"/>
      <w:rPr>
        <w:b/>
        <w:bCs/>
        <w:sz w:val="20"/>
        <w:szCs w:val="20"/>
      </w:rPr>
    </w:pPr>
    <w:r>
      <w:rPr>
        <w:b/>
        <w:bCs/>
      </w:rPr>
      <w:t xml:space="preserve"> </w:t>
    </w:r>
    <w:r>
      <w:rPr>
        <w:b/>
        <w:bCs/>
      </w:rPr>
      <w:tab/>
    </w:r>
  </w:p>
  <w:p w:rsidR="00B225AF" w:rsidRPr="00310BB8" w:rsidRDefault="00B225AF" w:rsidP="00B81A21">
    <w:pPr>
      <w:pStyle w:val="Hlavika"/>
      <w:tabs>
        <w:tab w:val="clear" w:pos="9072"/>
        <w:tab w:val="left" w:pos="720"/>
        <w:tab w:val="right" w:pos="9540"/>
      </w:tabs>
      <w:spacing w:after="0"/>
      <w:rPr>
        <w:b/>
        <w:bCs/>
        <w:sz w:val="20"/>
        <w:szCs w:val="20"/>
      </w:rPr>
    </w:pPr>
    <w:r>
      <w:rPr>
        <w:noProof/>
      </w:rPr>
      <w:drawing>
        <wp:anchor distT="0" distB="0" distL="114300" distR="114300" simplePos="0" relativeHeight="251659264" behindDoc="0" locked="0" layoutInCell="1" allowOverlap="0" wp14:anchorId="4F440B3B" wp14:editId="006FB91E">
          <wp:simplePos x="0" y="0"/>
          <wp:positionH relativeFrom="column">
            <wp:posOffset>57150</wp:posOffset>
          </wp:positionH>
          <wp:positionV relativeFrom="paragraph">
            <wp:posOffset>144145</wp:posOffset>
          </wp:positionV>
          <wp:extent cx="323850" cy="373380"/>
          <wp:effectExtent l="19050" t="0" r="0" b="0"/>
          <wp:wrapNone/>
          <wp:docPr id="2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srcRect/>
                  <a:stretch>
                    <a:fillRect/>
                  </a:stretch>
                </pic:blipFill>
                <pic:spPr bwMode="auto">
                  <a:xfrm>
                    <a:off x="0" y="0"/>
                    <a:ext cx="323850" cy="373380"/>
                  </a:xfrm>
                  <a:prstGeom prst="rect">
                    <a:avLst/>
                  </a:prstGeom>
                  <a:noFill/>
                </pic:spPr>
              </pic:pic>
            </a:graphicData>
          </a:graphic>
        </wp:anchor>
      </w:drawing>
    </w:r>
    <w:r w:rsidRPr="00310BB8">
      <w:rPr>
        <w:b/>
        <w:bCs/>
        <w:sz w:val="20"/>
        <w:szCs w:val="20"/>
      </w:rPr>
      <w:tab/>
    </w:r>
  </w:p>
  <w:p w:rsidR="00B225AF" w:rsidRPr="0064347A" w:rsidRDefault="00B225AF" w:rsidP="003B7F7A">
    <w:pPr>
      <w:pStyle w:val="Hlavika"/>
      <w:tabs>
        <w:tab w:val="clear" w:pos="4536"/>
        <w:tab w:val="clear" w:pos="9072"/>
        <w:tab w:val="left" w:pos="720"/>
        <w:tab w:val="right" w:pos="9000"/>
        <w:tab w:val="right" w:pos="9540"/>
      </w:tabs>
      <w:spacing w:after="0"/>
    </w:pPr>
    <w:r>
      <w:rPr>
        <w:b/>
        <w:bCs/>
      </w:rPr>
      <w:tab/>
    </w:r>
    <w:r w:rsidRPr="0064347A">
      <w:rPr>
        <w:b/>
        <w:bCs/>
      </w:rPr>
      <w:t>Národný program reforiem</w:t>
    </w:r>
    <w:r w:rsidRPr="0064347A">
      <w:rPr>
        <w:b/>
        <w:bCs/>
      </w:rPr>
      <w:tab/>
    </w:r>
    <w:r w:rsidRPr="0064347A">
      <w:t xml:space="preserve"> </w:t>
    </w:r>
  </w:p>
  <w:p w:rsidR="00B225AF" w:rsidRPr="00757527" w:rsidRDefault="00B225AF" w:rsidP="003B7F7A">
    <w:pPr>
      <w:pStyle w:val="Hlavika"/>
      <w:tabs>
        <w:tab w:val="clear" w:pos="4536"/>
        <w:tab w:val="clear" w:pos="9072"/>
        <w:tab w:val="left" w:pos="720"/>
        <w:tab w:val="right" w:pos="9000"/>
        <w:tab w:val="right" w:pos="9540"/>
      </w:tabs>
      <w:spacing w:after="0"/>
      <w:rPr>
        <w:b/>
        <w:bCs/>
      </w:rPr>
    </w:pPr>
    <w:r w:rsidRPr="0064347A">
      <w:rPr>
        <w:b/>
        <w:bCs/>
      </w:rPr>
      <w:tab/>
    </w:r>
    <w:r>
      <w:rPr>
        <w:b/>
        <w:bCs/>
      </w:rPr>
      <w:t>Slovenskej republiky 201</w:t>
    </w:r>
    <w:r>
      <w:rPr>
        <w:noProof/>
      </w:rPr>
      <mc:AlternateContent>
        <mc:Choice Requires="wps">
          <w:drawing>
            <wp:anchor distT="4294967291" distB="4294967291" distL="114300" distR="114300" simplePos="0" relativeHeight="251658240" behindDoc="0" locked="0" layoutInCell="1" allowOverlap="1" wp14:anchorId="591D6FD7" wp14:editId="595870EF">
              <wp:simplePos x="0" y="0"/>
              <wp:positionH relativeFrom="column">
                <wp:posOffset>0</wp:posOffset>
              </wp:positionH>
              <wp:positionV relativeFrom="paragraph">
                <wp:posOffset>108584</wp:posOffset>
              </wp:positionV>
              <wp:extent cx="5715000" cy="0"/>
              <wp:effectExtent l="0" t="0" r="19050" b="1905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6" o:spid="_x0000_s1026" style="position:absolute;z-index:251658240;visibility:visible;mso-wrap-style:square;mso-width-percent:0;mso-height-percent:0;mso-wrap-distance-left:9pt;mso-wrap-distance-top:-5emu;mso-wrap-distance-right:9pt;mso-wrap-distance-bottom:-5emu;mso-position-horizontal:absolute;mso-position-horizontal-relative:text;mso-position-vertical:absolute;mso-position-vertical-relative:text;mso-width-percent:0;mso-height-percent:0;mso-width-relative:page;mso-height-relative:page" from="0,8.55pt" to="450pt,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xSRICAAAp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"/>
          </w:pict>
        </mc:Fallback>
      </mc:AlternateContent>
    </w:r>
    <w:r>
      <w:rPr>
        <w:b/>
        <w:bCs/>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5AF" w:rsidRPr="00310BB8" w:rsidRDefault="00B225AF" w:rsidP="00B81A21">
    <w:pPr>
      <w:pStyle w:val="Hlavika"/>
      <w:tabs>
        <w:tab w:val="clear" w:pos="9072"/>
        <w:tab w:val="left" w:pos="720"/>
        <w:tab w:val="right" w:pos="9540"/>
      </w:tabs>
      <w:spacing w:after="0"/>
      <w:rPr>
        <w:b/>
        <w:bCs/>
        <w:sz w:val="20"/>
        <w:szCs w:val="20"/>
      </w:rPr>
    </w:pPr>
    <w:r>
      <w:rPr>
        <w:b/>
        <w:bCs/>
      </w:rPr>
      <w:t xml:space="preserve"> </w:t>
    </w:r>
    <w:r>
      <w:rPr>
        <w:b/>
        <w:bCs/>
      </w:rPr>
      <w:tab/>
    </w:r>
  </w:p>
  <w:p w:rsidR="00B225AF" w:rsidRPr="00310BB8" w:rsidRDefault="00B225AF" w:rsidP="00B81A21">
    <w:pPr>
      <w:pStyle w:val="Hlavika"/>
      <w:tabs>
        <w:tab w:val="clear" w:pos="9072"/>
        <w:tab w:val="left" w:pos="720"/>
        <w:tab w:val="right" w:pos="9540"/>
      </w:tabs>
      <w:spacing w:after="0"/>
      <w:rPr>
        <w:b/>
        <w:bCs/>
        <w:sz w:val="20"/>
        <w:szCs w:val="20"/>
      </w:rPr>
    </w:pPr>
    <w:r w:rsidRPr="00310BB8">
      <w:rPr>
        <w:b/>
        <w:bCs/>
        <w:sz w:val="20"/>
        <w:szCs w:val="20"/>
      </w:rPr>
      <w:tab/>
    </w:r>
  </w:p>
  <w:p w:rsidR="00B225AF" w:rsidRPr="007953DD" w:rsidRDefault="00B225AF" w:rsidP="00D07216">
    <w:pPr>
      <w:pStyle w:val="Hlavika"/>
      <w:tabs>
        <w:tab w:val="clear" w:pos="4536"/>
        <w:tab w:val="clear" w:pos="9072"/>
        <w:tab w:val="left" w:pos="720"/>
        <w:tab w:val="right" w:pos="9000"/>
        <w:tab w:val="right" w:pos="13860"/>
      </w:tabs>
      <w:spacing w:after="0"/>
    </w:pPr>
    <w:r>
      <w:rPr>
        <w:noProof/>
      </w:rPr>
      <w:drawing>
        <wp:anchor distT="0" distB="0" distL="114300" distR="114300" simplePos="0" relativeHeight="251661312" behindDoc="0" locked="0" layoutInCell="1" allowOverlap="0" wp14:anchorId="473C9A8D" wp14:editId="7B01E544">
          <wp:simplePos x="0" y="0"/>
          <wp:positionH relativeFrom="column">
            <wp:posOffset>0</wp:posOffset>
          </wp:positionH>
          <wp:positionV relativeFrom="paragraph">
            <wp:posOffset>7620</wp:posOffset>
          </wp:positionV>
          <wp:extent cx="323850" cy="373380"/>
          <wp:effectExtent l="19050" t="0" r="0" b="0"/>
          <wp:wrapNone/>
          <wp:docPr id="31"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9"/>
                  <pic:cNvPicPr>
                    <a:picLocks noChangeAspect="1" noChangeArrowheads="1"/>
                  </pic:cNvPicPr>
                </pic:nvPicPr>
                <pic:blipFill>
                  <a:blip r:embed="rId1"/>
                  <a:srcRect/>
                  <a:stretch>
                    <a:fillRect/>
                  </a:stretch>
                </pic:blipFill>
                <pic:spPr bwMode="auto">
                  <a:xfrm>
                    <a:off x="0" y="0"/>
                    <a:ext cx="323850" cy="373380"/>
                  </a:xfrm>
                  <a:prstGeom prst="rect">
                    <a:avLst/>
                  </a:prstGeom>
                  <a:noFill/>
                </pic:spPr>
              </pic:pic>
            </a:graphicData>
          </a:graphic>
        </wp:anchor>
      </w:drawing>
    </w:r>
    <w:r>
      <w:rPr>
        <w:b/>
        <w:bCs/>
      </w:rPr>
      <w:tab/>
    </w:r>
    <w:r w:rsidRPr="007953DD">
      <w:rPr>
        <w:b/>
        <w:bCs/>
      </w:rPr>
      <w:t>Národný program reforiem</w:t>
    </w:r>
    <w:r w:rsidRPr="007953DD">
      <w:rPr>
        <w:b/>
        <w:bCs/>
      </w:rPr>
      <w:tab/>
    </w:r>
  </w:p>
  <w:p w:rsidR="00B225AF" w:rsidRPr="007953DD" w:rsidRDefault="00B225AF" w:rsidP="00D07216">
    <w:pPr>
      <w:pStyle w:val="Hlavika"/>
      <w:tabs>
        <w:tab w:val="clear" w:pos="9072"/>
        <w:tab w:val="left" w:pos="720"/>
        <w:tab w:val="left" w:pos="6300"/>
      </w:tabs>
      <w:spacing w:after="0"/>
    </w:pPr>
    <w:r w:rsidRPr="007953DD">
      <w:rPr>
        <w:b/>
        <w:bCs/>
      </w:rPr>
      <w:tab/>
    </w:r>
    <w:r w:rsidRPr="00B71B42">
      <w:rPr>
        <w:b/>
        <w:bCs/>
      </w:rPr>
      <w:t>Slovenskej republiky 201</w:t>
    </w:r>
    <w:r>
      <w:rPr>
        <w:b/>
        <w:bCs/>
      </w:rPr>
      <w:t>3</w:t>
    </w:r>
    <w:r>
      <w:rPr>
        <w:noProof/>
      </w:rPr>
      <mc:AlternateContent>
        <mc:Choice Requires="wps">
          <w:drawing>
            <wp:anchor distT="4294967291" distB="4294967291" distL="114300" distR="114300" simplePos="0" relativeHeight="251660288" behindDoc="0" locked="0" layoutInCell="1" allowOverlap="1" wp14:anchorId="12C55DF0" wp14:editId="38B179CF">
              <wp:simplePos x="0" y="0"/>
              <wp:positionH relativeFrom="column">
                <wp:posOffset>0</wp:posOffset>
              </wp:positionH>
              <wp:positionV relativeFrom="paragraph">
                <wp:posOffset>259079</wp:posOffset>
              </wp:positionV>
              <wp:extent cx="5715000" cy="0"/>
              <wp:effectExtent l="0" t="0" r="1905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0" o:spid="_x0000_s1026" style="position:absolute;z-index:251660288;visibility:visible;mso-wrap-style:square;mso-width-percent:0;mso-height-percent:0;mso-wrap-distance-left:9pt;mso-wrap-distance-top:-5emu;mso-wrap-distance-right:9pt;mso-wrap-distance-bottom:-5emu;mso-position-horizontal:absolute;mso-position-horizontal-relative:text;mso-position-vertical:absolute;mso-position-vertical-relative:text;mso-width-percent:0;mso-height-percent:0;mso-width-relative:page;mso-height-relative:page" from="0,20.4pt" to="450pt,2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723"/>
        </w:tabs>
        <w:ind w:left="1723" w:hanging="283"/>
      </w:pPr>
      <w:rPr>
        <w:rFonts w:ascii="Symbol" w:hAnsi="Symbol"/>
        <w:sz w:val="24"/>
      </w:rPr>
    </w:lvl>
  </w:abstractNum>
  <w:abstractNum w:abstractNumId="1">
    <w:nsid w:val="00000003"/>
    <w:multiLevelType w:val="singleLevel"/>
    <w:tmpl w:val="00000003"/>
    <w:name w:val="WW8Num8"/>
    <w:lvl w:ilvl="0">
      <w:start w:val="1"/>
      <w:numFmt w:val="bullet"/>
      <w:lvlText w:val=""/>
      <w:lvlJc w:val="left"/>
      <w:pPr>
        <w:tabs>
          <w:tab w:val="num" w:pos="1723"/>
        </w:tabs>
        <w:ind w:left="1723" w:hanging="283"/>
      </w:pPr>
      <w:rPr>
        <w:rFonts w:ascii="Symbol" w:hAnsi="Symbol"/>
        <w:sz w:val="24"/>
      </w:rPr>
    </w:lvl>
  </w:abstractNum>
  <w:abstractNum w:abstractNumId="2">
    <w:nsid w:val="00000008"/>
    <w:multiLevelType w:val="singleLevel"/>
    <w:tmpl w:val="00000008"/>
    <w:name w:val="WW8Num12"/>
    <w:lvl w:ilvl="0">
      <w:start w:val="1"/>
      <w:numFmt w:val="bullet"/>
      <w:lvlText w:val=""/>
      <w:lvlJc w:val="left"/>
      <w:pPr>
        <w:tabs>
          <w:tab w:val="num" w:pos="720"/>
        </w:tabs>
        <w:ind w:left="720" w:hanging="360"/>
      </w:pPr>
      <w:rPr>
        <w:rFonts w:ascii="Symbol" w:hAnsi="Symbol"/>
      </w:rPr>
    </w:lvl>
  </w:abstractNum>
  <w:abstractNum w:abstractNumId="3">
    <w:nsid w:val="0000000B"/>
    <w:multiLevelType w:val="singleLevel"/>
    <w:tmpl w:val="0000000B"/>
    <w:name w:val="WW8Num15"/>
    <w:lvl w:ilvl="0">
      <w:start w:val="1"/>
      <w:numFmt w:val="bullet"/>
      <w:lvlText w:val=""/>
      <w:lvlJc w:val="left"/>
      <w:pPr>
        <w:tabs>
          <w:tab w:val="num" w:pos="720"/>
        </w:tabs>
        <w:ind w:left="720" w:hanging="360"/>
      </w:pPr>
      <w:rPr>
        <w:rFonts w:ascii="Symbol" w:hAnsi="Symbol"/>
      </w:rPr>
    </w:lvl>
  </w:abstractNum>
  <w:abstractNum w:abstractNumId="4">
    <w:nsid w:val="00000010"/>
    <w:multiLevelType w:val="singleLevel"/>
    <w:tmpl w:val="00000010"/>
    <w:name w:val="WW8Num21"/>
    <w:lvl w:ilvl="0">
      <w:start w:val="1"/>
      <w:numFmt w:val="bullet"/>
      <w:lvlText w:val=""/>
      <w:lvlJc w:val="left"/>
      <w:pPr>
        <w:tabs>
          <w:tab w:val="num" w:pos="720"/>
        </w:tabs>
        <w:ind w:left="720" w:hanging="360"/>
      </w:pPr>
      <w:rPr>
        <w:rFonts w:ascii="Symbol" w:hAnsi="Symbol"/>
      </w:rPr>
    </w:lvl>
  </w:abstractNum>
  <w:abstractNum w:abstractNumId="5">
    <w:nsid w:val="01681635"/>
    <w:multiLevelType w:val="hybridMultilevel"/>
    <w:tmpl w:val="3E34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660B7D"/>
    <w:multiLevelType w:val="hybridMultilevel"/>
    <w:tmpl w:val="D4FEA7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7DC3E51"/>
    <w:multiLevelType w:val="hybridMultilevel"/>
    <w:tmpl w:val="E5880E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0163FE6"/>
    <w:multiLevelType w:val="multilevel"/>
    <w:tmpl w:val="179E7A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1135481B"/>
    <w:multiLevelType w:val="hybridMultilevel"/>
    <w:tmpl w:val="157A45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B6F2241"/>
    <w:multiLevelType w:val="hybridMultilevel"/>
    <w:tmpl w:val="952E7D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EB4264C"/>
    <w:multiLevelType w:val="hybridMultilevel"/>
    <w:tmpl w:val="E07EBB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00766A5"/>
    <w:multiLevelType w:val="hybridMultilevel"/>
    <w:tmpl w:val="878ED8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3291449"/>
    <w:multiLevelType w:val="hybridMultilevel"/>
    <w:tmpl w:val="EAD6A8B8"/>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4">
    <w:nsid w:val="27E06426"/>
    <w:multiLevelType w:val="hybridMultilevel"/>
    <w:tmpl w:val="9556B078"/>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5">
    <w:nsid w:val="393744D6"/>
    <w:multiLevelType w:val="hybridMultilevel"/>
    <w:tmpl w:val="24320FA6"/>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6">
    <w:nsid w:val="39A81678"/>
    <w:multiLevelType w:val="hybridMultilevel"/>
    <w:tmpl w:val="662AC8E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7">
    <w:nsid w:val="3A7A15E6"/>
    <w:multiLevelType w:val="hybridMultilevel"/>
    <w:tmpl w:val="BCC201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B562054"/>
    <w:multiLevelType w:val="hybridMultilevel"/>
    <w:tmpl w:val="F8488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F7D5809"/>
    <w:multiLevelType w:val="hybridMultilevel"/>
    <w:tmpl w:val="4BEC18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08D2516"/>
    <w:multiLevelType w:val="hybridMultilevel"/>
    <w:tmpl w:val="CE4E4174"/>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1">
    <w:nsid w:val="44D15B81"/>
    <w:multiLevelType w:val="hybridMultilevel"/>
    <w:tmpl w:val="70F87E44"/>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nsid w:val="45A054E7"/>
    <w:multiLevelType w:val="hybridMultilevel"/>
    <w:tmpl w:val="C3145B04"/>
    <w:lvl w:ilvl="0" w:tplc="105A884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7AB3D92"/>
    <w:multiLevelType w:val="hybridMultilevel"/>
    <w:tmpl w:val="3828D04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82C760D"/>
    <w:multiLevelType w:val="hybridMultilevel"/>
    <w:tmpl w:val="CAAA71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534544A6"/>
    <w:multiLevelType w:val="hybridMultilevel"/>
    <w:tmpl w:val="C72EC7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88B1985"/>
    <w:multiLevelType w:val="hybridMultilevel"/>
    <w:tmpl w:val="5EC89C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5A4672D3"/>
    <w:multiLevelType w:val="hybridMultilevel"/>
    <w:tmpl w:val="9EC806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605860AE"/>
    <w:multiLevelType w:val="hybridMultilevel"/>
    <w:tmpl w:val="43E03F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606D0AF6"/>
    <w:multiLevelType w:val="multilevel"/>
    <w:tmpl w:val="4418BB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64803DEE"/>
    <w:multiLevelType w:val="hybridMultilevel"/>
    <w:tmpl w:val="228EFF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685A009F"/>
    <w:multiLevelType w:val="hybridMultilevel"/>
    <w:tmpl w:val="6A0CDB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70D57CCA"/>
    <w:multiLevelType w:val="multilevel"/>
    <w:tmpl w:val="AFB2D3DE"/>
    <w:lvl w:ilvl="0">
      <w:start w:val="1"/>
      <w:numFmt w:val="decimal"/>
      <w:lvlText w:val="%1"/>
      <w:lvlJc w:val="left"/>
      <w:pPr>
        <w:ind w:left="644" w:hanging="360"/>
      </w:pPr>
      <w:rPr>
        <w:rFonts w:cs="Times New Roman" w:hint="default"/>
        <w:b/>
      </w:rPr>
    </w:lvl>
    <w:lvl w:ilvl="1">
      <w:start w:val="1"/>
      <w:numFmt w:val="decimal"/>
      <w:pStyle w:val="Nadpis7"/>
      <w:lvlText w:val="%1.%2"/>
      <w:lvlJc w:val="left"/>
      <w:pPr>
        <w:ind w:left="1080" w:hanging="360"/>
      </w:pPr>
      <w:rPr>
        <w:rFonts w:ascii="Arial Narrow" w:hAnsi="Arial Narrow" w:cs="Times New Roman" w:hint="default"/>
        <w:b/>
        <w:sz w:val="28"/>
      </w:rPr>
    </w:lvl>
    <w:lvl w:ilvl="2">
      <w:start w:val="1"/>
      <w:numFmt w:val="decimal"/>
      <w:pStyle w:val="Nadpis4"/>
      <w:lvlText w:val="%1.%2.%3"/>
      <w:lvlJc w:val="left"/>
      <w:pPr>
        <w:ind w:left="2421" w:hanging="720"/>
      </w:pPr>
      <w:rPr>
        <w:rFonts w:cs="Times New Roman" w:hint="default"/>
      </w:rPr>
    </w:lvl>
    <w:lvl w:ilvl="3">
      <w:start w:val="1"/>
      <w:numFmt w:val="decimal"/>
      <w:lvlText w:val="%1.%2.%3.%4"/>
      <w:lvlJc w:val="left"/>
      <w:pPr>
        <w:ind w:left="2880" w:hanging="720"/>
      </w:pPr>
      <w:rPr>
        <w:rFonts w:cs="Times New Roman" w:hint="default"/>
        <w:sz w:val="24"/>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3">
    <w:nsid w:val="76794905"/>
    <w:multiLevelType w:val="hybridMultilevel"/>
    <w:tmpl w:val="86EC6C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90E5B28"/>
    <w:multiLevelType w:val="hybridMultilevel"/>
    <w:tmpl w:val="A4CA6E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BB64C96"/>
    <w:multiLevelType w:val="hybridMultilevel"/>
    <w:tmpl w:val="99A031E8"/>
    <w:lvl w:ilvl="0" w:tplc="041B0001">
      <w:start w:val="1"/>
      <w:numFmt w:val="bullet"/>
      <w:lvlText w:val=""/>
      <w:lvlJc w:val="left"/>
      <w:pPr>
        <w:ind w:left="1426" w:hanging="360"/>
      </w:pPr>
      <w:rPr>
        <w:rFonts w:ascii="Symbol" w:hAnsi="Symbol" w:hint="default"/>
      </w:rPr>
    </w:lvl>
    <w:lvl w:ilvl="1" w:tplc="041B0003" w:tentative="1">
      <w:start w:val="1"/>
      <w:numFmt w:val="bullet"/>
      <w:lvlText w:val="o"/>
      <w:lvlJc w:val="left"/>
      <w:pPr>
        <w:ind w:left="2146" w:hanging="360"/>
      </w:pPr>
      <w:rPr>
        <w:rFonts w:ascii="Courier New" w:hAnsi="Courier New" w:cs="Courier New" w:hint="default"/>
      </w:rPr>
    </w:lvl>
    <w:lvl w:ilvl="2" w:tplc="041B0005" w:tentative="1">
      <w:start w:val="1"/>
      <w:numFmt w:val="bullet"/>
      <w:lvlText w:val=""/>
      <w:lvlJc w:val="left"/>
      <w:pPr>
        <w:ind w:left="2866" w:hanging="360"/>
      </w:pPr>
      <w:rPr>
        <w:rFonts w:ascii="Wingdings" w:hAnsi="Wingdings" w:hint="default"/>
      </w:rPr>
    </w:lvl>
    <w:lvl w:ilvl="3" w:tplc="041B0001" w:tentative="1">
      <w:start w:val="1"/>
      <w:numFmt w:val="bullet"/>
      <w:lvlText w:val=""/>
      <w:lvlJc w:val="left"/>
      <w:pPr>
        <w:ind w:left="3586" w:hanging="360"/>
      </w:pPr>
      <w:rPr>
        <w:rFonts w:ascii="Symbol" w:hAnsi="Symbol" w:hint="default"/>
      </w:rPr>
    </w:lvl>
    <w:lvl w:ilvl="4" w:tplc="041B0003" w:tentative="1">
      <w:start w:val="1"/>
      <w:numFmt w:val="bullet"/>
      <w:lvlText w:val="o"/>
      <w:lvlJc w:val="left"/>
      <w:pPr>
        <w:ind w:left="4306" w:hanging="360"/>
      </w:pPr>
      <w:rPr>
        <w:rFonts w:ascii="Courier New" w:hAnsi="Courier New" w:cs="Courier New" w:hint="default"/>
      </w:rPr>
    </w:lvl>
    <w:lvl w:ilvl="5" w:tplc="041B0005" w:tentative="1">
      <w:start w:val="1"/>
      <w:numFmt w:val="bullet"/>
      <w:lvlText w:val=""/>
      <w:lvlJc w:val="left"/>
      <w:pPr>
        <w:ind w:left="5026" w:hanging="360"/>
      </w:pPr>
      <w:rPr>
        <w:rFonts w:ascii="Wingdings" w:hAnsi="Wingdings" w:hint="default"/>
      </w:rPr>
    </w:lvl>
    <w:lvl w:ilvl="6" w:tplc="041B0001" w:tentative="1">
      <w:start w:val="1"/>
      <w:numFmt w:val="bullet"/>
      <w:lvlText w:val=""/>
      <w:lvlJc w:val="left"/>
      <w:pPr>
        <w:ind w:left="5746" w:hanging="360"/>
      </w:pPr>
      <w:rPr>
        <w:rFonts w:ascii="Symbol" w:hAnsi="Symbol" w:hint="default"/>
      </w:rPr>
    </w:lvl>
    <w:lvl w:ilvl="7" w:tplc="041B0003" w:tentative="1">
      <w:start w:val="1"/>
      <w:numFmt w:val="bullet"/>
      <w:lvlText w:val="o"/>
      <w:lvlJc w:val="left"/>
      <w:pPr>
        <w:ind w:left="6466" w:hanging="360"/>
      </w:pPr>
      <w:rPr>
        <w:rFonts w:ascii="Courier New" w:hAnsi="Courier New" w:cs="Courier New" w:hint="default"/>
      </w:rPr>
    </w:lvl>
    <w:lvl w:ilvl="8" w:tplc="041B0005" w:tentative="1">
      <w:start w:val="1"/>
      <w:numFmt w:val="bullet"/>
      <w:lvlText w:val=""/>
      <w:lvlJc w:val="left"/>
      <w:pPr>
        <w:ind w:left="7186" w:hanging="360"/>
      </w:pPr>
      <w:rPr>
        <w:rFonts w:ascii="Wingdings" w:hAnsi="Wingdings" w:hint="default"/>
      </w:rPr>
    </w:lvl>
  </w:abstractNum>
  <w:num w:numId="1">
    <w:abstractNumId w:val="32"/>
  </w:num>
  <w:num w:numId="2">
    <w:abstractNumId w:val="9"/>
  </w:num>
  <w:num w:numId="3">
    <w:abstractNumId w:val="15"/>
  </w:num>
  <w:num w:numId="4">
    <w:abstractNumId w:val="6"/>
  </w:num>
  <w:num w:numId="5">
    <w:abstractNumId w:val="2"/>
  </w:num>
  <w:num w:numId="6">
    <w:abstractNumId w:val="8"/>
  </w:num>
  <w:num w:numId="7">
    <w:abstractNumId w:val="29"/>
  </w:num>
  <w:num w:numId="8">
    <w:abstractNumId w:val="11"/>
  </w:num>
  <w:num w:numId="9">
    <w:abstractNumId w:val="27"/>
  </w:num>
  <w:num w:numId="10">
    <w:abstractNumId w:val="34"/>
  </w:num>
  <w:num w:numId="11">
    <w:abstractNumId w:val="33"/>
  </w:num>
  <w:num w:numId="12">
    <w:abstractNumId w:val="14"/>
  </w:num>
  <w:num w:numId="13">
    <w:abstractNumId w:val="16"/>
  </w:num>
  <w:num w:numId="14">
    <w:abstractNumId w:val="10"/>
  </w:num>
  <w:num w:numId="15">
    <w:abstractNumId w:val="5"/>
  </w:num>
  <w:num w:numId="16">
    <w:abstractNumId w:val="22"/>
  </w:num>
  <w:num w:numId="17">
    <w:abstractNumId w:val="7"/>
  </w:num>
  <w:num w:numId="18">
    <w:abstractNumId w:val="35"/>
  </w:num>
  <w:num w:numId="19">
    <w:abstractNumId w:val="26"/>
  </w:num>
  <w:num w:numId="20">
    <w:abstractNumId w:val="28"/>
  </w:num>
  <w:num w:numId="21">
    <w:abstractNumId w:val="30"/>
  </w:num>
  <w:num w:numId="22">
    <w:abstractNumId w:val="24"/>
  </w:num>
  <w:num w:numId="23">
    <w:abstractNumId w:val="31"/>
  </w:num>
  <w:num w:numId="24">
    <w:abstractNumId w:val="12"/>
  </w:num>
  <w:num w:numId="25">
    <w:abstractNumId w:val="7"/>
  </w:num>
  <w:num w:numId="26">
    <w:abstractNumId w:val="25"/>
  </w:num>
  <w:num w:numId="27">
    <w:abstractNumId w:val="32"/>
  </w:num>
  <w:num w:numId="28">
    <w:abstractNumId w:val="32"/>
  </w:num>
  <w:num w:numId="29">
    <w:abstractNumId w:val="32"/>
  </w:num>
  <w:num w:numId="30">
    <w:abstractNumId w:val="32"/>
  </w:num>
  <w:num w:numId="31">
    <w:abstractNumId w:val="32"/>
  </w:num>
  <w:num w:numId="32">
    <w:abstractNumId w:val="32"/>
  </w:num>
  <w:num w:numId="33">
    <w:abstractNumId w:val="32"/>
  </w:num>
  <w:num w:numId="34">
    <w:abstractNumId w:val="32"/>
  </w:num>
  <w:num w:numId="35">
    <w:abstractNumId w:val="32"/>
  </w:num>
  <w:num w:numId="36">
    <w:abstractNumId w:val="32"/>
  </w:num>
  <w:num w:numId="37">
    <w:abstractNumId w:val="32"/>
  </w:num>
  <w:num w:numId="38">
    <w:abstractNumId w:val="18"/>
  </w:num>
  <w:num w:numId="39">
    <w:abstractNumId w:val="32"/>
  </w:num>
  <w:num w:numId="40">
    <w:abstractNumId w:val="21"/>
  </w:num>
  <w:num w:numId="41">
    <w:abstractNumId w:val="19"/>
  </w:num>
  <w:num w:numId="42">
    <w:abstractNumId w:val="17"/>
  </w:num>
  <w:num w:numId="43">
    <w:abstractNumId w:val="23"/>
  </w:num>
  <w:num w:numId="44">
    <w:abstractNumId w:val="20"/>
  </w:num>
  <w:num w:numId="4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D0"/>
    <w:rsid w:val="00000780"/>
    <w:rsid w:val="0000146C"/>
    <w:rsid w:val="00001689"/>
    <w:rsid w:val="000020BD"/>
    <w:rsid w:val="00002A31"/>
    <w:rsid w:val="00002EBE"/>
    <w:rsid w:val="000032D2"/>
    <w:rsid w:val="0000384D"/>
    <w:rsid w:val="00004CC9"/>
    <w:rsid w:val="00006520"/>
    <w:rsid w:val="0000653F"/>
    <w:rsid w:val="00006A61"/>
    <w:rsid w:val="00006CCB"/>
    <w:rsid w:val="0000704E"/>
    <w:rsid w:val="00007770"/>
    <w:rsid w:val="00007F5C"/>
    <w:rsid w:val="00010917"/>
    <w:rsid w:val="0001152A"/>
    <w:rsid w:val="00011788"/>
    <w:rsid w:val="000122BD"/>
    <w:rsid w:val="00012409"/>
    <w:rsid w:val="000126A2"/>
    <w:rsid w:val="000128D1"/>
    <w:rsid w:val="00013980"/>
    <w:rsid w:val="00013BB1"/>
    <w:rsid w:val="00013ECE"/>
    <w:rsid w:val="000140A2"/>
    <w:rsid w:val="000140DC"/>
    <w:rsid w:val="000141BA"/>
    <w:rsid w:val="000145A8"/>
    <w:rsid w:val="000153A6"/>
    <w:rsid w:val="00015D97"/>
    <w:rsid w:val="00015F9D"/>
    <w:rsid w:val="0001645A"/>
    <w:rsid w:val="000175A1"/>
    <w:rsid w:val="00017BD4"/>
    <w:rsid w:val="00017DCC"/>
    <w:rsid w:val="00020021"/>
    <w:rsid w:val="000200E7"/>
    <w:rsid w:val="00020A65"/>
    <w:rsid w:val="00020AED"/>
    <w:rsid w:val="00020EAB"/>
    <w:rsid w:val="00021552"/>
    <w:rsid w:val="00022199"/>
    <w:rsid w:val="0002239C"/>
    <w:rsid w:val="00023A94"/>
    <w:rsid w:val="000244F7"/>
    <w:rsid w:val="0002588A"/>
    <w:rsid w:val="00025B81"/>
    <w:rsid w:val="0002677A"/>
    <w:rsid w:val="0002680F"/>
    <w:rsid w:val="0003095D"/>
    <w:rsid w:val="00030AF1"/>
    <w:rsid w:val="00030EBB"/>
    <w:rsid w:val="000311D9"/>
    <w:rsid w:val="00031231"/>
    <w:rsid w:val="000318E9"/>
    <w:rsid w:val="00033DDE"/>
    <w:rsid w:val="00034888"/>
    <w:rsid w:val="0003489D"/>
    <w:rsid w:val="00035863"/>
    <w:rsid w:val="00035C90"/>
    <w:rsid w:val="00035CA8"/>
    <w:rsid w:val="00035E99"/>
    <w:rsid w:val="00036351"/>
    <w:rsid w:val="00036754"/>
    <w:rsid w:val="00036B1C"/>
    <w:rsid w:val="00037352"/>
    <w:rsid w:val="00037628"/>
    <w:rsid w:val="00040D70"/>
    <w:rsid w:val="00041255"/>
    <w:rsid w:val="000416A9"/>
    <w:rsid w:val="000423DA"/>
    <w:rsid w:val="000424A6"/>
    <w:rsid w:val="0004297C"/>
    <w:rsid w:val="00042D96"/>
    <w:rsid w:val="00043BD5"/>
    <w:rsid w:val="000440AD"/>
    <w:rsid w:val="0004455B"/>
    <w:rsid w:val="0004499E"/>
    <w:rsid w:val="000455EB"/>
    <w:rsid w:val="000455F8"/>
    <w:rsid w:val="00046578"/>
    <w:rsid w:val="00046625"/>
    <w:rsid w:val="000468FB"/>
    <w:rsid w:val="00046B76"/>
    <w:rsid w:val="0004705B"/>
    <w:rsid w:val="00047BA8"/>
    <w:rsid w:val="00047E93"/>
    <w:rsid w:val="00050241"/>
    <w:rsid w:val="000515C0"/>
    <w:rsid w:val="00051A77"/>
    <w:rsid w:val="00051AED"/>
    <w:rsid w:val="00051D8F"/>
    <w:rsid w:val="00052186"/>
    <w:rsid w:val="00052B0C"/>
    <w:rsid w:val="00053094"/>
    <w:rsid w:val="000532B6"/>
    <w:rsid w:val="00053535"/>
    <w:rsid w:val="000537CE"/>
    <w:rsid w:val="0005420E"/>
    <w:rsid w:val="000546AC"/>
    <w:rsid w:val="00054D90"/>
    <w:rsid w:val="0005618A"/>
    <w:rsid w:val="000566E5"/>
    <w:rsid w:val="00057DC7"/>
    <w:rsid w:val="00060466"/>
    <w:rsid w:val="000604F4"/>
    <w:rsid w:val="00060C31"/>
    <w:rsid w:val="00061D3F"/>
    <w:rsid w:val="00061EBB"/>
    <w:rsid w:val="00062185"/>
    <w:rsid w:val="00062520"/>
    <w:rsid w:val="0006279F"/>
    <w:rsid w:val="00063805"/>
    <w:rsid w:val="00063A6E"/>
    <w:rsid w:val="00063F73"/>
    <w:rsid w:val="00064171"/>
    <w:rsid w:val="0006471A"/>
    <w:rsid w:val="00064A41"/>
    <w:rsid w:val="000655EC"/>
    <w:rsid w:val="00065A45"/>
    <w:rsid w:val="00065D55"/>
    <w:rsid w:val="00065E0D"/>
    <w:rsid w:val="0006644A"/>
    <w:rsid w:val="000665B7"/>
    <w:rsid w:val="000670F0"/>
    <w:rsid w:val="0007001E"/>
    <w:rsid w:val="00070DEF"/>
    <w:rsid w:val="00071367"/>
    <w:rsid w:val="00072494"/>
    <w:rsid w:val="0007272D"/>
    <w:rsid w:val="000735F2"/>
    <w:rsid w:val="00073811"/>
    <w:rsid w:val="00073E5C"/>
    <w:rsid w:val="00076279"/>
    <w:rsid w:val="00076FB9"/>
    <w:rsid w:val="000773B8"/>
    <w:rsid w:val="000775CA"/>
    <w:rsid w:val="00077F7D"/>
    <w:rsid w:val="000802E5"/>
    <w:rsid w:val="00080B50"/>
    <w:rsid w:val="00080C7C"/>
    <w:rsid w:val="00080F13"/>
    <w:rsid w:val="00080F53"/>
    <w:rsid w:val="000812AF"/>
    <w:rsid w:val="00081DAC"/>
    <w:rsid w:val="0008223C"/>
    <w:rsid w:val="0008223E"/>
    <w:rsid w:val="00082BC7"/>
    <w:rsid w:val="00082E33"/>
    <w:rsid w:val="00082FBA"/>
    <w:rsid w:val="00083829"/>
    <w:rsid w:val="00083B6E"/>
    <w:rsid w:val="00083FBA"/>
    <w:rsid w:val="00085945"/>
    <w:rsid w:val="00086E97"/>
    <w:rsid w:val="000871F0"/>
    <w:rsid w:val="000873C9"/>
    <w:rsid w:val="000877A8"/>
    <w:rsid w:val="00087A56"/>
    <w:rsid w:val="00087C8E"/>
    <w:rsid w:val="0009002E"/>
    <w:rsid w:val="00090753"/>
    <w:rsid w:val="00090EA4"/>
    <w:rsid w:val="00091706"/>
    <w:rsid w:val="00092541"/>
    <w:rsid w:val="000925EE"/>
    <w:rsid w:val="000929F4"/>
    <w:rsid w:val="00093182"/>
    <w:rsid w:val="00093BBA"/>
    <w:rsid w:val="00094574"/>
    <w:rsid w:val="00094B71"/>
    <w:rsid w:val="00094C4F"/>
    <w:rsid w:val="00095322"/>
    <w:rsid w:val="00095C2E"/>
    <w:rsid w:val="00096806"/>
    <w:rsid w:val="0009785E"/>
    <w:rsid w:val="00097902"/>
    <w:rsid w:val="00097A7C"/>
    <w:rsid w:val="00097E7B"/>
    <w:rsid w:val="000A04A0"/>
    <w:rsid w:val="000A05B9"/>
    <w:rsid w:val="000A1C00"/>
    <w:rsid w:val="000A2517"/>
    <w:rsid w:val="000A2BC8"/>
    <w:rsid w:val="000A2C85"/>
    <w:rsid w:val="000A30A6"/>
    <w:rsid w:val="000A32BE"/>
    <w:rsid w:val="000A3A73"/>
    <w:rsid w:val="000A4D5A"/>
    <w:rsid w:val="000A678A"/>
    <w:rsid w:val="000A72E0"/>
    <w:rsid w:val="000A7409"/>
    <w:rsid w:val="000A74AC"/>
    <w:rsid w:val="000A772A"/>
    <w:rsid w:val="000A7774"/>
    <w:rsid w:val="000A7BBC"/>
    <w:rsid w:val="000B01A3"/>
    <w:rsid w:val="000B0AB5"/>
    <w:rsid w:val="000B14EC"/>
    <w:rsid w:val="000B1590"/>
    <w:rsid w:val="000B19E4"/>
    <w:rsid w:val="000B1A6E"/>
    <w:rsid w:val="000B2280"/>
    <w:rsid w:val="000B236E"/>
    <w:rsid w:val="000B3229"/>
    <w:rsid w:val="000B3308"/>
    <w:rsid w:val="000B33FB"/>
    <w:rsid w:val="000B3446"/>
    <w:rsid w:val="000B4437"/>
    <w:rsid w:val="000B57C2"/>
    <w:rsid w:val="000B5D87"/>
    <w:rsid w:val="000B63E7"/>
    <w:rsid w:val="000B6576"/>
    <w:rsid w:val="000B65D3"/>
    <w:rsid w:val="000B669E"/>
    <w:rsid w:val="000B7A40"/>
    <w:rsid w:val="000C005B"/>
    <w:rsid w:val="000C0065"/>
    <w:rsid w:val="000C0CD9"/>
    <w:rsid w:val="000C1ECC"/>
    <w:rsid w:val="000C220A"/>
    <w:rsid w:val="000C49BD"/>
    <w:rsid w:val="000C4BA5"/>
    <w:rsid w:val="000C5188"/>
    <w:rsid w:val="000C587B"/>
    <w:rsid w:val="000C5CAB"/>
    <w:rsid w:val="000C6CBC"/>
    <w:rsid w:val="000D0316"/>
    <w:rsid w:val="000D0346"/>
    <w:rsid w:val="000D0711"/>
    <w:rsid w:val="000D09CD"/>
    <w:rsid w:val="000D0D93"/>
    <w:rsid w:val="000D186F"/>
    <w:rsid w:val="000D19D7"/>
    <w:rsid w:val="000D1E9F"/>
    <w:rsid w:val="000D1EE4"/>
    <w:rsid w:val="000D38BB"/>
    <w:rsid w:val="000D4033"/>
    <w:rsid w:val="000D488E"/>
    <w:rsid w:val="000D4937"/>
    <w:rsid w:val="000D5438"/>
    <w:rsid w:val="000D5C92"/>
    <w:rsid w:val="000D5DF6"/>
    <w:rsid w:val="000D6113"/>
    <w:rsid w:val="000D628B"/>
    <w:rsid w:val="000D736F"/>
    <w:rsid w:val="000E038A"/>
    <w:rsid w:val="000E1AE8"/>
    <w:rsid w:val="000E1AF0"/>
    <w:rsid w:val="000E3364"/>
    <w:rsid w:val="000E4507"/>
    <w:rsid w:val="000E45FC"/>
    <w:rsid w:val="000E4724"/>
    <w:rsid w:val="000E527D"/>
    <w:rsid w:val="000E5B5A"/>
    <w:rsid w:val="000E6FF0"/>
    <w:rsid w:val="000E728C"/>
    <w:rsid w:val="000E73E3"/>
    <w:rsid w:val="000F0F59"/>
    <w:rsid w:val="000F1B9E"/>
    <w:rsid w:val="000F1E46"/>
    <w:rsid w:val="000F2413"/>
    <w:rsid w:val="000F3C92"/>
    <w:rsid w:val="000F43A7"/>
    <w:rsid w:val="000F5070"/>
    <w:rsid w:val="000F5A47"/>
    <w:rsid w:val="000F5B8C"/>
    <w:rsid w:val="000F70D5"/>
    <w:rsid w:val="000F7531"/>
    <w:rsid w:val="000F75AB"/>
    <w:rsid w:val="000F7810"/>
    <w:rsid w:val="00100BDE"/>
    <w:rsid w:val="00100DC4"/>
    <w:rsid w:val="001014D1"/>
    <w:rsid w:val="00102094"/>
    <w:rsid w:val="00102FB8"/>
    <w:rsid w:val="00102FDC"/>
    <w:rsid w:val="001031F3"/>
    <w:rsid w:val="00103428"/>
    <w:rsid w:val="00103AA8"/>
    <w:rsid w:val="001040CA"/>
    <w:rsid w:val="00104F3D"/>
    <w:rsid w:val="00105559"/>
    <w:rsid w:val="00106713"/>
    <w:rsid w:val="001067EF"/>
    <w:rsid w:val="00106A07"/>
    <w:rsid w:val="001075A3"/>
    <w:rsid w:val="00107961"/>
    <w:rsid w:val="00111AD1"/>
    <w:rsid w:val="00112CF0"/>
    <w:rsid w:val="00112FB7"/>
    <w:rsid w:val="00113ED6"/>
    <w:rsid w:val="001140B3"/>
    <w:rsid w:val="0011445F"/>
    <w:rsid w:val="0011656C"/>
    <w:rsid w:val="00116AE5"/>
    <w:rsid w:val="0011712B"/>
    <w:rsid w:val="001201D9"/>
    <w:rsid w:val="0012102B"/>
    <w:rsid w:val="00121061"/>
    <w:rsid w:val="00121694"/>
    <w:rsid w:val="00121AC0"/>
    <w:rsid w:val="00122227"/>
    <w:rsid w:val="00122C8F"/>
    <w:rsid w:val="00122EA3"/>
    <w:rsid w:val="00123191"/>
    <w:rsid w:val="00123348"/>
    <w:rsid w:val="001238B1"/>
    <w:rsid w:val="00123D19"/>
    <w:rsid w:val="00124025"/>
    <w:rsid w:val="00124470"/>
    <w:rsid w:val="00124572"/>
    <w:rsid w:val="0012481F"/>
    <w:rsid w:val="00124AB2"/>
    <w:rsid w:val="00124CC9"/>
    <w:rsid w:val="001252BF"/>
    <w:rsid w:val="001253AA"/>
    <w:rsid w:val="001255F5"/>
    <w:rsid w:val="00125613"/>
    <w:rsid w:val="00126804"/>
    <w:rsid w:val="00127CA6"/>
    <w:rsid w:val="001301A1"/>
    <w:rsid w:val="00130FA9"/>
    <w:rsid w:val="00130FF5"/>
    <w:rsid w:val="001312F9"/>
    <w:rsid w:val="0013134E"/>
    <w:rsid w:val="00131453"/>
    <w:rsid w:val="001314F2"/>
    <w:rsid w:val="00131924"/>
    <w:rsid w:val="00131FFB"/>
    <w:rsid w:val="0013277A"/>
    <w:rsid w:val="00132DE3"/>
    <w:rsid w:val="00133157"/>
    <w:rsid w:val="00133C85"/>
    <w:rsid w:val="00133D06"/>
    <w:rsid w:val="001349B7"/>
    <w:rsid w:val="00134EA4"/>
    <w:rsid w:val="00134EC1"/>
    <w:rsid w:val="00135473"/>
    <w:rsid w:val="00136659"/>
    <w:rsid w:val="00136DAA"/>
    <w:rsid w:val="001371D8"/>
    <w:rsid w:val="00140499"/>
    <w:rsid w:val="0014050A"/>
    <w:rsid w:val="00140CCF"/>
    <w:rsid w:val="00141B47"/>
    <w:rsid w:val="00141F20"/>
    <w:rsid w:val="00142F65"/>
    <w:rsid w:val="00143394"/>
    <w:rsid w:val="001435C5"/>
    <w:rsid w:val="0014457F"/>
    <w:rsid w:val="00144CFE"/>
    <w:rsid w:val="001458BF"/>
    <w:rsid w:val="00145EEB"/>
    <w:rsid w:val="0014616F"/>
    <w:rsid w:val="00146794"/>
    <w:rsid w:val="00147945"/>
    <w:rsid w:val="00151175"/>
    <w:rsid w:val="00152012"/>
    <w:rsid w:val="00152BBD"/>
    <w:rsid w:val="00153E35"/>
    <w:rsid w:val="00154DA4"/>
    <w:rsid w:val="00154EA7"/>
    <w:rsid w:val="001550F7"/>
    <w:rsid w:val="001550FC"/>
    <w:rsid w:val="001553D5"/>
    <w:rsid w:val="00155DC9"/>
    <w:rsid w:val="0015633C"/>
    <w:rsid w:val="00157105"/>
    <w:rsid w:val="001573B0"/>
    <w:rsid w:val="00157D9F"/>
    <w:rsid w:val="001601C6"/>
    <w:rsid w:val="0016168B"/>
    <w:rsid w:val="00161EEE"/>
    <w:rsid w:val="00162203"/>
    <w:rsid w:val="001626D4"/>
    <w:rsid w:val="00162D59"/>
    <w:rsid w:val="0016305A"/>
    <w:rsid w:val="001631D7"/>
    <w:rsid w:val="00164D7D"/>
    <w:rsid w:val="00165128"/>
    <w:rsid w:val="00165361"/>
    <w:rsid w:val="00165511"/>
    <w:rsid w:val="001659CE"/>
    <w:rsid w:val="001661A9"/>
    <w:rsid w:val="00166FC7"/>
    <w:rsid w:val="00167D24"/>
    <w:rsid w:val="00167FAD"/>
    <w:rsid w:val="0017003B"/>
    <w:rsid w:val="001702DC"/>
    <w:rsid w:val="00170C9C"/>
    <w:rsid w:val="00170CEE"/>
    <w:rsid w:val="00170FD7"/>
    <w:rsid w:val="00172AA2"/>
    <w:rsid w:val="00173E12"/>
    <w:rsid w:val="001746B5"/>
    <w:rsid w:val="00175697"/>
    <w:rsid w:val="001756C9"/>
    <w:rsid w:val="00175C1A"/>
    <w:rsid w:val="00176090"/>
    <w:rsid w:val="001768A9"/>
    <w:rsid w:val="00176A22"/>
    <w:rsid w:val="00176EB2"/>
    <w:rsid w:val="001777D0"/>
    <w:rsid w:val="00177A6C"/>
    <w:rsid w:val="00177CB7"/>
    <w:rsid w:val="00177D01"/>
    <w:rsid w:val="00180067"/>
    <w:rsid w:val="00180E2B"/>
    <w:rsid w:val="00181B48"/>
    <w:rsid w:val="00181E76"/>
    <w:rsid w:val="001829F3"/>
    <w:rsid w:val="00182D7F"/>
    <w:rsid w:val="00182EE1"/>
    <w:rsid w:val="001832BA"/>
    <w:rsid w:val="001837F8"/>
    <w:rsid w:val="00184096"/>
    <w:rsid w:val="00184598"/>
    <w:rsid w:val="00184DE8"/>
    <w:rsid w:val="00185164"/>
    <w:rsid w:val="0018522C"/>
    <w:rsid w:val="00186FA4"/>
    <w:rsid w:val="0018729F"/>
    <w:rsid w:val="00190A4B"/>
    <w:rsid w:val="0019166A"/>
    <w:rsid w:val="00191A42"/>
    <w:rsid w:val="00191EDB"/>
    <w:rsid w:val="001922A6"/>
    <w:rsid w:val="00192C7B"/>
    <w:rsid w:val="001930C8"/>
    <w:rsid w:val="001939EC"/>
    <w:rsid w:val="00194AC7"/>
    <w:rsid w:val="00195921"/>
    <w:rsid w:val="00196625"/>
    <w:rsid w:val="001977FA"/>
    <w:rsid w:val="001A078E"/>
    <w:rsid w:val="001A08B4"/>
    <w:rsid w:val="001A1195"/>
    <w:rsid w:val="001A11DE"/>
    <w:rsid w:val="001A124F"/>
    <w:rsid w:val="001A1E11"/>
    <w:rsid w:val="001A2587"/>
    <w:rsid w:val="001A3402"/>
    <w:rsid w:val="001A3861"/>
    <w:rsid w:val="001A3FBB"/>
    <w:rsid w:val="001A450F"/>
    <w:rsid w:val="001A4748"/>
    <w:rsid w:val="001A59B0"/>
    <w:rsid w:val="001A671F"/>
    <w:rsid w:val="001A7532"/>
    <w:rsid w:val="001A75CE"/>
    <w:rsid w:val="001B160C"/>
    <w:rsid w:val="001B1A1F"/>
    <w:rsid w:val="001B2B0C"/>
    <w:rsid w:val="001B2B77"/>
    <w:rsid w:val="001B344D"/>
    <w:rsid w:val="001B36FE"/>
    <w:rsid w:val="001B42D4"/>
    <w:rsid w:val="001B5401"/>
    <w:rsid w:val="001B57F1"/>
    <w:rsid w:val="001B60E4"/>
    <w:rsid w:val="001B69BA"/>
    <w:rsid w:val="001B7471"/>
    <w:rsid w:val="001B751C"/>
    <w:rsid w:val="001C04BD"/>
    <w:rsid w:val="001C07CA"/>
    <w:rsid w:val="001C1EC9"/>
    <w:rsid w:val="001C21F7"/>
    <w:rsid w:val="001C2886"/>
    <w:rsid w:val="001C2A58"/>
    <w:rsid w:val="001C2D97"/>
    <w:rsid w:val="001C2DB3"/>
    <w:rsid w:val="001C2EC7"/>
    <w:rsid w:val="001C39F5"/>
    <w:rsid w:val="001C3A53"/>
    <w:rsid w:val="001C3E36"/>
    <w:rsid w:val="001C4082"/>
    <w:rsid w:val="001C4250"/>
    <w:rsid w:val="001C4464"/>
    <w:rsid w:val="001C6C01"/>
    <w:rsid w:val="001D04B2"/>
    <w:rsid w:val="001D0969"/>
    <w:rsid w:val="001D09E1"/>
    <w:rsid w:val="001D137B"/>
    <w:rsid w:val="001D1C2F"/>
    <w:rsid w:val="001D283B"/>
    <w:rsid w:val="001D2A3E"/>
    <w:rsid w:val="001D3C7A"/>
    <w:rsid w:val="001D4DDD"/>
    <w:rsid w:val="001D5824"/>
    <w:rsid w:val="001D5A2C"/>
    <w:rsid w:val="001D5AE0"/>
    <w:rsid w:val="001D5E28"/>
    <w:rsid w:val="001D63CA"/>
    <w:rsid w:val="001D64C1"/>
    <w:rsid w:val="001D64D0"/>
    <w:rsid w:val="001D74EC"/>
    <w:rsid w:val="001E06E0"/>
    <w:rsid w:val="001E0C43"/>
    <w:rsid w:val="001E1220"/>
    <w:rsid w:val="001E14C0"/>
    <w:rsid w:val="001E15AE"/>
    <w:rsid w:val="001E16DB"/>
    <w:rsid w:val="001E17B0"/>
    <w:rsid w:val="001E2136"/>
    <w:rsid w:val="001E3529"/>
    <w:rsid w:val="001E3A87"/>
    <w:rsid w:val="001E4D67"/>
    <w:rsid w:val="001E51BC"/>
    <w:rsid w:val="001E5F7A"/>
    <w:rsid w:val="001E66E0"/>
    <w:rsid w:val="001E69C3"/>
    <w:rsid w:val="001E783C"/>
    <w:rsid w:val="001E7955"/>
    <w:rsid w:val="001F0BEE"/>
    <w:rsid w:val="001F1165"/>
    <w:rsid w:val="001F1399"/>
    <w:rsid w:val="001F1D0C"/>
    <w:rsid w:val="001F2C7A"/>
    <w:rsid w:val="001F2FE4"/>
    <w:rsid w:val="001F3929"/>
    <w:rsid w:val="001F404B"/>
    <w:rsid w:val="001F537E"/>
    <w:rsid w:val="001F5531"/>
    <w:rsid w:val="001F6BA3"/>
    <w:rsid w:val="001F77AA"/>
    <w:rsid w:val="001F78C9"/>
    <w:rsid w:val="001F7C09"/>
    <w:rsid w:val="001F7F57"/>
    <w:rsid w:val="00200428"/>
    <w:rsid w:val="00200DFC"/>
    <w:rsid w:val="00200EAC"/>
    <w:rsid w:val="002012D8"/>
    <w:rsid w:val="002015E9"/>
    <w:rsid w:val="0020248E"/>
    <w:rsid w:val="00202EFD"/>
    <w:rsid w:val="00202FEE"/>
    <w:rsid w:val="0020312B"/>
    <w:rsid w:val="002035A9"/>
    <w:rsid w:val="00203652"/>
    <w:rsid w:val="002041A1"/>
    <w:rsid w:val="00204317"/>
    <w:rsid w:val="002043E7"/>
    <w:rsid w:val="0020471F"/>
    <w:rsid w:val="00204EA2"/>
    <w:rsid w:val="00204F43"/>
    <w:rsid w:val="00205847"/>
    <w:rsid w:val="00205EAB"/>
    <w:rsid w:val="0020632C"/>
    <w:rsid w:val="002076F9"/>
    <w:rsid w:val="0020796C"/>
    <w:rsid w:val="00207A53"/>
    <w:rsid w:val="00207DA9"/>
    <w:rsid w:val="00210627"/>
    <w:rsid w:val="00210E53"/>
    <w:rsid w:val="0021198A"/>
    <w:rsid w:val="002123B7"/>
    <w:rsid w:val="00213121"/>
    <w:rsid w:val="002136D4"/>
    <w:rsid w:val="00213994"/>
    <w:rsid w:val="00214A67"/>
    <w:rsid w:val="00214F34"/>
    <w:rsid w:val="00215B19"/>
    <w:rsid w:val="00216BBC"/>
    <w:rsid w:val="00216BF9"/>
    <w:rsid w:val="00217522"/>
    <w:rsid w:val="002177D1"/>
    <w:rsid w:val="00220C2D"/>
    <w:rsid w:val="00220C76"/>
    <w:rsid w:val="00222B2E"/>
    <w:rsid w:val="00223240"/>
    <w:rsid w:val="0022367F"/>
    <w:rsid w:val="00224CE8"/>
    <w:rsid w:val="002265F5"/>
    <w:rsid w:val="00226FA4"/>
    <w:rsid w:val="002270B8"/>
    <w:rsid w:val="00227143"/>
    <w:rsid w:val="002275AF"/>
    <w:rsid w:val="002275ED"/>
    <w:rsid w:val="002277FC"/>
    <w:rsid w:val="00227E30"/>
    <w:rsid w:val="002303D9"/>
    <w:rsid w:val="002312EB"/>
    <w:rsid w:val="00231698"/>
    <w:rsid w:val="0023193A"/>
    <w:rsid w:val="002319D1"/>
    <w:rsid w:val="002324DA"/>
    <w:rsid w:val="0023294A"/>
    <w:rsid w:val="00232A57"/>
    <w:rsid w:val="00232C7D"/>
    <w:rsid w:val="00233FC8"/>
    <w:rsid w:val="00235594"/>
    <w:rsid w:val="00235656"/>
    <w:rsid w:val="00236444"/>
    <w:rsid w:val="00236CFC"/>
    <w:rsid w:val="00236F25"/>
    <w:rsid w:val="00237357"/>
    <w:rsid w:val="002375B1"/>
    <w:rsid w:val="00237D8F"/>
    <w:rsid w:val="002401A4"/>
    <w:rsid w:val="00240AD9"/>
    <w:rsid w:val="00240B9A"/>
    <w:rsid w:val="002412A7"/>
    <w:rsid w:val="00241855"/>
    <w:rsid w:val="002419A4"/>
    <w:rsid w:val="00241DE0"/>
    <w:rsid w:val="00241F1D"/>
    <w:rsid w:val="00243669"/>
    <w:rsid w:val="00243B82"/>
    <w:rsid w:val="00243F2C"/>
    <w:rsid w:val="00244D45"/>
    <w:rsid w:val="00245713"/>
    <w:rsid w:val="00245F5B"/>
    <w:rsid w:val="00246040"/>
    <w:rsid w:val="002461B9"/>
    <w:rsid w:val="00246712"/>
    <w:rsid w:val="00246CA8"/>
    <w:rsid w:val="0024744E"/>
    <w:rsid w:val="002478E7"/>
    <w:rsid w:val="00247C56"/>
    <w:rsid w:val="00247CA2"/>
    <w:rsid w:val="00250433"/>
    <w:rsid w:val="00250470"/>
    <w:rsid w:val="00250593"/>
    <w:rsid w:val="00251302"/>
    <w:rsid w:val="00251459"/>
    <w:rsid w:val="00251593"/>
    <w:rsid w:val="00251F15"/>
    <w:rsid w:val="00251F86"/>
    <w:rsid w:val="002521A7"/>
    <w:rsid w:val="002529C9"/>
    <w:rsid w:val="00252E85"/>
    <w:rsid w:val="00253548"/>
    <w:rsid w:val="0025374B"/>
    <w:rsid w:val="00255463"/>
    <w:rsid w:val="0025550F"/>
    <w:rsid w:val="002557C4"/>
    <w:rsid w:val="00255B88"/>
    <w:rsid w:val="002569A1"/>
    <w:rsid w:val="00257285"/>
    <w:rsid w:val="00260131"/>
    <w:rsid w:val="00262564"/>
    <w:rsid w:val="002628F7"/>
    <w:rsid w:val="00263187"/>
    <w:rsid w:val="0026331B"/>
    <w:rsid w:val="0026341E"/>
    <w:rsid w:val="0026353F"/>
    <w:rsid w:val="002643C0"/>
    <w:rsid w:val="00265C9A"/>
    <w:rsid w:val="00266542"/>
    <w:rsid w:val="002667E8"/>
    <w:rsid w:val="0026713D"/>
    <w:rsid w:val="00267448"/>
    <w:rsid w:val="00267F3C"/>
    <w:rsid w:val="0027070F"/>
    <w:rsid w:val="002708C2"/>
    <w:rsid w:val="00270D66"/>
    <w:rsid w:val="00271087"/>
    <w:rsid w:val="002715CA"/>
    <w:rsid w:val="00271939"/>
    <w:rsid w:val="00271B96"/>
    <w:rsid w:val="00271C7D"/>
    <w:rsid w:val="00272ECD"/>
    <w:rsid w:val="00274124"/>
    <w:rsid w:val="0027510C"/>
    <w:rsid w:val="002756FB"/>
    <w:rsid w:val="00275D2B"/>
    <w:rsid w:val="0027617E"/>
    <w:rsid w:val="00276EB9"/>
    <w:rsid w:val="00277552"/>
    <w:rsid w:val="002775B3"/>
    <w:rsid w:val="00277A26"/>
    <w:rsid w:val="002814C0"/>
    <w:rsid w:val="0028154E"/>
    <w:rsid w:val="00281B3D"/>
    <w:rsid w:val="002827C7"/>
    <w:rsid w:val="00282E8C"/>
    <w:rsid w:val="0028381E"/>
    <w:rsid w:val="002842F1"/>
    <w:rsid w:val="002846B4"/>
    <w:rsid w:val="00284874"/>
    <w:rsid w:val="00285596"/>
    <w:rsid w:val="00285943"/>
    <w:rsid w:val="002873F8"/>
    <w:rsid w:val="0028771E"/>
    <w:rsid w:val="002878BB"/>
    <w:rsid w:val="00290587"/>
    <w:rsid w:val="00290ABD"/>
    <w:rsid w:val="00290B8B"/>
    <w:rsid w:val="00290DAF"/>
    <w:rsid w:val="002914E3"/>
    <w:rsid w:val="002914F7"/>
    <w:rsid w:val="00291CA0"/>
    <w:rsid w:val="00292111"/>
    <w:rsid w:val="00292479"/>
    <w:rsid w:val="002925FC"/>
    <w:rsid w:val="00292838"/>
    <w:rsid w:val="00292FE0"/>
    <w:rsid w:val="00293661"/>
    <w:rsid w:val="002938C3"/>
    <w:rsid w:val="00293C10"/>
    <w:rsid w:val="002955A2"/>
    <w:rsid w:val="00295B43"/>
    <w:rsid w:val="0029635C"/>
    <w:rsid w:val="00296746"/>
    <w:rsid w:val="002968D3"/>
    <w:rsid w:val="00296EFC"/>
    <w:rsid w:val="002976FF"/>
    <w:rsid w:val="002A0553"/>
    <w:rsid w:val="002A06E8"/>
    <w:rsid w:val="002A0B35"/>
    <w:rsid w:val="002A0ECD"/>
    <w:rsid w:val="002A1FFA"/>
    <w:rsid w:val="002A21BE"/>
    <w:rsid w:val="002A2398"/>
    <w:rsid w:val="002A2877"/>
    <w:rsid w:val="002A2F6C"/>
    <w:rsid w:val="002A3314"/>
    <w:rsid w:val="002A334E"/>
    <w:rsid w:val="002A3B11"/>
    <w:rsid w:val="002A42D2"/>
    <w:rsid w:val="002A48F6"/>
    <w:rsid w:val="002A4E17"/>
    <w:rsid w:val="002A5C7C"/>
    <w:rsid w:val="002A5FBC"/>
    <w:rsid w:val="002A60C4"/>
    <w:rsid w:val="002A6560"/>
    <w:rsid w:val="002B0325"/>
    <w:rsid w:val="002B0392"/>
    <w:rsid w:val="002B04AF"/>
    <w:rsid w:val="002B0A14"/>
    <w:rsid w:val="002B119A"/>
    <w:rsid w:val="002B13C7"/>
    <w:rsid w:val="002B195C"/>
    <w:rsid w:val="002B1F62"/>
    <w:rsid w:val="002B30B7"/>
    <w:rsid w:val="002B31CD"/>
    <w:rsid w:val="002B4516"/>
    <w:rsid w:val="002B4EAF"/>
    <w:rsid w:val="002B559A"/>
    <w:rsid w:val="002B59E4"/>
    <w:rsid w:val="002B704D"/>
    <w:rsid w:val="002B7F35"/>
    <w:rsid w:val="002C0AF4"/>
    <w:rsid w:val="002C1331"/>
    <w:rsid w:val="002C18AD"/>
    <w:rsid w:val="002C19BA"/>
    <w:rsid w:val="002C1FFB"/>
    <w:rsid w:val="002C2909"/>
    <w:rsid w:val="002C2AEF"/>
    <w:rsid w:val="002C2BD9"/>
    <w:rsid w:val="002C30E5"/>
    <w:rsid w:val="002C49E9"/>
    <w:rsid w:val="002C5634"/>
    <w:rsid w:val="002C5696"/>
    <w:rsid w:val="002C6564"/>
    <w:rsid w:val="002C6631"/>
    <w:rsid w:val="002C6C11"/>
    <w:rsid w:val="002C7101"/>
    <w:rsid w:val="002C746C"/>
    <w:rsid w:val="002C7AA1"/>
    <w:rsid w:val="002C7FA7"/>
    <w:rsid w:val="002D01FC"/>
    <w:rsid w:val="002D0954"/>
    <w:rsid w:val="002D0C98"/>
    <w:rsid w:val="002D0FDC"/>
    <w:rsid w:val="002D1B99"/>
    <w:rsid w:val="002D1C83"/>
    <w:rsid w:val="002D3308"/>
    <w:rsid w:val="002D37DD"/>
    <w:rsid w:val="002D47E0"/>
    <w:rsid w:val="002D4DF8"/>
    <w:rsid w:val="002D58D6"/>
    <w:rsid w:val="002D5FC2"/>
    <w:rsid w:val="002D6023"/>
    <w:rsid w:val="002D6E2C"/>
    <w:rsid w:val="002D7933"/>
    <w:rsid w:val="002D7FFC"/>
    <w:rsid w:val="002E0140"/>
    <w:rsid w:val="002E107A"/>
    <w:rsid w:val="002E165D"/>
    <w:rsid w:val="002E1A55"/>
    <w:rsid w:val="002E1AEF"/>
    <w:rsid w:val="002E1D3B"/>
    <w:rsid w:val="002E21C3"/>
    <w:rsid w:val="002E235A"/>
    <w:rsid w:val="002E291C"/>
    <w:rsid w:val="002E2E02"/>
    <w:rsid w:val="002E2FD2"/>
    <w:rsid w:val="002E3446"/>
    <w:rsid w:val="002E3BA2"/>
    <w:rsid w:val="002E48E8"/>
    <w:rsid w:val="002E49B3"/>
    <w:rsid w:val="002E4BEF"/>
    <w:rsid w:val="002E4E06"/>
    <w:rsid w:val="002E57D3"/>
    <w:rsid w:val="002E5DB9"/>
    <w:rsid w:val="002E6BEA"/>
    <w:rsid w:val="002E7061"/>
    <w:rsid w:val="002E726A"/>
    <w:rsid w:val="002E7454"/>
    <w:rsid w:val="002E7623"/>
    <w:rsid w:val="002F0216"/>
    <w:rsid w:val="002F0597"/>
    <w:rsid w:val="002F148D"/>
    <w:rsid w:val="002F1669"/>
    <w:rsid w:val="002F2AB1"/>
    <w:rsid w:val="002F355E"/>
    <w:rsid w:val="002F3C4E"/>
    <w:rsid w:val="002F3C53"/>
    <w:rsid w:val="002F3E75"/>
    <w:rsid w:val="002F400D"/>
    <w:rsid w:val="002F5350"/>
    <w:rsid w:val="002F5539"/>
    <w:rsid w:val="002F5563"/>
    <w:rsid w:val="002F5793"/>
    <w:rsid w:val="002F5AFA"/>
    <w:rsid w:val="002F5EB6"/>
    <w:rsid w:val="002F638C"/>
    <w:rsid w:val="002F63D0"/>
    <w:rsid w:val="002F676F"/>
    <w:rsid w:val="002F68CD"/>
    <w:rsid w:val="002F6932"/>
    <w:rsid w:val="002F6EC4"/>
    <w:rsid w:val="0030159A"/>
    <w:rsid w:val="00301CE2"/>
    <w:rsid w:val="00301F60"/>
    <w:rsid w:val="0030218A"/>
    <w:rsid w:val="003026A5"/>
    <w:rsid w:val="003028DD"/>
    <w:rsid w:val="00302AB2"/>
    <w:rsid w:val="00302F63"/>
    <w:rsid w:val="0030315A"/>
    <w:rsid w:val="003039F9"/>
    <w:rsid w:val="0030448E"/>
    <w:rsid w:val="00304C39"/>
    <w:rsid w:val="00305C24"/>
    <w:rsid w:val="00305C30"/>
    <w:rsid w:val="0030620A"/>
    <w:rsid w:val="003065B0"/>
    <w:rsid w:val="00306964"/>
    <w:rsid w:val="00306E90"/>
    <w:rsid w:val="00307022"/>
    <w:rsid w:val="00307297"/>
    <w:rsid w:val="00307745"/>
    <w:rsid w:val="00307CC4"/>
    <w:rsid w:val="00310BB8"/>
    <w:rsid w:val="00310C0A"/>
    <w:rsid w:val="003119A0"/>
    <w:rsid w:val="00311A1C"/>
    <w:rsid w:val="00311C38"/>
    <w:rsid w:val="00311D0C"/>
    <w:rsid w:val="00312B3F"/>
    <w:rsid w:val="00313564"/>
    <w:rsid w:val="00313672"/>
    <w:rsid w:val="00313A85"/>
    <w:rsid w:val="0031480E"/>
    <w:rsid w:val="00314CEF"/>
    <w:rsid w:val="00315E51"/>
    <w:rsid w:val="00316419"/>
    <w:rsid w:val="00316909"/>
    <w:rsid w:val="00317768"/>
    <w:rsid w:val="00317E9B"/>
    <w:rsid w:val="003204EF"/>
    <w:rsid w:val="00321656"/>
    <w:rsid w:val="003217CF"/>
    <w:rsid w:val="003218BB"/>
    <w:rsid w:val="003219DB"/>
    <w:rsid w:val="00321ABE"/>
    <w:rsid w:val="00321C73"/>
    <w:rsid w:val="00321D77"/>
    <w:rsid w:val="00321D90"/>
    <w:rsid w:val="00322078"/>
    <w:rsid w:val="00322294"/>
    <w:rsid w:val="00322505"/>
    <w:rsid w:val="003226D9"/>
    <w:rsid w:val="00322EAA"/>
    <w:rsid w:val="003232D9"/>
    <w:rsid w:val="0032332B"/>
    <w:rsid w:val="0032346C"/>
    <w:rsid w:val="00323871"/>
    <w:rsid w:val="003242FF"/>
    <w:rsid w:val="00324583"/>
    <w:rsid w:val="00324848"/>
    <w:rsid w:val="00326F1F"/>
    <w:rsid w:val="00327312"/>
    <w:rsid w:val="00327C0E"/>
    <w:rsid w:val="00330865"/>
    <w:rsid w:val="0033223E"/>
    <w:rsid w:val="003322A0"/>
    <w:rsid w:val="00332388"/>
    <w:rsid w:val="00332401"/>
    <w:rsid w:val="003324D5"/>
    <w:rsid w:val="003338BC"/>
    <w:rsid w:val="00333B24"/>
    <w:rsid w:val="00334E7D"/>
    <w:rsid w:val="00334F84"/>
    <w:rsid w:val="00335A39"/>
    <w:rsid w:val="00335BE6"/>
    <w:rsid w:val="00335C58"/>
    <w:rsid w:val="00335CC4"/>
    <w:rsid w:val="00336227"/>
    <w:rsid w:val="00336CD0"/>
    <w:rsid w:val="00336CDE"/>
    <w:rsid w:val="003371B7"/>
    <w:rsid w:val="0033769C"/>
    <w:rsid w:val="00337748"/>
    <w:rsid w:val="00337C6F"/>
    <w:rsid w:val="00340163"/>
    <w:rsid w:val="00340D42"/>
    <w:rsid w:val="00341B4E"/>
    <w:rsid w:val="00341D28"/>
    <w:rsid w:val="003424DB"/>
    <w:rsid w:val="00342772"/>
    <w:rsid w:val="0034298E"/>
    <w:rsid w:val="003436FC"/>
    <w:rsid w:val="00343C82"/>
    <w:rsid w:val="00343CDF"/>
    <w:rsid w:val="00344120"/>
    <w:rsid w:val="0034452C"/>
    <w:rsid w:val="003466E2"/>
    <w:rsid w:val="0034692F"/>
    <w:rsid w:val="0034695A"/>
    <w:rsid w:val="00346AF8"/>
    <w:rsid w:val="00346C9B"/>
    <w:rsid w:val="00347DDB"/>
    <w:rsid w:val="00347F36"/>
    <w:rsid w:val="00350149"/>
    <w:rsid w:val="0035027D"/>
    <w:rsid w:val="00350F0A"/>
    <w:rsid w:val="00351651"/>
    <w:rsid w:val="00351FC9"/>
    <w:rsid w:val="003527A5"/>
    <w:rsid w:val="0035381C"/>
    <w:rsid w:val="00354C06"/>
    <w:rsid w:val="00355218"/>
    <w:rsid w:val="003555E0"/>
    <w:rsid w:val="003556CE"/>
    <w:rsid w:val="00356158"/>
    <w:rsid w:val="00356801"/>
    <w:rsid w:val="00356954"/>
    <w:rsid w:val="0035743B"/>
    <w:rsid w:val="00357489"/>
    <w:rsid w:val="00357523"/>
    <w:rsid w:val="003576A3"/>
    <w:rsid w:val="00357D7C"/>
    <w:rsid w:val="00360D5C"/>
    <w:rsid w:val="00361397"/>
    <w:rsid w:val="00361500"/>
    <w:rsid w:val="00361FD6"/>
    <w:rsid w:val="00363022"/>
    <w:rsid w:val="0036355F"/>
    <w:rsid w:val="003637F8"/>
    <w:rsid w:val="00363872"/>
    <w:rsid w:val="00363BFA"/>
    <w:rsid w:val="00364C82"/>
    <w:rsid w:val="0036522B"/>
    <w:rsid w:val="00365531"/>
    <w:rsid w:val="00366442"/>
    <w:rsid w:val="00366DD8"/>
    <w:rsid w:val="003676EE"/>
    <w:rsid w:val="00370C79"/>
    <w:rsid w:val="00370D35"/>
    <w:rsid w:val="00370D42"/>
    <w:rsid w:val="0037184A"/>
    <w:rsid w:val="0037199A"/>
    <w:rsid w:val="003726F5"/>
    <w:rsid w:val="0037297C"/>
    <w:rsid w:val="00372B93"/>
    <w:rsid w:val="00372C48"/>
    <w:rsid w:val="00373611"/>
    <w:rsid w:val="003738D2"/>
    <w:rsid w:val="00373C0E"/>
    <w:rsid w:val="003740A0"/>
    <w:rsid w:val="0037474C"/>
    <w:rsid w:val="003750DC"/>
    <w:rsid w:val="00375280"/>
    <w:rsid w:val="003755C2"/>
    <w:rsid w:val="00375BA2"/>
    <w:rsid w:val="003765B5"/>
    <w:rsid w:val="00376E61"/>
    <w:rsid w:val="00377223"/>
    <w:rsid w:val="0038012D"/>
    <w:rsid w:val="00380DD6"/>
    <w:rsid w:val="0038271A"/>
    <w:rsid w:val="00382D64"/>
    <w:rsid w:val="003833D5"/>
    <w:rsid w:val="003840A3"/>
    <w:rsid w:val="003847D5"/>
    <w:rsid w:val="00386526"/>
    <w:rsid w:val="003875F8"/>
    <w:rsid w:val="003877A1"/>
    <w:rsid w:val="00387B76"/>
    <w:rsid w:val="0039193A"/>
    <w:rsid w:val="00392066"/>
    <w:rsid w:val="003920D2"/>
    <w:rsid w:val="003920D7"/>
    <w:rsid w:val="003923B3"/>
    <w:rsid w:val="003923E4"/>
    <w:rsid w:val="003939E4"/>
    <w:rsid w:val="00394146"/>
    <w:rsid w:val="003942A7"/>
    <w:rsid w:val="00394363"/>
    <w:rsid w:val="00394860"/>
    <w:rsid w:val="00394A19"/>
    <w:rsid w:val="003952CB"/>
    <w:rsid w:val="00395965"/>
    <w:rsid w:val="00395A2D"/>
    <w:rsid w:val="00395C50"/>
    <w:rsid w:val="00396DD6"/>
    <w:rsid w:val="003972F3"/>
    <w:rsid w:val="0039746C"/>
    <w:rsid w:val="0039750E"/>
    <w:rsid w:val="003976A9"/>
    <w:rsid w:val="003978FE"/>
    <w:rsid w:val="00397DD7"/>
    <w:rsid w:val="00397E0F"/>
    <w:rsid w:val="003A089A"/>
    <w:rsid w:val="003A0DBC"/>
    <w:rsid w:val="003A0F73"/>
    <w:rsid w:val="003A1050"/>
    <w:rsid w:val="003A14CA"/>
    <w:rsid w:val="003A1CDB"/>
    <w:rsid w:val="003A29ED"/>
    <w:rsid w:val="003A2A4B"/>
    <w:rsid w:val="003A2E33"/>
    <w:rsid w:val="003A4157"/>
    <w:rsid w:val="003A4ED3"/>
    <w:rsid w:val="003A5408"/>
    <w:rsid w:val="003A5957"/>
    <w:rsid w:val="003A5984"/>
    <w:rsid w:val="003A5EDA"/>
    <w:rsid w:val="003A6BCC"/>
    <w:rsid w:val="003A7571"/>
    <w:rsid w:val="003A7B11"/>
    <w:rsid w:val="003B05BA"/>
    <w:rsid w:val="003B09AF"/>
    <w:rsid w:val="003B0CE0"/>
    <w:rsid w:val="003B0EAA"/>
    <w:rsid w:val="003B19C9"/>
    <w:rsid w:val="003B1D21"/>
    <w:rsid w:val="003B1E61"/>
    <w:rsid w:val="003B2430"/>
    <w:rsid w:val="003B265A"/>
    <w:rsid w:val="003B2B9C"/>
    <w:rsid w:val="003B2DED"/>
    <w:rsid w:val="003B2DFE"/>
    <w:rsid w:val="003B4105"/>
    <w:rsid w:val="003B54E4"/>
    <w:rsid w:val="003B5942"/>
    <w:rsid w:val="003B5CA2"/>
    <w:rsid w:val="003B6C57"/>
    <w:rsid w:val="003B714B"/>
    <w:rsid w:val="003B7243"/>
    <w:rsid w:val="003B731E"/>
    <w:rsid w:val="003B7F7A"/>
    <w:rsid w:val="003C0758"/>
    <w:rsid w:val="003C0E6D"/>
    <w:rsid w:val="003C0F57"/>
    <w:rsid w:val="003C11F6"/>
    <w:rsid w:val="003C1A5A"/>
    <w:rsid w:val="003C297D"/>
    <w:rsid w:val="003C29D5"/>
    <w:rsid w:val="003C2E50"/>
    <w:rsid w:val="003C32F9"/>
    <w:rsid w:val="003C35CD"/>
    <w:rsid w:val="003C38D1"/>
    <w:rsid w:val="003C4230"/>
    <w:rsid w:val="003C42D9"/>
    <w:rsid w:val="003C42F0"/>
    <w:rsid w:val="003C4585"/>
    <w:rsid w:val="003C4664"/>
    <w:rsid w:val="003C4A56"/>
    <w:rsid w:val="003C5C2A"/>
    <w:rsid w:val="003C666B"/>
    <w:rsid w:val="003C6B53"/>
    <w:rsid w:val="003C7485"/>
    <w:rsid w:val="003D079D"/>
    <w:rsid w:val="003D09A6"/>
    <w:rsid w:val="003D0A6C"/>
    <w:rsid w:val="003D0EAB"/>
    <w:rsid w:val="003D1C84"/>
    <w:rsid w:val="003D1D23"/>
    <w:rsid w:val="003D2305"/>
    <w:rsid w:val="003D2E62"/>
    <w:rsid w:val="003D332A"/>
    <w:rsid w:val="003D4AB4"/>
    <w:rsid w:val="003D545E"/>
    <w:rsid w:val="003D5C4A"/>
    <w:rsid w:val="003D5EC6"/>
    <w:rsid w:val="003D61AA"/>
    <w:rsid w:val="003D641A"/>
    <w:rsid w:val="003D64A0"/>
    <w:rsid w:val="003E127B"/>
    <w:rsid w:val="003E140D"/>
    <w:rsid w:val="003E17CC"/>
    <w:rsid w:val="003E1F5B"/>
    <w:rsid w:val="003E46C0"/>
    <w:rsid w:val="003E4BA3"/>
    <w:rsid w:val="003E4C16"/>
    <w:rsid w:val="003E50DC"/>
    <w:rsid w:val="003E52F8"/>
    <w:rsid w:val="003E5413"/>
    <w:rsid w:val="003E5CE5"/>
    <w:rsid w:val="003E5D9D"/>
    <w:rsid w:val="003E69C3"/>
    <w:rsid w:val="003E6D03"/>
    <w:rsid w:val="003E7135"/>
    <w:rsid w:val="003E7CF3"/>
    <w:rsid w:val="003E7E26"/>
    <w:rsid w:val="003E7F8B"/>
    <w:rsid w:val="003E7FEC"/>
    <w:rsid w:val="003F0095"/>
    <w:rsid w:val="003F009E"/>
    <w:rsid w:val="003F0E5D"/>
    <w:rsid w:val="003F0FAD"/>
    <w:rsid w:val="003F1A45"/>
    <w:rsid w:val="003F1F3B"/>
    <w:rsid w:val="003F24D8"/>
    <w:rsid w:val="003F2E69"/>
    <w:rsid w:val="003F2F1A"/>
    <w:rsid w:val="003F3281"/>
    <w:rsid w:val="003F36E1"/>
    <w:rsid w:val="003F405E"/>
    <w:rsid w:val="003F51CF"/>
    <w:rsid w:val="003F5219"/>
    <w:rsid w:val="003F63CA"/>
    <w:rsid w:val="003F6542"/>
    <w:rsid w:val="003F65B7"/>
    <w:rsid w:val="003F68F1"/>
    <w:rsid w:val="003F6EE2"/>
    <w:rsid w:val="0040084F"/>
    <w:rsid w:val="00400FF7"/>
    <w:rsid w:val="00401CC6"/>
    <w:rsid w:val="0040232F"/>
    <w:rsid w:val="004028EA"/>
    <w:rsid w:val="004031BE"/>
    <w:rsid w:val="00403E6E"/>
    <w:rsid w:val="00404ACC"/>
    <w:rsid w:val="004057D8"/>
    <w:rsid w:val="0040585B"/>
    <w:rsid w:val="004058E4"/>
    <w:rsid w:val="00406661"/>
    <w:rsid w:val="00406FDA"/>
    <w:rsid w:val="00407580"/>
    <w:rsid w:val="00407B51"/>
    <w:rsid w:val="00407CE6"/>
    <w:rsid w:val="004103F6"/>
    <w:rsid w:val="00410A5F"/>
    <w:rsid w:val="00410A8E"/>
    <w:rsid w:val="00412670"/>
    <w:rsid w:val="004126AA"/>
    <w:rsid w:val="004131FA"/>
    <w:rsid w:val="00413259"/>
    <w:rsid w:val="0041352C"/>
    <w:rsid w:val="00413784"/>
    <w:rsid w:val="0041398C"/>
    <w:rsid w:val="004141E2"/>
    <w:rsid w:val="00415C87"/>
    <w:rsid w:val="004166EF"/>
    <w:rsid w:val="00416C56"/>
    <w:rsid w:val="004175CD"/>
    <w:rsid w:val="004179C5"/>
    <w:rsid w:val="004179F0"/>
    <w:rsid w:val="00420A40"/>
    <w:rsid w:val="00420B53"/>
    <w:rsid w:val="00420ED1"/>
    <w:rsid w:val="004213AD"/>
    <w:rsid w:val="004213F2"/>
    <w:rsid w:val="00421877"/>
    <w:rsid w:val="0042207A"/>
    <w:rsid w:val="00422B65"/>
    <w:rsid w:val="00422BAE"/>
    <w:rsid w:val="00423440"/>
    <w:rsid w:val="00423739"/>
    <w:rsid w:val="00424333"/>
    <w:rsid w:val="004244AA"/>
    <w:rsid w:val="00424BA6"/>
    <w:rsid w:val="00424ED9"/>
    <w:rsid w:val="00425101"/>
    <w:rsid w:val="00426399"/>
    <w:rsid w:val="0042670B"/>
    <w:rsid w:val="00427434"/>
    <w:rsid w:val="004277E2"/>
    <w:rsid w:val="00427AB0"/>
    <w:rsid w:val="00427C2F"/>
    <w:rsid w:val="00427F28"/>
    <w:rsid w:val="00430241"/>
    <w:rsid w:val="004302A7"/>
    <w:rsid w:val="00431B7D"/>
    <w:rsid w:val="004325A0"/>
    <w:rsid w:val="00432BC7"/>
    <w:rsid w:val="00432EF4"/>
    <w:rsid w:val="0043467A"/>
    <w:rsid w:val="00434ABD"/>
    <w:rsid w:val="00434DA9"/>
    <w:rsid w:val="00435B84"/>
    <w:rsid w:val="00436704"/>
    <w:rsid w:val="00437346"/>
    <w:rsid w:val="00440A65"/>
    <w:rsid w:val="00440ADC"/>
    <w:rsid w:val="00440C04"/>
    <w:rsid w:val="004412CF"/>
    <w:rsid w:val="004417D8"/>
    <w:rsid w:val="004420C0"/>
    <w:rsid w:val="004433E7"/>
    <w:rsid w:val="004449D0"/>
    <w:rsid w:val="00444CEE"/>
    <w:rsid w:val="00444F97"/>
    <w:rsid w:val="00445325"/>
    <w:rsid w:val="00445595"/>
    <w:rsid w:val="00445650"/>
    <w:rsid w:val="00445898"/>
    <w:rsid w:val="00446643"/>
    <w:rsid w:val="0044666E"/>
    <w:rsid w:val="004469FB"/>
    <w:rsid w:val="00446E1E"/>
    <w:rsid w:val="00447044"/>
    <w:rsid w:val="00447387"/>
    <w:rsid w:val="00447479"/>
    <w:rsid w:val="004477DE"/>
    <w:rsid w:val="00447FDC"/>
    <w:rsid w:val="00450E86"/>
    <w:rsid w:val="004516F3"/>
    <w:rsid w:val="00451DEB"/>
    <w:rsid w:val="00451F78"/>
    <w:rsid w:val="004531EC"/>
    <w:rsid w:val="0045385C"/>
    <w:rsid w:val="004538D5"/>
    <w:rsid w:val="00454576"/>
    <w:rsid w:val="004551B6"/>
    <w:rsid w:val="00455528"/>
    <w:rsid w:val="00455909"/>
    <w:rsid w:val="00455B70"/>
    <w:rsid w:val="00455C6F"/>
    <w:rsid w:val="0045745B"/>
    <w:rsid w:val="00460DC2"/>
    <w:rsid w:val="0046238C"/>
    <w:rsid w:val="004628AF"/>
    <w:rsid w:val="00462B9F"/>
    <w:rsid w:val="00463E18"/>
    <w:rsid w:val="004645C4"/>
    <w:rsid w:val="0046474B"/>
    <w:rsid w:val="00465E9A"/>
    <w:rsid w:val="0046632F"/>
    <w:rsid w:val="0046709E"/>
    <w:rsid w:val="00467AD2"/>
    <w:rsid w:val="00467D8E"/>
    <w:rsid w:val="00467F72"/>
    <w:rsid w:val="00470F02"/>
    <w:rsid w:val="00471137"/>
    <w:rsid w:val="00471454"/>
    <w:rsid w:val="00471B50"/>
    <w:rsid w:val="00471D60"/>
    <w:rsid w:val="00471FEE"/>
    <w:rsid w:val="004726BA"/>
    <w:rsid w:val="00472AEE"/>
    <w:rsid w:val="0047318B"/>
    <w:rsid w:val="00473352"/>
    <w:rsid w:val="00473F37"/>
    <w:rsid w:val="00474700"/>
    <w:rsid w:val="0047482D"/>
    <w:rsid w:val="004749D8"/>
    <w:rsid w:val="00474F3C"/>
    <w:rsid w:val="00475345"/>
    <w:rsid w:val="00475937"/>
    <w:rsid w:val="00475DDE"/>
    <w:rsid w:val="00476C05"/>
    <w:rsid w:val="00480320"/>
    <w:rsid w:val="00480F0B"/>
    <w:rsid w:val="00481C44"/>
    <w:rsid w:val="004822CA"/>
    <w:rsid w:val="004827A4"/>
    <w:rsid w:val="00482DD3"/>
    <w:rsid w:val="00483AE2"/>
    <w:rsid w:val="00484081"/>
    <w:rsid w:val="004842F7"/>
    <w:rsid w:val="004845E3"/>
    <w:rsid w:val="00484C06"/>
    <w:rsid w:val="00484DBC"/>
    <w:rsid w:val="00484F7E"/>
    <w:rsid w:val="00484FD3"/>
    <w:rsid w:val="004851A6"/>
    <w:rsid w:val="0048561D"/>
    <w:rsid w:val="004863C2"/>
    <w:rsid w:val="00486EAC"/>
    <w:rsid w:val="0048739B"/>
    <w:rsid w:val="00487E09"/>
    <w:rsid w:val="0049007C"/>
    <w:rsid w:val="00490152"/>
    <w:rsid w:val="004902EE"/>
    <w:rsid w:val="00490C79"/>
    <w:rsid w:val="004916D3"/>
    <w:rsid w:val="004917E3"/>
    <w:rsid w:val="0049190C"/>
    <w:rsid w:val="0049394F"/>
    <w:rsid w:val="00493CF5"/>
    <w:rsid w:val="00494275"/>
    <w:rsid w:val="00494858"/>
    <w:rsid w:val="00494AD8"/>
    <w:rsid w:val="00494FE4"/>
    <w:rsid w:val="00495243"/>
    <w:rsid w:val="00495482"/>
    <w:rsid w:val="00496841"/>
    <w:rsid w:val="00496BE7"/>
    <w:rsid w:val="004A00B7"/>
    <w:rsid w:val="004A02CC"/>
    <w:rsid w:val="004A16A5"/>
    <w:rsid w:val="004A22C0"/>
    <w:rsid w:val="004A23D2"/>
    <w:rsid w:val="004A2802"/>
    <w:rsid w:val="004A2A7C"/>
    <w:rsid w:val="004A3681"/>
    <w:rsid w:val="004A389A"/>
    <w:rsid w:val="004A3D37"/>
    <w:rsid w:val="004A404E"/>
    <w:rsid w:val="004A4364"/>
    <w:rsid w:val="004A52B0"/>
    <w:rsid w:val="004A531F"/>
    <w:rsid w:val="004A68FF"/>
    <w:rsid w:val="004A69A0"/>
    <w:rsid w:val="004A70B7"/>
    <w:rsid w:val="004A729C"/>
    <w:rsid w:val="004A7747"/>
    <w:rsid w:val="004A78C7"/>
    <w:rsid w:val="004B0085"/>
    <w:rsid w:val="004B1C7A"/>
    <w:rsid w:val="004B1F82"/>
    <w:rsid w:val="004B2672"/>
    <w:rsid w:val="004B2EB3"/>
    <w:rsid w:val="004B3434"/>
    <w:rsid w:val="004B47BE"/>
    <w:rsid w:val="004B5931"/>
    <w:rsid w:val="004B5977"/>
    <w:rsid w:val="004B59C7"/>
    <w:rsid w:val="004B65B1"/>
    <w:rsid w:val="004B6B80"/>
    <w:rsid w:val="004B7238"/>
    <w:rsid w:val="004B7861"/>
    <w:rsid w:val="004B7FBC"/>
    <w:rsid w:val="004C0400"/>
    <w:rsid w:val="004C0586"/>
    <w:rsid w:val="004C0790"/>
    <w:rsid w:val="004C0D3B"/>
    <w:rsid w:val="004C1309"/>
    <w:rsid w:val="004C18D6"/>
    <w:rsid w:val="004C18DF"/>
    <w:rsid w:val="004C1AD6"/>
    <w:rsid w:val="004C337D"/>
    <w:rsid w:val="004C3E16"/>
    <w:rsid w:val="004C43C1"/>
    <w:rsid w:val="004C4CE7"/>
    <w:rsid w:val="004C51E4"/>
    <w:rsid w:val="004C5219"/>
    <w:rsid w:val="004C563F"/>
    <w:rsid w:val="004C5E3A"/>
    <w:rsid w:val="004C67D1"/>
    <w:rsid w:val="004C6FE7"/>
    <w:rsid w:val="004C7C8F"/>
    <w:rsid w:val="004C7D14"/>
    <w:rsid w:val="004C7DFA"/>
    <w:rsid w:val="004C7FE4"/>
    <w:rsid w:val="004D075D"/>
    <w:rsid w:val="004D14BF"/>
    <w:rsid w:val="004D1803"/>
    <w:rsid w:val="004D1C87"/>
    <w:rsid w:val="004D1E7E"/>
    <w:rsid w:val="004D2709"/>
    <w:rsid w:val="004D32D8"/>
    <w:rsid w:val="004D368C"/>
    <w:rsid w:val="004D389C"/>
    <w:rsid w:val="004D3DC8"/>
    <w:rsid w:val="004D3F30"/>
    <w:rsid w:val="004D409E"/>
    <w:rsid w:val="004D4ADE"/>
    <w:rsid w:val="004D4F9D"/>
    <w:rsid w:val="004D5208"/>
    <w:rsid w:val="004D5350"/>
    <w:rsid w:val="004D5874"/>
    <w:rsid w:val="004D594E"/>
    <w:rsid w:val="004D5A0A"/>
    <w:rsid w:val="004D5F97"/>
    <w:rsid w:val="004D61B5"/>
    <w:rsid w:val="004D655E"/>
    <w:rsid w:val="004D69A8"/>
    <w:rsid w:val="004D6D35"/>
    <w:rsid w:val="004D7084"/>
    <w:rsid w:val="004D755A"/>
    <w:rsid w:val="004D7BC9"/>
    <w:rsid w:val="004E0608"/>
    <w:rsid w:val="004E183D"/>
    <w:rsid w:val="004E1C24"/>
    <w:rsid w:val="004E20C2"/>
    <w:rsid w:val="004E276D"/>
    <w:rsid w:val="004E3128"/>
    <w:rsid w:val="004E4294"/>
    <w:rsid w:val="004E43EF"/>
    <w:rsid w:val="004E4B2C"/>
    <w:rsid w:val="004E511D"/>
    <w:rsid w:val="004E6432"/>
    <w:rsid w:val="004E6454"/>
    <w:rsid w:val="004E6E5F"/>
    <w:rsid w:val="004E6EC0"/>
    <w:rsid w:val="004E7EDD"/>
    <w:rsid w:val="004F0213"/>
    <w:rsid w:val="004F0BC9"/>
    <w:rsid w:val="004F1806"/>
    <w:rsid w:val="004F2171"/>
    <w:rsid w:val="004F28AB"/>
    <w:rsid w:val="004F28FA"/>
    <w:rsid w:val="004F380F"/>
    <w:rsid w:val="004F4124"/>
    <w:rsid w:val="004F4739"/>
    <w:rsid w:val="004F4A19"/>
    <w:rsid w:val="004F5C56"/>
    <w:rsid w:val="004F5CAA"/>
    <w:rsid w:val="004F5D57"/>
    <w:rsid w:val="0050113D"/>
    <w:rsid w:val="005012BA"/>
    <w:rsid w:val="00501933"/>
    <w:rsid w:val="005024F3"/>
    <w:rsid w:val="0050253B"/>
    <w:rsid w:val="00502CF4"/>
    <w:rsid w:val="00503471"/>
    <w:rsid w:val="00503DBA"/>
    <w:rsid w:val="00504236"/>
    <w:rsid w:val="00504608"/>
    <w:rsid w:val="005048A4"/>
    <w:rsid w:val="00505F7C"/>
    <w:rsid w:val="00506DE9"/>
    <w:rsid w:val="00506E31"/>
    <w:rsid w:val="00507071"/>
    <w:rsid w:val="00507A2A"/>
    <w:rsid w:val="00507B41"/>
    <w:rsid w:val="0051014D"/>
    <w:rsid w:val="0051033B"/>
    <w:rsid w:val="00510854"/>
    <w:rsid w:val="0051087D"/>
    <w:rsid w:val="0051158F"/>
    <w:rsid w:val="00512262"/>
    <w:rsid w:val="0051248A"/>
    <w:rsid w:val="00512B13"/>
    <w:rsid w:val="005130B6"/>
    <w:rsid w:val="005133D1"/>
    <w:rsid w:val="00513EE7"/>
    <w:rsid w:val="005142D5"/>
    <w:rsid w:val="00514A75"/>
    <w:rsid w:val="005150A9"/>
    <w:rsid w:val="00515182"/>
    <w:rsid w:val="00515283"/>
    <w:rsid w:val="00515596"/>
    <w:rsid w:val="0051651E"/>
    <w:rsid w:val="005174AD"/>
    <w:rsid w:val="00517FBD"/>
    <w:rsid w:val="00520969"/>
    <w:rsid w:val="00520B83"/>
    <w:rsid w:val="0052159B"/>
    <w:rsid w:val="005216AF"/>
    <w:rsid w:val="005218C4"/>
    <w:rsid w:val="005218D5"/>
    <w:rsid w:val="00521A5B"/>
    <w:rsid w:val="005221CB"/>
    <w:rsid w:val="00522413"/>
    <w:rsid w:val="00522427"/>
    <w:rsid w:val="00522C5A"/>
    <w:rsid w:val="00522C76"/>
    <w:rsid w:val="005233FF"/>
    <w:rsid w:val="00523673"/>
    <w:rsid w:val="005259B6"/>
    <w:rsid w:val="0052601B"/>
    <w:rsid w:val="005263BE"/>
    <w:rsid w:val="005266A0"/>
    <w:rsid w:val="00526C82"/>
    <w:rsid w:val="00531322"/>
    <w:rsid w:val="0053147B"/>
    <w:rsid w:val="00531A35"/>
    <w:rsid w:val="005324AB"/>
    <w:rsid w:val="005329B1"/>
    <w:rsid w:val="005334C1"/>
    <w:rsid w:val="00533502"/>
    <w:rsid w:val="0053361C"/>
    <w:rsid w:val="005336F0"/>
    <w:rsid w:val="00534025"/>
    <w:rsid w:val="0053444F"/>
    <w:rsid w:val="00534F31"/>
    <w:rsid w:val="005351B3"/>
    <w:rsid w:val="005359B2"/>
    <w:rsid w:val="00535C05"/>
    <w:rsid w:val="00535CC2"/>
    <w:rsid w:val="005365F2"/>
    <w:rsid w:val="0053682C"/>
    <w:rsid w:val="005370AB"/>
    <w:rsid w:val="00537B0D"/>
    <w:rsid w:val="00537E36"/>
    <w:rsid w:val="00537EB1"/>
    <w:rsid w:val="005403A6"/>
    <w:rsid w:val="00540497"/>
    <w:rsid w:val="0054059B"/>
    <w:rsid w:val="00540961"/>
    <w:rsid w:val="00540DDC"/>
    <w:rsid w:val="005410D6"/>
    <w:rsid w:val="005414DF"/>
    <w:rsid w:val="00541840"/>
    <w:rsid w:val="005437AB"/>
    <w:rsid w:val="00544BD3"/>
    <w:rsid w:val="00544CB1"/>
    <w:rsid w:val="005454D2"/>
    <w:rsid w:val="00546AE6"/>
    <w:rsid w:val="005475B5"/>
    <w:rsid w:val="005477BC"/>
    <w:rsid w:val="00547EEE"/>
    <w:rsid w:val="00550649"/>
    <w:rsid w:val="005522A0"/>
    <w:rsid w:val="005523C2"/>
    <w:rsid w:val="0055245D"/>
    <w:rsid w:val="00552A1B"/>
    <w:rsid w:val="00552BB3"/>
    <w:rsid w:val="00552C33"/>
    <w:rsid w:val="00552E44"/>
    <w:rsid w:val="005538F3"/>
    <w:rsid w:val="00554772"/>
    <w:rsid w:val="005555DA"/>
    <w:rsid w:val="005562FA"/>
    <w:rsid w:val="00556B1A"/>
    <w:rsid w:val="005573D7"/>
    <w:rsid w:val="0055746A"/>
    <w:rsid w:val="005577E4"/>
    <w:rsid w:val="00560030"/>
    <w:rsid w:val="00561189"/>
    <w:rsid w:val="00561D1D"/>
    <w:rsid w:val="00561DCA"/>
    <w:rsid w:val="00561F4D"/>
    <w:rsid w:val="005623DB"/>
    <w:rsid w:val="005629F9"/>
    <w:rsid w:val="00562B03"/>
    <w:rsid w:val="00562CD1"/>
    <w:rsid w:val="00562D13"/>
    <w:rsid w:val="0056324A"/>
    <w:rsid w:val="00563C66"/>
    <w:rsid w:val="00564C4F"/>
    <w:rsid w:val="005655B6"/>
    <w:rsid w:val="00566282"/>
    <w:rsid w:val="00566D99"/>
    <w:rsid w:val="005673AA"/>
    <w:rsid w:val="005673CF"/>
    <w:rsid w:val="00567A8A"/>
    <w:rsid w:val="00567E07"/>
    <w:rsid w:val="00567E27"/>
    <w:rsid w:val="00567E5C"/>
    <w:rsid w:val="00570183"/>
    <w:rsid w:val="00570903"/>
    <w:rsid w:val="005709A1"/>
    <w:rsid w:val="00570AF5"/>
    <w:rsid w:val="00570D6A"/>
    <w:rsid w:val="005714F3"/>
    <w:rsid w:val="00571668"/>
    <w:rsid w:val="00571A38"/>
    <w:rsid w:val="00571FA8"/>
    <w:rsid w:val="005731D9"/>
    <w:rsid w:val="0057328B"/>
    <w:rsid w:val="00573DA3"/>
    <w:rsid w:val="00574485"/>
    <w:rsid w:val="005748C2"/>
    <w:rsid w:val="005753BB"/>
    <w:rsid w:val="005754C2"/>
    <w:rsid w:val="00575AEA"/>
    <w:rsid w:val="0057630E"/>
    <w:rsid w:val="005772BA"/>
    <w:rsid w:val="005778DF"/>
    <w:rsid w:val="00577C4E"/>
    <w:rsid w:val="00580835"/>
    <w:rsid w:val="0058109D"/>
    <w:rsid w:val="005812B2"/>
    <w:rsid w:val="00582221"/>
    <w:rsid w:val="00582FA4"/>
    <w:rsid w:val="00583AFD"/>
    <w:rsid w:val="005840BF"/>
    <w:rsid w:val="00584874"/>
    <w:rsid w:val="00584A75"/>
    <w:rsid w:val="00584C0D"/>
    <w:rsid w:val="00585679"/>
    <w:rsid w:val="00586C28"/>
    <w:rsid w:val="00586F54"/>
    <w:rsid w:val="00587986"/>
    <w:rsid w:val="00587FEC"/>
    <w:rsid w:val="00592095"/>
    <w:rsid w:val="0059251F"/>
    <w:rsid w:val="00593119"/>
    <w:rsid w:val="00593461"/>
    <w:rsid w:val="00593F13"/>
    <w:rsid w:val="00594352"/>
    <w:rsid w:val="00594946"/>
    <w:rsid w:val="00595D2C"/>
    <w:rsid w:val="0059606E"/>
    <w:rsid w:val="00596239"/>
    <w:rsid w:val="00596286"/>
    <w:rsid w:val="005978D6"/>
    <w:rsid w:val="00597F54"/>
    <w:rsid w:val="005A0084"/>
    <w:rsid w:val="005A0844"/>
    <w:rsid w:val="005A27F7"/>
    <w:rsid w:val="005A283D"/>
    <w:rsid w:val="005A313F"/>
    <w:rsid w:val="005A3C4A"/>
    <w:rsid w:val="005A3FA7"/>
    <w:rsid w:val="005A41A2"/>
    <w:rsid w:val="005A45E5"/>
    <w:rsid w:val="005A4CFD"/>
    <w:rsid w:val="005A570B"/>
    <w:rsid w:val="005A593C"/>
    <w:rsid w:val="005A6741"/>
    <w:rsid w:val="005A788F"/>
    <w:rsid w:val="005B0647"/>
    <w:rsid w:val="005B0C6C"/>
    <w:rsid w:val="005B0D5F"/>
    <w:rsid w:val="005B27FD"/>
    <w:rsid w:val="005B34E9"/>
    <w:rsid w:val="005B394C"/>
    <w:rsid w:val="005B3EF0"/>
    <w:rsid w:val="005B40C1"/>
    <w:rsid w:val="005B48E7"/>
    <w:rsid w:val="005B5310"/>
    <w:rsid w:val="005B56EE"/>
    <w:rsid w:val="005B5C82"/>
    <w:rsid w:val="005B5DF2"/>
    <w:rsid w:val="005B6252"/>
    <w:rsid w:val="005B6D95"/>
    <w:rsid w:val="005B755E"/>
    <w:rsid w:val="005B76CB"/>
    <w:rsid w:val="005B7706"/>
    <w:rsid w:val="005B7D6B"/>
    <w:rsid w:val="005C07E8"/>
    <w:rsid w:val="005C1812"/>
    <w:rsid w:val="005C33C0"/>
    <w:rsid w:val="005C68A1"/>
    <w:rsid w:val="005C68BD"/>
    <w:rsid w:val="005C7139"/>
    <w:rsid w:val="005C72DA"/>
    <w:rsid w:val="005C75B4"/>
    <w:rsid w:val="005D07F2"/>
    <w:rsid w:val="005D0E10"/>
    <w:rsid w:val="005D146E"/>
    <w:rsid w:val="005D16F6"/>
    <w:rsid w:val="005D1755"/>
    <w:rsid w:val="005D1AF6"/>
    <w:rsid w:val="005D3274"/>
    <w:rsid w:val="005D3946"/>
    <w:rsid w:val="005D421C"/>
    <w:rsid w:val="005D5014"/>
    <w:rsid w:val="005D67F2"/>
    <w:rsid w:val="005D760A"/>
    <w:rsid w:val="005D7B5C"/>
    <w:rsid w:val="005E00B6"/>
    <w:rsid w:val="005E040A"/>
    <w:rsid w:val="005E04DB"/>
    <w:rsid w:val="005E0AF1"/>
    <w:rsid w:val="005E0BC7"/>
    <w:rsid w:val="005E1192"/>
    <w:rsid w:val="005E12A2"/>
    <w:rsid w:val="005E1922"/>
    <w:rsid w:val="005E227E"/>
    <w:rsid w:val="005E23DA"/>
    <w:rsid w:val="005E257E"/>
    <w:rsid w:val="005E2DC5"/>
    <w:rsid w:val="005E3DD3"/>
    <w:rsid w:val="005E422C"/>
    <w:rsid w:val="005E5027"/>
    <w:rsid w:val="005E55BF"/>
    <w:rsid w:val="005E619D"/>
    <w:rsid w:val="005E644E"/>
    <w:rsid w:val="005E64E0"/>
    <w:rsid w:val="005E6822"/>
    <w:rsid w:val="005E6995"/>
    <w:rsid w:val="005E6F85"/>
    <w:rsid w:val="005E7061"/>
    <w:rsid w:val="005E71EA"/>
    <w:rsid w:val="005E79FA"/>
    <w:rsid w:val="005E7A6E"/>
    <w:rsid w:val="005E7AA9"/>
    <w:rsid w:val="005F07FB"/>
    <w:rsid w:val="005F1223"/>
    <w:rsid w:val="005F1374"/>
    <w:rsid w:val="005F155A"/>
    <w:rsid w:val="005F1F4C"/>
    <w:rsid w:val="005F2013"/>
    <w:rsid w:val="005F2629"/>
    <w:rsid w:val="005F2E6A"/>
    <w:rsid w:val="005F4113"/>
    <w:rsid w:val="005F42B3"/>
    <w:rsid w:val="005F4427"/>
    <w:rsid w:val="005F54DF"/>
    <w:rsid w:val="005F5AA5"/>
    <w:rsid w:val="005F5B5B"/>
    <w:rsid w:val="005F5FDE"/>
    <w:rsid w:val="005F6F95"/>
    <w:rsid w:val="005F7082"/>
    <w:rsid w:val="005F7217"/>
    <w:rsid w:val="006019B1"/>
    <w:rsid w:val="00601F2B"/>
    <w:rsid w:val="00602318"/>
    <w:rsid w:val="0060275F"/>
    <w:rsid w:val="0060287E"/>
    <w:rsid w:val="00602929"/>
    <w:rsid w:val="0060310C"/>
    <w:rsid w:val="0060453A"/>
    <w:rsid w:val="00604A52"/>
    <w:rsid w:val="00604B70"/>
    <w:rsid w:val="00604DFE"/>
    <w:rsid w:val="006052A9"/>
    <w:rsid w:val="00606CC7"/>
    <w:rsid w:val="00606F36"/>
    <w:rsid w:val="006073E5"/>
    <w:rsid w:val="00607471"/>
    <w:rsid w:val="00607931"/>
    <w:rsid w:val="00610221"/>
    <w:rsid w:val="0061048A"/>
    <w:rsid w:val="00610898"/>
    <w:rsid w:val="0061158A"/>
    <w:rsid w:val="00611D37"/>
    <w:rsid w:val="006124C0"/>
    <w:rsid w:val="00612C59"/>
    <w:rsid w:val="006133E0"/>
    <w:rsid w:val="00613678"/>
    <w:rsid w:val="00613EFF"/>
    <w:rsid w:val="006144CF"/>
    <w:rsid w:val="00614D9F"/>
    <w:rsid w:val="00615819"/>
    <w:rsid w:val="00615AEF"/>
    <w:rsid w:val="00616938"/>
    <w:rsid w:val="00617173"/>
    <w:rsid w:val="00617574"/>
    <w:rsid w:val="00617D9F"/>
    <w:rsid w:val="00617F71"/>
    <w:rsid w:val="006203AF"/>
    <w:rsid w:val="006203B2"/>
    <w:rsid w:val="00620D12"/>
    <w:rsid w:val="00621AA4"/>
    <w:rsid w:val="00622646"/>
    <w:rsid w:val="00622A42"/>
    <w:rsid w:val="00622D67"/>
    <w:rsid w:val="00622EAB"/>
    <w:rsid w:val="00623244"/>
    <w:rsid w:val="006233D0"/>
    <w:rsid w:val="006235E0"/>
    <w:rsid w:val="006238DF"/>
    <w:rsid w:val="00624CF3"/>
    <w:rsid w:val="0062563D"/>
    <w:rsid w:val="006258AB"/>
    <w:rsid w:val="00625D34"/>
    <w:rsid w:val="0062673E"/>
    <w:rsid w:val="00626C80"/>
    <w:rsid w:val="00626CAA"/>
    <w:rsid w:val="006304D1"/>
    <w:rsid w:val="00630598"/>
    <w:rsid w:val="00631B6E"/>
    <w:rsid w:val="00631E9D"/>
    <w:rsid w:val="006320C0"/>
    <w:rsid w:val="0063291A"/>
    <w:rsid w:val="00632C75"/>
    <w:rsid w:val="00632D0F"/>
    <w:rsid w:val="00632EDA"/>
    <w:rsid w:val="006330A0"/>
    <w:rsid w:val="00633BB4"/>
    <w:rsid w:val="00634532"/>
    <w:rsid w:val="006357E9"/>
    <w:rsid w:val="006359CC"/>
    <w:rsid w:val="00635E17"/>
    <w:rsid w:val="00637128"/>
    <w:rsid w:val="006373E5"/>
    <w:rsid w:val="00637C9F"/>
    <w:rsid w:val="00640449"/>
    <w:rsid w:val="00642913"/>
    <w:rsid w:val="0064347A"/>
    <w:rsid w:val="0064360A"/>
    <w:rsid w:val="00643A59"/>
    <w:rsid w:val="00644CE1"/>
    <w:rsid w:val="00646829"/>
    <w:rsid w:val="00646F8A"/>
    <w:rsid w:val="0064700C"/>
    <w:rsid w:val="0064706D"/>
    <w:rsid w:val="006470C3"/>
    <w:rsid w:val="0064750F"/>
    <w:rsid w:val="006501B0"/>
    <w:rsid w:val="006502B6"/>
    <w:rsid w:val="0065047D"/>
    <w:rsid w:val="00650983"/>
    <w:rsid w:val="00650FD0"/>
    <w:rsid w:val="00651625"/>
    <w:rsid w:val="00651FAC"/>
    <w:rsid w:val="00652398"/>
    <w:rsid w:val="00652CDB"/>
    <w:rsid w:val="006530CD"/>
    <w:rsid w:val="00653498"/>
    <w:rsid w:val="00653995"/>
    <w:rsid w:val="00654D35"/>
    <w:rsid w:val="00655029"/>
    <w:rsid w:val="006550D4"/>
    <w:rsid w:val="006573C0"/>
    <w:rsid w:val="00660028"/>
    <w:rsid w:val="00660940"/>
    <w:rsid w:val="00661932"/>
    <w:rsid w:val="00661A20"/>
    <w:rsid w:val="00661A27"/>
    <w:rsid w:val="00661EE3"/>
    <w:rsid w:val="0066256E"/>
    <w:rsid w:val="00662D7B"/>
    <w:rsid w:val="00662DE7"/>
    <w:rsid w:val="00662F85"/>
    <w:rsid w:val="00664BB7"/>
    <w:rsid w:val="006650CD"/>
    <w:rsid w:val="0066533E"/>
    <w:rsid w:val="006657B9"/>
    <w:rsid w:val="00665CF7"/>
    <w:rsid w:val="00666937"/>
    <w:rsid w:val="006673F0"/>
    <w:rsid w:val="00667A2B"/>
    <w:rsid w:val="00667ABA"/>
    <w:rsid w:val="00667DB7"/>
    <w:rsid w:val="00670292"/>
    <w:rsid w:val="006705F1"/>
    <w:rsid w:val="00670CA5"/>
    <w:rsid w:val="00670DEB"/>
    <w:rsid w:val="00671746"/>
    <w:rsid w:val="00671AEE"/>
    <w:rsid w:val="0067243E"/>
    <w:rsid w:val="00672AF3"/>
    <w:rsid w:val="00672D1D"/>
    <w:rsid w:val="0067366C"/>
    <w:rsid w:val="0067463C"/>
    <w:rsid w:val="006758CA"/>
    <w:rsid w:val="00677A93"/>
    <w:rsid w:val="00677D37"/>
    <w:rsid w:val="00677E7E"/>
    <w:rsid w:val="00680419"/>
    <w:rsid w:val="00680AE6"/>
    <w:rsid w:val="00680BE2"/>
    <w:rsid w:val="00680D88"/>
    <w:rsid w:val="00681353"/>
    <w:rsid w:val="00681A2F"/>
    <w:rsid w:val="006820CF"/>
    <w:rsid w:val="0068241B"/>
    <w:rsid w:val="00682B28"/>
    <w:rsid w:val="0068345F"/>
    <w:rsid w:val="0068393A"/>
    <w:rsid w:val="00683C78"/>
    <w:rsid w:val="006842AE"/>
    <w:rsid w:val="0068444F"/>
    <w:rsid w:val="006853D9"/>
    <w:rsid w:val="00685CF6"/>
    <w:rsid w:val="00686537"/>
    <w:rsid w:val="006866C2"/>
    <w:rsid w:val="00686A04"/>
    <w:rsid w:val="00687433"/>
    <w:rsid w:val="00687C63"/>
    <w:rsid w:val="00690F11"/>
    <w:rsid w:val="006914A2"/>
    <w:rsid w:val="00692931"/>
    <w:rsid w:val="00692C24"/>
    <w:rsid w:val="00693DC8"/>
    <w:rsid w:val="00693EEC"/>
    <w:rsid w:val="00693F7E"/>
    <w:rsid w:val="006941CE"/>
    <w:rsid w:val="00694421"/>
    <w:rsid w:val="0069524A"/>
    <w:rsid w:val="006954BA"/>
    <w:rsid w:val="00695576"/>
    <w:rsid w:val="00695675"/>
    <w:rsid w:val="006960CC"/>
    <w:rsid w:val="006964B5"/>
    <w:rsid w:val="006969A6"/>
    <w:rsid w:val="00696E3D"/>
    <w:rsid w:val="00697C4E"/>
    <w:rsid w:val="006A0A7D"/>
    <w:rsid w:val="006A19E8"/>
    <w:rsid w:val="006A2D9A"/>
    <w:rsid w:val="006A3194"/>
    <w:rsid w:val="006A4A40"/>
    <w:rsid w:val="006A4B5F"/>
    <w:rsid w:val="006A4FF9"/>
    <w:rsid w:val="006A5232"/>
    <w:rsid w:val="006A6042"/>
    <w:rsid w:val="006A6710"/>
    <w:rsid w:val="006A6C27"/>
    <w:rsid w:val="006A72B8"/>
    <w:rsid w:val="006A7716"/>
    <w:rsid w:val="006A79A7"/>
    <w:rsid w:val="006A7B40"/>
    <w:rsid w:val="006A7CFE"/>
    <w:rsid w:val="006B012F"/>
    <w:rsid w:val="006B05E5"/>
    <w:rsid w:val="006B0C10"/>
    <w:rsid w:val="006B0DE2"/>
    <w:rsid w:val="006B1B07"/>
    <w:rsid w:val="006B2223"/>
    <w:rsid w:val="006B24CD"/>
    <w:rsid w:val="006B25E7"/>
    <w:rsid w:val="006B2924"/>
    <w:rsid w:val="006B2BC7"/>
    <w:rsid w:val="006B3435"/>
    <w:rsid w:val="006B369F"/>
    <w:rsid w:val="006B3D17"/>
    <w:rsid w:val="006B4451"/>
    <w:rsid w:val="006B4832"/>
    <w:rsid w:val="006B52C1"/>
    <w:rsid w:val="006B53AB"/>
    <w:rsid w:val="006B5671"/>
    <w:rsid w:val="006B5907"/>
    <w:rsid w:val="006B593A"/>
    <w:rsid w:val="006B5AC2"/>
    <w:rsid w:val="006B6877"/>
    <w:rsid w:val="006B6BA5"/>
    <w:rsid w:val="006B6FD3"/>
    <w:rsid w:val="006B7066"/>
    <w:rsid w:val="006B7314"/>
    <w:rsid w:val="006B742A"/>
    <w:rsid w:val="006B77C7"/>
    <w:rsid w:val="006B7D9D"/>
    <w:rsid w:val="006B7DEE"/>
    <w:rsid w:val="006B7EF6"/>
    <w:rsid w:val="006C0955"/>
    <w:rsid w:val="006C16D0"/>
    <w:rsid w:val="006C1E62"/>
    <w:rsid w:val="006C2348"/>
    <w:rsid w:val="006C3D73"/>
    <w:rsid w:val="006C40BB"/>
    <w:rsid w:val="006C42C9"/>
    <w:rsid w:val="006C44BD"/>
    <w:rsid w:val="006C4E34"/>
    <w:rsid w:val="006C50C7"/>
    <w:rsid w:val="006C5A42"/>
    <w:rsid w:val="006C5EF1"/>
    <w:rsid w:val="006C669C"/>
    <w:rsid w:val="006C68C8"/>
    <w:rsid w:val="006C7ADB"/>
    <w:rsid w:val="006D00B0"/>
    <w:rsid w:val="006D00F2"/>
    <w:rsid w:val="006D0522"/>
    <w:rsid w:val="006D0C5F"/>
    <w:rsid w:val="006D0C99"/>
    <w:rsid w:val="006D0EC8"/>
    <w:rsid w:val="006D110A"/>
    <w:rsid w:val="006D16D3"/>
    <w:rsid w:val="006D29E6"/>
    <w:rsid w:val="006D3085"/>
    <w:rsid w:val="006D53F3"/>
    <w:rsid w:val="006D630A"/>
    <w:rsid w:val="006D67A8"/>
    <w:rsid w:val="006D683E"/>
    <w:rsid w:val="006D68BB"/>
    <w:rsid w:val="006D6AEF"/>
    <w:rsid w:val="006D6AF5"/>
    <w:rsid w:val="006D6E41"/>
    <w:rsid w:val="006D7450"/>
    <w:rsid w:val="006E0026"/>
    <w:rsid w:val="006E13C3"/>
    <w:rsid w:val="006E17A7"/>
    <w:rsid w:val="006E205A"/>
    <w:rsid w:val="006E2FBD"/>
    <w:rsid w:val="006E371D"/>
    <w:rsid w:val="006E3CA1"/>
    <w:rsid w:val="006E3FCF"/>
    <w:rsid w:val="006E4A2E"/>
    <w:rsid w:val="006E4B99"/>
    <w:rsid w:val="006E4C70"/>
    <w:rsid w:val="006E5384"/>
    <w:rsid w:val="006E5BF3"/>
    <w:rsid w:val="006E6A6B"/>
    <w:rsid w:val="006E6A91"/>
    <w:rsid w:val="006E6BED"/>
    <w:rsid w:val="006F030A"/>
    <w:rsid w:val="006F17C1"/>
    <w:rsid w:val="006F212B"/>
    <w:rsid w:val="006F2751"/>
    <w:rsid w:val="006F2A0D"/>
    <w:rsid w:val="006F325C"/>
    <w:rsid w:val="006F35ED"/>
    <w:rsid w:val="006F39D1"/>
    <w:rsid w:val="006F39F3"/>
    <w:rsid w:val="006F3F20"/>
    <w:rsid w:val="006F5329"/>
    <w:rsid w:val="006F58B1"/>
    <w:rsid w:val="006F5A4E"/>
    <w:rsid w:val="006F61C9"/>
    <w:rsid w:val="006F61F8"/>
    <w:rsid w:val="006F6B40"/>
    <w:rsid w:val="006F7DC7"/>
    <w:rsid w:val="00700434"/>
    <w:rsid w:val="00700CC6"/>
    <w:rsid w:val="00700E64"/>
    <w:rsid w:val="00700EE7"/>
    <w:rsid w:val="00701EC8"/>
    <w:rsid w:val="0070305D"/>
    <w:rsid w:val="007034C0"/>
    <w:rsid w:val="007044FE"/>
    <w:rsid w:val="007052A3"/>
    <w:rsid w:val="00705C7E"/>
    <w:rsid w:val="007062D1"/>
    <w:rsid w:val="00706DE4"/>
    <w:rsid w:val="007077D9"/>
    <w:rsid w:val="00710C2D"/>
    <w:rsid w:val="0071163F"/>
    <w:rsid w:val="00711651"/>
    <w:rsid w:val="00711AA5"/>
    <w:rsid w:val="007128C3"/>
    <w:rsid w:val="00712DCB"/>
    <w:rsid w:val="00712FCE"/>
    <w:rsid w:val="00713957"/>
    <w:rsid w:val="00713D38"/>
    <w:rsid w:val="0071412F"/>
    <w:rsid w:val="00714205"/>
    <w:rsid w:val="007145AD"/>
    <w:rsid w:val="00714950"/>
    <w:rsid w:val="00714C1F"/>
    <w:rsid w:val="007159F8"/>
    <w:rsid w:val="00716E76"/>
    <w:rsid w:val="007179A3"/>
    <w:rsid w:val="007203DC"/>
    <w:rsid w:val="007205C7"/>
    <w:rsid w:val="007206BA"/>
    <w:rsid w:val="007207D0"/>
    <w:rsid w:val="007218BC"/>
    <w:rsid w:val="00721A0B"/>
    <w:rsid w:val="00723FB5"/>
    <w:rsid w:val="007249A2"/>
    <w:rsid w:val="00724A11"/>
    <w:rsid w:val="007258B7"/>
    <w:rsid w:val="00725B77"/>
    <w:rsid w:val="00725BAD"/>
    <w:rsid w:val="00725DB3"/>
    <w:rsid w:val="00726AE0"/>
    <w:rsid w:val="007277B5"/>
    <w:rsid w:val="007302F0"/>
    <w:rsid w:val="00730703"/>
    <w:rsid w:val="00731F0C"/>
    <w:rsid w:val="007325F9"/>
    <w:rsid w:val="00732651"/>
    <w:rsid w:val="007327F7"/>
    <w:rsid w:val="00733062"/>
    <w:rsid w:val="00733129"/>
    <w:rsid w:val="00733718"/>
    <w:rsid w:val="0073419E"/>
    <w:rsid w:val="007350F0"/>
    <w:rsid w:val="00735253"/>
    <w:rsid w:val="00736220"/>
    <w:rsid w:val="00736521"/>
    <w:rsid w:val="00737201"/>
    <w:rsid w:val="00737FF8"/>
    <w:rsid w:val="007409FF"/>
    <w:rsid w:val="00740A09"/>
    <w:rsid w:val="00740F53"/>
    <w:rsid w:val="007410E7"/>
    <w:rsid w:val="007436EE"/>
    <w:rsid w:val="0074409B"/>
    <w:rsid w:val="00744615"/>
    <w:rsid w:val="00744847"/>
    <w:rsid w:val="00744E22"/>
    <w:rsid w:val="0074530C"/>
    <w:rsid w:val="007454B6"/>
    <w:rsid w:val="00745500"/>
    <w:rsid w:val="00745557"/>
    <w:rsid w:val="00745D91"/>
    <w:rsid w:val="00746119"/>
    <w:rsid w:val="00746715"/>
    <w:rsid w:val="00746B79"/>
    <w:rsid w:val="007477F4"/>
    <w:rsid w:val="007479AA"/>
    <w:rsid w:val="0075004F"/>
    <w:rsid w:val="0075006C"/>
    <w:rsid w:val="00750529"/>
    <w:rsid w:val="007505CA"/>
    <w:rsid w:val="00752580"/>
    <w:rsid w:val="0075314D"/>
    <w:rsid w:val="0075445C"/>
    <w:rsid w:val="00754848"/>
    <w:rsid w:val="00754A42"/>
    <w:rsid w:val="007555B7"/>
    <w:rsid w:val="0075677C"/>
    <w:rsid w:val="00756B4D"/>
    <w:rsid w:val="00757527"/>
    <w:rsid w:val="0075762D"/>
    <w:rsid w:val="00757EF7"/>
    <w:rsid w:val="00760237"/>
    <w:rsid w:val="00760483"/>
    <w:rsid w:val="00760B7D"/>
    <w:rsid w:val="00760F89"/>
    <w:rsid w:val="00763F9E"/>
    <w:rsid w:val="007642A0"/>
    <w:rsid w:val="00764366"/>
    <w:rsid w:val="0076642A"/>
    <w:rsid w:val="007665F6"/>
    <w:rsid w:val="00766E2A"/>
    <w:rsid w:val="00767212"/>
    <w:rsid w:val="007672D3"/>
    <w:rsid w:val="00767F14"/>
    <w:rsid w:val="00770E6E"/>
    <w:rsid w:val="007712A7"/>
    <w:rsid w:val="00771403"/>
    <w:rsid w:val="007716A7"/>
    <w:rsid w:val="00771A31"/>
    <w:rsid w:val="00772276"/>
    <w:rsid w:val="0077232C"/>
    <w:rsid w:val="00772361"/>
    <w:rsid w:val="00772A97"/>
    <w:rsid w:val="00773FD2"/>
    <w:rsid w:val="00774260"/>
    <w:rsid w:val="00774296"/>
    <w:rsid w:val="00774299"/>
    <w:rsid w:val="00774426"/>
    <w:rsid w:val="00774D16"/>
    <w:rsid w:val="00775134"/>
    <w:rsid w:val="00775BF7"/>
    <w:rsid w:val="007762C9"/>
    <w:rsid w:val="00776655"/>
    <w:rsid w:val="00776793"/>
    <w:rsid w:val="00776986"/>
    <w:rsid w:val="00776A34"/>
    <w:rsid w:val="00777427"/>
    <w:rsid w:val="00777A28"/>
    <w:rsid w:val="00777C7D"/>
    <w:rsid w:val="00777E00"/>
    <w:rsid w:val="00777FDE"/>
    <w:rsid w:val="0078052B"/>
    <w:rsid w:val="0078091C"/>
    <w:rsid w:val="00781278"/>
    <w:rsid w:val="007813DA"/>
    <w:rsid w:val="007815D7"/>
    <w:rsid w:val="00782634"/>
    <w:rsid w:val="00782E23"/>
    <w:rsid w:val="007831A9"/>
    <w:rsid w:val="00783A9D"/>
    <w:rsid w:val="00783BDA"/>
    <w:rsid w:val="007840BA"/>
    <w:rsid w:val="007848E4"/>
    <w:rsid w:val="00784DEA"/>
    <w:rsid w:val="007854CC"/>
    <w:rsid w:val="007856E7"/>
    <w:rsid w:val="007859E8"/>
    <w:rsid w:val="0078601C"/>
    <w:rsid w:val="007876F1"/>
    <w:rsid w:val="0078785F"/>
    <w:rsid w:val="00787989"/>
    <w:rsid w:val="00790080"/>
    <w:rsid w:val="00790331"/>
    <w:rsid w:val="00790513"/>
    <w:rsid w:val="00790933"/>
    <w:rsid w:val="00791C06"/>
    <w:rsid w:val="00791FB8"/>
    <w:rsid w:val="00792507"/>
    <w:rsid w:val="00792AB3"/>
    <w:rsid w:val="00793179"/>
    <w:rsid w:val="00793FC4"/>
    <w:rsid w:val="00794713"/>
    <w:rsid w:val="007947F6"/>
    <w:rsid w:val="00794D1F"/>
    <w:rsid w:val="007953DD"/>
    <w:rsid w:val="007963A4"/>
    <w:rsid w:val="007963C5"/>
    <w:rsid w:val="00796662"/>
    <w:rsid w:val="00796787"/>
    <w:rsid w:val="007972EA"/>
    <w:rsid w:val="0079791A"/>
    <w:rsid w:val="00797E38"/>
    <w:rsid w:val="00797F6C"/>
    <w:rsid w:val="00797FF8"/>
    <w:rsid w:val="007A0DEB"/>
    <w:rsid w:val="007A28F0"/>
    <w:rsid w:val="007A2BBA"/>
    <w:rsid w:val="007A2DBC"/>
    <w:rsid w:val="007A343F"/>
    <w:rsid w:val="007A3477"/>
    <w:rsid w:val="007A451D"/>
    <w:rsid w:val="007A5CA9"/>
    <w:rsid w:val="007A6496"/>
    <w:rsid w:val="007A7432"/>
    <w:rsid w:val="007A7DE6"/>
    <w:rsid w:val="007B0489"/>
    <w:rsid w:val="007B0A24"/>
    <w:rsid w:val="007B120B"/>
    <w:rsid w:val="007B14B3"/>
    <w:rsid w:val="007B1AE5"/>
    <w:rsid w:val="007B1F06"/>
    <w:rsid w:val="007B2371"/>
    <w:rsid w:val="007B2BAD"/>
    <w:rsid w:val="007B319B"/>
    <w:rsid w:val="007B34F2"/>
    <w:rsid w:val="007B387F"/>
    <w:rsid w:val="007B4592"/>
    <w:rsid w:val="007B4933"/>
    <w:rsid w:val="007B4945"/>
    <w:rsid w:val="007B4D2E"/>
    <w:rsid w:val="007B5359"/>
    <w:rsid w:val="007B5838"/>
    <w:rsid w:val="007B5A8C"/>
    <w:rsid w:val="007B61AA"/>
    <w:rsid w:val="007B645E"/>
    <w:rsid w:val="007B7848"/>
    <w:rsid w:val="007B7A2E"/>
    <w:rsid w:val="007B7FD8"/>
    <w:rsid w:val="007C034A"/>
    <w:rsid w:val="007C0A99"/>
    <w:rsid w:val="007C1024"/>
    <w:rsid w:val="007C174F"/>
    <w:rsid w:val="007C1929"/>
    <w:rsid w:val="007C1A2F"/>
    <w:rsid w:val="007C3286"/>
    <w:rsid w:val="007C36C3"/>
    <w:rsid w:val="007C385F"/>
    <w:rsid w:val="007C4736"/>
    <w:rsid w:val="007C48C1"/>
    <w:rsid w:val="007C5CDC"/>
    <w:rsid w:val="007C630F"/>
    <w:rsid w:val="007C6936"/>
    <w:rsid w:val="007C695E"/>
    <w:rsid w:val="007C6E2C"/>
    <w:rsid w:val="007C7BFC"/>
    <w:rsid w:val="007C7C0A"/>
    <w:rsid w:val="007C7C35"/>
    <w:rsid w:val="007C7CDF"/>
    <w:rsid w:val="007C7F1C"/>
    <w:rsid w:val="007C7FC2"/>
    <w:rsid w:val="007D0119"/>
    <w:rsid w:val="007D0EE8"/>
    <w:rsid w:val="007D13D0"/>
    <w:rsid w:val="007D1C5B"/>
    <w:rsid w:val="007D1ECE"/>
    <w:rsid w:val="007D210F"/>
    <w:rsid w:val="007D2283"/>
    <w:rsid w:val="007D2DBA"/>
    <w:rsid w:val="007D3271"/>
    <w:rsid w:val="007D379A"/>
    <w:rsid w:val="007D4959"/>
    <w:rsid w:val="007D5006"/>
    <w:rsid w:val="007D56EA"/>
    <w:rsid w:val="007D5C5F"/>
    <w:rsid w:val="007D6A74"/>
    <w:rsid w:val="007D7226"/>
    <w:rsid w:val="007D7633"/>
    <w:rsid w:val="007E0941"/>
    <w:rsid w:val="007E0FCC"/>
    <w:rsid w:val="007E137F"/>
    <w:rsid w:val="007E1535"/>
    <w:rsid w:val="007E1570"/>
    <w:rsid w:val="007E1EF3"/>
    <w:rsid w:val="007E243F"/>
    <w:rsid w:val="007E27D0"/>
    <w:rsid w:val="007E3352"/>
    <w:rsid w:val="007E3E0F"/>
    <w:rsid w:val="007E5676"/>
    <w:rsid w:val="007E5A88"/>
    <w:rsid w:val="007E70E1"/>
    <w:rsid w:val="007E7394"/>
    <w:rsid w:val="007E7BEC"/>
    <w:rsid w:val="007F0A1C"/>
    <w:rsid w:val="007F0BC4"/>
    <w:rsid w:val="007F0F74"/>
    <w:rsid w:val="007F104B"/>
    <w:rsid w:val="007F1FA6"/>
    <w:rsid w:val="007F2816"/>
    <w:rsid w:val="007F2CD6"/>
    <w:rsid w:val="007F2F39"/>
    <w:rsid w:val="007F2FA0"/>
    <w:rsid w:val="007F35FF"/>
    <w:rsid w:val="007F367D"/>
    <w:rsid w:val="007F5487"/>
    <w:rsid w:val="007F655E"/>
    <w:rsid w:val="007F725D"/>
    <w:rsid w:val="007F773F"/>
    <w:rsid w:val="008008F3"/>
    <w:rsid w:val="00800BB1"/>
    <w:rsid w:val="0080159A"/>
    <w:rsid w:val="00801639"/>
    <w:rsid w:val="008025FC"/>
    <w:rsid w:val="00802ACB"/>
    <w:rsid w:val="008032A4"/>
    <w:rsid w:val="0080447E"/>
    <w:rsid w:val="0080520E"/>
    <w:rsid w:val="00805EB7"/>
    <w:rsid w:val="00806640"/>
    <w:rsid w:val="00806B2B"/>
    <w:rsid w:val="00807290"/>
    <w:rsid w:val="0081049D"/>
    <w:rsid w:val="00810553"/>
    <w:rsid w:val="00810A38"/>
    <w:rsid w:val="00810C62"/>
    <w:rsid w:val="00810DB5"/>
    <w:rsid w:val="00812E8E"/>
    <w:rsid w:val="0081359B"/>
    <w:rsid w:val="008137B9"/>
    <w:rsid w:val="00813F95"/>
    <w:rsid w:val="00814572"/>
    <w:rsid w:val="008146A7"/>
    <w:rsid w:val="008148FC"/>
    <w:rsid w:val="00814D76"/>
    <w:rsid w:val="008155AE"/>
    <w:rsid w:val="00815A65"/>
    <w:rsid w:val="00816FAA"/>
    <w:rsid w:val="008200E9"/>
    <w:rsid w:val="00820A37"/>
    <w:rsid w:val="00822214"/>
    <w:rsid w:val="0082225F"/>
    <w:rsid w:val="008222BE"/>
    <w:rsid w:val="00822C60"/>
    <w:rsid w:val="00822CEC"/>
    <w:rsid w:val="00823280"/>
    <w:rsid w:val="00824834"/>
    <w:rsid w:val="00824B00"/>
    <w:rsid w:val="00824C81"/>
    <w:rsid w:val="00824E22"/>
    <w:rsid w:val="00825027"/>
    <w:rsid w:val="008256D9"/>
    <w:rsid w:val="00825ECF"/>
    <w:rsid w:val="0082609B"/>
    <w:rsid w:val="00831D56"/>
    <w:rsid w:val="0083221E"/>
    <w:rsid w:val="00832992"/>
    <w:rsid w:val="00832AFA"/>
    <w:rsid w:val="0083349E"/>
    <w:rsid w:val="00834465"/>
    <w:rsid w:val="008345BE"/>
    <w:rsid w:val="0083466D"/>
    <w:rsid w:val="00835877"/>
    <w:rsid w:val="00835E0A"/>
    <w:rsid w:val="00836EDA"/>
    <w:rsid w:val="00836F65"/>
    <w:rsid w:val="00837599"/>
    <w:rsid w:val="00837811"/>
    <w:rsid w:val="00837C91"/>
    <w:rsid w:val="0084060B"/>
    <w:rsid w:val="0084183F"/>
    <w:rsid w:val="008428D0"/>
    <w:rsid w:val="00842BB1"/>
    <w:rsid w:val="008430B1"/>
    <w:rsid w:val="008442D4"/>
    <w:rsid w:val="008446F4"/>
    <w:rsid w:val="008449C8"/>
    <w:rsid w:val="00844C7C"/>
    <w:rsid w:val="0084505D"/>
    <w:rsid w:val="008451B1"/>
    <w:rsid w:val="008451CC"/>
    <w:rsid w:val="00845745"/>
    <w:rsid w:val="00846FDD"/>
    <w:rsid w:val="008503DD"/>
    <w:rsid w:val="00850549"/>
    <w:rsid w:val="00850B6A"/>
    <w:rsid w:val="00851094"/>
    <w:rsid w:val="0085144F"/>
    <w:rsid w:val="00851B2B"/>
    <w:rsid w:val="00851EC3"/>
    <w:rsid w:val="00852092"/>
    <w:rsid w:val="008520FC"/>
    <w:rsid w:val="00853440"/>
    <w:rsid w:val="00853975"/>
    <w:rsid w:val="00857298"/>
    <w:rsid w:val="00857355"/>
    <w:rsid w:val="00860365"/>
    <w:rsid w:val="00861283"/>
    <w:rsid w:val="00861670"/>
    <w:rsid w:val="00861D1E"/>
    <w:rsid w:val="00862C4E"/>
    <w:rsid w:val="0086340C"/>
    <w:rsid w:val="00863632"/>
    <w:rsid w:val="00863FB7"/>
    <w:rsid w:val="00864B54"/>
    <w:rsid w:val="00864CE7"/>
    <w:rsid w:val="0086634B"/>
    <w:rsid w:val="00866504"/>
    <w:rsid w:val="00866535"/>
    <w:rsid w:val="00866858"/>
    <w:rsid w:val="008670BC"/>
    <w:rsid w:val="00867E3B"/>
    <w:rsid w:val="0087009C"/>
    <w:rsid w:val="00870496"/>
    <w:rsid w:val="0087161D"/>
    <w:rsid w:val="00871B40"/>
    <w:rsid w:val="00871BAB"/>
    <w:rsid w:val="00871FDE"/>
    <w:rsid w:val="0087236B"/>
    <w:rsid w:val="008731B6"/>
    <w:rsid w:val="008731E2"/>
    <w:rsid w:val="00873237"/>
    <w:rsid w:val="00873757"/>
    <w:rsid w:val="00873EF2"/>
    <w:rsid w:val="0087414A"/>
    <w:rsid w:val="00874561"/>
    <w:rsid w:val="008746D6"/>
    <w:rsid w:val="008747A3"/>
    <w:rsid w:val="00874CD1"/>
    <w:rsid w:val="0087512A"/>
    <w:rsid w:val="008754B6"/>
    <w:rsid w:val="008760DC"/>
    <w:rsid w:val="008764E2"/>
    <w:rsid w:val="00876507"/>
    <w:rsid w:val="008767F2"/>
    <w:rsid w:val="008767FD"/>
    <w:rsid w:val="008769C8"/>
    <w:rsid w:val="00877354"/>
    <w:rsid w:val="00877BFB"/>
    <w:rsid w:val="0088093E"/>
    <w:rsid w:val="0088111D"/>
    <w:rsid w:val="00881463"/>
    <w:rsid w:val="00881830"/>
    <w:rsid w:val="00881C9C"/>
    <w:rsid w:val="0088228F"/>
    <w:rsid w:val="00882645"/>
    <w:rsid w:val="00882AD2"/>
    <w:rsid w:val="00882E8A"/>
    <w:rsid w:val="008830CA"/>
    <w:rsid w:val="00883100"/>
    <w:rsid w:val="00884386"/>
    <w:rsid w:val="0088491B"/>
    <w:rsid w:val="00884E96"/>
    <w:rsid w:val="00885F1B"/>
    <w:rsid w:val="0088735B"/>
    <w:rsid w:val="0088758A"/>
    <w:rsid w:val="00887FC8"/>
    <w:rsid w:val="00890722"/>
    <w:rsid w:val="00891B04"/>
    <w:rsid w:val="00891E23"/>
    <w:rsid w:val="0089204A"/>
    <w:rsid w:val="00892CCD"/>
    <w:rsid w:val="00893774"/>
    <w:rsid w:val="00893806"/>
    <w:rsid w:val="00894327"/>
    <w:rsid w:val="008943AF"/>
    <w:rsid w:val="00894DA3"/>
    <w:rsid w:val="00895990"/>
    <w:rsid w:val="00896133"/>
    <w:rsid w:val="00896A7D"/>
    <w:rsid w:val="00897290"/>
    <w:rsid w:val="00897B00"/>
    <w:rsid w:val="008A14B3"/>
    <w:rsid w:val="008A2075"/>
    <w:rsid w:val="008A234C"/>
    <w:rsid w:val="008A310F"/>
    <w:rsid w:val="008A3B45"/>
    <w:rsid w:val="008A3D8C"/>
    <w:rsid w:val="008A5C61"/>
    <w:rsid w:val="008A62B9"/>
    <w:rsid w:val="008A73F9"/>
    <w:rsid w:val="008A7EB3"/>
    <w:rsid w:val="008B0168"/>
    <w:rsid w:val="008B1891"/>
    <w:rsid w:val="008B2D29"/>
    <w:rsid w:val="008B2FCC"/>
    <w:rsid w:val="008B36E4"/>
    <w:rsid w:val="008B36FB"/>
    <w:rsid w:val="008B4222"/>
    <w:rsid w:val="008B4A65"/>
    <w:rsid w:val="008B4B29"/>
    <w:rsid w:val="008B5135"/>
    <w:rsid w:val="008B5264"/>
    <w:rsid w:val="008B5C32"/>
    <w:rsid w:val="008B6529"/>
    <w:rsid w:val="008B658E"/>
    <w:rsid w:val="008B67C5"/>
    <w:rsid w:val="008B6A7C"/>
    <w:rsid w:val="008B6ABD"/>
    <w:rsid w:val="008B73B0"/>
    <w:rsid w:val="008B770C"/>
    <w:rsid w:val="008B7F7F"/>
    <w:rsid w:val="008C0157"/>
    <w:rsid w:val="008C07F2"/>
    <w:rsid w:val="008C0DFE"/>
    <w:rsid w:val="008C1F88"/>
    <w:rsid w:val="008C2D13"/>
    <w:rsid w:val="008C312B"/>
    <w:rsid w:val="008C4152"/>
    <w:rsid w:val="008C4853"/>
    <w:rsid w:val="008C559D"/>
    <w:rsid w:val="008C5772"/>
    <w:rsid w:val="008C5802"/>
    <w:rsid w:val="008C6266"/>
    <w:rsid w:val="008C70D3"/>
    <w:rsid w:val="008C7FF7"/>
    <w:rsid w:val="008D025F"/>
    <w:rsid w:val="008D09E6"/>
    <w:rsid w:val="008D13FD"/>
    <w:rsid w:val="008D18D7"/>
    <w:rsid w:val="008D29D6"/>
    <w:rsid w:val="008D2BD7"/>
    <w:rsid w:val="008D3375"/>
    <w:rsid w:val="008D3FDE"/>
    <w:rsid w:val="008D5706"/>
    <w:rsid w:val="008D5BE9"/>
    <w:rsid w:val="008D5D2B"/>
    <w:rsid w:val="008D6E1A"/>
    <w:rsid w:val="008D6EFB"/>
    <w:rsid w:val="008D6F62"/>
    <w:rsid w:val="008D720B"/>
    <w:rsid w:val="008D75BB"/>
    <w:rsid w:val="008D7C1E"/>
    <w:rsid w:val="008D7D86"/>
    <w:rsid w:val="008E0013"/>
    <w:rsid w:val="008E1F74"/>
    <w:rsid w:val="008E3327"/>
    <w:rsid w:val="008E35BB"/>
    <w:rsid w:val="008E37AF"/>
    <w:rsid w:val="008E3B63"/>
    <w:rsid w:val="008E3CE7"/>
    <w:rsid w:val="008E3F2F"/>
    <w:rsid w:val="008E40AB"/>
    <w:rsid w:val="008E56B7"/>
    <w:rsid w:val="008E5798"/>
    <w:rsid w:val="008E5DC4"/>
    <w:rsid w:val="008E68DA"/>
    <w:rsid w:val="008E6A8D"/>
    <w:rsid w:val="008E7AA6"/>
    <w:rsid w:val="008E7EBD"/>
    <w:rsid w:val="008F09CE"/>
    <w:rsid w:val="008F0B80"/>
    <w:rsid w:val="008F0C65"/>
    <w:rsid w:val="008F0F9A"/>
    <w:rsid w:val="008F1368"/>
    <w:rsid w:val="008F150A"/>
    <w:rsid w:val="008F172A"/>
    <w:rsid w:val="008F1AEC"/>
    <w:rsid w:val="008F2943"/>
    <w:rsid w:val="008F29BF"/>
    <w:rsid w:val="008F3BA3"/>
    <w:rsid w:val="008F42B3"/>
    <w:rsid w:val="008F5987"/>
    <w:rsid w:val="008F600C"/>
    <w:rsid w:val="008F6745"/>
    <w:rsid w:val="008F69D3"/>
    <w:rsid w:val="008F6E9D"/>
    <w:rsid w:val="008F7064"/>
    <w:rsid w:val="008F7CDA"/>
    <w:rsid w:val="008F7D27"/>
    <w:rsid w:val="00901C22"/>
    <w:rsid w:val="009022BD"/>
    <w:rsid w:val="0090263D"/>
    <w:rsid w:val="00902F06"/>
    <w:rsid w:val="00903951"/>
    <w:rsid w:val="00903B10"/>
    <w:rsid w:val="00903B43"/>
    <w:rsid w:val="00904355"/>
    <w:rsid w:val="009044A7"/>
    <w:rsid w:val="00904BB4"/>
    <w:rsid w:val="00905649"/>
    <w:rsid w:val="00907D2B"/>
    <w:rsid w:val="00907F3F"/>
    <w:rsid w:val="0091041C"/>
    <w:rsid w:val="00910540"/>
    <w:rsid w:val="009119FD"/>
    <w:rsid w:val="00911B84"/>
    <w:rsid w:val="0091301B"/>
    <w:rsid w:val="00913344"/>
    <w:rsid w:val="00913718"/>
    <w:rsid w:val="009146D6"/>
    <w:rsid w:val="0091632B"/>
    <w:rsid w:val="00916798"/>
    <w:rsid w:val="00916BFC"/>
    <w:rsid w:val="00916F03"/>
    <w:rsid w:val="009178B1"/>
    <w:rsid w:val="0091795F"/>
    <w:rsid w:val="00917ED6"/>
    <w:rsid w:val="009204DB"/>
    <w:rsid w:val="0092093C"/>
    <w:rsid w:val="009211C8"/>
    <w:rsid w:val="009213B5"/>
    <w:rsid w:val="0092143F"/>
    <w:rsid w:val="00921C40"/>
    <w:rsid w:val="00922136"/>
    <w:rsid w:val="0092227C"/>
    <w:rsid w:val="00922BA6"/>
    <w:rsid w:val="00922E20"/>
    <w:rsid w:val="0092375A"/>
    <w:rsid w:val="009241AD"/>
    <w:rsid w:val="009247D7"/>
    <w:rsid w:val="00924C54"/>
    <w:rsid w:val="00924D3F"/>
    <w:rsid w:val="00925140"/>
    <w:rsid w:val="009251D8"/>
    <w:rsid w:val="00925365"/>
    <w:rsid w:val="009254A9"/>
    <w:rsid w:val="00926811"/>
    <w:rsid w:val="0092709C"/>
    <w:rsid w:val="0092785E"/>
    <w:rsid w:val="009306B9"/>
    <w:rsid w:val="009308C4"/>
    <w:rsid w:val="00930B54"/>
    <w:rsid w:val="00931BD6"/>
    <w:rsid w:val="009320BD"/>
    <w:rsid w:val="0093213A"/>
    <w:rsid w:val="00933CC1"/>
    <w:rsid w:val="00933CD6"/>
    <w:rsid w:val="00933EA5"/>
    <w:rsid w:val="00933FCA"/>
    <w:rsid w:val="0093412E"/>
    <w:rsid w:val="00934174"/>
    <w:rsid w:val="00934765"/>
    <w:rsid w:val="00934792"/>
    <w:rsid w:val="009351C8"/>
    <w:rsid w:val="00935ED9"/>
    <w:rsid w:val="00936B52"/>
    <w:rsid w:val="009406A1"/>
    <w:rsid w:val="00940709"/>
    <w:rsid w:val="00941545"/>
    <w:rsid w:val="009415A9"/>
    <w:rsid w:val="00941752"/>
    <w:rsid w:val="00941CA6"/>
    <w:rsid w:val="00941DB5"/>
    <w:rsid w:val="00941F6B"/>
    <w:rsid w:val="0094438D"/>
    <w:rsid w:val="00945113"/>
    <w:rsid w:val="00945297"/>
    <w:rsid w:val="00945DDB"/>
    <w:rsid w:val="00945E96"/>
    <w:rsid w:val="00946CAE"/>
    <w:rsid w:val="00946D11"/>
    <w:rsid w:val="00947149"/>
    <w:rsid w:val="00947A95"/>
    <w:rsid w:val="00947B7F"/>
    <w:rsid w:val="00947E0C"/>
    <w:rsid w:val="009504EC"/>
    <w:rsid w:val="00952318"/>
    <w:rsid w:val="00952B84"/>
    <w:rsid w:val="00952FF4"/>
    <w:rsid w:val="00953055"/>
    <w:rsid w:val="009542D0"/>
    <w:rsid w:val="009551E3"/>
    <w:rsid w:val="00955552"/>
    <w:rsid w:val="00955C9A"/>
    <w:rsid w:val="00956322"/>
    <w:rsid w:val="00956DA8"/>
    <w:rsid w:val="00956F80"/>
    <w:rsid w:val="00957210"/>
    <w:rsid w:val="00957CD2"/>
    <w:rsid w:val="00957F58"/>
    <w:rsid w:val="00960BEF"/>
    <w:rsid w:val="009617C0"/>
    <w:rsid w:val="00961A13"/>
    <w:rsid w:val="00961D7F"/>
    <w:rsid w:val="00962B3B"/>
    <w:rsid w:val="00963168"/>
    <w:rsid w:val="0096339C"/>
    <w:rsid w:val="00963C32"/>
    <w:rsid w:val="00965218"/>
    <w:rsid w:val="0096556A"/>
    <w:rsid w:val="0096579C"/>
    <w:rsid w:val="00965F7A"/>
    <w:rsid w:val="00967803"/>
    <w:rsid w:val="0096781D"/>
    <w:rsid w:val="00967913"/>
    <w:rsid w:val="009703A4"/>
    <w:rsid w:val="009704A3"/>
    <w:rsid w:val="00970EA4"/>
    <w:rsid w:val="00971E73"/>
    <w:rsid w:val="00971F07"/>
    <w:rsid w:val="009724A3"/>
    <w:rsid w:val="00972AEA"/>
    <w:rsid w:val="00972B37"/>
    <w:rsid w:val="00972E74"/>
    <w:rsid w:val="00973A01"/>
    <w:rsid w:val="00973B4A"/>
    <w:rsid w:val="00973BCF"/>
    <w:rsid w:val="00974153"/>
    <w:rsid w:val="00974491"/>
    <w:rsid w:val="00974D9E"/>
    <w:rsid w:val="00975954"/>
    <w:rsid w:val="00976F8B"/>
    <w:rsid w:val="009776F7"/>
    <w:rsid w:val="00977BD9"/>
    <w:rsid w:val="00980499"/>
    <w:rsid w:val="009805AD"/>
    <w:rsid w:val="00980AC6"/>
    <w:rsid w:val="00982998"/>
    <w:rsid w:val="00982B03"/>
    <w:rsid w:val="00982B23"/>
    <w:rsid w:val="00982C94"/>
    <w:rsid w:val="00983152"/>
    <w:rsid w:val="009837D2"/>
    <w:rsid w:val="009841D8"/>
    <w:rsid w:val="00984295"/>
    <w:rsid w:val="00985631"/>
    <w:rsid w:val="009861C7"/>
    <w:rsid w:val="009863D3"/>
    <w:rsid w:val="00986F38"/>
    <w:rsid w:val="009871EB"/>
    <w:rsid w:val="00991949"/>
    <w:rsid w:val="00991D0F"/>
    <w:rsid w:val="00991D2D"/>
    <w:rsid w:val="00992272"/>
    <w:rsid w:val="00994DB2"/>
    <w:rsid w:val="0099537E"/>
    <w:rsid w:val="00995A33"/>
    <w:rsid w:val="0099617C"/>
    <w:rsid w:val="00996760"/>
    <w:rsid w:val="009978EB"/>
    <w:rsid w:val="00997E9F"/>
    <w:rsid w:val="009A01D0"/>
    <w:rsid w:val="009A0481"/>
    <w:rsid w:val="009A0B42"/>
    <w:rsid w:val="009A1824"/>
    <w:rsid w:val="009A2192"/>
    <w:rsid w:val="009A27B3"/>
    <w:rsid w:val="009A2D3D"/>
    <w:rsid w:val="009A2F9C"/>
    <w:rsid w:val="009A34FD"/>
    <w:rsid w:val="009A3AE2"/>
    <w:rsid w:val="009A40B6"/>
    <w:rsid w:val="009A435F"/>
    <w:rsid w:val="009A4FD6"/>
    <w:rsid w:val="009A5E47"/>
    <w:rsid w:val="009A6B86"/>
    <w:rsid w:val="009A71D7"/>
    <w:rsid w:val="009A7378"/>
    <w:rsid w:val="009A73EB"/>
    <w:rsid w:val="009A748C"/>
    <w:rsid w:val="009B08A0"/>
    <w:rsid w:val="009B098B"/>
    <w:rsid w:val="009B1ABE"/>
    <w:rsid w:val="009B1FE0"/>
    <w:rsid w:val="009B2874"/>
    <w:rsid w:val="009B48DF"/>
    <w:rsid w:val="009B5A00"/>
    <w:rsid w:val="009B5B44"/>
    <w:rsid w:val="009B5CCE"/>
    <w:rsid w:val="009B5EC2"/>
    <w:rsid w:val="009B5FCD"/>
    <w:rsid w:val="009B656F"/>
    <w:rsid w:val="009B666F"/>
    <w:rsid w:val="009B67B3"/>
    <w:rsid w:val="009B696D"/>
    <w:rsid w:val="009B6F99"/>
    <w:rsid w:val="009B7384"/>
    <w:rsid w:val="009B7E7A"/>
    <w:rsid w:val="009C00CC"/>
    <w:rsid w:val="009C02FF"/>
    <w:rsid w:val="009C03E3"/>
    <w:rsid w:val="009C0907"/>
    <w:rsid w:val="009C0BBB"/>
    <w:rsid w:val="009C1A6E"/>
    <w:rsid w:val="009C1F43"/>
    <w:rsid w:val="009C215D"/>
    <w:rsid w:val="009C2252"/>
    <w:rsid w:val="009C2366"/>
    <w:rsid w:val="009C279C"/>
    <w:rsid w:val="009C29E3"/>
    <w:rsid w:val="009C3328"/>
    <w:rsid w:val="009C35CF"/>
    <w:rsid w:val="009C3E9F"/>
    <w:rsid w:val="009C41AC"/>
    <w:rsid w:val="009C42A5"/>
    <w:rsid w:val="009C44FF"/>
    <w:rsid w:val="009C4E12"/>
    <w:rsid w:val="009C4EC1"/>
    <w:rsid w:val="009C503F"/>
    <w:rsid w:val="009C51F3"/>
    <w:rsid w:val="009C55AE"/>
    <w:rsid w:val="009C5642"/>
    <w:rsid w:val="009C6A05"/>
    <w:rsid w:val="009C6AE1"/>
    <w:rsid w:val="009C7441"/>
    <w:rsid w:val="009C7CD7"/>
    <w:rsid w:val="009D11B3"/>
    <w:rsid w:val="009D141F"/>
    <w:rsid w:val="009D32B1"/>
    <w:rsid w:val="009D3AA5"/>
    <w:rsid w:val="009D428D"/>
    <w:rsid w:val="009D4966"/>
    <w:rsid w:val="009D593A"/>
    <w:rsid w:val="009D609A"/>
    <w:rsid w:val="009D63B7"/>
    <w:rsid w:val="009D7093"/>
    <w:rsid w:val="009D7AF2"/>
    <w:rsid w:val="009E043B"/>
    <w:rsid w:val="009E0D5A"/>
    <w:rsid w:val="009E15EC"/>
    <w:rsid w:val="009E1A0F"/>
    <w:rsid w:val="009E1A72"/>
    <w:rsid w:val="009E1FA4"/>
    <w:rsid w:val="009E26BB"/>
    <w:rsid w:val="009E27B8"/>
    <w:rsid w:val="009E2B6B"/>
    <w:rsid w:val="009E3DC4"/>
    <w:rsid w:val="009E3F6D"/>
    <w:rsid w:val="009E4586"/>
    <w:rsid w:val="009E45C6"/>
    <w:rsid w:val="009E4CA4"/>
    <w:rsid w:val="009E4CDC"/>
    <w:rsid w:val="009E53A9"/>
    <w:rsid w:val="009E5B5A"/>
    <w:rsid w:val="009E6BCB"/>
    <w:rsid w:val="009E7084"/>
    <w:rsid w:val="009E71A8"/>
    <w:rsid w:val="009E7627"/>
    <w:rsid w:val="009F03A9"/>
    <w:rsid w:val="009F086D"/>
    <w:rsid w:val="009F0A7B"/>
    <w:rsid w:val="009F14B1"/>
    <w:rsid w:val="009F1652"/>
    <w:rsid w:val="009F1EE4"/>
    <w:rsid w:val="009F26B4"/>
    <w:rsid w:val="009F2CBB"/>
    <w:rsid w:val="009F4BC5"/>
    <w:rsid w:val="009F50CB"/>
    <w:rsid w:val="009F545E"/>
    <w:rsid w:val="009F559D"/>
    <w:rsid w:val="009F55E6"/>
    <w:rsid w:val="009F596C"/>
    <w:rsid w:val="009F5D03"/>
    <w:rsid w:val="009F663F"/>
    <w:rsid w:val="009F71AD"/>
    <w:rsid w:val="009F71F3"/>
    <w:rsid w:val="00A00BFA"/>
    <w:rsid w:val="00A00DE6"/>
    <w:rsid w:val="00A018F0"/>
    <w:rsid w:val="00A01E36"/>
    <w:rsid w:val="00A0204B"/>
    <w:rsid w:val="00A02DE0"/>
    <w:rsid w:val="00A0414C"/>
    <w:rsid w:val="00A050E2"/>
    <w:rsid w:val="00A06444"/>
    <w:rsid w:val="00A10401"/>
    <w:rsid w:val="00A10749"/>
    <w:rsid w:val="00A11121"/>
    <w:rsid w:val="00A11260"/>
    <w:rsid w:val="00A1137F"/>
    <w:rsid w:val="00A12A4A"/>
    <w:rsid w:val="00A12C95"/>
    <w:rsid w:val="00A12F04"/>
    <w:rsid w:val="00A13FA7"/>
    <w:rsid w:val="00A146F3"/>
    <w:rsid w:val="00A15162"/>
    <w:rsid w:val="00A152B5"/>
    <w:rsid w:val="00A169C0"/>
    <w:rsid w:val="00A16D90"/>
    <w:rsid w:val="00A16E53"/>
    <w:rsid w:val="00A17028"/>
    <w:rsid w:val="00A17335"/>
    <w:rsid w:val="00A17A83"/>
    <w:rsid w:val="00A20F2F"/>
    <w:rsid w:val="00A210A9"/>
    <w:rsid w:val="00A2112C"/>
    <w:rsid w:val="00A211D9"/>
    <w:rsid w:val="00A21621"/>
    <w:rsid w:val="00A2181A"/>
    <w:rsid w:val="00A21FF8"/>
    <w:rsid w:val="00A22393"/>
    <w:rsid w:val="00A227FA"/>
    <w:rsid w:val="00A22870"/>
    <w:rsid w:val="00A229E2"/>
    <w:rsid w:val="00A231F4"/>
    <w:rsid w:val="00A24621"/>
    <w:rsid w:val="00A24CA5"/>
    <w:rsid w:val="00A25182"/>
    <w:rsid w:val="00A257C7"/>
    <w:rsid w:val="00A257CB"/>
    <w:rsid w:val="00A25D26"/>
    <w:rsid w:val="00A25FF2"/>
    <w:rsid w:val="00A269CB"/>
    <w:rsid w:val="00A26C2B"/>
    <w:rsid w:val="00A26D3B"/>
    <w:rsid w:val="00A27611"/>
    <w:rsid w:val="00A27DEB"/>
    <w:rsid w:val="00A3032A"/>
    <w:rsid w:val="00A30FAF"/>
    <w:rsid w:val="00A30FC8"/>
    <w:rsid w:val="00A31092"/>
    <w:rsid w:val="00A310CD"/>
    <w:rsid w:val="00A31A7E"/>
    <w:rsid w:val="00A321C5"/>
    <w:rsid w:val="00A32416"/>
    <w:rsid w:val="00A328C5"/>
    <w:rsid w:val="00A32FAE"/>
    <w:rsid w:val="00A331B0"/>
    <w:rsid w:val="00A33580"/>
    <w:rsid w:val="00A33993"/>
    <w:rsid w:val="00A33CE1"/>
    <w:rsid w:val="00A33E5E"/>
    <w:rsid w:val="00A34184"/>
    <w:rsid w:val="00A347E5"/>
    <w:rsid w:val="00A35AC2"/>
    <w:rsid w:val="00A35BD3"/>
    <w:rsid w:val="00A35F09"/>
    <w:rsid w:val="00A365B7"/>
    <w:rsid w:val="00A365D5"/>
    <w:rsid w:val="00A36965"/>
    <w:rsid w:val="00A36EF0"/>
    <w:rsid w:val="00A37262"/>
    <w:rsid w:val="00A37840"/>
    <w:rsid w:val="00A40A23"/>
    <w:rsid w:val="00A40A94"/>
    <w:rsid w:val="00A41A08"/>
    <w:rsid w:val="00A41E35"/>
    <w:rsid w:val="00A41F46"/>
    <w:rsid w:val="00A42BB9"/>
    <w:rsid w:val="00A4363A"/>
    <w:rsid w:val="00A437E6"/>
    <w:rsid w:val="00A43B1B"/>
    <w:rsid w:val="00A43C41"/>
    <w:rsid w:val="00A43E70"/>
    <w:rsid w:val="00A440A6"/>
    <w:rsid w:val="00A44575"/>
    <w:rsid w:val="00A44DA1"/>
    <w:rsid w:val="00A451C2"/>
    <w:rsid w:val="00A45292"/>
    <w:rsid w:val="00A45B4E"/>
    <w:rsid w:val="00A4687D"/>
    <w:rsid w:val="00A46A32"/>
    <w:rsid w:val="00A46C69"/>
    <w:rsid w:val="00A46F58"/>
    <w:rsid w:val="00A47344"/>
    <w:rsid w:val="00A507F3"/>
    <w:rsid w:val="00A507F7"/>
    <w:rsid w:val="00A50B97"/>
    <w:rsid w:val="00A52002"/>
    <w:rsid w:val="00A52C7A"/>
    <w:rsid w:val="00A534E4"/>
    <w:rsid w:val="00A534EA"/>
    <w:rsid w:val="00A55280"/>
    <w:rsid w:val="00A553FB"/>
    <w:rsid w:val="00A55469"/>
    <w:rsid w:val="00A5678A"/>
    <w:rsid w:val="00A56804"/>
    <w:rsid w:val="00A56A1D"/>
    <w:rsid w:val="00A56E9E"/>
    <w:rsid w:val="00A574E5"/>
    <w:rsid w:val="00A6049E"/>
    <w:rsid w:val="00A60C68"/>
    <w:rsid w:val="00A61586"/>
    <w:rsid w:val="00A61C44"/>
    <w:rsid w:val="00A6278E"/>
    <w:rsid w:val="00A629E7"/>
    <w:rsid w:val="00A62A96"/>
    <w:rsid w:val="00A62F30"/>
    <w:rsid w:val="00A63AB1"/>
    <w:rsid w:val="00A64A73"/>
    <w:rsid w:val="00A64E5F"/>
    <w:rsid w:val="00A655D3"/>
    <w:rsid w:val="00A66301"/>
    <w:rsid w:val="00A67805"/>
    <w:rsid w:val="00A679C9"/>
    <w:rsid w:val="00A704A0"/>
    <w:rsid w:val="00A70C45"/>
    <w:rsid w:val="00A70E96"/>
    <w:rsid w:val="00A71711"/>
    <w:rsid w:val="00A717FE"/>
    <w:rsid w:val="00A72785"/>
    <w:rsid w:val="00A72CB0"/>
    <w:rsid w:val="00A72F12"/>
    <w:rsid w:val="00A72FFD"/>
    <w:rsid w:val="00A75369"/>
    <w:rsid w:val="00A75B4B"/>
    <w:rsid w:val="00A767B7"/>
    <w:rsid w:val="00A767E6"/>
    <w:rsid w:val="00A779C7"/>
    <w:rsid w:val="00A77B22"/>
    <w:rsid w:val="00A77FE0"/>
    <w:rsid w:val="00A80392"/>
    <w:rsid w:val="00A80F38"/>
    <w:rsid w:val="00A810CE"/>
    <w:rsid w:val="00A81647"/>
    <w:rsid w:val="00A82063"/>
    <w:rsid w:val="00A8281B"/>
    <w:rsid w:val="00A82C7E"/>
    <w:rsid w:val="00A82D19"/>
    <w:rsid w:val="00A835E7"/>
    <w:rsid w:val="00A83B69"/>
    <w:rsid w:val="00A841B4"/>
    <w:rsid w:val="00A84547"/>
    <w:rsid w:val="00A84674"/>
    <w:rsid w:val="00A85594"/>
    <w:rsid w:val="00A85D06"/>
    <w:rsid w:val="00A86074"/>
    <w:rsid w:val="00A8697D"/>
    <w:rsid w:val="00A86A8C"/>
    <w:rsid w:val="00A87C57"/>
    <w:rsid w:val="00A90611"/>
    <w:rsid w:val="00A9180E"/>
    <w:rsid w:val="00A9266A"/>
    <w:rsid w:val="00A928E1"/>
    <w:rsid w:val="00A92A70"/>
    <w:rsid w:val="00A93B93"/>
    <w:rsid w:val="00A93C56"/>
    <w:rsid w:val="00A94E75"/>
    <w:rsid w:val="00A95647"/>
    <w:rsid w:val="00A96C5E"/>
    <w:rsid w:val="00A96DF5"/>
    <w:rsid w:val="00A96DFA"/>
    <w:rsid w:val="00A973F7"/>
    <w:rsid w:val="00A97A31"/>
    <w:rsid w:val="00AA0859"/>
    <w:rsid w:val="00AA0F1F"/>
    <w:rsid w:val="00AA12CC"/>
    <w:rsid w:val="00AA174A"/>
    <w:rsid w:val="00AA1AA0"/>
    <w:rsid w:val="00AA1F43"/>
    <w:rsid w:val="00AA2364"/>
    <w:rsid w:val="00AA2553"/>
    <w:rsid w:val="00AA266C"/>
    <w:rsid w:val="00AA2725"/>
    <w:rsid w:val="00AA2AAE"/>
    <w:rsid w:val="00AA315D"/>
    <w:rsid w:val="00AA482A"/>
    <w:rsid w:val="00AA4A27"/>
    <w:rsid w:val="00AA4ADF"/>
    <w:rsid w:val="00AA5306"/>
    <w:rsid w:val="00AA5A8F"/>
    <w:rsid w:val="00AA7344"/>
    <w:rsid w:val="00AA76DF"/>
    <w:rsid w:val="00AA7EC0"/>
    <w:rsid w:val="00AA7FA3"/>
    <w:rsid w:val="00AB033B"/>
    <w:rsid w:val="00AB10F9"/>
    <w:rsid w:val="00AB1D4C"/>
    <w:rsid w:val="00AB1F60"/>
    <w:rsid w:val="00AB2AD1"/>
    <w:rsid w:val="00AB2C7E"/>
    <w:rsid w:val="00AB31AE"/>
    <w:rsid w:val="00AB62FD"/>
    <w:rsid w:val="00AB664C"/>
    <w:rsid w:val="00AB7084"/>
    <w:rsid w:val="00AB733B"/>
    <w:rsid w:val="00AB7763"/>
    <w:rsid w:val="00AB77E4"/>
    <w:rsid w:val="00AC015D"/>
    <w:rsid w:val="00AC09D7"/>
    <w:rsid w:val="00AC1532"/>
    <w:rsid w:val="00AC2715"/>
    <w:rsid w:val="00AC312F"/>
    <w:rsid w:val="00AC3597"/>
    <w:rsid w:val="00AC3D97"/>
    <w:rsid w:val="00AC461D"/>
    <w:rsid w:val="00AC548A"/>
    <w:rsid w:val="00AC56B3"/>
    <w:rsid w:val="00AC5A32"/>
    <w:rsid w:val="00AC6685"/>
    <w:rsid w:val="00AC776A"/>
    <w:rsid w:val="00AD047E"/>
    <w:rsid w:val="00AD0CA9"/>
    <w:rsid w:val="00AD2768"/>
    <w:rsid w:val="00AD2BC0"/>
    <w:rsid w:val="00AD3343"/>
    <w:rsid w:val="00AD33E8"/>
    <w:rsid w:val="00AD3D3E"/>
    <w:rsid w:val="00AD4208"/>
    <w:rsid w:val="00AD43EC"/>
    <w:rsid w:val="00AD5B53"/>
    <w:rsid w:val="00AD66D8"/>
    <w:rsid w:val="00AD679B"/>
    <w:rsid w:val="00AD694A"/>
    <w:rsid w:val="00AD7796"/>
    <w:rsid w:val="00AD7CFA"/>
    <w:rsid w:val="00AD7FF4"/>
    <w:rsid w:val="00AE06F5"/>
    <w:rsid w:val="00AE2267"/>
    <w:rsid w:val="00AE2A16"/>
    <w:rsid w:val="00AE2C17"/>
    <w:rsid w:val="00AE2E32"/>
    <w:rsid w:val="00AE32BB"/>
    <w:rsid w:val="00AE3AFC"/>
    <w:rsid w:val="00AE3B4E"/>
    <w:rsid w:val="00AE633C"/>
    <w:rsid w:val="00AE63DF"/>
    <w:rsid w:val="00AE6CBB"/>
    <w:rsid w:val="00AE6F79"/>
    <w:rsid w:val="00AE7C91"/>
    <w:rsid w:val="00AF06EB"/>
    <w:rsid w:val="00AF0D7C"/>
    <w:rsid w:val="00AF0D82"/>
    <w:rsid w:val="00AF171F"/>
    <w:rsid w:val="00AF18E8"/>
    <w:rsid w:val="00AF3396"/>
    <w:rsid w:val="00AF3723"/>
    <w:rsid w:val="00AF3832"/>
    <w:rsid w:val="00AF3EC3"/>
    <w:rsid w:val="00AF4297"/>
    <w:rsid w:val="00AF4B59"/>
    <w:rsid w:val="00AF5BC2"/>
    <w:rsid w:val="00AF6C0D"/>
    <w:rsid w:val="00AF6E8F"/>
    <w:rsid w:val="00AF700D"/>
    <w:rsid w:val="00AF7575"/>
    <w:rsid w:val="00AF7E88"/>
    <w:rsid w:val="00AF7FD6"/>
    <w:rsid w:val="00B00402"/>
    <w:rsid w:val="00B0063D"/>
    <w:rsid w:val="00B006EF"/>
    <w:rsid w:val="00B0094A"/>
    <w:rsid w:val="00B00971"/>
    <w:rsid w:val="00B00E78"/>
    <w:rsid w:val="00B02691"/>
    <w:rsid w:val="00B026C0"/>
    <w:rsid w:val="00B02932"/>
    <w:rsid w:val="00B02979"/>
    <w:rsid w:val="00B05B45"/>
    <w:rsid w:val="00B05BB4"/>
    <w:rsid w:val="00B06F52"/>
    <w:rsid w:val="00B077AE"/>
    <w:rsid w:val="00B07870"/>
    <w:rsid w:val="00B0793A"/>
    <w:rsid w:val="00B108F0"/>
    <w:rsid w:val="00B116EA"/>
    <w:rsid w:val="00B12599"/>
    <w:rsid w:val="00B1381E"/>
    <w:rsid w:val="00B14A7F"/>
    <w:rsid w:val="00B155CF"/>
    <w:rsid w:val="00B15DB4"/>
    <w:rsid w:val="00B1607B"/>
    <w:rsid w:val="00B162C9"/>
    <w:rsid w:val="00B16E62"/>
    <w:rsid w:val="00B1761E"/>
    <w:rsid w:val="00B17A88"/>
    <w:rsid w:val="00B20903"/>
    <w:rsid w:val="00B20E21"/>
    <w:rsid w:val="00B214E7"/>
    <w:rsid w:val="00B21728"/>
    <w:rsid w:val="00B222C5"/>
    <w:rsid w:val="00B22502"/>
    <w:rsid w:val="00B225A2"/>
    <w:rsid w:val="00B225AF"/>
    <w:rsid w:val="00B22B15"/>
    <w:rsid w:val="00B22BA1"/>
    <w:rsid w:val="00B23013"/>
    <w:rsid w:val="00B23E66"/>
    <w:rsid w:val="00B24946"/>
    <w:rsid w:val="00B24B44"/>
    <w:rsid w:val="00B256C1"/>
    <w:rsid w:val="00B25B89"/>
    <w:rsid w:val="00B25BE7"/>
    <w:rsid w:val="00B2782E"/>
    <w:rsid w:val="00B279E6"/>
    <w:rsid w:val="00B27DE6"/>
    <w:rsid w:val="00B300C7"/>
    <w:rsid w:val="00B30549"/>
    <w:rsid w:val="00B30736"/>
    <w:rsid w:val="00B31DC5"/>
    <w:rsid w:val="00B31F7D"/>
    <w:rsid w:val="00B3220E"/>
    <w:rsid w:val="00B3230B"/>
    <w:rsid w:val="00B33298"/>
    <w:rsid w:val="00B33850"/>
    <w:rsid w:val="00B34B81"/>
    <w:rsid w:val="00B34CAC"/>
    <w:rsid w:val="00B34E2E"/>
    <w:rsid w:val="00B35141"/>
    <w:rsid w:val="00B353DF"/>
    <w:rsid w:val="00B3570D"/>
    <w:rsid w:val="00B35C95"/>
    <w:rsid w:val="00B35F2C"/>
    <w:rsid w:val="00B36707"/>
    <w:rsid w:val="00B37162"/>
    <w:rsid w:val="00B37419"/>
    <w:rsid w:val="00B403DF"/>
    <w:rsid w:val="00B4057E"/>
    <w:rsid w:val="00B41CD5"/>
    <w:rsid w:val="00B41F90"/>
    <w:rsid w:val="00B42D9F"/>
    <w:rsid w:val="00B43660"/>
    <w:rsid w:val="00B4373C"/>
    <w:rsid w:val="00B43DBC"/>
    <w:rsid w:val="00B446DA"/>
    <w:rsid w:val="00B4541A"/>
    <w:rsid w:val="00B45609"/>
    <w:rsid w:val="00B461FB"/>
    <w:rsid w:val="00B4654D"/>
    <w:rsid w:val="00B47AB6"/>
    <w:rsid w:val="00B50840"/>
    <w:rsid w:val="00B5092B"/>
    <w:rsid w:val="00B50EFD"/>
    <w:rsid w:val="00B50FAC"/>
    <w:rsid w:val="00B5184B"/>
    <w:rsid w:val="00B51C9C"/>
    <w:rsid w:val="00B52BCA"/>
    <w:rsid w:val="00B53A80"/>
    <w:rsid w:val="00B54243"/>
    <w:rsid w:val="00B54B72"/>
    <w:rsid w:val="00B54F46"/>
    <w:rsid w:val="00B55078"/>
    <w:rsid w:val="00B553C9"/>
    <w:rsid w:val="00B5545B"/>
    <w:rsid w:val="00B558D3"/>
    <w:rsid w:val="00B5608F"/>
    <w:rsid w:val="00B56985"/>
    <w:rsid w:val="00B56F6F"/>
    <w:rsid w:val="00B5701D"/>
    <w:rsid w:val="00B61886"/>
    <w:rsid w:val="00B61C2B"/>
    <w:rsid w:val="00B62767"/>
    <w:rsid w:val="00B6445B"/>
    <w:rsid w:val="00B65F7E"/>
    <w:rsid w:val="00B66466"/>
    <w:rsid w:val="00B66761"/>
    <w:rsid w:val="00B67000"/>
    <w:rsid w:val="00B678EB"/>
    <w:rsid w:val="00B67BC3"/>
    <w:rsid w:val="00B67FAD"/>
    <w:rsid w:val="00B7000A"/>
    <w:rsid w:val="00B704BC"/>
    <w:rsid w:val="00B70CD3"/>
    <w:rsid w:val="00B70D2C"/>
    <w:rsid w:val="00B70D66"/>
    <w:rsid w:val="00B70D77"/>
    <w:rsid w:val="00B711B4"/>
    <w:rsid w:val="00B71B42"/>
    <w:rsid w:val="00B71CBE"/>
    <w:rsid w:val="00B72179"/>
    <w:rsid w:val="00B7293D"/>
    <w:rsid w:val="00B72AA6"/>
    <w:rsid w:val="00B72DED"/>
    <w:rsid w:val="00B73918"/>
    <w:rsid w:val="00B745ED"/>
    <w:rsid w:val="00B75A16"/>
    <w:rsid w:val="00B772A9"/>
    <w:rsid w:val="00B773BB"/>
    <w:rsid w:val="00B7741D"/>
    <w:rsid w:val="00B80056"/>
    <w:rsid w:val="00B803AB"/>
    <w:rsid w:val="00B80A31"/>
    <w:rsid w:val="00B80DE6"/>
    <w:rsid w:val="00B815F9"/>
    <w:rsid w:val="00B81868"/>
    <w:rsid w:val="00B81A21"/>
    <w:rsid w:val="00B81C2A"/>
    <w:rsid w:val="00B81E59"/>
    <w:rsid w:val="00B81F5E"/>
    <w:rsid w:val="00B826EB"/>
    <w:rsid w:val="00B82708"/>
    <w:rsid w:val="00B82875"/>
    <w:rsid w:val="00B83E03"/>
    <w:rsid w:val="00B840E9"/>
    <w:rsid w:val="00B8449C"/>
    <w:rsid w:val="00B84AB2"/>
    <w:rsid w:val="00B84D0F"/>
    <w:rsid w:val="00B85748"/>
    <w:rsid w:val="00B86207"/>
    <w:rsid w:val="00B86426"/>
    <w:rsid w:val="00B86669"/>
    <w:rsid w:val="00B8671A"/>
    <w:rsid w:val="00B869D7"/>
    <w:rsid w:val="00B871F3"/>
    <w:rsid w:val="00B87369"/>
    <w:rsid w:val="00B877AE"/>
    <w:rsid w:val="00B8786F"/>
    <w:rsid w:val="00B87910"/>
    <w:rsid w:val="00B90901"/>
    <w:rsid w:val="00B9131A"/>
    <w:rsid w:val="00B91A78"/>
    <w:rsid w:val="00B91D25"/>
    <w:rsid w:val="00B92632"/>
    <w:rsid w:val="00B92B26"/>
    <w:rsid w:val="00B92D92"/>
    <w:rsid w:val="00B92FB3"/>
    <w:rsid w:val="00B93109"/>
    <w:rsid w:val="00B933F5"/>
    <w:rsid w:val="00B93483"/>
    <w:rsid w:val="00B93585"/>
    <w:rsid w:val="00B949CF"/>
    <w:rsid w:val="00B95EAC"/>
    <w:rsid w:val="00B9602F"/>
    <w:rsid w:val="00B961DA"/>
    <w:rsid w:val="00B970CD"/>
    <w:rsid w:val="00B97C9C"/>
    <w:rsid w:val="00B97DEC"/>
    <w:rsid w:val="00BA05E8"/>
    <w:rsid w:val="00BA0700"/>
    <w:rsid w:val="00BA087F"/>
    <w:rsid w:val="00BA1DC3"/>
    <w:rsid w:val="00BA211E"/>
    <w:rsid w:val="00BA2CC4"/>
    <w:rsid w:val="00BA336A"/>
    <w:rsid w:val="00BA3A38"/>
    <w:rsid w:val="00BA4230"/>
    <w:rsid w:val="00BA48E2"/>
    <w:rsid w:val="00BA5327"/>
    <w:rsid w:val="00BA5412"/>
    <w:rsid w:val="00BA56F7"/>
    <w:rsid w:val="00BA58A0"/>
    <w:rsid w:val="00BA5DF3"/>
    <w:rsid w:val="00BA682A"/>
    <w:rsid w:val="00BA6D53"/>
    <w:rsid w:val="00BA729B"/>
    <w:rsid w:val="00BA7454"/>
    <w:rsid w:val="00BA760D"/>
    <w:rsid w:val="00BB06FC"/>
    <w:rsid w:val="00BB134D"/>
    <w:rsid w:val="00BB19D2"/>
    <w:rsid w:val="00BB2A05"/>
    <w:rsid w:val="00BB2AA2"/>
    <w:rsid w:val="00BB2C26"/>
    <w:rsid w:val="00BB2DA0"/>
    <w:rsid w:val="00BB3A4B"/>
    <w:rsid w:val="00BB4942"/>
    <w:rsid w:val="00BB58E8"/>
    <w:rsid w:val="00BB5E3F"/>
    <w:rsid w:val="00BB7319"/>
    <w:rsid w:val="00BB752A"/>
    <w:rsid w:val="00BB79A1"/>
    <w:rsid w:val="00BB7CBD"/>
    <w:rsid w:val="00BC06E9"/>
    <w:rsid w:val="00BC09D6"/>
    <w:rsid w:val="00BC12F6"/>
    <w:rsid w:val="00BC137F"/>
    <w:rsid w:val="00BC2132"/>
    <w:rsid w:val="00BC234F"/>
    <w:rsid w:val="00BC2E98"/>
    <w:rsid w:val="00BC351D"/>
    <w:rsid w:val="00BC418F"/>
    <w:rsid w:val="00BC4538"/>
    <w:rsid w:val="00BC4C16"/>
    <w:rsid w:val="00BC4DEC"/>
    <w:rsid w:val="00BC575B"/>
    <w:rsid w:val="00BC5A22"/>
    <w:rsid w:val="00BC5AC1"/>
    <w:rsid w:val="00BC5B9C"/>
    <w:rsid w:val="00BC5CC4"/>
    <w:rsid w:val="00BC7017"/>
    <w:rsid w:val="00BC763E"/>
    <w:rsid w:val="00BC7CAF"/>
    <w:rsid w:val="00BC7EC8"/>
    <w:rsid w:val="00BD045D"/>
    <w:rsid w:val="00BD13BE"/>
    <w:rsid w:val="00BD1DD5"/>
    <w:rsid w:val="00BD2874"/>
    <w:rsid w:val="00BD3311"/>
    <w:rsid w:val="00BD36E9"/>
    <w:rsid w:val="00BD3E2B"/>
    <w:rsid w:val="00BD4D18"/>
    <w:rsid w:val="00BD52AF"/>
    <w:rsid w:val="00BD559C"/>
    <w:rsid w:val="00BD67AA"/>
    <w:rsid w:val="00BD6ED3"/>
    <w:rsid w:val="00BD764A"/>
    <w:rsid w:val="00BD7BA1"/>
    <w:rsid w:val="00BE04DD"/>
    <w:rsid w:val="00BE0711"/>
    <w:rsid w:val="00BE2228"/>
    <w:rsid w:val="00BE2A63"/>
    <w:rsid w:val="00BE33A5"/>
    <w:rsid w:val="00BE3714"/>
    <w:rsid w:val="00BE48D0"/>
    <w:rsid w:val="00BE4AF7"/>
    <w:rsid w:val="00BE532A"/>
    <w:rsid w:val="00BE55D6"/>
    <w:rsid w:val="00BE6A5C"/>
    <w:rsid w:val="00BE6ABB"/>
    <w:rsid w:val="00BE743E"/>
    <w:rsid w:val="00BE78A3"/>
    <w:rsid w:val="00BF05A7"/>
    <w:rsid w:val="00BF079D"/>
    <w:rsid w:val="00BF0915"/>
    <w:rsid w:val="00BF0948"/>
    <w:rsid w:val="00BF1866"/>
    <w:rsid w:val="00BF3492"/>
    <w:rsid w:val="00BF3D79"/>
    <w:rsid w:val="00BF41AB"/>
    <w:rsid w:val="00BF4554"/>
    <w:rsid w:val="00BF4AA4"/>
    <w:rsid w:val="00BF51E6"/>
    <w:rsid w:val="00BF5468"/>
    <w:rsid w:val="00BF5A6D"/>
    <w:rsid w:val="00BF5A97"/>
    <w:rsid w:val="00BF6239"/>
    <w:rsid w:val="00BF63E1"/>
    <w:rsid w:val="00BF68E7"/>
    <w:rsid w:val="00BF708D"/>
    <w:rsid w:val="00BF7C74"/>
    <w:rsid w:val="00C000B1"/>
    <w:rsid w:val="00C00624"/>
    <w:rsid w:val="00C00A50"/>
    <w:rsid w:val="00C01129"/>
    <w:rsid w:val="00C01278"/>
    <w:rsid w:val="00C012BA"/>
    <w:rsid w:val="00C01CE6"/>
    <w:rsid w:val="00C024FA"/>
    <w:rsid w:val="00C033B4"/>
    <w:rsid w:val="00C05134"/>
    <w:rsid w:val="00C06302"/>
    <w:rsid w:val="00C064F0"/>
    <w:rsid w:val="00C06C93"/>
    <w:rsid w:val="00C06E05"/>
    <w:rsid w:val="00C06E16"/>
    <w:rsid w:val="00C06FF4"/>
    <w:rsid w:val="00C0725F"/>
    <w:rsid w:val="00C07925"/>
    <w:rsid w:val="00C07BBA"/>
    <w:rsid w:val="00C1049E"/>
    <w:rsid w:val="00C10641"/>
    <w:rsid w:val="00C10EBD"/>
    <w:rsid w:val="00C11DFA"/>
    <w:rsid w:val="00C12845"/>
    <w:rsid w:val="00C12ACE"/>
    <w:rsid w:val="00C1329D"/>
    <w:rsid w:val="00C13DB9"/>
    <w:rsid w:val="00C14C8E"/>
    <w:rsid w:val="00C14FB2"/>
    <w:rsid w:val="00C156C3"/>
    <w:rsid w:val="00C16541"/>
    <w:rsid w:val="00C16A12"/>
    <w:rsid w:val="00C1716C"/>
    <w:rsid w:val="00C2098B"/>
    <w:rsid w:val="00C20DFF"/>
    <w:rsid w:val="00C211F2"/>
    <w:rsid w:val="00C21A4A"/>
    <w:rsid w:val="00C21BF0"/>
    <w:rsid w:val="00C229C8"/>
    <w:rsid w:val="00C22D59"/>
    <w:rsid w:val="00C234A3"/>
    <w:rsid w:val="00C2363E"/>
    <w:rsid w:val="00C23C81"/>
    <w:rsid w:val="00C23D21"/>
    <w:rsid w:val="00C243AB"/>
    <w:rsid w:val="00C24B20"/>
    <w:rsid w:val="00C258C6"/>
    <w:rsid w:val="00C258C8"/>
    <w:rsid w:val="00C25A0E"/>
    <w:rsid w:val="00C25AA2"/>
    <w:rsid w:val="00C26369"/>
    <w:rsid w:val="00C26502"/>
    <w:rsid w:val="00C26B80"/>
    <w:rsid w:val="00C26C4B"/>
    <w:rsid w:val="00C30F61"/>
    <w:rsid w:val="00C319CF"/>
    <w:rsid w:val="00C328FD"/>
    <w:rsid w:val="00C32F15"/>
    <w:rsid w:val="00C3349F"/>
    <w:rsid w:val="00C338F0"/>
    <w:rsid w:val="00C33E1D"/>
    <w:rsid w:val="00C340BD"/>
    <w:rsid w:val="00C35A35"/>
    <w:rsid w:val="00C3658D"/>
    <w:rsid w:val="00C36624"/>
    <w:rsid w:val="00C3706B"/>
    <w:rsid w:val="00C37366"/>
    <w:rsid w:val="00C4017E"/>
    <w:rsid w:val="00C403D2"/>
    <w:rsid w:val="00C410C4"/>
    <w:rsid w:val="00C41150"/>
    <w:rsid w:val="00C416A1"/>
    <w:rsid w:val="00C41BC1"/>
    <w:rsid w:val="00C42DD8"/>
    <w:rsid w:val="00C435B1"/>
    <w:rsid w:val="00C43920"/>
    <w:rsid w:val="00C43D5E"/>
    <w:rsid w:val="00C43E61"/>
    <w:rsid w:val="00C443F0"/>
    <w:rsid w:val="00C44493"/>
    <w:rsid w:val="00C44B62"/>
    <w:rsid w:val="00C44D77"/>
    <w:rsid w:val="00C44F82"/>
    <w:rsid w:val="00C457D7"/>
    <w:rsid w:val="00C45817"/>
    <w:rsid w:val="00C45C2F"/>
    <w:rsid w:val="00C45E56"/>
    <w:rsid w:val="00C477C2"/>
    <w:rsid w:val="00C477D5"/>
    <w:rsid w:val="00C47A04"/>
    <w:rsid w:val="00C50760"/>
    <w:rsid w:val="00C50AAE"/>
    <w:rsid w:val="00C50BAE"/>
    <w:rsid w:val="00C50D8E"/>
    <w:rsid w:val="00C511A2"/>
    <w:rsid w:val="00C51660"/>
    <w:rsid w:val="00C51C8E"/>
    <w:rsid w:val="00C51D4B"/>
    <w:rsid w:val="00C52122"/>
    <w:rsid w:val="00C52591"/>
    <w:rsid w:val="00C5282B"/>
    <w:rsid w:val="00C534BA"/>
    <w:rsid w:val="00C53CB5"/>
    <w:rsid w:val="00C53EFF"/>
    <w:rsid w:val="00C53F3A"/>
    <w:rsid w:val="00C545EB"/>
    <w:rsid w:val="00C54CCB"/>
    <w:rsid w:val="00C54F48"/>
    <w:rsid w:val="00C55323"/>
    <w:rsid w:val="00C5548D"/>
    <w:rsid w:val="00C55B0E"/>
    <w:rsid w:val="00C5664E"/>
    <w:rsid w:val="00C56B2A"/>
    <w:rsid w:val="00C56FFD"/>
    <w:rsid w:val="00C5724F"/>
    <w:rsid w:val="00C574E7"/>
    <w:rsid w:val="00C578ED"/>
    <w:rsid w:val="00C600FE"/>
    <w:rsid w:val="00C607C0"/>
    <w:rsid w:val="00C609B4"/>
    <w:rsid w:val="00C61270"/>
    <w:rsid w:val="00C63867"/>
    <w:rsid w:val="00C65426"/>
    <w:rsid w:val="00C65441"/>
    <w:rsid w:val="00C66C16"/>
    <w:rsid w:val="00C66F29"/>
    <w:rsid w:val="00C70223"/>
    <w:rsid w:val="00C7090E"/>
    <w:rsid w:val="00C71E1D"/>
    <w:rsid w:val="00C72E88"/>
    <w:rsid w:val="00C72FD5"/>
    <w:rsid w:val="00C7394A"/>
    <w:rsid w:val="00C754C2"/>
    <w:rsid w:val="00C754F2"/>
    <w:rsid w:val="00C75892"/>
    <w:rsid w:val="00C75D22"/>
    <w:rsid w:val="00C76474"/>
    <w:rsid w:val="00C76673"/>
    <w:rsid w:val="00C76868"/>
    <w:rsid w:val="00C76EB5"/>
    <w:rsid w:val="00C76ED4"/>
    <w:rsid w:val="00C778F1"/>
    <w:rsid w:val="00C77D1D"/>
    <w:rsid w:val="00C77DBA"/>
    <w:rsid w:val="00C801FF"/>
    <w:rsid w:val="00C808BD"/>
    <w:rsid w:val="00C80D31"/>
    <w:rsid w:val="00C83B1D"/>
    <w:rsid w:val="00C83F9A"/>
    <w:rsid w:val="00C848A6"/>
    <w:rsid w:val="00C84AC9"/>
    <w:rsid w:val="00C84D57"/>
    <w:rsid w:val="00C85204"/>
    <w:rsid w:val="00C863E1"/>
    <w:rsid w:val="00C86B82"/>
    <w:rsid w:val="00C86BC9"/>
    <w:rsid w:val="00C87700"/>
    <w:rsid w:val="00C8796E"/>
    <w:rsid w:val="00C879F4"/>
    <w:rsid w:val="00C908B2"/>
    <w:rsid w:val="00C91767"/>
    <w:rsid w:val="00C91BD4"/>
    <w:rsid w:val="00C92D51"/>
    <w:rsid w:val="00C92F22"/>
    <w:rsid w:val="00C933AA"/>
    <w:rsid w:val="00C942AF"/>
    <w:rsid w:val="00C951A3"/>
    <w:rsid w:val="00C95AF7"/>
    <w:rsid w:val="00C95DB2"/>
    <w:rsid w:val="00C95E90"/>
    <w:rsid w:val="00C96412"/>
    <w:rsid w:val="00C96775"/>
    <w:rsid w:val="00C96EAB"/>
    <w:rsid w:val="00CA0D52"/>
    <w:rsid w:val="00CA0E22"/>
    <w:rsid w:val="00CA16C2"/>
    <w:rsid w:val="00CA2268"/>
    <w:rsid w:val="00CA25D1"/>
    <w:rsid w:val="00CA2790"/>
    <w:rsid w:val="00CA2E05"/>
    <w:rsid w:val="00CA3323"/>
    <w:rsid w:val="00CA3B39"/>
    <w:rsid w:val="00CA46EE"/>
    <w:rsid w:val="00CA47A1"/>
    <w:rsid w:val="00CA4BCD"/>
    <w:rsid w:val="00CA5369"/>
    <w:rsid w:val="00CA643E"/>
    <w:rsid w:val="00CA66D9"/>
    <w:rsid w:val="00CA6A76"/>
    <w:rsid w:val="00CA6E08"/>
    <w:rsid w:val="00CA70D2"/>
    <w:rsid w:val="00CB0144"/>
    <w:rsid w:val="00CB03E2"/>
    <w:rsid w:val="00CB061B"/>
    <w:rsid w:val="00CB1986"/>
    <w:rsid w:val="00CB20BB"/>
    <w:rsid w:val="00CB2776"/>
    <w:rsid w:val="00CB284B"/>
    <w:rsid w:val="00CB3156"/>
    <w:rsid w:val="00CB35A9"/>
    <w:rsid w:val="00CB420C"/>
    <w:rsid w:val="00CB45EB"/>
    <w:rsid w:val="00CB46B7"/>
    <w:rsid w:val="00CB52C6"/>
    <w:rsid w:val="00CB5634"/>
    <w:rsid w:val="00CB5F1E"/>
    <w:rsid w:val="00CB61FC"/>
    <w:rsid w:val="00CB6CA4"/>
    <w:rsid w:val="00CB729F"/>
    <w:rsid w:val="00CB790F"/>
    <w:rsid w:val="00CB7FC5"/>
    <w:rsid w:val="00CC00FD"/>
    <w:rsid w:val="00CC0517"/>
    <w:rsid w:val="00CC09A6"/>
    <w:rsid w:val="00CC1BC9"/>
    <w:rsid w:val="00CC253F"/>
    <w:rsid w:val="00CC30D6"/>
    <w:rsid w:val="00CC39D2"/>
    <w:rsid w:val="00CC3C5B"/>
    <w:rsid w:val="00CC5069"/>
    <w:rsid w:val="00CC5E75"/>
    <w:rsid w:val="00CC74B0"/>
    <w:rsid w:val="00CC753D"/>
    <w:rsid w:val="00CC7A16"/>
    <w:rsid w:val="00CC7C2D"/>
    <w:rsid w:val="00CC7D78"/>
    <w:rsid w:val="00CD06B7"/>
    <w:rsid w:val="00CD0865"/>
    <w:rsid w:val="00CD0CAA"/>
    <w:rsid w:val="00CD0DEF"/>
    <w:rsid w:val="00CD1191"/>
    <w:rsid w:val="00CD1C0C"/>
    <w:rsid w:val="00CD1D3D"/>
    <w:rsid w:val="00CD2162"/>
    <w:rsid w:val="00CD22DA"/>
    <w:rsid w:val="00CD2AB0"/>
    <w:rsid w:val="00CD2BB5"/>
    <w:rsid w:val="00CD410F"/>
    <w:rsid w:val="00CD462D"/>
    <w:rsid w:val="00CD47E9"/>
    <w:rsid w:val="00CD5C61"/>
    <w:rsid w:val="00CD603E"/>
    <w:rsid w:val="00CD6513"/>
    <w:rsid w:val="00CD6D66"/>
    <w:rsid w:val="00CD6E1F"/>
    <w:rsid w:val="00CD6F3C"/>
    <w:rsid w:val="00CD73C7"/>
    <w:rsid w:val="00CD789A"/>
    <w:rsid w:val="00CD7EDC"/>
    <w:rsid w:val="00CE0282"/>
    <w:rsid w:val="00CE0D0D"/>
    <w:rsid w:val="00CE256E"/>
    <w:rsid w:val="00CE2607"/>
    <w:rsid w:val="00CE2A90"/>
    <w:rsid w:val="00CE2DDA"/>
    <w:rsid w:val="00CE34F8"/>
    <w:rsid w:val="00CE4011"/>
    <w:rsid w:val="00CE4C14"/>
    <w:rsid w:val="00CE5527"/>
    <w:rsid w:val="00CE7E46"/>
    <w:rsid w:val="00CF0274"/>
    <w:rsid w:val="00CF07D8"/>
    <w:rsid w:val="00CF158F"/>
    <w:rsid w:val="00CF18A7"/>
    <w:rsid w:val="00CF2240"/>
    <w:rsid w:val="00CF38BC"/>
    <w:rsid w:val="00CF394B"/>
    <w:rsid w:val="00CF3ACC"/>
    <w:rsid w:val="00CF5912"/>
    <w:rsid w:val="00CF6133"/>
    <w:rsid w:val="00CF62B0"/>
    <w:rsid w:val="00CF6D35"/>
    <w:rsid w:val="00CF7C08"/>
    <w:rsid w:val="00CF7E41"/>
    <w:rsid w:val="00D00829"/>
    <w:rsid w:val="00D01AEE"/>
    <w:rsid w:val="00D01E6D"/>
    <w:rsid w:val="00D021BE"/>
    <w:rsid w:val="00D027FE"/>
    <w:rsid w:val="00D02A39"/>
    <w:rsid w:val="00D0353E"/>
    <w:rsid w:val="00D037E5"/>
    <w:rsid w:val="00D03CD4"/>
    <w:rsid w:val="00D04374"/>
    <w:rsid w:val="00D04651"/>
    <w:rsid w:val="00D05614"/>
    <w:rsid w:val="00D063E9"/>
    <w:rsid w:val="00D065BA"/>
    <w:rsid w:val="00D06F79"/>
    <w:rsid w:val="00D070E8"/>
    <w:rsid w:val="00D07216"/>
    <w:rsid w:val="00D07C50"/>
    <w:rsid w:val="00D101A4"/>
    <w:rsid w:val="00D11C90"/>
    <w:rsid w:val="00D12E5D"/>
    <w:rsid w:val="00D134FF"/>
    <w:rsid w:val="00D1353C"/>
    <w:rsid w:val="00D13A48"/>
    <w:rsid w:val="00D13B40"/>
    <w:rsid w:val="00D15BCF"/>
    <w:rsid w:val="00D1646E"/>
    <w:rsid w:val="00D16A5E"/>
    <w:rsid w:val="00D20499"/>
    <w:rsid w:val="00D209B4"/>
    <w:rsid w:val="00D20B2D"/>
    <w:rsid w:val="00D211E2"/>
    <w:rsid w:val="00D2187C"/>
    <w:rsid w:val="00D21B42"/>
    <w:rsid w:val="00D224CB"/>
    <w:rsid w:val="00D23B98"/>
    <w:rsid w:val="00D23BF2"/>
    <w:rsid w:val="00D246A4"/>
    <w:rsid w:val="00D249DB"/>
    <w:rsid w:val="00D2609B"/>
    <w:rsid w:val="00D261CA"/>
    <w:rsid w:val="00D2686E"/>
    <w:rsid w:val="00D26E0F"/>
    <w:rsid w:val="00D278FF"/>
    <w:rsid w:val="00D27EC4"/>
    <w:rsid w:val="00D30DE4"/>
    <w:rsid w:val="00D30FD4"/>
    <w:rsid w:val="00D31626"/>
    <w:rsid w:val="00D31D1C"/>
    <w:rsid w:val="00D337DB"/>
    <w:rsid w:val="00D34811"/>
    <w:rsid w:val="00D34850"/>
    <w:rsid w:val="00D34EC7"/>
    <w:rsid w:val="00D359EA"/>
    <w:rsid w:val="00D3760C"/>
    <w:rsid w:val="00D379FD"/>
    <w:rsid w:val="00D40846"/>
    <w:rsid w:val="00D40886"/>
    <w:rsid w:val="00D410F9"/>
    <w:rsid w:val="00D41310"/>
    <w:rsid w:val="00D415E2"/>
    <w:rsid w:val="00D41642"/>
    <w:rsid w:val="00D41694"/>
    <w:rsid w:val="00D4235C"/>
    <w:rsid w:val="00D433F6"/>
    <w:rsid w:val="00D43694"/>
    <w:rsid w:val="00D43A8A"/>
    <w:rsid w:val="00D44644"/>
    <w:rsid w:val="00D44F76"/>
    <w:rsid w:val="00D44FB1"/>
    <w:rsid w:val="00D456C4"/>
    <w:rsid w:val="00D4630B"/>
    <w:rsid w:val="00D468ED"/>
    <w:rsid w:val="00D4725E"/>
    <w:rsid w:val="00D47426"/>
    <w:rsid w:val="00D501FE"/>
    <w:rsid w:val="00D505CC"/>
    <w:rsid w:val="00D50D3B"/>
    <w:rsid w:val="00D50F58"/>
    <w:rsid w:val="00D50FDD"/>
    <w:rsid w:val="00D513DB"/>
    <w:rsid w:val="00D5216C"/>
    <w:rsid w:val="00D5248D"/>
    <w:rsid w:val="00D525EF"/>
    <w:rsid w:val="00D52703"/>
    <w:rsid w:val="00D5271C"/>
    <w:rsid w:val="00D5358B"/>
    <w:rsid w:val="00D53D5C"/>
    <w:rsid w:val="00D54193"/>
    <w:rsid w:val="00D54919"/>
    <w:rsid w:val="00D54A2A"/>
    <w:rsid w:val="00D54CC4"/>
    <w:rsid w:val="00D56E82"/>
    <w:rsid w:val="00D56E96"/>
    <w:rsid w:val="00D571B0"/>
    <w:rsid w:val="00D572D4"/>
    <w:rsid w:val="00D57B9F"/>
    <w:rsid w:val="00D60BCD"/>
    <w:rsid w:val="00D60F30"/>
    <w:rsid w:val="00D61311"/>
    <w:rsid w:val="00D6156F"/>
    <w:rsid w:val="00D61993"/>
    <w:rsid w:val="00D61A27"/>
    <w:rsid w:val="00D62453"/>
    <w:rsid w:val="00D62591"/>
    <w:rsid w:val="00D62827"/>
    <w:rsid w:val="00D62C28"/>
    <w:rsid w:val="00D6376A"/>
    <w:rsid w:val="00D63809"/>
    <w:rsid w:val="00D63EA4"/>
    <w:rsid w:val="00D6404B"/>
    <w:rsid w:val="00D64508"/>
    <w:rsid w:val="00D65722"/>
    <w:rsid w:val="00D65946"/>
    <w:rsid w:val="00D65E31"/>
    <w:rsid w:val="00D6701F"/>
    <w:rsid w:val="00D6783A"/>
    <w:rsid w:val="00D71D6D"/>
    <w:rsid w:val="00D72021"/>
    <w:rsid w:val="00D72AC6"/>
    <w:rsid w:val="00D741A7"/>
    <w:rsid w:val="00D74234"/>
    <w:rsid w:val="00D7511A"/>
    <w:rsid w:val="00D75715"/>
    <w:rsid w:val="00D75D8D"/>
    <w:rsid w:val="00D76B3B"/>
    <w:rsid w:val="00D76BC1"/>
    <w:rsid w:val="00D776FA"/>
    <w:rsid w:val="00D80478"/>
    <w:rsid w:val="00D80D74"/>
    <w:rsid w:val="00D80E8D"/>
    <w:rsid w:val="00D813D0"/>
    <w:rsid w:val="00D83328"/>
    <w:rsid w:val="00D833B7"/>
    <w:rsid w:val="00D8363A"/>
    <w:rsid w:val="00D84742"/>
    <w:rsid w:val="00D84AF8"/>
    <w:rsid w:val="00D85D75"/>
    <w:rsid w:val="00D87F1F"/>
    <w:rsid w:val="00D90A77"/>
    <w:rsid w:val="00D90E41"/>
    <w:rsid w:val="00D9123E"/>
    <w:rsid w:val="00D92382"/>
    <w:rsid w:val="00D92775"/>
    <w:rsid w:val="00D92DB9"/>
    <w:rsid w:val="00D93060"/>
    <w:rsid w:val="00D93FC9"/>
    <w:rsid w:val="00D94468"/>
    <w:rsid w:val="00D94B80"/>
    <w:rsid w:val="00D94EDF"/>
    <w:rsid w:val="00D9505C"/>
    <w:rsid w:val="00D9545E"/>
    <w:rsid w:val="00D95BF3"/>
    <w:rsid w:val="00D96005"/>
    <w:rsid w:val="00D96159"/>
    <w:rsid w:val="00D962CA"/>
    <w:rsid w:val="00D96410"/>
    <w:rsid w:val="00D9711C"/>
    <w:rsid w:val="00D9750F"/>
    <w:rsid w:val="00DA0110"/>
    <w:rsid w:val="00DA0D88"/>
    <w:rsid w:val="00DA1952"/>
    <w:rsid w:val="00DA24F2"/>
    <w:rsid w:val="00DA391A"/>
    <w:rsid w:val="00DA3C05"/>
    <w:rsid w:val="00DA40A4"/>
    <w:rsid w:val="00DA5B34"/>
    <w:rsid w:val="00DA61E4"/>
    <w:rsid w:val="00DA6700"/>
    <w:rsid w:val="00DA6B05"/>
    <w:rsid w:val="00DA7789"/>
    <w:rsid w:val="00DA7B09"/>
    <w:rsid w:val="00DB003D"/>
    <w:rsid w:val="00DB0285"/>
    <w:rsid w:val="00DB04A0"/>
    <w:rsid w:val="00DB08DA"/>
    <w:rsid w:val="00DB0CB7"/>
    <w:rsid w:val="00DB155D"/>
    <w:rsid w:val="00DB1CEB"/>
    <w:rsid w:val="00DB2958"/>
    <w:rsid w:val="00DB30FD"/>
    <w:rsid w:val="00DB4728"/>
    <w:rsid w:val="00DB4EE3"/>
    <w:rsid w:val="00DB5E1C"/>
    <w:rsid w:val="00DB6D64"/>
    <w:rsid w:val="00DB7587"/>
    <w:rsid w:val="00DC1431"/>
    <w:rsid w:val="00DC4845"/>
    <w:rsid w:val="00DC5070"/>
    <w:rsid w:val="00DC5433"/>
    <w:rsid w:val="00DC59EE"/>
    <w:rsid w:val="00DC611C"/>
    <w:rsid w:val="00DC6D91"/>
    <w:rsid w:val="00DC7DB9"/>
    <w:rsid w:val="00DD0A7E"/>
    <w:rsid w:val="00DD1BF4"/>
    <w:rsid w:val="00DD256C"/>
    <w:rsid w:val="00DD2672"/>
    <w:rsid w:val="00DD31F0"/>
    <w:rsid w:val="00DD37E7"/>
    <w:rsid w:val="00DD3B45"/>
    <w:rsid w:val="00DD3F4A"/>
    <w:rsid w:val="00DD40BE"/>
    <w:rsid w:val="00DD415E"/>
    <w:rsid w:val="00DD5100"/>
    <w:rsid w:val="00DD5576"/>
    <w:rsid w:val="00DD566F"/>
    <w:rsid w:val="00DD5E64"/>
    <w:rsid w:val="00DD68A6"/>
    <w:rsid w:val="00DD6C17"/>
    <w:rsid w:val="00DD7068"/>
    <w:rsid w:val="00DD7B29"/>
    <w:rsid w:val="00DD7BF4"/>
    <w:rsid w:val="00DD7F76"/>
    <w:rsid w:val="00DE02B9"/>
    <w:rsid w:val="00DE04A1"/>
    <w:rsid w:val="00DE0751"/>
    <w:rsid w:val="00DE15C6"/>
    <w:rsid w:val="00DE2082"/>
    <w:rsid w:val="00DE2AC9"/>
    <w:rsid w:val="00DE44CF"/>
    <w:rsid w:val="00DE59A7"/>
    <w:rsid w:val="00DE60E6"/>
    <w:rsid w:val="00DE6678"/>
    <w:rsid w:val="00DE6FB3"/>
    <w:rsid w:val="00DE717C"/>
    <w:rsid w:val="00DE7A9E"/>
    <w:rsid w:val="00DE7B0E"/>
    <w:rsid w:val="00DF0F9A"/>
    <w:rsid w:val="00DF11FB"/>
    <w:rsid w:val="00DF2FE7"/>
    <w:rsid w:val="00DF33F3"/>
    <w:rsid w:val="00DF355B"/>
    <w:rsid w:val="00DF364F"/>
    <w:rsid w:val="00DF37D7"/>
    <w:rsid w:val="00DF4443"/>
    <w:rsid w:val="00DF4730"/>
    <w:rsid w:val="00DF4A5B"/>
    <w:rsid w:val="00DF5284"/>
    <w:rsid w:val="00DF56F0"/>
    <w:rsid w:val="00DF598A"/>
    <w:rsid w:val="00DF6428"/>
    <w:rsid w:val="00DF74F7"/>
    <w:rsid w:val="00DF79D9"/>
    <w:rsid w:val="00DF7C93"/>
    <w:rsid w:val="00E0008A"/>
    <w:rsid w:val="00E006CE"/>
    <w:rsid w:val="00E01207"/>
    <w:rsid w:val="00E01806"/>
    <w:rsid w:val="00E02476"/>
    <w:rsid w:val="00E02932"/>
    <w:rsid w:val="00E03490"/>
    <w:rsid w:val="00E03536"/>
    <w:rsid w:val="00E03F6E"/>
    <w:rsid w:val="00E044FE"/>
    <w:rsid w:val="00E047BC"/>
    <w:rsid w:val="00E048BD"/>
    <w:rsid w:val="00E04B3D"/>
    <w:rsid w:val="00E051E6"/>
    <w:rsid w:val="00E0586B"/>
    <w:rsid w:val="00E06156"/>
    <w:rsid w:val="00E066F4"/>
    <w:rsid w:val="00E0695D"/>
    <w:rsid w:val="00E06A5C"/>
    <w:rsid w:val="00E06C1F"/>
    <w:rsid w:val="00E07924"/>
    <w:rsid w:val="00E07B50"/>
    <w:rsid w:val="00E07FCF"/>
    <w:rsid w:val="00E10210"/>
    <w:rsid w:val="00E10B19"/>
    <w:rsid w:val="00E11556"/>
    <w:rsid w:val="00E121BD"/>
    <w:rsid w:val="00E1253D"/>
    <w:rsid w:val="00E13258"/>
    <w:rsid w:val="00E13274"/>
    <w:rsid w:val="00E148B2"/>
    <w:rsid w:val="00E14A1E"/>
    <w:rsid w:val="00E15379"/>
    <w:rsid w:val="00E15498"/>
    <w:rsid w:val="00E1566D"/>
    <w:rsid w:val="00E15A21"/>
    <w:rsid w:val="00E1669B"/>
    <w:rsid w:val="00E16D54"/>
    <w:rsid w:val="00E17284"/>
    <w:rsid w:val="00E17994"/>
    <w:rsid w:val="00E179E0"/>
    <w:rsid w:val="00E17E66"/>
    <w:rsid w:val="00E2101D"/>
    <w:rsid w:val="00E21259"/>
    <w:rsid w:val="00E2140C"/>
    <w:rsid w:val="00E21591"/>
    <w:rsid w:val="00E217CB"/>
    <w:rsid w:val="00E22232"/>
    <w:rsid w:val="00E224EA"/>
    <w:rsid w:val="00E228AB"/>
    <w:rsid w:val="00E22AC4"/>
    <w:rsid w:val="00E22CAC"/>
    <w:rsid w:val="00E230B4"/>
    <w:rsid w:val="00E23858"/>
    <w:rsid w:val="00E23B9A"/>
    <w:rsid w:val="00E254E0"/>
    <w:rsid w:val="00E25813"/>
    <w:rsid w:val="00E27277"/>
    <w:rsid w:val="00E27419"/>
    <w:rsid w:val="00E27D58"/>
    <w:rsid w:val="00E30133"/>
    <w:rsid w:val="00E3055D"/>
    <w:rsid w:val="00E3056C"/>
    <w:rsid w:val="00E30A03"/>
    <w:rsid w:val="00E30EAE"/>
    <w:rsid w:val="00E31146"/>
    <w:rsid w:val="00E31224"/>
    <w:rsid w:val="00E31FC4"/>
    <w:rsid w:val="00E31FE0"/>
    <w:rsid w:val="00E3214C"/>
    <w:rsid w:val="00E3233A"/>
    <w:rsid w:val="00E32D53"/>
    <w:rsid w:val="00E33502"/>
    <w:rsid w:val="00E335B7"/>
    <w:rsid w:val="00E33743"/>
    <w:rsid w:val="00E34048"/>
    <w:rsid w:val="00E34D00"/>
    <w:rsid w:val="00E351A4"/>
    <w:rsid w:val="00E354A6"/>
    <w:rsid w:val="00E3603A"/>
    <w:rsid w:val="00E3660C"/>
    <w:rsid w:val="00E36A0C"/>
    <w:rsid w:val="00E36E6B"/>
    <w:rsid w:val="00E4063A"/>
    <w:rsid w:val="00E40C10"/>
    <w:rsid w:val="00E40E31"/>
    <w:rsid w:val="00E41116"/>
    <w:rsid w:val="00E41278"/>
    <w:rsid w:val="00E41849"/>
    <w:rsid w:val="00E42B80"/>
    <w:rsid w:val="00E430C9"/>
    <w:rsid w:val="00E43775"/>
    <w:rsid w:val="00E4438A"/>
    <w:rsid w:val="00E4439B"/>
    <w:rsid w:val="00E44E45"/>
    <w:rsid w:val="00E4548A"/>
    <w:rsid w:val="00E45758"/>
    <w:rsid w:val="00E45E61"/>
    <w:rsid w:val="00E462F2"/>
    <w:rsid w:val="00E468DB"/>
    <w:rsid w:val="00E471FD"/>
    <w:rsid w:val="00E47765"/>
    <w:rsid w:val="00E500D1"/>
    <w:rsid w:val="00E5047F"/>
    <w:rsid w:val="00E510FE"/>
    <w:rsid w:val="00E51419"/>
    <w:rsid w:val="00E520BC"/>
    <w:rsid w:val="00E520DA"/>
    <w:rsid w:val="00E52257"/>
    <w:rsid w:val="00E52764"/>
    <w:rsid w:val="00E539F7"/>
    <w:rsid w:val="00E53A08"/>
    <w:rsid w:val="00E53A73"/>
    <w:rsid w:val="00E53CDE"/>
    <w:rsid w:val="00E53FB5"/>
    <w:rsid w:val="00E549CF"/>
    <w:rsid w:val="00E54A69"/>
    <w:rsid w:val="00E555E9"/>
    <w:rsid w:val="00E55FE0"/>
    <w:rsid w:val="00E5683F"/>
    <w:rsid w:val="00E56C55"/>
    <w:rsid w:val="00E56D9D"/>
    <w:rsid w:val="00E571D7"/>
    <w:rsid w:val="00E578D5"/>
    <w:rsid w:val="00E603AC"/>
    <w:rsid w:val="00E60656"/>
    <w:rsid w:val="00E60761"/>
    <w:rsid w:val="00E61639"/>
    <w:rsid w:val="00E622A7"/>
    <w:rsid w:val="00E628A5"/>
    <w:rsid w:val="00E628DC"/>
    <w:rsid w:val="00E643A7"/>
    <w:rsid w:val="00E65104"/>
    <w:rsid w:val="00E65C63"/>
    <w:rsid w:val="00E65FAF"/>
    <w:rsid w:val="00E66DA9"/>
    <w:rsid w:val="00E675EC"/>
    <w:rsid w:val="00E67ACC"/>
    <w:rsid w:val="00E67DA1"/>
    <w:rsid w:val="00E70225"/>
    <w:rsid w:val="00E70783"/>
    <w:rsid w:val="00E707C2"/>
    <w:rsid w:val="00E712E5"/>
    <w:rsid w:val="00E71522"/>
    <w:rsid w:val="00E71C1F"/>
    <w:rsid w:val="00E71F50"/>
    <w:rsid w:val="00E726FE"/>
    <w:rsid w:val="00E7274D"/>
    <w:rsid w:val="00E736DA"/>
    <w:rsid w:val="00E73795"/>
    <w:rsid w:val="00E7410C"/>
    <w:rsid w:val="00E74D72"/>
    <w:rsid w:val="00E75296"/>
    <w:rsid w:val="00E753A6"/>
    <w:rsid w:val="00E7572F"/>
    <w:rsid w:val="00E7691B"/>
    <w:rsid w:val="00E8004D"/>
    <w:rsid w:val="00E8096F"/>
    <w:rsid w:val="00E80A1C"/>
    <w:rsid w:val="00E80BA0"/>
    <w:rsid w:val="00E812FC"/>
    <w:rsid w:val="00E81A61"/>
    <w:rsid w:val="00E81EFD"/>
    <w:rsid w:val="00E82111"/>
    <w:rsid w:val="00E83500"/>
    <w:rsid w:val="00E845F2"/>
    <w:rsid w:val="00E84766"/>
    <w:rsid w:val="00E84E2D"/>
    <w:rsid w:val="00E84F7A"/>
    <w:rsid w:val="00E85653"/>
    <w:rsid w:val="00E866C3"/>
    <w:rsid w:val="00E90378"/>
    <w:rsid w:val="00E91BEE"/>
    <w:rsid w:val="00E91E83"/>
    <w:rsid w:val="00E92630"/>
    <w:rsid w:val="00E927AA"/>
    <w:rsid w:val="00E9295C"/>
    <w:rsid w:val="00E92E13"/>
    <w:rsid w:val="00E931F6"/>
    <w:rsid w:val="00E94382"/>
    <w:rsid w:val="00E94718"/>
    <w:rsid w:val="00E94A89"/>
    <w:rsid w:val="00E94E6B"/>
    <w:rsid w:val="00E95670"/>
    <w:rsid w:val="00E956FB"/>
    <w:rsid w:val="00E95C29"/>
    <w:rsid w:val="00E965E1"/>
    <w:rsid w:val="00EA0394"/>
    <w:rsid w:val="00EA0E18"/>
    <w:rsid w:val="00EA0ECF"/>
    <w:rsid w:val="00EA20BF"/>
    <w:rsid w:val="00EA27B5"/>
    <w:rsid w:val="00EA29B4"/>
    <w:rsid w:val="00EA2C0E"/>
    <w:rsid w:val="00EA349F"/>
    <w:rsid w:val="00EA34F3"/>
    <w:rsid w:val="00EA3BA0"/>
    <w:rsid w:val="00EA410F"/>
    <w:rsid w:val="00EA48CC"/>
    <w:rsid w:val="00EA49F9"/>
    <w:rsid w:val="00EA4C9F"/>
    <w:rsid w:val="00EA4CF4"/>
    <w:rsid w:val="00EA5066"/>
    <w:rsid w:val="00EA5652"/>
    <w:rsid w:val="00EA620B"/>
    <w:rsid w:val="00EA6911"/>
    <w:rsid w:val="00EA6BAC"/>
    <w:rsid w:val="00EA7816"/>
    <w:rsid w:val="00EA7FA2"/>
    <w:rsid w:val="00EA7FEC"/>
    <w:rsid w:val="00EB044E"/>
    <w:rsid w:val="00EB0F9E"/>
    <w:rsid w:val="00EB0FDE"/>
    <w:rsid w:val="00EB2820"/>
    <w:rsid w:val="00EB2871"/>
    <w:rsid w:val="00EB32C2"/>
    <w:rsid w:val="00EB33DC"/>
    <w:rsid w:val="00EB34DA"/>
    <w:rsid w:val="00EB39A0"/>
    <w:rsid w:val="00EB4845"/>
    <w:rsid w:val="00EB484A"/>
    <w:rsid w:val="00EB52E1"/>
    <w:rsid w:val="00EB530F"/>
    <w:rsid w:val="00EB5381"/>
    <w:rsid w:val="00EB58A4"/>
    <w:rsid w:val="00EB59D1"/>
    <w:rsid w:val="00EB64E6"/>
    <w:rsid w:val="00EC0082"/>
    <w:rsid w:val="00EC0CF7"/>
    <w:rsid w:val="00EC1513"/>
    <w:rsid w:val="00EC192D"/>
    <w:rsid w:val="00EC1B55"/>
    <w:rsid w:val="00EC2634"/>
    <w:rsid w:val="00EC2F3D"/>
    <w:rsid w:val="00EC328D"/>
    <w:rsid w:val="00EC3E3B"/>
    <w:rsid w:val="00EC4FA5"/>
    <w:rsid w:val="00EC5BF0"/>
    <w:rsid w:val="00EC71E8"/>
    <w:rsid w:val="00EC78A4"/>
    <w:rsid w:val="00EC78F9"/>
    <w:rsid w:val="00EC7A8A"/>
    <w:rsid w:val="00EC7C44"/>
    <w:rsid w:val="00EC7DAA"/>
    <w:rsid w:val="00EC7F8B"/>
    <w:rsid w:val="00ED028B"/>
    <w:rsid w:val="00ED0397"/>
    <w:rsid w:val="00ED05E5"/>
    <w:rsid w:val="00ED0C17"/>
    <w:rsid w:val="00ED1696"/>
    <w:rsid w:val="00ED17C8"/>
    <w:rsid w:val="00ED1FB8"/>
    <w:rsid w:val="00ED253C"/>
    <w:rsid w:val="00ED2BD5"/>
    <w:rsid w:val="00ED32CF"/>
    <w:rsid w:val="00ED3E89"/>
    <w:rsid w:val="00ED4D5F"/>
    <w:rsid w:val="00ED60EF"/>
    <w:rsid w:val="00ED6167"/>
    <w:rsid w:val="00ED67FD"/>
    <w:rsid w:val="00ED7325"/>
    <w:rsid w:val="00ED7ECA"/>
    <w:rsid w:val="00ED7F6D"/>
    <w:rsid w:val="00EE02A9"/>
    <w:rsid w:val="00EE0439"/>
    <w:rsid w:val="00EE0483"/>
    <w:rsid w:val="00EE1030"/>
    <w:rsid w:val="00EE1596"/>
    <w:rsid w:val="00EE1DF6"/>
    <w:rsid w:val="00EE20CA"/>
    <w:rsid w:val="00EE26D3"/>
    <w:rsid w:val="00EE33D8"/>
    <w:rsid w:val="00EE34A9"/>
    <w:rsid w:val="00EE351E"/>
    <w:rsid w:val="00EE407D"/>
    <w:rsid w:val="00EE411C"/>
    <w:rsid w:val="00EE4542"/>
    <w:rsid w:val="00EE4B2B"/>
    <w:rsid w:val="00EE4EA2"/>
    <w:rsid w:val="00EE4FC4"/>
    <w:rsid w:val="00EE543A"/>
    <w:rsid w:val="00EE5950"/>
    <w:rsid w:val="00EE5C27"/>
    <w:rsid w:val="00EE62BF"/>
    <w:rsid w:val="00EE6CCD"/>
    <w:rsid w:val="00EE7644"/>
    <w:rsid w:val="00EF0058"/>
    <w:rsid w:val="00EF23A5"/>
    <w:rsid w:val="00EF26B2"/>
    <w:rsid w:val="00EF2E63"/>
    <w:rsid w:val="00EF316E"/>
    <w:rsid w:val="00EF31D9"/>
    <w:rsid w:val="00EF37AC"/>
    <w:rsid w:val="00EF3802"/>
    <w:rsid w:val="00EF38F6"/>
    <w:rsid w:val="00EF3D74"/>
    <w:rsid w:val="00EF3E17"/>
    <w:rsid w:val="00EF40A3"/>
    <w:rsid w:val="00EF4182"/>
    <w:rsid w:val="00EF4288"/>
    <w:rsid w:val="00EF42DA"/>
    <w:rsid w:val="00EF4686"/>
    <w:rsid w:val="00EF4AA5"/>
    <w:rsid w:val="00EF4BAF"/>
    <w:rsid w:val="00EF5561"/>
    <w:rsid w:val="00EF5662"/>
    <w:rsid w:val="00EF5C16"/>
    <w:rsid w:val="00EF6510"/>
    <w:rsid w:val="00EF6716"/>
    <w:rsid w:val="00EF6D61"/>
    <w:rsid w:val="00F000D3"/>
    <w:rsid w:val="00F011F8"/>
    <w:rsid w:val="00F01A96"/>
    <w:rsid w:val="00F01E7E"/>
    <w:rsid w:val="00F01F18"/>
    <w:rsid w:val="00F01FA9"/>
    <w:rsid w:val="00F023F5"/>
    <w:rsid w:val="00F03E9B"/>
    <w:rsid w:val="00F04E8F"/>
    <w:rsid w:val="00F0523A"/>
    <w:rsid w:val="00F05903"/>
    <w:rsid w:val="00F05908"/>
    <w:rsid w:val="00F05B57"/>
    <w:rsid w:val="00F05B59"/>
    <w:rsid w:val="00F064F7"/>
    <w:rsid w:val="00F06C26"/>
    <w:rsid w:val="00F06F05"/>
    <w:rsid w:val="00F0729B"/>
    <w:rsid w:val="00F10666"/>
    <w:rsid w:val="00F10E63"/>
    <w:rsid w:val="00F11A36"/>
    <w:rsid w:val="00F11AD8"/>
    <w:rsid w:val="00F125F8"/>
    <w:rsid w:val="00F13219"/>
    <w:rsid w:val="00F133C1"/>
    <w:rsid w:val="00F13446"/>
    <w:rsid w:val="00F13686"/>
    <w:rsid w:val="00F14361"/>
    <w:rsid w:val="00F14AC2"/>
    <w:rsid w:val="00F158D6"/>
    <w:rsid w:val="00F169CD"/>
    <w:rsid w:val="00F2053B"/>
    <w:rsid w:val="00F21A9A"/>
    <w:rsid w:val="00F22023"/>
    <w:rsid w:val="00F226E4"/>
    <w:rsid w:val="00F23D05"/>
    <w:rsid w:val="00F24129"/>
    <w:rsid w:val="00F241B4"/>
    <w:rsid w:val="00F257C0"/>
    <w:rsid w:val="00F25900"/>
    <w:rsid w:val="00F25911"/>
    <w:rsid w:val="00F25DD6"/>
    <w:rsid w:val="00F25FD0"/>
    <w:rsid w:val="00F26624"/>
    <w:rsid w:val="00F2719B"/>
    <w:rsid w:val="00F27DE1"/>
    <w:rsid w:val="00F3189C"/>
    <w:rsid w:val="00F31952"/>
    <w:rsid w:val="00F32240"/>
    <w:rsid w:val="00F32731"/>
    <w:rsid w:val="00F3310E"/>
    <w:rsid w:val="00F33195"/>
    <w:rsid w:val="00F33426"/>
    <w:rsid w:val="00F3357F"/>
    <w:rsid w:val="00F33853"/>
    <w:rsid w:val="00F3525E"/>
    <w:rsid w:val="00F35D8A"/>
    <w:rsid w:val="00F36207"/>
    <w:rsid w:val="00F368FC"/>
    <w:rsid w:val="00F37783"/>
    <w:rsid w:val="00F37B24"/>
    <w:rsid w:val="00F37BDD"/>
    <w:rsid w:val="00F37BEB"/>
    <w:rsid w:val="00F40186"/>
    <w:rsid w:val="00F40972"/>
    <w:rsid w:val="00F40A75"/>
    <w:rsid w:val="00F40F6A"/>
    <w:rsid w:val="00F41712"/>
    <w:rsid w:val="00F41B87"/>
    <w:rsid w:val="00F43022"/>
    <w:rsid w:val="00F4309F"/>
    <w:rsid w:val="00F44783"/>
    <w:rsid w:val="00F44C3E"/>
    <w:rsid w:val="00F44D90"/>
    <w:rsid w:val="00F458FE"/>
    <w:rsid w:val="00F45982"/>
    <w:rsid w:val="00F468DF"/>
    <w:rsid w:val="00F47161"/>
    <w:rsid w:val="00F47EE7"/>
    <w:rsid w:val="00F50583"/>
    <w:rsid w:val="00F50744"/>
    <w:rsid w:val="00F50E6D"/>
    <w:rsid w:val="00F51CA1"/>
    <w:rsid w:val="00F5210E"/>
    <w:rsid w:val="00F52303"/>
    <w:rsid w:val="00F52B7B"/>
    <w:rsid w:val="00F52CD1"/>
    <w:rsid w:val="00F52FFB"/>
    <w:rsid w:val="00F53076"/>
    <w:rsid w:val="00F531E3"/>
    <w:rsid w:val="00F54FC7"/>
    <w:rsid w:val="00F55046"/>
    <w:rsid w:val="00F5568C"/>
    <w:rsid w:val="00F55877"/>
    <w:rsid w:val="00F558C2"/>
    <w:rsid w:val="00F565A1"/>
    <w:rsid w:val="00F571FA"/>
    <w:rsid w:val="00F572E2"/>
    <w:rsid w:val="00F57C05"/>
    <w:rsid w:val="00F60086"/>
    <w:rsid w:val="00F601D5"/>
    <w:rsid w:val="00F6069D"/>
    <w:rsid w:val="00F60FA3"/>
    <w:rsid w:val="00F61680"/>
    <w:rsid w:val="00F61958"/>
    <w:rsid w:val="00F62EF8"/>
    <w:rsid w:val="00F63311"/>
    <w:rsid w:val="00F6336A"/>
    <w:rsid w:val="00F63416"/>
    <w:rsid w:val="00F63954"/>
    <w:rsid w:val="00F641BF"/>
    <w:rsid w:val="00F646D6"/>
    <w:rsid w:val="00F64BEE"/>
    <w:rsid w:val="00F64DBE"/>
    <w:rsid w:val="00F64DFA"/>
    <w:rsid w:val="00F65461"/>
    <w:rsid w:val="00F65D99"/>
    <w:rsid w:val="00F672DC"/>
    <w:rsid w:val="00F673C3"/>
    <w:rsid w:val="00F678AE"/>
    <w:rsid w:val="00F67AEC"/>
    <w:rsid w:val="00F67CC0"/>
    <w:rsid w:val="00F7092C"/>
    <w:rsid w:val="00F70B58"/>
    <w:rsid w:val="00F70E5D"/>
    <w:rsid w:val="00F71538"/>
    <w:rsid w:val="00F71996"/>
    <w:rsid w:val="00F71B41"/>
    <w:rsid w:val="00F71BE0"/>
    <w:rsid w:val="00F72281"/>
    <w:rsid w:val="00F72A9E"/>
    <w:rsid w:val="00F73205"/>
    <w:rsid w:val="00F74500"/>
    <w:rsid w:val="00F75B73"/>
    <w:rsid w:val="00F75E59"/>
    <w:rsid w:val="00F76263"/>
    <w:rsid w:val="00F76631"/>
    <w:rsid w:val="00F766C3"/>
    <w:rsid w:val="00F7763F"/>
    <w:rsid w:val="00F80BFA"/>
    <w:rsid w:val="00F80D2A"/>
    <w:rsid w:val="00F81777"/>
    <w:rsid w:val="00F81832"/>
    <w:rsid w:val="00F82C14"/>
    <w:rsid w:val="00F83913"/>
    <w:rsid w:val="00F83CA7"/>
    <w:rsid w:val="00F83E5B"/>
    <w:rsid w:val="00F83F6A"/>
    <w:rsid w:val="00F85A6D"/>
    <w:rsid w:val="00F86465"/>
    <w:rsid w:val="00F86E04"/>
    <w:rsid w:val="00F900DC"/>
    <w:rsid w:val="00F90C35"/>
    <w:rsid w:val="00F9112B"/>
    <w:rsid w:val="00F91419"/>
    <w:rsid w:val="00F92079"/>
    <w:rsid w:val="00F92129"/>
    <w:rsid w:val="00F92FC5"/>
    <w:rsid w:val="00F93B1D"/>
    <w:rsid w:val="00F944E5"/>
    <w:rsid w:val="00F946FE"/>
    <w:rsid w:val="00F94978"/>
    <w:rsid w:val="00F956B1"/>
    <w:rsid w:val="00F95C1B"/>
    <w:rsid w:val="00F95E1C"/>
    <w:rsid w:val="00F96018"/>
    <w:rsid w:val="00F96F10"/>
    <w:rsid w:val="00F971FB"/>
    <w:rsid w:val="00F9721F"/>
    <w:rsid w:val="00FA2187"/>
    <w:rsid w:val="00FA252E"/>
    <w:rsid w:val="00FA270D"/>
    <w:rsid w:val="00FA2BF7"/>
    <w:rsid w:val="00FA3642"/>
    <w:rsid w:val="00FA3F71"/>
    <w:rsid w:val="00FA44BD"/>
    <w:rsid w:val="00FA7FD9"/>
    <w:rsid w:val="00FB00FC"/>
    <w:rsid w:val="00FB01CB"/>
    <w:rsid w:val="00FB05F0"/>
    <w:rsid w:val="00FB0981"/>
    <w:rsid w:val="00FB1080"/>
    <w:rsid w:val="00FB1F9F"/>
    <w:rsid w:val="00FB245A"/>
    <w:rsid w:val="00FB2C3E"/>
    <w:rsid w:val="00FB3309"/>
    <w:rsid w:val="00FB33CE"/>
    <w:rsid w:val="00FB37B5"/>
    <w:rsid w:val="00FB3816"/>
    <w:rsid w:val="00FB4222"/>
    <w:rsid w:val="00FB448C"/>
    <w:rsid w:val="00FB54FF"/>
    <w:rsid w:val="00FB6FC1"/>
    <w:rsid w:val="00FB7E99"/>
    <w:rsid w:val="00FC031A"/>
    <w:rsid w:val="00FC0913"/>
    <w:rsid w:val="00FC166B"/>
    <w:rsid w:val="00FC22D3"/>
    <w:rsid w:val="00FC236F"/>
    <w:rsid w:val="00FC2BA1"/>
    <w:rsid w:val="00FC3709"/>
    <w:rsid w:val="00FC3D03"/>
    <w:rsid w:val="00FC48DA"/>
    <w:rsid w:val="00FC4BC8"/>
    <w:rsid w:val="00FC5298"/>
    <w:rsid w:val="00FC751D"/>
    <w:rsid w:val="00FC7BBD"/>
    <w:rsid w:val="00FC7F9B"/>
    <w:rsid w:val="00FD1A90"/>
    <w:rsid w:val="00FD1F73"/>
    <w:rsid w:val="00FD1F7A"/>
    <w:rsid w:val="00FD2345"/>
    <w:rsid w:val="00FD2354"/>
    <w:rsid w:val="00FD2441"/>
    <w:rsid w:val="00FD2884"/>
    <w:rsid w:val="00FD2AF8"/>
    <w:rsid w:val="00FD3755"/>
    <w:rsid w:val="00FD3E62"/>
    <w:rsid w:val="00FD3FDC"/>
    <w:rsid w:val="00FD4322"/>
    <w:rsid w:val="00FD49D2"/>
    <w:rsid w:val="00FD5645"/>
    <w:rsid w:val="00FD6448"/>
    <w:rsid w:val="00FD6ABA"/>
    <w:rsid w:val="00FE0F7C"/>
    <w:rsid w:val="00FE142E"/>
    <w:rsid w:val="00FE197F"/>
    <w:rsid w:val="00FE1F3D"/>
    <w:rsid w:val="00FE292C"/>
    <w:rsid w:val="00FE2EA3"/>
    <w:rsid w:val="00FE4507"/>
    <w:rsid w:val="00FE6044"/>
    <w:rsid w:val="00FE64C9"/>
    <w:rsid w:val="00FE6D2D"/>
    <w:rsid w:val="00FE6E7F"/>
    <w:rsid w:val="00FE771C"/>
    <w:rsid w:val="00FE7803"/>
    <w:rsid w:val="00FF055B"/>
    <w:rsid w:val="00FF097B"/>
    <w:rsid w:val="00FF0B0B"/>
    <w:rsid w:val="00FF13C3"/>
    <w:rsid w:val="00FF1507"/>
    <w:rsid w:val="00FF19AC"/>
    <w:rsid w:val="00FF1BE7"/>
    <w:rsid w:val="00FF2575"/>
    <w:rsid w:val="00FF2721"/>
    <w:rsid w:val="00FF2EDF"/>
    <w:rsid w:val="00FF3221"/>
    <w:rsid w:val="00FF3FCC"/>
    <w:rsid w:val="00FF5AB3"/>
    <w:rsid w:val="00FF6502"/>
    <w:rsid w:val="00FF6B0F"/>
    <w:rsid w:val="00FF77E0"/>
    <w:rsid w:val="00FF7920"/>
    <w:rsid w:val="00FF7B59"/>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Arial Narrow" w:cs="Arial Narrow"/>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D64D0"/>
    <w:pPr>
      <w:spacing w:after="120"/>
      <w:jc w:val="both"/>
    </w:pPr>
    <w:rPr>
      <w:sz w:val="22"/>
      <w:szCs w:val="22"/>
    </w:rPr>
  </w:style>
  <w:style w:type="paragraph" w:styleId="Nadpis1">
    <w:name w:val="heading 1"/>
    <w:aliases w:val="NPXI,Čo robí (časť)"/>
    <w:basedOn w:val="Normlny"/>
    <w:next w:val="Normlny"/>
    <w:link w:val="Nadpis1Char"/>
    <w:uiPriority w:val="9"/>
    <w:qFormat/>
    <w:rsid w:val="001D64D0"/>
    <w:pPr>
      <w:keepNext/>
      <w:tabs>
        <w:tab w:val="num" w:pos="432"/>
      </w:tabs>
      <w:spacing w:before="120"/>
      <w:ind w:left="432" w:hanging="432"/>
      <w:outlineLvl w:val="0"/>
    </w:pPr>
    <w:rPr>
      <w:b/>
      <w:bCs/>
      <w:sz w:val="28"/>
      <w:szCs w:val="28"/>
    </w:rPr>
  </w:style>
  <w:style w:type="paragraph" w:styleId="Nadpis2">
    <w:name w:val="heading 2"/>
    <w:aliases w:val="Úloha Char Char"/>
    <w:basedOn w:val="Normlny"/>
    <w:next w:val="Normlny"/>
    <w:link w:val="Nadpis2Char"/>
    <w:uiPriority w:val="9"/>
    <w:qFormat/>
    <w:rsid w:val="001D64D0"/>
    <w:pPr>
      <w:tabs>
        <w:tab w:val="num" w:pos="576"/>
        <w:tab w:val="num" w:pos="1080"/>
        <w:tab w:val="num" w:pos="1440"/>
      </w:tabs>
      <w:spacing w:before="120"/>
      <w:ind w:left="576" w:hanging="576"/>
      <w:outlineLvl w:val="1"/>
    </w:pPr>
    <w:rPr>
      <w:b/>
      <w:bCs/>
      <w:color w:val="000000"/>
      <w:sz w:val="26"/>
      <w:szCs w:val="26"/>
    </w:rPr>
  </w:style>
  <w:style w:type="paragraph" w:styleId="Nadpis3">
    <w:name w:val="heading 3"/>
    <w:aliases w:val="Podúloha Char Char"/>
    <w:basedOn w:val="Nadpis7"/>
    <w:next w:val="Normlny"/>
    <w:link w:val="Nadpis3Char"/>
    <w:uiPriority w:val="9"/>
    <w:qFormat/>
    <w:rsid w:val="00C61270"/>
    <w:pPr>
      <w:spacing w:after="0"/>
      <w:ind w:left="1080" w:hanging="360"/>
      <w:outlineLvl w:val="2"/>
    </w:pPr>
  </w:style>
  <w:style w:type="paragraph" w:styleId="Nadpis4">
    <w:name w:val="heading 4"/>
    <w:aliases w:val="Termín"/>
    <w:basedOn w:val="Odsekzoznamu"/>
    <w:next w:val="Normlny"/>
    <w:link w:val="Nadpis4Char"/>
    <w:uiPriority w:val="9"/>
    <w:qFormat/>
    <w:rsid w:val="00C61270"/>
    <w:pPr>
      <w:numPr>
        <w:ilvl w:val="2"/>
        <w:numId w:val="1"/>
      </w:numPr>
      <w:tabs>
        <w:tab w:val="left" w:pos="426"/>
      </w:tabs>
      <w:spacing w:after="0"/>
      <w:ind w:left="0" w:firstLine="0"/>
      <w:outlineLvl w:val="3"/>
    </w:pPr>
    <w:rPr>
      <w:rFonts w:ascii="Arial Narrow" w:hAnsi="Arial Narrow" w:cs="Calibri"/>
      <w:b/>
      <w:sz w:val="28"/>
      <w:szCs w:val="28"/>
    </w:rPr>
  </w:style>
  <w:style w:type="paragraph" w:styleId="Nadpis5">
    <w:name w:val="heading 5"/>
    <w:basedOn w:val="Nadpis1"/>
    <w:next w:val="Normlny"/>
    <w:link w:val="Nadpis5Char"/>
    <w:uiPriority w:val="9"/>
    <w:qFormat/>
    <w:rsid w:val="002015E9"/>
    <w:pPr>
      <w:tabs>
        <w:tab w:val="clear" w:pos="432"/>
      </w:tabs>
      <w:spacing w:before="0" w:after="0"/>
      <w:ind w:left="0" w:firstLine="0"/>
      <w:outlineLvl w:val="4"/>
    </w:pPr>
    <w:rPr>
      <w:sz w:val="32"/>
      <w:szCs w:val="32"/>
    </w:rPr>
  </w:style>
  <w:style w:type="paragraph" w:styleId="Nadpis6">
    <w:name w:val="heading 6"/>
    <w:basedOn w:val="Nadpis1"/>
    <w:next w:val="Normlny"/>
    <w:link w:val="Nadpis6Char"/>
    <w:uiPriority w:val="9"/>
    <w:qFormat/>
    <w:rsid w:val="002015E9"/>
    <w:pPr>
      <w:tabs>
        <w:tab w:val="clear" w:pos="432"/>
      </w:tabs>
      <w:spacing w:before="0" w:after="0"/>
      <w:ind w:left="0" w:firstLine="0"/>
      <w:outlineLvl w:val="5"/>
    </w:pPr>
  </w:style>
  <w:style w:type="paragraph" w:styleId="Nadpis7">
    <w:name w:val="heading 7"/>
    <w:basedOn w:val="Odsekzoznamu"/>
    <w:next w:val="Normlny"/>
    <w:link w:val="Nadpis7Char"/>
    <w:uiPriority w:val="9"/>
    <w:qFormat/>
    <w:rsid w:val="002015E9"/>
    <w:pPr>
      <w:numPr>
        <w:ilvl w:val="1"/>
        <w:numId w:val="1"/>
      </w:numPr>
      <w:tabs>
        <w:tab w:val="left" w:pos="426"/>
      </w:tabs>
      <w:ind w:left="284" w:hanging="284"/>
      <w:outlineLvl w:val="6"/>
    </w:pPr>
    <w:rPr>
      <w:rFonts w:ascii="Arial Narrow" w:hAnsi="Arial Narrow"/>
      <w:b/>
      <w:sz w:val="28"/>
      <w:szCs w:val="28"/>
    </w:rPr>
  </w:style>
  <w:style w:type="paragraph" w:styleId="Nadpis8">
    <w:name w:val="heading 8"/>
    <w:basedOn w:val="Normlny"/>
    <w:next w:val="Normlny"/>
    <w:link w:val="Nadpis8Char"/>
    <w:uiPriority w:val="9"/>
    <w:qFormat/>
    <w:rsid w:val="001D64D0"/>
    <w:pPr>
      <w:tabs>
        <w:tab w:val="num" w:pos="1440"/>
        <w:tab w:val="num" w:pos="5400"/>
        <w:tab w:val="num" w:pos="5760"/>
      </w:tabs>
      <w:spacing w:before="240" w:after="60"/>
      <w:ind w:left="1440" w:hanging="1440"/>
      <w:outlineLvl w:val="7"/>
    </w:pPr>
    <w:rPr>
      <w:i/>
      <w:iCs/>
    </w:rPr>
  </w:style>
  <w:style w:type="paragraph" w:styleId="Nadpis9">
    <w:name w:val="heading 9"/>
    <w:basedOn w:val="Normlny"/>
    <w:next w:val="Normlny"/>
    <w:link w:val="Nadpis9Char"/>
    <w:uiPriority w:val="9"/>
    <w:qFormat/>
    <w:rsid w:val="001D64D0"/>
    <w:pPr>
      <w:tabs>
        <w:tab w:val="num" w:pos="1584"/>
        <w:tab w:val="num" w:pos="6120"/>
        <w:tab w:val="num" w:pos="6480"/>
      </w:tabs>
      <w:spacing w:before="240" w:after="60"/>
      <w:ind w:left="1584" w:hanging="1584"/>
      <w:outlineLvl w:val="8"/>
    </w:pPr>
    <w:rPr>
      <w:rFonts w:ascii="Arial" w:hAnsi="Arial"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PXI Char,Čo robí (časť) Char"/>
    <w:basedOn w:val="Predvolenpsmoodseku"/>
    <w:link w:val="Nadpis1"/>
    <w:uiPriority w:val="9"/>
    <w:locked/>
    <w:rsid w:val="001D64D0"/>
    <w:rPr>
      <w:rFonts w:ascii="Arial Narrow" w:hAnsi="Arial Narrow" w:cs="Arial Narrow"/>
      <w:b/>
      <w:bCs/>
      <w:sz w:val="28"/>
      <w:szCs w:val="28"/>
      <w:lang w:eastAsia="sk-SK"/>
    </w:rPr>
  </w:style>
  <w:style w:type="character" w:customStyle="1" w:styleId="Nadpis2Char">
    <w:name w:val="Nadpis 2 Char"/>
    <w:aliases w:val="Úloha Char Char Char"/>
    <w:basedOn w:val="Predvolenpsmoodseku"/>
    <w:link w:val="Nadpis2"/>
    <w:uiPriority w:val="9"/>
    <w:locked/>
    <w:rsid w:val="001D64D0"/>
    <w:rPr>
      <w:rFonts w:ascii="Arial Narrow" w:hAnsi="Arial Narrow" w:cs="Arial Narrow"/>
      <w:b/>
      <w:bCs/>
      <w:color w:val="000000"/>
      <w:sz w:val="26"/>
      <w:szCs w:val="26"/>
      <w:lang w:eastAsia="sk-SK"/>
    </w:rPr>
  </w:style>
  <w:style w:type="character" w:customStyle="1" w:styleId="Nadpis3Char">
    <w:name w:val="Nadpis 3 Char"/>
    <w:aliases w:val="Podúloha Char Char Char"/>
    <w:basedOn w:val="Predvolenpsmoodseku"/>
    <w:link w:val="Nadpis3"/>
    <w:uiPriority w:val="9"/>
    <w:locked/>
    <w:rsid w:val="00C61270"/>
    <w:rPr>
      <w:rFonts w:cs="Times New Roman"/>
      <w:b/>
      <w:sz w:val="28"/>
      <w:szCs w:val="28"/>
      <w:lang w:eastAsia="en-US"/>
    </w:rPr>
  </w:style>
  <w:style w:type="character" w:customStyle="1" w:styleId="Nadpis4Char">
    <w:name w:val="Nadpis 4 Char"/>
    <w:aliases w:val="Termín Char"/>
    <w:basedOn w:val="Predvolenpsmoodseku"/>
    <w:link w:val="Nadpis4"/>
    <w:uiPriority w:val="9"/>
    <w:locked/>
    <w:rsid w:val="00C61270"/>
    <w:rPr>
      <w:rFonts w:cs="Calibri"/>
      <w:b/>
      <w:sz w:val="28"/>
      <w:szCs w:val="28"/>
      <w:lang w:eastAsia="en-US"/>
    </w:rPr>
  </w:style>
  <w:style w:type="character" w:customStyle="1" w:styleId="Nadpis5Char">
    <w:name w:val="Nadpis 5 Char"/>
    <w:basedOn w:val="Predvolenpsmoodseku"/>
    <w:link w:val="Nadpis5"/>
    <w:uiPriority w:val="9"/>
    <w:locked/>
    <w:rsid w:val="002015E9"/>
    <w:rPr>
      <w:b/>
      <w:bCs/>
      <w:sz w:val="32"/>
      <w:szCs w:val="32"/>
    </w:rPr>
  </w:style>
  <w:style w:type="character" w:customStyle="1" w:styleId="Nadpis6Char">
    <w:name w:val="Nadpis 6 Char"/>
    <w:basedOn w:val="Predvolenpsmoodseku"/>
    <w:link w:val="Nadpis6"/>
    <w:uiPriority w:val="9"/>
    <w:locked/>
    <w:rsid w:val="002015E9"/>
    <w:rPr>
      <w:b/>
      <w:bCs/>
      <w:sz w:val="28"/>
      <w:szCs w:val="28"/>
    </w:rPr>
  </w:style>
  <w:style w:type="character" w:customStyle="1" w:styleId="Nadpis7Char">
    <w:name w:val="Nadpis 7 Char"/>
    <w:basedOn w:val="Predvolenpsmoodseku"/>
    <w:link w:val="Nadpis7"/>
    <w:uiPriority w:val="9"/>
    <w:locked/>
    <w:rsid w:val="002015E9"/>
    <w:rPr>
      <w:rFonts w:cs="Times New Roman"/>
      <w:b/>
      <w:sz w:val="28"/>
      <w:szCs w:val="28"/>
      <w:lang w:eastAsia="en-US"/>
    </w:rPr>
  </w:style>
  <w:style w:type="character" w:customStyle="1" w:styleId="Nadpis8Char">
    <w:name w:val="Nadpis 8 Char"/>
    <w:basedOn w:val="Predvolenpsmoodseku"/>
    <w:link w:val="Nadpis8"/>
    <w:uiPriority w:val="9"/>
    <w:locked/>
    <w:rsid w:val="001D64D0"/>
    <w:rPr>
      <w:rFonts w:ascii="Arial Narrow" w:hAnsi="Arial Narrow" w:cs="Arial Narrow"/>
      <w:i/>
      <w:iCs/>
      <w:lang w:eastAsia="sk-SK"/>
    </w:rPr>
  </w:style>
  <w:style w:type="character" w:customStyle="1" w:styleId="Nadpis9Char">
    <w:name w:val="Nadpis 9 Char"/>
    <w:basedOn w:val="Predvolenpsmoodseku"/>
    <w:link w:val="Nadpis9"/>
    <w:uiPriority w:val="9"/>
    <w:locked/>
    <w:rsid w:val="001D64D0"/>
    <w:rPr>
      <w:rFonts w:ascii="Arial" w:hAnsi="Arial" w:cs="Arial"/>
      <w:lang w:eastAsia="sk-SK"/>
    </w:rPr>
  </w:style>
  <w:style w:type="paragraph" w:styleId="Textbubliny">
    <w:name w:val="Balloon Text"/>
    <w:basedOn w:val="Normlny"/>
    <w:link w:val="TextbublinyChar"/>
    <w:uiPriority w:val="99"/>
    <w:semiHidden/>
    <w:rsid w:val="001D64D0"/>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D64D0"/>
    <w:rPr>
      <w:rFonts w:ascii="Tahoma" w:hAnsi="Tahoma" w:cs="Tahoma"/>
      <w:sz w:val="16"/>
      <w:szCs w:val="16"/>
      <w:lang w:eastAsia="sk-SK"/>
    </w:rPr>
  </w:style>
  <w:style w:type="paragraph" w:customStyle="1" w:styleId="CharCharCharCharCharCharCharCharCharCharChar">
    <w:name w:val="Char Char Char Char Char Char Char Char Char Char Char"/>
    <w:basedOn w:val="Normlny"/>
    <w:rsid w:val="001D64D0"/>
    <w:pPr>
      <w:spacing w:after="160" w:line="240" w:lineRule="exact"/>
      <w:jc w:val="left"/>
    </w:pPr>
    <w:rPr>
      <w:rFonts w:ascii="Tahoma" w:hAnsi="Tahoma" w:cs="Tahoma"/>
      <w:sz w:val="20"/>
      <w:szCs w:val="20"/>
      <w:lang w:val="en-US" w:eastAsia="en-US"/>
    </w:rPr>
  </w:style>
  <w:style w:type="paragraph" w:customStyle="1" w:styleId="tl1">
    <w:name w:val="Štýl1"/>
    <w:basedOn w:val="Nadpis3"/>
    <w:next w:val="Nadpis3"/>
    <w:rsid w:val="001D64D0"/>
  </w:style>
  <w:style w:type="paragraph" w:customStyle="1" w:styleId="Zkladntext">
    <w:name w:val="Základní text"/>
    <w:rsid w:val="001D64D0"/>
    <w:pPr>
      <w:spacing w:after="120"/>
    </w:pPr>
    <w:rPr>
      <w:color w:val="000000"/>
      <w:sz w:val="24"/>
      <w:szCs w:val="24"/>
    </w:rPr>
  </w:style>
  <w:style w:type="paragraph" w:styleId="Zarkazkladnhotextu">
    <w:name w:val="Body Text Indent"/>
    <w:basedOn w:val="Normlny"/>
    <w:link w:val="ZarkazkladnhotextuChar"/>
    <w:uiPriority w:val="99"/>
    <w:rsid w:val="001D64D0"/>
    <w:pPr>
      <w:ind w:left="283"/>
      <w:jc w:val="left"/>
    </w:pPr>
    <w:rPr>
      <w:sz w:val="24"/>
      <w:szCs w:val="24"/>
    </w:rPr>
  </w:style>
  <w:style w:type="character" w:customStyle="1" w:styleId="ZarkazkladnhotextuChar">
    <w:name w:val="Zarážka základného textu Char"/>
    <w:basedOn w:val="Predvolenpsmoodseku"/>
    <w:link w:val="Zarkazkladnhotextu"/>
    <w:uiPriority w:val="99"/>
    <w:locked/>
    <w:rsid w:val="001D64D0"/>
    <w:rPr>
      <w:rFonts w:ascii="Arial Narrow" w:hAnsi="Arial Narrow" w:cs="Arial Narrow"/>
      <w:sz w:val="24"/>
      <w:szCs w:val="24"/>
      <w:lang w:eastAsia="sk-SK"/>
    </w:rPr>
  </w:style>
  <w:style w:type="character" w:styleId="Odkaznapoznmkupodiarou">
    <w:name w:val="footnote reference"/>
    <w:basedOn w:val="Predvolenpsmoodseku"/>
    <w:uiPriority w:val="99"/>
    <w:semiHidden/>
    <w:rsid w:val="001D64D0"/>
    <w:rPr>
      <w:rFonts w:cs="Times New Roman"/>
      <w:vertAlign w:val="superscript"/>
    </w:rPr>
  </w:style>
  <w:style w:type="paragraph" w:customStyle="1" w:styleId="CharCharChar2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w:basedOn w:val="Normlny"/>
    <w:rsid w:val="001D64D0"/>
    <w:pPr>
      <w:spacing w:after="160" w:line="240" w:lineRule="exact"/>
      <w:jc w:val="left"/>
    </w:pPr>
    <w:rPr>
      <w:rFonts w:ascii="Tahoma" w:hAnsi="Tahoma" w:cs="Tahoma"/>
      <w:sz w:val="20"/>
      <w:szCs w:val="20"/>
      <w:lang w:val="en-US" w:eastAsia="en-US"/>
    </w:rPr>
  </w:style>
  <w:style w:type="paragraph" w:customStyle="1" w:styleId="xl25">
    <w:name w:val="xl25"/>
    <w:basedOn w:val="Normlny"/>
    <w:rsid w:val="001D64D0"/>
    <w:pPr>
      <w:spacing w:before="100" w:beforeAutospacing="1" w:after="100" w:afterAutospacing="1"/>
    </w:pPr>
    <w:rPr>
      <w:rFonts w:ascii="Arial" w:hAnsi="Arial" w:cs="Arial"/>
      <w:b/>
      <w:bCs/>
    </w:rPr>
  </w:style>
  <w:style w:type="paragraph" w:styleId="Zkladntext0">
    <w:name w:val="Body Text"/>
    <w:basedOn w:val="Normlny"/>
    <w:link w:val="ZkladntextChar"/>
    <w:uiPriority w:val="99"/>
    <w:rsid w:val="001D64D0"/>
  </w:style>
  <w:style w:type="character" w:customStyle="1" w:styleId="ZkladntextChar">
    <w:name w:val="Základný text Char"/>
    <w:basedOn w:val="Predvolenpsmoodseku"/>
    <w:link w:val="Zkladntext0"/>
    <w:uiPriority w:val="99"/>
    <w:locked/>
    <w:rsid w:val="001D64D0"/>
    <w:rPr>
      <w:rFonts w:ascii="Arial Narrow" w:hAnsi="Arial Narrow" w:cs="Arial Narrow"/>
      <w:lang w:eastAsia="sk-SK"/>
    </w:rPr>
  </w:style>
  <w:style w:type="paragraph" w:styleId="Textpoznmkypodiarou">
    <w:name w:val="footnote text"/>
    <w:aliases w:val="Text poznámky pod čiarou 007,Schriftart: 9 pt,Schriftart: 10 pt,Schriftart: 8 pt,_Poznámka pod čiarou,Footnote Text Char2,Footnote Text Char1 Char,Footnote Text Char2 Char Char,Footnote Text Char1 Char Char Char Char Char Char"/>
    <w:basedOn w:val="Normlny"/>
    <w:link w:val="TextpoznmkypodiarouChar"/>
    <w:uiPriority w:val="99"/>
    <w:rsid w:val="001D64D0"/>
    <w:rPr>
      <w:sz w:val="20"/>
      <w:szCs w:val="20"/>
    </w:rPr>
  </w:style>
  <w:style w:type="character" w:customStyle="1" w:styleId="TextpoznmkypodiarouChar">
    <w:name w:val="Text poznámky pod čiarou Char"/>
    <w:aliases w:val="Text poznámky pod čiarou 007 Char,Schriftart: 9 pt Char,Schriftart: 10 pt Char,Schriftart: 8 pt Char,_Poznámka pod čiarou Char,Footnote Text Char2 Char,Footnote Text Char1 Char Char,Footnote Text Char2 Char Char Char"/>
    <w:basedOn w:val="Predvolenpsmoodseku"/>
    <w:link w:val="Textpoznmkypodiarou"/>
    <w:uiPriority w:val="99"/>
    <w:locked/>
    <w:rsid w:val="00162D59"/>
    <w:rPr>
      <w:rFonts w:cs="Times New Roman"/>
      <w:sz w:val="20"/>
      <w:szCs w:val="20"/>
    </w:rPr>
  </w:style>
  <w:style w:type="paragraph" w:styleId="Hlavika">
    <w:name w:val="header"/>
    <w:basedOn w:val="Normlny"/>
    <w:link w:val="HlavikaChar"/>
    <w:uiPriority w:val="99"/>
    <w:rsid w:val="001D64D0"/>
    <w:pPr>
      <w:tabs>
        <w:tab w:val="center" w:pos="4536"/>
        <w:tab w:val="right" w:pos="9072"/>
      </w:tabs>
    </w:pPr>
  </w:style>
  <w:style w:type="character" w:customStyle="1" w:styleId="HlavikaChar">
    <w:name w:val="Hlavička Char"/>
    <w:basedOn w:val="Predvolenpsmoodseku"/>
    <w:link w:val="Hlavika"/>
    <w:uiPriority w:val="99"/>
    <w:locked/>
    <w:rsid w:val="001D64D0"/>
    <w:rPr>
      <w:rFonts w:ascii="Arial Narrow" w:hAnsi="Arial Narrow" w:cs="Arial Narrow"/>
      <w:lang w:eastAsia="sk-SK"/>
    </w:rPr>
  </w:style>
  <w:style w:type="paragraph" w:customStyle="1" w:styleId="Znaka1">
    <w:name w:val="Značka 1"/>
    <w:rsid w:val="001D64D0"/>
    <w:pPr>
      <w:spacing w:after="120"/>
      <w:ind w:left="576"/>
    </w:pPr>
    <w:rPr>
      <w:color w:val="000000"/>
      <w:sz w:val="24"/>
      <w:szCs w:val="24"/>
    </w:rPr>
  </w:style>
  <w:style w:type="paragraph" w:customStyle="1" w:styleId="xl26">
    <w:name w:val="xl26"/>
    <w:basedOn w:val="Normlny"/>
    <w:rsid w:val="001D64D0"/>
    <w:pPr>
      <w:spacing w:before="100" w:beforeAutospacing="1" w:after="100" w:afterAutospacing="1"/>
    </w:pPr>
    <w:rPr>
      <w:rFonts w:ascii="Arial" w:hAnsi="Arial" w:cs="Arial"/>
      <w:b/>
      <w:bCs/>
    </w:rPr>
  </w:style>
  <w:style w:type="paragraph" w:customStyle="1" w:styleId="xl29">
    <w:name w:val="xl29"/>
    <w:basedOn w:val="Normlny"/>
    <w:rsid w:val="001D64D0"/>
    <w:pPr>
      <w:shd w:val="clear" w:color="auto" w:fill="C0C0C0"/>
      <w:spacing w:before="100" w:beforeAutospacing="1" w:after="100" w:afterAutospacing="1"/>
    </w:pPr>
    <w:rPr>
      <w:rFonts w:ascii="Arial" w:hAnsi="Arial" w:cs="Arial"/>
      <w:b/>
      <w:bCs/>
    </w:rPr>
  </w:style>
  <w:style w:type="paragraph" w:customStyle="1" w:styleId="xl30">
    <w:name w:val="xl30"/>
    <w:basedOn w:val="Normlny"/>
    <w:rsid w:val="001D64D0"/>
    <w:pPr>
      <w:shd w:val="clear" w:color="auto" w:fill="C0C0C0"/>
      <w:spacing w:before="100" w:beforeAutospacing="1" w:after="100" w:afterAutospacing="1"/>
    </w:pPr>
    <w:rPr>
      <w:rFonts w:ascii="Arial" w:hAnsi="Arial" w:cs="Arial"/>
      <w:b/>
      <w:bCs/>
    </w:rPr>
  </w:style>
  <w:style w:type="paragraph" w:customStyle="1" w:styleId="xl31">
    <w:name w:val="xl31"/>
    <w:basedOn w:val="Normlny"/>
    <w:rsid w:val="001D64D0"/>
    <w:pPr>
      <w:shd w:val="clear" w:color="auto" w:fill="C0C0C0"/>
      <w:spacing w:before="100" w:beforeAutospacing="1" w:after="100" w:afterAutospacing="1"/>
    </w:pPr>
  </w:style>
  <w:style w:type="paragraph" w:customStyle="1" w:styleId="xl32">
    <w:name w:val="xl32"/>
    <w:basedOn w:val="Normlny"/>
    <w:rsid w:val="001D64D0"/>
    <w:pPr>
      <w:spacing w:before="100" w:beforeAutospacing="1" w:after="100" w:afterAutospacing="1"/>
      <w:jc w:val="right"/>
    </w:pPr>
    <w:rPr>
      <w:rFonts w:ascii="Arial" w:hAnsi="Arial" w:cs="Arial"/>
      <w:b/>
      <w:bCs/>
    </w:rPr>
  </w:style>
  <w:style w:type="paragraph" w:customStyle="1" w:styleId="xl33">
    <w:name w:val="xl33"/>
    <w:basedOn w:val="Normlny"/>
    <w:rsid w:val="001D64D0"/>
    <w:pPr>
      <w:spacing w:before="100" w:beforeAutospacing="1" w:after="100" w:afterAutospacing="1"/>
    </w:pPr>
    <w:rPr>
      <w:rFonts w:ascii="Arial" w:hAnsi="Arial" w:cs="Arial"/>
      <w:color w:val="FF0000"/>
    </w:rPr>
  </w:style>
  <w:style w:type="paragraph" w:customStyle="1" w:styleId="xl34">
    <w:name w:val="xl34"/>
    <w:basedOn w:val="Normlny"/>
    <w:rsid w:val="001D64D0"/>
    <w:pPr>
      <w:shd w:val="clear" w:color="auto" w:fill="000000"/>
      <w:spacing w:before="100" w:beforeAutospacing="1" w:after="100" w:afterAutospacing="1"/>
    </w:pPr>
    <w:rPr>
      <w:rFonts w:ascii="Arial" w:hAnsi="Arial" w:cs="Arial"/>
      <w:b/>
      <w:bCs/>
      <w:color w:val="FFFFFF"/>
    </w:rPr>
  </w:style>
  <w:style w:type="paragraph" w:customStyle="1" w:styleId="xl35">
    <w:name w:val="xl35"/>
    <w:basedOn w:val="Normlny"/>
    <w:rsid w:val="001D64D0"/>
    <w:pPr>
      <w:shd w:val="clear" w:color="auto" w:fill="C0C0C0"/>
      <w:spacing w:before="100" w:beforeAutospacing="1" w:after="100" w:afterAutospacing="1"/>
      <w:jc w:val="center"/>
    </w:pPr>
    <w:rPr>
      <w:rFonts w:ascii="Arial" w:hAnsi="Arial" w:cs="Arial"/>
      <w:b/>
      <w:bCs/>
    </w:rPr>
  </w:style>
  <w:style w:type="paragraph" w:customStyle="1" w:styleId="xl28">
    <w:name w:val="xl28"/>
    <w:basedOn w:val="Normlny"/>
    <w:rsid w:val="001D64D0"/>
    <w:pPr>
      <w:shd w:val="clear" w:color="auto" w:fill="C0C0C0"/>
      <w:spacing w:before="100" w:beforeAutospacing="1" w:after="100" w:afterAutospacing="1"/>
    </w:pPr>
    <w:rPr>
      <w:rFonts w:ascii="Arial" w:hAnsi="Arial" w:cs="Arial"/>
      <w:b/>
      <w:bCs/>
    </w:rPr>
  </w:style>
  <w:style w:type="paragraph" w:customStyle="1" w:styleId="xl24">
    <w:name w:val="xl24"/>
    <w:basedOn w:val="Normlny"/>
    <w:rsid w:val="001D64D0"/>
    <w:pPr>
      <w:shd w:val="clear" w:color="auto" w:fill="C0C0C0"/>
      <w:spacing w:before="100" w:beforeAutospacing="1" w:after="100" w:afterAutospacing="1"/>
    </w:pPr>
    <w:rPr>
      <w:rFonts w:ascii="Arial" w:hAnsi="Arial" w:cs="Arial"/>
      <w:sz w:val="16"/>
      <w:szCs w:val="16"/>
    </w:rPr>
  </w:style>
  <w:style w:type="paragraph" w:customStyle="1" w:styleId="xl27">
    <w:name w:val="xl27"/>
    <w:basedOn w:val="Normlny"/>
    <w:rsid w:val="001D64D0"/>
    <w:pPr>
      <w:shd w:val="clear" w:color="auto" w:fill="000000"/>
      <w:spacing w:before="100" w:beforeAutospacing="1" w:after="100" w:afterAutospacing="1"/>
      <w:textAlignment w:val="top"/>
    </w:pPr>
    <w:rPr>
      <w:rFonts w:ascii="Garamond" w:hAnsi="Garamond" w:cs="Garamond"/>
      <w:b/>
      <w:bCs/>
    </w:rPr>
  </w:style>
  <w:style w:type="paragraph" w:customStyle="1" w:styleId="xl36">
    <w:name w:val="xl36"/>
    <w:basedOn w:val="Normlny"/>
    <w:rsid w:val="001D64D0"/>
    <w:pPr>
      <w:spacing w:before="100" w:beforeAutospacing="1" w:after="100" w:afterAutospacing="1"/>
      <w:textAlignment w:val="top"/>
    </w:pPr>
    <w:rPr>
      <w:rFonts w:ascii="Garamond" w:hAnsi="Garamond" w:cs="Garamond"/>
      <w:color w:val="000000"/>
    </w:rPr>
  </w:style>
  <w:style w:type="paragraph" w:customStyle="1" w:styleId="xl37">
    <w:name w:val="xl37"/>
    <w:basedOn w:val="Normlny"/>
    <w:rsid w:val="001D64D0"/>
    <w:pPr>
      <w:spacing w:before="100" w:beforeAutospacing="1" w:after="100" w:afterAutospacing="1"/>
      <w:jc w:val="center"/>
      <w:textAlignment w:val="top"/>
    </w:pPr>
    <w:rPr>
      <w:rFonts w:ascii="Garamond" w:hAnsi="Garamond" w:cs="Garamond"/>
    </w:rPr>
  </w:style>
  <w:style w:type="paragraph" w:customStyle="1" w:styleId="xl38">
    <w:name w:val="xl38"/>
    <w:basedOn w:val="Normlny"/>
    <w:rsid w:val="001D64D0"/>
    <w:pPr>
      <w:spacing w:before="100" w:beforeAutospacing="1" w:after="100" w:afterAutospacing="1"/>
      <w:jc w:val="center"/>
    </w:pPr>
    <w:rPr>
      <w:rFonts w:ascii="Garamond" w:hAnsi="Garamond" w:cs="Garamond"/>
    </w:rPr>
  </w:style>
  <w:style w:type="paragraph" w:customStyle="1" w:styleId="xl39">
    <w:name w:val="xl39"/>
    <w:basedOn w:val="Normlny"/>
    <w:rsid w:val="001D64D0"/>
    <w:pPr>
      <w:spacing w:before="100" w:beforeAutospacing="1" w:after="100" w:afterAutospacing="1"/>
      <w:jc w:val="center"/>
      <w:textAlignment w:val="top"/>
    </w:pPr>
    <w:rPr>
      <w:rFonts w:ascii="Garamond" w:hAnsi="Garamond" w:cs="Garamond"/>
      <w:b/>
      <w:bCs/>
    </w:rPr>
  </w:style>
  <w:style w:type="paragraph" w:customStyle="1" w:styleId="xl40">
    <w:name w:val="xl40"/>
    <w:basedOn w:val="Normlny"/>
    <w:rsid w:val="001D64D0"/>
    <w:pPr>
      <w:spacing w:before="100" w:beforeAutospacing="1" w:after="100" w:afterAutospacing="1"/>
    </w:pPr>
    <w:rPr>
      <w:rFonts w:ascii="Garamond" w:hAnsi="Garamond" w:cs="Garamond"/>
      <w:b/>
      <w:bCs/>
    </w:rPr>
  </w:style>
  <w:style w:type="paragraph" w:customStyle="1" w:styleId="xl41">
    <w:name w:val="xl41"/>
    <w:basedOn w:val="Normlny"/>
    <w:rsid w:val="001D64D0"/>
    <w:pPr>
      <w:spacing w:before="100" w:beforeAutospacing="1" w:after="100" w:afterAutospacing="1"/>
      <w:jc w:val="right"/>
      <w:textAlignment w:val="top"/>
    </w:pPr>
    <w:rPr>
      <w:rFonts w:ascii="Garamond" w:hAnsi="Garamond" w:cs="Garamond"/>
      <w:i/>
      <w:iCs/>
      <w:sz w:val="16"/>
      <w:szCs w:val="16"/>
    </w:rPr>
  </w:style>
  <w:style w:type="paragraph" w:customStyle="1" w:styleId="xl42">
    <w:name w:val="xl42"/>
    <w:basedOn w:val="Normlny"/>
    <w:rsid w:val="001D64D0"/>
    <w:pPr>
      <w:pBdr>
        <w:bottom w:val="single" w:sz="4" w:space="0" w:color="auto"/>
      </w:pBdr>
      <w:shd w:val="clear" w:color="auto" w:fill="C0C0C0"/>
      <w:spacing w:before="100" w:beforeAutospacing="1" w:after="100" w:afterAutospacing="1"/>
      <w:jc w:val="center"/>
      <w:textAlignment w:val="top"/>
    </w:pPr>
    <w:rPr>
      <w:rFonts w:ascii="Garamond" w:hAnsi="Garamond" w:cs="Garamond"/>
      <w:b/>
      <w:bCs/>
    </w:rPr>
  </w:style>
  <w:style w:type="paragraph" w:customStyle="1" w:styleId="xl43">
    <w:name w:val="xl43"/>
    <w:basedOn w:val="Normlny"/>
    <w:rsid w:val="001D64D0"/>
    <w:pPr>
      <w:pBdr>
        <w:bottom w:val="single" w:sz="4" w:space="0" w:color="auto"/>
      </w:pBdr>
      <w:shd w:val="clear" w:color="auto" w:fill="C0C0C0"/>
      <w:spacing w:before="100" w:beforeAutospacing="1" w:after="100" w:afterAutospacing="1"/>
      <w:jc w:val="center"/>
      <w:textAlignment w:val="top"/>
    </w:pPr>
    <w:rPr>
      <w:rFonts w:ascii="Garamond" w:hAnsi="Garamond" w:cs="Garamond"/>
      <w:b/>
      <w:bCs/>
    </w:rPr>
  </w:style>
  <w:style w:type="paragraph" w:customStyle="1" w:styleId="xl44">
    <w:name w:val="xl44"/>
    <w:basedOn w:val="Normlny"/>
    <w:rsid w:val="001D64D0"/>
    <w:pPr>
      <w:pBdr>
        <w:bottom w:val="single" w:sz="4" w:space="0" w:color="auto"/>
      </w:pBdr>
      <w:shd w:val="clear" w:color="auto" w:fill="C0C0C0"/>
      <w:spacing w:before="100" w:beforeAutospacing="1" w:after="100" w:afterAutospacing="1"/>
      <w:textAlignment w:val="top"/>
    </w:pPr>
    <w:rPr>
      <w:rFonts w:ascii="Garamond" w:hAnsi="Garamond" w:cs="Garamond"/>
      <w:b/>
      <w:bCs/>
    </w:rPr>
  </w:style>
  <w:style w:type="paragraph" w:customStyle="1" w:styleId="xl45">
    <w:name w:val="xl45"/>
    <w:basedOn w:val="Normlny"/>
    <w:rsid w:val="001D64D0"/>
    <w:pPr>
      <w:pBdr>
        <w:top w:val="single" w:sz="4" w:space="0" w:color="auto"/>
        <w:bottom w:val="single" w:sz="4" w:space="0" w:color="auto"/>
      </w:pBdr>
      <w:shd w:val="clear" w:color="auto" w:fill="C0C0C0"/>
      <w:spacing w:before="100" w:beforeAutospacing="1" w:after="100" w:afterAutospacing="1"/>
      <w:jc w:val="center"/>
      <w:textAlignment w:val="top"/>
    </w:pPr>
    <w:rPr>
      <w:rFonts w:ascii="Garamond" w:hAnsi="Garamond" w:cs="Garamond"/>
      <w:b/>
      <w:bCs/>
    </w:rPr>
  </w:style>
  <w:style w:type="paragraph" w:customStyle="1" w:styleId="xl46">
    <w:name w:val="xl46"/>
    <w:basedOn w:val="Normlny"/>
    <w:rsid w:val="001D64D0"/>
    <w:pPr>
      <w:pBdr>
        <w:top w:val="single" w:sz="4" w:space="0" w:color="auto"/>
        <w:bottom w:val="single" w:sz="4" w:space="0" w:color="auto"/>
      </w:pBdr>
      <w:shd w:val="clear" w:color="auto" w:fill="C0C0C0"/>
      <w:spacing w:before="100" w:beforeAutospacing="1" w:after="100" w:afterAutospacing="1"/>
      <w:textAlignment w:val="center"/>
    </w:pPr>
    <w:rPr>
      <w:rFonts w:ascii="Garamond" w:hAnsi="Garamond" w:cs="Garamond"/>
      <w:b/>
      <w:bCs/>
    </w:rPr>
  </w:style>
  <w:style w:type="paragraph" w:customStyle="1" w:styleId="xl47">
    <w:name w:val="xl47"/>
    <w:basedOn w:val="Normlny"/>
    <w:rsid w:val="001D64D0"/>
    <w:pPr>
      <w:pBdr>
        <w:top w:val="single" w:sz="4" w:space="0" w:color="auto"/>
        <w:bottom w:val="single" w:sz="4" w:space="0" w:color="auto"/>
      </w:pBdr>
      <w:shd w:val="clear" w:color="auto" w:fill="C0C0C0"/>
      <w:spacing w:before="100" w:beforeAutospacing="1" w:after="100" w:afterAutospacing="1"/>
      <w:textAlignment w:val="top"/>
    </w:pPr>
    <w:rPr>
      <w:rFonts w:ascii="Garamond" w:hAnsi="Garamond" w:cs="Garamond"/>
    </w:rPr>
  </w:style>
  <w:style w:type="paragraph" w:customStyle="1" w:styleId="xl48">
    <w:name w:val="xl48"/>
    <w:basedOn w:val="Normlny"/>
    <w:rsid w:val="001D64D0"/>
    <w:pPr>
      <w:pBdr>
        <w:top w:val="single" w:sz="4" w:space="0" w:color="auto"/>
        <w:bottom w:val="single" w:sz="4" w:space="0" w:color="auto"/>
      </w:pBdr>
      <w:shd w:val="clear" w:color="auto" w:fill="C0C0C0"/>
      <w:spacing w:before="100" w:beforeAutospacing="1" w:after="100" w:afterAutospacing="1"/>
      <w:textAlignment w:val="top"/>
    </w:pPr>
    <w:rPr>
      <w:rFonts w:ascii="Garamond" w:hAnsi="Garamond" w:cs="Garamond"/>
      <w:b/>
      <w:bCs/>
    </w:rPr>
  </w:style>
  <w:style w:type="paragraph" w:customStyle="1" w:styleId="xl49">
    <w:name w:val="xl49"/>
    <w:basedOn w:val="Normlny"/>
    <w:rsid w:val="001D64D0"/>
    <w:pPr>
      <w:pBdr>
        <w:top w:val="single" w:sz="4" w:space="0" w:color="auto"/>
        <w:bottom w:val="single" w:sz="4" w:space="0" w:color="auto"/>
      </w:pBdr>
      <w:shd w:val="clear" w:color="auto" w:fill="C0C0C0"/>
      <w:spacing w:before="100" w:beforeAutospacing="1" w:after="100" w:afterAutospacing="1"/>
      <w:jc w:val="center"/>
      <w:textAlignment w:val="center"/>
    </w:pPr>
    <w:rPr>
      <w:rFonts w:ascii="Garamond" w:hAnsi="Garamond" w:cs="Garamond"/>
      <w:b/>
      <w:bCs/>
    </w:rPr>
  </w:style>
  <w:style w:type="paragraph" w:customStyle="1" w:styleId="xl50">
    <w:name w:val="xl50"/>
    <w:basedOn w:val="Normlny"/>
    <w:rsid w:val="001D64D0"/>
    <w:pPr>
      <w:pBdr>
        <w:top w:val="single" w:sz="4" w:space="0" w:color="auto"/>
        <w:bottom w:val="single" w:sz="4" w:space="0" w:color="auto"/>
      </w:pBdr>
      <w:shd w:val="clear" w:color="auto" w:fill="C0C0C0"/>
      <w:spacing w:before="100" w:beforeAutospacing="1" w:after="100" w:afterAutospacing="1"/>
      <w:jc w:val="center"/>
      <w:textAlignment w:val="top"/>
    </w:pPr>
    <w:rPr>
      <w:rFonts w:ascii="Garamond" w:hAnsi="Garamond" w:cs="Garamond"/>
      <w:b/>
      <w:bCs/>
    </w:rPr>
  </w:style>
  <w:style w:type="paragraph" w:customStyle="1" w:styleId="xl51">
    <w:name w:val="xl51"/>
    <w:basedOn w:val="Normlny"/>
    <w:rsid w:val="001D64D0"/>
    <w:pPr>
      <w:pBdr>
        <w:bottom w:val="single" w:sz="4" w:space="0" w:color="auto"/>
      </w:pBdr>
      <w:spacing w:before="100" w:beforeAutospacing="1" w:after="100" w:afterAutospacing="1"/>
      <w:jc w:val="center"/>
      <w:textAlignment w:val="top"/>
    </w:pPr>
    <w:rPr>
      <w:rFonts w:ascii="Garamond" w:hAnsi="Garamond" w:cs="Garamond"/>
    </w:rPr>
  </w:style>
  <w:style w:type="paragraph" w:customStyle="1" w:styleId="xl52">
    <w:name w:val="xl52"/>
    <w:basedOn w:val="Normlny"/>
    <w:rsid w:val="001D64D0"/>
    <w:pPr>
      <w:pBdr>
        <w:bottom w:val="single" w:sz="4" w:space="0" w:color="auto"/>
      </w:pBdr>
      <w:spacing w:before="100" w:beforeAutospacing="1" w:after="100" w:afterAutospacing="1"/>
      <w:textAlignment w:val="top"/>
    </w:pPr>
    <w:rPr>
      <w:rFonts w:ascii="Garamond" w:hAnsi="Garamond" w:cs="Garamond"/>
      <w:color w:val="000000"/>
    </w:rPr>
  </w:style>
  <w:style w:type="paragraph" w:customStyle="1" w:styleId="xl53">
    <w:name w:val="xl53"/>
    <w:basedOn w:val="Normlny"/>
    <w:rsid w:val="001D64D0"/>
    <w:pPr>
      <w:pBdr>
        <w:bottom w:val="single" w:sz="4" w:space="0" w:color="auto"/>
      </w:pBdr>
      <w:spacing w:before="100" w:beforeAutospacing="1" w:after="100" w:afterAutospacing="1"/>
    </w:pPr>
    <w:rPr>
      <w:rFonts w:ascii="Garamond" w:hAnsi="Garamond" w:cs="Garamond"/>
    </w:rPr>
  </w:style>
  <w:style w:type="paragraph" w:customStyle="1" w:styleId="xl54">
    <w:name w:val="xl54"/>
    <w:basedOn w:val="Normlny"/>
    <w:rsid w:val="001D64D0"/>
    <w:pPr>
      <w:pBdr>
        <w:bottom w:val="single" w:sz="4" w:space="0" w:color="auto"/>
      </w:pBdr>
      <w:spacing w:before="100" w:beforeAutospacing="1" w:after="100" w:afterAutospacing="1"/>
    </w:pPr>
    <w:rPr>
      <w:rFonts w:ascii="Garamond" w:hAnsi="Garamond" w:cs="Garamond"/>
      <w:b/>
      <w:bCs/>
    </w:rPr>
  </w:style>
  <w:style w:type="paragraph" w:customStyle="1" w:styleId="xl55">
    <w:name w:val="xl55"/>
    <w:basedOn w:val="Normlny"/>
    <w:rsid w:val="001D64D0"/>
    <w:pPr>
      <w:pBdr>
        <w:bottom w:val="single" w:sz="4" w:space="0" w:color="auto"/>
      </w:pBdr>
      <w:spacing w:before="100" w:beforeAutospacing="1" w:after="100" w:afterAutospacing="1"/>
      <w:jc w:val="center"/>
    </w:pPr>
    <w:rPr>
      <w:rFonts w:ascii="Garamond" w:hAnsi="Garamond" w:cs="Garamond"/>
    </w:rPr>
  </w:style>
  <w:style w:type="paragraph" w:customStyle="1" w:styleId="xl56">
    <w:name w:val="xl56"/>
    <w:basedOn w:val="Normlny"/>
    <w:rsid w:val="001D64D0"/>
    <w:pPr>
      <w:pBdr>
        <w:bottom w:val="single" w:sz="4" w:space="0" w:color="auto"/>
      </w:pBdr>
      <w:spacing w:before="100" w:beforeAutospacing="1" w:after="100" w:afterAutospacing="1"/>
      <w:ind w:firstLineChars="100" w:firstLine="100"/>
      <w:textAlignment w:val="top"/>
    </w:pPr>
    <w:rPr>
      <w:rFonts w:ascii="Garamond" w:hAnsi="Garamond" w:cs="Garamond"/>
    </w:rPr>
  </w:style>
  <w:style w:type="paragraph" w:customStyle="1" w:styleId="xl57">
    <w:name w:val="xl57"/>
    <w:basedOn w:val="Normlny"/>
    <w:rsid w:val="001D64D0"/>
    <w:pPr>
      <w:pBdr>
        <w:bottom w:val="single" w:sz="4" w:space="0" w:color="auto"/>
      </w:pBdr>
      <w:spacing w:before="100" w:beforeAutospacing="1" w:after="100" w:afterAutospacing="1"/>
      <w:textAlignment w:val="top"/>
    </w:pPr>
    <w:rPr>
      <w:rFonts w:ascii="Garamond" w:hAnsi="Garamond" w:cs="Garamond"/>
    </w:rPr>
  </w:style>
  <w:style w:type="paragraph" w:customStyle="1" w:styleId="xl58">
    <w:name w:val="xl58"/>
    <w:basedOn w:val="Normlny"/>
    <w:rsid w:val="001D64D0"/>
    <w:pPr>
      <w:pBdr>
        <w:bottom w:val="single" w:sz="4" w:space="0" w:color="auto"/>
      </w:pBdr>
      <w:spacing w:before="100" w:beforeAutospacing="1" w:after="100" w:afterAutospacing="1"/>
      <w:jc w:val="center"/>
      <w:textAlignment w:val="top"/>
    </w:pPr>
    <w:rPr>
      <w:rFonts w:ascii="Garamond" w:hAnsi="Garamond" w:cs="Garamond"/>
    </w:rPr>
  </w:style>
  <w:style w:type="paragraph" w:customStyle="1" w:styleId="xl59">
    <w:name w:val="xl59"/>
    <w:basedOn w:val="Normlny"/>
    <w:rsid w:val="001D64D0"/>
    <w:pPr>
      <w:pBdr>
        <w:bottom w:val="single" w:sz="4" w:space="0" w:color="auto"/>
      </w:pBdr>
      <w:spacing w:before="100" w:beforeAutospacing="1" w:after="100" w:afterAutospacing="1"/>
      <w:textAlignment w:val="top"/>
    </w:pPr>
    <w:rPr>
      <w:rFonts w:ascii="Garamond" w:hAnsi="Garamond" w:cs="Garamond"/>
      <w:b/>
      <w:bCs/>
    </w:rPr>
  </w:style>
  <w:style w:type="paragraph" w:customStyle="1" w:styleId="xl60">
    <w:name w:val="xl60"/>
    <w:basedOn w:val="Normlny"/>
    <w:rsid w:val="001D64D0"/>
    <w:pPr>
      <w:spacing w:before="100" w:beforeAutospacing="1" w:after="100" w:afterAutospacing="1"/>
      <w:jc w:val="center"/>
      <w:textAlignment w:val="top"/>
    </w:pPr>
    <w:rPr>
      <w:rFonts w:ascii="Garamond" w:hAnsi="Garamond" w:cs="Garamond"/>
      <w:i/>
      <w:iCs/>
    </w:rPr>
  </w:style>
  <w:style w:type="paragraph" w:customStyle="1" w:styleId="xl61">
    <w:name w:val="xl61"/>
    <w:basedOn w:val="Normlny"/>
    <w:rsid w:val="001D64D0"/>
    <w:pPr>
      <w:spacing w:before="100" w:beforeAutospacing="1" w:after="100" w:afterAutospacing="1"/>
      <w:ind w:firstLineChars="100" w:firstLine="100"/>
    </w:pPr>
    <w:rPr>
      <w:rFonts w:ascii="Garamond" w:hAnsi="Garamond" w:cs="Garamond"/>
      <w:i/>
      <w:iCs/>
    </w:rPr>
  </w:style>
  <w:style w:type="paragraph" w:customStyle="1" w:styleId="xl62">
    <w:name w:val="xl62"/>
    <w:basedOn w:val="Normlny"/>
    <w:rsid w:val="001D64D0"/>
    <w:pPr>
      <w:spacing w:before="100" w:beforeAutospacing="1" w:after="100" w:afterAutospacing="1"/>
      <w:ind w:firstLineChars="100" w:firstLine="100"/>
      <w:textAlignment w:val="top"/>
    </w:pPr>
    <w:rPr>
      <w:rFonts w:ascii="Garamond" w:hAnsi="Garamond" w:cs="Garamond"/>
      <w:i/>
      <w:iCs/>
      <w:color w:val="000000"/>
    </w:rPr>
  </w:style>
  <w:style w:type="paragraph" w:customStyle="1" w:styleId="xl63">
    <w:name w:val="xl63"/>
    <w:basedOn w:val="Normlny"/>
    <w:rsid w:val="001D64D0"/>
    <w:pPr>
      <w:spacing w:before="100" w:beforeAutospacing="1" w:after="100" w:afterAutospacing="1"/>
      <w:ind w:firstLineChars="100" w:firstLine="100"/>
      <w:textAlignment w:val="top"/>
    </w:pPr>
    <w:rPr>
      <w:rFonts w:ascii="Garamond" w:hAnsi="Garamond" w:cs="Garamond"/>
      <w:color w:val="000000"/>
    </w:rPr>
  </w:style>
  <w:style w:type="paragraph" w:customStyle="1" w:styleId="xl64">
    <w:name w:val="xl64"/>
    <w:basedOn w:val="Normlny"/>
    <w:rsid w:val="001D64D0"/>
    <w:pPr>
      <w:spacing w:before="100" w:beforeAutospacing="1" w:after="100" w:afterAutospacing="1"/>
    </w:pPr>
    <w:rPr>
      <w:rFonts w:ascii="Garamond" w:hAnsi="Garamond" w:cs="Garamond"/>
      <w:b/>
      <w:bCs/>
    </w:rPr>
  </w:style>
  <w:style w:type="paragraph" w:customStyle="1" w:styleId="xl65">
    <w:name w:val="xl65"/>
    <w:basedOn w:val="Normlny"/>
    <w:rsid w:val="001D64D0"/>
    <w:pPr>
      <w:spacing w:before="100" w:beforeAutospacing="1" w:after="100" w:afterAutospacing="1"/>
      <w:ind w:firstLineChars="100" w:firstLine="100"/>
    </w:pPr>
    <w:rPr>
      <w:rFonts w:ascii="Garamond" w:hAnsi="Garamond" w:cs="Garamond"/>
    </w:rPr>
  </w:style>
  <w:style w:type="paragraph" w:customStyle="1" w:styleId="xl66">
    <w:name w:val="xl66"/>
    <w:basedOn w:val="Normlny"/>
    <w:rsid w:val="001D64D0"/>
    <w:pPr>
      <w:spacing w:before="100" w:beforeAutospacing="1" w:after="100" w:afterAutospacing="1"/>
    </w:pPr>
    <w:rPr>
      <w:rFonts w:ascii="Garamond" w:hAnsi="Garamond" w:cs="Garamond"/>
      <w:b/>
      <w:bCs/>
    </w:rPr>
  </w:style>
  <w:style w:type="paragraph" w:customStyle="1" w:styleId="xl67">
    <w:name w:val="xl67"/>
    <w:basedOn w:val="Normlny"/>
    <w:rsid w:val="001D64D0"/>
    <w:pPr>
      <w:spacing w:before="100" w:beforeAutospacing="1" w:after="100" w:afterAutospacing="1"/>
      <w:ind w:firstLineChars="100" w:firstLine="100"/>
      <w:textAlignment w:val="top"/>
    </w:pPr>
    <w:rPr>
      <w:rFonts w:ascii="Garamond" w:hAnsi="Garamond" w:cs="Garamond"/>
      <w:i/>
      <w:iCs/>
    </w:rPr>
  </w:style>
  <w:style w:type="paragraph" w:customStyle="1" w:styleId="xl68">
    <w:name w:val="xl68"/>
    <w:basedOn w:val="Normlny"/>
    <w:rsid w:val="001D64D0"/>
    <w:pPr>
      <w:spacing w:before="100" w:beforeAutospacing="1" w:after="100" w:afterAutospacing="1"/>
      <w:textAlignment w:val="top"/>
    </w:pPr>
    <w:rPr>
      <w:rFonts w:ascii="Garamond" w:hAnsi="Garamond" w:cs="Garamond"/>
      <w:b/>
      <w:bCs/>
    </w:rPr>
  </w:style>
  <w:style w:type="paragraph" w:customStyle="1" w:styleId="xl69">
    <w:name w:val="xl69"/>
    <w:basedOn w:val="Normlny"/>
    <w:rsid w:val="001D64D0"/>
    <w:pPr>
      <w:pBdr>
        <w:bottom w:val="single" w:sz="4" w:space="0" w:color="auto"/>
      </w:pBdr>
      <w:shd w:val="clear" w:color="auto" w:fill="C0C0C0"/>
      <w:spacing w:before="100" w:beforeAutospacing="1" w:after="100" w:afterAutospacing="1"/>
      <w:jc w:val="center"/>
      <w:textAlignment w:val="top"/>
    </w:pPr>
    <w:rPr>
      <w:rFonts w:ascii="Garamond" w:hAnsi="Garamond" w:cs="Garamond"/>
      <w:b/>
      <w:bCs/>
    </w:rPr>
  </w:style>
  <w:style w:type="paragraph" w:customStyle="1" w:styleId="xl70">
    <w:name w:val="xl70"/>
    <w:basedOn w:val="Normlny"/>
    <w:rsid w:val="001D64D0"/>
    <w:pPr>
      <w:pBdr>
        <w:bottom w:val="single" w:sz="4" w:space="0" w:color="auto"/>
      </w:pBdr>
      <w:shd w:val="clear" w:color="auto" w:fill="C0C0C0"/>
      <w:spacing w:before="100" w:beforeAutospacing="1" w:after="100" w:afterAutospacing="1"/>
      <w:jc w:val="center"/>
      <w:textAlignment w:val="top"/>
    </w:pPr>
    <w:rPr>
      <w:rFonts w:ascii="Garamond" w:hAnsi="Garamond" w:cs="Garamond"/>
      <w:b/>
      <w:bCs/>
    </w:rPr>
  </w:style>
  <w:style w:type="paragraph" w:customStyle="1" w:styleId="xl71">
    <w:name w:val="xl71"/>
    <w:basedOn w:val="Normlny"/>
    <w:rsid w:val="001D64D0"/>
    <w:pPr>
      <w:pBdr>
        <w:bottom w:val="single" w:sz="4" w:space="0" w:color="auto"/>
      </w:pBdr>
      <w:shd w:val="clear" w:color="auto" w:fill="C0C0C0"/>
      <w:spacing w:before="100" w:beforeAutospacing="1" w:after="100" w:afterAutospacing="1"/>
      <w:textAlignment w:val="top"/>
    </w:pPr>
    <w:rPr>
      <w:rFonts w:ascii="Garamond" w:hAnsi="Garamond" w:cs="Garamond"/>
      <w:b/>
      <w:bCs/>
    </w:rPr>
  </w:style>
  <w:style w:type="paragraph" w:customStyle="1" w:styleId="xl72">
    <w:name w:val="xl72"/>
    <w:basedOn w:val="Normlny"/>
    <w:rsid w:val="001D64D0"/>
    <w:pPr>
      <w:spacing w:before="100" w:beforeAutospacing="1" w:after="100" w:afterAutospacing="1"/>
      <w:textAlignment w:val="top"/>
    </w:pPr>
    <w:rPr>
      <w:rFonts w:ascii="Garamond" w:hAnsi="Garamond" w:cs="Garamond"/>
    </w:rPr>
  </w:style>
  <w:style w:type="paragraph" w:customStyle="1" w:styleId="xl73">
    <w:name w:val="xl73"/>
    <w:basedOn w:val="Normlny"/>
    <w:rsid w:val="001D64D0"/>
    <w:pPr>
      <w:shd w:val="clear" w:color="auto" w:fill="000000"/>
      <w:spacing w:before="100" w:beforeAutospacing="1" w:after="100" w:afterAutospacing="1"/>
      <w:textAlignment w:val="top"/>
    </w:pPr>
    <w:rPr>
      <w:rFonts w:ascii="Garamond" w:hAnsi="Garamond" w:cs="Garamond"/>
      <w:b/>
      <w:bCs/>
      <w:color w:val="FFFFFF"/>
    </w:rPr>
  </w:style>
  <w:style w:type="paragraph" w:customStyle="1" w:styleId="xl74">
    <w:name w:val="xl74"/>
    <w:basedOn w:val="Normlny"/>
    <w:rsid w:val="001D64D0"/>
    <w:pPr>
      <w:spacing w:before="100" w:beforeAutospacing="1" w:after="100" w:afterAutospacing="1"/>
      <w:jc w:val="right"/>
      <w:textAlignment w:val="top"/>
    </w:pPr>
    <w:rPr>
      <w:rFonts w:ascii="Garamond" w:hAnsi="Garamond" w:cs="Garamond"/>
      <w:i/>
      <w:iCs/>
      <w:sz w:val="16"/>
      <w:szCs w:val="16"/>
    </w:rPr>
  </w:style>
  <w:style w:type="character" w:styleId="Hypertextovprepojenie">
    <w:name w:val="Hyperlink"/>
    <w:basedOn w:val="Predvolenpsmoodseku"/>
    <w:uiPriority w:val="99"/>
    <w:rsid w:val="001D64D0"/>
    <w:rPr>
      <w:rFonts w:cs="Times New Roman"/>
      <w:color w:val="0000FF"/>
      <w:u w:val="single"/>
    </w:rPr>
  </w:style>
  <w:style w:type="paragraph" w:styleId="Obsah1">
    <w:name w:val="toc 1"/>
    <w:basedOn w:val="Normlny"/>
    <w:next w:val="Normlny"/>
    <w:autoRedefine/>
    <w:uiPriority w:val="39"/>
    <w:rsid w:val="003B7F7A"/>
    <w:pPr>
      <w:spacing w:before="240"/>
      <w:jc w:val="left"/>
    </w:pPr>
    <w:rPr>
      <w:rFonts w:ascii="Calibri" w:hAnsi="Calibri"/>
      <w:b/>
      <w:bCs/>
      <w:sz w:val="20"/>
      <w:szCs w:val="20"/>
    </w:rPr>
  </w:style>
  <w:style w:type="paragraph" w:styleId="Obsah2">
    <w:name w:val="toc 2"/>
    <w:basedOn w:val="Normlny"/>
    <w:next w:val="Normlny"/>
    <w:autoRedefine/>
    <w:uiPriority w:val="39"/>
    <w:semiHidden/>
    <w:rsid w:val="001D64D0"/>
    <w:pPr>
      <w:spacing w:before="120" w:after="0"/>
      <w:ind w:left="220"/>
      <w:jc w:val="left"/>
    </w:pPr>
    <w:rPr>
      <w:rFonts w:ascii="Calibri" w:hAnsi="Calibri"/>
      <w:i/>
      <w:iCs/>
      <w:sz w:val="20"/>
      <w:szCs w:val="20"/>
    </w:rPr>
  </w:style>
  <w:style w:type="character" w:styleId="slostrany">
    <w:name w:val="page number"/>
    <w:basedOn w:val="Predvolenpsmoodseku"/>
    <w:uiPriority w:val="99"/>
    <w:rsid w:val="001D64D0"/>
    <w:rPr>
      <w:rFonts w:cs="Times New Roman"/>
    </w:rPr>
  </w:style>
  <w:style w:type="paragraph" w:styleId="Pta">
    <w:name w:val="footer"/>
    <w:basedOn w:val="Normlny"/>
    <w:link w:val="PtaChar"/>
    <w:uiPriority w:val="99"/>
    <w:rsid w:val="001D64D0"/>
    <w:pPr>
      <w:tabs>
        <w:tab w:val="center" w:pos="4536"/>
        <w:tab w:val="right" w:pos="9072"/>
      </w:tabs>
    </w:pPr>
  </w:style>
  <w:style w:type="character" w:customStyle="1" w:styleId="PtaChar">
    <w:name w:val="Päta Char"/>
    <w:basedOn w:val="Predvolenpsmoodseku"/>
    <w:link w:val="Pta"/>
    <w:uiPriority w:val="99"/>
    <w:locked/>
    <w:rsid w:val="001D64D0"/>
    <w:rPr>
      <w:rFonts w:ascii="Arial Narrow" w:hAnsi="Arial Narrow" w:cs="Arial Narrow"/>
      <w:lang w:eastAsia="sk-SK"/>
    </w:rPr>
  </w:style>
  <w:style w:type="paragraph" w:customStyle="1" w:styleId="tlNadpis1">
    <w:name w:val="Štýl Nadpis 1"/>
    <w:aliases w:val="NPXI + Arial Narrow Vľavo:  0 cm Prvý riadok:  0 c...,NPXI + Podľa okraja"/>
    <w:basedOn w:val="Nadpis1"/>
    <w:rsid w:val="001D64D0"/>
    <w:pPr>
      <w:spacing w:before="0"/>
      <w:ind w:left="0" w:firstLine="0"/>
    </w:pPr>
  </w:style>
  <w:style w:type="paragraph" w:customStyle="1" w:styleId="Nadpis2b">
    <w:name w:val="Nadpis 2b"/>
    <w:basedOn w:val="Normlny"/>
    <w:rsid w:val="001D64D0"/>
    <w:pPr>
      <w:tabs>
        <w:tab w:val="num" w:pos="720"/>
        <w:tab w:val="num" w:pos="1440"/>
        <w:tab w:val="num" w:pos="2160"/>
      </w:tabs>
      <w:ind w:left="720" w:hanging="720"/>
    </w:pPr>
  </w:style>
  <w:style w:type="paragraph" w:customStyle="1" w:styleId="tlZkladntextVavo">
    <w:name w:val="Štýl Základný text + Vľavo"/>
    <w:basedOn w:val="Normlny"/>
    <w:rsid w:val="001D64D0"/>
    <w:pPr>
      <w:tabs>
        <w:tab w:val="num" w:pos="432"/>
        <w:tab w:val="num" w:pos="720"/>
      </w:tabs>
      <w:ind w:left="432" w:hanging="432"/>
    </w:pPr>
  </w:style>
  <w:style w:type="paragraph" w:styleId="Normlnywebov">
    <w:name w:val="Normal (Web)"/>
    <w:basedOn w:val="Normlny"/>
    <w:uiPriority w:val="99"/>
    <w:rsid w:val="001D64D0"/>
    <w:pPr>
      <w:spacing w:before="100" w:beforeAutospacing="1" w:after="100" w:afterAutospacing="1"/>
    </w:pPr>
    <w:rPr>
      <w:rFonts w:ascii="Arial Unicode MS" w:hAnsi="Times New Roman" w:cs="Arial Unicode MS"/>
    </w:rPr>
  </w:style>
  <w:style w:type="character" w:customStyle="1" w:styleId="portlettext2">
    <w:name w:val="portlettext2"/>
    <w:basedOn w:val="Predvolenpsmoodseku"/>
    <w:rsid w:val="001D64D0"/>
    <w:rPr>
      <w:rFonts w:cs="Times New Roman"/>
    </w:rPr>
  </w:style>
  <w:style w:type="character" w:styleId="Siln">
    <w:name w:val="Strong"/>
    <w:basedOn w:val="Predvolenpsmoodseku"/>
    <w:uiPriority w:val="22"/>
    <w:qFormat/>
    <w:rsid w:val="001D64D0"/>
    <w:rPr>
      <w:rFonts w:cs="Times New Roman"/>
      <w:b/>
      <w:bCs/>
    </w:rPr>
  </w:style>
  <w:style w:type="character" w:styleId="PouitHypertextovPrepojenie">
    <w:name w:val="FollowedHyperlink"/>
    <w:basedOn w:val="Predvolenpsmoodseku"/>
    <w:uiPriority w:val="99"/>
    <w:rsid w:val="001D64D0"/>
    <w:rPr>
      <w:rFonts w:cs="Times New Roman"/>
      <w:color w:val="800080"/>
      <w:u w:val="single"/>
    </w:rPr>
  </w:style>
  <w:style w:type="paragraph" w:customStyle="1" w:styleId="CharChar1">
    <w:name w:val="Char Char1"/>
    <w:basedOn w:val="Normlny"/>
    <w:rsid w:val="001D64D0"/>
    <w:pPr>
      <w:spacing w:after="160" w:line="240" w:lineRule="exact"/>
    </w:pPr>
    <w:rPr>
      <w:rFonts w:ascii="Tahoma" w:hAnsi="Tahoma" w:cs="Tahoma"/>
      <w:sz w:val="20"/>
      <w:szCs w:val="20"/>
      <w:lang w:val="en-US" w:eastAsia="en-US"/>
    </w:rPr>
  </w:style>
  <w:style w:type="paragraph" w:customStyle="1" w:styleId="tlNadpis211ptPodiarknutie">
    <w:name w:val="Štýl Nadpis 2 + 11 pt Podčiarknutie"/>
    <w:basedOn w:val="Nadpis2"/>
    <w:rsid w:val="001D64D0"/>
    <w:pPr>
      <w:widowControl w:val="0"/>
      <w:tabs>
        <w:tab w:val="clear" w:pos="576"/>
        <w:tab w:val="clear" w:pos="1080"/>
        <w:tab w:val="num" w:pos="792"/>
      </w:tabs>
      <w:spacing w:before="480" w:after="240"/>
      <w:ind w:left="1440" w:hanging="432"/>
    </w:pPr>
    <w:rPr>
      <w:noProof/>
      <w:color w:val="auto"/>
      <w:sz w:val="22"/>
      <w:szCs w:val="22"/>
    </w:rPr>
  </w:style>
  <w:style w:type="paragraph" w:customStyle="1" w:styleId="3">
    <w:name w:val="3"/>
    <w:basedOn w:val="Nadpis3"/>
    <w:rsid w:val="001D64D0"/>
    <w:pPr>
      <w:ind w:left="2160"/>
    </w:pPr>
  </w:style>
  <w:style w:type="paragraph" w:customStyle="1" w:styleId="tl2">
    <w:name w:val="Štýl2"/>
    <w:basedOn w:val="Nadpis3"/>
    <w:next w:val="Normlny"/>
    <w:rsid w:val="001D64D0"/>
    <w:pPr>
      <w:tabs>
        <w:tab w:val="num" w:pos="1440"/>
      </w:tabs>
    </w:pPr>
  </w:style>
  <w:style w:type="paragraph" w:customStyle="1" w:styleId="tlTunPodaokraja">
    <w:name w:val="Štýl Tučné Podľa okraja"/>
    <w:basedOn w:val="Normlny"/>
    <w:rsid w:val="001D64D0"/>
    <w:rPr>
      <w:b/>
      <w:bCs/>
    </w:rPr>
  </w:style>
  <w:style w:type="character" w:customStyle="1" w:styleId="tlArialNarrow11pt">
    <w:name w:val="Štýl Arial Narrow 11 pt"/>
    <w:basedOn w:val="Predvolenpsmoodseku"/>
    <w:rsid w:val="001D64D0"/>
    <w:rPr>
      <w:rFonts w:ascii="Arial Narrow" w:hAnsi="Arial Narrow" w:cs="Arial Narrow"/>
      <w:sz w:val="28"/>
      <w:szCs w:val="28"/>
      <w:lang w:val="en-US" w:eastAsia="en-US"/>
    </w:rPr>
  </w:style>
  <w:style w:type="paragraph" w:styleId="Nzov">
    <w:name w:val="Title"/>
    <w:basedOn w:val="Normlny"/>
    <w:link w:val="NzovChar"/>
    <w:uiPriority w:val="10"/>
    <w:qFormat/>
    <w:rsid w:val="001D64D0"/>
    <w:pPr>
      <w:jc w:val="center"/>
    </w:pPr>
    <w:rPr>
      <w:b/>
      <w:bCs/>
      <w:sz w:val="28"/>
      <w:szCs w:val="28"/>
      <w:lang w:val="cs-CZ"/>
    </w:rPr>
  </w:style>
  <w:style w:type="character" w:customStyle="1" w:styleId="NzovChar">
    <w:name w:val="Názov Char"/>
    <w:basedOn w:val="Predvolenpsmoodseku"/>
    <w:link w:val="Nzov"/>
    <w:uiPriority w:val="10"/>
    <w:locked/>
    <w:rsid w:val="001D64D0"/>
    <w:rPr>
      <w:rFonts w:ascii="Arial Narrow" w:hAnsi="Arial Narrow" w:cs="Arial Narrow"/>
      <w:b/>
      <w:bCs/>
      <w:sz w:val="28"/>
      <w:szCs w:val="28"/>
      <w:lang w:val="cs-CZ" w:eastAsia="sk-SK"/>
    </w:rPr>
  </w:style>
  <w:style w:type="paragraph" w:customStyle="1" w:styleId="tlZkladntextArialNarrow11ptNiejeTunPodiarknu">
    <w:name w:val="Štýl Základný text + Arial Narrow 11 pt Nie je Tučné Podčiarknu..."/>
    <w:basedOn w:val="Zkladntext0"/>
    <w:link w:val="tlZkladntextArialNarrow11ptNiejeTunPodiarknuChar"/>
    <w:rsid w:val="001D64D0"/>
    <w:rPr>
      <w:b/>
      <w:bCs/>
    </w:rPr>
  </w:style>
  <w:style w:type="character" w:customStyle="1" w:styleId="tlZkladntextArialNarrow11ptNiejeTunPodiarknuChar">
    <w:name w:val="Štýl Základný text + Arial Narrow 11 pt Nie je Tučné Podčiarknu... Char"/>
    <w:basedOn w:val="Predvolenpsmoodseku"/>
    <w:link w:val="tlZkladntextArialNarrow11ptNiejeTunPodiarknu"/>
    <w:locked/>
    <w:rsid w:val="001D64D0"/>
    <w:rPr>
      <w:rFonts w:ascii="Arial Narrow" w:hAnsi="Arial Narrow" w:cs="Arial Narrow"/>
      <w:b/>
      <w:bCs/>
      <w:lang w:eastAsia="sk-SK"/>
    </w:rPr>
  </w:style>
  <w:style w:type="paragraph" w:customStyle="1" w:styleId="Zkladntextb">
    <w:name w:val="Základný text.b"/>
    <w:basedOn w:val="Normlny"/>
    <w:rsid w:val="001D64D0"/>
    <w:pPr>
      <w:autoSpaceDE w:val="0"/>
      <w:autoSpaceDN w:val="0"/>
      <w:spacing w:line="240" w:lineRule="atLeast"/>
      <w:ind w:left="709"/>
    </w:pPr>
    <w:rPr>
      <w:rFonts w:ascii="Arial" w:hAnsi="Arial" w:cs="Arial"/>
      <w:spacing w:val="-5"/>
      <w:sz w:val="20"/>
      <w:szCs w:val="20"/>
      <w:lang w:eastAsia="en-US"/>
    </w:rPr>
  </w:style>
  <w:style w:type="paragraph" w:customStyle="1" w:styleId="Normln">
    <w:name w:val="Norm‡ln’"/>
    <w:rsid w:val="001D64D0"/>
    <w:pPr>
      <w:widowControl w:val="0"/>
      <w:spacing w:after="120"/>
    </w:pPr>
    <w:rPr>
      <w:sz w:val="22"/>
      <w:szCs w:val="22"/>
      <w:lang w:val="cs-CZ" w:eastAsia="cs-CZ"/>
    </w:rPr>
  </w:style>
  <w:style w:type="paragraph" w:styleId="Textkomentra">
    <w:name w:val="annotation text"/>
    <w:aliases w:val="Char Char Char"/>
    <w:basedOn w:val="Normlny"/>
    <w:link w:val="TextkomentraChar"/>
    <w:uiPriority w:val="99"/>
    <w:rsid w:val="001D64D0"/>
    <w:pPr>
      <w:spacing w:after="160" w:line="240" w:lineRule="exact"/>
      <w:jc w:val="left"/>
    </w:pPr>
    <w:rPr>
      <w:rFonts w:ascii="Tahoma" w:hAnsi="Tahoma" w:cs="Tahoma"/>
      <w:sz w:val="20"/>
      <w:szCs w:val="20"/>
      <w:lang w:val="en-US" w:eastAsia="en-US"/>
    </w:rPr>
  </w:style>
  <w:style w:type="character" w:customStyle="1" w:styleId="TextkomentraChar">
    <w:name w:val="Text komentára Char"/>
    <w:aliases w:val="Char Char Char Char"/>
    <w:basedOn w:val="Predvolenpsmoodseku"/>
    <w:link w:val="Textkomentra"/>
    <w:uiPriority w:val="99"/>
    <w:locked/>
    <w:rsid w:val="001D64D0"/>
    <w:rPr>
      <w:rFonts w:ascii="Arial Narrow" w:hAnsi="Arial Narrow" w:cs="Arial Narrow"/>
      <w:sz w:val="20"/>
      <w:szCs w:val="20"/>
      <w:lang w:eastAsia="sk-SK"/>
    </w:rPr>
  </w:style>
  <w:style w:type="character" w:styleId="Zvraznenie">
    <w:name w:val="Emphasis"/>
    <w:basedOn w:val="Predvolenpsmoodseku"/>
    <w:uiPriority w:val="20"/>
    <w:qFormat/>
    <w:rsid w:val="001D64D0"/>
    <w:rPr>
      <w:rFonts w:ascii="Arial Narrow" w:hAnsi="Arial Narrow" w:cs="Arial Narrow"/>
      <w:i/>
      <w:iCs/>
      <w:sz w:val="28"/>
      <w:szCs w:val="28"/>
      <w:lang w:val="en-US" w:eastAsia="en-US"/>
    </w:rPr>
  </w:style>
  <w:style w:type="paragraph" w:styleId="Zkladntext3">
    <w:name w:val="Body Text 3"/>
    <w:basedOn w:val="Normlny"/>
    <w:link w:val="Zkladntext3Char"/>
    <w:uiPriority w:val="99"/>
    <w:rsid w:val="001D64D0"/>
    <w:pPr>
      <w:jc w:val="left"/>
    </w:pPr>
    <w:rPr>
      <w:noProof/>
      <w:sz w:val="16"/>
      <w:szCs w:val="16"/>
    </w:rPr>
  </w:style>
  <w:style w:type="character" w:customStyle="1" w:styleId="Zkladntext3Char">
    <w:name w:val="Základný text 3 Char"/>
    <w:basedOn w:val="Predvolenpsmoodseku"/>
    <w:link w:val="Zkladntext3"/>
    <w:uiPriority w:val="99"/>
    <w:locked/>
    <w:rsid w:val="001D64D0"/>
    <w:rPr>
      <w:rFonts w:ascii="Arial Narrow" w:hAnsi="Arial Narrow" w:cs="Arial Narrow"/>
      <w:noProof/>
      <w:sz w:val="16"/>
      <w:szCs w:val="16"/>
      <w:lang w:eastAsia="sk-SK"/>
    </w:rPr>
  </w:style>
  <w:style w:type="paragraph" w:customStyle="1" w:styleId="Zkladntext1">
    <w:name w:val="Základní text1"/>
    <w:basedOn w:val="Normlny"/>
    <w:rsid w:val="001D64D0"/>
    <w:pPr>
      <w:widowControl w:val="0"/>
      <w:spacing w:line="360" w:lineRule="auto"/>
      <w:jc w:val="left"/>
    </w:pPr>
    <w:rPr>
      <w:sz w:val="24"/>
      <w:szCs w:val="24"/>
    </w:rPr>
  </w:style>
  <w:style w:type="paragraph" w:styleId="Zarkazkladnhotextu2">
    <w:name w:val="Body Text Indent 2"/>
    <w:basedOn w:val="Normlny"/>
    <w:link w:val="Zarkazkladnhotextu2Char"/>
    <w:uiPriority w:val="99"/>
    <w:rsid w:val="001D64D0"/>
    <w:pPr>
      <w:spacing w:line="480" w:lineRule="auto"/>
      <w:ind w:left="283"/>
      <w:jc w:val="left"/>
    </w:pPr>
    <w:rPr>
      <w:noProof/>
      <w:sz w:val="24"/>
      <w:szCs w:val="24"/>
    </w:rPr>
  </w:style>
  <w:style w:type="character" w:customStyle="1" w:styleId="Zarkazkladnhotextu2Char">
    <w:name w:val="Zarážka základného textu 2 Char"/>
    <w:basedOn w:val="Predvolenpsmoodseku"/>
    <w:link w:val="Zarkazkladnhotextu2"/>
    <w:uiPriority w:val="99"/>
    <w:locked/>
    <w:rsid w:val="001D64D0"/>
    <w:rPr>
      <w:rFonts w:ascii="Arial Narrow" w:hAnsi="Arial Narrow" w:cs="Arial Narrow"/>
      <w:noProof/>
      <w:sz w:val="24"/>
      <w:szCs w:val="24"/>
      <w:lang w:eastAsia="sk-SK"/>
    </w:rPr>
  </w:style>
  <w:style w:type="paragraph" w:styleId="Zarkazkladnhotextu3">
    <w:name w:val="Body Text Indent 3"/>
    <w:basedOn w:val="Normlny"/>
    <w:link w:val="Zarkazkladnhotextu3Char"/>
    <w:uiPriority w:val="99"/>
    <w:rsid w:val="001D64D0"/>
    <w:pPr>
      <w:ind w:left="283"/>
      <w:jc w:val="left"/>
    </w:pPr>
    <w:rPr>
      <w:noProof/>
      <w:sz w:val="16"/>
      <w:szCs w:val="16"/>
    </w:rPr>
  </w:style>
  <w:style w:type="character" w:customStyle="1" w:styleId="Zarkazkladnhotextu3Char">
    <w:name w:val="Zarážka základného textu 3 Char"/>
    <w:basedOn w:val="Predvolenpsmoodseku"/>
    <w:link w:val="Zarkazkladnhotextu3"/>
    <w:uiPriority w:val="99"/>
    <w:locked/>
    <w:rsid w:val="001D64D0"/>
    <w:rPr>
      <w:rFonts w:ascii="Arial Narrow" w:hAnsi="Arial Narrow" w:cs="Arial Narrow"/>
      <w:noProof/>
      <w:sz w:val="16"/>
      <w:szCs w:val="16"/>
      <w:lang w:eastAsia="sk-SK"/>
    </w:rPr>
  </w:style>
  <w:style w:type="paragraph" w:customStyle="1" w:styleId="BodyText21">
    <w:name w:val="Body Text 21"/>
    <w:basedOn w:val="Normlny"/>
    <w:rsid w:val="001D64D0"/>
    <w:pPr>
      <w:overflowPunct w:val="0"/>
      <w:autoSpaceDE w:val="0"/>
      <w:autoSpaceDN w:val="0"/>
      <w:adjustRightInd w:val="0"/>
      <w:textAlignment w:val="baseline"/>
    </w:pPr>
    <w:rPr>
      <w:sz w:val="24"/>
      <w:szCs w:val="24"/>
    </w:rPr>
  </w:style>
  <w:style w:type="paragraph" w:customStyle="1" w:styleId="Zoznam1">
    <w:name w:val="Zoznam_1"/>
    <w:basedOn w:val="Normlny"/>
    <w:link w:val="Zoznam1Char"/>
    <w:autoRedefine/>
    <w:rsid w:val="001D64D0"/>
    <w:pPr>
      <w:widowControl w:val="0"/>
      <w:spacing w:before="120"/>
    </w:pPr>
  </w:style>
  <w:style w:type="character" w:customStyle="1" w:styleId="Zoznam1Char">
    <w:name w:val="Zoznam_1 Char"/>
    <w:basedOn w:val="Predvolenpsmoodseku"/>
    <w:link w:val="Zoznam1"/>
    <w:locked/>
    <w:rsid w:val="001D64D0"/>
    <w:rPr>
      <w:rFonts w:ascii="Arial Narrow" w:hAnsi="Arial Narrow" w:cs="Arial Narrow"/>
      <w:lang w:eastAsia="sk-SK"/>
    </w:rPr>
  </w:style>
  <w:style w:type="paragraph" w:customStyle="1" w:styleId="tlRiadkovanie15riadka">
    <w:name w:val="Štýl Riadkovanie:  15 riadka"/>
    <w:basedOn w:val="Normlny"/>
    <w:rsid w:val="001D64D0"/>
    <w:pPr>
      <w:spacing w:line="360" w:lineRule="auto"/>
    </w:pPr>
    <w:rPr>
      <w:rFonts w:ascii="Arial" w:hAnsi="Arial" w:cs="Arial"/>
    </w:rPr>
  </w:style>
  <w:style w:type="paragraph" w:customStyle="1" w:styleId="font5">
    <w:name w:val="font5"/>
    <w:basedOn w:val="Normlny"/>
    <w:rsid w:val="001D64D0"/>
    <w:pPr>
      <w:spacing w:before="100" w:beforeAutospacing="1" w:after="100" w:afterAutospacing="1"/>
      <w:jc w:val="left"/>
    </w:pPr>
    <w:rPr>
      <w:rFonts w:ascii="Arial" w:hAnsi="Arial" w:cs="Arial"/>
      <w:sz w:val="16"/>
      <w:szCs w:val="16"/>
    </w:rPr>
  </w:style>
  <w:style w:type="paragraph" w:customStyle="1" w:styleId="Normln1">
    <w:name w:val="Normální1"/>
    <w:basedOn w:val="Normlny"/>
    <w:next w:val="Normlny"/>
    <w:rsid w:val="001D64D0"/>
    <w:pPr>
      <w:autoSpaceDE w:val="0"/>
      <w:autoSpaceDN w:val="0"/>
      <w:adjustRightInd w:val="0"/>
      <w:jc w:val="left"/>
    </w:pPr>
    <w:rPr>
      <w:sz w:val="24"/>
      <w:szCs w:val="24"/>
      <w:lang w:val="cs-CZ" w:eastAsia="cs-CZ"/>
    </w:rPr>
  </w:style>
  <w:style w:type="character" w:customStyle="1" w:styleId="text1">
    <w:name w:val="text1"/>
    <w:basedOn w:val="Predvolenpsmoodseku"/>
    <w:rsid w:val="001D64D0"/>
    <w:rPr>
      <w:rFonts w:ascii="Arial Narrow" w:hAnsi="Arial Narrow" w:cs="Arial Narrow"/>
      <w:sz w:val="14"/>
      <w:szCs w:val="14"/>
      <w:lang w:val="en-US" w:eastAsia="en-US"/>
    </w:rPr>
  </w:style>
  <w:style w:type="paragraph" w:customStyle="1" w:styleId="CharCharChar1">
    <w:name w:val="Char Char Char1"/>
    <w:basedOn w:val="Normlny"/>
    <w:rsid w:val="001D64D0"/>
    <w:pPr>
      <w:spacing w:after="160" w:line="240" w:lineRule="exact"/>
      <w:jc w:val="left"/>
    </w:pPr>
    <w:rPr>
      <w:rFonts w:ascii="Tahoma" w:hAnsi="Tahoma" w:cs="Tahoma"/>
      <w:sz w:val="20"/>
      <w:szCs w:val="20"/>
      <w:lang w:val="en-US" w:eastAsia="en-US"/>
    </w:rPr>
  </w:style>
  <w:style w:type="paragraph" w:customStyle="1" w:styleId="CharCharChar2">
    <w:name w:val="Char Char Char2"/>
    <w:basedOn w:val="Normlny"/>
    <w:rsid w:val="001D64D0"/>
    <w:pPr>
      <w:spacing w:after="160" w:line="240" w:lineRule="exact"/>
      <w:jc w:val="left"/>
    </w:pPr>
    <w:rPr>
      <w:rFonts w:ascii="Tahoma" w:hAnsi="Tahoma" w:cs="Tahoma"/>
      <w:sz w:val="20"/>
      <w:szCs w:val="20"/>
      <w:lang w:val="en-US" w:eastAsia="en-US"/>
    </w:rPr>
  </w:style>
  <w:style w:type="paragraph" w:customStyle="1" w:styleId="Char1">
    <w:name w:val="Char1"/>
    <w:basedOn w:val="Normlny"/>
    <w:rsid w:val="001D64D0"/>
    <w:pPr>
      <w:spacing w:after="160" w:line="240" w:lineRule="exact"/>
      <w:jc w:val="left"/>
    </w:pPr>
    <w:rPr>
      <w:rFonts w:ascii="Tahoma" w:hAnsi="Tahoma" w:cs="Tahoma"/>
      <w:sz w:val="20"/>
      <w:szCs w:val="20"/>
      <w:lang w:val="en-US" w:eastAsia="en-US"/>
    </w:rPr>
  </w:style>
  <w:style w:type="paragraph" w:styleId="slovanzoznam">
    <w:name w:val="List Number"/>
    <w:basedOn w:val="Normlny"/>
    <w:uiPriority w:val="99"/>
    <w:rsid w:val="001D64D0"/>
    <w:pPr>
      <w:tabs>
        <w:tab w:val="num" w:pos="405"/>
        <w:tab w:val="num" w:pos="720"/>
      </w:tabs>
      <w:ind w:left="720" w:hanging="360"/>
      <w:jc w:val="left"/>
    </w:pPr>
    <w:rPr>
      <w:rFonts w:ascii="Arial" w:hAnsi="Arial" w:cs="Arial"/>
      <w:spacing w:val="-5"/>
      <w:sz w:val="20"/>
      <w:szCs w:val="20"/>
      <w:lang w:eastAsia="en-US"/>
    </w:rPr>
  </w:style>
  <w:style w:type="paragraph" w:customStyle="1" w:styleId="Par-number1">
    <w:name w:val="Par-number 1."/>
    <w:basedOn w:val="Normlny"/>
    <w:next w:val="Normlny"/>
    <w:rsid w:val="001D64D0"/>
    <w:pPr>
      <w:widowControl w:val="0"/>
      <w:tabs>
        <w:tab w:val="num" w:pos="720"/>
      </w:tabs>
      <w:spacing w:line="360" w:lineRule="auto"/>
      <w:ind w:left="720" w:hanging="360"/>
      <w:jc w:val="left"/>
    </w:pPr>
    <w:rPr>
      <w:sz w:val="24"/>
      <w:szCs w:val="24"/>
      <w:lang w:eastAsia="fr-BE"/>
    </w:rPr>
  </w:style>
  <w:style w:type="paragraph" w:customStyle="1" w:styleId="Typedudocument">
    <w:name w:val="Type du document"/>
    <w:basedOn w:val="Normlny"/>
    <w:next w:val="Normlny"/>
    <w:rsid w:val="001D64D0"/>
    <w:pPr>
      <w:spacing w:before="360"/>
      <w:jc w:val="center"/>
    </w:pPr>
    <w:rPr>
      <w:b/>
      <w:bCs/>
      <w:sz w:val="24"/>
      <w:szCs w:val="24"/>
      <w:lang w:val="en-GB" w:eastAsia="fr-BE"/>
    </w:rPr>
  </w:style>
  <w:style w:type="paragraph" w:customStyle="1" w:styleId="ListBullet1">
    <w:name w:val="List Bullet 1"/>
    <w:basedOn w:val="Normlny"/>
    <w:rsid w:val="001D64D0"/>
    <w:pPr>
      <w:tabs>
        <w:tab w:val="num" w:pos="720"/>
      </w:tabs>
      <w:spacing w:before="120"/>
      <w:ind w:left="720" w:hanging="360"/>
    </w:pPr>
    <w:rPr>
      <w:sz w:val="24"/>
      <w:szCs w:val="24"/>
      <w:lang w:val="en-GB" w:eastAsia="fr-BE"/>
    </w:rPr>
  </w:style>
  <w:style w:type="paragraph" w:customStyle="1" w:styleId="ManualHeading2">
    <w:name w:val="Manual Heading 2"/>
    <w:basedOn w:val="Normlny"/>
    <w:next w:val="Normlny"/>
    <w:rsid w:val="001D64D0"/>
    <w:pPr>
      <w:keepNext/>
      <w:tabs>
        <w:tab w:val="left" w:pos="850"/>
      </w:tabs>
      <w:spacing w:before="120"/>
      <w:ind w:left="850" w:hanging="850"/>
      <w:outlineLvl w:val="1"/>
    </w:pPr>
    <w:rPr>
      <w:b/>
      <w:bCs/>
      <w:sz w:val="24"/>
      <w:szCs w:val="24"/>
      <w:lang w:val="en-GB" w:eastAsia="fr-BE"/>
    </w:rPr>
  </w:style>
  <w:style w:type="paragraph" w:customStyle="1" w:styleId="CharChar11">
    <w:name w:val="Char Char11"/>
    <w:basedOn w:val="Normlny"/>
    <w:rsid w:val="001D64D0"/>
    <w:pPr>
      <w:spacing w:after="160" w:line="240" w:lineRule="exact"/>
      <w:jc w:val="left"/>
    </w:pPr>
    <w:rPr>
      <w:rFonts w:ascii="Tahoma" w:hAnsi="Tahoma" w:cs="Tahoma"/>
      <w:sz w:val="20"/>
      <w:szCs w:val="20"/>
      <w:lang w:val="en-US" w:eastAsia="en-US"/>
    </w:rPr>
  </w:style>
  <w:style w:type="paragraph" w:customStyle="1" w:styleId="Xreftext">
    <w:name w:val="X ref text"/>
    <w:basedOn w:val="Normlny"/>
    <w:rsid w:val="001D64D0"/>
    <w:pPr>
      <w:tabs>
        <w:tab w:val="num" w:pos="720"/>
      </w:tabs>
      <w:ind w:left="360" w:hanging="360"/>
      <w:jc w:val="left"/>
    </w:pPr>
    <w:rPr>
      <w:sz w:val="24"/>
      <w:szCs w:val="24"/>
      <w:lang w:val="fr-FR"/>
    </w:rPr>
  </w:style>
  <w:style w:type="character" w:customStyle="1" w:styleId="tw4winMark">
    <w:name w:val="tw4winMark"/>
    <w:rsid w:val="001D64D0"/>
    <w:rPr>
      <w:vanish/>
      <w:color w:val="800080"/>
      <w:sz w:val="24"/>
      <w:vertAlign w:val="subscript"/>
    </w:rPr>
  </w:style>
  <w:style w:type="paragraph" w:customStyle="1" w:styleId="paOdstavec">
    <w:name w:val="paOdstavec"/>
    <w:basedOn w:val="Normlny"/>
    <w:rsid w:val="001D64D0"/>
    <w:pPr>
      <w:overflowPunct w:val="0"/>
      <w:autoSpaceDE w:val="0"/>
      <w:autoSpaceDN w:val="0"/>
      <w:adjustRightInd w:val="0"/>
      <w:spacing w:before="80" w:after="80"/>
    </w:pPr>
    <w:rPr>
      <w:rFonts w:ascii="Arial" w:hAnsi="Arial" w:cs="Arial"/>
      <w:sz w:val="24"/>
      <w:szCs w:val="24"/>
      <w:lang w:eastAsia="cs-CZ"/>
    </w:rPr>
  </w:style>
  <w:style w:type="paragraph" w:customStyle="1" w:styleId="Char4">
    <w:name w:val="Char4"/>
    <w:basedOn w:val="Normlny"/>
    <w:rsid w:val="001D64D0"/>
    <w:pPr>
      <w:spacing w:after="160" w:line="240" w:lineRule="exact"/>
      <w:jc w:val="left"/>
    </w:pPr>
    <w:rPr>
      <w:rFonts w:ascii="Tahoma" w:hAnsi="Tahoma" w:cs="Tahoma"/>
      <w:sz w:val="20"/>
      <w:szCs w:val="20"/>
      <w:lang w:val="en-US" w:eastAsia="en-US"/>
    </w:rPr>
  </w:style>
  <w:style w:type="paragraph" w:customStyle="1" w:styleId="Nadpis30">
    <w:name w:val="Nadpis3"/>
    <w:basedOn w:val="Nadpis3"/>
    <w:rsid w:val="001D64D0"/>
  </w:style>
  <w:style w:type="paragraph" w:styleId="Predmetkomentra">
    <w:name w:val="annotation subject"/>
    <w:basedOn w:val="Textkomentra"/>
    <w:next w:val="Textkomentra"/>
    <w:link w:val="PredmetkomentraChar"/>
    <w:uiPriority w:val="99"/>
    <w:semiHidden/>
    <w:rsid w:val="001D64D0"/>
    <w:pPr>
      <w:spacing w:after="0" w:line="240" w:lineRule="auto"/>
      <w:jc w:val="both"/>
    </w:pPr>
    <w:rPr>
      <w:rFonts w:ascii="Arial Narrow" w:hAnsi="Arial Narrow" w:cs="Arial Narrow"/>
      <w:b/>
      <w:bCs/>
      <w:lang w:eastAsia="sk-SK"/>
    </w:rPr>
  </w:style>
  <w:style w:type="character" w:customStyle="1" w:styleId="PredmetkomentraChar">
    <w:name w:val="Predmet komentára Char"/>
    <w:basedOn w:val="TextkomentraChar"/>
    <w:link w:val="Predmetkomentra"/>
    <w:uiPriority w:val="99"/>
    <w:semiHidden/>
    <w:locked/>
    <w:rsid w:val="001D64D0"/>
    <w:rPr>
      <w:rFonts w:ascii="Arial Narrow" w:hAnsi="Arial Narrow" w:cs="Arial Narrow"/>
      <w:b/>
      <w:bCs/>
      <w:sz w:val="20"/>
      <w:szCs w:val="20"/>
      <w:lang w:eastAsia="sk-SK"/>
    </w:rPr>
  </w:style>
  <w:style w:type="paragraph" w:styleId="truktradokumentu">
    <w:name w:val="Document Map"/>
    <w:basedOn w:val="Normlny"/>
    <w:link w:val="truktradokumentuChar"/>
    <w:uiPriority w:val="99"/>
    <w:semiHidden/>
    <w:rsid w:val="001D64D0"/>
    <w:pPr>
      <w:shd w:val="clear" w:color="auto" w:fill="000080"/>
    </w:pPr>
    <w:rPr>
      <w:rFonts w:ascii="Tahoma" w:hAnsi="Tahoma" w:cs="Tahoma"/>
    </w:rPr>
  </w:style>
  <w:style w:type="character" w:customStyle="1" w:styleId="truktradokumentuChar">
    <w:name w:val="Štruktúra dokumentu Char"/>
    <w:basedOn w:val="Predvolenpsmoodseku"/>
    <w:link w:val="truktradokumentu"/>
    <w:uiPriority w:val="99"/>
    <w:semiHidden/>
    <w:locked/>
    <w:rsid w:val="001D64D0"/>
    <w:rPr>
      <w:rFonts w:ascii="Tahoma" w:hAnsi="Tahoma" w:cs="Tahoma"/>
      <w:sz w:val="16"/>
      <w:szCs w:val="16"/>
      <w:lang w:eastAsia="sk-SK"/>
    </w:rPr>
  </w:style>
  <w:style w:type="paragraph" w:customStyle="1" w:styleId="IS2007ODS">
    <w:name w:val="IS 2007 ODS"/>
    <w:basedOn w:val="Normlny"/>
    <w:rsid w:val="001D64D0"/>
    <w:pPr>
      <w:spacing w:before="120"/>
    </w:pPr>
  </w:style>
  <w:style w:type="character" w:customStyle="1" w:styleId="CharChar">
    <w:name w:val="Char Char"/>
    <w:basedOn w:val="Predvolenpsmoodseku"/>
    <w:rsid w:val="001D64D0"/>
    <w:rPr>
      <w:rFonts w:ascii="Arial Narrow" w:hAnsi="Arial Narrow" w:cs="Arial Narrow"/>
      <w:sz w:val="24"/>
      <w:szCs w:val="24"/>
      <w:lang w:val="sk-SK" w:eastAsia="sk-SK"/>
    </w:rPr>
  </w:style>
  <w:style w:type="paragraph" w:customStyle="1" w:styleId="zakladnystyl">
    <w:name w:val="zakladnystyl"/>
    <w:basedOn w:val="Normlny"/>
    <w:rsid w:val="001D64D0"/>
    <w:pPr>
      <w:spacing w:before="100" w:beforeAutospacing="1" w:after="100" w:afterAutospacing="1"/>
      <w:jc w:val="left"/>
    </w:pPr>
    <w:rPr>
      <w:rFonts w:ascii="Arial Unicode MS" w:eastAsia="Arial Unicode MS" w:hAnsi="Times New Roman" w:cs="Arial Unicode MS"/>
      <w:sz w:val="24"/>
      <w:szCs w:val="24"/>
    </w:rPr>
  </w:style>
  <w:style w:type="paragraph" w:customStyle="1" w:styleId="tlNadpis212ptZa12pt">
    <w:name w:val="Štýl Nadpis 2 + 12 pt Za:  12 pt"/>
    <w:basedOn w:val="Nadpis2"/>
    <w:rsid w:val="001D64D0"/>
    <w:pPr>
      <w:spacing w:after="240"/>
      <w:ind w:left="578" w:hanging="578"/>
    </w:pPr>
    <w:rPr>
      <w:sz w:val="24"/>
      <w:szCs w:val="24"/>
    </w:rPr>
  </w:style>
  <w:style w:type="paragraph" w:customStyle="1" w:styleId="CharCharCharCharCharCharCharCharCharCharCharCharCharChar">
    <w:name w:val="Char Char Char Char Char Char Char Char Char Char Char Char Char Char"/>
    <w:basedOn w:val="Normlny"/>
    <w:rsid w:val="001D64D0"/>
    <w:pPr>
      <w:spacing w:after="160" w:line="240" w:lineRule="exact"/>
      <w:jc w:val="left"/>
    </w:pPr>
    <w:rPr>
      <w:rFonts w:ascii="Tahoma" w:hAnsi="Tahoma" w:cs="Tahoma"/>
      <w:sz w:val="20"/>
      <w:szCs w:val="20"/>
      <w:lang w:val="en-US" w:eastAsia="en-US"/>
    </w:rPr>
  </w:style>
  <w:style w:type="paragraph" w:customStyle="1" w:styleId="CharCharCharCharCharCharCharChar">
    <w:name w:val="Char Char Char Char Char Char Char Char"/>
    <w:basedOn w:val="Normlny"/>
    <w:rsid w:val="001D64D0"/>
    <w:pPr>
      <w:spacing w:after="160" w:line="240" w:lineRule="exact"/>
      <w:jc w:val="left"/>
    </w:pPr>
    <w:rPr>
      <w:rFonts w:ascii="Tahoma" w:hAnsi="Tahoma" w:cs="Tahoma"/>
      <w:sz w:val="20"/>
      <w:szCs w:val="20"/>
      <w:lang w:val="en-US" w:eastAsia="en-US"/>
    </w:rPr>
  </w:style>
  <w:style w:type="paragraph" w:customStyle="1" w:styleId="CharCharChar1Char">
    <w:name w:val="Char Char Char1 Char"/>
    <w:basedOn w:val="Normlny"/>
    <w:rsid w:val="001D64D0"/>
    <w:pPr>
      <w:spacing w:after="160" w:line="240" w:lineRule="exact"/>
      <w:jc w:val="left"/>
    </w:pPr>
    <w:rPr>
      <w:rFonts w:ascii="Tahoma" w:hAnsi="Tahoma" w:cs="Tahoma"/>
      <w:sz w:val="20"/>
      <w:szCs w:val="20"/>
      <w:lang w:val="en-US" w:eastAsia="en-US"/>
    </w:rPr>
  </w:style>
  <w:style w:type="paragraph" w:customStyle="1" w:styleId="Char2">
    <w:name w:val="Char2"/>
    <w:basedOn w:val="Normlny"/>
    <w:rsid w:val="001D64D0"/>
    <w:pPr>
      <w:spacing w:after="160" w:line="240" w:lineRule="exact"/>
      <w:jc w:val="left"/>
    </w:pPr>
    <w:rPr>
      <w:rFonts w:ascii="Tahoma" w:hAnsi="Tahoma" w:cs="Tahoma"/>
      <w:sz w:val="20"/>
      <w:szCs w:val="20"/>
      <w:lang w:val="en-US" w:eastAsia="en-US"/>
    </w:rPr>
  </w:style>
  <w:style w:type="character" w:customStyle="1" w:styleId="Char3">
    <w:name w:val="Char3"/>
    <w:basedOn w:val="Predvolenpsmoodseku"/>
    <w:rsid w:val="001D64D0"/>
    <w:rPr>
      <w:rFonts w:ascii="Arial Narrow" w:hAnsi="Arial Narrow" w:cs="Arial Narrow"/>
      <w:b/>
      <w:bCs/>
      <w:color w:val="000000"/>
      <w:sz w:val="24"/>
      <w:szCs w:val="24"/>
      <w:lang w:val="sk-SK" w:eastAsia="sk-SK"/>
    </w:rPr>
  </w:style>
  <w:style w:type="paragraph" w:customStyle="1" w:styleId="CharCharCharCharCharCharCharCharCharCharCharCharCharCharCharChar">
    <w:name w:val="Char Char Char Char Char Char Char Char Char Char Char Char Char Char Char Char"/>
    <w:basedOn w:val="Normlny"/>
    <w:rsid w:val="001D64D0"/>
    <w:pPr>
      <w:spacing w:after="160" w:line="240" w:lineRule="exact"/>
      <w:jc w:val="left"/>
    </w:pPr>
    <w:rPr>
      <w:rFonts w:ascii="Tahoma" w:hAnsi="Tahoma" w:cs="Tahoma"/>
      <w:sz w:val="20"/>
      <w:szCs w:val="20"/>
      <w:lang w:val="en-US" w:eastAsia="en-US"/>
    </w:rPr>
  </w:style>
  <w:style w:type="paragraph" w:customStyle="1" w:styleId="CharCharCharCharCharCharCharCharCharCharCharCharCharCharCharCharCharCharCharChar">
    <w:name w:val="Char Char Char Char Char Char Char Char Char Char Char Char Char Char Char Char Char Char Char Char"/>
    <w:basedOn w:val="Normlny"/>
    <w:rsid w:val="001D64D0"/>
    <w:pPr>
      <w:spacing w:after="160" w:line="240" w:lineRule="exact"/>
      <w:jc w:val="left"/>
    </w:pPr>
    <w:rPr>
      <w:rFonts w:ascii="Tahoma" w:hAnsi="Tahoma" w:cs="Tahoma"/>
      <w:sz w:val="20"/>
      <w:szCs w:val="20"/>
      <w:lang w:val="en-US" w:eastAsia="en-US"/>
    </w:rPr>
  </w:style>
  <w:style w:type="paragraph" w:customStyle="1" w:styleId="CharCharCharCharCharCharCharCharCharCharChar1">
    <w:name w:val="Char Char Char Char Char Char Char Char Char Char Char1"/>
    <w:basedOn w:val="Normlny"/>
    <w:rsid w:val="001D64D0"/>
    <w:pPr>
      <w:spacing w:after="160" w:line="240" w:lineRule="exact"/>
      <w:jc w:val="left"/>
    </w:pPr>
    <w:rPr>
      <w:rFonts w:ascii="Tahoma" w:hAnsi="Tahoma" w:cs="Tahoma"/>
      <w:sz w:val="20"/>
      <w:szCs w:val="20"/>
      <w:lang w:val="en-US" w:eastAsia="en-US"/>
    </w:rPr>
  </w:style>
  <w:style w:type="paragraph" w:customStyle="1" w:styleId="CharCharCharCharCharChar">
    <w:name w:val="Char Char Char Char Char Char"/>
    <w:basedOn w:val="Normlny"/>
    <w:rsid w:val="001D64D0"/>
    <w:pPr>
      <w:spacing w:after="160" w:line="240" w:lineRule="exact"/>
      <w:jc w:val="left"/>
    </w:pPr>
    <w:rPr>
      <w:rFonts w:ascii="Tahoma" w:hAnsi="Tahoma" w:cs="Tahoma"/>
      <w:sz w:val="20"/>
      <w:szCs w:val="20"/>
      <w:lang w:val="en-US" w:eastAsia="en-US"/>
    </w:rPr>
  </w:style>
  <w:style w:type="paragraph" w:customStyle="1" w:styleId="CharCharCharCharCharCharCharCharCharCharChar1CharCharChar">
    <w:name w:val="Char Char Char Char Char Char Char Char Char Char Char1 Char Char Char"/>
    <w:basedOn w:val="Normlny"/>
    <w:rsid w:val="001D64D0"/>
    <w:pPr>
      <w:spacing w:after="160" w:line="240" w:lineRule="exact"/>
      <w:jc w:val="left"/>
    </w:pPr>
    <w:rPr>
      <w:rFonts w:ascii="Tahoma" w:hAnsi="Tahoma" w:cs="Tahoma"/>
      <w:sz w:val="20"/>
      <w:szCs w:val="20"/>
      <w:lang w:val="en-US" w:eastAsia="en-US"/>
    </w:rPr>
  </w:style>
  <w:style w:type="table" w:styleId="Mriekatabuky">
    <w:name w:val="Table Grid"/>
    <w:basedOn w:val="Normlnatabuka"/>
    <w:uiPriority w:val="59"/>
    <w:rsid w:val="001D64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1CharCharCharCharCharCharCharCharCharCharCharChar">
    <w:name w:val="Char Char Char Char Char Char Char Char Char Char Char Char1 Char Char Char Char Char Char Char Char Char Char Char Char"/>
    <w:basedOn w:val="Normlny"/>
    <w:rsid w:val="001D64D0"/>
    <w:pPr>
      <w:spacing w:after="160" w:line="240" w:lineRule="exact"/>
      <w:jc w:val="left"/>
    </w:pPr>
    <w:rPr>
      <w:rFonts w:ascii="Tahoma" w:hAnsi="Tahoma" w:cs="Tahoma"/>
      <w:sz w:val="20"/>
      <w:szCs w:val="20"/>
      <w:lang w:val="en-US" w:eastAsia="en-US"/>
    </w:rPr>
  </w:style>
  <w:style w:type="paragraph" w:customStyle="1" w:styleId="TextPonuky">
    <w:name w:val="TextPonuky"/>
    <w:basedOn w:val="Normlny"/>
    <w:rsid w:val="001D64D0"/>
    <w:pPr>
      <w:snapToGrid w:val="0"/>
    </w:pPr>
    <w:rPr>
      <w:rFonts w:ascii="Franklin Gothic Book" w:hAnsi="Franklin Gothic Book" w:cs="Franklin Gothic Book"/>
      <w:sz w:val="20"/>
      <w:szCs w:val="20"/>
      <w:lang w:eastAsia="cs-CZ"/>
    </w:rPr>
  </w:style>
  <w:style w:type="paragraph" w:styleId="Odsekzoznamu">
    <w:name w:val="List Paragraph"/>
    <w:basedOn w:val="Normlny"/>
    <w:uiPriority w:val="34"/>
    <w:qFormat/>
    <w:rsid w:val="000D5DF6"/>
    <w:pPr>
      <w:spacing w:after="200" w:line="276" w:lineRule="auto"/>
      <w:ind w:left="720"/>
      <w:contextualSpacing/>
      <w:jc w:val="left"/>
    </w:pPr>
    <w:rPr>
      <w:rFonts w:ascii="Calibri" w:hAnsi="Calibri" w:cs="Times New Roman"/>
      <w:lang w:eastAsia="en-US"/>
    </w:rPr>
  </w:style>
  <w:style w:type="paragraph" w:customStyle="1" w:styleId="Normlnywebov5">
    <w:name w:val="Normálny (webový)5"/>
    <w:basedOn w:val="Normlny"/>
    <w:rsid w:val="001D64D0"/>
    <w:pPr>
      <w:spacing w:after="204"/>
      <w:jc w:val="left"/>
    </w:pPr>
    <w:rPr>
      <w:sz w:val="24"/>
      <w:szCs w:val="24"/>
    </w:rPr>
  </w:style>
  <w:style w:type="paragraph" w:styleId="Popis">
    <w:name w:val="caption"/>
    <w:basedOn w:val="Normlny"/>
    <w:next w:val="Normlny"/>
    <w:uiPriority w:val="35"/>
    <w:qFormat/>
    <w:rsid w:val="001D64D0"/>
    <w:pPr>
      <w:spacing w:before="120"/>
    </w:pPr>
    <w:rPr>
      <w:b/>
      <w:bCs/>
      <w:sz w:val="20"/>
      <w:szCs w:val="20"/>
    </w:rPr>
  </w:style>
  <w:style w:type="paragraph" w:styleId="Zoznamobrzkov">
    <w:name w:val="table of figures"/>
    <w:basedOn w:val="Normlny"/>
    <w:next w:val="Normlny"/>
    <w:uiPriority w:val="99"/>
    <w:semiHidden/>
    <w:rsid w:val="001D64D0"/>
    <w:pPr>
      <w:ind w:left="440" w:hanging="440"/>
    </w:pPr>
  </w:style>
  <w:style w:type="paragraph" w:customStyle="1" w:styleId="Zakladnystyl0">
    <w:name w:val="Zakladny styl"/>
    <w:rsid w:val="001D64D0"/>
    <w:pPr>
      <w:spacing w:after="120"/>
    </w:pPr>
    <w:rPr>
      <w:sz w:val="24"/>
      <w:szCs w:val="24"/>
    </w:rPr>
  </w:style>
  <w:style w:type="paragraph" w:customStyle="1" w:styleId="Default">
    <w:name w:val="Default"/>
    <w:uiPriority w:val="99"/>
    <w:rsid w:val="001D64D0"/>
    <w:pPr>
      <w:autoSpaceDE w:val="0"/>
      <w:autoSpaceDN w:val="0"/>
      <w:adjustRightInd w:val="0"/>
      <w:spacing w:after="120"/>
    </w:pPr>
    <w:rPr>
      <w:color w:val="000000"/>
      <w:sz w:val="24"/>
      <w:szCs w:val="24"/>
    </w:rPr>
  </w:style>
  <w:style w:type="paragraph" w:customStyle="1" w:styleId="anotcia">
    <w:name w:val="anotácia"/>
    <w:rsid w:val="001D64D0"/>
    <w:pPr>
      <w:autoSpaceDE w:val="0"/>
      <w:autoSpaceDN w:val="0"/>
      <w:adjustRightInd w:val="0"/>
      <w:spacing w:after="120" w:line="230" w:lineRule="atLeast"/>
      <w:ind w:left="227" w:right="227"/>
      <w:jc w:val="both"/>
    </w:pPr>
    <w:rPr>
      <w:i/>
      <w:iCs/>
      <w:color w:val="000000"/>
      <w:spacing w:val="285"/>
      <w:sz w:val="22"/>
      <w:szCs w:val="22"/>
      <w:lang w:val="cs-CZ" w:eastAsia="cs-CZ"/>
    </w:rPr>
  </w:style>
  <w:style w:type="paragraph" w:customStyle="1" w:styleId="Nadpis2loha">
    <w:name w:val="Nadpis 2.Úloha"/>
    <w:basedOn w:val="Normlny"/>
    <w:rsid w:val="001D64D0"/>
    <w:pPr>
      <w:tabs>
        <w:tab w:val="num" w:pos="360"/>
      </w:tabs>
      <w:autoSpaceDE w:val="0"/>
      <w:autoSpaceDN w:val="0"/>
      <w:spacing w:before="120"/>
    </w:pPr>
    <w:rPr>
      <w:rFonts w:ascii="Arial" w:hAnsi="Arial" w:cs="Arial"/>
      <w:sz w:val="24"/>
      <w:szCs w:val="24"/>
    </w:rPr>
  </w:style>
  <w:style w:type="paragraph" w:customStyle="1" w:styleId="Titreobjet">
    <w:name w:val="Titre objet"/>
    <w:basedOn w:val="Normlny"/>
    <w:next w:val="Sous-titreobjet"/>
    <w:rsid w:val="001D64D0"/>
    <w:pPr>
      <w:spacing w:before="360" w:after="360"/>
      <w:jc w:val="center"/>
    </w:pPr>
    <w:rPr>
      <w:b/>
      <w:bCs/>
      <w:sz w:val="24"/>
      <w:szCs w:val="24"/>
      <w:lang w:eastAsia="en-GB"/>
    </w:rPr>
  </w:style>
  <w:style w:type="paragraph" w:customStyle="1" w:styleId="Sous-titreobjet">
    <w:name w:val="Sous-titre objet"/>
    <w:basedOn w:val="Normlny"/>
    <w:rsid w:val="001D64D0"/>
    <w:pPr>
      <w:jc w:val="center"/>
    </w:pPr>
    <w:rPr>
      <w:b/>
      <w:bCs/>
      <w:sz w:val="24"/>
      <w:szCs w:val="24"/>
      <w:lang w:eastAsia="en-GB"/>
    </w:rPr>
  </w:style>
  <w:style w:type="paragraph" w:customStyle="1" w:styleId="CharCharCharCharCharCharCharCharCharCharChar1Char">
    <w:name w:val="Char Char Char Char Char Char Char Char Char Char Char1 Char"/>
    <w:basedOn w:val="Normlny"/>
    <w:rsid w:val="001D64D0"/>
    <w:pPr>
      <w:spacing w:after="160" w:line="240" w:lineRule="exact"/>
      <w:jc w:val="left"/>
    </w:pPr>
    <w:rPr>
      <w:rFonts w:ascii="Tahoma" w:hAnsi="Tahoma" w:cs="Tahoma"/>
      <w:sz w:val="20"/>
      <w:szCs w:val="20"/>
      <w:lang w:val="en-US" w:eastAsia="en-US"/>
    </w:rPr>
  </w:style>
  <w:style w:type="paragraph" w:customStyle="1" w:styleId="Par-dash">
    <w:name w:val="Par-dash"/>
    <w:basedOn w:val="Normlny"/>
    <w:next w:val="Normlny"/>
    <w:rsid w:val="001D64D0"/>
    <w:pPr>
      <w:widowControl w:val="0"/>
      <w:tabs>
        <w:tab w:val="num" w:pos="567"/>
      </w:tabs>
      <w:spacing w:line="360" w:lineRule="auto"/>
      <w:ind w:left="567" w:hanging="567"/>
      <w:jc w:val="left"/>
    </w:pPr>
    <w:rPr>
      <w:sz w:val="24"/>
      <w:szCs w:val="24"/>
      <w:lang w:eastAsia="fr-BE"/>
    </w:rPr>
  </w:style>
  <w:style w:type="paragraph" w:customStyle="1" w:styleId="CharCharCharCharCharCharCharCharCharCharCharCharCharChar1">
    <w:name w:val="Char Char Char Char Char Char Char Char Char Char Char Char Char Char1"/>
    <w:basedOn w:val="Normlny"/>
    <w:rsid w:val="001D64D0"/>
    <w:pPr>
      <w:spacing w:after="160" w:line="240" w:lineRule="exact"/>
      <w:jc w:val="left"/>
    </w:pPr>
    <w:rPr>
      <w:rFonts w:ascii="Tahoma" w:hAnsi="Tahoma" w:cs="Tahoma"/>
      <w:sz w:val="20"/>
      <w:szCs w:val="20"/>
      <w:lang w:val="en-US" w:eastAsia="en-US"/>
    </w:rPr>
  </w:style>
  <w:style w:type="paragraph" w:customStyle="1" w:styleId="CharCharChar1CharCharCharCharCharChar">
    <w:name w:val="Char Char Char1 Char Char Char Char Char Char"/>
    <w:basedOn w:val="Normlny"/>
    <w:rsid w:val="001D64D0"/>
    <w:pPr>
      <w:spacing w:after="160" w:line="240" w:lineRule="exact"/>
      <w:jc w:val="left"/>
    </w:pPr>
    <w:rPr>
      <w:rFonts w:ascii="Tahoma" w:hAnsi="Tahoma" w:cs="Tahoma"/>
      <w:sz w:val="20"/>
      <w:szCs w:val="20"/>
      <w:lang w:val="en-US" w:eastAsia="en-US"/>
    </w:rPr>
  </w:style>
  <w:style w:type="paragraph" w:customStyle="1" w:styleId="CharCharCharCharCharCharCharCharCharCharCharCharCharChar2">
    <w:name w:val="Char Char Char Char Char Char Char Char Char Char Char Char Char Char2"/>
    <w:basedOn w:val="Normlny"/>
    <w:rsid w:val="001D64D0"/>
    <w:pPr>
      <w:spacing w:after="160" w:line="240" w:lineRule="exact"/>
      <w:jc w:val="left"/>
    </w:pPr>
    <w:rPr>
      <w:rFonts w:ascii="Tahoma" w:hAnsi="Tahoma" w:cs="Tahoma"/>
      <w:sz w:val="20"/>
      <w:szCs w:val="20"/>
      <w:lang w:val="en-US" w:eastAsia="en-US"/>
    </w:rPr>
  </w:style>
  <w:style w:type="character" w:styleId="Odkaznakomentr">
    <w:name w:val="annotation reference"/>
    <w:basedOn w:val="Predvolenpsmoodseku"/>
    <w:uiPriority w:val="99"/>
    <w:rsid w:val="001D64D0"/>
    <w:rPr>
      <w:rFonts w:cs="Times New Roman"/>
      <w:sz w:val="16"/>
      <w:szCs w:val="16"/>
    </w:rPr>
  </w:style>
  <w:style w:type="character" w:styleId="Textzstupnhosymbolu">
    <w:name w:val="Placeholder Text"/>
    <w:basedOn w:val="Predvolenpsmoodseku"/>
    <w:uiPriority w:val="99"/>
    <w:semiHidden/>
    <w:rsid w:val="001D64D0"/>
    <w:rPr>
      <w:rFonts w:cs="Times New Roman"/>
    </w:rPr>
  </w:style>
  <w:style w:type="paragraph" w:customStyle="1" w:styleId="Deloittebodytext">
    <w:name w:val="Deloitte body text"/>
    <w:rsid w:val="001D64D0"/>
    <w:pPr>
      <w:spacing w:after="120"/>
    </w:pPr>
    <w:rPr>
      <w:rFonts w:ascii="Arial" w:hAnsi="Arial" w:cs="Arial"/>
      <w:color w:val="000000"/>
      <w:sz w:val="19"/>
      <w:szCs w:val="19"/>
      <w:lang w:val="cs-CZ" w:eastAsia="en-US"/>
    </w:rPr>
  </w:style>
  <w:style w:type="paragraph" w:styleId="Obsah5">
    <w:name w:val="toc 5"/>
    <w:basedOn w:val="Normlny"/>
    <w:next w:val="Normlny"/>
    <w:autoRedefine/>
    <w:uiPriority w:val="39"/>
    <w:semiHidden/>
    <w:rsid w:val="001D64D0"/>
    <w:pPr>
      <w:spacing w:after="0"/>
      <w:ind w:left="880"/>
      <w:jc w:val="left"/>
    </w:pPr>
    <w:rPr>
      <w:rFonts w:ascii="Calibri" w:hAnsi="Calibri"/>
      <w:sz w:val="20"/>
      <w:szCs w:val="20"/>
    </w:rPr>
  </w:style>
  <w:style w:type="paragraph" w:styleId="Obsah4">
    <w:name w:val="toc 4"/>
    <w:basedOn w:val="Normlny"/>
    <w:next w:val="Normlny"/>
    <w:autoRedefine/>
    <w:uiPriority w:val="39"/>
    <w:rsid w:val="001D64D0"/>
    <w:pPr>
      <w:spacing w:after="0"/>
      <w:ind w:left="660"/>
      <w:jc w:val="left"/>
    </w:pPr>
    <w:rPr>
      <w:rFonts w:ascii="Calibri" w:hAnsi="Calibri"/>
      <w:sz w:val="20"/>
      <w:szCs w:val="20"/>
    </w:rPr>
  </w:style>
  <w:style w:type="paragraph" w:styleId="Obsah3">
    <w:name w:val="toc 3"/>
    <w:basedOn w:val="Normlny"/>
    <w:next w:val="Normlny"/>
    <w:autoRedefine/>
    <w:uiPriority w:val="39"/>
    <w:rsid w:val="001D64D0"/>
    <w:pPr>
      <w:spacing w:after="0"/>
      <w:ind w:left="440"/>
      <w:jc w:val="left"/>
    </w:pPr>
    <w:rPr>
      <w:rFonts w:ascii="Calibri" w:hAnsi="Calibri"/>
      <w:sz w:val="20"/>
      <w:szCs w:val="20"/>
    </w:rPr>
  </w:style>
  <w:style w:type="paragraph" w:styleId="Obsah6">
    <w:name w:val="toc 6"/>
    <w:basedOn w:val="Normlny"/>
    <w:next w:val="Normlny"/>
    <w:autoRedefine/>
    <w:uiPriority w:val="39"/>
    <w:semiHidden/>
    <w:rsid w:val="001D64D0"/>
    <w:pPr>
      <w:spacing w:after="0"/>
      <w:ind w:left="1100"/>
      <w:jc w:val="left"/>
    </w:pPr>
    <w:rPr>
      <w:rFonts w:ascii="Calibri" w:hAnsi="Calibri"/>
      <w:sz w:val="20"/>
      <w:szCs w:val="20"/>
    </w:rPr>
  </w:style>
  <w:style w:type="paragraph" w:styleId="Obsah7">
    <w:name w:val="toc 7"/>
    <w:basedOn w:val="Normlny"/>
    <w:next w:val="Normlny"/>
    <w:autoRedefine/>
    <w:uiPriority w:val="39"/>
    <w:semiHidden/>
    <w:rsid w:val="001D64D0"/>
    <w:pPr>
      <w:spacing w:after="0"/>
      <w:ind w:left="1320"/>
      <w:jc w:val="left"/>
    </w:pPr>
    <w:rPr>
      <w:rFonts w:ascii="Calibri" w:hAnsi="Calibri"/>
      <w:sz w:val="20"/>
      <w:szCs w:val="20"/>
    </w:rPr>
  </w:style>
  <w:style w:type="paragraph" w:styleId="Obsah8">
    <w:name w:val="toc 8"/>
    <w:basedOn w:val="Normlny"/>
    <w:next w:val="Normlny"/>
    <w:autoRedefine/>
    <w:uiPriority w:val="39"/>
    <w:semiHidden/>
    <w:rsid w:val="001D64D0"/>
    <w:pPr>
      <w:spacing w:after="0"/>
      <w:ind w:left="1540"/>
      <w:jc w:val="left"/>
    </w:pPr>
    <w:rPr>
      <w:rFonts w:ascii="Calibri" w:hAnsi="Calibri"/>
      <w:sz w:val="20"/>
      <w:szCs w:val="20"/>
    </w:rPr>
  </w:style>
  <w:style w:type="paragraph" w:styleId="Obsah9">
    <w:name w:val="toc 9"/>
    <w:basedOn w:val="Normlny"/>
    <w:next w:val="Normlny"/>
    <w:autoRedefine/>
    <w:uiPriority w:val="39"/>
    <w:semiHidden/>
    <w:rsid w:val="001D64D0"/>
    <w:pPr>
      <w:spacing w:after="0"/>
      <w:ind w:left="1760"/>
      <w:jc w:val="left"/>
    </w:pPr>
    <w:rPr>
      <w:rFonts w:ascii="Calibri" w:hAnsi="Calibri"/>
      <w:sz w:val="20"/>
      <w:szCs w:val="20"/>
    </w:rPr>
  </w:style>
  <w:style w:type="paragraph" w:customStyle="1" w:styleId="CharCharCharCharCharCharCharCharCharCharCharCharCharChar1CharCharChar1">
    <w:name w:val="Char Char Char Char Char Char Char Char Char Char Char Char Char Char1 Char Char Char1"/>
    <w:basedOn w:val="Normlny"/>
    <w:rsid w:val="001D64D0"/>
    <w:pPr>
      <w:spacing w:after="160" w:line="240" w:lineRule="exact"/>
      <w:jc w:val="left"/>
    </w:pPr>
    <w:rPr>
      <w:rFonts w:ascii="Tahoma" w:hAnsi="Tahoma" w:cs="Tahoma"/>
      <w:sz w:val="20"/>
      <w:szCs w:val="20"/>
      <w:lang w:val="en-US" w:eastAsia="en-US"/>
    </w:rPr>
  </w:style>
  <w:style w:type="paragraph" w:customStyle="1" w:styleId="CharChar12">
    <w:name w:val="Char Char12"/>
    <w:basedOn w:val="Normlny"/>
    <w:rsid w:val="0096339C"/>
    <w:pPr>
      <w:spacing w:after="160" w:line="240" w:lineRule="exact"/>
      <w:jc w:val="left"/>
    </w:pPr>
    <w:rPr>
      <w:rFonts w:ascii="Tahoma" w:hAnsi="Tahoma" w:cs="Tahoma"/>
      <w:sz w:val="20"/>
      <w:szCs w:val="20"/>
      <w:lang w:val="en-US" w:eastAsia="en-US"/>
    </w:rPr>
  </w:style>
  <w:style w:type="paragraph" w:styleId="Hlavikaobsahu">
    <w:name w:val="TOC Heading"/>
    <w:basedOn w:val="Nadpis1"/>
    <w:next w:val="Normlny"/>
    <w:uiPriority w:val="39"/>
    <w:qFormat/>
    <w:rsid w:val="00BA5327"/>
    <w:pPr>
      <w:keepLines/>
      <w:tabs>
        <w:tab w:val="clear" w:pos="432"/>
      </w:tabs>
      <w:spacing w:before="480" w:after="0" w:line="276" w:lineRule="auto"/>
      <w:ind w:left="0" w:firstLine="0"/>
      <w:jc w:val="left"/>
      <w:outlineLvl w:val="9"/>
    </w:pPr>
    <w:rPr>
      <w:rFonts w:ascii="Cambria" w:hAnsi="Cambria" w:cs="Cambria"/>
      <w:color w:val="365F91"/>
      <w:lang w:eastAsia="en-US"/>
    </w:rPr>
  </w:style>
  <w:style w:type="character" w:customStyle="1" w:styleId="FootnoteTextChar">
    <w:name w:val="Footnote Text Char"/>
    <w:aliases w:val="Text poznámky pod čiarou 007 Char1,Schriftart: 9 pt Char1,Schriftart: 10 pt Char1,Schriftart: 8 pt Char1,_Poznámka pod čiarou Char1,Footnote Text Char2 Char1,Footnote Text Char1 Char Char1,Footnote Text Char2 Char Char Char1"/>
    <w:basedOn w:val="Predvolenpsmoodseku"/>
    <w:semiHidden/>
    <w:rsid w:val="00660028"/>
    <w:rPr>
      <w:rFonts w:ascii="Arial Narrow" w:hAnsi="Arial Narrow" w:cs="Arial Narrow"/>
      <w:sz w:val="20"/>
      <w:szCs w:val="20"/>
      <w:lang w:eastAsia="sk-SK"/>
    </w:rPr>
  </w:style>
  <w:style w:type="paragraph" w:customStyle="1" w:styleId="Zoznamsodrkami1">
    <w:name w:val="Zoznam s odrážkami1"/>
    <w:basedOn w:val="Normlny"/>
    <w:rsid w:val="00C2098B"/>
    <w:pPr>
      <w:widowControl w:val="0"/>
      <w:tabs>
        <w:tab w:val="num" w:pos="360"/>
      </w:tabs>
      <w:suppressAutoHyphens/>
      <w:spacing w:after="0"/>
      <w:ind w:left="360" w:hanging="360"/>
      <w:jc w:val="left"/>
    </w:pPr>
    <w:rPr>
      <w:rFonts w:ascii="Times New Roman" w:hAnsi="Times New Roman" w:cs="Times New Roman"/>
      <w:kern w:val="1"/>
      <w:sz w:val="24"/>
      <w:szCs w:val="24"/>
      <w:lang w:val="en-GB"/>
    </w:rPr>
  </w:style>
  <w:style w:type="paragraph" w:styleId="Zoznamsodrkami">
    <w:name w:val="List Bullet"/>
    <w:basedOn w:val="Normlny"/>
    <w:uiPriority w:val="99"/>
    <w:rsid w:val="0065047D"/>
    <w:pPr>
      <w:tabs>
        <w:tab w:val="num" w:pos="1723"/>
      </w:tabs>
      <w:spacing w:after="0"/>
      <w:ind w:left="1723" w:hanging="283"/>
      <w:jc w:val="left"/>
    </w:pPr>
    <w:rPr>
      <w:rFonts w:ascii="Times New Roman" w:hAnsi="Times New Roman" w:cs="Times New Roman"/>
      <w:sz w:val="24"/>
      <w:szCs w:val="24"/>
      <w:lang w:val="en-GB" w:eastAsia="en-GB"/>
    </w:rPr>
  </w:style>
  <w:style w:type="character" w:customStyle="1" w:styleId="placeholdertext">
    <w:name w:val="placeholdertext"/>
    <w:basedOn w:val="Predvolenpsmoodseku"/>
    <w:rsid w:val="0066533E"/>
    <w:rPr>
      <w:rFonts w:cs="Times New Roman"/>
    </w:rPr>
  </w:style>
  <w:style w:type="paragraph" w:customStyle="1" w:styleId="Odsekzoznamu2">
    <w:name w:val="Odsek zoznamu2"/>
    <w:basedOn w:val="Normlny"/>
    <w:qFormat/>
    <w:rsid w:val="0066533E"/>
    <w:pPr>
      <w:spacing w:after="200" w:line="276" w:lineRule="auto"/>
      <w:ind w:left="708"/>
      <w:jc w:val="left"/>
    </w:pPr>
    <w:rPr>
      <w:rFonts w:ascii="Calibri" w:hAnsi="Calibri" w:cs="Times New Roman"/>
      <w:lang w:eastAsia="en-US"/>
    </w:rPr>
  </w:style>
  <w:style w:type="character" w:customStyle="1" w:styleId="Odkaznakomentr1">
    <w:name w:val="Odkaz na komentár1"/>
    <w:basedOn w:val="Predvolenpsmoodseku"/>
    <w:rsid w:val="0017003B"/>
    <w:rPr>
      <w:rFonts w:cs="Times New Roman"/>
      <w:sz w:val="16"/>
      <w:szCs w:val="16"/>
    </w:rPr>
  </w:style>
  <w:style w:type="paragraph" w:customStyle="1" w:styleId="Textkomentra1">
    <w:name w:val="Text komentára1"/>
    <w:basedOn w:val="Normlny"/>
    <w:rsid w:val="0017003B"/>
    <w:pPr>
      <w:suppressAutoHyphens/>
      <w:spacing w:after="160" w:line="240" w:lineRule="exact"/>
      <w:jc w:val="left"/>
    </w:pPr>
    <w:rPr>
      <w:rFonts w:ascii="Tahoma" w:hAnsi="Tahoma" w:cs="Tahoma"/>
      <w:sz w:val="20"/>
      <w:szCs w:val="20"/>
      <w:lang w:val="en-US" w:eastAsia="ar-SA"/>
    </w:rPr>
  </w:style>
  <w:style w:type="paragraph" w:customStyle="1" w:styleId="Zoznamsodrkami2">
    <w:name w:val="Zoznam s odrážkami2"/>
    <w:basedOn w:val="Normlny"/>
    <w:rsid w:val="0017003B"/>
    <w:pPr>
      <w:tabs>
        <w:tab w:val="num" w:pos="360"/>
      </w:tabs>
      <w:suppressAutoHyphens/>
      <w:spacing w:after="0"/>
      <w:ind w:left="360" w:hanging="360"/>
      <w:jc w:val="left"/>
    </w:pPr>
    <w:rPr>
      <w:rFonts w:ascii="Times New Roman" w:hAnsi="Times New Roman" w:cs="Times New Roman"/>
      <w:sz w:val="24"/>
      <w:szCs w:val="24"/>
      <w:lang w:val="en-GB" w:eastAsia="ar-SA"/>
    </w:rPr>
  </w:style>
  <w:style w:type="character" w:customStyle="1" w:styleId="TextkomentraChar1">
    <w:name w:val="Text komentára Char1"/>
    <w:basedOn w:val="Predvolenpsmoodseku"/>
    <w:uiPriority w:val="99"/>
    <w:semiHidden/>
    <w:rsid w:val="0017003B"/>
    <w:rPr>
      <w:rFonts w:ascii="Arial Narrow" w:hAnsi="Arial Narrow" w:cs="Arial Narrow"/>
      <w:lang w:eastAsia="ar-SA" w:bidi="ar-SA"/>
    </w:rPr>
  </w:style>
  <w:style w:type="paragraph" w:styleId="Revzia">
    <w:name w:val="Revision"/>
    <w:hidden/>
    <w:uiPriority w:val="99"/>
    <w:semiHidden/>
    <w:rsid w:val="00B70D2C"/>
    <w:rPr>
      <w:sz w:val="22"/>
      <w:szCs w:val="22"/>
    </w:rPr>
  </w:style>
  <w:style w:type="character" w:customStyle="1" w:styleId="mw-headline">
    <w:name w:val="mw-headline"/>
    <w:basedOn w:val="Predvolenpsmoodseku"/>
    <w:rsid w:val="00C258C6"/>
    <w:rPr>
      <w:rFonts w:cs="Times New Roman"/>
    </w:rPr>
  </w:style>
  <w:style w:type="table" w:customStyle="1" w:styleId="Mriekatabuky1">
    <w:name w:val="Mriežka tabuľky1"/>
    <w:basedOn w:val="Normlnatabuka"/>
    <w:next w:val="Mriekatabuky"/>
    <w:uiPriority w:val="59"/>
    <w:rsid w:val="00D30DE4"/>
    <w:rPr>
      <w:rFonts w:cs="Times New Roman"/>
      <w:sz w:val="22"/>
      <w:szCs w:val="36"/>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
    <w:name w:val="Mriežka tabuľky2"/>
    <w:basedOn w:val="Normlnatabuka"/>
    <w:next w:val="Mriekatabuky"/>
    <w:uiPriority w:val="59"/>
    <w:rsid w:val="00E22AC4"/>
    <w:rPr>
      <w:rFonts w:cs="Times New Roman"/>
      <w:sz w:val="22"/>
      <w:szCs w:val="36"/>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lt-edited">
    <w:name w:val="hps alt-edited"/>
    <w:rsid w:val="000244F7"/>
  </w:style>
  <w:style w:type="paragraph" w:styleId="Zkladntext2">
    <w:name w:val="Body Text 2"/>
    <w:basedOn w:val="Normlny"/>
    <w:link w:val="Zkladntext2Char"/>
    <w:uiPriority w:val="99"/>
    <w:unhideWhenUsed/>
    <w:rsid w:val="009A5E47"/>
    <w:pPr>
      <w:spacing w:line="480" w:lineRule="auto"/>
    </w:pPr>
  </w:style>
  <w:style w:type="character" w:customStyle="1" w:styleId="Zkladntext2Char">
    <w:name w:val="Základný text 2 Char"/>
    <w:basedOn w:val="Predvolenpsmoodseku"/>
    <w:link w:val="Zkladntext2"/>
    <w:uiPriority w:val="99"/>
    <w:locked/>
    <w:rsid w:val="009A5E47"/>
    <w:rPr>
      <w:rFonts w:cs="Times New Roman"/>
      <w:sz w:val="22"/>
      <w:szCs w:val="22"/>
    </w:rPr>
  </w:style>
  <w:style w:type="paragraph" w:customStyle="1" w:styleId="Point0number">
    <w:name w:val="Point 0 (number)"/>
    <w:basedOn w:val="Normlny"/>
    <w:uiPriority w:val="99"/>
    <w:rsid w:val="00F83CA7"/>
    <w:pPr>
      <w:spacing w:before="120"/>
    </w:pPr>
    <w:rPr>
      <w:rFonts w:ascii="Times New Roman" w:hAnsi="Times New Roman" w:cs="Times New Roman"/>
      <w:sz w:val="24"/>
      <w:szCs w:val="24"/>
      <w:lang w:val="en-GB"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515596"/>
    <w:pPr>
      <w:tabs>
        <w:tab w:val="num" w:pos="567"/>
      </w:tabs>
      <w:spacing w:after="0" w:line="240" w:lineRule="exact"/>
      <w:ind w:left="567" w:hanging="567"/>
      <w:jc w:val="left"/>
    </w:pPr>
    <w:rPr>
      <w:rFonts w:ascii="Times New Roman Bold" w:hAnsi="Times New Roman Bold" w:cs="Times New Roman Bold"/>
      <w:b/>
      <w:bCs/>
      <w:color w:val="000000"/>
      <w:sz w:val="26"/>
      <w:szCs w:val="26"/>
      <w:lang w:eastAsia="en-US"/>
    </w:rPr>
  </w:style>
  <w:style w:type="paragraph" w:customStyle="1" w:styleId="Odsekzoznamu1">
    <w:name w:val="Odsek zoznamu1"/>
    <w:basedOn w:val="Normlny"/>
    <w:rsid w:val="00515596"/>
    <w:pPr>
      <w:spacing w:after="200" w:line="276" w:lineRule="auto"/>
      <w:ind w:left="720"/>
      <w:contextualSpacing/>
      <w:jc w:val="left"/>
    </w:pPr>
    <w:rPr>
      <w:rFonts w:ascii="Calibri" w:hAnsi="Calibri" w:cs="Times New Roman"/>
      <w:lang w:eastAsia="en-US"/>
    </w:rPr>
  </w:style>
  <w:style w:type="paragraph" w:styleId="Bezriadkovania">
    <w:name w:val="No Spacing"/>
    <w:uiPriority w:val="1"/>
    <w:qFormat/>
    <w:rsid w:val="00351FC9"/>
    <w:pPr>
      <w:jc w:val="both"/>
    </w:pPr>
    <w:rPr>
      <w:sz w:val="22"/>
      <w:szCs w:val="22"/>
    </w:rPr>
  </w:style>
  <w:style w:type="paragraph" w:styleId="Obyajntext">
    <w:name w:val="Plain Text"/>
    <w:basedOn w:val="Normlny"/>
    <w:link w:val="ObyajntextChar"/>
    <w:uiPriority w:val="99"/>
    <w:semiHidden/>
    <w:unhideWhenUsed/>
    <w:rsid w:val="007840BA"/>
    <w:pPr>
      <w:spacing w:after="0"/>
      <w:jc w:val="left"/>
    </w:pPr>
    <w:rPr>
      <w:rFonts w:ascii="Calibri" w:eastAsiaTheme="minorHAnsi" w:hAnsi="Calibri" w:cs="Times New Roman"/>
      <w:lang w:eastAsia="en-US"/>
    </w:rPr>
  </w:style>
  <w:style w:type="character" w:customStyle="1" w:styleId="ObyajntextChar">
    <w:name w:val="Obyčajný text Char"/>
    <w:basedOn w:val="Predvolenpsmoodseku"/>
    <w:link w:val="Obyajntext"/>
    <w:uiPriority w:val="99"/>
    <w:semiHidden/>
    <w:rsid w:val="007840BA"/>
    <w:rPr>
      <w:rFonts w:ascii="Calibri" w:eastAsiaTheme="minorHAnsi" w:hAnsi="Calibri" w:cs="Times New Roman"/>
      <w:sz w:val="22"/>
      <w:szCs w:val="22"/>
      <w:lang w:eastAsia="en-US"/>
    </w:rPr>
  </w:style>
  <w:style w:type="paragraph" w:customStyle="1" w:styleId="Odsekzoznamu3">
    <w:name w:val="Odsek zoznamu3"/>
    <w:basedOn w:val="Normlny"/>
    <w:rsid w:val="00C66F29"/>
    <w:pPr>
      <w:spacing w:after="200" w:line="276" w:lineRule="auto"/>
      <w:ind w:left="720"/>
      <w:contextualSpacing/>
      <w:jc w:val="left"/>
    </w:pPr>
    <w:rPr>
      <w:rFonts w:ascii="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Arial Narrow" w:cs="Arial Narrow"/>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D64D0"/>
    <w:pPr>
      <w:spacing w:after="120"/>
      <w:jc w:val="both"/>
    </w:pPr>
    <w:rPr>
      <w:sz w:val="22"/>
      <w:szCs w:val="22"/>
    </w:rPr>
  </w:style>
  <w:style w:type="paragraph" w:styleId="Nadpis1">
    <w:name w:val="heading 1"/>
    <w:aliases w:val="NPXI,Čo robí (časť)"/>
    <w:basedOn w:val="Normlny"/>
    <w:next w:val="Normlny"/>
    <w:link w:val="Nadpis1Char"/>
    <w:uiPriority w:val="9"/>
    <w:qFormat/>
    <w:rsid w:val="001D64D0"/>
    <w:pPr>
      <w:keepNext/>
      <w:tabs>
        <w:tab w:val="num" w:pos="432"/>
      </w:tabs>
      <w:spacing w:before="120"/>
      <w:ind w:left="432" w:hanging="432"/>
      <w:outlineLvl w:val="0"/>
    </w:pPr>
    <w:rPr>
      <w:b/>
      <w:bCs/>
      <w:sz w:val="28"/>
      <w:szCs w:val="28"/>
    </w:rPr>
  </w:style>
  <w:style w:type="paragraph" w:styleId="Nadpis2">
    <w:name w:val="heading 2"/>
    <w:aliases w:val="Úloha Char Char"/>
    <w:basedOn w:val="Normlny"/>
    <w:next w:val="Normlny"/>
    <w:link w:val="Nadpis2Char"/>
    <w:uiPriority w:val="9"/>
    <w:qFormat/>
    <w:rsid w:val="001D64D0"/>
    <w:pPr>
      <w:tabs>
        <w:tab w:val="num" w:pos="576"/>
        <w:tab w:val="num" w:pos="1080"/>
        <w:tab w:val="num" w:pos="1440"/>
      </w:tabs>
      <w:spacing w:before="120"/>
      <w:ind w:left="576" w:hanging="576"/>
      <w:outlineLvl w:val="1"/>
    </w:pPr>
    <w:rPr>
      <w:b/>
      <w:bCs/>
      <w:color w:val="000000"/>
      <w:sz w:val="26"/>
      <w:szCs w:val="26"/>
    </w:rPr>
  </w:style>
  <w:style w:type="paragraph" w:styleId="Nadpis3">
    <w:name w:val="heading 3"/>
    <w:aliases w:val="Podúloha Char Char"/>
    <w:basedOn w:val="Nadpis7"/>
    <w:next w:val="Normlny"/>
    <w:link w:val="Nadpis3Char"/>
    <w:uiPriority w:val="9"/>
    <w:qFormat/>
    <w:rsid w:val="00C61270"/>
    <w:pPr>
      <w:spacing w:after="0"/>
      <w:ind w:left="1080" w:hanging="360"/>
      <w:outlineLvl w:val="2"/>
    </w:pPr>
  </w:style>
  <w:style w:type="paragraph" w:styleId="Nadpis4">
    <w:name w:val="heading 4"/>
    <w:aliases w:val="Termín"/>
    <w:basedOn w:val="Odsekzoznamu"/>
    <w:next w:val="Normlny"/>
    <w:link w:val="Nadpis4Char"/>
    <w:uiPriority w:val="9"/>
    <w:qFormat/>
    <w:rsid w:val="00C61270"/>
    <w:pPr>
      <w:numPr>
        <w:ilvl w:val="2"/>
        <w:numId w:val="1"/>
      </w:numPr>
      <w:tabs>
        <w:tab w:val="left" w:pos="426"/>
      </w:tabs>
      <w:spacing w:after="0"/>
      <w:ind w:left="0" w:firstLine="0"/>
      <w:outlineLvl w:val="3"/>
    </w:pPr>
    <w:rPr>
      <w:rFonts w:ascii="Arial Narrow" w:hAnsi="Arial Narrow" w:cs="Calibri"/>
      <w:b/>
      <w:sz w:val="28"/>
      <w:szCs w:val="28"/>
    </w:rPr>
  </w:style>
  <w:style w:type="paragraph" w:styleId="Nadpis5">
    <w:name w:val="heading 5"/>
    <w:basedOn w:val="Nadpis1"/>
    <w:next w:val="Normlny"/>
    <w:link w:val="Nadpis5Char"/>
    <w:uiPriority w:val="9"/>
    <w:qFormat/>
    <w:rsid w:val="002015E9"/>
    <w:pPr>
      <w:tabs>
        <w:tab w:val="clear" w:pos="432"/>
      </w:tabs>
      <w:spacing w:before="0" w:after="0"/>
      <w:ind w:left="0" w:firstLine="0"/>
      <w:outlineLvl w:val="4"/>
    </w:pPr>
    <w:rPr>
      <w:sz w:val="32"/>
      <w:szCs w:val="32"/>
    </w:rPr>
  </w:style>
  <w:style w:type="paragraph" w:styleId="Nadpis6">
    <w:name w:val="heading 6"/>
    <w:basedOn w:val="Nadpis1"/>
    <w:next w:val="Normlny"/>
    <w:link w:val="Nadpis6Char"/>
    <w:uiPriority w:val="9"/>
    <w:qFormat/>
    <w:rsid w:val="002015E9"/>
    <w:pPr>
      <w:tabs>
        <w:tab w:val="clear" w:pos="432"/>
      </w:tabs>
      <w:spacing w:before="0" w:after="0"/>
      <w:ind w:left="0" w:firstLine="0"/>
      <w:outlineLvl w:val="5"/>
    </w:pPr>
  </w:style>
  <w:style w:type="paragraph" w:styleId="Nadpis7">
    <w:name w:val="heading 7"/>
    <w:basedOn w:val="Odsekzoznamu"/>
    <w:next w:val="Normlny"/>
    <w:link w:val="Nadpis7Char"/>
    <w:uiPriority w:val="9"/>
    <w:qFormat/>
    <w:rsid w:val="002015E9"/>
    <w:pPr>
      <w:numPr>
        <w:ilvl w:val="1"/>
        <w:numId w:val="1"/>
      </w:numPr>
      <w:tabs>
        <w:tab w:val="left" w:pos="426"/>
      </w:tabs>
      <w:ind w:left="284" w:hanging="284"/>
      <w:outlineLvl w:val="6"/>
    </w:pPr>
    <w:rPr>
      <w:rFonts w:ascii="Arial Narrow" w:hAnsi="Arial Narrow"/>
      <w:b/>
      <w:sz w:val="28"/>
      <w:szCs w:val="28"/>
    </w:rPr>
  </w:style>
  <w:style w:type="paragraph" w:styleId="Nadpis8">
    <w:name w:val="heading 8"/>
    <w:basedOn w:val="Normlny"/>
    <w:next w:val="Normlny"/>
    <w:link w:val="Nadpis8Char"/>
    <w:uiPriority w:val="9"/>
    <w:qFormat/>
    <w:rsid w:val="001D64D0"/>
    <w:pPr>
      <w:tabs>
        <w:tab w:val="num" w:pos="1440"/>
        <w:tab w:val="num" w:pos="5400"/>
        <w:tab w:val="num" w:pos="5760"/>
      </w:tabs>
      <w:spacing w:before="240" w:after="60"/>
      <w:ind w:left="1440" w:hanging="1440"/>
      <w:outlineLvl w:val="7"/>
    </w:pPr>
    <w:rPr>
      <w:i/>
      <w:iCs/>
    </w:rPr>
  </w:style>
  <w:style w:type="paragraph" w:styleId="Nadpis9">
    <w:name w:val="heading 9"/>
    <w:basedOn w:val="Normlny"/>
    <w:next w:val="Normlny"/>
    <w:link w:val="Nadpis9Char"/>
    <w:uiPriority w:val="9"/>
    <w:qFormat/>
    <w:rsid w:val="001D64D0"/>
    <w:pPr>
      <w:tabs>
        <w:tab w:val="num" w:pos="1584"/>
        <w:tab w:val="num" w:pos="6120"/>
        <w:tab w:val="num" w:pos="6480"/>
      </w:tabs>
      <w:spacing w:before="240" w:after="60"/>
      <w:ind w:left="1584" w:hanging="1584"/>
      <w:outlineLvl w:val="8"/>
    </w:pPr>
    <w:rPr>
      <w:rFonts w:ascii="Arial" w:hAnsi="Arial"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PXI Char,Čo robí (časť) Char"/>
    <w:basedOn w:val="Predvolenpsmoodseku"/>
    <w:link w:val="Nadpis1"/>
    <w:uiPriority w:val="9"/>
    <w:locked/>
    <w:rsid w:val="001D64D0"/>
    <w:rPr>
      <w:rFonts w:ascii="Arial Narrow" w:hAnsi="Arial Narrow" w:cs="Arial Narrow"/>
      <w:b/>
      <w:bCs/>
      <w:sz w:val="28"/>
      <w:szCs w:val="28"/>
      <w:lang w:eastAsia="sk-SK"/>
    </w:rPr>
  </w:style>
  <w:style w:type="character" w:customStyle="1" w:styleId="Nadpis2Char">
    <w:name w:val="Nadpis 2 Char"/>
    <w:aliases w:val="Úloha Char Char Char"/>
    <w:basedOn w:val="Predvolenpsmoodseku"/>
    <w:link w:val="Nadpis2"/>
    <w:uiPriority w:val="9"/>
    <w:locked/>
    <w:rsid w:val="001D64D0"/>
    <w:rPr>
      <w:rFonts w:ascii="Arial Narrow" w:hAnsi="Arial Narrow" w:cs="Arial Narrow"/>
      <w:b/>
      <w:bCs/>
      <w:color w:val="000000"/>
      <w:sz w:val="26"/>
      <w:szCs w:val="26"/>
      <w:lang w:eastAsia="sk-SK"/>
    </w:rPr>
  </w:style>
  <w:style w:type="character" w:customStyle="1" w:styleId="Nadpis3Char">
    <w:name w:val="Nadpis 3 Char"/>
    <w:aliases w:val="Podúloha Char Char Char"/>
    <w:basedOn w:val="Predvolenpsmoodseku"/>
    <w:link w:val="Nadpis3"/>
    <w:uiPriority w:val="9"/>
    <w:locked/>
    <w:rsid w:val="00C61270"/>
    <w:rPr>
      <w:rFonts w:cs="Times New Roman"/>
      <w:b/>
      <w:sz w:val="28"/>
      <w:szCs w:val="28"/>
      <w:lang w:eastAsia="en-US"/>
    </w:rPr>
  </w:style>
  <w:style w:type="character" w:customStyle="1" w:styleId="Nadpis4Char">
    <w:name w:val="Nadpis 4 Char"/>
    <w:aliases w:val="Termín Char"/>
    <w:basedOn w:val="Predvolenpsmoodseku"/>
    <w:link w:val="Nadpis4"/>
    <w:uiPriority w:val="9"/>
    <w:locked/>
    <w:rsid w:val="00C61270"/>
    <w:rPr>
      <w:rFonts w:cs="Calibri"/>
      <w:b/>
      <w:sz w:val="28"/>
      <w:szCs w:val="28"/>
      <w:lang w:eastAsia="en-US"/>
    </w:rPr>
  </w:style>
  <w:style w:type="character" w:customStyle="1" w:styleId="Nadpis5Char">
    <w:name w:val="Nadpis 5 Char"/>
    <w:basedOn w:val="Predvolenpsmoodseku"/>
    <w:link w:val="Nadpis5"/>
    <w:uiPriority w:val="9"/>
    <w:locked/>
    <w:rsid w:val="002015E9"/>
    <w:rPr>
      <w:b/>
      <w:bCs/>
      <w:sz w:val="32"/>
      <w:szCs w:val="32"/>
    </w:rPr>
  </w:style>
  <w:style w:type="character" w:customStyle="1" w:styleId="Nadpis6Char">
    <w:name w:val="Nadpis 6 Char"/>
    <w:basedOn w:val="Predvolenpsmoodseku"/>
    <w:link w:val="Nadpis6"/>
    <w:uiPriority w:val="9"/>
    <w:locked/>
    <w:rsid w:val="002015E9"/>
    <w:rPr>
      <w:b/>
      <w:bCs/>
      <w:sz w:val="28"/>
      <w:szCs w:val="28"/>
    </w:rPr>
  </w:style>
  <w:style w:type="character" w:customStyle="1" w:styleId="Nadpis7Char">
    <w:name w:val="Nadpis 7 Char"/>
    <w:basedOn w:val="Predvolenpsmoodseku"/>
    <w:link w:val="Nadpis7"/>
    <w:uiPriority w:val="9"/>
    <w:locked/>
    <w:rsid w:val="002015E9"/>
    <w:rPr>
      <w:rFonts w:cs="Times New Roman"/>
      <w:b/>
      <w:sz w:val="28"/>
      <w:szCs w:val="28"/>
      <w:lang w:eastAsia="en-US"/>
    </w:rPr>
  </w:style>
  <w:style w:type="character" w:customStyle="1" w:styleId="Nadpis8Char">
    <w:name w:val="Nadpis 8 Char"/>
    <w:basedOn w:val="Predvolenpsmoodseku"/>
    <w:link w:val="Nadpis8"/>
    <w:uiPriority w:val="9"/>
    <w:locked/>
    <w:rsid w:val="001D64D0"/>
    <w:rPr>
      <w:rFonts w:ascii="Arial Narrow" w:hAnsi="Arial Narrow" w:cs="Arial Narrow"/>
      <w:i/>
      <w:iCs/>
      <w:lang w:eastAsia="sk-SK"/>
    </w:rPr>
  </w:style>
  <w:style w:type="character" w:customStyle="1" w:styleId="Nadpis9Char">
    <w:name w:val="Nadpis 9 Char"/>
    <w:basedOn w:val="Predvolenpsmoodseku"/>
    <w:link w:val="Nadpis9"/>
    <w:uiPriority w:val="9"/>
    <w:locked/>
    <w:rsid w:val="001D64D0"/>
    <w:rPr>
      <w:rFonts w:ascii="Arial" w:hAnsi="Arial" w:cs="Arial"/>
      <w:lang w:eastAsia="sk-SK"/>
    </w:rPr>
  </w:style>
  <w:style w:type="paragraph" w:styleId="Textbubliny">
    <w:name w:val="Balloon Text"/>
    <w:basedOn w:val="Normlny"/>
    <w:link w:val="TextbublinyChar"/>
    <w:uiPriority w:val="99"/>
    <w:semiHidden/>
    <w:rsid w:val="001D64D0"/>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D64D0"/>
    <w:rPr>
      <w:rFonts w:ascii="Tahoma" w:hAnsi="Tahoma" w:cs="Tahoma"/>
      <w:sz w:val="16"/>
      <w:szCs w:val="16"/>
      <w:lang w:eastAsia="sk-SK"/>
    </w:rPr>
  </w:style>
  <w:style w:type="paragraph" w:customStyle="1" w:styleId="CharCharCharCharCharCharCharCharCharCharChar">
    <w:name w:val="Char Char Char Char Char Char Char Char Char Char Char"/>
    <w:basedOn w:val="Normlny"/>
    <w:rsid w:val="001D64D0"/>
    <w:pPr>
      <w:spacing w:after="160" w:line="240" w:lineRule="exact"/>
      <w:jc w:val="left"/>
    </w:pPr>
    <w:rPr>
      <w:rFonts w:ascii="Tahoma" w:hAnsi="Tahoma" w:cs="Tahoma"/>
      <w:sz w:val="20"/>
      <w:szCs w:val="20"/>
      <w:lang w:val="en-US" w:eastAsia="en-US"/>
    </w:rPr>
  </w:style>
  <w:style w:type="paragraph" w:customStyle="1" w:styleId="tl1">
    <w:name w:val="Štýl1"/>
    <w:basedOn w:val="Nadpis3"/>
    <w:next w:val="Nadpis3"/>
    <w:rsid w:val="001D64D0"/>
  </w:style>
  <w:style w:type="paragraph" w:customStyle="1" w:styleId="Zkladntext">
    <w:name w:val="Základní text"/>
    <w:rsid w:val="001D64D0"/>
    <w:pPr>
      <w:spacing w:after="120"/>
    </w:pPr>
    <w:rPr>
      <w:color w:val="000000"/>
      <w:sz w:val="24"/>
      <w:szCs w:val="24"/>
    </w:rPr>
  </w:style>
  <w:style w:type="paragraph" w:styleId="Zarkazkladnhotextu">
    <w:name w:val="Body Text Indent"/>
    <w:basedOn w:val="Normlny"/>
    <w:link w:val="ZarkazkladnhotextuChar"/>
    <w:uiPriority w:val="99"/>
    <w:rsid w:val="001D64D0"/>
    <w:pPr>
      <w:ind w:left="283"/>
      <w:jc w:val="left"/>
    </w:pPr>
    <w:rPr>
      <w:sz w:val="24"/>
      <w:szCs w:val="24"/>
    </w:rPr>
  </w:style>
  <w:style w:type="character" w:customStyle="1" w:styleId="ZarkazkladnhotextuChar">
    <w:name w:val="Zarážka základného textu Char"/>
    <w:basedOn w:val="Predvolenpsmoodseku"/>
    <w:link w:val="Zarkazkladnhotextu"/>
    <w:uiPriority w:val="99"/>
    <w:locked/>
    <w:rsid w:val="001D64D0"/>
    <w:rPr>
      <w:rFonts w:ascii="Arial Narrow" w:hAnsi="Arial Narrow" w:cs="Arial Narrow"/>
      <w:sz w:val="24"/>
      <w:szCs w:val="24"/>
      <w:lang w:eastAsia="sk-SK"/>
    </w:rPr>
  </w:style>
  <w:style w:type="character" w:styleId="Odkaznapoznmkupodiarou">
    <w:name w:val="footnote reference"/>
    <w:basedOn w:val="Predvolenpsmoodseku"/>
    <w:uiPriority w:val="99"/>
    <w:semiHidden/>
    <w:rsid w:val="001D64D0"/>
    <w:rPr>
      <w:rFonts w:cs="Times New Roman"/>
      <w:vertAlign w:val="superscript"/>
    </w:rPr>
  </w:style>
  <w:style w:type="paragraph" w:customStyle="1" w:styleId="CharCharChar2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w:basedOn w:val="Normlny"/>
    <w:rsid w:val="001D64D0"/>
    <w:pPr>
      <w:spacing w:after="160" w:line="240" w:lineRule="exact"/>
      <w:jc w:val="left"/>
    </w:pPr>
    <w:rPr>
      <w:rFonts w:ascii="Tahoma" w:hAnsi="Tahoma" w:cs="Tahoma"/>
      <w:sz w:val="20"/>
      <w:szCs w:val="20"/>
      <w:lang w:val="en-US" w:eastAsia="en-US"/>
    </w:rPr>
  </w:style>
  <w:style w:type="paragraph" w:customStyle="1" w:styleId="xl25">
    <w:name w:val="xl25"/>
    <w:basedOn w:val="Normlny"/>
    <w:rsid w:val="001D64D0"/>
    <w:pPr>
      <w:spacing w:before="100" w:beforeAutospacing="1" w:after="100" w:afterAutospacing="1"/>
    </w:pPr>
    <w:rPr>
      <w:rFonts w:ascii="Arial" w:hAnsi="Arial" w:cs="Arial"/>
      <w:b/>
      <w:bCs/>
    </w:rPr>
  </w:style>
  <w:style w:type="paragraph" w:styleId="Zkladntext0">
    <w:name w:val="Body Text"/>
    <w:basedOn w:val="Normlny"/>
    <w:link w:val="ZkladntextChar"/>
    <w:uiPriority w:val="99"/>
    <w:rsid w:val="001D64D0"/>
  </w:style>
  <w:style w:type="character" w:customStyle="1" w:styleId="ZkladntextChar">
    <w:name w:val="Základný text Char"/>
    <w:basedOn w:val="Predvolenpsmoodseku"/>
    <w:link w:val="Zkladntext0"/>
    <w:uiPriority w:val="99"/>
    <w:locked/>
    <w:rsid w:val="001D64D0"/>
    <w:rPr>
      <w:rFonts w:ascii="Arial Narrow" w:hAnsi="Arial Narrow" w:cs="Arial Narrow"/>
      <w:lang w:eastAsia="sk-SK"/>
    </w:rPr>
  </w:style>
  <w:style w:type="paragraph" w:styleId="Textpoznmkypodiarou">
    <w:name w:val="footnote text"/>
    <w:aliases w:val="Text poznámky pod čiarou 007,Schriftart: 9 pt,Schriftart: 10 pt,Schriftart: 8 pt,_Poznámka pod čiarou,Footnote Text Char2,Footnote Text Char1 Char,Footnote Text Char2 Char Char,Footnote Text Char1 Char Char Char Char Char Char"/>
    <w:basedOn w:val="Normlny"/>
    <w:link w:val="TextpoznmkypodiarouChar"/>
    <w:uiPriority w:val="99"/>
    <w:rsid w:val="001D64D0"/>
    <w:rPr>
      <w:sz w:val="20"/>
      <w:szCs w:val="20"/>
    </w:rPr>
  </w:style>
  <w:style w:type="character" w:customStyle="1" w:styleId="TextpoznmkypodiarouChar">
    <w:name w:val="Text poznámky pod čiarou Char"/>
    <w:aliases w:val="Text poznámky pod čiarou 007 Char,Schriftart: 9 pt Char,Schriftart: 10 pt Char,Schriftart: 8 pt Char,_Poznámka pod čiarou Char,Footnote Text Char2 Char,Footnote Text Char1 Char Char,Footnote Text Char2 Char Char Char"/>
    <w:basedOn w:val="Predvolenpsmoodseku"/>
    <w:link w:val="Textpoznmkypodiarou"/>
    <w:uiPriority w:val="99"/>
    <w:locked/>
    <w:rsid w:val="00162D59"/>
    <w:rPr>
      <w:rFonts w:cs="Times New Roman"/>
      <w:sz w:val="20"/>
      <w:szCs w:val="20"/>
    </w:rPr>
  </w:style>
  <w:style w:type="paragraph" w:styleId="Hlavika">
    <w:name w:val="header"/>
    <w:basedOn w:val="Normlny"/>
    <w:link w:val="HlavikaChar"/>
    <w:uiPriority w:val="99"/>
    <w:rsid w:val="001D64D0"/>
    <w:pPr>
      <w:tabs>
        <w:tab w:val="center" w:pos="4536"/>
        <w:tab w:val="right" w:pos="9072"/>
      </w:tabs>
    </w:pPr>
  </w:style>
  <w:style w:type="character" w:customStyle="1" w:styleId="HlavikaChar">
    <w:name w:val="Hlavička Char"/>
    <w:basedOn w:val="Predvolenpsmoodseku"/>
    <w:link w:val="Hlavika"/>
    <w:uiPriority w:val="99"/>
    <w:locked/>
    <w:rsid w:val="001D64D0"/>
    <w:rPr>
      <w:rFonts w:ascii="Arial Narrow" w:hAnsi="Arial Narrow" w:cs="Arial Narrow"/>
      <w:lang w:eastAsia="sk-SK"/>
    </w:rPr>
  </w:style>
  <w:style w:type="paragraph" w:customStyle="1" w:styleId="Znaka1">
    <w:name w:val="Značka 1"/>
    <w:rsid w:val="001D64D0"/>
    <w:pPr>
      <w:spacing w:after="120"/>
      <w:ind w:left="576"/>
    </w:pPr>
    <w:rPr>
      <w:color w:val="000000"/>
      <w:sz w:val="24"/>
      <w:szCs w:val="24"/>
    </w:rPr>
  </w:style>
  <w:style w:type="paragraph" w:customStyle="1" w:styleId="xl26">
    <w:name w:val="xl26"/>
    <w:basedOn w:val="Normlny"/>
    <w:rsid w:val="001D64D0"/>
    <w:pPr>
      <w:spacing w:before="100" w:beforeAutospacing="1" w:after="100" w:afterAutospacing="1"/>
    </w:pPr>
    <w:rPr>
      <w:rFonts w:ascii="Arial" w:hAnsi="Arial" w:cs="Arial"/>
      <w:b/>
      <w:bCs/>
    </w:rPr>
  </w:style>
  <w:style w:type="paragraph" w:customStyle="1" w:styleId="xl29">
    <w:name w:val="xl29"/>
    <w:basedOn w:val="Normlny"/>
    <w:rsid w:val="001D64D0"/>
    <w:pPr>
      <w:shd w:val="clear" w:color="auto" w:fill="C0C0C0"/>
      <w:spacing w:before="100" w:beforeAutospacing="1" w:after="100" w:afterAutospacing="1"/>
    </w:pPr>
    <w:rPr>
      <w:rFonts w:ascii="Arial" w:hAnsi="Arial" w:cs="Arial"/>
      <w:b/>
      <w:bCs/>
    </w:rPr>
  </w:style>
  <w:style w:type="paragraph" w:customStyle="1" w:styleId="xl30">
    <w:name w:val="xl30"/>
    <w:basedOn w:val="Normlny"/>
    <w:rsid w:val="001D64D0"/>
    <w:pPr>
      <w:shd w:val="clear" w:color="auto" w:fill="C0C0C0"/>
      <w:spacing w:before="100" w:beforeAutospacing="1" w:after="100" w:afterAutospacing="1"/>
    </w:pPr>
    <w:rPr>
      <w:rFonts w:ascii="Arial" w:hAnsi="Arial" w:cs="Arial"/>
      <w:b/>
      <w:bCs/>
    </w:rPr>
  </w:style>
  <w:style w:type="paragraph" w:customStyle="1" w:styleId="xl31">
    <w:name w:val="xl31"/>
    <w:basedOn w:val="Normlny"/>
    <w:rsid w:val="001D64D0"/>
    <w:pPr>
      <w:shd w:val="clear" w:color="auto" w:fill="C0C0C0"/>
      <w:spacing w:before="100" w:beforeAutospacing="1" w:after="100" w:afterAutospacing="1"/>
    </w:pPr>
  </w:style>
  <w:style w:type="paragraph" w:customStyle="1" w:styleId="xl32">
    <w:name w:val="xl32"/>
    <w:basedOn w:val="Normlny"/>
    <w:rsid w:val="001D64D0"/>
    <w:pPr>
      <w:spacing w:before="100" w:beforeAutospacing="1" w:after="100" w:afterAutospacing="1"/>
      <w:jc w:val="right"/>
    </w:pPr>
    <w:rPr>
      <w:rFonts w:ascii="Arial" w:hAnsi="Arial" w:cs="Arial"/>
      <w:b/>
      <w:bCs/>
    </w:rPr>
  </w:style>
  <w:style w:type="paragraph" w:customStyle="1" w:styleId="xl33">
    <w:name w:val="xl33"/>
    <w:basedOn w:val="Normlny"/>
    <w:rsid w:val="001D64D0"/>
    <w:pPr>
      <w:spacing w:before="100" w:beforeAutospacing="1" w:after="100" w:afterAutospacing="1"/>
    </w:pPr>
    <w:rPr>
      <w:rFonts w:ascii="Arial" w:hAnsi="Arial" w:cs="Arial"/>
      <w:color w:val="FF0000"/>
    </w:rPr>
  </w:style>
  <w:style w:type="paragraph" w:customStyle="1" w:styleId="xl34">
    <w:name w:val="xl34"/>
    <w:basedOn w:val="Normlny"/>
    <w:rsid w:val="001D64D0"/>
    <w:pPr>
      <w:shd w:val="clear" w:color="auto" w:fill="000000"/>
      <w:spacing w:before="100" w:beforeAutospacing="1" w:after="100" w:afterAutospacing="1"/>
    </w:pPr>
    <w:rPr>
      <w:rFonts w:ascii="Arial" w:hAnsi="Arial" w:cs="Arial"/>
      <w:b/>
      <w:bCs/>
      <w:color w:val="FFFFFF"/>
    </w:rPr>
  </w:style>
  <w:style w:type="paragraph" w:customStyle="1" w:styleId="xl35">
    <w:name w:val="xl35"/>
    <w:basedOn w:val="Normlny"/>
    <w:rsid w:val="001D64D0"/>
    <w:pPr>
      <w:shd w:val="clear" w:color="auto" w:fill="C0C0C0"/>
      <w:spacing w:before="100" w:beforeAutospacing="1" w:after="100" w:afterAutospacing="1"/>
      <w:jc w:val="center"/>
    </w:pPr>
    <w:rPr>
      <w:rFonts w:ascii="Arial" w:hAnsi="Arial" w:cs="Arial"/>
      <w:b/>
      <w:bCs/>
    </w:rPr>
  </w:style>
  <w:style w:type="paragraph" w:customStyle="1" w:styleId="xl28">
    <w:name w:val="xl28"/>
    <w:basedOn w:val="Normlny"/>
    <w:rsid w:val="001D64D0"/>
    <w:pPr>
      <w:shd w:val="clear" w:color="auto" w:fill="C0C0C0"/>
      <w:spacing w:before="100" w:beforeAutospacing="1" w:after="100" w:afterAutospacing="1"/>
    </w:pPr>
    <w:rPr>
      <w:rFonts w:ascii="Arial" w:hAnsi="Arial" w:cs="Arial"/>
      <w:b/>
      <w:bCs/>
    </w:rPr>
  </w:style>
  <w:style w:type="paragraph" w:customStyle="1" w:styleId="xl24">
    <w:name w:val="xl24"/>
    <w:basedOn w:val="Normlny"/>
    <w:rsid w:val="001D64D0"/>
    <w:pPr>
      <w:shd w:val="clear" w:color="auto" w:fill="C0C0C0"/>
      <w:spacing w:before="100" w:beforeAutospacing="1" w:after="100" w:afterAutospacing="1"/>
    </w:pPr>
    <w:rPr>
      <w:rFonts w:ascii="Arial" w:hAnsi="Arial" w:cs="Arial"/>
      <w:sz w:val="16"/>
      <w:szCs w:val="16"/>
    </w:rPr>
  </w:style>
  <w:style w:type="paragraph" w:customStyle="1" w:styleId="xl27">
    <w:name w:val="xl27"/>
    <w:basedOn w:val="Normlny"/>
    <w:rsid w:val="001D64D0"/>
    <w:pPr>
      <w:shd w:val="clear" w:color="auto" w:fill="000000"/>
      <w:spacing w:before="100" w:beforeAutospacing="1" w:after="100" w:afterAutospacing="1"/>
      <w:textAlignment w:val="top"/>
    </w:pPr>
    <w:rPr>
      <w:rFonts w:ascii="Garamond" w:hAnsi="Garamond" w:cs="Garamond"/>
      <w:b/>
      <w:bCs/>
    </w:rPr>
  </w:style>
  <w:style w:type="paragraph" w:customStyle="1" w:styleId="xl36">
    <w:name w:val="xl36"/>
    <w:basedOn w:val="Normlny"/>
    <w:rsid w:val="001D64D0"/>
    <w:pPr>
      <w:spacing w:before="100" w:beforeAutospacing="1" w:after="100" w:afterAutospacing="1"/>
      <w:textAlignment w:val="top"/>
    </w:pPr>
    <w:rPr>
      <w:rFonts w:ascii="Garamond" w:hAnsi="Garamond" w:cs="Garamond"/>
      <w:color w:val="000000"/>
    </w:rPr>
  </w:style>
  <w:style w:type="paragraph" w:customStyle="1" w:styleId="xl37">
    <w:name w:val="xl37"/>
    <w:basedOn w:val="Normlny"/>
    <w:rsid w:val="001D64D0"/>
    <w:pPr>
      <w:spacing w:before="100" w:beforeAutospacing="1" w:after="100" w:afterAutospacing="1"/>
      <w:jc w:val="center"/>
      <w:textAlignment w:val="top"/>
    </w:pPr>
    <w:rPr>
      <w:rFonts w:ascii="Garamond" w:hAnsi="Garamond" w:cs="Garamond"/>
    </w:rPr>
  </w:style>
  <w:style w:type="paragraph" w:customStyle="1" w:styleId="xl38">
    <w:name w:val="xl38"/>
    <w:basedOn w:val="Normlny"/>
    <w:rsid w:val="001D64D0"/>
    <w:pPr>
      <w:spacing w:before="100" w:beforeAutospacing="1" w:after="100" w:afterAutospacing="1"/>
      <w:jc w:val="center"/>
    </w:pPr>
    <w:rPr>
      <w:rFonts w:ascii="Garamond" w:hAnsi="Garamond" w:cs="Garamond"/>
    </w:rPr>
  </w:style>
  <w:style w:type="paragraph" w:customStyle="1" w:styleId="xl39">
    <w:name w:val="xl39"/>
    <w:basedOn w:val="Normlny"/>
    <w:rsid w:val="001D64D0"/>
    <w:pPr>
      <w:spacing w:before="100" w:beforeAutospacing="1" w:after="100" w:afterAutospacing="1"/>
      <w:jc w:val="center"/>
      <w:textAlignment w:val="top"/>
    </w:pPr>
    <w:rPr>
      <w:rFonts w:ascii="Garamond" w:hAnsi="Garamond" w:cs="Garamond"/>
      <w:b/>
      <w:bCs/>
    </w:rPr>
  </w:style>
  <w:style w:type="paragraph" w:customStyle="1" w:styleId="xl40">
    <w:name w:val="xl40"/>
    <w:basedOn w:val="Normlny"/>
    <w:rsid w:val="001D64D0"/>
    <w:pPr>
      <w:spacing w:before="100" w:beforeAutospacing="1" w:after="100" w:afterAutospacing="1"/>
    </w:pPr>
    <w:rPr>
      <w:rFonts w:ascii="Garamond" w:hAnsi="Garamond" w:cs="Garamond"/>
      <w:b/>
      <w:bCs/>
    </w:rPr>
  </w:style>
  <w:style w:type="paragraph" w:customStyle="1" w:styleId="xl41">
    <w:name w:val="xl41"/>
    <w:basedOn w:val="Normlny"/>
    <w:rsid w:val="001D64D0"/>
    <w:pPr>
      <w:spacing w:before="100" w:beforeAutospacing="1" w:after="100" w:afterAutospacing="1"/>
      <w:jc w:val="right"/>
      <w:textAlignment w:val="top"/>
    </w:pPr>
    <w:rPr>
      <w:rFonts w:ascii="Garamond" w:hAnsi="Garamond" w:cs="Garamond"/>
      <w:i/>
      <w:iCs/>
      <w:sz w:val="16"/>
      <w:szCs w:val="16"/>
    </w:rPr>
  </w:style>
  <w:style w:type="paragraph" w:customStyle="1" w:styleId="xl42">
    <w:name w:val="xl42"/>
    <w:basedOn w:val="Normlny"/>
    <w:rsid w:val="001D64D0"/>
    <w:pPr>
      <w:pBdr>
        <w:bottom w:val="single" w:sz="4" w:space="0" w:color="auto"/>
      </w:pBdr>
      <w:shd w:val="clear" w:color="auto" w:fill="C0C0C0"/>
      <w:spacing w:before="100" w:beforeAutospacing="1" w:after="100" w:afterAutospacing="1"/>
      <w:jc w:val="center"/>
      <w:textAlignment w:val="top"/>
    </w:pPr>
    <w:rPr>
      <w:rFonts w:ascii="Garamond" w:hAnsi="Garamond" w:cs="Garamond"/>
      <w:b/>
      <w:bCs/>
    </w:rPr>
  </w:style>
  <w:style w:type="paragraph" w:customStyle="1" w:styleId="xl43">
    <w:name w:val="xl43"/>
    <w:basedOn w:val="Normlny"/>
    <w:rsid w:val="001D64D0"/>
    <w:pPr>
      <w:pBdr>
        <w:bottom w:val="single" w:sz="4" w:space="0" w:color="auto"/>
      </w:pBdr>
      <w:shd w:val="clear" w:color="auto" w:fill="C0C0C0"/>
      <w:spacing w:before="100" w:beforeAutospacing="1" w:after="100" w:afterAutospacing="1"/>
      <w:jc w:val="center"/>
      <w:textAlignment w:val="top"/>
    </w:pPr>
    <w:rPr>
      <w:rFonts w:ascii="Garamond" w:hAnsi="Garamond" w:cs="Garamond"/>
      <w:b/>
      <w:bCs/>
    </w:rPr>
  </w:style>
  <w:style w:type="paragraph" w:customStyle="1" w:styleId="xl44">
    <w:name w:val="xl44"/>
    <w:basedOn w:val="Normlny"/>
    <w:rsid w:val="001D64D0"/>
    <w:pPr>
      <w:pBdr>
        <w:bottom w:val="single" w:sz="4" w:space="0" w:color="auto"/>
      </w:pBdr>
      <w:shd w:val="clear" w:color="auto" w:fill="C0C0C0"/>
      <w:spacing w:before="100" w:beforeAutospacing="1" w:after="100" w:afterAutospacing="1"/>
      <w:textAlignment w:val="top"/>
    </w:pPr>
    <w:rPr>
      <w:rFonts w:ascii="Garamond" w:hAnsi="Garamond" w:cs="Garamond"/>
      <w:b/>
      <w:bCs/>
    </w:rPr>
  </w:style>
  <w:style w:type="paragraph" w:customStyle="1" w:styleId="xl45">
    <w:name w:val="xl45"/>
    <w:basedOn w:val="Normlny"/>
    <w:rsid w:val="001D64D0"/>
    <w:pPr>
      <w:pBdr>
        <w:top w:val="single" w:sz="4" w:space="0" w:color="auto"/>
        <w:bottom w:val="single" w:sz="4" w:space="0" w:color="auto"/>
      </w:pBdr>
      <w:shd w:val="clear" w:color="auto" w:fill="C0C0C0"/>
      <w:spacing w:before="100" w:beforeAutospacing="1" w:after="100" w:afterAutospacing="1"/>
      <w:jc w:val="center"/>
      <w:textAlignment w:val="top"/>
    </w:pPr>
    <w:rPr>
      <w:rFonts w:ascii="Garamond" w:hAnsi="Garamond" w:cs="Garamond"/>
      <w:b/>
      <w:bCs/>
    </w:rPr>
  </w:style>
  <w:style w:type="paragraph" w:customStyle="1" w:styleId="xl46">
    <w:name w:val="xl46"/>
    <w:basedOn w:val="Normlny"/>
    <w:rsid w:val="001D64D0"/>
    <w:pPr>
      <w:pBdr>
        <w:top w:val="single" w:sz="4" w:space="0" w:color="auto"/>
        <w:bottom w:val="single" w:sz="4" w:space="0" w:color="auto"/>
      </w:pBdr>
      <w:shd w:val="clear" w:color="auto" w:fill="C0C0C0"/>
      <w:spacing w:before="100" w:beforeAutospacing="1" w:after="100" w:afterAutospacing="1"/>
      <w:textAlignment w:val="center"/>
    </w:pPr>
    <w:rPr>
      <w:rFonts w:ascii="Garamond" w:hAnsi="Garamond" w:cs="Garamond"/>
      <w:b/>
      <w:bCs/>
    </w:rPr>
  </w:style>
  <w:style w:type="paragraph" w:customStyle="1" w:styleId="xl47">
    <w:name w:val="xl47"/>
    <w:basedOn w:val="Normlny"/>
    <w:rsid w:val="001D64D0"/>
    <w:pPr>
      <w:pBdr>
        <w:top w:val="single" w:sz="4" w:space="0" w:color="auto"/>
        <w:bottom w:val="single" w:sz="4" w:space="0" w:color="auto"/>
      </w:pBdr>
      <w:shd w:val="clear" w:color="auto" w:fill="C0C0C0"/>
      <w:spacing w:before="100" w:beforeAutospacing="1" w:after="100" w:afterAutospacing="1"/>
      <w:textAlignment w:val="top"/>
    </w:pPr>
    <w:rPr>
      <w:rFonts w:ascii="Garamond" w:hAnsi="Garamond" w:cs="Garamond"/>
    </w:rPr>
  </w:style>
  <w:style w:type="paragraph" w:customStyle="1" w:styleId="xl48">
    <w:name w:val="xl48"/>
    <w:basedOn w:val="Normlny"/>
    <w:rsid w:val="001D64D0"/>
    <w:pPr>
      <w:pBdr>
        <w:top w:val="single" w:sz="4" w:space="0" w:color="auto"/>
        <w:bottom w:val="single" w:sz="4" w:space="0" w:color="auto"/>
      </w:pBdr>
      <w:shd w:val="clear" w:color="auto" w:fill="C0C0C0"/>
      <w:spacing w:before="100" w:beforeAutospacing="1" w:after="100" w:afterAutospacing="1"/>
      <w:textAlignment w:val="top"/>
    </w:pPr>
    <w:rPr>
      <w:rFonts w:ascii="Garamond" w:hAnsi="Garamond" w:cs="Garamond"/>
      <w:b/>
      <w:bCs/>
    </w:rPr>
  </w:style>
  <w:style w:type="paragraph" w:customStyle="1" w:styleId="xl49">
    <w:name w:val="xl49"/>
    <w:basedOn w:val="Normlny"/>
    <w:rsid w:val="001D64D0"/>
    <w:pPr>
      <w:pBdr>
        <w:top w:val="single" w:sz="4" w:space="0" w:color="auto"/>
        <w:bottom w:val="single" w:sz="4" w:space="0" w:color="auto"/>
      </w:pBdr>
      <w:shd w:val="clear" w:color="auto" w:fill="C0C0C0"/>
      <w:spacing w:before="100" w:beforeAutospacing="1" w:after="100" w:afterAutospacing="1"/>
      <w:jc w:val="center"/>
      <w:textAlignment w:val="center"/>
    </w:pPr>
    <w:rPr>
      <w:rFonts w:ascii="Garamond" w:hAnsi="Garamond" w:cs="Garamond"/>
      <w:b/>
      <w:bCs/>
    </w:rPr>
  </w:style>
  <w:style w:type="paragraph" w:customStyle="1" w:styleId="xl50">
    <w:name w:val="xl50"/>
    <w:basedOn w:val="Normlny"/>
    <w:rsid w:val="001D64D0"/>
    <w:pPr>
      <w:pBdr>
        <w:top w:val="single" w:sz="4" w:space="0" w:color="auto"/>
        <w:bottom w:val="single" w:sz="4" w:space="0" w:color="auto"/>
      </w:pBdr>
      <w:shd w:val="clear" w:color="auto" w:fill="C0C0C0"/>
      <w:spacing w:before="100" w:beforeAutospacing="1" w:after="100" w:afterAutospacing="1"/>
      <w:jc w:val="center"/>
      <w:textAlignment w:val="top"/>
    </w:pPr>
    <w:rPr>
      <w:rFonts w:ascii="Garamond" w:hAnsi="Garamond" w:cs="Garamond"/>
      <w:b/>
      <w:bCs/>
    </w:rPr>
  </w:style>
  <w:style w:type="paragraph" w:customStyle="1" w:styleId="xl51">
    <w:name w:val="xl51"/>
    <w:basedOn w:val="Normlny"/>
    <w:rsid w:val="001D64D0"/>
    <w:pPr>
      <w:pBdr>
        <w:bottom w:val="single" w:sz="4" w:space="0" w:color="auto"/>
      </w:pBdr>
      <w:spacing w:before="100" w:beforeAutospacing="1" w:after="100" w:afterAutospacing="1"/>
      <w:jc w:val="center"/>
      <w:textAlignment w:val="top"/>
    </w:pPr>
    <w:rPr>
      <w:rFonts w:ascii="Garamond" w:hAnsi="Garamond" w:cs="Garamond"/>
    </w:rPr>
  </w:style>
  <w:style w:type="paragraph" w:customStyle="1" w:styleId="xl52">
    <w:name w:val="xl52"/>
    <w:basedOn w:val="Normlny"/>
    <w:rsid w:val="001D64D0"/>
    <w:pPr>
      <w:pBdr>
        <w:bottom w:val="single" w:sz="4" w:space="0" w:color="auto"/>
      </w:pBdr>
      <w:spacing w:before="100" w:beforeAutospacing="1" w:after="100" w:afterAutospacing="1"/>
      <w:textAlignment w:val="top"/>
    </w:pPr>
    <w:rPr>
      <w:rFonts w:ascii="Garamond" w:hAnsi="Garamond" w:cs="Garamond"/>
      <w:color w:val="000000"/>
    </w:rPr>
  </w:style>
  <w:style w:type="paragraph" w:customStyle="1" w:styleId="xl53">
    <w:name w:val="xl53"/>
    <w:basedOn w:val="Normlny"/>
    <w:rsid w:val="001D64D0"/>
    <w:pPr>
      <w:pBdr>
        <w:bottom w:val="single" w:sz="4" w:space="0" w:color="auto"/>
      </w:pBdr>
      <w:spacing w:before="100" w:beforeAutospacing="1" w:after="100" w:afterAutospacing="1"/>
    </w:pPr>
    <w:rPr>
      <w:rFonts w:ascii="Garamond" w:hAnsi="Garamond" w:cs="Garamond"/>
    </w:rPr>
  </w:style>
  <w:style w:type="paragraph" w:customStyle="1" w:styleId="xl54">
    <w:name w:val="xl54"/>
    <w:basedOn w:val="Normlny"/>
    <w:rsid w:val="001D64D0"/>
    <w:pPr>
      <w:pBdr>
        <w:bottom w:val="single" w:sz="4" w:space="0" w:color="auto"/>
      </w:pBdr>
      <w:spacing w:before="100" w:beforeAutospacing="1" w:after="100" w:afterAutospacing="1"/>
    </w:pPr>
    <w:rPr>
      <w:rFonts w:ascii="Garamond" w:hAnsi="Garamond" w:cs="Garamond"/>
      <w:b/>
      <w:bCs/>
    </w:rPr>
  </w:style>
  <w:style w:type="paragraph" w:customStyle="1" w:styleId="xl55">
    <w:name w:val="xl55"/>
    <w:basedOn w:val="Normlny"/>
    <w:rsid w:val="001D64D0"/>
    <w:pPr>
      <w:pBdr>
        <w:bottom w:val="single" w:sz="4" w:space="0" w:color="auto"/>
      </w:pBdr>
      <w:spacing w:before="100" w:beforeAutospacing="1" w:after="100" w:afterAutospacing="1"/>
      <w:jc w:val="center"/>
    </w:pPr>
    <w:rPr>
      <w:rFonts w:ascii="Garamond" w:hAnsi="Garamond" w:cs="Garamond"/>
    </w:rPr>
  </w:style>
  <w:style w:type="paragraph" w:customStyle="1" w:styleId="xl56">
    <w:name w:val="xl56"/>
    <w:basedOn w:val="Normlny"/>
    <w:rsid w:val="001D64D0"/>
    <w:pPr>
      <w:pBdr>
        <w:bottom w:val="single" w:sz="4" w:space="0" w:color="auto"/>
      </w:pBdr>
      <w:spacing w:before="100" w:beforeAutospacing="1" w:after="100" w:afterAutospacing="1"/>
      <w:ind w:firstLineChars="100" w:firstLine="100"/>
      <w:textAlignment w:val="top"/>
    </w:pPr>
    <w:rPr>
      <w:rFonts w:ascii="Garamond" w:hAnsi="Garamond" w:cs="Garamond"/>
    </w:rPr>
  </w:style>
  <w:style w:type="paragraph" w:customStyle="1" w:styleId="xl57">
    <w:name w:val="xl57"/>
    <w:basedOn w:val="Normlny"/>
    <w:rsid w:val="001D64D0"/>
    <w:pPr>
      <w:pBdr>
        <w:bottom w:val="single" w:sz="4" w:space="0" w:color="auto"/>
      </w:pBdr>
      <w:spacing w:before="100" w:beforeAutospacing="1" w:after="100" w:afterAutospacing="1"/>
      <w:textAlignment w:val="top"/>
    </w:pPr>
    <w:rPr>
      <w:rFonts w:ascii="Garamond" w:hAnsi="Garamond" w:cs="Garamond"/>
    </w:rPr>
  </w:style>
  <w:style w:type="paragraph" w:customStyle="1" w:styleId="xl58">
    <w:name w:val="xl58"/>
    <w:basedOn w:val="Normlny"/>
    <w:rsid w:val="001D64D0"/>
    <w:pPr>
      <w:pBdr>
        <w:bottom w:val="single" w:sz="4" w:space="0" w:color="auto"/>
      </w:pBdr>
      <w:spacing w:before="100" w:beforeAutospacing="1" w:after="100" w:afterAutospacing="1"/>
      <w:jc w:val="center"/>
      <w:textAlignment w:val="top"/>
    </w:pPr>
    <w:rPr>
      <w:rFonts w:ascii="Garamond" w:hAnsi="Garamond" w:cs="Garamond"/>
    </w:rPr>
  </w:style>
  <w:style w:type="paragraph" w:customStyle="1" w:styleId="xl59">
    <w:name w:val="xl59"/>
    <w:basedOn w:val="Normlny"/>
    <w:rsid w:val="001D64D0"/>
    <w:pPr>
      <w:pBdr>
        <w:bottom w:val="single" w:sz="4" w:space="0" w:color="auto"/>
      </w:pBdr>
      <w:spacing w:before="100" w:beforeAutospacing="1" w:after="100" w:afterAutospacing="1"/>
      <w:textAlignment w:val="top"/>
    </w:pPr>
    <w:rPr>
      <w:rFonts w:ascii="Garamond" w:hAnsi="Garamond" w:cs="Garamond"/>
      <w:b/>
      <w:bCs/>
    </w:rPr>
  </w:style>
  <w:style w:type="paragraph" w:customStyle="1" w:styleId="xl60">
    <w:name w:val="xl60"/>
    <w:basedOn w:val="Normlny"/>
    <w:rsid w:val="001D64D0"/>
    <w:pPr>
      <w:spacing w:before="100" w:beforeAutospacing="1" w:after="100" w:afterAutospacing="1"/>
      <w:jc w:val="center"/>
      <w:textAlignment w:val="top"/>
    </w:pPr>
    <w:rPr>
      <w:rFonts w:ascii="Garamond" w:hAnsi="Garamond" w:cs="Garamond"/>
      <w:i/>
      <w:iCs/>
    </w:rPr>
  </w:style>
  <w:style w:type="paragraph" w:customStyle="1" w:styleId="xl61">
    <w:name w:val="xl61"/>
    <w:basedOn w:val="Normlny"/>
    <w:rsid w:val="001D64D0"/>
    <w:pPr>
      <w:spacing w:before="100" w:beforeAutospacing="1" w:after="100" w:afterAutospacing="1"/>
      <w:ind w:firstLineChars="100" w:firstLine="100"/>
    </w:pPr>
    <w:rPr>
      <w:rFonts w:ascii="Garamond" w:hAnsi="Garamond" w:cs="Garamond"/>
      <w:i/>
      <w:iCs/>
    </w:rPr>
  </w:style>
  <w:style w:type="paragraph" w:customStyle="1" w:styleId="xl62">
    <w:name w:val="xl62"/>
    <w:basedOn w:val="Normlny"/>
    <w:rsid w:val="001D64D0"/>
    <w:pPr>
      <w:spacing w:before="100" w:beforeAutospacing="1" w:after="100" w:afterAutospacing="1"/>
      <w:ind w:firstLineChars="100" w:firstLine="100"/>
      <w:textAlignment w:val="top"/>
    </w:pPr>
    <w:rPr>
      <w:rFonts w:ascii="Garamond" w:hAnsi="Garamond" w:cs="Garamond"/>
      <w:i/>
      <w:iCs/>
      <w:color w:val="000000"/>
    </w:rPr>
  </w:style>
  <w:style w:type="paragraph" w:customStyle="1" w:styleId="xl63">
    <w:name w:val="xl63"/>
    <w:basedOn w:val="Normlny"/>
    <w:rsid w:val="001D64D0"/>
    <w:pPr>
      <w:spacing w:before="100" w:beforeAutospacing="1" w:after="100" w:afterAutospacing="1"/>
      <w:ind w:firstLineChars="100" w:firstLine="100"/>
      <w:textAlignment w:val="top"/>
    </w:pPr>
    <w:rPr>
      <w:rFonts w:ascii="Garamond" w:hAnsi="Garamond" w:cs="Garamond"/>
      <w:color w:val="000000"/>
    </w:rPr>
  </w:style>
  <w:style w:type="paragraph" w:customStyle="1" w:styleId="xl64">
    <w:name w:val="xl64"/>
    <w:basedOn w:val="Normlny"/>
    <w:rsid w:val="001D64D0"/>
    <w:pPr>
      <w:spacing w:before="100" w:beforeAutospacing="1" w:after="100" w:afterAutospacing="1"/>
    </w:pPr>
    <w:rPr>
      <w:rFonts w:ascii="Garamond" w:hAnsi="Garamond" w:cs="Garamond"/>
      <w:b/>
      <w:bCs/>
    </w:rPr>
  </w:style>
  <w:style w:type="paragraph" w:customStyle="1" w:styleId="xl65">
    <w:name w:val="xl65"/>
    <w:basedOn w:val="Normlny"/>
    <w:rsid w:val="001D64D0"/>
    <w:pPr>
      <w:spacing w:before="100" w:beforeAutospacing="1" w:after="100" w:afterAutospacing="1"/>
      <w:ind w:firstLineChars="100" w:firstLine="100"/>
    </w:pPr>
    <w:rPr>
      <w:rFonts w:ascii="Garamond" w:hAnsi="Garamond" w:cs="Garamond"/>
    </w:rPr>
  </w:style>
  <w:style w:type="paragraph" w:customStyle="1" w:styleId="xl66">
    <w:name w:val="xl66"/>
    <w:basedOn w:val="Normlny"/>
    <w:rsid w:val="001D64D0"/>
    <w:pPr>
      <w:spacing w:before="100" w:beforeAutospacing="1" w:after="100" w:afterAutospacing="1"/>
    </w:pPr>
    <w:rPr>
      <w:rFonts w:ascii="Garamond" w:hAnsi="Garamond" w:cs="Garamond"/>
      <w:b/>
      <w:bCs/>
    </w:rPr>
  </w:style>
  <w:style w:type="paragraph" w:customStyle="1" w:styleId="xl67">
    <w:name w:val="xl67"/>
    <w:basedOn w:val="Normlny"/>
    <w:rsid w:val="001D64D0"/>
    <w:pPr>
      <w:spacing w:before="100" w:beforeAutospacing="1" w:after="100" w:afterAutospacing="1"/>
      <w:ind w:firstLineChars="100" w:firstLine="100"/>
      <w:textAlignment w:val="top"/>
    </w:pPr>
    <w:rPr>
      <w:rFonts w:ascii="Garamond" w:hAnsi="Garamond" w:cs="Garamond"/>
      <w:i/>
      <w:iCs/>
    </w:rPr>
  </w:style>
  <w:style w:type="paragraph" w:customStyle="1" w:styleId="xl68">
    <w:name w:val="xl68"/>
    <w:basedOn w:val="Normlny"/>
    <w:rsid w:val="001D64D0"/>
    <w:pPr>
      <w:spacing w:before="100" w:beforeAutospacing="1" w:after="100" w:afterAutospacing="1"/>
      <w:textAlignment w:val="top"/>
    </w:pPr>
    <w:rPr>
      <w:rFonts w:ascii="Garamond" w:hAnsi="Garamond" w:cs="Garamond"/>
      <w:b/>
      <w:bCs/>
    </w:rPr>
  </w:style>
  <w:style w:type="paragraph" w:customStyle="1" w:styleId="xl69">
    <w:name w:val="xl69"/>
    <w:basedOn w:val="Normlny"/>
    <w:rsid w:val="001D64D0"/>
    <w:pPr>
      <w:pBdr>
        <w:bottom w:val="single" w:sz="4" w:space="0" w:color="auto"/>
      </w:pBdr>
      <w:shd w:val="clear" w:color="auto" w:fill="C0C0C0"/>
      <w:spacing w:before="100" w:beforeAutospacing="1" w:after="100" w:afterAutospacing="1"/>
      <w:jc w:val="center"/>
      <w:textAlignment w:val="top"/>
    </w:pPr>
    <w:rPr>
      <w:rFonts w:ascii="Garamond" w:hAnsi="Garamond" w:cs="Garamond"/>
      <w:b/>
      <w:bCs/>
    </w:rPr>
  </w:style>
  <w:style w:type="paragraph" w:customStyle="1" w:styleId="xl70">
    <w:name w:val="xl70"/>
    <w:basedOn w:val="Normlny"/>
    <w:rsid w:val="001D64D0"/>
    <w:pPr>
      <w:pBdr>
        <w:bottom w:val="single" w:sz="4" w:space="0" w:color="auto"/>
      </w:pBdr>
      <w:shd w:val="clear" w:color="auto" w:fill="C0C0C0"/>
      <w:spacing w:before="100" w:beforeAutospacing="1" w:after="100" w:afterAutospacing="1"/>
      <w:jc w:val="center"/>
      <w:textAlignment w:val="top"/>
    </w:pPr>
    <w:rPr>
      <w:rFonts w:ascii="Garamond" w:hAnsi="Garamond" w:cs="Garamond"/>
      <w:b/>
      <w:bCs/>
    </w:rPr>
  </w:style>
  <w:style w:type="paragraph" w:customStyle="1" w:styleId="xl71">
    <w:name w:val="xl71"/>
    <w:basedOn w:val="Normlny"/>
    <w:rsid w:val="001D64D0"/>
    <w:pPr>
      <w:pBdr>
        <w:bottom w:val="single" w:sz="4" w:space="0" w:color="auto"/>
      </w:pBdr>
      <w:shd w:val="clear" w:color="auto" w:fill="C0C0C0"/>
      <w:spacing w:before="100" w:beforeAutospacing="1" w:after="100" w:afterAutospacing="1"/>
      <w:textAlignment w:val="top"/>
    </w:pPr>
    <w:rPr>
      <w:rFonts w:ascii="Garamond" w:hAnsi="Garamond" w:cs="Garamond"/>
      <w:b/>
      <w:bCs/>
    </w:rPr>
  </w:style>
  <w:style w:type="paragraph" w:customStyle="1" w:styleId="xl72">
    <w:name w:val="xl72"/>
    <w:basedOn w:val="Normlny"/>
    <w:rsid w:val="001D64D0"/>
    <w:pPr>
      <w:spacing w:before="100" w:beforeAutospacing="1" w:after="100" w:afterAutospacing="1"/>
      <w:textAlignment w:val="top"/>
    </w:pPr>
    <w:rPr>
      <w:rFonts w:ascii="Garamond" w:hAnsi="Garamond" w:cs="Garamond"/>
    </w:rPr>
  </w:style>
  <w:style w:type="paragraph" w:customStyle="1" w:styleId="xl73">
    <w:name w:val="xl73"/>
    <w:basedOn w:val="Normlny"/>
    <w:rsid w:val="001D64D0"/>
    <w:pPr>
      <w:shd w:val="clear" w:color="auto" w:fill="000000"/>
      <w:spacing w:before="100" w:beforeAutospacing="1" w:after="100" w:afterAutospacing="1"/>
      <w:textAlignment w:val="top"/>
    </w:pPr>
    <w:rPr>
      <w:rFonts w:ascii="Garamond" w:hAnsi="Garamond" w:cs="Garamond"/>
      <w:b/>
      <w:bCs/>
      <w:color w:val="FFFFFF"/>
    </w:rPr>
  </w:style>
  <w:style w:type="paragraph" w:customStyle="1" w:styleId="xl74">
    <w:name w:val="xl74"/>
    <w:basedOn w:val="Normlny"/>
    <w:rsid w:val="001D64D0"/>
    <w:pPr>
      <w:spacing w:before="100" w:beforeAutospacing="1" w:after="100" w:afterAutospacing="1"/>
      <w:jc w:val="right"/>
      <w:textAlignment w:val="top"/>
    </w:pPr>
    <w:rPr>
      <w:rFonts w:ascii="Garamond" w:hAnsi="Garamond" w:cs="Garamond"/>
      <w:i/>
      <w:iCs/>
      <w:sz w:val="16"/>
      <w:szCs w:val="16"/>
    </w:rPr>
  </w:style>
  <w:style w:type="character" w:styleId="Hypertextovprepojenie">
    <w:name w:val="Hyperlink"/>
    <w:basedOn w:val="Predvolenpsmoodseku"/>
    <w:uiPriority w:val="99"/>
    <w:rsid w:val="001D64D0"/>
    <w:rPr>
      <w:rFonts w:cs="Times New Roman"/>
      <w:color w:val="0000FF"/>
      <w:u w:val="single"/>
    </w:rPr>
  </w:style>
  <w:style w:type="paragraph" w:styleId="Obsah1">
    <w:name w:val="toc 1"/>
    <w:basedOn w:val="Normlny"/>
    <w:next w:val="Normlny"/>
    <w:autoRedefine/>
    <w:uiPriority w:val="39"/>
    <w:rsid w:val="003B7F7A"/>
    <w:pPr>
      <w:spacing w:before="240"/>
      <w:jc w:val="left"/>
    </w:pPr>
    <w:rPr>
      <w:rFonts w:ascii="Calibri" w:hAnsi="Calibri"/>
      <w:b/>
      <w:bCs/>
      <w:sz w:val="20"/>
      <w:szCs w:val="20"/>
    </w:rPr>
  </w:style>
  <w:style w:type="paragraph" w:styleId="Obsah2">
    <w:name w:val="toc 2"/>
    <w:basedOn w:val="Normlny"/>
    <w:next w:val="Normlny"/>
    <w:autoRedefine/>
    <w:uiPriority w:val="39"/>
    <w:semiHidden/>
    <w:rsid w:val="001D64D0"/>
    <w:pPr>
      <w:spacing w:before="120" w:after="0"/>
      <w:ind w:left="220"/>
      <w:jc w:val="left"/>
    </w:pPr>
    <w:rPr>
      <w:rFonts w:ascii="Calibri" w:hAnsi="Calibri"/>
      <w:i/>
      <w:iCs/>
      <w:sz w:val="20"/>
      <w:szCs w:val="20"/>
    </w:rPr>
  </w:style>
  <w:style w:type="character" w:styleId="slostrany">
    <w:name w:val="page number"/>
    <w:basedOn w:val="Predvolenpsmoodseku"/>
    <w:uiPriority w:val="99"/>
    <w:rsid w:val="001D64D0"/>
    <w:rPr>
      <w:rFonts w:cs="Times New Roman"/>
    </w:rPr>
  </w:style>
  <w:style w:type="paragraph" w:styleId="Pta">
    <w:name w:val="footer"/>
    <w:basedOn w:val="Normlny"/>
    <w:link w:val="PtaChar"/>
    <w:uiPriority w:val="99"/>
    <w:rsid w:val="001D64D0"/>
    <w:pPr>
      <w:tabs>
        <w:tab w:val="center" w:pos="4536"/>
        <w:tab w:val="right" w:pos="9072"/>
      </w:tabs>
    </w:pPr>
  </w:style>
  <w:style w:type="character" w:customStyle="1" w:styleId="PtaChar">
    <w:name w:val="Päta Char"/>
    <w:basedOn w:val="Predvolenpsmoodseku"/>
    <w:link w:val="Pta"/>
    <w:uiPriority w:val="99"/>
    <w:locked/>
    <w:rsid w:val="001D64D0"/>
    <w:rPr>
      <w:rFonts w:ascii="Arial Narrow" w:hAnsi="Arial Narrow" w:cs="Arial Narrow"/>
      <w:lang w:eastAsia="sk-SK"/>
    </w:rPr>
  </w:style>
  <w:style w:type="paragraph" w:customStyle="1" w:styleId="tlNadpis1">
    <w:name w:val="Štýl Nadpis 1"/>
    <w:aliases w:val="NPXI + Arial Narrow Vľavo:  0 cm Prvý riadok:  0 c...,NPXI + Podľa okraja"/>
    <w:basedOn w:val="Nadpis1"/>
    <w:rsid w:val="001D64D0"/>
    <w:pPr>
      <w:spacing w:before="0"/>
      <w:ind w:left="0" w:firstLine="0"/>
    </w:pPr>
  </w:style>
  <w:style w:type="paragraph" w:customStyle="1" w:styleId="Nadpis2b">
    <w:name w:val="Nadpis 2b"/>
    <w:basedOn w:val="Normlny"/>
    <w:rsid w:val="001D64D0"/>
    <w:pPr>
      <w:tabs>
        <w:tab w:val="num" w:pos="720"/>
        <w:tab w:val="num" w:pos="1440"/>
        <w:tab w:val="num" w:pos="2160"/>
      </w:tabs>
      <w:ind w:left="720" w:hanging="720"/>
    </w:pPr>
  </w:style>
  <w:style w:type="paragraph" w:customStyle="1" w:styleId="tlZkladntextVavo">
    <w:name w:val="Štýl Základný text + Vľavo"/>
    <w:basedOn w:val="Normlny"/>
    <w:rsid w:val="001D64D0"/>
    <w:pPr>
      <w:tabs>
        <w:tab w:val="num" w:pos="432"/>
        <w:tab w:val="num" w:pos="720"/>
      </w:tabs>
      <w:ind w:left="432" w:hanging="432"/>
    </w:pPr>
  </w:style>
  <w:style w:type="paragraph" w:styleId="Normlnywebov">
    <w:name w:val="Normal (Web)"/>
    <w:basedOn w:val="Normlny"/>
    <w:uiPriority w:val="99"/>
    <w:rsid w:val="001D64D0"/>
    <w:pPr>
      <w:spacing w:before="100" w:beforeAutospacing="1" w:after="100" w:afterAutospacing="1"/>
    </w:pPr>
    <w:rPr>
      <w:rFonts w:ascii="Arial Unicode MS" w:hAnsi="Times New Roman" w:cs="Arial Unicode MS"/>
    </w:rPr>
  </w:style>
  <w:style w:type="character" w:customStyle="1" w:styleId="portlettext2">
    <w:name w:val="portlettext2"/>
    <w:basedOn w:val="Predvolenpsmoodseku"/>
    <w:rsid w:val="001D64D0"/>
    <w:rPr>
      <w:rFonts w:cs="Times New Roman"/>
    </w:rPr>
  </w:style>
  <w:style w:type="character" w:styleId="Siln">
    <w:name w:val="Strong"/>
    <w:basedOn w:val="Predvolenpsmoodseku"/>
    <w:uiPriority w:val="22"/>
    <w:qFormat/>
    <w:rsid w:val="001D64D0"/>
    <w:rPr>
      <w:rFonts w:cs="Times New Roman"/>
      <w:b/>
      <w:bCs/>
    </w:rPr>
  </w:style>
  <w:style w:type="character" w:styleId="PouitHypertextovPrepojenie">
    <w:name w:val="FollowedHyperlink"/>
    <w:basedOn w:val="Predvolenpsmoodseku"/>
    <w:uiPriority w:val="99"/>
    <w:rsid w:val="001D64D0"/>
    <w:rPr>
      <w:rFonts w:cs="Times New Roman"/>
      <w:color w:val="800080"/>
      <w:u w:val="single"/>
    </w:rPr>
  </w:style>
  <w:style w:type="paragraph" w:customStyle="1" w:styleId="CharChar1">
    <w:name w:val="Char Char1"/>
    <w:basedOn w:val="Normlny"/>
    <w:rsid w:val="001D64D0"/>
    <w:pPr>
      <w:spacing w:after="160" w:line="240" w:lineRule="exact"/>
    </w:pPr>
    <w:rPr>
      <w:rFonts w:ascii="Tahoma" w:hAnsi="Tahoma" w:cs="Tahoma"/>
      <w:sz w:val="20"/>
      <w:szCs w:val="20"/>
      <w:lang w:val="en-US" w:eastAsia="en-US"/>
    </w:rPr>
  </w:style>
  <w:style w:type="paragraph" w:customStyle="1" w:styleId="tlNadpis211ptPodiarknutie">
    <w:name w:val="Štýl Nadpis 2 + 11 pt Podčiarknutie"/>
    <w:basedOn w:val="Nadpis2"/>
    <w:rsid w:val="001D64D0"/>
    <w:pPr>
      <w:widowControl w:val="0"/>
      <w:tabs>
        <w:tab w:val="clear" w:pos="576"/>
        <w:tab w:val="clear" w:pos="1080"/>
        <w:tab w:val="num" w:pos="792"/>
      </w:tabs>
      <w:spacing w:before="480" w:after="240"/>
      <w:ind w:left="1440" w:hanging="432"/>
    </w:pPr>
    <w:rPr>
      <w:noProof/>
      <w:color w:val="auto"/>
      <w:sz w:val="22"/>
      <w:szCs w:val="22"/>
    </w:rPr>
  </w:style>
  <w:style w:type="paragraph" w:customStyle="1" w:styleId="3">
    <w:name w:val="3"/>
    <w:basedOn w:val="Nadpis3"/>
    <w:rsid w:val="001D64D0"/>
    <w:pPr>
      <w:ind w:left="2160"/>
    </w:pPr>
  </w:style>
  <w:style w:type="paragraph" w:customStyle="1" w:styleId="tl2">
    <w:name w:val="Štýl2"/>
    <w:basedOn w:val="Nadpis3"/>
    <w:next w:val="Normlny"/>
    <w:rsid w:val="001D64D0"/>
    <w:pPr>
      <w:tabs>
        <w:tab w:val="num" w:pos="1440"/>
      </w:tabs>
    </w:pPr>
  </w:style>
  <w:style w:type="paragraph" w:customStyle="1" w:styleId="tlTunPodaokraja">
    <w:name w:val="Štýl Tučné Podľa okraja"/>
    <w:basedOn w:val="Normlny"/>
    <w:rsid w:val="001D64D0"/>
    <w:rPr>
      <w:b/>
      <w:bCs/>
    </w:rPr>
  </w:style>
  <w:style w:type="character" w:customStyle="1" w:styleId="tlArialNarrow11pt">
    <w:name w:val="Štýl Arial Narrow 11 pt"/>
    <w:basedOn w:val="Predvolenpsmoodseku"/>
    <w:rsid w:val="001D64D0"/>
    <w:rPr>
      <w:rFonts w:ascii="Arial Narrow" w:hAnsi="Arial Narrow" w:cs="Arial Narrow"/>
      <w:sz w:val="28"/>
      <w:szCs w:val="28"/>
      <w:lang w:val="en-US" w:eastAsia="en-US"/>
    </w:rPr>
  </w:style>
  <w:style w:type="paragraph" w:styleId="Nzov">
    <w:name w:val="Title"/>
    <w:basedOn w:val="Normlny"/>
    <w:link w:val="NzovChar"/>
    <w:uiPriority w:val="10"/>
    <w:qFormat/>
    <w:rsid w:val="001D64D0"/>
    <w:pPr>
      <w:jc w:val="center"/>
    </w:pPr>
    <w:rPr>
      <w:b/>
      <w:bCs/>
      <w:sz w:val="28"/>
      <w:szCs w:val="28"/>
      <w:lang w:val="cs-CZ"/>
    </w:rPr>
  </w:style>
  <w:style w:type="character" w:customStyle="1" w:styleId="NzovChar">
    <w:name w:val="Názov Char"/>
    <w:basedOn w:val="Predvolenpsmoodseku"/>
    <w:link w:val="Nzov"/>
    <w:uiPriority w:val="10"/>
    <w:locked/>
    <w:rsid w:val="001D64D0"/>
    <w:rPr>
      <w:rFonts w:ascii="Arial Narrow" w:hAnsi="Arial Narrow" w:cs="Arial Narrow"/>
      <w:b/>
      <w:bCs/>
      <w:sz w:val="28"/>
      <w:szCs w:val="28"/>
      <w:lang w:val="cs-CZ" w:eastAsia="sk-SK"/>
    </w:rPr>
  </w:style>
  <w:style w:type="paragraph" w:customStyle="1" w:styleId="tlZkladntextArialNarrow11ptNiejeTunPodiarknu">
    <w:name w:val="Štýl Základný text + Arial Narrow 11 pt Nie je Tučné Podčiarknu..."/>
    <w:basedOn w:val="Zkladntext0"/>
    <w:link w:val="tlZkladntextArialNarrow11ptNiejeTunPodiarknuChar"/>
    <w:rsid w:val="001D64D0"/>
    <w:rPr>
      <w:b/>
      <w:bCs/>
    </w:rPr>
  </w:style>
  <w:style w:type="character" w:customStyle="1" w:styleId="tlZkladntextArialNarrow11ptNiejeTunPodiarknuChar">
    <w:name w:val="Štýl Základný text + Arial Narrow 11 pt Nie je Tučné Podčiarknu... Char"/>
    <w:basedOn w:val="Predvolenpsmoodseku"/>
    <w:link w:val="tlZkladntextArialNarrow11ptNiejeTunPodiarknu"/>
    <w:locked/>
    <w:rsid w:val="001D64D0"/>
    <w:rPr>
      <w:rFonts w:ascii="Arial Narrow" w:hAnsi="Arial Narrow" w:cs="Arial Narrow"/>
      <w:b/>
      <w:bCs/>
      <w:lang w:eastAsia="sk-SK"/>
    </w:rPr>
  </w:style>
  <w:style w:type="paragraph" w:customStyle="1" w:styleId="Zkladntextb">
    <w:name w:val="Základný text.b"/>
    <w:basedOn w:val="Normlny"/>
    <w:rsid w:val="001D64D0"/>
    <w:pPr>
      <w:autoSpaceDE w:val="0"/>
      <w:autoSpaceDN w:val="0"/>
      <w:spacing w:line="240" w:lineRule="atLeast"/>
      <w:ind w:left="709"/>
    </w:pPr>
    <w:rPr>
      <w:rFonts w:ascii="Arial" w:hAnsi="Arial" w:cs="Arial"/>
      <w:spacing w:val="-5"/>
      <w:sz w:val="20"/>
      <w:szCs w:val="20"/>
      <w:lang w:eastAsia="en-US"/>
    </w:rPr>
  </w:style>
  <w:style w:type="paragraph" w:customStyle="1" w:styleId="Normln">
    <w:name w:val="Norm‡ln’"/>
    <w:rsid w:val="001D64D0"/>
    <w:pPr>
      <w:widowControl w:val="0"/>
      <w:spacing w:after="120"/>
    </w:pPr>
    <w:rPr>
      <w:sz w:val="22"/>
      <w:szCs w:val="22"/>
      <w:lang w:val="cs-CZ" w:eastAsia="cs-CZ"/>
    </w:rPr>
  </w:style>
  <w:style w:type="paragraph" w:styleId="Textkomentra">
    <w:name w:val="annotation text"/>
    <w:aliases w:val="Char Char Char"/>
    <w:basedOn w:val="Normlny"/>
    <w:link w:val="TextkomentraChar"/>
    <w:uiPriority w:val="99"/>
    <w:rsid w:val="001D64D0"/>
    <w:pPr>
      <w:spacing w:after="160" w:line="240" w:lineRule="exact"/>
      <w:jc w:val="left"/>
    </w:pPr>
    <w:rPr>
      <w:rFonts w:ascii="Tahoma" w:hAnsi="Tahoma" w:cs="Tahoma"/>
      <w:sz w:val="20"/>
      <w:szCs w:val="20"/>
      <w:lang w:val="en-US" w:eastAsia="en-US"/>
    </w:rPr>
  </w:style>
  <w:style w:type="character" w:customStyle="1" w:styleId="TextkomentraChar">
    <w:name w:val="Text komentára Char"/>
    <w:aliases w:val="Char Char Char Char"/>
    <w:basedOn w:val="Predvolenpsmoodseku"/>
    <w:link w:val="Textkomentra"/>
    <w:uiPriority w:val="99"/>
    <w:locked/>
    <w:rsid w:val="001D64D0"/>
    <w:rPr>
      <w:rFonts w:ascii="Arial Narrow" w:hAnsi="Arial Narrow" w:cs="Arial Narrow"/>
      <w:sz w:val="20"/>
      <w:szCs w:val="20"/>
      <w:lang w:eastAsia="sk-SK"/>
    </w:rPr>
  </w:style>
  <w:style w:type="character" w:styleId="Zvraznenie">
    <w:name w:val="Emphasis"/>
    <w:basedOn w:val="Predvolenpsmoodseku"/>
    <w:uiPriority w:val="20"/>
    <w:qFormat/>
    <w:rsid w:val="001D64D0"/>
    <w:rPr>
      <w:rFonts w:ascii="Arial Narrow" w:hAnsi="Arial Narrow" w:cs="Arial Narrow"/>
      <w:i/>
      <w:iCs/>
      <w:sz w:val="28"/>
      <w:szCs w:val="28"/>
      <w:lang w:val="en-US" w:eastAsia="en-US"/>
    </w:rPr>
  </w:style>
  <w:style w:type="paragraph" w:styleId="Zkladntext3">
    <w:name w:val="Body Text 3"/>
    <w:basedOn w:val="Normlny"/>
    <w:link w:val="Zkladntext3Char"/>
    <w:uiPriority w:val="99"/>
    <w:rsid w:val="001D64D0"/>
    <w:pPr>
      <w:jc w:val="left"/>
    </w:pPr>
    <w:rPr>
      <w:noProof/>
      <w:sz w:val="16"/>
      <w:szCs w:val="16"/>
    </w:rPr>
  </w:style>
  <w:style w:type="character" w:customStyle="1" w:styleId="Zkladntext3Char">
    <w:name w:val="Základný text 3 Char"/>
    <w:basedOn w:val="Predvolenpsmoodseku"/>
    <w:link w:val="Zkladntext3"/>
    <w:uiPriority w:val="99"/>
    <w:locked/>
    <w:rsid w:val="001D64D0"/>
    <w:rPr>
      <w:rFonts w:ascii="Arial Narrow" w:hAnsi="Arial Narrow" w:cs="Arial Narrow"/>
      <w:noProof/>
      <w:sz w:val="16"/>
      <w:szCs w:val="16"/>
      <w:lang w:eastAsia="sk-SK"/>
    </w:rPr>
  </w:style>
  <w:style w:type="paragraph" w:customStyle="1" w:styleId="Zkladntext1">
    <w:name w:val="Základní text1"/>
    <w:basedOn w:val="Normlny"/>
    <w:rsid w:val="001D64D0"/>
    <w:pPr>
      <w:widowControl w:val="0"/>
      <w:spacing w:line="360" w:lineRule="auto"/>
      <w:jc w:val="left"/>
    </w:pPr>
    <w:rPr>
      <w:sz w:val="24"/>
      <w:szCs w:val="24"/>
    </w:rPr>
  </w:style>
  <w:style w:type="paragraph" w:styleId="Zarkazkladnhotextu2">
    <w:name w:val="Body Text Indent 2"/>
    <w:basedOn w:val="Normlny"/>
    <w:link w:val="Zarkazkladnhotextu2Char"/>
    <w:uiPriority w:val="99"/>
    <w:rsid w:val="001D64D0"/>
    <w:pPr>
      <w:spacing w:line="480" w:lineRule="auto"/>
      <w:ind w:left="283"/>
      <w:jc w:val="left"/>
    </w:pPr>
    <w:rPr>
      <w:noProof/>
      <w:sz w:val="24"/>
      <w:szCs w:val="24"/>
    </w:rPr>
  </w:style>
  <w:style w:type="character" w:customStyle="1" w:styleId="Zarkazkladnhotextu2Char">
    <w:name w:val="Zarážka základného textu 2 Char"/>
    <w:basedOn w:val="Predvolenpsmoodseku"/>
    <w:link w:val="Zarkazkladnhotextu2"/>
    <w:uiPriority w:val="99"/>
    <w:locked/>
    <w:rsid w:val="001D64D0"/>
    <w:rPr>
      <w:rFonts w:ascii="Arial Narrow" w:hAnsi="Arial Narrow" w:cs="Arial Narrow"/>
      <w:noProof/>
      <w:sz w:val="24"/>
      <w:szCs w:val="24"/>
      <w:lang w:eastAsia="sk-SK"/>
    </w:rPr>
  </w:style>
  <w:style w:type="paragraph" w:styleId="Zarkazkladnhotextu3">
    <w:name w:val="Body Text Indent 3"/>
    <w:basedOn w:val="Normlny"/>
    <w:link w:val="Zarkazkladnhotextu3Char"/>
    <w:uiPriority w:val="99"/>
    <w:rsid w:val="001D64D0"/>
    <w:pPr>
      <w:ind w:left="283"/>
      <w:jc w:val="left"/>
    </w:pPr>
    <w:rPr>
      <w:noProof/>
      <w:sz w:val="16"/>
      <w:szCs w:val="16"/>
    </w:rPr>
  </w:style>
  <w:style w:type="character" w:customStyle="1" w:styleId="Zarkazkladnhotextu3Char">
    <w:name w:val="Zarážka základného textu 3 Char"/>
    <w:basedOn w:val="Predvolenpsmoodseku"/>
    <w:link w:val="Zarkazkladnhotextu3"/>
    <w:uiPriority w:val="99"/>
    <w:locked/>
    <w:rsid w:val="001D64D0"/>
    <w:rPr>
      <w:rFonts w:ascii="Arial Narrow" w:hAnsi="Arial Narrow" w:cs="Arial Narrow"/>
      <w:noProof/>
      <w:sz w:val="16"/>
      <w:szCs w:val="16"/>
      <w:lang w:eastAsia="sk-SK"/>
    </w:rPr>
  </w:style>
  <w:style w:type="paragraph" w:customStyle="1" w:styleId="BodyText21">
    <w:name w:val="Body Text 21"/>
    <w:basedOn w:val="Normlny"/>
    <w:rsid w:val="001D64D0"/>
    <w:pPr>
      <w:overflowPunct w:val="0"/>
      <w:autoSpaceDE w:val="0"/>
      <w:autoSpaceDN w:val="0"/>
      <w:adjustRightInd w:val="0"/>
      <w:textAlignment w:val="baseline"/>
    </w:pPr>
    <w:rPr>
      <w:sz w:val="24"/>
      <w:szCs w:val="24"/>
    </w:rPr>
  </w:style>
  <w:style w:type="paragraph" w:customStyle="1" w:styleId="Zoznam1">
    <w:name w:val="Zoznam_1"/>
    <w:basedOn w:val="Normlny"/>
    <w:link w:val="Zoznam1Char"/>
    <w:autoRedefine/>
    <w:rsid w:val="001D64D0"/>
    <w:pPr>
      <w:widowControl w:val="0"/>
      <w:spacing w:before="120"/>
    </w:pPr>
  </w:style>
  <w:style w:type="character" w:customStyle="1" w:styleId="Zoznam1Char">
    <w:name w:val="Zoznam_1 Char"/>
    <w:basedOn w:val="Predvolenpsmoodseku"/>
    <w:link w:val="Zoznam1"/>
    <w:locked/>
    <w:rsid w:val="001D64D0"/>
    <w:rPr>
      <w:rFonts w:ascii="Arial Narrow" w:hAnsi="Arial Narrow" w:cs="Arial Narrow"/>
      <w:lang w:eastAsia="sk-SK"/>
    </w:rPr>
  </w:style>
  <w:style w:type="paragraph" w:customStyle="1" w:styleId="tlRiadkovanie15riadka">
    <w:name w:val="Štýl Riadkovanie:  15 riadka"/>
    <w:basedOn w:val="Normlny"/>
    <w:rsid w:val="001D64D0"/>
    <w:pPr>
      <w:spacing w:line="360" w:lineRule="auto"/>
    </w:pPr>
    <w:rPr>
      <w:rFonts w:ascii="Arial" w:hAnsi="Arial" w:cs="Arial"/>
    </w:rPr>
  </w:style>
  <w:style w:type="paragraph" w:customStyle="1" w:styleId="font5">
    <w:name w:val="font5"/>
    <w:basedOn w:val="Normlny"/>
    <w:rsid w:val="001D64D0"/>
    <w:pPr>
      <w:spacing w:before="100" w:beforeAutospacing="1" w:after="100" w:afterAutospacing="1"/>
      <w:jc w:val="left"/>
    </w:pPr>
    <w:rPr>
      <w:rFonts w:ascii="Arial" w:hAnsi="Arial" w:cs="Arial"/>
      <w:sz w:val="16"/>
      <w:szCs w:val="16"/>
    </w:rPr>
  </w:style>
  <w:style w:type="paragraph" w:customStyle="1" w:styleId="Normln1">
    <w:name w:val="Normální1"/>
    <w:basedOn w:val="Normlny"/>
    <w:next w:val="Normlny"/>
    <w:rsid w:val="001D64D0"/>
    <w:pPr>
      <w:autoSpaceDE w:val="0"/>
      <w:autoSpaceDN w:val="0"/>
      <w:adjustRightInd w:val="0"/>
      <w:jc w:val="left"/>
    </w:pPr>
    <w:rPr>
      <w:sz w:val="24"/>
      <w:szCs w:val="24"/>
      <w:lang w:val="cs-CZ" w:eastAsia="cs-CZ"/>
    </w:rPr>
  </w:style>
  <w:style w:type="character" w:customStyle="1" w:styleId="text1">
    <w:name w:val="text1"/>
    <w:basedOn w:val="Predvolenpsmoodseku"/>
    <w:rsid w:val="001D64D0"/>
    <w:rPr>
      <w:rFonts w:ascii="Arial Narrow" w:hAnsi="Arial Narrow" w:cs="Arial Narrow"/>
      <w:sz w:val="14"/>
      <w:szCs w:val="14"/>
      <w:lang w:val="en-US" w:eastAsia="en-US"/>
    </w:rPr>
  </w:style>
  <w:style w:type="paragraph" w:customStyle="1" w:styleId="CharCharChar1">
    <w:name w:val="Char Char Char1"/>
    <w:basedOn w:val="Normlny"/>
    <w:rsid w:val="001D64D0"/>
    <w:pPr>
      <w:spacing w:after="160" w:line="240" w:lineRule="exact"/>
      <w:jc w:val="left"/>
    </w:pPr>
    <w:rPr>
      <w:rFonts w:ascii="Tahoma" w:hAnsi="Tahoma" w:cs="Tahoma"/>
      <w:sz w:val="20"/>
      <w:szCs w:val="20"/>
      <w:lang w:val="en-US" w:eastAsia="en-US"/>
    </w:rPr>
  </w:style>
  <w:style w:type="paragraph" w:customStyle="1" w:styleId="CharCharChar2">
    <w:name w:val="Char Char Char2"/>
    <w:basedOn w:val="Normlny"/>
    <w:rsid w:val="001D64D0"/>
    <w:pPr>
      <w:spacing w:after="160" w:line="240" w:lineRule="exact"/>
      <w:jc w:val="left"/>
    </w:pPr>
    <w:rPr>
      <w:rFonts w:ascii="Tahoma" w:hAnsi="Tahoma" w:cs="Tahoma"/>
      <w:sz w:val="20"/>
      <w:szCs w:val="20"/>
      <w:lang w:val="en-US" w:eastAsia="en-US"/>
    </w:rPr>
  </w:style>
  <w:style w:type="paragraph" w:customStyle="1" w:styleId="Char1">
    <w:name w:val="Char1"/>
    <w:basedOn w:val="Normlny"/>
    <w:rsid w:val="001D64D0"/>
    <w:pPr>
      <w:spacing w:after="160" w:line="240" w:lineRule="exact"/>
      <w:jc w:val="left"/>
    </w:pPr>
    <w:rPr>
      <w:rFonts w:ascii="Tahoma" w:hAnsi="Tahoma" w:cs="Tahoma"/>
      <w:sz w:val="20"/>
      <w:szCs w:val="20"/>
      <w:lang w:val="en-US" w:eastAsia="en-US"/>
    </w:rPr>
  </w:style>
  <w:style w:type="paragraph" w:styleId="slovanzoznam">
    <w:name w:val="List Number"/>
    <w:basedOn w:val="Normlny"/>
    <w:uiPriority w:val="99"/>
    <w:rsid w:val="001D64D0"/>
    <w:pPr>
      <w:tabs>
        <w:tab w:val="num" w:pos="405"/>
        <w:tab w:val="num" w:pos="720"/>
      </w:tabs>
      <w:ind w:left="720" w:hanging="360"/>
      <w:jc w:val="left"/>
    </w:pPr>
    <w:rPr>
      <w:rFonts w:ascii="Arial" w:hAnsi="Arial" w:cs="Arial"/>
      <w:spacing w:val="-5"/>
      <w:sz w:val="20"/>
      <w:szCs w:val="20"/>
      <w:lang w:eastAsia="en-US"/>
    </w:rPr>
  </w:style>
  <w:style w:type="paragraph" w:customStyle="1" w:styleId="Par-number1">
    <w:name w:val="Par-number 1."/>
    <w:basedOn w:val="Normlny"/>
    <w:next w:val="Normlny"/>
    <w:rsid w:val="001D64D0"/>
    <w:pPr>
      <w:widowControl w:val="0"/>
      <w:tabs>
        <w:tab w:val="num" w:pos="720"/>
      </w:tabs>
      <w:spacing w:line="360" w:lineRule="auto"/>
      <w:ind w:left="720" w:hanging="360"/>
      <w:jc w:val="left"/>
    </w:pPr>
    <w:rPr>
      <w:sz w:val="24"/>
      <w:szCs w:val="24"/>
      <w:lang w:eastAsia="fr-BE"/>
    </w:rPr>
  </w:style>
  <w:style w:type="paragraph" w:customStyle="1" w:styleId="Typedudocument">
    <w:name w:val="Type du document"/>
    <w:basedOn w:val="Normlny"/>
    <w:next w:val="Normlny"/>
    <w:rsid w:val="001D64D0"/>
    <w:pPr>
      <w:spacing w:before="360"/>
      <w:jc w:val="center"/>
    </w:pPr>
    <w:rPr>
      <w:b/>
      <w:bCs/>
      <w:sz w:val="24"/>
      <w:szCs w:val="24"/>
      <w:lang w:val="en-GB" w:eastAsia="fr-BE"/>
    </w:rPr>
  </w:style>
  <w:style w:type="paragraph" w:customStyle="1" w:styleId="ListBullet1">
    <w:name w:val="List Bullet 1"/>
    <w:basedOn w:val="Normlny"/>
    <w:rsid w:val="001D64D0"/>
    <w:pPr>
      <w:tabs>
        <w:tab w:val="num" w:pos="720"/>
      </w:tabs>
      <w:spacing w:before="120"/>
      <w:ind w:left="720" w:hanging="360"/>
    </w:pPr>
    <w:rPr>
      <w:sz w:val="24"/>
      <w:szCs w:val="24"/>
      <w:lang w:val="en-GB" w:eastAsia="fr-BE"/>
    </w:rPr>
  </w:style>
  <w:style w:type="paragraph" w:customStyle="1" w:styleId="ManualHeading2">
    <w:name w:val="Manual Heading 2"/>
    <w:basedOn w:val="Normlny"/>
    <w:next w:val="Normlny"/>
    <w:rsid w:val="001D64D0"/>
    <w:pPr>
      <w:keepNext/>
      <w:tabs>
        <w:tab w:val="left" w:pos="850"/>
      </w:tabs>
      <w:spacing w:before="120"/>
      <w:ind w:left="850" w:hanging="850"/>
      <w:outlineLvl w:val="1"/>
    </w:pPr>
    <w:rPr>
      <w:b/>
      <w:bCs/>
      <w:sz w:val="24"/>
      <w:szCs w:val="24"/>
      <w:lang w:val="en-GB" w:eastAsia="fr-BE"/>
    </w:rPr>
  </w:style>
  <w:style w:type="paragraph" w:customStyle="1" w:styleId="CharChar11">
    <w:name w:val="Char Char11"/>
    <w:basedOn w:val="Normlny"/>
    <w:rsid w:val="001D64D0"/>
    <w:pPr>
      <w:spacing w:after="160" w:line="240" w:lineRule="exact"/>
      <w:jc w:val="left"/>
    </w:pPr>
    <w:rPr>
      <w:rFonts w:ascii="Tahoma" w:hAnsi="Tahoma" w:cs="Tahoma"/>
      <w:sz w:val="20"/>
      <w:szCs w:val="20"/>
      <w:lang w:val="en-US" w:eastAsia="en-US"/>
    </w:rPr>
  </w:style>
  <w:style w:type="paragraph" w:customStyle="1" w:styleId="Xreftext">
    <w:name w:val="X ref text"/>
    <w:basedOn w:val="Normlny"/>
    <w:rsid w:val="001D64D0"/>
    <w:pPr>
      <w:tabs>
        <w:tab w:val="num" w:pos="720"/>
      </w:tabs>
      <w:ind w:left="360" w:hanging="360"/>
      <w:jc w:val="left"/>
    </w:pPr>
    <w:rPr>
      <w:sz w:val="24"/>
      <w:szCs w:val="24"/>
      <w:lang w:val="fr-FR"/>
    </w:rPr>
  </w:style>
  <w:style w:type="character" w:customStyle="1" w:styleId="tw4winMark">
    <w:name w:val="tw4winMark"/>
    <w:rsid w:val="001D64D0"/>
    <w:rPr>
      <w:vanish/>
      <w:color w:val="800080"/>
      <w:sz w:val="24"/>
      <w:vertAlign w:val="subscript"/>
    </w:rPr>
  </w:style>
  <w:style w:type="paragraph" w:customStyle="1" w:styleId="paOdstavec">
    <w:name w:val="paOdstavec"/>
    <w:basedOn w:val="Normlny"/>
    <w:rsid w:val="001D64D0"/>
    <w:pPr>
      <w:overflowPunct w:val="0"/>
      <w:autoSpaceDE w:val="0"/>
      <w:autoSpaceDN w:val="0"/>
      <w:adjustRightInd w:val="0"/>
      <w:spacing w:before="80" w:after="80"/>
    </w:pPr>
    <w:rPr>
      <w:rFonts w:ascii="Arial" w:hAnsi="Arial" w:cs="Arial"/>
      <w:sz w:val="24"/>
      <w:szCs w:val="24"/>
      <w:lang w:eastAsia="cs-CZ"/>
    </w:rPr>
  </w:style>
  <w:style w:type="paragraph" w:customStyle="1" w:styleId="Char4">
    <w:name w:val="Char4"/>
    <w:basedOn w:val="Normlny"/>
    <w:rsid w:val="001D64D0"/>
    <w:pPr>
      <w:spacing w:after="160" w:line="240" w:lineRule="exact"/>
      <w:jc w:val="left"/>
    </w:pPr>
    <w:rPr>
      <w:rFonts w:ascii="Tahoma" w:hAnsi="Tahoma" w:cs="Tahoma"/>
      <w:sz w:val="20"/>
      <w:szCs w:val="20"/>
      <w:lang w:val="en-US" w:eastAsia="en-US"/>
    </w:rPr>
  </w:style>
  <w:style w:type="paragraph" w:customStyle="1" w:styleId="Nadpis30">
    <w:name w:val="Nadpis3"/>
    <w:basedOn w:val="Nadpis3"/>
    <w:rsid w:val="001D64D0"/>
  </w:style>
  <w:style w:type="paragraph" w:styleId="Predmetkomentra">
    <w:name w:val="annotation subject"/>
    <w:basedOn w:val="Textkomentra"/>
    <w:next w:val="Textkomentra"/>
    <w:link w:val="PredmetkomentraChar"/>
    <w:uiPriority w:val="99"/>
    <w:semiHidden/>
    <w:rsid w:val="001D64D0"/>
    <w:pPr>
      <w:spacing w:after="0" w:line="240" w:lineRule="auto"/>
      <w:jc w:val="both"/>
    </w:pPr>
    <w:rPr>
      <w:rFonts w:ascii="Arial Narrow" w:hAnsi="Arial Narrow" w:cs="Arial Narrow"/>
      <w:b/>
      <w:bCs/>
      <w:lang w:eastAsia="sk-SK"/>
    </w:rPr>
  </w:style>
  <w:style w:type="character" w:customStyle="1" w:styleId="PredmetkomentraChar">
    <w:name w:val="Predmet komentára Char"/>
    <w:basedOn w:val="TextkomentraChar"/>
    <w:link w:val="Predmetkomentra"/>
    <w:uiPriority w:val="99"/>
    <w:semiHidden/>
    <w:locked/>
    <w:rsid w:val="001D64D0"/>
    <w:rPr>
      <w:rFonts w:ascii="Arial Narrow" w:hAnsi="Arial Narrow" w:cs="Arial Narrow"/>
      <w:b/>
      <w:bCs/>
      <w:sz w:val="20"/>
      <w:szCs w:val="20"/>
      <w:lang w:eastAsia="sk-SK"/>
    </w:rPr>
  </w:style>
  <w:style w:type="paragraph" w:styleId="truktradokumentu">
    <w:name w:val="Document Map"/>
    <w:basedOn w:val="Normlny"/>
    <w:link w:val="truktradokumentuChar"/>
    <w:uiPriority w:val="99"/>
    <w:semiHidden/>
    <w:rsid w:val="001D64D0"/>
    <w:pPr>
      <w:shd w:val="clear" w:color="auto" w:fill="000080"/>
    </w:pPr>
    <w:rPr>
      <w:rFonts w:ascii="Tahoma" w:hAnsi="Tahoma" w:cs="Tahoma"/>
    </w:rPr>
  </w:style>
  <w:style w:type="character" w:customStyle="1" w:styleId="truktradokumentuChar">
    <w:name w:val="Štruktúra dokumentu Char"/>
    <w:basedOn w:val="Predvolenpsmoodseku"/>
    <w:link w:val="truktradokumentu"/>
    <w:uiPriority w:val="99"/>
    <w:semiHidden/>
    <w:locked/>
    <w:rsid w:val="001D64D0"/>
    <w:rPr>
      <w:rFonts w:ascii="Tahoma" w:hAnsi="Tahoma" w:cs="Tahoma"/>
      <w:sz w:val="16"/>
      <w:szCs w:val="16"/>
      <w:lang w:eastAsia="sk-SK"/>
    </w:rPr>
  </w:style>
  <w:style w:type="paragraph" w:customStyle="1" w:styleId="IS2007ODS">
    <w:name w:val="IS 2007 ODS"/>
    <w:basedOn w:val="Normlny"/>
    <w:rsid w:val="001D64D0"/>
    <w:pPr>
      <w:spacing w:before="120"/>
    </w:pPr>
  </w:style>
  <w:style w:type="character" w:customStyle="1" w:styleId="CharChar">
    <w:name w:val="Char Char"/>
    <w:basedOn w:val="Predvolenpsmoodseku"/>
    <w:rsid w:val="001D64D0"/>
    <w:rPr>
      <w:rFonts w:ascii="Arial Narrow" w:hAnsi="Arial Narrow" w:cs="Arial Narrow"/>
      <w:sz w:val="24"/>
      <w:szCs w:val="24"/>
      <w:lang w:val="sk-SK" w:eastAsia="sk-SK"/>
    </w:rPr>
  </w:style>
  <w:style w:type="paragraph" w:customStyle="1" w:styleId="zakladnystyl">
    <w:name w:val="zakladnystyl"/>
    <w:basedOn w:val="Normlny"/>
    <w:rsid w:val="001D64D0"/>
    <w:pPr>
      <w:spacing w:before="100" w:beforeAutospacing="1" w:after="100" w:afterAutospacing="1"/>
      <w:jc w:val="left"/>
    </w:pPr>
    <w:rPr>
      <w:rFonts w:ascii="Arial Unicode MS" w:eastAsia="Arial Unicode MS" w:hAnsi="Times New Roman" w:cs="Arial Unicode MS"/>
      <w:sz w:val="24"/>
      <w:szCs w:val="24"/>
    </w:rPr>
  </w:style>
  <w:style w:type="paragraph" w:customStyle="1" w:styleId="tlNadpis212ptZa12pt">
    <w:name w:val="Štýl Nadpis 2 + 12 pt Za:  12 pt"/>
    <w:basedOn w:val="Nadpis2"/>
    <w:rsid w:val="001D64D0"/>
    <w:pPr>
      <w:spacing w:after="240"/>
      <w:ind w:left="578" w:hanging="578"/>
    </w:pPr>
    <w:rPr>
      <w:sz w:val="24"/>
      <w:szCs w:val="24"/>
    </w:rPr>
  </w:style>
  <w:style w:type="paragraph" w:customStyle="1" w:styleId="CharCharCharCharCharCharCharCharCharCharCharCharCharChar">
    <w:name w:val="Char Char Char Char Char Char Char Char Char Char Char Char Char Char"/>
    <w:basedOn w:val="Normlny"/>
    <w:rsid w:val="001D64D0"/>
    <w:pPr>
      <w:spacing w:after="160" w:line="240" w:lineRule="exact"/>
      <w:jc w:val="left"/>
    </w:pPr>
    <w:rPr>
      <w:rFonts w:ascii="Tahoma" w:hAnsi="Tahoma" w:cs="Tahoma"/>
      <w:sz w:val="20"/>
      <w:szCs w:val="20"/>
      <w:lang w:val="en-US" w:eastAsia="en-US"/>
    </w:rPr>
  </w:style>
  <w:style w:type="paragraph" w:customStyle="1" w:styleId="CharCharCharCharCharCharCharChar">
    <w:name w:val="Char Char Char Char Char Char Char Char"/>
    <w:basedOn w:val="Normlny"/>
    <w:rsid w:val="001D64D0"/>
    <w:pPr>
      <w:spacing w:after="160" w:line="240" w:lineRule="exact"/>
      <w:jc w:val="left"/>
    </w:pPr>
    <w:rPr>
      <w:rFonts w:ascii="Tahoma" w:hAnsi="Tahoma" w:cs="Tahoma"/>
      <w:sz w:val="20"/>
      <w:szCs w:val="20"/>
      <w:lang w:val="en-US" w:eastAsia="en-US"/>
    </w:rPr>
  </w:style>
  <w:style w:type="paragraph" w:customStyle="1" w:styleId="CharCharChar1Char">
    <w:name w:val="Char Char Char1 Char"/>
    <w:basedOn w:val="Normlny"/>
    <w:rsid w:val="001D64D0"/>
    <w:pPr>
      <w:spacing w:after="160" w:line="240" w:lineRule="exact"/>
      <w:jc w:val="left"/>
    </w:pPr>
    <w:rPr>
      <w:rFonts w:ascii="Tahoma" w:hAnsi="Tahoma" w:cs="Tahoma"/>
      <w:sz w:val="20"/>
      <w:szCs w:val="20"/>
      <w:lang w:val="en-US" w:eastAsia="en-US"/>
    </w:rPr>
  </w:style>
  <w:style w:type="paragraph" w:customStyle="1" w:styleId="Char2">
    <w:name w:val="Char2"/>
    <w:basedOn w:val="Normlny"/>
    <w:rsid w:val="001D64D0"/>
    <w:pPr>
      <w:spacing w:after="160" w:line="240" w:lineRule="exact"/>
      <w:jc w:val="left"/>
    </w:pPr>
    <w:rPr>
      <w:rFonts w:ascii="Tahoma" w:hAnsi="Tahoma" w:cs="Tahoma"/>
      <w:sz w:val="20"/>
      <w:szCs w:val="20"/>
      <w:lang w:val="en-US" w:eastAsia="en-US"/>
    </w:rPr>
  </w:style>
  <w:style w:type="character" w:customStyle="1" w:styleId="Char3">
    <w:name w:val="Char3"/>
    <w:basedOn w:val="Predvolenpsmoodseku"/>
    <w:rsid w:val="001D64D0"/>
    <w:rPr>
      <w:rFonts w:ascii="Arial Narrow" w:hAnsi="Arial Narrow" w:cs="Arial Narrow"/>
      <w:b/>
      <w:bCs/>
      <w:color w:val="000000"/>
      <w:sz w:val="24"/>
      <w:szCs w:val="24"/>
      <w:lang w:val="sk-SK" w:eastAsia="sk-SK"/>
    </w:rPr>
  </w:style>
  <w:style w:type="paragraph" w:customStyle="1" w:styleId="CharCharCharCharCharCharCharCharCharCharCharCharCharCharCharChar">
    <w:name w:val="Char Char Char Char Char Char Char Char Char Char Char Char Char Char Char Char"/>
    <w:basedOn w:val="Normlny"/>
    <w:rsid w:val="001D64D0"/>
    <w:pPr>
      <w:spacing w:after="160" w:line="240" w:lineRule="exact"/>
      <w:jc w:val="left"/>
    </w:pPr>
    <w:rPr>
      <w:rFonts w:ascii="Tahoma" w:hAnsi="Tahoma" w:cs="Tahoma"/>
      <w:sz w:val="20"/>
      <w:szCs w:val="20"/>
      <w:lang w:val="en-US" w:eastAsia="en-US"/>
    </w:rPr>
  </w:style>
  <w:style w:type="paragraph" w:customStyle="1" w:styleId="CharCharCharCharCharCharCharCharCharCharCharCharCharCharCharCharCharCharCharChar">
    <w:name w:val="Char Char Char Char Char Char Char Char Char Char Char Char Char Char Char Char Char Char Char Char"/>
    <w:basedOn w:val="Normlny"/>
    <w:rsid w:val="001D64D0"/>
    <w:pPr>
      <w:spacing w:after="160" w:line="240" w:lineRule="exact"/>
      <w:jc w:val="left"/>
    </w:pPr>
    <w:rPr>
      <w:rFonts w:ascii="Tahoma" w:hAnsi="Tahoma" w:cs="Tahoma"/>
      <w:sz w:val="20"/>
      <w:szCs w:val="20"/>
      <w:lang w:val="en-US" w:eastAsia="en-US"/>
    </w:rPr>
  </w:style>
  <w:style w:type="paragraph" w:customStyle="1" w:styleId="CharCharCharCharCharCharCharCharCharCharChar1">
    <w:name w:val="Char Char Char Char Char Char Char Char Char Char Char1"/>
    <w:basedOn w:val="Normlny"/>
    <w:rsid w:val="001D64D0"/>
    <w:pPr>
      <w:spacing w:after="160" w:line="240" w:lineRule="exact"/>
      <w:jc w:val="left"/>
    </w:pPr>
    <w:rPr>
      <w:rFonts w:ascii="Tahoma" w:hAnsi="Tahoma" w:cs="Tahoma"/>
      <w:sz w:val="20"/>
      <w:szCs w:val="20"/>
      <w:lang w:val="en-US" w:eastAsia="en-US"/>
    </w:rPr>
  </w:style>
  <w:style w:type="paragraph" w:customStyle="1" w:styleId="CharCharCharCharCharChar">
    <w:name w:val="Char Char Char Char Char Char"/>
    <w:basedOn w:val="Normlny"/>
    <w:rsid w:val="001D64D0"/>
    <w:pPr>
      <w:spacing w:after="160" w:line="240" w:lineRule="exact"/>
      <w:jc w:val="left"/>
    </w:pPr>
    <w:rPr>
      <w:rFonts w:ascii="Tahoma" w:hAnsi="Tahoma" w:cs="Tahoma"/>
      <w:sz w:val="20"/>
      <w:szCs w:val="20"/>
      <w:lang w:val="en-US" w:eastAsia="en-US"/>
    </w:rPr>
  </w:style>
  <w:style w:type="paragraph" w:customStyle="1" w:styleId="CharCharCharCharCharCharCharCharCharCharChar1CharCharChar">
    <w:name w:val="Char Char Char Char Char Char Char Char Char Char Char1 Char Char Char"/>
    <w:basedOn w:val="Normlny"/>
    <w:rsid w:val="001D64D0"/>
    <w:pPr>
      <w:spacing w:after="160" w:line="240" w:lineRule="exact"/>
      <w:jc w:val="left"/>
    </w:pPr>
    <w:rPr>
      <w:rFonts w:ascii="Tahoma" w:hAnsi="Tahoma" w:cs="Tahoma"/>
      <w:sz w:val="20"/>
      <w:szCs w:val="20"/>
      <w:lang w:val="en-US" w:eastAsia="en-US"/>
    </w:rPr>
  </w:style>
  <w:style w:type="table" w:styleId="Mriekatabuky">
    <w:name w:val="Table Grid"/>
    <w:basedOn w:val="Normlnatabuka"/>
    <w:uiPriority w:val="59"/>
    <w:rsid w:val="001D64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1CharCharCharCharCharCharCharCharCharCharCharChar">
    <w:name w:val="Char Char Char Char Char Char Char Char Char Char Char Char1 Char Char Char Char Char Char Char Char Char Char Char Char"/>
    <w:basedOn w:val="Normlny"/>
    <w:rsid w:val="001D64D0"/>
    <w:pPr>
      <w:spacing w:after="160" w:line="240" w:lineRule="exact"/>
      <w:jc w:val="left"/>
    </w:pPr>
    <w:rPr>
      <w:rFonts w:ascii="Tahoma" w:hAnsi="Tahoma" w:cs="Tahoma"/>
      <w:sz w:val="20"/>
      <w:szCs w:val="20"/>
      <w:lang w:val="en-US" w:eastAsia="en-US"/>
    </w:rPr>
  </w:style>
  <w:style w:type="paragraph" w:customStyle="1" w:styleId="TextPonuky">
    <w:name w:val="TextPonuky"/>
    <w:basedOn w:val="Normlny"/>
    <w:rsid w:val="001D64D0"/>
    <w:pPr>
      <w:snapToGrid w:val="0"/>
    </w:pPr>
    <w:rPr>
      <w:rFonts w:ascii="Franklin Gothic Book" w:hAnsi="Franklin Gothic Book" w:cs="Franklin Gothic Book"/>
      <w:sz w:val="20"/>
      <w:szCs w:val="20"/>
      <w:lang w:eastAsia="cs-CZ"/>
    </w:rPr>
  </w:style>
  <w:style w:type="paragraph" w:styleId="Odsekzoznamu">
    <w:name w:val="List Paragraph"/>
    <w:basedOn w:val="Normlny"/>
    <w:uiPriority w:val="34"/>
    <w:qFormat/>
    <w:rsid w:val="000D5DF6"/>
    <w:pPr>
      <w:spacing w:after="200" w:line="276" w:lineRule="auto"/>
      <w:ind w:left="720"/>
      <w:contextualSpacing/>
      <w:jc w:val="left"/>
    </w:pPr>
    <w:rPr>
      <w:rFonts w:ascii="Calibri" w:hAnsi="Calibri" w:cs="Times New Roman"/>
      <w:lang w:eastAsia="en-US"/>
    </w:rPr>
  </w:style>
  <w:style w:type="paragraph" w:customStyle="1" w:styleId="Normlnywebov5">
    <w:name w:val="Normálny (webový)5"/>
    <w:basedOn w:val="Normlny"/>
    <w:rsid w:val="001D64D0"/>
    <w:pPr>
      <w:spacing w:after="204"/>
      <w:jc w:val="left"/>
    </w:pPr>
    <w:rPr>
      <w:sz w:val="24"/>
      <w:szCs w:val="24"/>
    </w:rPr>
  </w:style>
  <w:style w:type="paragraph" w:styleId="Popis">
    <w:name w:val="caption"/>
    <w:basedOn w:val="Normlny"/>
    <w:next w:val="Normlny"/>
    <w:uiPriority w:val="35"/>
    <w:qFormat/>
    <w:rsid w:val="001D64D0"/>
    <w:pPr>
      <w:spacing w:before="120"/>
    </w:pPr>
    <w:rPr>
      <w:b/>
      <w:bCs/>
      <w:sz w:val="20"/>
      <w:szCs w:val="20"/>
    </w:rPr>
  </w:style>
  <w:style w:type="paragraph" w:styleId="Zoznamobrzkov">
    <w:name w:val="table of figures"/>
    <w:basedOn w:val="Normlny"/>
    <w:next w:val="Normlny"/>
    <w:uiPriority w:val="99"/>
    <w:semiHidden/>
    <w:rsid w:val="001D64D0"/>
    <w:pPr>
      <w:ind w:left="440" w:hanging="440"/>
    </w:pPr>
  </w:style>
  <w:style w:type="paragraph" w:customStyle="1" w:styleId="Zakladnystyl0">
    <w:name w:val="Zakladny styl"/>
    <w:rsid w:val="001D64D0"/>
    <w:pPr>
      <w:spacing w:after="120"/>
    </w:pPr>
    <w:rPr>
      <w:sz w:val="24"/>
      <w:szCs w:val="24"/>
    </w:rPr>
  </w:style>
  <w:style w:type="paragraph" w:customStyle="1" w:styleId="Default">
    <w:name w:val="Default"/>
    <w:uiPriority w:val="99"/>
    <w:rsid w:val="001D64D0"/>
    <w:pPr>
      <w:autoSpaceDE w:val="0"/>
      <w:autoSpaceDN w:val="0"/>
      <w:adjustRightInd w:val="0"/>
      <w:spacing w:after="120"/>
    </w:pPr>
    <w:rPr>
      <w:color w:val="000000"/>
      <w:sz w:val="24"/>
      <w:szCs w:val="24"/>
    </w:rPr>
  </w:style>
  <w:style w:type="paragraph" w:customStyle="1" w:styleId="anotcia">
    <w:name w:val="anotácia"/>
    <w:rsid w:val="001D64D0"/>
    <w:pPr>
      <w:autoSpaceDE w:val="0"/>
      <w:autoSpaceDN w:val="0"/>
      <w:adjustRightInd w:val="0"/>
      <w:spacing w:after="120" w:line="230" w:lineRule="atLeast"/>
      <w:ind w:left="227" w:right="227"/>
      <w:jc w:val="both"/>
    </w:pPr>
    <w:rPr>
      <w:i/>
      <w:iCs/>
      <w:color w:val="000000"/>
      <w:spacing w:val="285"/>
      <w:sz w:val="22"/>
      <w:szCs w:val="22"/>
      <w:lang w:val="cs-CZ" w:eastAsia="cs-CZ"/>
    </w:rPr>
  </w:style>
  <w:style w:type="paragraph" w:customStyle="1" w:styleId="Nadpis2loha">
    <w:name w:val="Nadpis 2.Úloha"/>
    <w:basedOn w:val="Normlny"/>
    <w:rsid w:val="001D64D0"/>
    <w:pPr>
      <w:tabs>
        <w:tab w:val="num" w:pos="360"/>
      </w:tabs>
      <w:autoSpaceDE w:val="0"/>
      <w:autoSpaceDN w:val="0"/>
      <w:spacing w:before="120"/>
    </w:pPr>
    <w:rPr>
      <w:rFonts w:ascii="Arial" w:hAnsi="Arial" w:cs="Arial"/>
      <w:sz w:val="24"/>
      <w:szCs w:val="24"/>
    </w:rPr>
  </w:style>
  <w:style w:type="paragraph" w:customStyle="1" w:styleId="Titreobjet">
    <w:name w:val="Titre objet"/>
    <w:basedOn w:val="Normlny"/>
    <w:next w:val="Sous-titreobjet"/>
    <w:rsid w:val="001D64D0"/>
    <w:pPr>
      <w:spacing w:before="360" w:after="360"/>
      <w:jc w:val="center"/>
    </w:pPr>
    <w:rPr>
      <w:b/>
      <w:bCs/>
      <w:sz w:val="24"/>
      <w:szCs w:val="24"/>
      <w:lang w:eastAsia="en-GB"/>
    </w:rPr>
  </w:style>
  <w:style w:type="paragraph" w:customStyle="1" w:styleId="Sous-titreobjet">
    <w:name w:val="Sous-titre objet"/>
    <w:basedOn w:val="Normlny"/>
    <w:rsid w:val="001D64D0"/>
    <w:pPr>
      <w:jc w:val="center"/>
    </w:pPr>
    <w:rPr>
      <w:b/>
      <w:bCs/>
      <w:sz w:val="24"/>
      <w:szCs w:val="24"/>
      <w:lang w:eastAsia="en-GB"/>
    </w:rPr>
  </w:style>
  <w:style w:type="paragraph" w:customStyle="1" w:styleId="CharCharCharCharCharCharCharCharCharCharChar1Char">
    <w:name w:val="Char Char Char Char Char Char Char Char Char Char Char1 Char"/>
    <w:basedOn w:val="Normlny"/>
    <w:rsid w:val="001D64D0"/>
    <w:pPr>
      <w:spacing w:after="160" w:line="240" w:lineRule="exact"/>
      <w:jc w:val="left"/>
    </w:pPr>
    <w:rPr>
      <w:rFonts w:ascii="Tahoma" w:hAnsi="Tahoma" w:cs="Tahoma"/>
      <w:sz w:val="20"/>
      <w:szCs w:val="20"/>
      <w:lang w:val="en-US" w:eastAsia="en-US"/>
    </w:rPr>
  </w:style>
  <w:style w:type="paragraph" w:customStyle="1" w:styleId="Par-dash">
    <w:name w:val="Par-dash"/>
    <w:basedOn w:val="Normlny"/>
    <w:next w:val="Normlny"/>
    <w:rsid w:val="001D64D0"/>
    <w:pPr>
      <w:widowControl w:val="0"/>
      <w:tabs>
        <w:tab w:val="num" w:pos="567"/>
      </w:tabs>
      <w:spacing w:line="360" w:lineRule="auto"/>
      <w:ind w:left="567" w:hanging="567"/>
      <w:jc w:val="left"/>
    </w:pPr>
    <w:rPr>
      <w:sz w:val="24"/>
      <w:szCs w:val="24"/>
      <w:lang w:eastAsia="fr-BE"/>
    </w:rPr>
  </w:style>
  <w:style w:type="paragraph" w:customStyle="1" w:styleId="CharCharCharCharCharCharCharCharCharCharCharCharCharChar1">
    <w:name w:val="Char Char Char Char Char Char Char Char Char Char Char Char Char Char1"/>
    <w:basedOn w:val="Normlny"/>
    <w:rsid w:val="001D64D0"/>
    <w:pPr>
      <w:spacing w:after="160" w:line="240" w:lineRule="exact"/>
      <w:jc w:val="left"/>
    </w:pPr>
    <w:rPr>
      <w:rFonts w:ascii="Tahoma" w:hAnsi="Tahoma" w:cs="Tahoma"/>
      <w:sz w:val="20"/>
      <w:szCs w:val="20"/>
      <w:lang w:val="en-US" w:eastAsia="en-US"/>
    </w:rPr>
  </w:style>
  <w:style w:type="paragraph" w:customStyle="1" w:styleId="CharCharChar1CharCharCharCharCharChar">
    <w:name w:val="Char Char Char1 Char Char Char Char Char Char"/>
    <w:basedOn w:val="Normlny"/>
    <w:rsid w:val="001D64D0"/>
    <w:pPr>
      <w:spacing w:after="160" w:line="240" w:lineRule="exact"/>
      <w:jc w:val="left"/>
    </w:pPr>
    <w:rPr>
      <w:rFonts w:ascii="Tahoma" w:hAnsi="Tahoma" w:cs="Tahoma"/>
      <w:sz w:val="20"/>
      <w:szCs w:val="20"/>
      <w:lang w:val="en-US" w:eastAsia="en-US"/>
    </w:rPr>
  </w:style>
  <w:style w:type="paragraph" w:customStyle="1" w:styleId="CharCharCharCharCharCharCharCharCharCharCharCharCharChar2">
    <w:name w:val="Char Char Char Char Char Char Char Char Char Char Char Char Char Char2"/>
    <w:basedOn w:val="Normlny"/>
    <w:rsid w:val="001D64D0"/>
    <w:pPr>
      <w:spacing w:after="160" w:line="240" w:lineRule="exact"/>
      <w:jc w:val="left"/>
    </w:pPr>
    <w:rPr>
      <w:rFonts w:ascii="Tahoma" w:hAnsi="Tahoma" w:cs="Tahoma"/>
      <w:sz w:val="20"/>
      <w:szCs w:val="20"/>
      <w:lang w:val="en-US" w:eastAsia="en-US"/>
    </w:rPr>
  </w:style>
  <w:style w:type="character" w:styleId="Odkaznakomentr">
    <w:name w:val="annotation reference"/>
    <w:basedOn w:val="Predvolenpsmoodseku"/>
    <w:uiPriority w:val="99"/>
    <w:rsid w:val="001D64D0"/>
    <w:rPr>
      <w:rFonts w:cs="Times New Roman"/>
      <w:sz w:val="16"/>
      <w:szCs w:val="16"/>
    </w:rPr>
  </w:style>
  <w:style w:type="character" w:styleId="Textzstupnhosymbolu">
    <w:name w:val="Placeholder Text"/>
    <w:basedOn w:val="Predvolenpsmoodseku"/>
    <w:uiPriority w:val="99"/>
    <w:semiHidden/>
    <w:rsid w:val="001D64D0"/>
    <w:rPr>
      <w:rFonts w:cs="Times New Roman"/>
    </w:rPr>
  </w:style>
  <w:style w:type="paragraph" w:customStyle="1" w:styleId="Deloittebodytext">
    <w:name w:val="Deloitte body text"/>
    <w:rsid w:val="001D64D0"/>
    <w:pPr>
      <w:spacing w:after="120"/>
    </w:pPr>
    <w:rPr>
      <w:rFonts w:ascii="Arial" w:hAnsi="Arial" w:cs="Arial"/>
      <w:color w:val="000000"/>
      <w:sz w:val="19"/>
      <w:szCs w:val="19"/>
      <w:lang w:val="cs-CZ" w:eastAsia="en-US"/>
    </w:rPr>
  </w:style>
  <w:style w:type="paragraph" w:styleId="Obsah5">
    <w:name w:val="toc 5"/>
    <w:basedOn w:val="Normlny"/>
    <w:next w:val="Normlny"/>
    <w:autoRedefine/>
    <w:uiPriority w:val="39"/>
    <w:semiHidden/>
    <w:rsid w:val="001D64D0"/>
    <w:pPr>
      <w:spacing w:after="0"/>
      <w:ind w:left="880"/>
      <w:jc w:val="left"/>
    </w:pPr>
    <w:rPr>
      <w:rFonts w:ascii="Calibri" w:hAnsi="Calibri"/>
      <w:sz w:val="20"/>
      <w:szCs w:val="20"/>
    </w:rPr>
  </w:style>
  <w:style w:type="paragraph" w:styleId="Obsah4">
    <w:name w:val="toc 4"/>
    <w:basedOn w:val="Normlny"/>
    <w:next w:val="Normlny"/>
    <w:autoRedefine/>
    <w:uiPriority w:val="39"/>
    <w:rsid w:val="001D64D0"/>
    <w:pPr>
      <w:spacing w:after="0"/>
      <w:ind w:left="660"/>
      <w:jc w:val="left"/>
    </w:pPr>
    <w:rPr>
      <w:rFonts w:ascii="Calibri" w:hAnsi="Calibri"/>
      <w:sz w:val="20"/>
      <w:szCs w:val="20"/>
    </w:rPr>
  </w:style>
  <w:style w:type="paragraph" w:styleId="Obsah3">
    <w:name w:val="toc 3"/>
    <w:basedOn w:val="Normlny"/>
    <w:next w:val="Normlny"/>
    <w:autoRedefine/>
    <w:uiPriority w:val="39"/>
    <w:rsid w:val="001D64D0"/>
    <w:pPr>
      <w:spacing w:after="0"/>
      <w:ind w:left="440"/>
      <w:jc w:val="left"/>
    </w:pPr>
    <w:rPr>
      <w:rFonts w:ascii="Calibri" w:hAnsi="Calibri"/>
      <w:sz w:val="20"/>
      <w:szCs w:val="20"/>
    </w:rPr>
  </w:style>
  <w:style w:type="paragraph" w:styleId="Obsah6">
    <w:name w:val="toc 6"/>
    <w:basedOn w:val="Normlny"/>
    <w:next w:val="Normlny"/>
    <w:autoRedefine/>
    <w:uiPriority w:val="39"/>
    <w:semiHidden/>
    <w:rsid w:val="001D64D0"/>
    <w:pPr>
      <w:spacing w:after="0"/>
      <w:ind w:left="1100"/>
      <w:jc w:val="left"/>
    </w:pPr>
    <w:rPr>
      <w:rFonts w:ascii="Calibri" w:hAnsi="Calibri"/>
      <w:sz w:val="20"/>
      <w:szCs w:val="20"/>
    </w:rPr>
  </w:style>
  <w:style w:type="paragraph" w:styleId="Obsah7">
    <w:name w:val="toc 7"/>
    <w:basedOn w:val="Normlny"/>
    <w:next w:val="Normlny"/>
    <w:autoRedefine/>
    <w:uiPriority w:val="39"/>
    <w:semiHidden/>
    <w:rsid w:val="001D64D0"/>
    <w:pPr>
      <w:spacing w:after="0"/>
      <w:ind w:left="1320"/>
      <w:jc w:val="left"/>
    </w:pPr>
    <w:rPr>
      <w:rFonts w:ascii="Calibri" w:hAnsi="Calibri"/>
      <w:sz w:val="20"/>
      <w:szCs w:val="20"/>
    </w:rPr>
  </w:style>
  <w:style w:type="paragraph" w:styleId="Obsah8">
    <w:name w:val="toc 8"/>
    <w:basedOn w:val="Normlny"/>
    <w:next w:val="Normlny"/>
    <w:autoRedefine/>
    <w:uiPriority w:val="39"/>
    <w:semiHidden/>
    <w:rsid w:val="001D64D0"/>
    <w:pPr>
      <w:spacing w:after="0"/>
      <w:ind w:left="1540"/>
      <w:jc w:val="left"/>
    </w:pPr>
    <w:rPr>
      <w:rFonts w:ascii="Calibri" w:hAnsi="Calibri"/>
      <w:sz w:val="20"/>
      <w:szCs w:val="20"/>
    </w:rPr>
  </w:style>
  <w:style w:type="paragraph" w:styleId="Obsah9">
    <w:name w:val="toc 9"/>
    <w:basedOn w:val="Normlny"/>
    <w:next w:val="Normlny"/>
    <w:autoRedefine/>
    <w:uiPriority w:val="39"/>
    <w:semiHidden/>
    <w:rsid w:val="001D64D0"/>
    <w:pPr>
      <w:spacing w:after="0"/>
      <w:ind w:left="1760"/>
      <w:jc w:val="left"/>
    </w:pPr>
    <w:rPr>
      <w:rFonts w:ascii="Calibri" w:hAnsi="Calibri"/>
      <w:sz w:val="20"/>
      <w:szCs w:val="20"/>
    </w:rPr>
  </w:style>
  <w:style w:type="paragraph" w:customStyle="1" w:styleId="CharCharCharCharCharCharCharCharCharCharCharCharCharChar1CharCharChar1">
    <w:name w:val="Char Char Char Char Char Char Char Char Char Char Char Char Char Char1 Char Char Char1"/>
    <w:basedOn w:val="Normlny"/>
    <w:rsid w:val="001D64D0"/>
    <w:pPr>
      <w:spacing w:after="160" w:line="240" w:lineRule="exact"/>
      <w:jc w:val="left"/>
    </w:pPr>
    <w:rPr>
      <w:rFonts w:ascii="Tahoma" w:hAnsi="Tahoma" w:cs="Tahoma"/>
      <w:sz w:val="20"/>
      <w:szCs w:val="20"/>
      <w:lang w:val="en-US" w:eastAsia="en-US"/>
    </w:rPr>
  </w:style>
  <w:style w:type="paragraph" w:customStyle="1" w:styleId="CharChar12">
    <w:name w:val="Char Char12"/>
    <w:basedOn w:val="Normlny"/>
    <w:rsid w:val="0096339C"/>
    <w:pPr>
      <w:spacing w:after="160" w:line="240" w:lineRule="exact"/>
      <w:jc w:val="left"/>
    </w:pPr>
    <w:rPr>
      <w:rFonts w:ascii="Tahoma" w:hAnsi="Tahoma" w:cs="Tahoma"/>
      <w:sz w:val="20"/>
      <w:szCs w:val="20"/>
      <w:lang w:val="en-US" w:eastAsia="en-US"/>
    </w:rPr>
  </w:style>
  <w:style w:type="paragraph" w:styleId="Hlavikaobsahu">
    <w:name w:val="TOC Heading"/>
    <w:basedOn w:val="Nadpis1"/>
    <w:next w:val="Normlny"/>
    <w:uiPriority w:val="39"/>
    <w:qFormat/>
    <w:rsid w:val="00BA5327"/>
    <w:pPr>
      <w:keepLines/>
      <w:tabs>
        <w:tab w:val="clear" w:pos="432"/>
      </w:tabs>
      <w:spacing w:before="480" w:after="0" w:line="276" w:lineRule="auto"/>
      <w:ind w:left="0" w:firstLine="0"/>
      <w:jc w:val="left"/>
      <w:outlineLvl w:val="9"/>
    </w:pPr>
    <w:rPr>
      <w:rFonts w:ascii="Cambria" w:hAnsi="Cambria" w:cs="Cambria"/>
      <w:color w:val="365F91"/>
      <w:lang w:eastAsia="en-US"/>
    </w:rPr>
  </w:style>
  <w:style w:type="character" w:customStyle="1" w:styleId="FootnoteTextChar">
    <w:name w:val="Footnote Text Char"/>
    <w:aliases w:val="Text poznámky pod čiarou 007 Char1,Schriftart: 9 pt Char1,Schriftart: 10 pt Char1,Schriftart: 8 pt Char1,_Poznámka pod čiarou Char1,Footnote Text Char2 Char1,Footnote Text Char1 Char Char1,Footnote Text Char2 Char Char Char1"/>
    <w:basedOn w:val="Predvolenpsmoodseku"/>
    <w:semiHidden/>
    <w:rsid w:val="00660028"/>
    <w:rPr>
      <w:rFonts w:ascii="Arial Narrow" w:hAnsi="Arial Narrow" w:cs="Arial Narrow"/>
      <w:sz w:val="20"/>
      <w:szCs w:val="20"/>
      <w:lang w:eastAsia="sk-SK"/>
    </w:rPr>
  </w:style>
  <w:style w:type="paragraph" w:customStyle="1" w:styleId="Zoznamsodrkami1">
    <w:name w:val="Zoznam s odrážkami1"/>
    <w:basedOn w:val="Normlny"/>
    <w:rsid w:val="00C2098B"/>
    <w:pPr>
      <w:widowControl w:val="0"/>
      <w:tabs>
        <w:tab w:val="num" w:pos="360"/>
      </w:tabs>
      <w:suppressAutoHyphens/>
      <w:spacing w:after="0"/>
      <w:ind w:left="360" w:hanging="360"/>
      <w:jc w:val="left"/>
    </w:pPr>
    <w:rPr>
      <w:rFonts w:ascii="Times New Roman" w:hAnsi="Times New Roman" w:cs="Times New Roman"/>
      <w:kern w:val="1"/>
      <w:sz w:val="24"/>
      <w:szCs w:val="24"/>
      <w:lang w:val="en-GB"/>
    </w:rPr>
  </w:style>
  <w:style w:type="paragraph" w:styleId="Zoznamsodrkami">
    <w:name w:val="List Bullet"/>
    <w:basedOn w:val="Normlny"/>
    <w:uiPriority w:val="99"/>
    <w:rsid w:val="0065047D"/>
    <w:pPr>
      <w:tabs>
        <w:tab w:val="num" w:pos="1723"/>
      </w:tabs>
      <w:spacing w:after="0"/>
      <w:ind w:left="1723" w:hanging="283"/>
      <w:jc w:val="left"/>
    </w:pPr>
    <w:rPr>
      <w:rFonts w:ascii="Times New Roman" w:hAnsi="Times New Roman" w:cs="Times New Roman"/>
      <w:sz w:val="24"/>
      <w:szCs w:val="24"/>
      <w:lang w:val="en-GB" w:eastAsia="en-GB"/>
    </w:rPr>
  </w:style>
  <w:style w:type="character" w:customStyle="1" w:styleId="placeholdertext">
    <w:name w:val="placeholdertext"/>
    <w:basedOn w:val="Predvolenpsmoodseku"/>
    <w:rsid w:val="0066533E"/>
    <w:rPr>
      <w:rFonts w:cs="Times New Roman"/>
    </w:rPr>
  </w:style>
  <w:style w:type="paragraph" w:customStyle="1" w:styleId="Odsekzoznamu2">
    <w:name w:val="Odsek zoznamu2"/>
    <w:basedOn w:val="Normlny"/>
    <w:qFormat/>
    <w:rsid w:val="0066533E"/>
    <w:pPr>
      <w:spacing w:after="200" w:line="276" w:lineRule="auto"/>
      <w:ind w:left="708"/>
      <w:jc w:val="left"/>
    </w:pPr>
    <w:rPr>
      <w:rFonts w:ascii="Calibri" w:hAnsi="Calibri" w:cs="Times New Roman"/>
      <w:lang w:eastAsia="en-US"/>
    </w:rPr>
  </w:style>
  <w:style w:type="character" w:customStyle="1" w:styleId="Odkaznakomentr1">
    <w:name w:val="Odkaz na komentár1"/>
    <w:basedOn w:val="Predvolenpsmoodseku"/>
    <w:rsid w:val="0017003B"/>
    <w:rPr>
      <w:rFonts w:cs="Times New Roman"/>
      <w:sz w:val="16"/>
      <w:szCs w:val="16"/>
    </w:rPr>
  </w:style>
  <w:style w:type="paragraph" w:customStyle="1" w:styleId="Textkomentra1">
    <w:name w:val="Text komentára1"/>
    <w:basedOn w:val="Normlny"/>
    <w:rsid w:val="0017003B"/>
    <w:pPr>
      <w:suppressAutoHyphens/>
      <w:spacing w:after="160" w:line="240" w:lineRule="exact"/>
      <w:jc w:val="left"/>
    </w:pPr>
    <w:rPr>
      <w:rFonts w:ascii="Tahoma" w:hAnsi="Tahoma" w:cs="Tahoma"/>
      <w:sz w:val="20"/>
      <w:szCs w:val="20"/>
      <w:lang w:val="en-US" w:eastAsia="ar-SA"/>
    </w:rPr>
  </w:style>
  <w:style w:type="paragraph" w:customStyle="1" w:styleId="Zoznamsodrkami2">
    <w:name w:val="Zoznam s odrážkami2"/>
    <w:basedOn w:val="Normlny"/>
    <w:rsid w:val="0017003B"/>
    <w:pPr>
      <w:tabs>
        <w:tab w:val="num" w:pos="360"/>
      </w:tabs>
      <w:suppressAutoHyphens/>
      <w:spacing w:after="0"/>
      <w:ind w:left="360" w:hanging="360"/>
      <w:jc w:val="left"/>
    </w:pPr>
    <w:rPr>
      <w:rFonts w:ascii="Times New Roman" w:hAnsi="Times New Roman" w:cs="Times New Roman"/>
      <w:sz w:val="24"/>
      <w:szCs w:val="24"/>
      <w:lang w:val="en-GB" w:eastAsia="ar-SA"/>
    </w:rPr>
  </w:style>
  <w:style w:type="character" w:customStyle="1" w:styleId="TextkomentraChar1">
    <w:name w:val="Text komentára Char1"/>
    <w:basedOn w:val="Predvolenpsmoodseku"/>
    <w:uiPriority w:val="99"/>
    <w:semiHidden/>
    <w:rsid w:val="0017003B"/>
    <w:rPr>
      <w:rFonts w:ascii="Arial Narrow" w:hAnsi="Arial Narrow" w:cs="Arial Narrow"/>
      <w:lang w:eastAsia="ar-SA" w:bidi="ar-SA"/>
    </w:rPr>
  </w:style>
  <w:style w:type="paragraph" w:styleId="Revzia">
    <w:name w:val="Revision"/>
    <w:hidden/>
    <w:uiPriority w:val="99"/>
    <w:semiHidden/>
    <w:rsid w:val="00B70D2C"/>
    <w:rPr>
      <w:sz w:val="22"/>
      <w:szCs w:val="22"/>
    </w:rPr>
  </w:style>
  <w:style w:type="character" w:customStyle="1" w:styleId="mw-headline">
    <w:name w:val="mw-headline"/>
    <w:basedOn w:val="Predvolenpsmoodseku"/>
    <w:rsid w:val="00C258C6"/>
    <w:rPr>
      <w:rFonts w:cs="Times New Roman"/>
    </w:rPr>
  </w:style>
  <w:style w:type="table" w:customStyle="1" w:styleId="Mriekatabuky1">
    <w:name w:val="Mriežka tabuľky1"/>
    <w:basedOn w:val="Normlnatabuka"/>
    <w:next w:val="Mriekatabuky"/>
    <w:uiPriority w:val="59"/>
    <w:rsid w:val="00D30DE4"/>
    <w:rPr>
      <w:rFonts w:cs="Times New Roman"/>
      <w:sz w:val="22"/>
      <w:szCs w:val="36"/>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
    <w:name w:val="Mriežka tabuľky2"/>
    <w:basedOn w:val="Normlnatabuka"/>
    <w:next w:val="Mriekatabuky"/>
    <w:uiPriority w:val="59"/>
    <w:rsid w:val="00E22AC4"/>
    <w:rPr>
      <w:rFonts w:cs="Times New Roman"/>
      <w:sz w:val="22"/>
      <w:szCs w:val="36"/>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lt-edited">
    <w:name w:val="hps alt-edited"/>
    <w:rsid w:val="000244F7"/>
  </w:style>
  <w:style w:type="paragraph" w:styleId="Zkladntext2">
    <w:name w:val="Body Text 2"/>
    <w:basedOn w:val="Normlny"/>
    <w:link w:val="Zkladntext2Char"/>
    <w:uiPriority w:val="99"/>
    <w:unhideWhenUsed/>
    <w:rsid w:val="009A5E47"/>
    <w:pPr>
      <w:spacing w:line="480" w:lineRule="auto"/>
    </w:pPr>
  </w:style>
  <w:style w:type="character" w:customStyle="1" w:styleId="Zkladntext2Char">
    <w:name w:val="Základný text 2 Char"/>
    <w:basedOn w:val="Predvolenpsmoodseku"/>
    <w:link w:val="Zkladntext2"/>
    <w:uiPriority w:val="99"/>
    <w:locked/>
    <w:rsid w:val="009A5E47"/>
    <w:rPr>
      <w:rFonts w:cs="Times New Roman"/>
      <w:sz w:val="22"/>
      <w:szCs w:val="22"/>
    </w:rPr>
  </w:style>
  <w:style w:type="paragraph" w:customStyle="1" w:styleId="Point0number">
    <w:name w:val="Point 0 (number)"/>
    <w:basedOn w:val="Normlny"/>
    <w:uiPriority w:val="99"/>
    <w:rsid w:val="00F83CA7"/>
    <w:pPr>
      <w:spacing w:before="120"/>
    </w:pPr>
    <w:rPr>
      <w:rFonts w:ascii="Times New Roman" w:hAnsi="Times New Roman" w:cs="Times New Roman"/>
      <w:sz w:val="24"/>
      <w:szCs w:val="24"/>
      <w:lang w:val="en-GB"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515596"/>
    <w:pPr>
      <w:tabs>
        <w:tab w:val="num" w:pos="567"/>
      </w:tabs>
      <w:spacing w:after="0" w:line="240" w:lineRule="exact"/>
      <w:ind w:left="567" w:hanging="567"/>
      <w:jc w:val="left"/>
    </w:pPr>
    <w:rPr>
      <w:rFonts w:ascii="Times New Roman Bold" w:hAnsi="Times New Roman Bold" w:cs="Times New Roman Bold"/>
      <w:b/>
      <w:bCs/>
      <w:color w:val="000000"/>
      <w:sz w:val="26"/>
      <w:szCs w:val="26"/>
      <w:lang w:eastAsia="en-US"/>
    </w:rPr>
  </w:style>
  <w:style w:type="paragraph" w:customStyle="1" w:styleId="Odsekzoznamu1">
    <w:name w:val="Odsek zoznamu1"/>
    <w:basedOn w:val="Normlny"/>
    <w:rsid w:val="00515596"/>
    <w:pPr>
      <w:spacing w:after="200" w:line="276" w:lineRule="auto"/>
      <w:ind w:left="720"/>
      <w:contextualSpacing/>
      <w:jc w:val="left"/>
    </w:pPr>
    <w:rPr>
      <w:rFonts w:ascii="Calibri" w:hAnsi="Calibri" w:cs="Times New Roman"/>
      <w:lang w:eastAsia="en-US"/>
    </w:rPr>
  </w:style>
  <w:style w:type="paragraph" w:styleId="Bezriadkovania">
    <w:name w:val="No Spacing"/>
    <w:uiPriority w:val="1"/>
    <w:qFormat/>
    <w:rsid w:val="00351FC9"/>
    <w:pPr>
      <w:jc w:val="both"/>
    </w:pPr>
    <w:rPr>
      <w:sz w:val="22"/>
      <w:szCs w:val="22"/>
    </w:rPr>
  </w:style>
  <w:style w:type="paragraph" w:styleId="Obyajntext">
    <w:name w:val="Plain Text"/>
    <w:basedOn w:val="Normlny"/>
    <w:link w:val="ObyajntextChar"/>
    <w:uiPriority w:val="99"/>
    <w:semiHidden/>
    <w:unhideWhenUsed/>
    <w:rsid w:val="007840BA"/>
    <w:pPr>
      <w:spacing w:after="0"/>
      <w:jc w:val="left"/>
    </w:pPr>
    <w:rPr>
      <w:rFonts w:ascii="Calibri" w:eastAsiaTheme="minorHAnsi" w:hAnsi="Calibri" w:cs="Times New Roman"/>
      <w:lang w:eastAsia="en-US"/>
    </w:rPr>
  </w:style>
  <w:style w:type="character" w:customStyle="1" w:styleId="ObyajntextChar">
    <w:name w:val="Obyčajný text Char"/>
    <w:basedOn w:val="Predvolenpsmoodseku"/>
    <w:link w:val="Obyajntext"/>
    <w:uiPriority w:val="99"/>
    <w:semiHidden/>
    <w:rsid w:val="007840BA"/>
    <w:rPr>
      <w:rFonts w:ascii="Calibri" w:eastAsiaTheme="minorHAnsi" w:hAnsi="Calibri" w:cs="Times New Roman"/>
      <w:sz w:val="22"/>
      <w:szCs w:val="22"/>
      <w:lang w:eastAsia="en-US"/>
    </w:rPr>
  </w:style>
  <w:style w:type="paragraph" w:customStyle="1" w:styleId="Odsekzoznamu3">
    <w:name w:val="Odsek zoznamu3"/>
    <w:basedOn w:val="Normlny"/>
    <w:rsid w:val="00C66F29"/>
    <w:pPr>
      <w:spacing w:after="200" w:line="276" w:lineRule="auto"/>
      <w:ind w:left="720"/>
      <w:contextualSpacing/>
      <w:jc w:val="left"/>
    </w:pPr>
    <w:rPr>
      <w:rFonts w:ascii="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6058">
      <w:bodyDiv w:val="1"/>
      <w:marLeft w:val="0"/>
      <w:marRight w:val="0"/>
      <w:marTop w:val="0"/>
      <w:marBottom w:val="0"/>
      <w:divBdr>
        <w:top w:val="none" w:sz="0" w:space="0" w:color="auto"/>
        <w:left w:val="none" w:sz="0" w:space="0" w:color="auto"/>
        <w:bottom w:val="none" w:sz="0" w:space="0" w:color="auto"/>
        <w:right w:val="none" w:sz="0" w:space="0" w:color="auto"/>
      </w:divBdr>
    </w:div>
    <w:div w:id="38825954">
      <w:bodyDiv w:val="1"/>
      <w:marLeft w:val="0"/>
      <w:marRight w:val="0"/>
      <w:marTop w:val="0"/>
      <w:marBottom w:val="0"/>
      <w:divBdr>
        <w:top w:val="none" w:sz="0" w:space="0" w:color="auto"/>
        <w:left w:val="none" w:sz="0" w:space="0" w:color="auto"/>
        <w:bottom w:val="none" w:sz="0" w:space="0" w:color="auto"/>
        <w:right w:val="none" w:sz="0" w:space="0" w:color="auto"/>
      </w:divBdr>
    </w:div>
    <w:div w:id="60107576">
      <w:bodyDiv w:val="1"/>
      <w:marLeft w:val="0"/>
      <w:marRight w:val="0"/>
      <w:marTop w:val="0"/>
      <w:marBottom w:val="0"/>
      <w:divBdr>
        <w:top w:val="none" w:sz="0" w:space="0" w:color="auto"/>
        <w:left w:val="none" w:sz="0" w:space="0" w:color="auto"/>
        <w:bottom w:val="none" w:sz="0" w:space="0" w:color="auto"/>
        <w:right w:val="none" w:sz="0" w:space="0" w:color="auto"/>
      </w:divBdr>
    </w:div>
    <w:div w:id="155463401">
      <w:bodyDiv w:val="1"/>
      <w:marLeft w:val="0"/>
      <w:marRight w:val="0"/>
      <w:marTop w:val="0"/>
      <w:marBottom w:val="0"/>
      <w:divBdr>
        <w:top w:val="none" w:sz="0" w:space="0" w:color="auto"/>
        <w:left w:val="none" w:sz="0" w:space="0" w:color="auto"/>
        <w:bottom w:val="none" w:sz="0" w:space="0" w:color="auto"/>
        <w:right w:val="none" w:sz="0" w:space="0" w:color="auto"/>
      </w:divBdr>
    </w:div>
    <w:div w:id="169836440">
      <w:bodyDiv w:val="1"/>
      <w:marLeft w:val="0"/>
      <w:marRight w:val="0"/>
      <w:marTop w:val="0"/>
      <w:marBottom w:val="0"/>
      <w:divBdr>
        <w:top w:val="none" w:sz="0" w:space="0" w:color="auto"/>
        <w:left w:val="none" w:sz="0" w:space="0" w:color="auto"/>
        <w:bottom w:val="none" w:sz="0" w:space="0" w:color="auto"/>
        <w:right w:val="none" w:sz="0" w:space="0" w:color="auto"/>
      </w:divBdr>
    </w:div>
    <w:div w:id="192421904">
      <w:bodyDiv w:val="1"/>
      <w:marLeft w:val="0"/>
      <w:marRight w:val="0"/>
      <w:marTop w:val="0"/>
      <w:marBottom w:val="0"/>
      <w:divBdr>
        <w:top w:val="none" w:sz="0" w:space="0" w:color="auto"/>
        <w:left w:val="none" w:sz="0" w:space="0" w:color="auto"/>
        <w:bottom w:val="none" w:sz="0" w:space="0" w:color="auto"/>
        <w:right w:val="none" w:sz="0" w:space="0" w:color="auto"/>
      </w:divBdr>
    </w:div>
    <w:div w:id="223757032">
      <w:bodyDiv w:val="1"/>
      <w:marLeft w:val="0"/>
      <w:marRight w:val="0"/>
      <w:marTop w:val="0"/>
      <w:marBottom w:val="0"/>
      <w:divBdr>
        <w:top w:val="none" w:sz="0" w:space="0" w:color="auto"/>
        <w:left w:val="none" w:sz="0" w:space="0" w:color="auto"/>
        <w:bottom w:val="none" w:sz="0" w:space="0" w:color="auto"/>
        <w:right w:val="none" w:sz="0" w:space="0" w:color="auto"/>
      </w:divBdr>
    </w:div>
    <w:div w:id="234702118">
      <w:bodyDiv w:val="1"/>
      <w:marLeft w:val="0"/>
      <w:marRight w:val="0"/>
      <w:marTop w:val="0"/>
      <w:marBottom w:val="0"/>
      <w:divBdr>
        <w:top w:val="none" w:sz="0" w:space="0" w:color="auto"/>
        <w:left w:val="none" w:sz="0" w:space="0" w:color="auto"/>
        <w:bottom w:val="none" w:sz="0" w:space="0" w:color="auto"/>
        <w:right w:val="none" w:sz="0" w:space="0" w:color="auto"/>
      </w:divBdr>
    </w:div>
    <w:div w:id="238373363">
      <w:bodyDiv w:val="1"/>
      <w:marLeft w:val="0"/>
      <w:marRight w:val="0"/>
      <w:marTop w:val="0"/>
      <w:marBottom w:val="0"/>
      <w:divBdr>
        <w:top w:val="none" w:sz="0" w:space="0" w:color="auto"/>
        <w:left w:val="none" w:sz="0" w:space="0" w:color="auto"/>
        <w:bottom w:val="none" w:sz="0" w:space="0" w:color="auto"/>
        <w:right w:val="none" w:sz="0" w:space="0" w:color="auto"/>
      </w:divBdr>
    </w:div>
    <w:div w:id="295451532">
      <w:bodyDiv w:val="1"/>
      <w:marLeft w:val="0"/>
      <w:marRight w:val="0"/>
      <w:marTop w:val="0"/>
      <w:marBottom w:val="0"/>
      <w:divBdr>
        <w:top w:val="none" w:sz="0" w:space="0" w:color="auto"/>
        <w:left w:val="none" w:sz="0" w:space="0" w:color="auto"/>
        <w:bottom w:val="none" w:sz="0" w:space="0" w:color="auto"/>
        <w:right w:val="none" w:sz="0" w:space="0" w:color="auto"/>
      </w:divBdr>
    </w:div>
    <w:div w:id="308020126">
      <w:bodyDiv w:val="1"/>
      <w:marLeft w:val="0"/>
      <w:marRight w:val="0"/>
      <w:marTop w:val="0"/>
      <w:marBottom w:val="0"/>
      <w:divBdr>
        <w:top w:val="none" w:sz="0" w:space="0" w:color="auto"/>
        <w:left w:val="none" w:sz="0" w:space="0" w:color="auto"/>
        <w:bottom w:val="none" w:sz="0" w:space="0" w:color="auto"/>
        <w:right w:val="none" w:sz="0" w:space="0" w:color="auto"/>
      </w:divBdr>
    </w:div>
    <w:div w:id="332880639">
      <w:bodyDiv w:val="1"/>
      <w:marLeft w:val="0"/>
      <w:marRight w:val="0"/>
      <w:marTop w:val="0"/>
      <w:marBottom w:val="0"/>
      <w:divBdr>
        <w:top w:val="none" w:sz="0" w:space="0" w:color="auto"/>
        <w:left w:val="none" w:sz="0" w:space="0" w:color="auto"/>
        <w:bottom w:val="none" w:sz="0" w:space="0" w:color="auto"/>
        <w:right w:val="none" w:sz="0" w:space="0" w:color="auto"/>
      </w:divBdr>
    </w:div>
    <w:div w:id="345251217">
      <w:bodyDiv w:val="1"/>
      <w:marLeft w:val="0"/>
      <w:marRight w:val="0"/>
      <w:marTop w:val="0"/>
      <w:marBottom w:val="0"/>
      <w:divBdr>
        <w:top w:val="none" w:sz="0" w:space="0" w:color="auto"/>
        <w:left w:val="none" w:sz="0" w:space="0" w:color="auto"/>
        <w:bottom w:val="none" w:sz="0" w:space="0" w:color="auto"/>
        <w:right w:val="none" w:sz="0" w:space="0" w:color="auto"/>
      </w:divBdr>
    </w:div>
    <w:div w:id="345792579">
      <w:bodyDiv w:val="1"/>
      <w:marLeft w:val="0"/>
      <w:marRight w:val="0"/>
      <w:marTop w:val="0"/>
      <w:marBottom w:val="0"/>
      <w:divBdr>
        <w:top w:val="none" w:sz="0" w:space="0" w:color="auto"/>
        <w:left w:val="none" w:sz="0" w:space="0" w:color="auto"/>
        <w:bottom w:val="none" w:sz="0" w:space="0" w:color="auto"/>
        <w:right w:val="none" w:sz="0" w:space="0" w:color="auto"/>
      </w:divBdr>
    </w:div>
    <w:div w:id="538588538">
      <w:bodyDiv w:val="1"/>
      <w:marLeft w:val="0"/>
      <w:marRight w:val="0"/>
      <w:marTop w:val="0"/>
      <w:marBottom w:val="0"/>
      <w:divBdr>
        <w:top w:val="none" w:sz="0" w:space="0" w:color="auto"/>
        <w:left w:val="none" w:sz="0" w:space="0" w:color="auto"/>
        <w:bottom w:val="none" w:sz="0" w:space="0" w:color="auto"/>
        <w:right w:val="none" w:sz="0" w:space="0" w:color="auto"/>
      </w:divBdr>
    </w:div>
    <w:div w:id="542985662">
      <w:bodyDiv w:val="1"/>
      <w:marLeft w:val="0"/>
      <w:marRight w:val="0"/>
      <w:marTop w:val="0"/>
      <w:marBottom w:val="0"/>
      <w:divBdr>
        <w:top w:val="none" w:sz="0" w:space="0" w:color="auto"/>
        <w:left w:val="none" w:sz="0" w:space="0" w:color="auto"/>
        <w:bottom w:val="none" w:sz="0" w:space="0" w:color="auto"/>
        <w:right w:val="none" w:sz="0" w:space="0" w:color="auto"/>
      </w:divBdr>
    </w:div>
    <w:div w:id="552158784">
      <w:bodyDiv w:val="1"/>
      <w:marLeft w:val="0"/>
      <w:marRight w:val="0"/>
      <w:marTop w:val="0"/>
      <w:marBottom w:val="0"/>
      <w:divBdr>
        <w:top w:val="none" w:sz="0" w:space="0" w:color="auto"/>
        <w:left w:val="none" w:sz="0" w:space="0" w:color="auto"/>
        <w:bottom w:val="none" w:sz="0" w:space="0" w:color="auto"/>
        <w:right w:val="none" w:sz="0" w:space="0" w:color="auto"/>
      </w:divBdr>
    </w:div>
    <w:div w:id="574048200">
      <w:bodyDiv w:val="1"/>
      <w:marLeft w:val="0"/>
      <w:marRight w:val="0"/>
      <w:marTop w:val="0"/>
      <w:marBottom w:val="0"/>
      <w:divBdr>
        <w:top w:val="none" w:sz="0" w:space="0" w:color="auto"/>
        <w:left w:val="none" w:sz="0" w:space="0" w:color="auto"/>
        <w:bottom w:val="none" w:sz="0" w:space="0" w:color="auto"/>
        <w:right w:val="none" w:sz="0" w:space="0" w:color="auto"/>
      </w:divBdr>
    </w:div>
    <w:div w:id="630599077">
      <w:bodyDiv w:val="1"/>
      <w:marLeft w:val="0"/>
      <w:marRight w:val="0"/>
      <w:marTop w:val="0"/>
      <w:marBottom w:val="0"/>
      <w:divBdr>
        <w:top w:val="none" w:sz="0" w:space="0" w:color="auto"/>
        <w:left w:val="none" w:sz="0" w:space="0" w:color="auto"/>
        <w:bottom w:val="none" w:sz="0" w:space="0" w:color="auto"/>
        <w:right w:val="none" w:sz="0" w:space="0" w:color="auto"/>
      </w:divBdr>
    </w:div>
    <w:div w:id="641274056">
      <w:bodyDiv w:val="1"/>
      <w:marLeft w:val="0"/>
      <w:marRight w:val="0"/>
      <w:marTop w:val="0"/>
      <w:marBottom w:val="0"/>
      <w:divBdr>
        <w:top w:val="none" w:sz="0" w:space="0" w:color="auto"/>
        <w:left w:val="none" w:sz="0" w:space="0" w:color="auto"/>
        <w:bottom w:val="none" w:sz="0" w:space="0" w:color="auto"/>
        <w:right w:val="none" w:sz="0" w:space="0" w:color="auto"/>
      </w:divBdr>
    </w:div>
    <w:div w:id="650838959">
      <w:bodyDiv w:val="1"/>
      <w:marLeft w:val="0"/>
      <w:marRight w:val="0"/>
      <w:marTop w:val="0"/>
      <w:marBottom w:val="0"/>
      <w:divBdr>
        <w:top w:val="none" w:sz="0" w:space="0" w:color="auto"/>
        <w:left w:val="none" w:sz="0" w:space="0" w:color="auto"/>
        <w:bottom w:val="none" w:sz="0" w:space="0" w:color="auto"/>
        <w:right w:val="none" w:sz="0" w:space="0" w:color="auto"/>
      </w:divBdr>
    </w:div>
    <w:div w:id="723987801">
      <w:bodyDiv w:val="1"/>
      <w:marLeft w:val="0"/>
      <w:marRight w:val="0"/>
      <w:marTop w:val="0"/>
      <w:marBottom w:val="0"/>
      <w:divBdr>
        <w:top w:val="none" w:sz="0" w:space="0" w:color="auto"/>
        <w:left w:val="none" w:sz="0" w:space="0" w:color="auto"/>
        <w:bottom w:val="none" w:sz="0" w:space="0" w:color="auto"/>
        <w:right w:val="none" w:sz="0" w:space="0" w:color="auto"/>
      </w:divBdr>
    </w:div>
    <w:div w:id="739987539">
      <w:bodyDiv w:val="1"/>
      <w:marLeft w:val="0"/>
      <w:marRight w:val="0"/>
      <w:marTop w:val="0"/>
      <w:marBottom w:val="0"/>
      <w:divBdr>
        <w:top w:val="none" w:sz="0" w:space="0" w:color="auto"/>
        <w:left w:val="none" w:sz="0" w:space="0" w:color="auto"/>
        <w:bottom w:val="none" w:sz="0" w:space="0" w:color="auto"/>
        <w:right w:val="none" w:sz="0" w:space="0" w:color="auto"/>
      </w:divBdr>
    </w:div>
    <w:div w:id="754396088">
      <w:bodyDiv w:val="1"/>
      <w:marLeft w:val="0"/>
      <w:marRight w:val="0"/>
      <w:marTop w:val="0"/>
      <w:marBottom w:val="0"/>
      <w:divBdr>
        <w:top w:val="none" w:sz="0" w:space="0" w:color="auto"/>
        <w:left w:val="none" w:sz="0" w:space="0" w:color="auto"/>
        <w:bottom w:val="none" w:sz="0" w:space="0" w:color="auto"/>
        <w:right w:val="none" w:sz="0" w:space="0" w:color="auto"/>
      </w:divBdr>
    </w:div>
    <w:div w:id="763108339">
      <w:bodyDiv w:val="1"/>
      <w:marLeft w:val="0"/>
      <w:marRight w:val="0"/>
      <w:marTop w:val="0"/>
      <w:marBottom w:val="0"/>
      <w:divBdr>
        <w:top w:val="none" w:sz="0" w:space="0" w:color="auto"/>
        <w:left w:val="none" w:sz="0" w:space="0" w:color="auto"/>
        <w:bottom w:val="none" w:sz="0" w:space="0" w:color="auto"/>
        <w:right w:val="none" w:sz="0" w:space="0" w:color="auto"/>
      </w:divBdr>
    </w:div>
    <w:div w:id="768231767">
      <w:bodyDiv w:val="1"/>
      <w:marLeft w:val="0"/>
      <w:marRight w:val="0"/>
      <w:marTop w:val="0"/>
      <w:marBottom w:val="0"/>
      <w:divBdr>
        <w:top w:val="none" w:sz="0" w:space="0" w:color="auto"/>
        <w:left w:val="none" w:sz="0" w:space="0" w:color="auto"/>
        <w:bottom w:val="none" w:sz="0" w:space="0" w:color="auto"/>
        <w:right w:val="none" w:sz="0" w:space="0" w:color="auto"/>
      </w:divBdr>
    </w:div>
    <w:div w:id="784497082">
      <w:bodyDiv w:val="1"/>
      <w:marLeft w:val="0"/>
      <w:marRight w:val="0"/>
      <w:marTop w:val="0"/>
      <w:marBottom w:val="0"/>
      <w:divBdr>
        <w:top w:val="none" w:sz="0" w:space="0" w:color="auto"/>
        <w:left w:val="none" w:sz="0" w:space="0" w:color="auto"/>
        <w:bottom w:val="none" w:sz="0" w:space="0" w:color="auto"/>
        <w:right w:val="none" w:sz="0" w:space="0" w:color="auto"/>
      </w:divBdr>
    </w:div>
    <w:div w:id="822893014">
      <w:bodyDiv w:val="1"/>
      <w:marLeft w:val="0"/>
      <w:marRight w:val="0"/>
      <w:marTop w:val="0"/>
      <w:marBottom w:val="0"/>
      <w:divBdr>
        <w:top w:val="none" w:sz="0" w:space="0" w:color="auto"/>
        <w:left w:val="none" w:sz="0" w:space="0" w:color="auto"/>
        <w:bottom w:val="none" w:sz="0" w:space="0" w:color="auto"/>
        <w:right w:val="none" w:sz="0" w:space="0" w:color="auto"/>
      </w:divBdr>
    </w:div>
    <w:div w:id="946304898">
      <w:bodyDiv w:val="1"/>
      <w:marLeft w:val="0"/>
      <w:marRight w:val="0"/>
      <w:marTop w:val="0"/>
      <w:marBottom w:val="0"/>
      <w:divBdr>
        <w:top w:val="none" w:sz="0" w:space="0" w:color="auto"/>
        <w:left w:val="none" w:sz="0" w:space="0" w:color="auto"/>
        <w:bottom w:val="none" w:sz="0" w:space="0" w:color="auto"/>
        <w:right w:val="none" w:sz="0" w:space="0" w:color="auto"/>
      </w:divBdr>
    </w:div>
    <w:div w:id="971791013">
      <w:bodyDiv w:val="1"/>
      <w:marLeft w:val="0"/>
      <w:marRight w:val="0"/>
      <w:marTop w:val="0"/>
      <w:marBottom w:val="0"/>
      <w:divBdr>
        <w:top w:val="none" w:sz="0" w:space="0" w:color="auto"/>
        <w:left w:val="none" w:sz="0" w:space="0" w:color="auto"/>
        <w:bottom w:val="none" w:sz="0" w:space="0" w:color="auto"/>
        <w:right w:val="none" w:sz="0" w:space="0" w:color="auto"/>
      </w:divBdr>
    </w:div>
    <w:div w:id="978267410">
      <w:bodyDiv w:val="1"/>
      <w:marLeft w:val="0"/>
      <w:marRight w:val="0"/>
      <w:marTop w:val="0"/>
      <w:marBottom w:val="0"/>
      <w:divBdr>
        <w:top w:val="none" w:sz="0" w:space="0" w:color="auto"/>
        <w:left w:val="none" w:sz="0" w:space="0" w:color="auto"/>
        <w:bottom w:val="none" w:sz="0" w:space="0" w:color="auto"/>
        <w:right w:val="none" w:sz="0" w:space="0" w:color="auto"/>
      </w:divBdr>
    </w:div>
    <w:div w:id="989331955">
      <w:bodyDiv w:val="1"/>
      <w:marLeft w:val="0"/>
      <w:marRight w:val="0"/>
      <w:marTop w:val="0"/>
      <w:marBottom w:val="0"/>
      <w:divBdr>
        <w:top w:val="none" w:sz="0" w:space="0" w:color="auto"/>
        <w:left w:val="none" w:sz="0" w:space="0" w:color="auto"/>
        <w:bottom w:val="none" w:sz="0" w:space="0" w:color="auto"/>
        <w:right w:val="none" w:sz="0" w:space="0" w:color="auto"/>
      </w:divBdr>
    </w:div>
    <w:div w:id="1008168099">
      <w:bodyDiv w:val="1"/>
      <w:marLeft w:val="0"/>
      <w:marRight w:val="0"/>
      <w:marTop w:val="0"/>
      <w:marBottom w:val="0"/>
      <w:divBdr>
        <w:top w:val="none" w:sz="0" w:space="0" w:color="auto"/>
        <w:left w:val="none" w:sz="0" w:space="0" w:color="auto"/>
        <w:bottom w:val="none" w:sz="0" w:space="0" w:color="auto"/>
        <w:right w:val="none" w:sz="0" w:space="0" w:color="auto"/>
      </w:divBdr>
    </w:div>
    <w:div w:id="1016687364">
      <w:bodyDiv w:val="1"/>
      <w:marLeft w:val="0"/>
      <w:marRight w:val="0"/>
      <w:marTop w:val="0"/>
      <w:marBottom w:val="0"/>
      <w:divBdr>
        <w:top w:val="none" w:sz="0" w:space="0" w:color="auto"/>
        <w:left w:val="none" w:sz="0" w:space="0" w:color="auto"/>
        <w:bottom w:val="none" w:sz="0" w:space="0" w:color="auto"/>
        <w:right w:val="none" w:sz="0" w:space="0" w:color="auto"/>
      </w:divBdr>
    </w:div>
    <w:div w:id="1022826432">
      <w:bodyDiv w:val="1"/>
      <w:marLeft w:val="0"/>
      <w:marRight w:val="0"/>
      <w:marTop w:val="0"/>
      <w:marBottom w:val="0"/>
      <w:divBdr>
        <w:top w:val="none" w:sz="0" w:space="0" w:color="auto"/>
        <w:left w:val="none" w:sz="0" w:space="0" w:color="auto"/>
        <w:bottom w:val="none" w:sz="0" w:space="0" w:color="auto"/>
        <w:right w:val="none" w:sz="0" w:space="0" w:color="auto"/>
      </w:divBdr>
    </w:div>
    <w:div w:id="1034815946">
      <w:bodyDiv w:val="1"/>
      <w:marLeft w:val="0"/>
      <w:marRight w:val="0"/>
      <w:marTop w:val="0"/>
      <w:marBottom w:val="0"/>
      <w:divBdr>
        <w:top w:val="none" w:sz="0" w:space="0" w:color="auto"/>
        <w:left w:val="none" w:sz="0" w:space="0" w:color="auto"/>
        <w:bottom w:val="none" w:sz="0" w:space="0" w:color="auto"/>
        <w:right w:val="none" w:sz="0" w:space="0" w:color="auto"/>
      </w:divBdr>
    </w:div>
    <w:div w:id="1038429971">
      <w:bodyDiv w:val="1"/>
      <w:marLeft w:val="0"/>
      <w:marRight w:val="0"/>
      <w:marTop w:val="0"/>
      <w:marBottom w:val="0"/>
      <w:divBdr>
        <w:top w:val="none" w:sz="0" w:space="0" w:color="auto"/>
        <w:left w:val="none" w:sz="0" w:space="0" w:color="auto"/>
        <w:bottom w:val="none" w:sz="0" w:space="0" w:color="auto"/>
        <w:right w:val="none" w:sz="0" w:space="0" w:color="auto"/>
      </w:divBdr>
    </w:div>
    <w:div w:id="1043943964">
      <w:bodyDiv w:val="1"/>
      <w:marLeft w:val="0"/>
      <w:marRight w:val="0"/>
      <w:marTop w:val="0"/>
      <w:marBottom w:val="0"/>
      <w:divBdr>
        <w:top w:val="none" w:sz="0" w:space="0" w:color="auto"/>
        <w:left w:val="none" w:sz="0" w:space="0" w:color="auto"/>
        <w:bottom w:val="none" w:sz="0" w:space="0" w:color="auto"/>
        <w:right w:val="none" w:sz="0" w:space="0" w:color="auto"/>
      </w:divBdr>
    </w:div>
    <w:div w:id="1055474866">
      <w:bodyDiv w:val="1"/>
      <w:marLeft w:val="0"/>
      <w:marRight w:val="0"/>
      <w:marTop w:val="0"/>
      <w:marBottom w:val="0"/>
      <w:divBdr>
        <w:top w:val="none" w:sz="0" w:space="0" w:color="auto"/>
        <w:left w:val="none" w:sz="0" w:space="0" w:color="auto"/>
        <w:bottom w:val="none" w:sz="0" w:space="0" w:color="auto"/>
        <w:right w:val="none" w:sz="0" w:space="0" w:color="auto"/>
      </w:divBdr>
    </w:div>
    <w:div w:id="1099327840">
      <w:bodyDiv w:val="1"/>
      <w:marLeft w:val="0"/>
      <w:marRight w:val="0"/>
      <w:marTop w:val="0"/>
      <w:marBottom w:val="0"/>
      <w:divBdr>
        <w:top w:val="none" w:sz="0" w:space="0" w:color="auto"/>
        <w:left w:val="none" w:sz="0" w:space="0" w:color="auto"/>
        <w:bottom w:val="none" w:sz="0" w:space="0" w:color="auto"/>
        <w:right w:val="none" w:sz="0" w:space="0" w:color="auto"/>
      </w:divBdr>
    </w:div>
    <w:div w:id="1107120503">
      <w:bodyDiv w:val="1"/>
      <w:marLeft w:val="0"/>
      <w:marRight w:val="0"/>
      <w:marTop w:val="0"/>
      <w:marBottom w:val="0"/>
      <w:divBdr>
        <w:top w:val="none" w:sz="0" w:space="0" w:color="auto"/>
        <w:left w:val="none" w:sz="0" w:space="0" w:color="auto"/>
        <w:bottom w:val="none" w:sz="0" w:space="0" w:color="auto"/>
        <w:right w:val="none" w:sz="0" w:space="0" w:color="auto"/>
      </w:divBdr>
    </w:div>
    <w:div w:id="1108697021">
      <w:bodyDiv w:val="1"/>
      <w:marLeft w:val="0"/>
      <w:marRight w:val="0"/>
      <w:marTop w:val="0"/>
      <w:marBottom w:val="0"/>
      <w:divBdr>
        <w:top w:val="none" w:sz="0" w:space="0" w:color="auto"/>
        <w:left w:val="none" w:sz="0" w:space="0" w:color="auto"/>
        <w:bottom w:val="none" w:sz="0" w:space="0" w:color="auto"/>
        <w:right w:val="none" w:sz="0" w:space="0" w:color="auto"/>
      </w:divBdr>
    </w:div>
    <w:div w:id="1230384713">
      <w:bodyDiv w:val="1"/>
      <w:marLeft w:val="0"/>
      <w:marRight w:val="0"/>
      <w:marTop w:val="0"/>
      <w:marBottom w:val="0"/>
      <w:divBdr>
        <w:top w:val="none" w:sz="0" w:space="0" w:color="auto"/>
        <w:left w:val="none" w:sz="0" w:space="0" w:color="auto"/>
        <w:bottom w:val="none" w:sz="0" w:space="0" w:color="auto"/>
        <w:right w:val="none" w:sz="0" w:space="0" w:color="auto"/>
      </w:divBdr>
    </w:div>
    <w:div w:id="1260404879">
      <w:bodyDiv w:val="1"/>
      <w:marLeft w:val="0"/>
      <w:marRight w:val="0"/>
      <w:marTop w:val="0"/>
      <w:marBottom w:val="0"/>
      <w:divBdr>
        <w:top w:val="none" w:sz="0" w:space="0" w:color="auto"/>
        <w:left w:val="none" w:sz="0" w:space="0" w:color="auto"/>
        <w:bottom w:val="none" w:sz="0" w:space="0" w:color="auto"/>
        <w:right w:val="none" w:sz="0" w:space="0" w:color="auto"/>
      </w:divBdr>
    </w:div>
    <w:div w:id="1350328802">
      <w:bodyDiv w:val="1"/>
      <w:marLeft w:val="0"/>
      <w:marRight w:val="0"/>
      <w:marTop w:val="0"/>
      <w:marBottom w:val="0"/>
      <w:divBdr>
        <w:top w:val="none" w:sz="0" w:space="0" w:color="auto"/>
        <w:left w:val="none" w:sz="0" w:space="0" w:color="auto"/>
        <w:bottom w:val="none" w:sz="0" w:space="0" w:color="auto"/>
        <w:right w:val="none" w:sz="0" w:space="0" w:color="auto"/>
      </w:divBdr>
    </w:div>
    <w:div w:id="1396586342">
      <w:bodyDiv w:val="1"/>
      <w:marLeft w:val="0"/>
      <w:marRight w:val="0"/>
      <w:marTop w:val="0"/>
      <w:marBottom w:val="0"/>
      <w:divBdr>
        <w:top w:val="none" w:sz="0" w:space="0" w:color="auto"/>
        <w:left w:val="none" w:sz="0" w:space="0" w:color="auto"/>
        <w:bottom w:val="none" w:sz="0" w:space="0" w:color="auto"/>
        <w:right w:val="none" w:sz="0" w:space="0" w:color="auto"/>
      </w:divBdr>
    </w:div>
    <w:div w:id="1407339193">
      <w:bodyDiv w:val="1"/>
      <w:marLeft w:val="0"/>
      <w:marRight w:val="0"/>
      <w:marTop w:val="0"/>
      <w:marBottom w:val="0"/>
      <w:divBdr>
        <w:top w:val="none" w:sz="0" w:space="0" w:color="auto"/>
        <w:left w:val="none" w:sz="0" w:space="0" w:color="auto"/>
        <w:bottom w:val="none" w:sz="0" w:space="0" w:color="auto"/>
        <w:right w:val="none" w:sz="0" w:space="0" w:color="auto"/>
      </w:divBdr>
    </w:div>
    <w:div w:id="1450592220">
      <w:bodyDiv w:val="1"/>
      <w:marLeft w:val="0"/>
      <w:marRight w:val="0"/>
      <w:marTop w:val="0"/>
      <w:marBottom w:val="0"/>
      <w:divBdr>
        <w:top w:val="none" w:sz="0" w:space="0" w:color="auto"/>
        <w:left w:val="none" w:sz="0" w:space="0" w:color="auto"/>
        <w:bottom w:val="none" w:sz="0" w:space="0" w:color="auto"/>
        <w:right w:val="none" w:sz="0" w:space="0" w:color="auto"/>
      </w:divBdr>
    </w:div>
    <w:div w:id="1488322783">
      <w:bodyDiv w:val="1"/>
      <w:marLeft w:val="0"/>
      <w:marRight w:val="0"/>
      <w:marTop w:val="0"/>
      <w:marBottom w:val="0"/>
      <w:divBdr>
        <w:top w:val="none" w:sz="0" w:space="0" w:color="auto"/>
        <w:left w:val="none" w:sz="0" w:space="0" w:color="auto"/>
        <w:bottom w:val="none" w:sz="0" w:space="0" w:color="auto"/>
        <w:right w:val="none" w:sz="0" w:space="0" w:color="auto"/>
      </w:divBdr>
    </w:div>
    <w:div w:id="1543706451">
      <w:bodyDiv w:val="1"/>
      <w:marLeft w:val="0"/>
      <w:marRight w:val="0"/>
      <w:marTop w:val="0"/>
      <w:marBottom w:val="0"/>
      <w:divBdr>
        <w:top w:val="none" w:sz="0" w:space="0" w:color="auto"/>
        <w:left w:val="none" w:sz="0" w:space="0" w:color="auto"/>
        <w:bottom w:val="none" w:sz="0" w:space="0" w:color="auto"/>
        <w:right w:val="none" w:sz="0" w:space="0" w:color="auto"/>
      </w:divBdr>
    </w:div>
    <w:div w:id="1548057515">
      <w:bodyDiv w:val="1"/>
      <w:marLeft w:val="0"/>
      <w:marRight w:val="0"/>
      <w:marTop w:val="0"/>
      <w:marBottom w:val="0"/>
      <w:divBdr>
        <w:top w:val="none" w:sz="0" w:space="0" w:color="auto"/>
        <w:left w:val="none" w:sz="0" w:space="0" w:color="auto"/>
        <w:bottom w:val="none" w:sz="0" w:space="0" w:color="auto"/>
        <w:right w:val="none" w:sz="0" w:space="0" w:color="auto"/>
      </w:divBdr>
    </w:div>
    <w:div w:id="1595088410">
      <w:bodyDiv w:val="1"/>
      <w:marLeft w:val="0"/>
      <w:marRight w:val="0"/>
      <w:marTop w:val="0"/>
      <w:marBottom w:val="0"/>
      <w:divBdr>
        <w:top w:val="none" w:sz="0" w:space="0" w:color="auto"/>
        <w:left w:val="none" w:sz="0" w:space="0" w:color="auto"/>
        <w:bottom w:val="none" w:sz="0" w:space="0" w:color="auto"/>
        <w:right w:val="none" w:sz="0" w:space="0" w:color="auto"/>
      </w:divBdr>
    </w:div>
    <w:div w:id="1632713527">
      <w:bodyDiv w:val="1"/>
      <w:marLeft w:val="0"/>
      <w:marRight w:val="0"/>
      <w:marTop w:val="0"/>
      <w:marBottom w:val="0"/>
      <w:divBdr>
        <w:top w:val="none" w:sz="0" w:space="0" w:color="auto"/>
        <w:left w:val="none" w:sz="0" w:space="0" w:color="auto"/>
        <w:bottom w:val="none" w:sz="0" w:space="0" w:color="auto"/>
        <w:right w:val="none" w:sz="0" w:space="0" w:color="auto"/>
      </w:divBdr>
    </w:div>
    <w:div w:id="1633439209">
      <w:bodyDiv w:val="1"/>
      <w:marLeft w:val="0"/>
      <w:marRight w:val="0"/>
      <w:marTop w:val="0"/>
      <w:marBottom w:val="0"/>
      <w:divBdr>
        <w:top w:val="none" w:sz="0" w:space="0" w:color="auto"/>
        <w:left w:val="none" w:sz="0" w:space="0" w:color="auto"/>
        <w:bottom w:val="none" w:sz="0" w:space="0" w:color="auto"/>
        <w:right w:val="none" w:sz="0" w:space="0" w:color="auto"/>
      </w:divBdr>
    </w:div>
    <w:div w:id="1644193192">
      <w:bodyDiv w:val="1"/>
      <w:marLeft w:val="0"/>
      <w:marRight w:val="0"/>
      <w:marTop w:val="0"/>
      <w:marBottom w:val="0"/>
      <w:divBdr>
        <w:top w:val="none" w:sz="0" w:space="0" w:color="auto"/>
        <w:left w:val="none" w:sz="0" w:space="0" w:color="auto"/>
        <w:bottom w:val="none" w:sz="0" w:space="0" w:color="auto"/>
        <w:right w:val="none" w:sz="0" w:space="0" w:color="auto"/>
      </w:divBdr>
    </w:div>
    <w:div w:id="1655715219">
      <w:bodyDiv w:val="1"/>
      <w:marLeft w:val="0"/>
      <w:marRight w:val="0"/>
      <w:marTop w:val="0"/>
      <w:marBottom w:val="0"/>
      <w:divBdr>
        <w:top w:val="none" w:sz="0" w:space="0" w:color="auto"/>
        <w:left w:val="none" w:sz="0" w:space="0" w:color="auto"/>
        <w:bottom w:val="none" w:sz="0" w:space="0" w:color="auto"/>
        <w:right w:val="none" w:sz="0" w:space="0" w:color="auto"/>
      </w:divBdr>
    </w:div>
    <w:div w:id="1656177609">
      <w:bodyDiv w:val="1"/>
      <w:marLeft w:val="0"/>
      <w:marRight w:val="0"/>
      <w:marTop w:val="0"/>
      <w:marBottom w:val="0"/>
      <w:divBdr>
        <w:top w:val="none" w:sz="0" w:space="0" w:color="auto"/>
        <w:left w:val="none" w:sz="0" w:space="0" w:color="auto"/>
        <w:bottom w:val="none" w:sz="0" w:space="0" w:color="auto"/>
        <w:right w:val="none" w:sz="0" w:space="0" w:color="auto"/>
      </w:divBdr>
    </w:div>
    <w:div w:id="1676300613">
      <w:bodyDiv w:val="1"/>
      <w:marLeft w:val="0"/>
      <w:marRight w:val="0"/>
      <w:marTop w:val="0"/>
      <w:marBottom w:val="0"/>
      <w:divBdr>
        <w:top w:val="none" w:sz="0" w:space="0" w:color="auto"/>
        <w:left w:val="none" w:sz="0" w:space="0" w:color="auto"/>
        <w:bottom w:val="none" w:sz="0" w:space="0" w:color="auto"/>
        <w:right w:val="none" w:sz="0" w:space="0" w:color="auto"/>
      </w:divBdr>
    </w:div>
    <w:div w:id="1695494695">
      <w:bodyDiv w:val="1"/>
      <w:marLeft w:val="0"/>
      <w:marRight w:val="0"/>
      <w:marTop w:val="0"/>
      <w:marBottom w:val="0"/>
      <w:divBdr>
        <w:top w:val="none" w:sz="0" w:space="0" w:color="auto"/>
        <w:left w:val="none" w:sz="0" w:space="0" w:color="auto"/>
        <w:bottom w:val="none" w:sz="0" w:space="0" w:color="auto"/>
        <w:right w:val="none" w:sz="0" w:space="0" w:color="auto"/>
      </w:divBdr>
    </w:div>
    <w:div w:id="1704817892">
      <w:bodyDiv w:val="1"/>
      <w:marLeft w:val="0"/>
      <w:marRight w:val="0"/>
      <w:marTop w:val="0"/>
      <w:marBottom w:val="0"/>
      <w:divBdr>
        <w:top w:val="none" w:sz="0" w:space="0" w:color="auto"/>
        <w:left w:val="none" w:sz="0" w:space="0" w:color="auto"/>
        <w:bottom w:val="none" w:sz="0" w:space="0" w:color="auto"/>
        <w:right w:val="none" w:sz="0" w:space="0" w:color="auto"/>
      </w:divBdr>
    </w:div>
    <w:div w:id="1715154403">
      <w:bodyDiv w:val="1"/>
      <w:marLeft w:val="0"/>
      <w:marRight w:val="0"/>
      <w:marTop w:val="0"/>
      <w:marBottom w:val="0"/>
      <w:divBdr>
        <w:top w:val="none" w:sz="0" w:space="0" w:color="auto"/>
        <w:left w:val="none" w:sz="0" w:space="0" w:color="auto"/>
        <w:bottom w:val="none" w:sz="0" w:space="0" w:color="auto"/>
        <w:right w:val="none" w:sz="0" w:space="0" w:color="auto"/>
      </w:divBdr>
    </w:div>
    <w:div w:id="1745104156">
      <w:bodyDiv w:val="1"/>
      <w:marLeft w:val="0"/>
      <w:marRight w:val="0"/>
      <w:marTop w:val="0"/>
      <w:marBottom w:val="0"/>
      <w:divBdr>
        <w:top w:val="none" w:sz="0" w:space="0" w:color="auto"/>
        <w:left w:val="none" w:sz="0" w:space="0" w:color="auto"/>
        <w:bottom w:val="none" w:sz="0" w:space="0" w:color="auto"/>
        <w:right w:val="none" w:sz="0" w:space="0" w:color="auto"/>
      </w:divBdr>
    </w:div>
    <w:div w:id="1798647090">
      <w:bodyDiv w:val="1"/>
      <w:marLeft w:val="0"/>
      <w:marRight w:val="0"/>
      <w:marTop w:val="0"/>
      <w:marBottom w:val="0"/>
      <w:divBdr>
        <w:top w:val="none" w:sz="0" w:space="0" w:color="auto"/>
        <w:left w:val="none" w:sz="0" w:space="0" w:color="auto"/>
        <w:bottom w:val="none" w:sz="0" w:space="0" w:color="auto"/>
        <w:right w:val="none" w:sz="0" w:space="0" w:color="auto"/>
      </w:divBdr>
    </w:div>
    <w:div w:id="1825898656">
      <w:bodyDiv w:val="1"/>
      <w:marLeft w:val="0"/>
      <w:marRight w:val="0"/>
      <w:marTop w:val="0"/>
      <w:marBottom w:val="0"/>
      <w:divBdr>
        <w:top w:val="none" w:sz="0" w:space="0" w:color="auto"/>
        <w:left w:val="none" w:sz="0" w:space="0" w:color="auto"/>
        <w:bottom w:val="none" w:sz="0" w:space="0" w:color="auto"/>
        <w:right w:val="none" w:sz="0" w:space="0" w:color="auto"/>
      </w:divBdr>
    </w:div>
    <w:div w:id="1833988978">
      <w:bodyDiv w:val="1"/>
      <w:marLeft w:val="0"/>
      <w:marRight w:val="0"/>
      <w:marTop w:val="0"/>
      <w:marBottom w:val="0"/>
      <w:divBdr>
        <w:top w:val="none" w:sz="0" w:space="0" w:color="auto"/>
        <w:left w:val="none" w:sz="0" w:space="0" w:color="auto"/>
        <w:bottom w:val="none" w:sz="0" w:space="0" w:color="auto"/>
        <w:right w:val="none" w:sz="0" w:space="0" w:color="auto"/>
      </w:divBdr>
    </w:div>
    <w:div w:id="1834832548">
      <w:bodyDiv w:val="1"/>
      <w:marLeft w:val="0"/>
      <w:marRight w:val="0"/>
      <w:marTop w:val="0"/>
      <w:marBottom w:val="0"/>
      <w:divBdr>
        <w:top w:val="none" w:sz="0" w:space="0" w:color="auto"/>
        <w:left w:val="none" w:sz="0" w:space="0" w:color="auto"/>
        <w:bottom w:val="none" w:sz="0" w:space="0" w:color="auto"/>
        <w:right w:val="none" w:sz="0" w:space="0" w:color="auto"/>
      </w:divBdr>
    </w:div>
    <w:div w:id="1874076712">
      <w:bodyDiv w:val="1"/>
      <w:marLeft w:val="0"/>
      <w:marRight w:val="0"/>
      <w:marTop w:val="0"/>
      <w:marBottom w:val="0"/>
      <w:divBdr>
        <w:top w:val="none" w:sz="0" w:space="0" w:color="auto"/>
        <w:left w:val="none" w:sz="0" w:space="0" w:color="auto"/>
        <w:bottom w:val="none" w:sz="0" w:space="0" w:color="auto"/>
        <w:right w:val="none" w:sz="0" w:space="0" w:color="auto"/>
      </w:divBdr>
    </w:div>
    <w:div w:id="1880584806">
      <w:bodyDiv w:val="1"/>
      <w:marLeft w:val="0"/>
      <w:marRight w:val="0"/>
      <w:marTop w:val="0"/>
      <w:marBottom w:val="0"/>
      <w:divBdr>
        <w:top w:val="none" w:sz="0" w:space="0" w:color="auto"/>
        <w:left w:val="none" w:sz="0" w:space="0" w:color="auto"/>
        <w:bottom w:val="none" w:sz="0" w:space="0" w:color="auto"/>
        <w:right w:val="none" w:sz="0" w:space="0" w:color="auto"/>
      </w:divBdr>
    </w:div>
    <w:div w:id="1902446365">
      <w:bodyDiv w:val="1"/>
      <w:marLeft w:val="0"/>
      <w:marRight w:val="0"/>
      <w:marTop w:val="0"/>
      <w:marBottom w:val="0"/>
      <w:divBdr>
        <w:top w:val="none" w:sz="0" w:space="0" w:color="auto"/>
        <w:left w:val="none" w:sz="0" w:space="0" w:color="auto"/>
        <w:bottom w:val="none" w:sz="0" w:space="0" w:color="auto"/>
        <w:right w:val="none" w:sz="0" w:space="0" w:color="auto"/>
      </w:divBdr>
    </w:div>
    <w:div w:id="1934774138">
      <w:bodyDiv w:val="1"/>
      <w:marLeft w:val="0"/>
      <w:marRight w:val="0"/>
      <w:marTop w:val="0"/>
      <w:marBottom w:val="0"/>
      <w:divBdr>
        <w:top w:val="none" w:sz="0" w:space="0" w:color="auto"/>
        <w:left w:val="none" w:sz="0" w:space="0" w:color="auto"/>
        <w:bottom w:val="none" w:sz="0" w:space="0" w:color="auto"/>
        <w:right w:val="none" w:sz="0" w:space="0" w:color="auto"/>
      </w:divBdr>
    </w:div>
    <w:div w:id="2002152973">
      <w:bodyDiv w:val="1"/>
      <w:marLeft w:val="0"/>
      <w:marRight w:val="0"/>
      <w:marTop w:val="0"/>
      <w:marBottom w:val="0"/>
      <w:divBdr>
        <w:top w:val="none" w:sz="0" w:space="0" w:color="auto"/>
        <w:left w:val="none" w:sz="0" w:space="0" w:color="auto"/>
        <w:bottom w:val="none" w:sz="0" w:space="0" w:color="auto"/>
        <w:right w:val="none" w:sz="0" w:space="0" w:color="auto"/>
      </w:divBdr>
    </w:div>
    <w:div w:id="2028826004">
      <w:marLeft w:val="0"/>
      <w:marRight w:val="0"/>
      <w:marTop w:val="0"/>
      <w:marBottom w:val="0"/>
      <w:divBdr>
        <w:top w:val="none" w:sz="0" w:space="0" w:color="auto"/>
        <w:left w:val="none" w:sz="0" w:space="0" w:color="auto"/>
        <w:bottom w:val="none" w:sz="0" w:space="0" w:color="auto"/>
        <w:right w:val="none" w:sz="0" w:space="0" w:color="auto"/>
      </w:divBdr>
    </w:div>
    <w:div w:id="2028826005">
      <w:marLeft w:val="0"/>
      <w:marRight w:val="0"/>
      <w:marTop w:val="0"/>
      <w:marBottom w:val="0"/>
      <w:divBdr>
        <w:top w:val="none" w:sz="0" w:space="0" w:color="auto"/>
        <w:left w:val="none" w:sz="0" w:space="0" w:color="auto"/>
        <w:bottom w:val="none" w:sz="0" w:space="0" w:color="auto"/>
        <w:right w:val="none" w:sz="0" w:space="0" w:color="auto"/>
      </w:divBdr>
    </w:div>
    <w:div w:id="2028826006">
      <w:marLeft w:val="0"/>
      <w:marRight w:val="0"/>
      <w:marTop w:val="0"/>
      <w:marBottom w:val="0"/>
      <w:divBdr>
        <w:top w:val="none" w:sz="0" w:space="0" w:color="auto"/>
        <w:left w:val="none" w:sz="0" w:space="0" w:color="auto"/>
        <w:bottom w:val="none" w:sz="0" w:space="0" w:color="auto"/>
        <w:right w:val="none" w:sz="0" w:space="0" w:color="auto"/>
      </w:divBdr>
    </w:div>
    <w:div w:id="2028826007">
      <w:marLeft w:val="0"/>
      <w:marRight w:val="0"/>
      <w:marTop w:val="0"/>
      <w:marBottom w:val="0"/>
      <w:divBdr>
        <w:top w:val="none" w:sz="0" w:space="0" w:color="auto"/>
        <w:left w:val="none" w:sz="0" w:space="0" w:color="auto"/>
        <w:bottom w:val="none" w:sz="0" w:space="0" w:color="auto"/>
        <w:right w:val="none" w:sz="0" w:space="0" w:color="auto"/>
      </w:divBdr>
    </w:div>
    <w:div w:id="2028826008">
      <w:marLeft w:val="0"/>
      <w:marRight w:val="0"/>
      <w:marTop w:val="0"/>
      <w:marBottom w:val="0"/>
      <w:divBdr>
        <w:top w:val="none" w:sz="0" w:space="0" w:color="auto"/>
        <w:left w:val="none" w:sz="0" w:space="0" w:color="auto"/>
        <w:bottom w:val="none" w:sz="0" w:space="0" w:color="auto"/>
        <w:right w:val="none" w:sz="0" w:space="0" w:color="auto"/>
      </w:divBdr>
    </w:div>
    <w:div w:id="2028826009">
      <w:marLeft w:val="0"/>
      <w:marRight w:val="0"/>
      <w:marTop w:val="0"/>
      <w:marBottom w:val="0"/>
      <w:divBdr>
        <w:top w:val="none" w:sz="0" w:space="0" w:color="auto"/>
        <w:left w:val="none" w:sz="0" w:space="0" w:color="auto"/>
        <w:bottom w:val="none" w:sz="0" w:space="0" w:color="auto"/>
        <w:right w:val="none" w:sz="0" w:space="0" w:color="auto"/>
      </w:divBdr>
    </w:div>
    <w:div w:id="2028826010">
      <w:marLeft w:val="0"/>
      <w:marRight w:val="0"/>
      <w:marTop w:val="0"/>
      <w:marBottom w:val="0"/>
      <w:divBdr>
        <w:top w:val="none" w:sz="0" w:space="0" w:color="auto"/>
        <w:left w:val="none" w:sz="0" w:space="0" w:color="auto"/>
        <w:bottom w:val="none" w:sz="0" w:space="0" w:color="auto"/>
        <w:right w:val="none" w:sz="0" w:space="0" w:color="auto"/>
      </w:divBdr>
    </w:div>
    <w:div w:id="2028826028">
      <w:marLeft w:val="0"/>
      <w:marRight w:val="0"/>
      <w:marTop w:val="0"/>
      <w:marBottom w:val="0"/>
      <w:divBdr>
        <w:top w:val="none" w:sz="0" w:space="0" w:color="auto"/>
        <w:left w:val="none" w:sz="0" w:space="0" w:color="auto"/>
        <w:bottom w:val="none" w:sz="0" w:space="0" w:color="auto"/>
        <w:right w:val="none" w:sz="0" w:space="0" w:color="auto"/>
      </w:divBdr>
      <w:divsChild>
        <w:div w:id="2028826129">
          <w:marLeft w:val="0"/>
          <w:marRight w:val="0"/>
          <w:marTop w:val="0"/>
          <w:marBottom w:val="0"/>
          <w:divBdr>
            <w:top w:val="none" w:sz="0" w:space="0" w:color="auto"/>
            <w:left w:val="none" w:sz="0" w:space="0" w:color="auto"/>
            <w:bottom w:val="none" w:sz="0" w:space="0" w:color="auto"/>
            <w:right w:val="none" w:sz="0" w:space="0" w:color="auto"/>
          </w:divBdr>
          <w:divsChild>
            <w:div w:id="2028826021">
              <w:marLeft w:val="0"/>
              <w:marRight w:val="0"/>
              <w:marTop w:val="0"/>
              <w:marBottom w:val="0"/>
              <w:divBdr>
                <w:top w:val="none" w:sz="0" w:space="0" w:color="auto"/>
                <w:left w:val="none" w:sz="0" w:space="0" w:color="auto"/>
                <w:bottom w:val="none" w:sz="0" w:space="0" w:color="auto"/>
                <w:right w:val="none" w:sz="0" w:space="0" w:color="auto"/>
              </w:divBdr>
              <w:divsChild>
                <w:div w:id="2028826030">
                  <w:marLeft w:val="0"/>
                  <w:marRight w:val="0"/>
                  <w:marTop w:val="0"/>
                  <w:marBottom w:val="0"/>
                  <w:divBdr>
                    <w:top w:val="none" w:sz="0" w:space="0" w:color="auto"/>
                    <w:left w:val="single" w:sz="6" w:space="0" w:color="FFFFFF"/>
                    <w:bottom w:val="none" w:sz="0" w:space="0" w:color="auto"/>
                    <w:right w:val="single" w:sz="6" w:space="0" w:color="FFFFFF"/>
                  </w:divBdr>
                  <w:divsChild>
                    <w:div w:id="2028826027">
                      <w:marLeft w:val="0"/>
                      <w:marRight w:val="0"/>
                      <w:marTop w:val="0"/>
                      <w:marBottom w:val="0"/>
                      <w:divBdr>
                        <w:top w:val="none" w:sz="0" w:space="0" w:color="auto"/>
                        <w:left w:val="single" w:sz="6" w:space="0" w:color="DCE1E4"/>
                        <w:bottom w:val="none" w:sz="0" w:space="0" w:color="auto"/>
                        <w:right w:val="single" w:sz="6" w:space="0" w:color="DCE1E4"/>
                      </w:divBdr>
                      <w:divsChild>
                        <w:div w:id="2028826120">
                          <w:marLeft w:val="0"/>
                          <w:marRight w:val="0"/>
                          <w:marTop w:val="0"/>
                          <w:marBottom w:val="0"/>
                          <w:divBdr>
                            <w:top w:val="none" w:sz="0" w:space="0" w:color="auto"/>
                            <w:left w:val="none" w:sz="0" w:space="0" w:color="auto"/>
                            <w:bottom w:val="none" w:sz="0" w:space="0" w:color="auto"/>
                            <w:right w:val="none" w:sz="0" w:space="0" w:color="auto"/>
                          </w:divBdr>
                          <w:divsChild>
                            <w:div w:id="2028826017">
                              <w:marLeft w:val="0"/>
                              <w:marRight w:val="0"/>
                              <w:marTop w:val="195"/>
                              <w:marBottom w:val="180"/>
                              <w:divBdr>
                                <w:top w:val="none" w:sz="0" w:space="0" w:color="auto"/>
                                <w:left w:val="none" w:sz="0" w:space="0" w:color="auto"/>
                                <w:bottom w:val="none" w:sz="0" w:space="0" w:color="auto"/>
                                <w:right w:val="none" w:sz="0" w:space="0" w:color="auto"/>
                              </w:divBdr>
                              <w:divsChild>
                                <w:div w:id="2028826011">
                                  <w:marLeft w:val="0"/>
                                  <w:marRight w:val="0"/>
                                  <w:marTop w:val="0"/>
                                  <w:marBottom w:val="0"/>
                                  <w:divBdr>
                                    <w:top w:val="none" w:sz="0" w:space="0" w:color="auto"/>
                                    <w:left w:val="none" w:sz="0" w:space="0" w:color="auto"/>
                                    <w:bottom w:val="none" w:sz="0" w:space="0" w:color="auto"/>
                                    <w:right w:val="none" w:sz="0" w:space="0" w:color="auto"/>
                                  </w:divBdr>
                                  <w:divsChild>
                                    <w:div w:id="2028826126">
                                      <w:marLeft w:val="0"/>
                                      <w:marRight w:val="0"/>
                                      <w:marTop w:val="0"/>
                                      <w:marBottom w:val="0"/>
                                      <w:divBdr>
                                        <w:top w:val="single" w:sz="6" w:space="0" w:color="DBE1E4"/>
                                        <w:left w:val="none" w:sz="0" w:space="0" w:color="auto"/>
                                        <w:bottom w:val="none" w:sz="0" w:space="0" w:color="auto"/>
                                        <w:right w:val="none" w:sz="0" w:space="0" w:color="auto"/>
                                      </w:divBdr>
                                      <w:divsChild>
                                        <w:div w:id="2028826029">
                                          <w:marLeft w:val="0"/>
                                          <w:marRight w:val="0"/>
                                          <w:marTop w:val="0"/>
                                          <w:marBottom w:val="0"/>
                                          <w:divBdr>
                                            <w:top w:val="none" w:sz="0" w:space="0" w:color="auto"/>
                                            <w:left w:val="none" w:sz="0" w:space="0" w:color="auto"/>
                                            <w:bottom w:val="none" w:sz="0" w:space="0" w:color="auto"/>
                                            <w:right w:val="none" w:sz="0" w:space="0" w:color="auto"/>
                                          </w:divBdr>
                                          <w:divsChild>
                                            <w:div w:id="2028826138">
                                              <w:marLeft w:val="0"/>
                                              <w:marRight w:val="0"/>
                                              <w:marTop w:val="0"/>
                                              <w:marBottom w:val="120"/>
                                              <w:divBdr>
                                                <w:top w:val="none" w:sz="0" w:space="0" w:color="auto"/>
                                                <w:left w:val="none" w:sz="0" w:space="0" w:color="auto"/>
                                                <w:bottom w:val="none" w:sz="0" w:space="0" w:color="auto"/>
                                                <w:right w:val="none" w:sz="0" w:space="0" w:color="auto"/>
                                              </w:divBdr>
                                              <w:divsChild>
                                                <w:div w:id="20288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8826039">
      <w:marLeft w:val="0"/>
      <w:marRight w:val="0"/>
      <w:marTop w:val="0"/>
      <w:marBottom w:val="0"/>
      <w:divBdr>
        <w:top w:val="none" w:sz="0" w:space="0" w:color="auto"/>
        <w:left w:val="none" w:sz="0" w:space="0" w:color="auto"/>
        <w:bottom w:val="none" w:sz="0" w:space="0" w:color="auto"/>
        <w:right w:val="none" w:sz="0" w:space="0" w:color="auto"/>
      </w:divBdr>
    </w:div>
    <w:div w:id="2028826040">
      <w:marLeft w:val="0"/>
      <w:marRight w:val="0"/>
      <w:marTop w:val="0"/>
      <w:marBottom w:val="0"/>
      <w:divBdr>
        <w:top w:val="none" w:sz="0" w:space="0" w:color="auto"/>
        <w:left w:val="none" w:sz="0" w:space="0" w:color="auto"/>
        <w:bottom w:val="none" w:sz="0" w:space="0" w:color="auto"/>
        <w:right w:val="none" w:sz="0" w:space="0" w:color="auto"/>
      </w:divBdr>
    </w:div>
    <w:div w:id="2028826041">
      <w:marLeft w:val="0"/>
      <w:marRight w:val="0"/>
      <w:marTop w:val="0"/>
      <w:marBottom w:val="0"/>
      <w:divBdr>
        <w:top w:val="none" w:sz="0" w:space="0" w:color="auto"/>
        <w:left w:val="none" w:sz="0" w:space="0" w:color="auto"/>
        <w:bottom w:val="none" w:sz="0" w:space="0" w:color="auto"/>
        <w:right w:val="none" w:sz="0" w:space="0" w:color="auto"/>
      </w:divBdr>
    </w:div>
    <w:div w:id="2028826042">
      <w:marLeft w:val="0"/>
      <w:marRight w:val="0"/>
      <w:marTop w:val="0"/>
      <w:marBottom w:val="0"/>
      <w:divBdr>
        <w:top w:val="none" w:sz="0" w:space="0" w:color="auto"/>
        <w:left w:val="none" w:sz="0" w:space="0" w:color="auto"/>
        <w:bottom w:val="none" w:sz="0" w:space="0" w:color="auto"/>
        <w:right w:val="none" w:sz="0" w:space="0" w:color="auto"/>
      </w:divBdr>
    </w:div>
    <w:div w:id="2028826043">
      <w:marLeft w:val="0"/>
      <w:marRight w:val="0"/>
      <w:marTop w:val="0"/>
      <w:marBottom w:val="0"/>
      <w:divBdr>
        <w:top w:val="none" w:sz="0" w:space="0" w:color="auto"/>
        <w:left w:val="none" w:sz="0" w:space="0" w:color="auto"/>
        <w:bottom w:val="none" w:sz="0" w:space="0" w:color="auto"/>
        <w:right w:val="none" w:sz="0" w:space="0" w:color="auto"/>
      </w:divBdr>
    </w:div>
    <w:div w:id="2028826044">
      <w:marLeft w:val="0"/>
      <w:marRight w:val="0"/>
      <w:marTop w:val="0"/>
      <w:marBottom w:val="0"/>
      <w:divBdr>
        <w:top w:val="none" w:sz="0" w:space="0" w:color="auto"/>
        <w:left w:val="none" w:sz="0" w:space="0" w:color="auto"/>
        <w:bottom w:val="none" w:sz="0" w:space="0" w:color="auto"/>
        <w:right w:val="none" w:sz="0" w:space="0" w:color="auto"/>
      </w:divBdr>
    </w:div>
    <w:div w:id="2028826045">
      <w:marLeft w:val="0"/>
      <w:marRight w:val="0"/>
      <w:marTop w:val="0"/>
      <w:marBottom w:val="0"/>
      <w:divBdr>
        <w:top w:val="none" w:sz="0" w:space="0" w:color="auto"/>
        <w:left w:val="none" w:sz="0" w:space="0" w:color="auto"/>
        <w:bottom w:val="none" w:sz="0" w:space="0" w:color="auto"/>
        <w:right w:val="none" w:sz="0" w:space="0" w:color="auto"/>
      </w:divBdr>
    </w:div>
    <w:div w:id="2028826046">
      <w:marLeft w:val="0"/>
      <w:marRight w:val="0"/>
      <w:marTop w:val="0"/>
      <w:marBottom w:val="0"/>
      <w:divBdr>
        <w:top w:val="none" w:sz="0" w:space="0" w:color="auto"/>
        <w:left w:val="none" w:sz="0" w:space="0" w:color="auto"/>
        <w:bottom w:val="none" w:sz="0" w:space="0" w:color="auto"/>
        <w:right w:val="none" w:sz="0" w:space="0" w:color="auto"/>
      </w:divBdr>
    </w:div>
    <w:div w:id="2028826052">
      <w:marLeft w:val="0"/>
      <w:marRight w:val="0"/>
      <w:marTop w:val="0"/>
      <w:marBottom w:val="0"/>
      <w:divBdr>
        <w:top w:val="none" w:sz="0" w:space="0" w:color="auto"/>
        <w:left w:val="none" w:sz="0" w:space="0" w:color="auto"/>
        <w:bottom w:val="none" w:sz="0" w:space="0" w:color="auto"/>
        <w:right w:val="none" w:sz="0" w:space="0" w:color="auto"/>
      </w:divBdr>
      <w:divsChild>
        <w:div w:id="2028826048">
          <w:marLeft w:val="0"/>
          <w:marRight w:val="0"/>
          <w:marTop w:val="0"/>
          <w:marBottom w:val="0"/>
          <w:divBdr>
            <w:top w:val="none" w:sz="0" w:space="0" w:color="auto"/>
            <w:left w:val="none" w:sz="0" w:space="0" w:color="auto"/>
            <w:bottom w:val="none" w:sz="0" w:space="0" w:color="auto"/>
            <w:right w:val="none" w:sz="0" w:space="0" w:color="auto"/>
          </w:divBdr>
          <w:divsChild>
            <w:div w:id="2028826049">
              <w:marLeft w:val="150"/>
              <w:marRight w:val="150"/>
              <w:marTop w:val="0"/>
              <w:marBottom w:val="0"/>
              <w:divBdr>
                <w:top w:val="none" w:sz="0" w:space="0" w:color="auto"/>
                <w:left w:val="none" w:sz="0" w:space="0" w:color="auto"/>
                <w:bottom w:val="none" w:sz="0" w:space="0" w:color="auto"/>
                <w:right w:val="none" w:sz="0" w:space="0" w:color="auto"/>
              </w:divBdr>
              <w:divsChild>
                <w:div w:id="2028826047">
                  <w:marLeft w:val="0"/>
                  <w:marRight w:val="0"/>
                  <w:marTop w:val="75"/>
                  <w:marBottom w:val="0"/>
                  <w:divBdr>
                    <w:top w:val="none" w:sz="0" w:space="0" w:color="auto"/>
                    <w:left w:val="none" w:sz="0" w:space="0" w:color="auto"/>
                    <w:bottom w:val="none" w:sz="0" w:space="0" w:color="auto"/>
                    <w:right w:val="none" w:sz="0" w:space="0" w:color="auto"/>
                  </w:divBdr>
                  <w:divsChild>
                    <w:div w:id="2028826050">
                      <w:marLeft w:val="0"/>
                      <w:marRight w:val="0"/>
                      <w:marTop w:val="0"/>
                      <w:marBottom w:val="0"/>
                      <w:divBdr>
                        <w:top w:val="single" w:sz="6" w:space="0" w:color="596380"/>
                        <w:left w:val="none" w:sz="0" w:space="0" w:color="auto"/>
                        <w:bottom w:val="single" w:sz="6" w:space="0" w:color="596380"/>
                        <w:right w:val="single" w:sz="6" w:space="2" w:color="FFFFFF"/>
                      </w:divBdr>
                    </w:div>
                    <w:div w:id="2028826051">
                      <w:marLeft w:val="0"/>
                      <w:marRight w:val="0"/>
                      <w:marTop w:val="0"/>
                      <w:marBottom w:val="0"/>
                      <w:divBdr>
                        <w:top w:val="single" w:sz="6" w:space="0" w:color="596380"/>
                        <w:left w:val="none" w:sz="0" w:space="0" w:color="auto"/>
                        <w:bottom w:val="single" w:sz="6" w:space="0" w:color="596380"/>
                        <w:right w:val="single" w:sz="6" w:space="2" w:color="FFFFFF"/>
                      </w:divBdr>
                    </w:div>
                  </w:divsChild>
                </w:div>
              </w:divsChild>
            </w:div>
          </w:divsChild>
        </w:div>
      </w:divsChild>
    </w:div>
    <w:div w:id="2028826053">
      <w:marLeft w:val="0"/>
      <w:marRight w:val="0"/>
      <w:marTop w:val="0"/>
      <w:marBottom w:val="0"/>
      <w:divBdr>
        <w:top w:val="none" w:sz="0" w:space="0" w:color="auto"/>
        <w:left w:val="none" w:sz="0" w:space="0" w:color="auto"/>
        <w:bottom w:val="none" w:sz="0" w:space="0" w:color="auto"/>
        <w:right w:val="none" w:sz="0" w:space="0" w:color="auto"/>
      </w:divBdr>
    </w:div>
    <w:div w:id="2028826054">
      <w:marLeft w:val="0"/>
      <w:marRight w:val="0"/>
      <w:marTop w:val="0"/>
      <w:marBottom w:val="0"/>
      <w:divBdr>
        <w:top w:val="none" w:sz="0" w:space="0" w:color="auto"/>
        <w:left w:val="none" w:sz="0" w:space="0" w:color="auto"/>
        <w:bottom w:val="none" w:sz="0" w:space="0" w:color="auto"/>
        <w:right w:val="none" w:sz="0" w:space="0" w:color="auto"/>
      </w:divBdr>
    </w:div>
    <w:div w:id="2028826056">
      <w:marLeft w:val="0"/>
      <w:marRight w:val="0"/>
      <w:marTop w:val="0"/>
      <w:marBottom w:val="0"/>
      <w:divBdr>
        <w:top w:val="none" w:sz="0" w:space="0" w:color="auto"/>
        <w:left w:val="none" w:sz="0" w:space="0" w:color="auto"/>
        <w:bottom w:val="none" w:sz="0" w:space="0" w:color="auto"/>
        <w:right w:val="none" w:sz="0" w:space="0" w:color="auto"/>
      </w:divBdr>
    </w:div>
    <w:div w:id="2028826058">
      <w:marLeft w:val="0"/>
      <w:marRight w:val="0"/>
      <w:marTop w:val="0"/>
      <w:marBottom w:val="0"/>
      <w:divBdr>
        <w:top w:val="none" w:sz="0" w:space="0" w:color="auto"/>
        <w:left w:val="none" w:sz="0" w:space="0" w:color="auto"/>
        <w:bottom w:val="none" w:sz="0" w:space="0" w:color="auto"/>
        <w:right w:val="none" w:sz="0" w:space="0" w:color="auto"/>
      </w:divBdr>
      <w:divsChild>
        <w:div w:id="2028826098">
          <w:marLeft w:val="0"/>
          <w:marRight w:val="0"/>
          <w:marTop w:val="0"/>
          <w:marBottom w:val="0"/>
          <w:divBdr>
            <w:top w:val="none" w:sz="0" w:space="0" w:color="auto"/>
            <w:left w:val="none" w:sz="0" w:space="0" w:color="auto"/>
            <w:bottom w:val="none" w:sz="0" w:space="0" w:color="auto"/>
            <w:right w:val="none" w:sz="0" w:space="0" w:color="auto"/>
          </w:divBdr>
          <w:divsChild>
            <w:div w:id="2028826082">
              <w:marLeft w:val="120"/>
              <w:marRight w:val="120"/>
              <w:marTop w:val="0"/>
              <w:marBottom w:val="120"/>
              <w:divBdr>
                <w:top w:val="none" w:sz="0" w:space="0" w:color="auto"/>
                <w:left w:val="none" w:sz="0" w:space="0" w:color="auto"/>
                <w:bottom w:val="none" w:sz="0" w:space="0" w:color="auto"/>
                <w:right w:val="none" w:sz="0" w:space="0" w:color="auto"/>
              </w:divBdr>
              <w:divsChild>
                <w:div w:id="2028826094">
                  <w:marLeft w:val="300"/>
                  <w:marRight w:val="300"/>
                  <w:marTop w:val="0"/>
                  <w:marBottom w:val="0"/>
                  <w:divBdr>
                    <w:top w:val="none" w:sz="0" w:space="0" w:color="auto"/>
                    <w:left w:val="none" w:sz="0" w:space="0" w:color="auto"/>
                    <w:bottom w:val="none" w:sz="0" w:space="0" w:color="auto"/>
                    <w:right w:val="none" w:sz="0" w:space="0" w:color="auto"/>
                  </w:divBdr>
                  <w:divsChild>
                    <w:div w:id="202882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26060">
      <w:marLeft w:val="0"/>
      <w:marRight w:val="0"/>
      <w:marTop w:val="0"/>
      <w:marBottom w:val="0"/>
      <w:divBdr>
        <w:top w:val="none" w:sz="0" w:space="0" w:color="auto"/>
        <w:left w:val="none" w:sz="0" w:space="0" w:color="auto"/>
        <w:bottom w:val="none" w:sz="0" w:space="0" w:color="auto"/>
        <w:right w:val="none" w:sz="0" w:space="0" w:color="auto"/>
      </w:divBdr>
      <w:divsChild>
        <w:div w:id="2028826107">
          <w:marLeft w:val="0"/>
          <w:marRight w:val="0"/>
          <w:marTop w:val="0"/>
          <w:marBottom w:val="0"/>
          <w:divBdr>
            <w:top w:val="none" w:sz="0" w:space="0" w:color="auto"/>
            <w:left w:val="none" w:sz="0" w:space="0" w:color="auto"/>
            <w:bottom w:val="none" w:sz="0" w:space="0" w:color="auto"/>
            <w:right w:val="none" w:sz="0" w:space="0" w:color="auto"/>
          </w:divBdr>
          <w:divsChild>
            <w:div w:id="2028826062">
              <w:marLeft w:val="120"/>
              <w:marRight w:val="120"/>
              <w:marTop w:val="0"/>
              <w:marBottom w:val="120"/>
              <w:divBdr>
                <w:top w:val="none" w:sz="0" w:space="0" w:color="auto"/>
                <w:left w:val="none" w:sz="0" w:space="0" w:color="auto"/>
                <w:bottom w:val="none" w:sz="0" w:space="0" w:color="auto"/>
                <w:right w:val="none" w:sz="0" w:space="0" w:color="auto"/>
              </w:divBdr>
              <w:divsChild>
                <w:div w:id="2028826057">
                  <w:marLeft w:val="300"/>
                  <w:marRight w:val="300"/>
                  <w:marTop w:val="0"/>
                  <w:marBottom w:val="0"/>
                  <w:divBdr>
                    <w:top w:val="none" w:sz="0" w:space="0" w:color="auto"/>
                    <w:left w:val="none" w:sz="0" w:space="0" w:color="auto"/>
                    <w:bottom w:val="none" w:sz="0" w:space="0" w:color="auto"/>
                    <w:right w:val="none" w:sz="0" w:space="0" w:color="auto"/>
                  </w:divBdr>
                  <w:divsChild>
                    <w:div w:id="202882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26064">
      <w:marLeft w:val="0"/>
      <w:marRight w:val="0"/>
      <w:marTop w:val="0"/>
      <w:marBottom w:val="0"/>
      <w:divBdr>
        <w:top w:val="none" w:sz="0" w:space="0" w:color="auto"/>
        <w:left w:val="none" w:sz="0" w:space="0" w:color="auto"/>
        <w:bottom w:val="none" w:sz="0" w:space="0" w:color="auto"/>
        <w:right w:val="none" w:sz="0" w:space="0" w:color="auto"/>
      </w:divBdr>
    </w:div>
    <w:div w:id="2028826066">
      <w:marLeft w:val="0"/>
      <w:marRight w:val="0"/>
      <w:marTop w:val="0"/>
      <w:marBottom w:val="0"/>
      <w:divBdr>
        <w:top w:val="none" w:sz="0" w:space="0" w:color="auto"/>
        <w:left w:val="none" w:sz="0" w:space="0" w:color="auto"/>
        <w:bottom w:val="none" w:sz="0" w:space="0" w:color="auto"/>
        <w:right w:val="none" w:sz="0" w:space="0" w:color="auto"/>
      </w:divBdr>
      <w:divsChild>
        <w:div w:id="202882606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28826068">
      <w:marLeft w:val="0"/>
      <w:marRight w:val="0"/>
      <w:marTop w:val="0"/>
      <w:marBottom w:val="0"/>
      <w:divBdr>
        <w:top w:val="none" w:sz="0" w:space="0" w:color="auto"/>
        <w:left w:val="none" w:sz="0" w:space="0" w:color="auto"/>
        <w:bottom w:val="none" w:sz="0" w:space="0" w:color="auto"/>
        <w:right w:val="none" w:sz="0" w:space="0" w:color="auto"/>
      </w:divBdr>
      <w:divsChild>
        <w:div w:id="2028826059">
          <w:marLeft w:val="150"/>
          <w:marRight w:val="0"/>
          <w:marTop w:val="0"/>
          <w:marBottom w:val="0"/>
          <w:divBdr>
            <w:top w:val="none" w:sz="0" w:space="0" w:color="auto"/>
            <w:left w:val="none" w:sz="0" w:space="0" w:color="auto"/>
            <w:bottom w:val="none" w:sz="0" w:space="0" w:color="auto"/>
            <w:right w:val="none" w:sz="0" w:space="0" w:color="auto"/>
          </w:divBdr>
          <w:divsChild>
            <w:div w:id="2028826070">
              <w:marLeft w:val="0"/>
              <w:marRight w:val="0"/>
              <w:marTop w:val="0"/>
              <w:marBottom w:val="0"/>
              <w:divBdr>
                <w:top w:val="none" w:sz="0" w:space="0" w:color="auto"/>
                <w:left w:val="none" w:sz="0" w:space="0" w:color="auto"/>
                <w:bottom w:val="none" w:sz="0" w:space="0" w:color="auto"/>
                <w:right w:val="none" w:sz="0" w:space="0" w:color="auto"/>
              </w:divBdr>
              <w:divsChild>
                <w:div w:id="2028826078">
                  <w:marLeft w:val="0"/>
                  <w:marRight w:val="0"/>
                  <w:marTop w:val="0"/>
                  <w:marBottom w:val="0"/>
                  <w:divBdr>
                    <w:top w:val="none" w:sz="0" w:space="0" w:color="auto"/>
                    <w:left w:val="none" w:sz="0" w:space="0" w:color="auto"/>
                    <w:bottom w:val="none" w:sz="0" w:space="0" w:color="auto"/>
                    <w:right w:val="none" w:sz="0" w:space="0" w:color="auto"/>
                  </w:divBdr>
                  <w:divsChild>
                    <w:div w:id="2028826090">
                      <w:marLeft w:val="0"/>
                      <w:marRight w:val="0"/>
                      <w:marTop w:val="0"/>
                      <w:marBottom w:val="0"/>
                      <w:divBdr>
                        <w:top w:val="none" w:sz="0" w:space="0" w:color="auto"/>
                        <w:left w:val="none" w:sz="0" w:space="0" w:color="auto"/>
                        <w:bottom w:val="none" w:sz="0" w:space="0" w:color="auto"/>
                        <w:right w:val="none" w:sz="0" w:space="0" w:color="auto"/>
                      </w:divBdr>
                      <w:divsChild>
                        <w:div w:id="2028826061">
                          <w:marLeft w:val="0"/>
                          <w:marRight w:val="0"/>
                          <w:marTop w:val="0"/>
                          <w:marBottom w:val="0"/>
                          <w:divBdr>
                            <w:top w:val="none" w:sz="0" w:space="0" w:color="auto"/>
                            <w:left w:val="none" w:sz="0" w:space="0" w:color="auto"/>
                            <w:bottom w:val="none" w:sz="0" w:space="0" w:color="auto"/>
                            <w:right w:val="none" w:sz="0" w:space="0" w:color="auto"/>
                          </w:divBdr>
                          <w:divsChild>
                            <w:div w:id="2028826099">
                              <w:marLeft w:val="0"/>
                              <w:marRight w:val="0"/>
                              <w:marTop w:val="0"/>
                              <w:marBottom w:val="0"/>
                              <w:divBdr>
                                <w:top w:val="none" w:sz="0" w:space="0" w:color="auto"/>
                                <w:left w:val="none" w:sz="0" w:space="0" w:color="auto"/>
                                <w:bottom w:val="none" w:sz="0" w:space="0" w:color="auto"/>
                                <w:right w:val="none" w:sz="0" w:space="0" w:color="auto"/>
                              </w:divBdr>
                              <w:divsChild>
                                <w:div w:id="2028826067">
                                  <w:marLeft w:val="0"/>
                                  <w:marRight w:val="0"/>
                                  <w:marTop w:val="0"/>
                                  <w:marBottom w:val="0"/>
                                  <w:divBdr>
                                    <w:top w:val="none" w:sz="0" w:space="0" w:color="auto"/>
                                    <w:left w:val="none" w:sz="0" w:space="0" w:color="auto"/>
                                    <w:bottom w:val="none" w:sz="0" w:space="0" w:color="auto"/>
                                    <w:right w:val="none" w:sz="0" w:space="0" w:color="auto"/>
                                  </w:divBdr>
                                  <w:divsChild>
                                    <w:div w:id="20288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826069">
      <w:marLeft w:val="0"/>
      <w:marRight w:val="0"/>
      <w:marTop w:val="0"/>
      <w:marBottom w:val="0"/>
      <w:divBdr>
        <w:top w:val="none" w:sz="0" w:space="0" w:color="auto"/>
        <w:left w:val="none" w:sz="0" w:space="0" w:color="auto"/>
        <w:bottom w:val="none" w:sz="0" w:space="0" w:color="auto"/>
        <w:right w:val="none" w:sz="0" w:space="0" w:color="auto"/>
      </w:divBdr>
      <w:divsChild>
        <w:div w:id="2028826100">
          <w:marLeft w:val="0"/>
          <w:marRight w:val="0"/>
          <w:marTop w:val="0"/>
          <w:marBottom w:val="0"/>
          <w:divBdr>
            <w:top w:val="none" w:sz="0" w:space="0" w:color="auto"/>
            <w:left w:val="none" w:sz="0" w:space="0" w:color="auto"/>
            <w:bottom w:val="none" w:sz="0" w:space="0" w:color="auto"/>
            <w:right w:val="none" w:sz="0" w:space="0" w:color="auto"/>
          </w:divBdr>
          <w:divsChild>
            <w:div w:id="20288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6071">
      <w:marLeft w:val="0"/>
      <w:marRight w:val="0"/>
      <w:marTop w:val="0"/>
      <w:marBottom w:val="0"/>
      <w:divBdr>
        <w:top w:val="none" w:sz="0" w:space="0" w:color="auto"/>
        <w:left w:val="none" w:sz="0" w:space="0" w:color="auto"/>
        <w:bottom w:val="none" w:sz="0" w:space="0" w:color="auto"/>
        <w:right w:val="none" w:sz="0" w:space="0" w:color="auto"/>
      </w:divBdr>
    </w:div>
    <w:div w:id="2028826072">
      <w:marLeft w:val="0"/>
      <w:marRight w:val="0"/>
      <w:marTop w:val="0"/>
      <w:marBottom w:val="0"/>
      <w:divBdr>
        <w:top w:val="none" w:sz="0" w:space="0" w:color="auto"/>
        <w:left w:val="none" w:sz="0" w:space="0" w:color="auto"/>
        <w:bottom w:val="none" w:sz="0" w:space="0" w:color="auto"/>
        <w:right w:val="none" w:sz="0" w:space="0" w:color="auto"/>
      </w:divBdr>
    </w:div>
    <w:div w:id="2028826073">
      <w:marLeft w:val="0"/>
      <w:marRight w:val="0"/>
      <w:marTop w:val="0"/>
      <w:marBottom w:val="0"/>
      <w:divBdr>
        <w:top w:val="none" w:sz="0" w:space="0" w:color="auto"/>
        <w:left w:val="none" w:sz="0" w:space="0" w:color="auto"/>
        <w:bottom w:val="none" w:sz="0" w:space="0" w:color="auto"/>
        <w:right w:val="none" w:sz="0" w:space="0" w:color="auto"/>
      </w:divBdr>
    </w:div>
    <w:div w:id="2028826074">
      <w:marLeft w:val="0"/>
      <w:marRight w:val="0"/>
      <w:marTop w:val="0"/>
      <w:marBottom w:val="0"/>
      <w:divBdr>
        <w:top w:val="none" w:sz="0" w:space="0" w:color="auto"/>
        <w:left w:val="none" w:sz="0" w:space="0" w:color="auto"/>
        <w:bottom w:val="none" w:sz="0" w:space="0" w:color="auto"/>
        <w:right w:val="none" w:sz="0" w:space="0" w:color="auto"/>
      </w:divBdr>
      <w:divsChild>
        <w:div w:id="202882606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28826075">
      <w:marLeft w:val="0"/>
      <w:marRight w:val="0"/>
      <w:marTop w:val="0"/>
      <w:marBottom w:val="0"/>
      <w:divBdr>
        <w:top w:val="none" w:sz="0" w:space="0" w:color="auto"/>
        <w:left w:val="none" w:sz="0" w:space="0" w:color="auto"/>
        <w:bottom w:val="none" w:sz="0" w:space="0" w:color="auto"/>
        <w:right w:val="none" w:sz="0" w:space="0" w:color="auto"/>
      </w:divBdr>
      <w:divsChild>
        <w:div w:id="202882610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28826077">
      <w:marLeft w:val="0"/>
      <w:marRight w:val="0"/>
      <w:marTop w:val="0"/>
      <w:marBottom w:val="0"/>
      <w:divBdr>
        <w:top w:val="none" w:sz="0" w:space="0" w:color="auto"/>
        <w:left w:val="none" w:sz="0" w:space="0" w:color="auto"/>
        <w:bottom w:val="none" w:sz="0" w:space="0" w:color="auto"/>
        <w:right w:val="none" w:sz="0" w:space="0" w:color="auto"/>
      </w:divBdr>
    </w:div>
    <w:div w:id="2028826079">
      <w:marLeft w:val="0"/>
      <w:marRight w:val="0"/>
      <w:marTop w:val="0"/>
      <w:marBottom w:val="0"/>
      <w:divBdr>
        <w:top w:val="none" w:sz="0" w:space="0" w:color="auto"/>
        <w:left w:val="none" w:sz="0" w:space="0" w:color="auto"/>
        <w:bottom w:val="none" w:sz="0" w:space="0" w:color="auto"/>
        <w:right w:val="none" w:sz="0" w:space="0" w:color="auto"/>
      </w:divBdr>
    </w:div>
    <w:div w:id="2028826081">
      <w:marLeft w:val="0"/>
      <w:marRight w:val="0"/>
      <w:marTop w:val="0"/>
      <w:marBottom w:val="0"/>
      <w:divBdr>
        <w:top w:val="none" w:sz="0" w:space="0" w:color="auto"/>
        <w:left w:val="none" w:sz="0" w:space="0" w:color="auto"/>
        <w:bottom w:val="none" w:sz="0" w:space="0" w:color="auto"/>
        <w:right w:val="none" w:sz="0" w:space="0" w:color="auto"/>
      </w:divBdr>
    </w:div>
    <w:div w:id="2028826083">
      <w:marLeft w:val="0"/>
      <w:marRight w:val="0"/>
      <w:marTop w:val="0"/>
      <w:marBottom w:val="0"/>
      <w:divBdr>
        <w:top w:val="none" w:sz="0" w:space="0" w:color="auto"/>
        <w:left w:val="none" w:sz="0" w:space="0" w:color="auto"/>
        <w:bottom w:val="none" w:sz="0" w:space="0" w:color="auto"/>
        <w:right w:val="none" w:sz="0" w:space="0" w:color="auto"/>
      </w:divBdr>
    </w:div>
    <w:div w:id="2028826084">
      <w:marLeft w:val="0"/>
      <w:marRight w:val="0"/>
      <w:marTop w:val="0"/>
      <w:marBottom w:val="0"/>
      <w:divBdr>
        <w:top w:val="none" w:sz="0" w:space="0" w:color="auto"/>
        <w:left w:val="none" w:sz="0" w:space="0" w:color="auto"/>
        <w:bottom w:val="none" w:sz="0" w:space="0" w:color="auto"/>
        <w:right w:val="none" w:sz="0" w:space="0" w:color="auto"/>
      </w:divBdr>
    </w:div>
    <w:div w:id="2028826085">
      <w:marLeft w:val="0"/>
      <w:marRight w:val="0"/>
      <w:marTop w:val="0"/>
      <w:marBottom w:val="0"/>
      <w:divBdr>
        <w:top w:val="none" w:sz="0" w:space="0" w:color="auto"/>
        <w:left w:val="none" w:sz="0" w:space="0" w:color="auto"/>
        <w:bottom w:val="none" w:sz="0" w:space="0" w:color="auto"/>
        <w:right w:val="none" w:sz="0" w:space="0" w:color="auto"/>
      </w:divBdr>
    </w:div>
    <w:div w:id="2028826088">
      <w:marLeft w:val="0"/>
      <w:marRight w:val="0"/>
      <w:marTop w:val="0"/>
      <w:marBottom w:val="0"/>
      <w:divBdr>
        <w:top w:val="none" w:sz="0" w:space="0" w:color="auto"/>
        <w:left w:val="none" w:sz="0" w:space="0" w:color="auto"/>
        <w:bottom w:val="none" w:sz="0" w:space="0" w:color="auto"/>
        <w:right w:val="none" w:sz="0" w:space="0" w:color="auto"/>
      </w:divBdr>
    </w:div>
    <w:div w:id="2028826089">
      <w:marLeft w:val="0"/>
      <w:marRight w:val="0"/>
      <w:marTop w:val="0"/>
      <w:marBottom w:val="0"/>
      <w:divBdr>
        <w:top w:val="none" w:sz="0" w:space="0" w:color="auto"/>
        <w:left w:val="none" w:sz="0" w:space="0" w:color="auto"/>
        <w:bottom w:val="none" w:sz="0" w:space="0" w:color="auto"/>
        <w:right w:val="none" w:sz="0" w:space="0" w:color="auto"/>
      </w:divBdr>
      <w:divsChild>
        <w:div w:id="202882609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28826091">
      <w:marLeft w:val="0"/>
      <w:marRight w:val="0"/>
      <w:marTop w:val="0"/>
      <w:marBottom w:val="0"/>
      <w:divBdr>
        <w:top w:val="none" w:sz="0" w:space="0" w:color="auto"/>
        <w:left w:val="none" w:sz="0" w:space="0" w:color="auto"/>
        <w:bottom w:val="none" w:sz="0" w:space="0" w:color="auto"/>
        <w:right w:val="none" w:sz="0" w:space="0" w:color="auto"/>
      </w:divBdr>
    </w:div>
    <w:div w:id="2028826092">
      <w:marLeft w:val="0"/>
      <w:marRight w:val="0"/>
      <w:marTop w:val="0"/>
      <w:marBottom w:val="0"/>
      <w:divBdr>
        <w:top w:val="none" w:sz="0" w:space="0" w:color="auto"/>
        <w:left w:val="none" w:sz="0" w:space="0" w:color="auto"/>
        <w:bottom w:val="none" w:sz="0" w:space="0" w:color="auto"/>
        <w:right w:val="none" w:sz="0" w:space="0" w:color="auto"/>
      </w:divBdr>
    </w:div>
    <w:div w:id="2028826096">
      <w:marLeft w:val="0"/>
      <w:marRight w:val="0"/>
      <w:marTop w:val="0"/>
      <w:marBottom w:val="0"/>
      <w:divBdr>
        <w:top w:val="none" w:sz="0" w:space="0" w:color="auto"/>
        <w:left w:val="none" w:sz="0" w:space="0" w:color="auto"/>
        <w:bottom w:val="none" w:sz="0" w:space="0" w:color="auto"/>
        <w:right w:val="none" w:sz="0" w:space="0" w:color="auto"/>
      </w:divBdr>
    </w:div>
    <w:div w:id="2028826097">
      <w:marLeft w:val="0"/>
      <w:marRight w:val="0"/>
      <w:marTop w:val="0"/>
      <w:marBottom w:val="0"/>
      <w:divBdr>
        <w:top w:val="none" w:sz="0" w:space="0" w:color="auto"/>
        <w:left w:val="none" w:sz="0" w:space="0" w:color="auto"/>
        <w:bottom w:val="none" w:sz="0" w:space="0" w:color="auto"/>
        <w:right w:val="none" w:sz="0" w:space="0" w:color="auto"/>
      </w:divBdr>
    </w:div>
    <w:div w:id="2028826101">
      <w:marLeft w:val="0"/>
      <w:marRight w:val="0"/>
      <w:marTop w:val="0"/>
      <w:marBottom w:val="0"/>
      <w:divBdr>
        <w:top w:val="none" w:sz="0" w:space="0" w:color="auto"/>
        <w:left w:val="none" w:sz="0" w:space="0" w:color="auto"/>
        <w:bottom w:val="none" w:sz="0" w:space="0" w:color="auto"/>
        <w:right w:val="none" w:sz="0" w:space="0" w:color="auto"/>
      </w:divBdr>
      <w:divsChild>
        <w:div w:id="2028826104">
          <w:marLeft w:val="0"/>
          <w:marRight w:val="0"/>
          <w:marTop w:val="0"/>
          <w:marBottom w:val="0"/>
          <w:divBdr>
            <w:top w:val="none" w:sz="0" w:space="0" w:color="auto"/>
            <w:left w:val="none" w:sz="0" w:space="0" w:color="auto"/>
            <w:bottom w:val="none" w:sz="0" w:space="0" w:color="auto"/>
            <w:right w:val="none" w:sz="0" w:space="0" w:color="auto"/>
          </w:divBdr>
          <w:divsChild>
            <w:div w:id="2028826086">
              <w:marLeft w:val="120"/>
              <w:marRight w:val="120"/>
              <w:marTop w:val="0"/>
              <w:marBottom w:val="120"/>
              <w:divBdr>
                <w:top w:val="none" w:sz="0" w:space="0" w:color="auto"/>
                <w:left w:val="none" w:sz="0" w:space="0" w:color="auto"/>
                <w:bottom w:val="none" w:sz="0" w:space="0" w:color="auto"/>
                <w:right w:val="none" w:sz="0" w:space="0" w:color="auto"/>
              </w:divBdr>
              <w:divsChild>
                <w:div w:id="2028826102">
                  <w:marLeft w:val="300"/>
                  <w:marRight w:val="300"/>
                  <w:marTop w:val="0"/>
                  <w:marBottom w:val="0"/>
                  <w:divBdr>
                    <w:top w:val="none" w:sz="0" w:space="0" w:color="auto"/>
                    <w:left w:val="none" w:sz="0" w:space="0" w:color="auto"/>
                    <w:bottom w:val="none" w:sz="0" w:space="0" w:color="auto"/>
                    <w:right w:val="none" w:sz="0" w:space="0" w:color="auto"/>
                  </w:divBdr>
                  <w:divsChild>
                    <w:div w:id="20288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26103">
      <w:marLeft w:val="0"/>
      <w:marRight w:val="0"/>
      <w:marTop w:val="0"/>
      <w:marBottom w:val="0"/>
      <w:divBdr>
        <w:top w:val="none" w:sz="0" w:space="0" w:color="auto"/>
        <w:left w:val="none" w:sz="0" w:space="0" w:color="auto"/>
        <w:bottom w:val="none" w:sz="0" w:space="0" w:color="auto"/>
        <w:right w:val="none" w:sz="0" w:space="0" w:color="auto"/>
      </w:divBdr>
    </w:div>
    <w:div w:id="2028826106">
      <w:marLeft w:val="0"/>
      <w:marRight w:val="0"/>
      <w:marTop w:val="0"/>
      <w:marBottom w:val="0"/>
      <w:divBdr>
        <w:top w:val="none" w:sz="0" w:space="0" w:color="auto"/>
        <w:left w:val="none" w:sz="0" w:space="0" w:color="auto"/>
        <w:bottom w:val="none" w:sz="0" w:space="0" w:color="auto"/>
        <w:right w:val="none" w:sz="0" w:space="0" w:color="auto"/>
      </w:divBdr>
    </w:div>
    <w:div w:id="2028826108">
      <w:marLeft w:val="0"/>
      <w:marRight w:val="0"/>
      <w:marTop w:val="0"/>
      <w:marBottom w:val="0"/>
      <w:divBdr>
        <w:top w:val="none" w:sz="0" w:space="0" w:color="auto"/>
        <w:left w:val="none" w:sz="0" w:space="0" w:color="auto"/>
        <w:bottom w:val="none" w:sz="0" w:space="0" w:color="auto"/>
        <w:right w:val="none" w:sz="0" w:space="0" w:color="auto"/>
      </w:divBdr>
    </w:div>
    <w:div w:id="2028826109">
      <w:marLeft w:val="0"/>
      <w:marRight w:val="0"/>
      <w:marTop w:val="0"/>
      <w:marBottom w:val="0"/>
      <w:divBdr>
        <w:top w:val="none" w:sz="0" w:space="0" w:color="auto"/>
        <w:left w:val="none" w:sz="0" w:space="0" w:color="auto"/>
        <w:bottom w:val="none" w:sz="0" w:space="0" w:color="auto"/>
        <w:right w:val="none" w:sz="0" w:space="0" w:color="auto"/>
      </w:divBdr>
    </w:div>
    <w:div w:id="2028826110">
      <w:marLeft w:val="0"/>
      <w:marRight w:val="0"/>
      <w:marTop w:val="0"/>
      <w:marBottom w:val="0"/>
      <w:divBdr>
        <w:top w:val="none" w:sz="0" w:space="0" w:color="auto"/>
        <w:left w:val="none" w:sz="0" w:space="0" w:color="auto"/>
        <w:bottom w:val="none" w:sz="0" w:space="0" w:color="auto"/>
        <w:right w:val="none" w:sz="0" w:space="0" w:color="auto"/>
      </w:divBdr>
    </w:div>
    <w:div w:id="2028826111">
      <w:marLeft w:val="0"/>
      <w:marRight w:val="0"/>
      <w:marTop w:val="0"/>
      <w:marBottom w:val="0"/>
      <w:divBdr>
        <w:top w:val="none" w:sz="0" w:space="0" w:color="auto"/>
        <w:left w:val="none" w:sz="0" w:space="0" w:color="auto"/>
        <w:bottom w:val="none" w:sz="0" w:space="0" w:color="auto"/>
        <w:right w:val="none" w:sz="0" w:space="0" w:color="auto"/>
      </w:divBdr>
    </w:div>
    <w:div w:id="2028826113">
      <w:marLeft w:val="120"/>
      <w:marRight w:val="120"/>
      <w:marTop w:val="120"/>
      <w:marBottom w:val="120"/>
      <w:divBdr>
        <w:top w:val="none" w:sz="0" w:space="0" w:color="auto"/>
        <w:left w:val="none" w:sz="0" w:space="0" w:color="auto"/>
        <w:bottom w:val="none" w:sz="0" w:space="0" w:color="auto"/>
        <w:right w:val="none" w:sz="0" w:space="0" w:color="auto"/>
      </w:divBdr>
      <w:divsChild>
        <w:div w:id="2028826038">
          <w:marLeft w:val="0"/>
          <w:marRight w:val="0"/>
          <w:marTop w:val="0"/>
          <w:marBottom w:val="0"/>
          <w:divBdr>
            <w:top w:val="none" w:sz="0" w:space="0" w:color="auto"/>
            <w:left w:val="none" w:sz="0" w:space="0" w:color="auto"/>
            <w:bottom w:val="none" w:sz="0" w:space="0" w:color="auto"/>
            <w:right w:val="none" w:sz="0" w:space="0" w:color="auto"/>
          </w:divBdr>
          <w:divsChild>
            <w:div w:id="2028826112">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2028826114">
      <w:marLeft w:val="0"/>
      <w:marRight w:val="0"/>
      <w:marTop w:val="0"/>
      <w:marBottom w:val="0"/>
      <w:divBdr>
        <w:top w:val="none" w:sz="0" w:space="0" w:color="auto"/>
        <w:left w:val="none" w:sz="0" w:space="0" w:color="auto"/>
        <w:bottom w:val="none" w:sz="0" w:space="0" w:color="auto"/>
        <w:right w:val="none" w:sz="0" w:space="0" w:color="auto"/>
      </w:divBdr>
    </w:div>
    <w:div w:id="2028826115">
      <w:marLeft w:val="0"/>
      <w:marRight w:val="0"/>
      <w:marTop w:val="0"/>
      <w:marBottom w:val="0"/>
      <w:divBdr>
        <w:top w:val="none" w:sz="0" w:space="0" w:color="auto"/>
        <w:left w:val="none" w:sz="0" w:space="0" w:color="auto"/>
        <w:bottom w:val="none" w:sz="0" w:space="0" w:color="auto"/>
        <w:right w:val="none" w:sz="0" w:space="0" w:color="auto"/>
      </w:divBdr>
    </w:div>
    <w:div w:id="2028826117">
      <w:marLeft w:val="0"/>
      <w:marRight w:val="0"/>
      <w:marTop w:val="0"/>
      <w:marBottom w:val="0"/>
      <w:divBdr>
        <w:top w:val="none" w:sz="0" w:space="0" w:color="auto"/>
        <w:left w:val="none" w:sz="0" w:space="0" w:color="auto"/>
        <w:bottom w:val="none" w:sz="0" w:space="0" w:color="auto"/>
        <w:right w:val="none" w:sz="0" w:space="0" w:color="auto"/>
      </w:divBdr>
      <w:divsChild>
        <w:div w:id="2028826116">
          <w:marLeft w:val="0"/>
          <w:marRight w:val="0"/>
          <w:marTop w:val="0"/>
          <w:marBottom w:val="0"/>
          <w:divBdr>
            <w:top w:val="none" w:sz="0" w:space="0" w:color="auto"/>
            <w:left w:val="none" w:sz="0" w:space="0" w:color="auto"/>
            <w:bottom w:val="none" w:sz="0" w:space="0" w:color="auto"/>
            <w:right w:val="none" w:sz="0" w:space="0" w:color="auto"/>
          </w:divBdr>
          <w:divsChild>
            <w:div w:id="20288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6122">
      <w:marLeft w:val="0"/>
      <w:marRight w:val="0"/>
      <w:marTop w:val="0"/>
      <w:marBottom w:val="0"/>
      <w:divBdr>
        <w:top w:val="none" w:sz="0" w:space="0" w:color="auto"/>
        <w:left w:val="none" w:sz="0" w:space="0" w:color="auto"/>
        <w:bottom w:val="none" w:sz="0" w:space="0" w:color="auto"/>
        <w:right w:val="none" w:sz="0" w:space="0" w:color="auto"/>
      </w:divBdr>
      <w:divsChild>
        <w:div w:id="2028826024">
          <w:marLeft w:val="0"/>
          <w:marRight w:val="0"/>
          <w:marTop w:val="0"/>
          <w:marBottom w:val="0"/>
          <w:divBdr>
            <w:top w:val="none" w:sz="0" w:space="0" w:color="auto"/>
            <w:left w:val="none" w:sz="0" w:space="0" w:color="auto"/>
            <w:bottom w:val="none" w:sz="0" w:space="0" w:color="auto"/>
            <w:right w:val="none" w:sz="0" w:space="0" w:color="auto"/>
          </w:divBdr>
          <w:divsChild>
            <w:div w:id="2028826026">
              <w:marLeft w:val="0"/>
              <w:marRight w:val="0"/>
              <w:marTop w:val="0"/>
              <w:marBottom w:val="0"/>
              <w:divBdr>
                <w:top w:val="none" w:sz="0" w:space="0" w:color="auto"/>
                <w:left w:val="none" w:sz="0" w:space="0" w:color="auto"/>
                <w:bottom w:val="none" w:sz="0" w:space="0" w:color="auto"/>
                <w:right w:val="none" w:sz="0" w:space="0" w:color="auto"/>
              </w:divBdr>
              <w:divsChild>
                <w:div w:id="2028826013">
                  <w:marLeft w:val="0"/>
                  <w:marRight w:val="0"/>
                  <w:marTop w:val="0"/>
                  <w:marBottom w:val="0"/>
                  <w:divBdr>
                    <w:top w:val="none" w:sz="0" w:space="0" w:color="auto"/>
                    <w:left w:val="single" w:sz="6" w:space="0" w:color="FFFFFF"/>
                    <w:bottom w:val="none" w:sz="0" w:space="0" w:color="auto"/>
                    <w:right w:val="single" w:sz="6" w:space="0" w:color="FFFFFF"/>
                  </w:divBdr>
                  <w:divsChild>
                    <w:div w:id="2028826131">
                      <w:marLeft w:val="0"/>
                      <w:marRight w:val="0"/>
                      <w:marTop w:val="0"/>
                      <w:marBottom w:val="0"/>
                      <w:divBdr>
                        <w:top w:val="none" w:sz="0" w:space="0" w:color="auto"/>
                        <w:left w:val="single" w:sz="6" w:space="0" w:color="DCE1E4"/>
                        <w:bottom w:val="none" w:sz="0" w:space="0" w:color="auto"/>
                        <w:right w:val="single" w:sz="6" w:space="0" w:color="DCE1E4"/>
                      </w:divBdr>
                      <w:divsChild>
                        <w:div w:id="2028826125">
                          <w:marLeft w:val="0"/>
                          <w:marRight w:val="0"/>
                          <w:marTop w:val="0"/>
                          <w:marBottom w:val="0"/>
                          <w:divBdr>
                            <w:top w:val="none" w:sz="0" w:space="0" w:color="auto"/>
                            <w:left w:val="none" w:sz="0" w:space="0" w:color="auto"/>
                            <w:bottom w:val="none" w:sz="0" w:space="0" w:color="auto"/>
                            <w:right w:val="none" w:sz="0" w:space="0" w:color="auto"/>
                          </w:divBdr>
                          <w:divsChild>
                            <w:div w:id="2028826036">
                              <w:marLeft w:val="0"/>
                              <w:marRight w:val="0"/>
                              <w:marTop w:val="195"/>
                              <w:marBottom w:val="180"/>
                              <w:divBdr>
                                <w:top w:val="none" w:sz="0" w:space="0" w:color="auto"/>
                                <w:left w:val="none" w:sz="0" w:space="0" w:color="auto"/>
                                <w:bottom w:val="none" w:sz="0" w:space="0" w:color="auto"/>
                                <w:right w:val="none" w:sz="0" w:space="0" w:color="auto"/>
                              </w:divBdr>
                              <w:divsChild>
                                <w:div w:id="2028826023">
                                  <w:marLeft w:val="0"/>
                                  <w:marRight w:val="0"/>
                                  <w:marTop w:val="0"/>
                                  <w:marBottom w:val="0"/>
                                  <w:divBdr>
                                    <w:top w:val="none" w:sz="0" w:space="0" w:color="auto"/>
                                    <w:left w:val="none" w:sz="0" w:space="0" w:color="auto"/>
                                    <w:bottom w:val="none" w:sz="0" w:space="0" w:color="auto"/>
                                    <w:right w:val="none" w:sz="0" w:space="0" w:color="auto"/>
                                  </w:divBdr>
                                  <w:divsChild>
                                    <w:div w:id="2028826012">
                                      <w:marLeft w:val="0"/>
                                      <w:marRight w:val="0"/>
                                      <w:marTop w:val="0"/>
                                      <w:marBottom w:val="0"/>
                                      <w:divBdr>
                                        <w:top w:val="single" w:sz="6" w:space="0" w:color="DBE1E4"/>
                                        <w:left w:val="none" w:sz="0" w:space="0" w:color="auto"/>
                                        <w:bottom w:val="none" w:sz="0" w:space="0" w:color="auto"/>
                                        <w:right w:val="none" w:sz="0" w:space="0" w:color="auto"/>
                                      </w:divBdr>
                                      <w:divsChild>
                                        <w:div w:id="2028826034">
                                          <w:marLeft w:val="0"/>
                                          <w:marRight w:val="0"/>
                                          <w:marTop w:val="0"/>
                                          <w:marBottom w:val="0"/>
                                          <w:divBdr>
                                            <w:top w:val="none" w:sz="0" w:space="0" w:color="auto"/>
                                            <w:left w:val="none" w:sz="0" w:space="0" w:color="auto"/>
                                            <w:bottom w:val="none" w:sz="0" w:space="0" w:color="auto"/>
                                            <w:right w:val="none" w:sz="0" w:space="0" w:color="auto"/>
                                          </w:divBdr>
                                          <w:divsChild>
                                            <w:div w:id="2028826133">
                                              <w:marLeft w:val="0"/>
                                              <w:marRight w:val="0"/>
                                              <w:marTop w:val="0"/>
                                              <w:marBottom w:val="120"/>
                                              <w:divBdr>
                                                <w:top w:val="none" w:sz="0" w:space="0" w:color="auto"/>
                                                <w:left w:val="none" w:sz="0" w:space="0" w:color="auto"/>
                                                <w:bottom w:val="none" w:sz="0" w:space="0" w:color="auto"/>
                                                <w:right w:val="none" w:sz="0" w:space="0" w:color="auto"/>
                                              </w:divBdr>
                                              <w:divsChild>
                                                <w:div w:id="2028826016">
                                                  <w:marLeft w:val="0"/>
                                                  <w:marRight w:val="0"/>
                                                  <w:marTop w:val="0"/>
                                                  <w:marBottom w:val="0"/>
                                                  <w:divBdr>
                                                    <w:top w:val="none" w:sz="0" w:space="0" w:color="auto"/>
                                                    <w:left w:val="none" w:sz="0" w:space="0" w:color="auto"/>
                                                    <w:bottom w:val="none" w:sz="0" w:space="0" w:color="auto"/>
                                                    <w:right w:val="none" w:sz="0" w:space="0" w:color="auto"/>
                                                  </w:divBdr>
                                                </w:div>
                                                <w:div w:id="2028826121">
                                                  <w:marLeft w:val="0"/>
                                                  <w:marRight w:val="0"/>
                                                  <w:marTop w:val="0"/>
                                                  <w:marBottom w:val="0"/>
                                                  <w:divBdr>
                                                    <w:top w:val="none" w:sz="0" w:space="0" w:color="auto"/>
                                                    <w:left w:val="none" w:sz="0" w:space="0" w:color="auto"/>
                                                    <w:bottom w:val="none" w:sz="0" w:space="0" w:color="auto"/>
                                                    <w:right w:val="none" w:sz="0" w:space="0" w:color="auto"/>
                                                  </w:divBdr>
                                                </w:div>
                                                <w:div w:id="2028826123">
                                                  <w:marLeft w:val="0"/>
                                                  <w:marRight w:val="0"/>
                                                  <w:marTop w:val="0"/>
                                                  <w:marBottom w:val="0"/>
                                                  <w:divBdr>
                                                    <w:top w:val="none" w:sz="0" w:space="0" w:color="auto"/>
                                                    <w:left w:val="none" w:sz="0" w:space="0" w:color="auto"/>
                                                    <w:bottom w:val="none" w:sz="0" w:space="0" w:color="auto"/>
                                                    <w:right w:val="none" w:sz="0" w:space="0" w:color="auto"/>
                                                  </w:divBdr>
                                                </w:div>
                                                <w:div w:id="2028826130">
                                                  <w:marLeft w:val="0"/>
                                                  <w:marRight w:val="0"/>
                                                  <w:marTop w:val="0"/>
                                                  <w:marBottom w:val="0"/>
                                                  <w:divBdr>
                                                    <w:top w:val="none" w:sz="0" w:space="0" w:color="auto"/>
                                                    <w:left w:val="none" w:sz="0" w:space="0" w:color="auto"/>
                                                    <w:bottom w:val="none" w:sz="0" w:space="0" w:color="auto"/>
                                                    <w:right w:val="none" w:sz="0" w:space="0" w:color="auto"/>
                                                  </w:divBdr>
                                                </w:div>
                                                <w:div w:id="202882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8826134">
      <w:marLeft w:val="0"/>
      <w:marRight w:val="0"/>
      <w:marTop w:val="0"/>
      <w:marBottom w:val="0"/>
      <w:divBdr>
        <w:top w:val="none" w:sz="0" w:space="0" w:color="auto"/>
        <w:left w:val="none" w:sz="0" w:space="0" w:color="auto"/>
        <w:bottom w:val="none" w:sz="0" w:space="0" w:color="auto"/>
        <w:right w:val="none" w:sz="0" w:space="0" w:color="auto"/>
      </w:divBdr>
      <w:divsChild>
        <w:div w:id="2028826018">
          <w:marLeft w:val="0"/>
          <w:marRight w:val="0"/>
          <w:marTop w:val="0"/>
          <w:marBottom w:val="0"/>
          <w:divBdr>
            <w:top w:val="none" w:sz="0" w:space="0" w:color="auto"/>
            <w:left w:val="none" w:sz="0" w:space="0" w:color="auto"/>
            <w:bottom w:val="none" w:sz="0" w:space="0" w:color="auto"/>
            <w:right w:val="none" w:sz="0" w:space="0" w:color="auto"/>
          </w:divBdr>
          <w:divsChild>
            <w:div w:id="2028826132">
              <w:marLeft w:val="0"/>
              <w:marRight w:val="0"/>
              <w:marTop w:val="0"/>
              <w:marBottom w:val="0"/>
              <w:divBdr>
                <w:top w:val="none" w:sz="0" w:space="0" w:color="auto"/>
                <w:left w:val="none" w:sz="0" w:space="0" w:color="auto"/>
                <w:bottom w:val="none" w:sz="0" w:space="0" w:color="auto"/>
                <w:right w:val="none" w:sz="0" w:space="0" w:color="auto"/>
              </w:divBdr>
              <w:divsChild>
                <w:div w:id="2028826022">
                  <w:marLeft w:val="0"/>
                  <w:marRight w:val="0"/>
                  <w:marTop w:val="0"/>
                  <w:marBottom w:val="0"/>
                  <w:divBdr>
                    <w:top w:val="none" w:sz="0" w:space="0" w:color="auto"/>
                    <w:left w:val="single" w:sz="6" w:space="0" w:color="FFFFFF"/>
                    <w:bottom w:val="none" w:sz="0" w:space="0" w:color="auto"/>
                    <w:right w:val="single" w:sz="6" w:space="0" w:color="FFFFFF"/>
                  </w:divBdr>
                  <w:divsChild>
                    <w:div w:id="2028826014">
                      <w:marLeft w:val="0"/>
                      <w:marRight w:val="0"/>
                      <w:marTop w:val="0"/>
                      <w:marBottom w:val="0"/>
                      <w:divBdr>
                        <w:top w:val="none" w:sz="0" w:space="0" w:color="auto"/>
                        <w:left w:val="single" w:sz="6" w:space="0" w:color="DCE1E4"/>
                        <w:bottom w:val="none" w:sz="0" w:space="0" w:color="auto"/>
                        <w:right w:val="single" w:sz="6" w:space="0" w:color="DCE1E4"/>
                      </w:divBdr>
                      <w:divsChild>
                        <w:div w:id="2028826033">
                          <w:marLeft w:val="0"/>
                          <w:marRight w:val="0"/>
                          <w:marTop w:val="0"/>
                          <w:marBottom w:val="0"/>
                          <w:divBdr>
                            <w:top w:val="none" w:sz="0" w:space="0" w:color="auto"/>
                            <w:left w:val="none" w:sz="0" w:space="0" w:color="auto"/>
                            <w:bottom w:val="none" w:sz="0" w:space="0" w:color="auto"/>
                            <w:right w:val="none" w:sz="0" w:space="0" w:color="auto"/>
                          </w:divBdr>
                          <w:divsChild>
                            <w:div w:id="2028826019">
                              <w:marLeft w:val="0"/>
                              <w:marRight w:val="0"/>
                              <w:marTop w:val="195"/>
                              <w:marBottom w:val="180"/>
                              <w:divBdr>
                                <w:top w:val="none" w:sz="0" w:space="0" w:color="auto"/>
                                <w:left w:val="none" w:sz="0" w:space="0" w:color="auto"/>
                                <w:bottom w:val="none" w:sz="0" w:space="0" w:color="auto"/>
                                <w:right w:val="none" w:sz="0" w:space="0" w:color="auto"/>
                              </w:divBdr>
                              <w:divsChild>
                                <w:div w:id="2028826119">
                                  <w:marLeft w:val="0"/>
                                  <w:marRight w:val="0"/>
                                  <w:marTop w:val="0"/>
                                  <w:marBottom w:val="0"/>
                                  <w:divBdr>
                                    <w:top w:val="none" w:sz="0" w:space="0" w:color="auto"/>
                                    <w:left w:val="none" w:sz="0" w:space="0" w:color="auto"/>
                                    <w:bottom w:val="none" w:sz="0" w:space="0" w:color="auto"/>
                                    <w:right w:val="none" w:sz="0" w:space="0" w:color="auto"/>
                                  </w:divBdr>
                                  <w:divsChild>
                                    <w:div w:id="2028826015">
                                      <w:marLeft w:val="0"/>
                                      <w:marRight w:val="0"/>
                                      <w:marTop w:val="0"/>
                                      <w:marBottom w:val="0"/>
                                      <w:divBdr>
                                        <w:top w:val="single" w:sz="6" w:space="0" w:color="DBE1E4"/>
                                        <w:left w:val="none" w:sz="0" w:space="0" w:color="auto"/>
                                        <w:bottom w:val="none" w:sz="0" w:space="0" w:color="auto"/>
                                        <w:right w:val="none" w:sz="0" w:space="0" w:color="auto"/>
                                      </w:divBdr>
                                      <w:divsChild>
                                        <w:div w:id="2028826032">
                                          <w:marLeft w:val="0"/>
                                          <w:marRight w:val="0"/>
                                          <w:marTop w:val="0"/>
                                          <w:marBottom w:val="0"/>
                                          <w:divBdr>
                                            <w:top w:val="none" w:sz="0" w:space="0" w:color="auto"/>
                                            <w:left w:val="none" w:sz="0" w:space="0" w:color="auto"/>
                                            <w:bottom w:val="none" w:sz="0" w:space="0" w:color="auto"/>
                                            <w:right w:val="none" w:sz="0" w:space="0" w:color="auto"/>
                                          </w:divBdr>
                                          <w:divsChild>
                                            <w:div w:id="2028826025">
                                              <w:marLeft w:val="0"/>
                                              <w:marRight w:val="0"/>
                                              <w:marTop w:val="0"/>
                                              <w:marBottom w:val="120"/>
                                              <w:divBdr>
                                                <w:top w:val="none" w:sz="0" w:space="0" w:color="auto"/>
                                                <w:left w:val="none" w:sz="0" w:space="0" w:color="auto"/>
                                                <w:bottom w:val="none" w:sz="0" w:space="0" w:color="auto"/>
                                                <w:right w:val="none" w:sz="0" w:space="0" w:color="auto"/>
                                              </w:divBdr>
                                              <w:divsChild>
                                                <w:div w:id="2028826020">
                                                  <w:marLeft w:val="0"/>
                                                  <w:marRight w:val="0"/>
                                                  <w:marTop w:val="0"/>
                                                  <w:marBottom w:val="0"/>
                                                  <w:divBdr>
                                                    <w:top w:val="none" w:sz="0" w:space="0" w:color="auto"/>
                                                    <w:left w:val="none" w:sz="0" w:space="0" w:color="auto"/>
                                                    <w:bottom w:val="none" w:sz="0" w:space="0" w:color="auto"/>
                                                    <w:right w:val="none" w:sz="0" w:space="0" w:color="auto"/>
                                                  </w:divBdr>
                                                </w:div>
                                                <w:div w:id="2028826031">
                                                  <w:marLeft w:val="0"/>
                                                  <w:marRight w:val="0"/>
                                                  <w:marTop w:val="0"/>
                                                  <w:marBottom w:val="0"/>
                                                  <w:divBdr>
                                                    <w:top w:val="none" w:sz="0" w:space="0" w:color="auto"/>
                                                    <w:left w:val="none" w:sz="0" w:space="0" w:color="auto"/>
                                                    <w:bottom w:val="none" w:sz="0" w:space="0" w:color="auto"/>
                                                    <w:right w:val="none" w:sz="0" w:space="0" w:color="auto"/>
                                                  </w:divBdr>
                                                </w:div>
                                                <w:div w:id="2028826037">
                                                  <w:marLeft w:val="0"/>
                                                  <w:marRight w:val="0"/>
                                                  <w:marTop w:val="0"/>
                                                  <w:marBottom w:val="0"/>
                                                  <w:divBdr>
                                                    <w:top w:val="none" w:sz="0" w:space="0" w:color="auto"/>
                                                    <w:left w:val="none" w:sz="0" w:space="0" w:color="auto"/>
                                                    <w:bottom w:val="none" w:sz="0" w:space="0" w:color="auto"/>
                                                    <w:right w:val="none" w:sz="0" w:space="0" w:color="auto"/>
                                                  </w:divBdr>
                                                </w:div>
                                                <w:div w:id="2028826124">
                                                  <w:marLeft w:val="0"/>
                                                  <w:marRight w:val="0"/>
                                                  <w:marTop w:val="0"/>
                                                  <w:marBottom w:val="0"/>
                                                  <w:divBdr>
                                                    <w:top w:val="none" w:sz="0" w:space="0" w:color="auto"/>
                                                    <w:left w:val="none" w:sz="0" w:space="0" w:color="auto"/>
                                                    <w:bottom w:val="none" w:sz="0" w:space="0" w:color="auto"/>
                                                    <w:right w:val="none" w:sz="0" w:space="0" w:color="auto"/>
                                                  </w:divBdr>
                                                </w:div>
                                                <w:div w:id="20288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8826137">
      <w:marLeft w:val="0"/>
      <w:marRight w:val="0"/>
      <w:marTop w:val="0"/>
      <w:marBottom w:val="0"/>
      <w:divBdr>
        <w:top w:val="none" w:sz="0" w:space="0" w:color="auto"/>
        <w:left w:val="none" w:sz="0" w:space="0" w:color="auto"/>
        <w:bottom w:val="none" w:sz="0" w:space="0" w:color="auto"/>
        <w:right w:val="none" w:sz="0" w:space="0" w:color="auto"/>
      </w:divBdr>
      <w:divsChild>
        <w:div w:id="2028826035">
          <w:marLeft w:val="0"/>
          <w:marRight w:val="300"/>
          <w:marTop w:val="0"/>
          <w:marBottom w:val="0"/>
          <w:divBdr>
            <w:top w:val="none" w:sz="0" w:space="0" w:color="auto"/>
            <w:left w:val="none" w:sz="0" w:space="0" w:color="auto"/>
            <w:bottom w:val="none" w:sz="0" w:space="0" w:color="auto"/>
            <w:right w:val="none" w:sz="0" w:space="0" w:color="auto"/>
          </w:divBdr>
          <w:divsChild>
            <w:div w:id="202882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6139">
      <w:marLeft w:val="0"/>
      <w:marRight w:val="0"/>
      <w:marTop w:val="0"/>
      <w:marBottom w:val="0"/>
      <w:divBdr>
        <w:top w:val="none" w:sz="0" w:space="0" w:color="auto"/>
        <w:left w:val="none" w:sz="0" w:space="0" w:color="auto"/>
        <w:bottom w:val="none" w:sz="0" w:space="0" w:color="auto"/>
        <w:right w:val="none" w:sz="0" w:space="0" w:color="auto"/>
      </w:divBdr>
    </w:div>
    <w:div w:id="2028826140">
      <w:marLeft w:val="0"/>
      <w:marRight w:val="0"/>
      <w:marTop w:val="0"/>
      <w:marBottom w:val="0"/>
      <w:divBdr>
        <w:top w:val="none" w:sz="0" w:space="0" w:color="auto"/>
        <w:left w:val="none" w:sz="0" w:space="0" w:color="auto"/>
        <w:bottom w:val="none" w:sz="0" w:space="0" w:color="auto"/>
        <w:right w:val="none" w:sz="0" w:space="0" w:color="auto"/>
      </w:divBdr>
    </w:div>
    <w:div w:id="2028826141">
      <w:marLeft w:val="0"/>
      <w:marRight w:val="0"/>
      <w:marTop w:val="0"/>
      <w:marBottom w:val="0"/>
      <w:divBdr>
        <w:top w:val="none" w:sz="0" w:space="0" w:color="auto"/>
        <w:left w:val="none" w:sz="0" w:space="0" w:color="auto"/>
        <w:bottom w:val="none" w:sz="0" w:space="0" w:color="auto"/>
        <w:right w:val="none" w:sz="0" w:space="0" w:color="auto"/>
      </w:divBdr>
    </w:div>
    <w:div w:id="2028826142">
      <w:marLeft w:val="0"/>
      <w:marRight w:val="0"/>
      <w:marTop w:val="0"/>
      <w:marBottom w:val="0"/>
      <w:divBdr>
        <w:top w:val="none" w:sz="0" w:space="0" w:color="auto"/>
        <w:left w:val="none" w:sz="0" w:space="0" w:color="auto"/>
        <w:bottom w:val="none" w:sz="0" w:space="0" w:color="auto"/>
        <w:right w:val="none" w:sz="0" w:space="0" w:color="auto"/>
      </w:divBdr>
    </w:div>
    <w:div w:id="2028826143">
      <w:marLeft w:val="0"/>
      <w:marRight w:val="0"/>
      <w:marTop w:val="0"/>
      <w:marBottom w:val="0"/>
      <w:divBdr>
        <w:top w:val="none" w:sz="0" w:space="0" w:color="auto"/>
        <w:left w:val="none" w:sz="0" w:space="0" w:color="auto"/>
        <w:bottom w:val="none" w:sz="0" w:space="0" w:color="auto"/>
        <w:right w:val="none" w:sz="0" w:space="0" w:color="auto"/>
      </w:divBdr>
    </w:div>
    <w:div w:id="2028826144">
      <w:marLeft w:val="0"/>
      <w:marRight w:val="0"/>
      <w:marTop w:val="0"/>
      <w:marBottom w:val="0"/>
      <w:divBdr>
        <w:top w:val="none" w:sz="0" w:space="0" w:color="auto"/>
        <w:left w:val="none" w:sz="0" w:space="0" w:color="auto"/>
        <w:bottom w:val="none" w:sz="0" w:space="0" w:color="auto"/>
        <w:right w:val="none" w:sz="0" w:space="0" w:color="auto"/>
      </w:divBdr>
    </w:div>
    <w:div w:id="2042628789">
      <w:bodyDiv w:val="1"/>
      <w:marLeft w:val="0"/>
      <w:marRight w:val="0"/>
      <w:marTop w:val="0"/>
      <w:marBottom w:val="0"/>
      <w:divBdr>
        <w:top w:val="none" w:sz="0" w:space="0" w:color="auto"/>
        <w:left w:val="none" w:sz="0" w:space="0" w:color="auto"/>
        <w:bottom w:val="none" w:sz="0" w:space="0" w:color="auto"/>
        <w:right w:val="none" w:sz="0" w:space="0" w:color="auto"/>
      </w:divBdr>
    </w:div>
    <w:div w:id="2056390420">
      <w:bodyDiv w:val="1"/>
      <w:marLeft w:val="0"/>
      <w:marRight w:val="0"/>
      <w:marTop w:val="0"/>
      <w:marBottom w:val="0"/>
      <w:divBdr>
        <w:top w:val="none" w:sz="0" w:space="0" w:color="auto"/>
        <w:left w:val="none" w:sz="0" w:space="0" w:color="auto"/>
        <w:bottom w:val="none" w:sz="0" w:space="0" w:color="auto"/>
        <w:right w:val="none" w:sz="0" w:space="0" w:color="auto"/>
      </w:divBdr>
    </w:div>
    <w:div w:id="210803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image" Target="media/image10.png"/><Relationship Id="rId39" Type="http://schemas.openxmlformats.org/officeDocument/2006/relationships/image" Target="media/image21.png"/><Relationship Id="rId3" Type="http://schemas.openxmlformats.org/officeDocument/2006/relationships/numbering" Target="numbering.xml"/><Relationship Id="rId21" Type="http://schemas.openxmlformats.org/officeDocument/2006/relationships/chart" Target="charts/chart2.xml"/><Relationship Id="rId34" Type="http://schemas.openxmlformats.org/officeDocument/2006/relationships/chart" Target="charts/chart3.xml"/><Relationship Id="rId42"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3.jpg"/><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0.png"/><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image" Target="media/image5.png"/><Relationship Id="rId29" Type="http://schemas.openxmlformats.org/officeDocument/2006/relationships/image" Target="media/image13.png"/><Relationship Id="rId41" Type="http://schemas.openxmlformats.org/officeDocument/2006/relationships/hyperlink" Target="http://epi.yale.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chart" Target="charts/chart4.xml"/><Relationship Id="rId40" Type="http://schemas.openxmlformats.org/officeDocument/2006/relationships/chart" Target="charts/chart5.xml"/><Relationship Id="rId5" Type="http://schemas.microsoft.com/office/2007/relationships/stylesWithEffects" Target="stylesWithEffects.xml"/><Relationship Id="rId15" Type="http://schemas.openxmlformats.org/officeDocument/2006/relationships/hyperlink" Target="file:///W:\IFP_NEW\5_MATERIALY\5_3_Strategicke_materialy\Program_stability\2013\PS_2013_20130411.docx"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19.png"/><Relationship Id="rId10" Type="http://schemas.openxmlformats.org/officeDocument/2006/relationships/image" Target="media/image1.emf"/><Relationship Id="rId19" Type="http://schemas.openxmlformats.org/officeDocument/2006/relationships/image" Target="media/image4.png"/><Relationship Id="rId31" Type="http://schemas.openxmlformats.org/officeDocument/2006/relationships/image" Target="media/image15.png"/><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W:\IFP_NEW\5_MATERIALY\5_3_Strategicke_materialy\Program_stability\2013\PS_2013_20130411.docx" TargetMode="External"/><Relationship Id="rId22" Type="http://schemas.openxmlformats.org/officeDocument/2006/relationships/image" Target="media/image6.jpe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8.png"/><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jmach\Documents\Materi&#225;ly-dokumenty\NPR%202013\Tabulky_graf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jsilan\Local%20Settings\Temp\nama_gdp_k.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hojckova\Documents\DialnicekNPR2013edi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1.Plocha\anal&#253;za\data\V&#253;sledky%20a%20grafy%20fin&#225;l%20-%20aj%20v&#253;znamnos&#357;%20SVK%20odch&#253;lok.xlsx"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Zo&#353;it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3510943062040403"/>
          <c:y val="5.0925925925925902E-2"/>
          <c:w val="0.52825526352696095"/>
          <c:h val="0.84394533709116604"/>
        </c:manualLayout>
      </c:layout>
      <c:barChart>
        <c:barDir val="bar"/>
        <c:grouping val="clustered"/>
        <c:varyColors val="0"/>
        <c:ser>
          <c:idx val="0"/>
          <c:order val="0"/>
          <c:spPr>
            <a:solidFill>
              <a:srgbClr val="C00000"/>
            </a:solidFill>
            <a:ln>
              <a:solidFill>
                <a:srgbClr val="92D050"/>
              </a:solidFill>
            </a:ln>
          </c:spPr>
          <c:invertIfNegative val="0"/>
          <c:dPt>
            <c:idx val="4"/>
            <c:invertIfNegative val="0"/>
            <c:bubble3D val="0"/>
            <c:spPr>
              <a:solidFill>
                <a:srgbClr val="92D050"/>
              </a:solidFill>
              <a:ln>
                <a:solidFill>
                  <a:srgbClr val="C00000"/>
                </a:solidFill>
              </a:ln>
            </c:spPr>
          </c:dPt>
          <c:dPt>
            <c:idx val="8"/>
            <c:invertIfNegative val="0"/>
            <c:bubble3D val="0"/>
            <c:spPr>
              <a:solidFill>
                <a:srgbClr val="92D050"/>
              </a:solidFill>
              <a:ln>
                <a:solidFill>
                  <a:srgbClr val="C00000"/>
                </a:solidFill>
              </a:ln>
            </c:spPr>
          </c:dPt>
          <c:dPt>
            <c:idx val="9"/>
            <c:invertIfNegative val="0"/>
            <c:bubble3D val="0"/>
            <c:spPr>
              <a:solidFill>
                <a:srgbClr val="92D050"/>
              </a:solidFill>
              <a:ln>
                <a:solidFill>
                  <a:srgbClr val="C00000"/>
                </a:solidFill>
              </a:ln>
            </c:spPr>
          </c:dPt>
          <c:dPt>
            <c:idx val="11"/>
            <c:invertIfNegative val="0"/>
            <c:bubble3D val="0"/>
            <c:spPr>
              <a:solidFill>
                <a:srgbClr val="92D050"/>
              </a:solidFill>
              <a:ln>
                <a:solidFill>
                  <a:srgbClr val="C00000"/>
                </a:solidFill>
              </a:ln>
            </c:spPr>
          </c:dPt>
          <c:cat>
            <c:strRef>
              <c:f>Hárok4!$A$3:$A$14</c:f>
              <c:strCache>
                <c:ptCount val="12"/>
                <c:pt idx="0">
                  <c:v>HDP na obyvateľa</c:v>
                </c:pt>
                <c:pt idx="2">
                  <c:v>Produktivita práce</c:v>
                </c:pt>
                <c:pt idx="3">
                  <c:v>Trh práce</c:v>
                </c:pt>
                <c:pt idx="4">
                  <c:v>Demografia</c:v>
                </c:pt>
                <c:pt idx="6">
                  <c:v>Miera nezamestnanosti</c:v>
                </c:pt>
                <c:pt idx="7">
                  <c:v>Participácia mladých (15-24)</c:v>
                </c:pt>
                <c:pt idx="8">
                  <c:v>Participácia mužov (25-54)</c:v>
                </c:pt>
                <c:pt idx="9">
                  <c:v>Participácia žien (25-54)</c:v>
                </c:pt>
                <c:pt idx="10">
                  <c:v>Participácia starších (55-64)</c:v>
                </c:pt>
                <c:pt idx="11">
                  <c:v>Odpracované hodiny</c:v>
                </c:pt>
              </c:strCache>
            </c:strRef>
          </c:cat>
          <c:val>
            <c:numRef>
              <c:f>Hárok4!$E$3:$E$14</c:f>
              <c:numCache>
                <c:formatCode>0%</c:formatCode>
                <c:ptCount val="12"/>
                <c:pt idx="0">
                  <c:v>-0.31002326836538902</c:v>
                </c:pt>
                <c:pt idx="1">
                  <c:v>0</c:v>
                </c:pt>
                <c:pt idx="2">
                  <c:v>-0.34127792218188902</c:v>
                </c:pt>
                <c:pt idx="3">
                  <c:v>-4.0332895843875102E-2</c:v>
                </c:pt>
                <c:pt idx="4">
                  <c:v>3.1150000000000001E-2</c:v>
                </c:pt>
                <c:pt idx="5">
                  <c:v>0</c:v>
                </c:pt>
                <c:pt idx="6">
                  <c:v>-9.6644744175677103E-2</c:v>
                </c:pt>
                <c:pt idx="7">
                  <c:v>-0.34347826086956501</c:v>
                </c:pt>
                <c:pt idx="8">
                  <c:v>1.5200868621064101E-2</c:v>
                </c:pt>
                <c:pt idx="9">
                  <c:v>2.4203821656050901E-2</c:v>
                </c:pt>
                <c:pt idx="10">
                  <c:v>-0.13370998116760799</c:v>
                </c:pt>
                <c:pt idx="11">
                  <c:v>0.141568178929978</c:v>
                </c:pt>
              </c:numCache>
            </c:numRef>
          </c:val>
        </c:ser>
        <c:dLbls>
          <c:showLegendKey val="0"/>
          <c:showVal val="0"/>
          <c:showCatName val="0"/>
          <c:showSerName val="0"/>
          <c:showPercent val="0"/>
          <c:showBubbleSize val="0"/>
        </c:dLbls>
        <c:gapWidth val="150"/>
        <c:axId val="42420096"/>
        <c:axId val="42440576"/>
      </c:barChart>
      <c:catAx>
        <c:axId val="42420096"/>
        <c:scaling>
          <c:orientation val="maxMin"/>
        </c:scaling>
        <c:delete val="0"/>
        <c:axPos val="l"/>
        <c:majorTickMark val="out"/>
        <c:minorTickMark val="none"/>
        <c:tickLblPos val="low"/>
        <c:crossAx val="42440576"/>
        <c:crosses val="autoZero"/>
        <c:auto val="1"/>
        <c:lblAlgn val="ctr"/>
        <c:lblOffset val="100"/>
        <c:noMultiLvlLbl val="0"/>
      </c:catAx>
      <c:valAx>
        <c:axId val="42440576"/>
        <c:scaling>
          <c:orientation val="minMax"/>
        </c:scaling>
        <c:delete val="0"/>
        <c:axPos val="t"/>
        <c:majorGridlines>
          <c:spPr>
            <a:ln>
              <a:prstDash val="sysDash"/>
            </a:ln>
          </c:spPr>
        </c:majorGridlines>
        <c:numFmt formatCode="0%" sourceLinked="1"/>
        <c:majorTickMark val="out"/>
        <c:minorTickMark val="none"/>
        <c:tickLblPos val="low"/>
        <c:spPr>
          <a:ln w="15875">
            <a:solidFill>
              <a:schemeClr val="tx1"/>
            </a:solidFill>
            <a:prstDash val="solid"/>
          </a:ln>
        </c:spPr>
        <c:crossAx val="42420096"/>
        <c:crosses val="autoZero"/>
        <c:crossBetween val="between"/>
        <c:majorUnit val="0.1"/>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818386"/>
            </a:solidFill>
          </c:spPr>
          <c:invertIfNegative val="0"/>
          <c:dPt>
            <c:idx val="24"/>
            <c:invertIfNegative val="0"/>
            <c:bubble3D val="0"/>
            <c:spPr>
              <a:solidFill>
                <a:srgbClr val="2C9ADC"/>
              </a:solidFill>
            </c:spPr>
          </c:dPt>
          <c:cat>
            <c:strRef>
              <c:f>Data!$D$11:$D$38</c:f>
              <c:strCache>
                <c:ptCount val="28"/>
                <c:pt idx="0">
                  <c:v>EL</c:v>
                </c:pt>
                <c:pt idx="1">
                  <c:v>PT</c:v>
                </c:pt>
                <c:pt idx="2">
                  <c:v>CY</c:v>
                </c:pt>
                <c:pt idx="3">
                  <c:v>SI</c:v>
                </c:pt>
                <c:pt idx="4">
                  <c:v>IT</c:v>
                </c:pt>
                <c:pt idx="5">
                  <c:v>HU</c:v>
                </c:pt>
                <c:pt idx="6">
                  <c:v>ES</c:v>
                </c:pt>
                <c:pt idx="7">
                  <c:v>CZ</c:v>
                </c:pt>
                <c:pt idx="8">
                  <c:v>NL</c:v>
                </c:pt>
                <c:pt idx="9">
                  <c:v>DE</c:v>
                </c:pt>
                <c:pt idx="10">
                  <c:v>EU</c:v>
                </c:pt>
                <c:pt idx="11">
                  <c:v>BE</c:v>
                </c:pt>
                <c:pt idx="12">
                  <c:v>FI</c:v>
                </c:pt>
                <c:pt idx="13">
                  <c:v>FR</c:v>
                </c:pt>
                <c:pt idx="14">
                  <c:v>LU</c:v>
                </c:pt>
                <c:pt idx="15">
                  <c:v>RO</c:v>
                </c:pt>
                <c:pt idx="16">
                  <c:v>UK</c:v>
                </c:pt>
                <c:pt idx="17">
                  <c:v>DE</c:v>
                </c:pt>
                <c:pt idx="18">
                  <c:v>IE</c:v>
                </c:pt>
                <c:pt idx="19">
                  <c:v>AT</c:v>
                </c:pt>
                <c:pt idx="20">
                  <c:v>BG</c:v>
                </c:pt>
                <c:pt idx="21">
                  <c:v>MT</c:v>
                </c:pt>
                <c:pt idx="22">
                  <c:v>SE</c:v>
                </c:pt>
                <c:pt idx="23">
                  <c:v>PL</c:v>
                </c:pt>
                <c:pt idx="24">
                  <c:v>SK</c:v>
                </c:pt>
                <c:pt idx="25">
                  <c:v>EE</c:v>
                </c:pt>
                <c:pt idx="26">
                  <c:v>LT</c:v>
                </c:pt>
                <c:pt idx="27">
                  <c:v>LV</c:v>
                </c:pt>
              </c:strCache>
            </c:strRef>
          </c:cat>
          <c:val>
            <c:numRef>
              <c:f>Data!$E$11:$E$38</c:f>
              <c:numCache>
                <c:formatCode>General</c:formatCode>
                <c:ptCount val="28"/>
                <c:pt idx="0">
                  <c:v>-6.4</c:v>
                </c:pt>
                <c:pt idx="1">
                  <c:v>-3.2</c:v>
                </c:pt>
                <c:pt idx="2">
                  <c:v>-2.2999999999999998</c:v>
                </c:pt>
                <c:pt idx="3">
                  <c:v>-2.2999999999999998</c:v>
                </c:pt>
                <c:pt idx="4">
                  <c:v>-2.2000000000000002</c:v>
                </c:pt>
                <c:pt idx="5">
                  <c:v>-1.7</c:v>
                </c:pt>
                <c:pt idx="6">
                  <c:v>-1.4</c:v>
                </c:pt>
                <c:pt idx="7">
                  <c:v>-1.1000000000000001</c:v>
                </c:pt>
                <c:pt idx="8">
                  <c:v>-0.9</c:v>
                </c:pt>
                <c:pt idx="9">
                  <c:v>-0.4</c:v>
                </c:pt>
                <c:pt idx="10">
                  <c:v>-0.3</c:v>
                </c:pt>
                <c:pt idx="11">
                  <c:v>-0.2</c:v>
                </c:pt>
                <c:pt idx="12">
                  <c:v>-0.2</c:v>
                </c:pt>
                <c:pt idx="13">
                  <c:v>0</c:v>
                </c:pt>
                <c:pt idx="14">
                  <c:v>0.2</c:v>
                </c:pt>
                <c:pt idx="15">
                  <c:v>0.2</c:v>
                </c:pt>
                <c:pt idx="16">
                  <c:v>0.2</c:v>
                </c:pt>
                <c:pt idx="17">
                  <c:v>0.7</c:v>
                </c:pt>
                <c:pt idx="18">
                  <c:v>0.7</c:v>
                </c:pt>
                <c:pt idx="19">
                  <c:v>0.7</c:v>
                </c:pt>
                <c:pt idx="20">
                  <c:v>0.8</c:v>
                </c:pt>
                <c:pt idx="21">
                  <c:v>1</c:v>
                </c:pt>
                <c:pt idx="22">
                  <c:v>1</c:v>
                </c:pt>
                <c:pt idx="23">
                  <c:v>2</c:v>
                </c:pt>
                <c:pt idx="24">
                  <c:v>2</c:v>
                </c:pt>
                <c:pt idx="25">
                  <c:v>3.2</c:v>
                </c:pt>
                <c:pt idx="26">
                  <c:v>3.6</c:v>
                </c:pt>
                <c:pt idx="27">
                  <c:v>5.3</c:v>
                </c:pt>
              </c:numCache>
            </c:numRef>
          </c:val>
        </c:ser>
        <c:dLbls>
          <c:showLegendKey val="0"/>
          <c:showVal val="0"/>
          <c:showCatName val="0"/>
          <c:showSerName val="0"/>
          <c:showPercent val="0"/>
          <c:showBubbleSize val="0"/>
        </c:dLbls>
        <c:gapWidth val="150"/>
        <c:axId val="34858880"/>
        <c:axId val="34860416"/>
      </c:barChart>
      <c:catAx>
        <c:axId val="34858880"/>
        <c:scaling>
          <c:orientation val="minMax"/>
        </c:scaling>
        <c:delete val="0"/>
        <c:axPos val="b"/>
        <c:majorTickMark val="out"/>
        <c:minorTickMark val="none"/>
        <c:tickLblPos val="low"/>
        <c:txPr>
          <a:bodyPr/>
          <a:lstStyle/>
          <a:p>
            <a:pPr>
              <a:defRPr sz="600">
                <a:latin typeface="NeueHaasGroteskText W02" pitchFamily="34" charset="-18"/>
              </a:defRPr>
            </a:pPr>
            <a:endParaRPr lang="sk-SK"/>
          </a:p>
        </c:txPr>
        <c:crossAx val="34860416"/>
        <c:crosses val="autoZero"/>
        <c:auto val="1"/>
        <c:lblAlgn val="ctr"/>
        <c:lblOffset val="100"/>
        <c:noMultiLvlLbl val="0"/>
      </c:catAx>
      <c:valAx>
        <c:axId val="34860416"/>
        <c:scaling>
          <c:orientation val="minMax"/>
        </c:scaling>
        <c:delete val="0"/>
        <c:axPos val="l"/>
        <c:majorGridlines>
          <c:spPr>
            <a:ln>
              <a:prstDash val="sysDash"/>
            </a:ln>
          </c:spPr>
        </c:majorGridlines>
        <c:numFmt formatCode="General" sourceLinked="1"/>
        <c:majorTickMark val="out"/>
        <c:minorTickMark val="none"/>
        <c:tickLblPos val="nextTo"/>
        <c:txPr>
          <a:bodyPr/>
          <a:lstStyle/>
          <a:p>
            <a:pPr>
              <a:defRPr sz="600">
                <a:latin typeface="NeueHaasGroteskText W02" pitchFamily="34" charset="-18"/>
              </a:defRPr>
            </a:pPr>
            <a:endParaRPr lang="sk-SK"/>
          </a:p>
        </c:txPr>
        <c:crossAx val="34858880"/>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047497074913807E-2"/>
          <c:y val="0.227656727335313"/>
          <c:w val="0.77577649179394703"/>
          <c:h val="0.66473688739727199"/>
        </c:manualLayout>
      </c:layout>
      <c:lineChart>
        <c:grouping val="standard"/>
        <c:varyColors val="0"/>
        <c:ser>
          <c:idx val="1"/>
          <c:order val="1"/>
          <c:tx>
            <c:strRef>
              <c:f>Analyza!$A$14</c:f>
              <c:strCache>
                <c:ptCount val="1"/>
                <c:pt idx="0">
                  <c:v>Výdavky na výstavbu SSC (ľavá os)</c:v>
                </c:pt>
              </c:strCache>
            </c:strRef>
          </c:tx>
          <c:marker>
            <c:symbol val="none"/>
          </c:marker>
          <c:cat>
            <c:strRef>
              <c:f>Analyza!$B$9:$L$9</c:f>
              <c:strCache>
                <c:ptCount val="11"/>
                <c:pt idx="0">
                  <c:v>2005</c:v>
                </c:pt>
                <c:pt idx="1">
                  <c:v>2006</c:v>
                </c:pt>
                <c:pt idx="2">
                  <c:v>2007</c:v>
                </c:pt>
                <c:pt idx="3">
                  <c:v>2008</c:v>
                </c:pt>
                <c:pt idx="4">
                  <c:v>2009</c:v>
                </c:pt>
                <c:pt idx="5">
                  <c:v>2010</c:v>
                </c:pt>
                <c:pt idx="6">
                  <c:v>2011</c:v>
                </c:pt>
                <c:pt idx="7">
                  <c:v>2012</c:v>
                </c:pt>
                <c:pt idx="8">
                  <c:v>2013 N</c:v>
                </c:pt>
                <c:pt idx="9">
                  <c:v>2014 N</c:v>
                </c:pt>
                <c:pt idx="10">
                  <c:v>2015 N</c:v>
                </c:pt>
              </c:strCache>
            </c:strRef>
          </c:cat>
          <c:val>
            <c:numRef>
              <c:f>Analyza!$B$14:$L$14</c:f>
              <c:numCache>
                <c:formatCode>#,##0</c:formatCode>
                <c:ptCount val="11"/>
                <c:pt idx="0">
                  <c:v>73199336.309168205</c:v>
                </c:pt>
                <c:pt idx="1">
                  <c:v>82531503.825931102</c:v>
                </c:pt>
                <c:pt idx="2">
                  <c:v>103608200.599482</c:v>
                </c:pt>
                <c:pt idx="3">
                  <c:v>145008301.23481399</c:v>
                </c:pt>
                <c:pt idx="4">
                  <c:v>65786309</c:v>
                </c:pt>
                <c:pt idx="5">
                  <c:v>57097800</c:v>
                </c:pt>
                <c:pt idx="6">
                  <c:v>97340325</c:v>
                </c:pt>
                <c:pt idx="7">
                  <c:v>184680036</c:v>
                </c:pt>
                <c:pt idx="8">
                  <c:v>205638322</c:v>
                </c:pt>
                <c:pt idx="9">
                  <c:v>66862987</c:v>
                </c:pt>
                <c:pt idx="10">
                  <c:v>22746885</c:v>
                </c:pt>
              </c:numCache>
            </c:numRef>
          </c:val>
          <c:smooth val="0"/>
        </c:ser>
        <c:dLbls>
          <c:showLegendKey val="0"/>
          <c:showVal val="0"/>
          <c:showCatName val="0"/>
          <c:showSerName val="0"/>
          <c:showPercent val="0"/>
          <c:showBubbleSize val="0"/>
        </c:dLbls>
        <c:marker val="1"/>
        <c:smooth val="0"/>
        <c:axId val="38724736"/>
        <c:axId val="38726272"/>
      </c:lineChart>
      <c:lineChart>
        <c:grouping val="standard"/>
        <c:varyColors val="0"/>
        <c:ser>
          <c:idx val="0"/>
          <c:order val="0"/>
          <c:tx>
            <c:strRef>
              <c:f>Analyza!$A$13</c:f>
              <c:strCache>
                <c:ptCount val="1"/>
                <c:pt idx="0">
                  <c:v>Počet ciest I. triedy vo vyhovujúcom stave ako podiel z celkovej dĺžky ciest I. triedy v mil. eur (pravá os)</c:v>
                </c:pt>
              </c:strCache>
            </c:strRef>
          </c:tx>
          <c:marker>
            <c:symbol val="none"/>
          </c:marker>
          <c:cat>
            <c:strRef>
              <c:f>Analyza!$B$9:$L$9</c:f>
              <c:strCache>
                <c:ptCount val="11"/>
                <c:pt idx="0">
                  <c:v>2005</c:v>
                </c:pt>
                <c:pt idx="1">
                  <c:v>2006</c:v>
                </c:pt>
                <c:pt idx="2">
                  <c:v>2007</c:v>
                </c:pt>
                <c:pt idx="3">
                  <c:v>2008</c:v>
                </c:pt>
                <c:pt idx="4">
                  <c:v>2009</c:v>
                </c:pt>
                <c:pt idx="5">
                  <c:v>2010</c:v>
                </c:pt>
                <c:pt idx="6">
                  <c:v>2011</c:v>
                </c:pt>
                <c:pt idx="7">
                  <c:v>2012</c:v>
                </c:pt>
                <c:pt idx="8">
                  <c:v>2013 N</c:v>
                </c:pt>
                <c:pt idx="9">
                  <c:v>2014 N</c:v>
                </c:pt>
                <c:pt idx="10">
                  <c:v>2015 N</c:v>
                </c:pt>
              </c:strCache>
            </c:strRef>
          </c:cat>
          <c:val>
            <c:numRef>
              <c:f>Analyza!$B$13:$L$13</c:f>
              <c:numCache>
                <c:formatCode>#,##0.00</c:formatCode>
                <c:ptCount val="11"/>
                <c:pt idx="0">
                  <c:v>68.243317461471904</c:v>
                </c:pt>
                <c:pt idx="1">
                  <c:v>71.903734901650552</c:v>
                </c:pt>
                <c:pt idx="2">
                  <c:v>53.510231263468746</c:v>
                </c:pt>
                <c:pt idx="3">
                  <c:v>82.895061472056028</c:v>
                </c:pt>
                <c:pt idx="4">
                  <c:v>60.868385345997297</c:v>
                </c:pt>
                <c:pt idx="5">
                  <c:v>61.789797132692968</c:v>
                </c:pt>
                <c:pt idx="6">
                  <c:v>56.956956956956958</c:v>
                </c:pt>
              </c:numCache>
            </c:numRef>
          </c:val>
          <c:smooth val="0"/>
        </c:ser>
        <c:dLbls>
          <c:showLegendKey val="0"/>
          <c:showVal val="0"/>
          <c:showCatName val="0"/>
          <c:showSerName val="0"/>
          <c:showPercent val="0"/>
          <c:showBubbleSize val="0"/>
        </c:dLbls>
        <c:marker val="1"/>
        <c:smooth val="0"/>
        <c:axId val="40556800"/>
        <c:axId val="40555264"/>
      </c:lineChart>
      <c:catAx>
        <c:axId val="38724736"/>
        <c:scaling>
          <c:orientation val="minMax"/>
        </c:scaling>
        <c:delete val="0"/>
        <c:axPos val="b"/>
        <c:majorTickMark val="none"/>
        <c:minorTickMark val="none"/>
        <c:tickLblPos val="nextTo"/>
        <c:txPr>
          <a:bodyPr rot="0" vert="horz"/>
          <a:lstStyle/>
          <a:p>
            <a:pPr>
              <a:defRPr/>
            </a:pPr>
            <a:endParaRPr lang="sk-SK"/>
          </a:p>
        </c:txPr>
        <c:crossAx val="38726272"/>
        <c:crosses val="autoZero"/>
        <c:auto val="1"/>
        <c:lblAlgn val="ctr"/>
        <c:lblOffset val="100"/>
        <c:noMultiLvlLbl val="0"/>
      </c:catAx>
      <c:valAx>
        <c:axId val="38726272"/>
        <c:scaling>
          <c:orientation val="minMax"/>
        </c:scaling>
        <c:delete val="0"/>
        <c:axPos val="l"/>
        <c:majorGridlines/>
        <c:numFmt formatCode="#,##0" sourceLinked="1"/>
        <c:majorTickMark val="none"/>
        <c:minorTickMark val="none"/>
        <c:tickLblPos val="nextTo"/>
        <c:crossAx val="38724736"/>
        <c:crosses val="autoZero"/>
        <c:crossBetween val="between"/>
        <c:dispUnits>
          <c:builtInUnit val="millions"/>
        </c:dispUnits>
      </c:valAx>
      <c:valAx>
        <c:axId val="40555264"/>
        <c:scaling>
          <c:orientation val="minMax"/>
        </c:scaling>
        <c:delete val="0"/>
        <c:axPos val="r"/>
        <c:numFmt formatCode="#,##0" sourceLinked="0"/>
        <c:majorTickMark val="out"/>
        <c:minorTickMark val="none"/>
        <c:tickLblPos val="nextTo"/>
        <c:crossAx val="40556800"/>
        <c:crosses val="max"/>
        <c:crossBetween val="between"/>
      </c:valAx>
      <c:catAx>
        <c:axId val="40556800"/>
        <c:scaling>
          <c:orientation val="minMax"/>
        </c:scaling>
        <c:delete val="1"/>
        <c:axPos val="b"/>
        <c:majorTickMark val="out"/>
        <c:minorTickMark val="none"/>
        <c:tickLblPos val="nextTo"/>
        <c:crossAx val="40555264"/>
        <c:crosses val="autoZero"/>
        <c:auto val="1"/>
        <c:lblAlgn val="ctr"/>
        <c:lblOffset val="100"/>
        <c:noMultiLvlLbl val="0"/>
      </c:catAx>
    </c:plotArea>
    <c:legend>
      <c:legendPos val="t"/>
      <c:layout>
        <c:manualLayout>
          <c:xMode val="edge"/>
          <c:yMode val="edge"/>
          <c:x val="0"/>
          <c:y val="2.66666666666667E-2"/>
          <c:w val="0.98983935742971896"/>
          <c:h val="0.227832279161826"/>
        </c:manualLayout>
      </c:layout>
      <c:overlay val="1"/>
      <c:spPr>
        <a:solidFill>
          <a:schemeClr val="bg1"/>
        </a:solidFill>
      </c:spPr>
      <c:txPr>
        <a:bodyPr/>
        <a:lstStyle/>
        <a:p>
          <a:pPr>
            <a:defRPr sz="900"/>
          </a:pPr>
          <a:endParaRPr lang="sk-SK"/>
        </a:p>
      </c:txPr>
    </c:legend>
    <c:plotVisOnly val="1"/>
    <c:dispBlanksAs val="gap"/>
    <c:showDLblsOverMax val="0"/>
  </c:chart>
  <c:spPr>
    <a:noFill/>
    <a:ln>
      <a:noFill/>
    </a:ln>
  </c:spPr>
  <c:txPr>
    <a:bodyPr/>
    <a:lstStyle/>
    <a:p>
      <a:pPr>
        <a:defRPr>
          <a:latin typeface="Arial Narrow" pitchFamily="34" charset="0"/>
        </a:defRPr>
      </a:pPr>
      <a:endParaRPr lang="sk-SK"/>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33360115699801"/>
          <c:y val="3.64415463918858E-2"/>
          <c:w val="0.85480529219561896"/>
          <c:h val="0.76321996592531205"/>
        </c:manualLayout>
      </c:layout>
      <c:lineChart>
        <c:grouping val="standard"/>
        <c:varyColors val="0"/>
        <c:ser>
          <c:idx val="1"/>
          <c:order val="0"/>
          <c:tx>
            <c:v>SVK</c:v>
          </c:tx>
          <c:spPr>
            <a:ln w="38100" cmpd="sng">
              <a:solidFill>
                <a:srgbClr val="C00000"/>
              </a:solidFill>
              <a:prstDash val="solid"/>
            </a:ln>
          </c:spPr>
          <c:marker>
            <c:symbol val="none"/>
          </c:marker>
          <c:cat>
            <c:numRef>
              <c:f>Aktuálne!$A$58:$A$71</c:f>
              <c:numCache>
                <c:formatCode>General</c:formatCode>
                <c:ptCount val="14"/>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numCache>
            </c:numRef>
          </c:cat>
          <c:val>
            <c:numRef>
              <c:f>Aktuálne!$N$366:$N$379</c:f>
              <c:numCache>
                <c:formatCode>General</c:formatCode>
                <c:ptCount val="14"/>
                <c:pt idx="0">
                  <c:v>0.20079040000000001</c:v>
                </c:pt>
                <c:pt idx="1">
                  <c:v>-0.1048737</c:v>
                </c:pt>
                <c:pt idx="2">
                  <c:v>0.15924840000000001</c:v>
                </c:pt>
                <c:pt idx="3">
                  <c:v>0.25706479999999998</c:v>
                </c:pt>
                <c:pt idx="4">
                  <c:v>0.31799319999999998</c:v>
                </c:pt>
                <c:pt idx="5">
                  <c:v>0.33534999999999998</c:v>
                </c:pt>
                <c:pt idx="6">
                  <c:v>0.12545780000000001</c:v>
                </c:pt>
                <c:pt idx="7">
                  <c:v>-0.7616425</c:v>
                </c:pt>
                <c:pt idx="8">
                  <c:v>-1.061401</c:v>
                </c:pt>
                <c:pt idx="9">
                  <c:v>-1.2746200000000001</c:v>
                </c:pt>
                <c:pt idx="10">
                  <c:v>-1.7099530000000001</c:v>
                </c:pt>
                <c:pt idx="11">
                  <c:v>-1.5963130000000001</c:v>
                </c:pt>
                <c:pt idx="12">
                  <c:v>-1.9788209999999999</c:v>
                </c:pt>
                <c:pt idx="13">
                  <c:v>-1.7007680000000001</c:v>
                </c:pt>
              </c:numCache>
            </c:numRef>
          </c:val>
          <c:smooth val="0"/>
        </c:ser>
        <c:ser>
          <c:idx val="2"/>
          <c:order val="1"/>
          <c:tx>
            <c:v>CZE</c:v>
          </c:tx>
          <c:spPr>
            <a:ln w="38100">
              <a:solidFill>
                <a:schemeClr val="accent1"/>
              </a:solidFill>
              <a:prstDash val="sysDash"/>
            </a:ln>
          </c:spPr>
          <c:marker>
            <c:symbol val="none"/>
          </c:marker>
          <c:cat>
            <c:numRef>
              <c:f>Aktuálne!$A$58:$A$71</c:f>
              <c:numCache>
                <c:formatCode>General</c:formatCode>
                <c:ptCount val="14"/>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numCache>
            </c:numRef>
          </c:cat>
          <c:val>
            <c:numRef>
              <c:f>Aktuálne!$N$72:$N$85</c:f>
              <c:numCache>
                <c:formatCode>General</c:formatCode>
                <c:ptCount val="14"/>
                <c:pt idx="0">
                  <c:v>0.47036739999999999</c:v>
                </c:pt>
                <c:pt idx="1">
                  <c:v>1.075294</c:v>
                </c:pt>
                <c:pt idx="2">
                  <c:v>1.1968380000000001</c:v>
                </c:pt>
                <c:pt idx="3">
                  <c:v>1.1575850000000001</c:v>
                </c:pt>
                <c:pt idx="4">
                  <c:v>0.99997709999999995</c:v>
                </c:pt>
                <c:pt idx="5">
                  <c:v>0.88713839999999999</c:v>
                </c:pt>
                <c:pt idx="6">
                  <c:v>0.50201419999999997</c:v>
                </c:pt>
                <c:pt idx="7">
                  <c:v>0.72142030000000001</c:v>
                </c:pt>
                <c:pt idx="8">
                  <c:v>0.58486939999999998</c:v>
                </c:pt>
                <c:pt idx="9">
                  <c:v>1.1365970000000001</c:v>
                </c:pt>
                <c:pt idx="10">
                  <c:v>1.190369</c:v>
                </c:pt>
                <c:pt idx="11">
                  <c:v>1.2684249999999999</c:v>
                </c:pt>
                <c:pt idx="12">
                  <c:v>0.54118350000000004</c:v>
                </c:pt>
                <c:pt idx="13">
                  <c:v>1.250839</c:v>
                </c:pt>
              </c:numCache>
            </c:numRef>
          </c:val>
          <c:smooth val="0"/>
        </c:ser>
        <c:ser>
          <c:idx val="3"/>
          <c:order val="2"/>
          <c:tx>
            <c:v>KOR</c:v>
          </c:tx>
          <c:spPr>
            <a:ln w="38100">
              <a:solidFill>
                <a:srgbClr val="7030A0"/>
              </a:solidFill>
              <a:prstDash val="sysDot"/>
            </a:ln>
          </c:spPr>
          <c:marker>
            <c:symbol val="none"/>
          </c:marker>
          <c:cat>
            <c:numRef>
              <c:f>Aktuálne!$A$58:$A$71</c:f>
              <c:numCache>
                <c:formatCode>General</c:formatCode>
                <c:ptCount val="14"/>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numCache>
            </c:numRef>
          </c:cat>
          <c:val>
            <c:numRef>
              <c:f>Aktuálne!$N$254:$N$267</c:f>
              <c:numCache>
                <c:formatCode>General</c:formatCode>
                <c:ptCount val="14"/>
                <c:pt idx="0">
                  <c:v>-0.7884293</c:v>
                </c:pt>
                <c:pt idx="1">
                  <c:v>-0.3705368</c:v>
                </c:pt>
                <c:pt idx="2">
                  <c:v>-9.1773999999999994E-2</c:v>
                </c:pt>
                <c:pt idx="3">
                  <c:v>-0.1031876</c:v>
                </c:pt>
                <c:pt idx="4">
                  <c:v>-0.19828029999999999</c:v>
                </c:pt>
                <c:pt idx="5">
                  <c:v>0.3343506</c:v>
                </c:pt>
                <c:pt idx="6">
                  <c:v>0.44226840000000001</c:v>
                </c:pt>
                <c:pt idx="7">
                  <c:v>0.66514589999999996</c:v>
                </c:pt>
                <c:pt idx="8">
                  <c:v>0.78976440000000003</c:v>
                </c:pt>
                <c:pt idx="9">
                  <c:v>1.013611</c:v>
                </c:pt>
                <c:pt idx="10">
                  <c:v>1.168571</c:v>
                </c:pt>
                <c:pt idx="11">
                  <c:v>1.495598</c:v>
                </c:pt>
                <c:pt idx="12">
                  <c:v>1.4644239999999999</c:v>
                </c:pt>
                <c:pt idx="13">
                  <c:v>1.601227</c:v>
                </c:pt>
              </c:numCache>
            </c:numRef>
          </c:val>
          <c:smooth val="0"/>
        </c:ser>
        <c:ser>
          <c:idx val="4"/>
          <c:order val="3"/>
          <c:tx>
            <c:v>JAP</c:v>
          </c:tx>
          <c:spPr>
            <a:ln w="38100">
              <a:solidFill>
                <a:srgbClr val="FFC000"/>
              </a:solidFill>
              <a:prstDash val="dash"/>
            </a:ln>
          </c:spPr>
          <c:marker>
            <c:symbol val="none"/>
          </c:marker>
          <c:cat>
            <c:numRef>
              <c:f>Aktuálne!$A$58:$A$71</c:f>
              <c:numCache>
                <c:formatCode>General</c:formatCode>
                <c:ptCount val="14"/>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numCache>
            </c:numRef>
          </c:cat>
          <c:val>
            <c:numRef>
              <c:f>Aktuálne!$N$240:$N$253</c:f>
              <c:numCache>
                <c:formatCode>General</c:formatCode>
                <c:ptCount val="14"/>
                <c:pt idx="0">
                  <c:v>2.8657840000000001</c:v>
                </c:pt>
                <c:pt idx="1">
                  <c:v>2.9427110000000001</c:v>
                </c:pt>
                <c:pt idx="2">
                  <c:v>2.7165759999999981</c:v>
                </c:pt>
                <c:pt idx="3">
                  <c:v>3.2057720000000001</c:v>
                </c:pt>
                <c:pt idx="4">
                  <c:v>3.2056809999999998</c:v>
                </c:pt>
                <c:pt idx="5">
                  <c:v>3.3359990000000002</c:v>
                </c:pt>
                <c:pt idx="6">
                  <c:v>3.0446399999999998</c:v>
                </c:pt>
                <c:pt idx="7">
                  <c:v>2.937819999999999</c:v>
                </c:pt>
                <c:pt idx="8">
                  <c:v>2.6372990000000001</c:v>
                </c:pt>
                <c:pt idx="9">
                  <c:v>2.946625</c:v>
                </c:pt>
                <c:pt idx="10">
                  <c:v>3.0476909999999999</c:v>
                </c:pt>
                <c:pt idx="11">
                  <c:v>2.9419170000000001</c:v>
                </c:pt>
                <c:pt idx="12">
                  <c:v>2.785507</c:v>
                </c:pt>
                <c:pt idx="13">
                  <c:v>2.8075489999999981</c:v>
                </c:pt>
              </c:numCache>
            </c:numRef>
          </c:val>
          <c:smooth val="0"/>
        </c:ser>
        <c:ser>
          <c:idx val="5"/>
          <c:order val="4"/>
          <c:tx>
            <c:v>HUN</c:v>
          </c:tx>
          <c:spPr>
            <a:ln w="38100">
              <a:solidFill>
                <a:srgbClr val="00B050"/>
              </a:solidFill>
              <a:prstDash val="dashDot"/>
            </a:ln>
          </c:spPr>
          <c:marker>
            <c:symbol val="none"/>
          </c:marker>
          <c:cat>
            <c:numRef>
              <c:f>Aktuálne!$A$58:$A$71</c:f>
              <c:numCache>
                <c:formatCode>General</c:formatCode>
                <c:ptCount val="14"/>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numCache>
            </c:numRef>
          </c:cat>
          <c:val>
            <c:numRef>
              <c:f>Aktuálne!$N$170:$N$183</c:f>
              <c:numCache>
                <c:formatCode>General</c:formatCode>
                <c:ptCount val="14"/>
                <c:pt idx="0">
                  <c:v>-1.345726</c:v>
                </c:pt>
                <c:pt idx="1">
                  <c:v>-1.9162980000000001</c:v>
                </c:pt>
                <c:pt idx="2">
                  <c:v>-2.129958999999999</c:v>
                </c:pt>
                <c:pt idx="3">
                  <c:v>-1.634193</c:v>
                </c:pt>
                <c:pt idx="4">
                  <c:v>-1.504189</c:v>
                </c:pt>
                <c:pt idx="5">
                  <c:v>-1.6627350000000001</c:v>
                </c:pt>
                <c:pt idx="6">
                  <c:v>-2.0831680000000001</c:v>
                </c:pt>
                <c:pt idx="7">
                  <c:v>-2.0182190000000002</c:v>
                </c:pt>
                <c:pt idx="8">
                  <c:v>-2.230858</c:v>
                </c:pt>
                <c:pt idx="9">
                  <c:v>-1.936096</c:v>
                </c:pt>
                <c:pt idx="10">
                  <c:v>-1.8412090000000001</c:v>
                </c:pt>
                <c:pt idx="11">
                  <c:v>-1.6269610000000001</c:v>
                </c:pt>
                <c:pt idx="12">
                  <c:v>-1.985252</c:v>
                </c:pt>
                <c:pt idx="13">
                  <c:v>-1.705795</c:v>
                </c:pt>
              </c:numCache>
            </c:numRef>
          </c:val>
          <c:smooth val="0"/>
        </c:ser>
        <c:ser>
          <c:idx val="6"/>
          <c:order val="5"/>
          <c:tx>
            <c:v>USA</c:v>
          </c:tx>
          <c:spPr>
            <a:ln w="38100">
              <a:solidFill>
                <a:schemeClr val="accent2">
                  <a:lumMod val="60000"/>
                  <a:lumOff val="40000"/>
                </a:schemeClr>
              </a:solidFill>
              <a:prstDash val="lgDashDotDot"/>
            </a:ln>
          </c:spPr>
          <c:marker>
            <c:symbol val="none"/>
          </c:marker>
          <c:cat>
            <c:numRef>
              <c:f>Aktuálne!$A$58:$A$71</c:f>
              <c:numCache>
                <c:formatCode>General</c:formatCode>
                <c:ptCount val="14"/>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numCache>
            </c:numRef>
          </c:cat>
          <c:val>
            <c:numRef>
              <c:f>Aktuálne!$N$464:$N$477</c:f>
              <c:numCache>
                <c:formatCode>General</c:formatCode>
                <c:ptCount val="14"/>
                <c:pt idx="0">
                  <c:v>-2.3970180000000001</c:v>
                </c:pt>
                <c:pt idx="1">
                  <c:v>-2.4077760000000001</c:v>
                </c:pt>
                <c:pt idx="2">
                  <c:v>-2.6020660000000002</c:v>
                </c:pt>
                <c:pt idx="3">
                  <c:v>-2.9484710000000001</c:v>
                </c:pt>
                <c:pt idx="4">
                  <c:v>-3.1033780000000002</c:v>
                </c:pt>
                <c:pt idx="5">
                  <c:v>-3.2018430000000002</c:v>
                </c:pt>
                <c:pt idx="6">
                  <c:v>-3.2973629999999998</c:v>
                </c:pt>
                <c:pt idx="7">
                  <c:v>-3.3325960000000001</c:v>
                </c:pt>
                <c:pt idx="8">
                  <c:v>-3.5543670000000001</c:v>
                </c:pt>
                <c:pt idx="9">
                  <c:v>-3.389732</c:v>
                </c:pt>
                <c:pt idx="10">
                  <c:v>-3.361084</c:v>
                </c:pt>
                <c:pt idx="11">
                  <c:v>-3.362220999999999</c:v>
                </c:pt>
                <c:pt idx="12">
                  <c:v>-3.403473</c:v>
                </c:pt>
                <c:pt idx="13">
                  <c:v>-3.198753</c:v>
                </c:pt>
              </c:numCache>
            </c:numRef>
          </c:val>
          <c:smooth val="0"/>
        </c:ser>
        <c:ser>
          <c:idx val="0"/>
          <c:order val="6"/>
          <c:tx>
            <c:v>OECD</c:v>
          </c:tx>
          <c:marker>
            <c:symbol val="none"/>
          </c:marker>
          <c:val>
            <c:numRef>
              <c:f>Aktuálne!$U$2:$U$15</c:f>
              <c:numCache>
                <c:formatCode>General</c:formatCode>
                <c:ptCount val="14"/>
                <c:pt idx="0">
                  <c:v>2.5624999995532699E-7</c:v>
                </c:pt>
                <c:pt idx="1">
                  <c:v>-2.2812500001523401E-7</c:v>
                </c:pt>
                <c:pt idx="2">
                  <c:v>-2.12121212177777E-8</c:v>
                </c:pt>
                <c:pt idx="3">
                  <c:v>-2.7878787881608099E-7</c:v>
                </c:pt>
                <c:pt idx="4">
                  <c:v>-4.2424242502841501E-8</c:v>
                </c:pt>
                <c:pt idx="5">
                  <c:v>-3.61764705917246E-7</c:v>
                </c:pt>
                <c:pt idx="6">
                  <c:v>2.14705882393402E-7</c:v>
                </c:pt>
                <c:pt idx="7">
                  <c:v>2.61764705871921E-7</c:v>
                </c:pt>
                <c:pt idx="8">
                  <c:v>3.8235294146502103E-8</c:v>
                </c:pt>
                <c:pt idx="9">
                  <c:v>4.6875000006552099E-8</c:v>
                </c:pt>
                <c:pt idx="10">
                  <c:v>-2.3125000003787501E-7</c:v>
                </c:pt>
                <c:pt idx="11">
                  <c:v>4.8666666663995301E-7</c:v>
                </c:pt>
                <c:pt idx="12">
                  <c:v>-4.2307692323854198E-8</c:v>
                </c:pt>
                <c:pt idx="13">
                  <c:v>-4.6000000004653402E-7</c:v>
                </c:pt>
              </c:numCache>
            </c:numRef>
          </c:val>
          <c:smooth val="0"/>
        </c:ser>
        <c:dLbls>
          <c:showLegendKey val="0"/>
          <c:showVal val="0"/>
          <c:showCatName val="0"/>
          <c:showSerName val="0"/>
          <c:showPercent val="0"/>
          <c:showBubbleSize val="0"/>
        </c:dLbls>
        <c:marker val="1"/>
        <c:smooth val="0"/>
        <c:axId val="40791424"/>
        <c:axId val="40797312"/>
      </c:lineChart>
      <c:catAx>
        <c:axId val="40791424"/>
        <c:scaling>
          <c:orientation val="minMax"/>
        </c:scaling>
        <c:delete val="0"/>
        <c:axPos val="b"/>
        <c:numFmt formatCode="General" sourceLinked="1"/>
        <c:majorTickMark val="out"/>
        <c:minorTickMark val="none"/>
        <c:tickLblPos val="nextTo"/>
        <c:crossAx val="40797312"/>
        <c:crossesAt val="-6"/>
        <c:auto val="1"/>
        <c:lblAlgn val="ctr"/>
        <c:lblOffset val="100"/>
        <c:noMultiLvlLbl val="0"/>
      </c:catAx>
      <c:valAx>
        <c:axId val="40797312"/>
        <c:scaling>
          <c:orientation val="minMax"/>
          <c:max val="4"/>
          <c:min val="-4"/>
        </c:scaling>
        <c:delete val="0"/>
        <c:axPos val="l"/>
        <c:majorGridlines>
          <c:spPr>
            <a:ln>
              <a:solidFill>
                <a:schemeClr val="tx1"/>
              </a:solidFill>
              <a:prstDash val="sysDot"/>
            </a:ln>
          </c:spPr>
        </c:majorGridlines>
        <c:title>
          <c:tx>
            <c:rich>
              <a:bodyPr rot="-5400000" vert="horz"/>
              <a:lstStyle/>
              <a:p>
                <a:pPr>
                  <a:defRPr/>
                </a:pPr>
                <a:r>
                  <a:rPr lang="sk-SK" sz="1100" b="0"/>
                  <a:t>rozdiel v očakávanej dĺžke života v rokoch</a:t>
                </a:r>
                <a:endParaRPr lang="en-US" sz="1100" b="0"/>
              </a:p>
            </c:rich>
          </c:tx>
          <c:layout/>
          <c:overlay val="0"/>
        </c:title>
        <c:numFmt formatCode="General" sourceLinked="1"/>
        <c:majorTickMark val="out"/>
        <c:minorTickMark val="none"/>
        <c:tickLblPos val="nextTo"/>
        <c:crossAx val="40791424"/>
        <c:crosses val="autoZero"/>
        <c:crossBetween val="between"/>
        <c:majorUnit val="1"/>
      </c:valAx>
    </c:plotArea>
    <c:legend>
      <c:legendPos val="r"/>
      <c:layout>
        <c:manualLayout>
          <c:xMode val="edge"/>
          <c:yMode val="edge"/>
          <c:x val="3.4182985491125903E-2"/>
          <c:y val="0.87425924391030096"/>
          <c:w val="0.92368567774688703"/>
          <c:h val="0.121511961173504"/>
        </c:manualLayout>
      </c:layout>
      <c:overlay val="0"/>
      <c:spPr>
        <a:solidFill>
          <a:schemeClr val="bg1"/>
        </a:solidFill>
      </c:spPr>
    </c:legend>
    <c:plotVisOnly val="1"/>
    <c:dispBlanksAs val="gap"/>
    <c:showDLblsOverMax val="0"/>
  </c:chart>
  <c:spPr>
    <a:ln>
      <a:noFill/>
    </a:ln>
  </c:spPr>
  <c:txPr>
    <a:bodyPr/>
    <a:lstStyle/>
    <a:p>
      <a:pPr>
        <a:defRPr>
          <a:latin typeface="Arial Narrow" pitchFamily="34" charset="0"/>
        </a:defRPr>
      </a:pPr>
      <a:endParaRPr lang="sk-SK"/>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579794144847397E-2"/>
          <c:y val="0.14615065214995401"/>
          <c:w val="0.87231424174688599"/>
          <c:h val="0.81909422221536698"/>
        </c:manualLayout>
      </c:layout>
      <c:barChart>
        <c:barDir val="bar"/>
        <c:grouping val="stacked"/>
        <c:varyColors val="0"/>
        <c:ser>
          <c:idx val="0"/>
          <c:order val="0"/>
          <c:tx>
            <c:strRef>
              <c:f>Hárok1!$A$19</c:f>
              <c:strCache>
                <c:ptCount val="1"/>
                <c:pt idx="0">
                  <c:v>Voda</c:v>
                </c:pt>
              </c:strCache>
            </c:strRef>
          </c:tx>
          <c:spPr>
            <a:solidFill>
              <a:schemeClr val="tx2">
                <a:lumMod val="50000"/>
              </a:schemeClr>
            </a:solidFill>
          </c:spPr>
          <c:invertIfNegative val="0"/>
          <c:cat>
            <c:numRef>
              <c:f>Hárok1!$B$18:$C$18</c:f>
              <c:numCache>
                <c:formatCode>General</c:formatCode>
                <c:ptCount val="2"/>
                <c:pt idx="0">
                  <c:v>2010</c:v>
                </c:pt>
                <c:pt idx="1">
                  <c:v>2011</c:v>
                </c:pt>
              </c:numCache>
            </c:numRef>
          </c:cat>
          <c:val>
            <c:numRef>
              <c:f>Hárok1!$B$19:$C$19</c:f>
              <c:numCache>
                <c:formatCode>#,##0</c:formatCode>
                <c:ptCount val="2"/>
                <c:pt idx="0">
                  <c:v>6133863</c:v>
                </c:pt>
                <c:pt idx="1">
                  <c:v>25363597</c:v>
                </c:pt>
              </c:numCache>
            </c:numRef>
          </c:val>
        </c:ser>
        <c:ser>
          <c:idx val="1"/>
          <c:order val="1"/>
          <c:tx>
            <c:strRef>
              <c:f>Hárok1!$A$20</c:f>
              <c:strCache>
                <c:ptCount val="1"/>
                <c:pt idx="0">
                  <c:v>Slnko</c:v>
                </c:pt>
              </c:strCache>
            </c:strRef>
          </c:tx>
          <c:spPr>
            <a:solidFill>
              <a:schemeClr val="tx2">
                <a:lumMod val="75000"/>
              </a:schemeClr>
            </a:solidFill>
          </c:spPr>
          <c:invertIfNegative val="0"/>
          <c:cat>
            <c:numRef>
              <c:f>Hárok1!$B$18:$C$18</c:f>
              <c:numCache>
                <c:formatCode>General</c:formatCode>
                <c:ptCount val="2"/>
                <c:pt idx="0">
                  <c:v>2010</c:v>
                </c:pt>
                <c:pt idx="1">
                  <c:v>2011</c:v>
                </c:pt>
              </c:numCache>
            </c:numRef>
          </c:cat>
          <c:val>
            <c:numRef>
              <c:f>Hárok1!$B$20:$C$20</c:f>
              <c:numCache>
                <c:formatCode>#,##0</c:formatCode>
                <c:ptCount val="2"/>
                <c:pt idx="0">
                  <c:v>10437600</c:v>
                </c:pt>
                <c:pt idx="1">
                  <c:v>116831811</c:v>
                </c:pt>
              </c:numCache>
            </c:numRef>
          </c:val>
        </c:ser>
        <c:ser>
          <c:idx val="2"/>
          <c:order val="2"/>
          <c:tx>
            <c:strRef>
              <c:f>Hárok1!$A$21</c:f>
              <c:strCache>
                <c:ptCount val="1"/>
                <c:pt idx="0">
                  <c:v>Biomasa</c:v>
                </c:pt>
              </c:strCache>
            </c:strRef>
          </c:tx>
          <c:spPr>
            <a:solidFill>
              <a:schemeClr val="tx2">
                <a:lumMod val="60000"/>
                <a:lumOff val="40000"/>
              </a:schemeClr>
            </a:solidFill>
          </c:spPr>
          <c:invertIfNegative val="0"/>
          <c:cat>
            <c:numRef>
              <c:f>Hárok1!$B$18:$C$18</c:f>
              <c:numCache>
                <c:formatCode>General</c:formatCode>
                <c:ptCount val="2"/>
                <c:pt idx="0">
                  <c:v>2010</c:v>
                </c:pt>
                <c:pt idx="1">
                  <c:v>2011</c:v>
                </c:pt>
              </c:numCache>
            </c:numRef>
          </c:cat>
          <c:val>
            <c:numRef>
              <c:f>Hárok1!$B$21:$C$21</c:f>
              <c:numCache>
                <c:formatCode>#,##0</c:formatCode>
                <c:ptCount val="2"/>
                <c:pt idx="0">
                  <c:v>18831254</c:v>
                </c:pt>
                <c:pt idx="1">
                  <c:v>27735611</c:v>
                </c:pt>
              </c:numCache>
            </c:numRef>
          </c:val>
        </c:ser>
        <c:ser>
          <c:idx val="3"/>
          <c:order val="3"/>
          <c:tx>
            <c:strRef>
              <c:f>Hárok1!$A$22</c:f>
              <c:strCache>
                <c:ptCount val="1"/>
                <c:pt idx="0">
                  <c:v>Bioplyn</c:v>
                </c:pt>
              </c:strCache>
            </c:strRef>
          </c:tx>
          <c:spPr>
            <a:solidFill>
              <a:schemeClr val="tx2">
                <a:lumMod val="40000"/>
                <a:lumOff val="60000"/>
              </a:schemeClr>
            </a:solidFill>
          </c:spPr>
          <c:invertIfNegative val="0"/>
          <c:cat>
            <c:numRef>
              <c:f>Hárok1!$B$18:$C$18</c:f>
              <c:numCache>
                <c:formatCode>General</c:formatCode>
                <c:ptCount val="2"/>
                <c:pt idx="0">
                  <c:v>2010</c:v>
                </c:pt>
                <c:pt idx="1">
                  <c:v>2011</c:v>
                </c:pt>
              </c:numCache>
            </c:numRef>
          </c:cat>
          <c:val>
            <c:numRef>
              <c:f>Hárok1!$B$22:$C$22</c:f>
              <c:numCache>
                <c:formatCode>#,##0</c:formatCode>
                <c:ptCount val="2"/>
                <c:pt idx="0">
                  <c:v>2086033</c:v>
                </c:pt>
                <c:pt idx="1">
                  <c:v>21788689</c:v>
                </c:pt>
              </c:numCache>
            </c:numRef>
          </c:val>
        </c:ser>
        <c:ser>
          <c:idx val="4"/>
          <c:order val="4"/>
          <c:tx>
            <c:strRef>
              <c:f>Hárok1!$A$23</c:f>
              <c:strCache>
                <c:ptCount val="1"/>
                <c:pt idx="0">
                  <c:v>Ostatné OZE</c:v>
                </c:pt>
              </c:strCache>
            </c:strRef>
          </c:tx>
          <c:spPr>
            <a:solidFill>
              <a:schemeClr val="tx1">
                <a:lumMod val="95000"/>
                <a:lumOff val="5000"/>
              </a:schemeClr>
            </a:solidFill>
          </c:spPr>
          <c:invertIfNegative val="0"/>
          <c:cat>
            <c:numRef>
              <c:f>Hárok1!$B$18:$C$18</c:f>
              <c:numCache>
                <c:formatCode>General</c:formatCode>
                <c:ptCount val="2"/>
                <c:pt idx="0">
                  <c:v>2010</c:v>
                </c:pt>
                <c:pt idx="1">
                  <c:v>2011</c:v>
                </c:pt>
              </c:numCache>
            </c:numRef>
          </c:cat>
          <c:val>
            <c:numRef>
              <c:f>Hárok1!$B$23:$C$23</c:f>
              <c:numCache>
                <c:formatCode>#,##0</c:formatCode>
                <c:ptCount val="2"/>
                <c:pt idx="0">
                  <c:v>172110</c:v>
                </c:pt>
                <c:pt idx="1">
                  <c:v>213641</c:v>
                </c:pt>
              </c:numCache>
            </c:numRef>
          </c:val>
        </c:ser>
        <c:ser>
          <c:idx val="5"/>
          <c:order val="5"/>
          <c:tx>
            <c:strRef>
              <c:f>Hárok1!$A$24</c:f>
              <c:strCache>
                <c:ptCount val="1"/>
                <c:pt idx="0">
                  <c:v>KVET</c:v>
                </c:pt>
              </c:strCache>
            </c:strRef>
          </c:tx>
          <c:spPr>
            <a:solidFill>
              <a:schemeClr val="tx2">
                <a:lumMod val="20000"/>
                <a:lumOff val="80000"/>
              </a:schemeClr>
            </a:solidFill>
          </c:spPr>
          <c:invertIfNegative val="0"/>
          <c:cat>
            <c:numRef>
              <c:f>Hárok1!$B$18:$C$18</c:f>
              <c:numCache>
                <c:formatCode>General</c:formatCode>
                <c:ptCount val="2"/>
                <c:pt idx="0">
                  <c:v>2010</c:v>
                </c:pt>
                <c:pt idx="1">
                  <c:v>2011</c:v>
                </c:pt>
              </c:numCache>
            </c:numRef>
          </c:cat>
          <c:val>
            <c:numRef>
              <c:f>Hárok1!$B$24:$C$24</c:f>
              <c:numCache>
                <c:formatCode>#,##0</c:formatCode>
                <c:ptCount val="2"/>
                <c:pt idx="0">
                  <c:v>31134701</c:v>
                </c:pt>
                <c:pt idx="1">
                  <c:v>43476137</c:v>
                </c:pt>
              </c:numCache>
            </c:numRef>
          </c:val>
        </c:ser>
        <c:dLbls>
          <c:showLegendKey val="0"/>
          <c:showVal val="0"/>
          <c:showCatName val="0"/>
          <c:showSerName val="0"/>
          <c:showPercent val="0"/>
          <c:showBubbleSize val="0"/>
        </c:dLbls>
        <c:gapWidth val="150"/>
        <c:overlap val="100"/>
        <c:axId val="41379712"/>
        <c:axId val="41381248"/>
      </c:barChart>
      <c:catAx>
        <c:axId val="41379712"/>
        <c:scaling>
          <c:orientation val="maxMin"/>
        </c:scaling>
        <c:delete val="0"/>
        <c:axPos val="l"/>
        <c:numFmt formatCode="General" sourceLinked="1"/>
        <c:majorTickMark val="out"/>
        <c:minorTickMark val="none"/>
        <c:tickLblPos val="nextTo"/>
        <c:txPr>
          <a:bodyPr/>
          <a:lstStyle/>
          <a:p>
            <a:pPr>
              <a:defRPr sz="1050" b="1">
                <a:latin typeface="Arial Narrow" pitchFamily="34" charset="0"/>
              </a:defRPr>
            </a:pPr>
            <a:endParaRPr lang="sk-SK"/>
          </a:p>
        </c:txPr>
        <c:crossAx val="41381248"/>
        <c:crosses val="autoZero"/>
        <c:auto val="1"/>
        <c:lblAlgn val="ctr"/>
        <c:lblOffset val="100"/>
        <c:noMultiLvlLbl val="0"/>
      </c:catAx>
      <c:valAx>
        <c:axId val="41381248"/>
        <c:scaling>
          <c:orientation val="minMax"/>
        </c:scaling>
        <c:delete val="0"/>
        <c:axPos val="b"/>
        <c:numFmt formatCode="#,##0" sourceLinked="1"/>
        <c:majorTickMark val="out"/>
        <c:minorTickMark val="none"/>
        <c:tickLblPos val="nextTo"/>
        <c:txPr>
          <a:bodyPr/>
          <a:lstStyle/>
          <a:p>
            <a:pPr>
              <a:defRPr sz="1050" b="1" baseline="0">
                <a:latin typeface="Arial Narrow" pitchFamily="34" charset="0"/>
              </a:defRPr>
            </a:pPr>
            <a:endParaRPr lang="sk-SK"/>
          </a:p>
        </c:txPr>
        <c:crossAx val="41379712"/>
        <c:crosses val="max"/>
        <c:crossBetween val="between"/>
        <c:dispUnits>
          <c:builtInUnit val="millions"/>
        </c:dispUnits>
      </c:valAx>
    </c:plotArea>
    <c:legend>
      <c:legendPos val="r"/>
      <c:layout>
        <c:manualLayout>
          <c:xMode val="edge"/>
          <c:yMode val="edge"/>
          <c:x val="0.37102294471255598"/>
          <c:y val="0.12693811043136299"/>
          <c:w val="0.53577678681748198"/>
          <c:h val="0.41231421121413803"/>
        </c:manualLayout>
      </c:layout>
      <c:overlay val="0"/>
      <c:txPr>
        <a:bodyPr/>
        <a:lstStyle/>
        <a:p>
          <a:pPr>
            <a:defRPr sz="1600">
              <a:latin typeface="Arial Narrow" pitchFamily="34" charset="0"/>
            </a:defRPr>
          </a:pPr>
          <a:endParaRPr lang="sk-SK"/>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EBDA7-145F-4390-993A-E95ECE62A6BC}">
  <ds:schemaRefs>
    <ds:schemaRef ds:uri="http://schemas.openxmlformats.org/officeDocument/2006/bibliography"/>
  </ds:schemaRefs>
</ds:datastoreItem>
</file>

<file path=customXml/itemProps2.xml><?xml version="1.0" encoding="utf-8"?>
<ds:datastoreItem xmlns:ds="http://schemas.openxmlformats.org/officeDocument/2006/customXml" ds:itemID="{041D0783-8BBD-4608-8F9D-2385A742B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59</Pages>
  <Words>27676</Words>
  <Characters>180967</Characters>
  <Application>Microsoft Office Word</Application>
  <DocSecurity>0</DocSecurity>
  <Lines>1508</Lines>
  <Paragraphs>416</Paragraphs>
  <ScaleCrop>false</ScaleCrop>
  <HeadingPairs>
    <vt:vector size="2" baseType="variant">
      <vt:variant>
        <vt:lpstr>Názov</vt:lpstr>
      </vt:variant>
      <vt:variant>
        <vt:i4>1</vt:i4>
      </vt:variant>
    </vt:vector>
  </HeadingPairs>
  <TitlesOfParts>
    <vt:vector size="1" baseType="lpstr">
      <vt:lpstr>NPR SR 2011</vt:lpstr>
    </vt:vector>
  </TitlesOfParts>
  <Company>MF SR</Company>
  <LinksUpToDate>false</LinksUpToDate>
  <CharactersWithSpaces>208227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NPR SR 2011</dc:title>
  <dc:creator>msiskovic</dc:creator>
  <cp:lastModifiedBy>Hojckova Martina</cp:lastModifiedBy>
  <cp:revision>10</cp:revision>
  <cp:lastPrinted>2013-02-25T15:36:00Z</cp:lastPrinted>
  <dcterms:created xsi:type="dcterms:W3CDTF">2013-04-18T18:33:00Z</dcterms:created>
  <dcterms:modified xsi:type="dcterms:W3CDTF">2013-04-19T09:47:00Z</dcterms:modified>
</cp:coreProperties>
</file>